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F87" w:rsidRDefault="00E44F87">
      <w:pPr>
        <w:pStyle w:val="Heading1"/>
        <w:rPr>
          <w:sz w:val="36"/>
        </w:rPr>
      </w:pPr>
      <w:bookmarkStart w:id="0" w:name="_GoBack"/>
      <w:bookmarkEnd w:id="0"/>
      <w:r>
        <w:rPr>
          <w:sz w:val="36"/>
        </w:rPr>
        <w:t>PRODUCT INFORMATION</w:t>
      </w:r>
    </w:p>
    <w:p w:rsidR="00E44F87" w:rsidRDefault="00E44F87">
      <w:pPr>
        <w:pStyle w:val="Heading1"/>
        <w:rPr>
          <w:b w:val="0"/>
          <w:sz w:val="32"/>
        </w:rPr>
      </w:pPr>
    </w:p>
    <w:p w:rsidR="00E44F87" w:rsidRDefault="00E44F87">
      <w:pPr>
        <w:pStyle w:val="Heading1"/>
        <w:rPr>
          <w:sz w:val="24"/>
        </w:rPr>
      </w:pPr>
      <w:r>
        <w:rPr>
          <w:sz w:val="32"/>
        </w:rPr>
        <w:t>HUMIRA</w:t>
      </w:r>
      <w:r>
        <w:rPr>
          <w:sz w:val="32"/>
          <w:vertAlign w:val="superscript"/>
        </w:rPr>
        <w:t>®</w:t>
      </w:r>
    </w:p>
    <w:p w:rsidR="00E44F87" w:rsidRDefault="00E44F87">
      <w:pPr>
        <w:autoSpaceDE w:val="0"/>
        <w:autoSpaceDN w:val="0"/>
        <w:adjustRightInd w:val="0"/>
        <w:jc w:val="both"/>
        <w:rPr>
          <w:rFonts w:ascii="Arial" w:hAnsi="Arial"/>
          <w:b/>
          <w:sz w:val="20"/>
        </w:rPr>
      </w:pPr>
    </w:p>
    <w:p w:rsidR="00E44F87" w:rsidRPr="00A868ED" w:rsidRDefault="00E44F87">
      <w:pPr>
        <w:pStyle w:val="Heading2"/>
        <w:jc w:val="both"/>
        <w:rPr>
          <w:rFonts w:ascii="Arial" w:hAnsi="Arial"/>
          <w:sz w:val="20"/>
          <w:u w:val="none"/>
        </w:rPr>
      </w:pPr>
      <w:r w:rsidRPr="00A868ED">
        <w:rPr>
          <w:rFonts w:ascii="Arial" w:hAnsi="Arial"/>
          <w:sz w:val="20"/>
          <w:u w:val="none"/>
        </w:rPr>
        <w:t>NAME OF THE MEDICINE</w:t>
      </w:r>
    </w:p>
    <w:p w:rsidR="00E44F87" w:rsidRDefault="00E44F87">
      <w:pPr>
        <w:jc w:val="both"/>
      </w:pPr>
    </w:p>
    <w:p w:rsidR="00E44F87" w:rsidRDefault="00E44F87">
      <w:pPr>
        <w:autoSpaceDE w:val="0"/>
        <w:autoSpaceDN w:val="0"/>
        <w:adjustRightInd w:val="0"/>
        <w:jc w:val="both"/>
        <w:rPr>
          <w:rFonts w:ascii="Arial" w:hAnsi="Arial"/>
          <w:sz w:val="20"/>
        </w:rPr>
      </w:pPr>
      <w:r>
        <w:rPr>
          <w:rFonts w:ascii="Arial" w:hAnsi="Arial"/>
          <w:sz w:val="20"/>
        </w:rPr>
        <w:t>Adalimumab (rch)</w:t>
      </w:r>
    </w:p>
    <w:p w:rsidR="004F3629" w:rsidRDefault="004F3629">
      <w:pPr>
        <w:autoSpaceDE w:val="0"/>
        <w:autoSpaceDN w:val="0"/>
        <w:adjustRightInd w:val="0"/>
        <w:jc w:val="both"/>
        <w:rPr>
          <w:rFonts w:ascii="Arial" w:hAnsi="Arial"/>
          <w:sz w:val="20"/>
        </w:rPr>
      </w:pPr>
    </w:p>
    <w:p w:rsidR="004F3629" w:rsidRDefault="004F3629">
      <w:pPr>
        <w:autoSpaceDE w:val="0"/>
        <w:autoSpaceDN w:val="0"/>
        <w:adjustRightInd w:val="0"/>
        <w:jc w:val="both"/>
        <w:rPr>
          <w:rFonts w:ascii="Arial" w:hAnsi="Arial"/>
          <w:sz w:val="20"/>
        </w:rPr>
      </w:pPr>
      <w:r w:rsidRPr="00074E86">
        <w:rPr>
          <w:rFonts w:ascii="Arial" w:hAnsi="Arial"/>
          <w:sz w:val="20"/>
        </w:rPr>
        <w:t xml:space="preserve">CAS Registry Number: </w:t>
      </w:r>
      <w:r>
        <w:rPr>
          <w:rFonts w:ascii="Arial" w:hAnsi="Arial"/>
          <w:sz w:val="20"/>
        </w:rPr>
        <w:t>331731-18-1</w:t>
      </w:r>
    </w:p>
    <w:p w:rsidR="00E44F87" w:rsidRDefault="00E44F87">
      <w:pPr>
        <w:autoSpaceDE w:val="0"/>
        <w:autoSpaceDN w:val="0"/>
        <w:adjustRightInd w:val="0"/>
        <w:jc w:val="both"/>
        <w:rPr>
          <w:rFonts w:ascii="Arial" w:hAnsi="Arial"/>
          <w:b/>
          <w:iCs/>
          <w:sz w:val="20"/>
        </w:rPr>
      </w:pPr>
    </w:p>
    <w:p w:rsidR="004F3629" w:rsidRDefault="004F3629">
      <w:pPr>
        <w:autoSpaceDE w:val="0"/>
        <w:autoSpaceDN w:val="0"/>
        <w:adjustRightInd w:val="0"/>
        <w:jc w:val="both"/>
        <w:rPr>
          <w:rFonts w:ascii="Arial" w:hAnsi="Arial"/>
          <w:b/>
          <w:iCs/>
          <w:sz w:val="20"/>
        </w:rPr>
      </w:pPr>
    </w:p>
    <w:p w:rsidR="00E44F87" w:rsidRDefault="00E44F87">
      <w:pPr>
        <w:pStyle w:val="Heading2"/>
        <w:jc w:val="both"/>
        <w:rPr>
          <w:rFonts w:ascii="Arial" w:hAnsi="Arial"/>
          <w:sz w:val="20"/>
          <w:u w:val="none"/>
        </w:rPr>
      </w:pPr>
      <w:r>
        <w:rPr>
          <w:rFonts w:ascii="Arial" w:hAnsi="Arial"/>
          <w:sz w:val="20"/>
          <w:u w:val="none"/>
        </w:rPr>
        <w:t>DESCRIPTION</w:t>
      </w:r>
    </w:p>
    <w:p w:rsidR="00E44F87" w:rsidRDefault="00E44F87">
      <w:pPr>
        <w:autoSpaceDE w:val="0"/>
        <w:autoSpaceDN w:val="0"/>
        <w:adjustRightInd w:val="0"/>
        <w:jc w:val="both"/>
        <w:rPr>
          <w:rFonts w:ascii="Arial" w:hAnsi="Arial"/>
          <w:b/>
          <w:sz w:val="20"/>
        </w:rPr>
      </w:pPr>
    </w:p>
    <w:p w:rsidR="00E44F87" w:rsidRDefault="00E44F87">
      <w:pPr>
        <w:autoSpaceDE w:val="0"/>
        <w:autoSpaceDN w:val="0"/>
        <w:adjustRightInd w:val="0"/>
        <w:jc w:val="both"/>
        <w:rPr>
          <w:rFonts w:ascii="Arial" w:hAnsi="Arial"/>
          <w:sz w:val="20"/>
        </w:rPr>
      </w:pPr>
      <w:r>
        <w:rPr>
          <w:rFonts w:ascii="Arial" w:hAnsi="Arial"/>
          <w:sz w:val="20"/>
        </w:rPr>
        <w:t>Humira (adalimumab) is a recombinant human immunoglobulin (IgG1) monoclonal antibody containing only human peptide sequences. Humira was created using phage display technology resulting in fully human heavy and light chain variable regions, which confer specificity to human tumour necrosis factor (TNF), and human IgG1 heavy chain and kappa light chain sequences. Humira binds with high affinity and specificity to soluble tumour necrosis factor (TNF-alpha) but not lymphotoxin (TNF-beta). Adalimumab is produced by recombinant DNA technology in a mammalian cell expression system. It consists of 1330 amino acids and has a molecular weight of approximately 148 kilodaltons.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Humira is supplied as a sterile, preservative-free solution of adalimumab for subcutaneous administration. The solution of Humira is clear and colourless with a pH of 5.2. The drug product is supplied as either a single-use pre-filled glass syringe, vial or as a single use, pre-filled pen (Humira Pen). Enclosed within the pen is a single-use, pre-filled glass syringe.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All adult presentations contain 40mg adalimumab per 0.8 mL (50 mg/mL). The paediatric presentation</w:t>
      </w:r>
      <w:r w:rsidR="00F3185E">
        <w:rPr>
          <w:rFonts w:ascii="Arial" w:hAnsi="Arial"/>
          <w:sz w:val="20"/>
        </w:rPr>
        <w:t>s contain</w:t>
      </w:r>
      <w:r>
        <w:rPr>
          <w:rFonts w:ascii="Arial" w:hAnsi="Arial"/>
          <w:sz w:val="20"/>
        </w:rPr>
        <w:t xml:space="preserve"> </w:t>
      </w:r>
      <w:r w:rsidR="00F3185E">
        <w:rPr>
          <w:rFonts w:ascii="Arial" w:hAnsi="Arial"/>
          <w:sz w:val="20"/>
        </w:rPr>
        <w:t xml:space="preserve">either </w:t>
      </w:r>
      <w:r>
        <w:rPr>
          <w:rFonts w:ascii="Arial" w:hAnsi="Arial"/>
          <w:sz w:val="20"/>
        </w:rPr>
        <w:t>20mg adalimumab per 0.4 mL</w:t>
      </w:r>
      <w:r w:rsidR="00F3185E">
        <w:rPr>
          <w:rFonts w:ascii="Arial" w:hAnsi="Arial"/>
          <w:sz w:val="20"/>
        </w:rPr>
        <w:t xml:space="preserve"> or 10mg adalimumab per 0.2mL</w:t>
      </w:r>
      <w:r>
        <w:rPr>
          <w:rFonts w:ascii="Arial" w:hAnsi="Arial"/>
          <w:sz w:val="20"/>
        </w:rPr>
        <w:t xml:space="preserve">.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Humira 40mg: Inactive ingredients include: 4.93 mg sodium chloride, 0.69 mg monobasic sodium phosphate dihydrate, 1.22 mg dibasic sodium phosphate dihydrate, 0.24 mg sodium citrate, 1.04 mg citric acid monohydrate, 9.6 mg mannitol, 0.8 mg polysorbate 80 and water for injections.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Humira 20mg: Inactive ingredients include:  2.47 mg sodium chloride, 0.34 mg monobasic sodium phosphate dihydrate, 0.61 mg dibasic sodium phosphate dihydrate, 0.12 mg sodium citrate, 0.52 mg citric acid monohydrate, 4.8 mg mannitol, 0.4 mg polysorbate 80 and water for injections.</w:t>
      </w:r>
    </w:p>
    <w:p w:rsidR="007070E5" w:rsidRDefault="007070E5">
      <w:pPr>
        <w:autoSpaceDE w:val="0"/>
        <w:autoSpaceDN w:val="0"/>
        <w:adjustRightInd w:val="0"/>
        <w:jc w:val="both"/>
        <w:rPr>
          <w:rFonts w:ascii="Arial" w:hAnsi="Arial"/>
          <w:sz w:val="20"/>
        </w:rPr>
      </w:pPr>
    </w:p>
    <w:p w:rsidR="007070E5" w:rsidRDefault="007070E5">
      <w:pPr>
        <w:autoSpaceDE w:val="0"/>
        <w:autoSpaceDN w:val="0"/>
        <w:adjustRightInd w:val="0"/>
        <w:jc w:val="both"/>
        <w:rPr>
          <w:rFonts w:ascii="Arial" w:hAnsi="Arial"/>
          <w:sz w:val="20"/>
        </w:rPr>
      </w:pPr>
      <w:r w:rsidRPr="00074E86">
        <w:rPr>
          <w:rFonts w:ascii="Arial" w:hAnsi="Arial"/>
          <w:sz w:val="20"/>
        </w:rPr>
        <w:t>Humira 10mg: Inactive ingredients include:  1.23 mg sodium chloride, 0.172</w:t>
      </w:r>
      <w:r w:rsidRPr="00327A60">
        <w:rPr>
          <w:rFonts w:ascii="Arial" w:hAnsi="Arial"/>
          <w:sz w:val="20"/>
        </w:rPr>
        <w:t xml:space="preserve"> mg monobasic sodium phosphate dihydrate, 0.306 mg dibasic sodium phosphate dihydrate, 0.061 mg sodium citrate, 0.261 mg citric acid monohydrate, 2.4 mg mannitol, 0.2 mg polysorba</w:t>
      </w:r>
      <w:r>
        <w:rPr>
          <w:rFonts w:ascii="Arial" w:hAnsi="Arial"/>
          <w:sz w:val="20"/>
        </w:rPr>
        <w:t>te 80 and water for injections.</w:t>
      </w:r>
    </w:p>
    <w:p w:rsidR="00E44F87" w:rsidRDefault="00E44F87">
      <w:pPr>
        <w:autoSpaceDE w:val="0"/>
        <w:autoSpaceDN w:val="0"/>
        <w:adjustRightInd w:val="0"/>
        <w:jc w:val="both"/>
        <w:rPr>
          <w:rFonts w:ascii="Arial" w:hAnsi="Arial"/>
          <w:sz w:val="20"/>
        </w:rPr>
      </w:pPr>
    </w:p>
    <w:p w:rsidR="00E44F87" w:rsidRDefault="00E44F87">
      <w:pPr>
        <w:pStyle w:val="Heading3"/>
        <w:jc w:val="both"/>
        <w:rPr>
          <w:u w:val="none"/>
        </w:rPr>
      </w:pPr>
      <w:r>
        <w:rPr>
          <w:u w:val="none"/>
        </w:rPr>
        <w:t>PHARMACOLOGY</w:t>
      </w:r>
    </w:p>
    <w:p w:rsidR="00E44F87" w:rsidRDefault="00E44F87">
      <w:pPr>
        <w:autoSpaceDE w:val="0"/>
        <w:autoSpaceDN w:val="0"/>
        <w:adjustRightInd w:val="0"/>
        <w:jc w:val="both"/>
        <w:rPr>
          <w:rFonts w:ascii="Arial" w:hAnsi="Arial"/>
          <w:b/>
          <w:sz w:val="20"/>
        </w:rPr>
      </w:pPr>
    </w:p>
    <w:p w:rsidR="00E44F87" w:rsidRDefault="00E44F87">
      <w:pPr>
        <w:autoSpaceDE w:val="0"/>
        <w:autoSpaceDN w:val="0"/>
        <w:adjustRightInd w:val="0"/>
        <w:jc w:val="both"/>
        <w:rPr>
          <w:rFonts w:ascii="Arial" w:hAnsi="Arial"/>
          <w:b/>
          <w:i/>
          <w:sz w:val="20"/>
        </w:rPr>
      </w:pPr>
      <w:r>
        <w:rPr>
          <w:rFonts w:ascii="Arial" w:hAnsi="Arial"/>
          <w:b/>
          <w:i/>
          <w:sz w:val="20"/>
        </w:rPr>
        <w:t>General</w:t>
      </w:r>
    </w:p>
    <w:p w:rsidR="00E44F87" w:rsidRDefault="00E44F87">
      <w:pPr>
        <w:autoSpaceDE w:val="0"/>
        <w:autoSpaceDN w:val="0"/>
        <w:adjustRightInd w:val="0"/>
        <w:jc w:val="both"/>
        <w:rPr>
          <w:rFonts w:ascii="Arial" w:hAnsi="Arial"/>
          <w:sz w:val="20"/>
        </w:rPr>
      </w:pPr>
      <w:r>
        <w:rPr>
          <w:rFonts w:ascii="Arial" w:hAnsi="Arial"/>
          <w:sz w:val="20"/>
        </w:rPr>
        <w:t xml:space="preserve">Adalimumab binds to TNF and neutralises the biological function of TNF by blocking its interaction with the p55 and p75 cell surface TNF receptors. TNF is a naturally occurring cytokine that is involved in normal inflammatory and immune responses. Elevated levels of TNF are found in the synovial fluid of rheumatoid arthritis (RA), including juvenile idiopathic arthritis (JIA), psoriatic arthritis (PsA) and ankylosing spondylitis (AS) patients and play an important role in both the pathologic inflammation and the joint destruction that are hallmarks of these diseases. </w:t>
      </w:r>
      <w:r>
        <w:rPr>
          <w:rFonts w:ascii="Arial" w:hAnsi="Arial" w:cs="Arial"/>
          <w:sz w:val="20"/>
        </w:rPr>
        <w:t>Increased levels of TNF are also found in psoriasis (Ps) plaques, which contribute to the inflammatory response, to the proliferation and decreased maturation of keratinocytes and to the associated vascular damages that are characteristic of the disease</w:t>
      </w:r>
      <w:r>
        <w:t>.</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Adalimumab also modulates biological responses that are induced or regulated by TNF, including changes in the levels of adhesion molecules responsible for leukocyte </w:t>
      </w:r>
      <w:proofErr w:type="gramStart"/>
      <w:r>
        <w:rPr>
          <w:rFonts w:ascii="Arial" w:hAnsi="Arial"/>
          <w:sz w:val="20"/>
        </w:rPr>
        <w:t>migration  (</w:t>
      </w:r>
      <w:proofErr w:type="gramEnd"/>
      <w:r>
        <w:rPr>
          <w:rFonts w:ascii="Arial" w:hAnsi="Arial"/>
          <w:sz w:val="20"/>
        </w:rPr>
        <w:t>ELAM-1, VCAM-1, and ICAM-1 with an IC</w:t>
      </w:r>
      <w:r>
        <w:rPr>
          <w:rFonts w:ascii="Arial" w:hAnsi="Arial"/>
          <w:sz w:val="20"/>
          <w:vertAlign w:val="subscript"/>
        </w:rPr>
        <w:t>50</w:t>
      </w:r>
      <w:r>
        <w:rPr>
          <w:rFonts w:ascii="Arial" w:hAnsi="Arial"/>
          <w:sz w:val="20"/>
        </w:rPr>
        <w:t xml:space="preserve"> of 1-2 X 10</w:t>
      </w:r>
      <w:r>
        <w:rPr>
          <w:rFonts w:ascii="Arial" w:hAnsi="Arial"/>
          <w:sz w:val="20"/>
          <w:vertAlign w:val="superscript"/>
        </w:rPr>
        <w:t>-10</w:t>
      </w:r>
      <w:r>
        <w:rPr>
          <w:rFonts w:ascii="Arial" w:hAnsi="Arial"/>
          <w:sz w:val="20"/>
        </w:rPr>
        <w:t xml:space="preserve"> M).</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b/>
          <w:i/>
          <w:sz w:val="20"/>
        </w:rPr>
      </w:pPr>
      <w:r>
        <w:rPr>
          <w:rFonts w:ascii="Arial" w:hAnsi="Arial"/>
          <w:b/>
          <w:i/>
          <w:sz w:val="20"/>
        </w:rPr>
        <w:lastRenderedPageBreak/>
        <w:t>Pharmacodynamics</w:t>
      </w:r>
    </w:p>
    <w:p w:rsidR="00E44F87" w:rsidRDefault="00E44F87">
      <w:pPr>
        <w:autoSpaceDE w:val="0"/>
        <w:autoSpaceDN w:val="0"/>
        <w:adjustRightInd w:val="0"/>
        <w:jc w:val="both"/>
        <w:rPr>
          <w:rFonts w:ascii="Arial" w:hAnsi="Arial"/>
          <w:sz w:val="20"/>
        </w:rPr>
      </w:pPr>
      <w:r>
        <w:rPr>
          <w:rFonts w:ascii="Arial" w:hAnsi="Arial"/>
          <w:sz w:val="20"/>
        </w:rPr>
        <w:t>After treatment with Humira, a rapid decrease in levels of acute phase reactants of inflammation (C-reactive protein (CRP) and Erythrocyte Sedimentation Rate (ESR)) and serum cytokines (IL-6) was observed compared to baseline in patients with RA. In patients with Crohn’s disease</w:t>
      </w:r>
      <w:r w:rsidR="00F74AA2">
        <w:rPr>
          <w:rFonts w:ascii="Arial" w:hAnsi="Arial"/>
          <w:sz w:val="20"/>
        </w:rPr>
        <w:t xml:space="preserve"> (CD)</w:t>
      </w:r>
      <w:r>
        <w:rPr>
          <w:rFonts w:ascii="Arial" w:hAnsi="Arial"/>
          <w:sz w:val="20"/>
        </w:rPr>
        <w:t>, a decrease in CRP levels was observed by week 1.</w:t>
      </w:r>
      <w:r w:rsidR="00F74AA2">
        <w:rPr>
          <w:rFonts w:ascii="Arial" w:hAnsi="Arial"/>
          <w:sz w:val="20"/>
        </w:rPr>
        <w:t xml:space="preserve"> </w:t>
      </w:r>
      <w:r w:rsidR="00F74AA2" w:rsidRPr="00B002CE">
        <w:rPr>
          <w:rFonts w:ascii="Arial" w:hAnsi="Arial"/>
          <w:sz w:val="20"/>
        </w:rPr>
        <w:t>After 12 weeks of treatment with adalimumab</w:t>
      </w:r>
      <w:r w:rsidR="00F74AA2">
        <w:rPr>
          <w:rFonts w:ascii="Arial" w:hAnsi="Arial"/>
          <w:sz w:val="20"/>
        </w:rPr>
        <w:t>,</w:t>
      </w:r>
      <w:r w:rsidR="00F74AA2" w:rsidRPr="00B002CE">
        <w:rPr>
          <w:rFonts w:ascii="Arial" w:hAnsi="Arial"/>
          <w:sz w:val="20"/>
        </w:rPr>
        <w:t xml:space="preserve"> subjects with CD had lower levels of expression of</w:t>
      </w:r>
      <w:r w:rsidR="00F74AA2">
        <w:rPr>
          <w:rFonts w:ascii="Arial" w:hAnsi="Arial"/>
          <w:sz w:val="20"/>
        </w:rPr>
        <w:t xml:space="preserve"> TNF</w:t>
      </w:r>
      <w:r w:rsidR="00F74AA2" w:rsidRPr="00B002CE">
        <w:rPr>
          <w:rFonts w:ascii="Arial" w:hAnsi="Arial"/>
          <w:sz w:val="20"/>
        </w:rPr>
        <w:t>-</w:t>
      </w:r>
      <w:r w:rsidR="00F74AA2">
        <w:rPr>
          <w:rFonts w:ascii="Arial" w:hAnsi="Arial"/>
          <w:sz w:val="20"/>
        </w:rPr>
        <w:t>a</w:t>
      </w:r>
      <w:r w:rsidR="00F74AA2" w:rsidRPr="00B002CE">
        <w:rPr>
          <w:rFonts w:ascii="Arial" w:hAnsi="Arial"/>
          <w:sz w:val="20"/>
        </w:rPr>
        <w:t>lpha and the inflammatory markers, human</w:t>
      </w:r>
      <w:r w:rsidR="00F74AA2">
        <w:rPr>
          <w:rFonts w:ascii="Arial" w:hAnsi="Arial"/>
          <w:sz w:val="20"/>
        </w:rPr>
        <w:t xml:space="preserve"> leucocyte antigen (HLA</w:t>
      </w:r>
      <w:r w:rsidR="00F74AA2" w:rsidRPr="00B002CE">
        <w:rPr>
          <w:rFonts w:ascii="Arial" w:hAnsi="Arial"/>
          <w:sz w:val="20"/>
        </w:rPr>
        <w:t>-DR) and myeloperoxidase (MPO) in the colon but not in the ileum,</w:t>
      </w:r>
      <w:r w:rsidR="00F74AA2">
        <w:rPr>
          <w:rFonts w:ascii="Arial" w:hAnsi="Arial"/>
          <w:sz w:val="20"/>
        </w:rPr>
        <w:t xml:space="preserve"> </w:t>
      </w:r>
      <w:r w:rsidR="00F74AA2" w:rsidRPr="00B002CE">
        <w:rPr>
          <w:rFonts w:ascii="Arial" w:hAnsi="Arial"/>
          <w:sz w:val="20"/>
        </w:rPr>
        <w:t>compared with subjects with CD given placebo</w:t>
      </w:r>
      <w:r w:rsidR="00F74AA2">
        <w:rPr>
          <w:rFonts w:ascii="Arial" w:hAnsi="Arial"/>
          <w:sz w:val="20"/>
        </w:rPr>
        <w:t xml:space="preserve">. </w:t>
      </w:r>
      <w:r>
        <w:rPr>
          <w:rFonts w:ascii="Arial" w:hAnsi="Arial"/>
          <w:sz w:val="20"/>
        </w:rPr>
        <w:t xml:space="preserve"> Serum levels of matrix metalloproteinases (MMP-1 and MMP-3) that produce tissue remodelling responsible for cartilage destruction were also decreased after Humira administration. Patients treated with Humira usually experienced improvement in haematological signs of chronic inflammation. A rapid decrease in CRP levels was also observed in patients with polyarticular juvenile idiopathic arthritis</w:t>
      </w:r>
      <w:r w:rsidR="00EB2366">
        <w:rPr>
          <w:rFonts w:ascii="Arial" w:hAnsi="Arial"/>
          <w:sz w:val="20"/>
        </w:rPr>
        <w:t xml:space="preserve">, </w:t>
      </w:r>
      <w:r w:rsidR="006C0EE7">
        <w:rPr>
          <w:rFonts w:ascii="Arial" w:hAnsi="Arial"/>
          <w:sz w:val="20"/>
        </w:rPr>
        <w:t>Crohn’s disease and ulcerative colitis.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The serum adalimumab concentration-efficacy relationship as measured by the American College of Rheumatology response criteria (ACR20) appears to follow the Hill E</w:t>
      </w:r>
      <w:r>
        <w:rPr>
          <w:rFonts w:ascii="Arial" w:hAnsi="Arial"/>
          <w:sz w:val="20"/>
          <w:vertAlign w:val="subscript"/>
        </w:rPr>
        <w:t xml:space="preserve">max </w:t>
      </w:r>
      <w:r>
        <w:rPr>
          <w:rFonts w:ascii="Arial" w:hAnsi="Arial"/>
          <w:sz w:val="20"/>
        </w:rPr>
        <w:t>equation as shown below:</w:t>
      </w:r>
    </w:p>
    <w:p w:rsidR="00E44F87" w:rsidRDefault="00D671D6">
      <w:pPr>
        <w:autoSpaceDE w:val="0"/>
        <w:autoSpaceDN w:val="0"/>
        <w:adjustRightInd w:val="0"/>
        <w:jc w:val="both"/>
        <w:rPr>
          <w:rFonts w:ascii="Arial" w:hAnsi="Arial"/>
          <w:b/>
          <w:i/>
          <w:sz w:val="20"/>
        </w:rPr>
      </w:pPr>
      <w:r>
        <w:rPr>
          <w:rFonts w:ascii="Arial" w:hAnsi="Arial"/>
          <w:b/>
          <w:i/>
          <w:noProof/>
          <w:sz w:val="20"/>
          <w:lang w:eastAsia="en-AU"/>
        </w:rPr>
        <mc:AlternateContent>
          <mc:Choice Requires="wps">
            <w:drawing>
              <wp:anchor distT="0" distB="0" distL="114300" distR="114300" simplePos="0" relativeHeight="251657728" behindDoc="0" locked="0" layoutInCell="0" allowOverlap="1">
                <wp:simplePos x="0" y="0"/>
                <wp:positionH relativeFrom="column">
                  <wp:posOffset>914400</wp:posOffset>
                </wp:positionH>
                <wp:positionV relativeFrom="paragraph">
                  <wp:posOffset>76200</wp:posOffset>
                </wp:positionV>
                <wp:extent cx="3878580" cy="236728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236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F87" w:rsidRDefault="00D671D6">
                            <w:r>
                              <w:rPr>
                                <w:noProof/>
                                <w:lang w:eastAsia="en-AU"/>
                              </w:rPr>
                              <w:drawing>
                                <wp:inline distT="0" distB="0" distL="0" distR="0">
                                  <wp:extent cx="3695700" cy="2279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2279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in;margin-top:6pt;width:305.4pt;height:18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" o:allowincell="f" stroked="f">
                <v:textbox>
                  <w:txbxContent>
                    <w:p w:rsidR="00E44F87" w:rsidRDefault="00D671D6">
                      <w:r>
                        <w:rPr>
                          <w:noProof/>
                          <w:lang w:eastAsia="en-AU"/>
                        </w:rPr>
                        <w:drawing>
                          <wp:inline distT="0" distB="0" distL="0" distR="0">
                            <wp:extent cx="3695700" cy="2279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2279650"/>
                                    </a:xfrm>
                                    <a:prstGeom prst="rect">
                                      <a:avLst/>
                                    </a:prstGeom>
                                    <a:noFill/>
                                    <a:ln>
                                      <a:noFill/>
                                    </a:ln>
                                  </pic:spPr>
                                </pic:pic>
                              </a:graphicData>
                            </a:graphic>
                          </wp:inline>
                        </w:drawing>
                      </w:r>
                    </w:p>
                  </w:txbxContent>
                </v:textbox>
              </v:shape>
            </w:pict>
          </mc:Fallback>
        </mc:AlternateConten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p>
    <w:p w:rsidR="00E44F87" w:rsidRDefault="00E44F87">
      <w:pPr>
        <w:pStyle w:val="CommentText"/>
        <w:autoSpaceDE w:val="0"/>
        <w:autoSpaceDN w:val="0"/>
        <w:adjustRightInd w:val="0"/>
        <w:jc w:val="both"/>
        <w:rPr>
          <w:rFonts w:ascii="Arial" w:hAnsi="Arial"/>
          <w:szCs w:val="24"/>
        </w:rPr>
      </w:pP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EC</w:t>
      </w:r>
      <w:r>
        <w:rPr>
          <w:rFonts w:ascii="Arial" w:hAnsi="Arial"/>
          <w:sz w:val="20"/>
          <w:vertAlign w:val="subscript"/>
        </w:rPr>
        <w:t xml:space="preserve">50 </w:t>
      </w:r>
      <w:r>
        <w:rPr>
          <w:rFonts w:ascii="Arial" w:hAnsi="Arial"/>
          <w:sz w:val="20"/>
        </w:rPr>
        <w:t xml:space="preserve">estimates ranging from 0.8 to 1.4 </w:t>
      </w:r>
      <w:r>
        <w:rPr>
          <w:rFonts w:ascii="Arial" w:hAnsi="Arial"/>
          <w:sz w:val="20"/>
        </w:rPr>
        <w:sym w:font="Symbol" w:char="F06D"/>
      </w:r>
      <w:r>
        <w:rPr>
          <w:rFonts w:ascii="Arial" w:hAnsi="Arial"/>
          <w:sz w:val="20"/>
        </w:rPr>
        <w:t xml:space="preserve">g/mL were obtained through pharmacokinetic/ pharmacodynamic modelling of swollen joint count, tender joint count and ACR20 response from patients participating in Phase II and III trials. </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r>
        <w:rPr>
          <w:rFonts w:ascii="Arial" w:hAnsi="Arial"/>
          <w:b/>
          <w:i/>
          <w:sz w:val="20"/>
        </w:rPr>
        <w:t>Pharmacokinetics</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sz w:val="20"/>
        </w:rPr>
      </w:pPr>
      <w:r>
        <w:rPr>
          <w:rFonts w:ascii="Arial" w:hAnsi="Arial"/>
          <w:i/>
          <w:sz w:val="20"/>
        </w:rPr>
        <w:t>Absorptio</w:t>
      </w:r>
      <w:r>
        <w:rPr>
          <w:rFonts w:ascii="Arial" w:hAnsi="Arial"/>
          <w:sz w:val="20"/>
        </w:rPr>
        <w:t>n</w:t>
      </w:r>
    </w:p>
    <w:p w:rsidR="00E44F87" w:rsidRDefault="00E44F87">
      <w:pPr>
        <w:autoSpaceDE w:val="0"/>
        <w:autoSpaceDN w:val="0"/>
        <w:adjustRightInd w:val="0"/>
        <w:jc w:val="both"/>
        <w:rPr>
          <w:rFonts w:ascii="Arial" w:hAnsi="Arial"/>
          <w:sz w:val="20"/>
        </w:rPr>
      </w:pPr>
      <w:r>
        <w:rPr>
          <w:rFonts w:ascii="Arial" w:hAnsi="Arial"/>
          <w:sz w:val="20"/>
        </w:rPr>
        <w:t>Following a single 40 mg subcutaneous (SC) administration of Humira to 59 healthy adult subjects, absorption of adalimumab was slow, with mean peak serum concentration being reached about five days after administration. The average absolute bioavailability of adalimumab estimated from three studies following a single 40 mg subcutaneous dose was 64%.  The pharmacokinetics of adalimumab was linear over the dose range of 0.5 to 10 mg/kg following a single intravenous dose.</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i/>
          <w:sz w:val="20"/>
        </w:rPr>
      </w:pPr>
      <w:r>
        <w:rPr>
          <w:rFonts w:ascii="Arial" w:hAnsi="Arial"/>
          <w:i/>
          <w:sz w:val="20"/>
        </w:rPr>
        <w:t>Distribution and Elimination</w:t>
      </w:r>
    </w:p>
    <w:p w:rsidR="00E44F87" w:rsidRDefault="00E44F87">
      <w:pPr>
        <w:autoSpaceDE w:val="0"/>
        <w:autoSpaceDN w:val="0"/>
        <w:adjustRightInd w:val="0"/>
        <w:jc w:val="both"/>
        <w:rPr>
          <w:rFonts w:ascii="Arial" w:hAnsi="Arial"/>
          <w:sz w:val="20"/>
        </w:rPr>
      </w:pPr>
      <w:r>
        <w:rPr>
          <w:rFonts w:ascii="Arial" w:hAnsi="Arial"/>
          <w:sz w:val="20"/>
        </w:rPr>
        <w:t xml:space="preserve">The single dose pharmacokinetics of adalimumab in rheumatoid arthritis (RA) patients </w:t>
      </w:r>
      <w:proofErr w:type="gramStart"/>
      <w:r>
        <w:rPr>
          <w:rFonts w:ascii="Arial" w:hAnsi="Arial"/>
          <w:sz w:val="20"/>
        </w:rPr>
        <w:t>were</w:t>
      </w:r>
      <w:proofErr w:type="gramEnd"/>
      <w:r>
        <w:rPr>
          <w:rFonts w:ascii="Arial" w:hAnsi="Arial"/>
          <w:sz w:val="20"/>
        </w:rPr>
        <w:t xml:space="preserve"> determined in several studies with intravenous doses ranging from 0.25 to 10 mg/kg. The distribution volume (V</w:t>
      </w:r>
      <w:r>
        <w:rPr>
          <w:rFonts w:ascii="Arial" w:hAnsi="Arial"/>
          <w:sz w:val="20"/>
          <w:vertAlign w:val="subscript"/>
        </w:rPr>
        <w:t>ss</w:t>
      </w:r>
      <w:r>
        <w:rPr>
          <w:rFonts w:ascii="Arial" w:hAnsi="Arial"/>
          <w:sz w:val="20"/>
        </w:rPr>
        <w:t>) ranged from 4.7 to 6.0 L. Adalimumab is slowly eliminated, with clearances typically under 12 mL/h.  The mean terminal phase half-life was approximately two weeks, ranging from 10 to 20 days across studies. Adalimumab concentrations in the synovial fluid from several RA patients ranged from 31 to 96% of those in serum.</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i/>
          <w:sz w:val="20"/>
        </w:rPr>
      </w:pPr>
      <w:r>
        <w:rPr>
          <w:rFonts w:ascii="Arial" w:hAnsi="Arial"/>
          <w:i/>
          <w:sz w:val="20"/>
        </w:rPr>
        <w:t xml:space="preserve">Steady-State </w:t>
      </w:r>
    </w:p>
    <w:p w:rsidR="00E44F87" w:rsidRDefault="00E44F87">
      <w:pPr>
        <w:autoSpaceDE w:val="0"/>
        <w:autoSpaceDN w:val="0"/>
        <w:adjustRightInd w:val="0"/>
        <w:jc w:val="both"/>
        <w:rPr>
          <w:rFonts w:ascii="Arial" w:hAnsi="Arial"/>
          <w:sz w:val="20"/>
        </w:rPr>
      </w:pPr>
      <w:r>
        <w:rPr>
          <w:rFonts w:ascii="Arial" w:hAnsi="Arial"/>
          <w:sz w:val="20"/>
        </w:rPr>
        <w:t xml:space="preserve">Accumulation of adalimumab was predictable based on the half-life following SC administration of 40 mg of Humira fortnightly to patients with RA, with mean steady-state trough concentrations of approximately 5 </w:t>
      </w:r>
      <w:r w:rsidR="007E72F2">
        <w:rPr>
          <w:rFonts w:ascii="Arial" w:hAnsi="Arial"/>
          <w:sz w:val="20"/>
        </w:rPr>
        <w:t>mc</w:t>
      </w:r>
      <w:r>
        <w:rPr>
          <w:rFonts w:ascii="Arial" w:hAnsi="Arial"/>
          <w:sz w:val="20"/>
        </w:rPr>
        <w:t xml:space="preserve">g/mL (without concomitant methotrexate (MTX)) and 8 to 9 </w:t>
      </w:r>
      <w:r w:rsidR="007E72F2">
        <w:rPr>
          <w:rFonts w:ascii="Arial" w:hAnsi="Arial"/>
          <w:sz w:val="20"/>
        </w:rPr>
        <w:t>mc</w:t>
      </w:r>
      <w:r>
        <w:rPr>
          <w:rFonts w:ascii="Arial" w:hAnsi="Arial"/>
          <w:sz w:val="20"/>
        </w:rPr>
        <w:t>g/mL (with concomitant MTX), respectively. These trough concentration levels are well above the EC</w:t>
      </w:r>
      <w:r>
        <w:rPr>
          <w:rFonts w:ascii="Arial" w:hAnsi="Arial"/>
          <w:sz w:val="20"/>
          <w:vertAlign w:val="subscript"/>
        </w:rPr>
        <w:t>50</w:t>
      </w:r>
      <w:r>
        <w:rPr>
          <w:rFonts w:ascii="Arial" w:hAnsi="Arial"/>
          <w:sz w:val="20"/>
        </w:rPr>
        <w:t xml:space="preserve"> estimates of 0.8 to 1.4 </w:t>
      </w:r>
      <w:r w:rsidR="007E72F2">
        <w:rPr>
          <w:rFonts w:ascii="Arial" w:hAnsi="Arial"/>
          <w:sz w:val="20"/>
        </w:rPr>
        <w:t>mc</w:t>
      </w:r>
      <w:r>
        <w:rPr>
          <w:rFonts w:ascii="Arial" w:hAnsi="Arial"/>
          <w:sz w:val="20"/>
        </w:rPr>
        <w:t xml:space="preserve">g/mL and consistent with those at which ACR20 responses appear to reach a maximum (Figure 1).   The serum adalimumab trough levels at steady state increased approximately proportionally with dose following 20, 40 and 80 mg fortnightly </w:t>
      </w:r>
      <w:r>
        <w:rPr>
          <w:rFonts w:ascii="Arial" w:hAnsi="Arial"/>
          <w:sz w:val="20"/>
        </w:rPr>
        <w:lastRenderedPageBreak/>
        <w:t xml:space="preserve">and every week SC dosing. In long-term studies with dosing for more than two years, there was no evidence of changes in clearance over time. </w:t>
      </w:r>
    </w:p>
    <w:p w:rsidR="00C647D9" w:rsidRDefault="00C647D9">
      <w:pPr>
        <w:autoSpaceDE w:val="0"/>
        <w:autoSpaceDN w:val="0"/>
        <w:adjustRightInd w:val="0"/>
        <w:jc w:val="both"/>
        <w:rPr>
          <w:rFonts w:ascii="Arial" w:hAnsi="Arial" w:cs="Arial"/>
          <w:sz w:val="20"/>
        </w:rPr>
      </w:pPr>
    </w:p>
    <w:p w:rsidR="00E44F87" w:rsidRDefault="00E44F87">
      <w:pPr>
        <w:autoSpaceDE w:val="0"/>
        <w:autoSpaceDN w:val="0"/>
        <w:adjustRightInd w:val="0"/>
        <w:jc w:val="both"/>
        <w:rPr>
          <w:rFonts w:ascii="Arial" w:hAnsi="Arial"/>
          <w:sz w:val="20"/>
        </w:rPr>
      </w:pPr>
      <w:r>
        <w:rPr>
          <w:rFonts w:ascii="Arial" w:hAnsi="Arial" w:cs="Arial"/>
          <w:sz w:val="20"/>
        </w:rPr>
        <w:t xml:space="preserve">In patients with psoriasis, the mean steady-state trough concentration was </w:t>
      </w:r>
      <w:proofErr w:type="gramStart"/>
      <w:r>
        <w:rPr>
          <w:rFonts w:ascii="Arial" w:hAnsi="Arial" w:cs="Arial"/>
          <w:sz w:val="20"/>
        </w:rPr>
        <w:t>5 mcg/mL</w:t>
      </w:r>
      <w:proofErr w:type="gramEnd"/>
      <w:r>
        <w:rPr>
          <w:rFonts w:ascii="Arial" w:hAnsi="Arial" w:cs="Arial"/>
          <w:sz w:val="20"/>
        </w:rPr>
        <w:t xml:space="preserve"> during adalimumab 40 mg fortnightly monotherapy treatment</w:t>
      </w:r>
      <w:r>
        <w:rPr>
          <w:rFonts w:ascii="Arial" w:hAnsi="Arial" w:cs="Arial"/>
          <w:color w:val="0000FF"/>
          <w:sz w:val="20"/>
        </w:rPr>
        <w:t xml:space="preserve"> </w:t>
      </w:r>
      <w:r>
        <w:rPr>
          <w:rFonts w:ascii="Arial" w:hAnsi="Arial" w:cs="Arial"/>
          <w:sz w:val="20"/>
        </w:rPr>
        <w:t>(after an initial loading dose of 80mg sc).</w:t>
      </w:r>
    </w:p>
    <w:p w:rsidR="00E44F87" w:rsidRDefault="00E44F87">
      <w:pPr>
        <w:autoSpaceDE w:val="0"/>
        <w:autoSpaceDN w:val="0"/>
        <w:adjustRightInd w:val="0"/>
        <w:jc w:val="both"/>
        <w:rPr>
          <w:rFonts w:ascii="Arial" w:hAnsi="Arial"/>
          <w:sz w:val="20"/>
        </w:rPr>
      </w:pPr>
      <w:r>
        <w:rPr>
          <w:rFonts w:ascii="Arial" w:hAnsi="Arial"/>
          <w:sz w:val="20"/>
        </w:rPr>
        <w:t xml:space="preserve">In patients with Crohn’s disease, the loading dose of 160mg Humira on Week 0 followed by 80mg Humira on Week 2 achieves serum adalimumab trough concentrations of approximately 12 </w:t>
      </w:r>
      <w:r w:rsidR="008C5D74">
        <w:rPr>
          <w:rFonts w:ascii="Arial" w:hAnsi="Arial"/>
          <w:sz w:val="20"/>
        </w:rPr>
        <w:t>mcg/mL</w:t>
      </w:r>
      <w:r>
        <w:rPr>
          <w:rFonts w:ascii="Arial" w:hAnsi="Arial"/>
          <w:sz w:val="20"/>
        </w:rPr>
        <w:t xml:space="preserve"> at Weeks 2 and 4. The mean steady state trough concentration at Weeks 24 and 56 were 6.6</w:t>
      </w:r>
      <w:r w:rsidR="008C5D74">
        <w:rPr>
          <w:rFonts w:ascii="Arial" w:hAnsi="Arial"/>
          <w:sz w:val="20"/>
        </w:rPr>
        <w:t>mcg/mL</w:t>
      </w:r>
      <w:r>
        <w:rPr>
          <w:rFonts w:ascii="Arial" w:hAnsi="Arial"/>
          <w:sz w:val="20"/>
        </w:rPr>
        <w:t xml:space="preserve"> and </w:t>
      </w:r>
      <w:proofErr w:type="gramStart"/>
      <w:r>
        <w:rPr>
          <w:rFonts w:ascii="Arial" w:hAnsi="Arial"/>
          <w:sz w:val="20"/>
        </w:rPr>
        <w:t xml:space="preserve">7.2 </w:t>
      </w:r>
      <w:r w:rsidR="008C5D74">
        <w:rPr>
          <w:rFonts w:ascii="Arial" w:hAnsi="Arial"/>
          <w:sz w:val="20"/>
        </w:rPr>
        <w:t>mcg/mL</w:t>
      </w:r>
      <w:r>
        <w:rPr>
          <w:rFonts w:ascii="Arial" w:hAnsi="Arial"/>
          <w:sz w:val="20"/>
        </w:rPr>
        <w:t xml:space="preserve"> respectively</w:t>
      </w:r>
      <w:proofErr w:type="gramEnd"/>
      <w:r>
        <w:rPr>
          <w:rFonts w:ascii="Arial" w:hAnsi="Arial"/>
          <w:sz w:val="20"/>
        </w:rPr>
        <w:t>.</w:t>
      </w:r>
      <w:r>
        <w:rPr>
          <w:rFonts w:ascii="Arial" w:hAnsi="Arial"/>
          <w:b/>
          <w:bCs/>
          <w:color w:val="FF0000"/>
          <w:sz w:val="20"/>
        </w:rPr>
        <w:t xml:space="preserve"> </w:t>
      </w:r>
      <w:r>
        <w:rPr>
          <w:rFonts w:ascii="Arial" w:hAnsi="Arial"/>
          <w:sz w:val="20"/>
        </w:rPr>
        <w:t xml:space="preserve">The range of trough concentrations in patients who received a maintenance dose of 40mg Humira every fortnight was 0 – 21.7 </w:t>
      </w:r>
      <w:r w:rsidR="008C5D74">
        <w:rPr>
          <w:rFonts w:ascii="Arial" w:hAnsi="Arial"/>
          <w:sz w:val="20"/>
        </w:rPr>
        <w:t>mcg/mL</w:t>
      </w:r>
    </w:p>
    <w:p w:rsidR="00E44F87" w:rsidRDefault="00E44F87">
      <w:pPr>
        <w:autoSpaceDE w:val="0"/>
        <w:autoSpaceDN w:val="0"/>
        <w:adjustRightInd w:val="0"/>
        <w:jc w:val="both"/>
        <w:rPr>
          <w:rFonts w:ascii="Arial" w:hAnsi="Arial"/>
          <w:sz w:val="20"/>
        </w:rPr>
      </w:pPr>
    </w:p>
    <w:p w:rsidR="006C0EE7" w:rsidRPr="006C0EE7" w:rsidRDefault="006C0EE7" w:rsidP="006C0EE7">
      <w:pPr>
        <w:autoSpaceDE w:val="0"/>
        <w:autoSpaceDN w:val="0"/>
        <w:adjustRightInd w:val="0"/>
        <w:jc w:val="both"/>
        <w:rPr>
          <w:rFonts w:ascii="Arial" w:hAnsi="Arial"/>
          <w:sz w:val="20"/>
          <w:lang w:val="en-GB"/>
        </w:rPr>
      </w:pPr>
      <w:r w:rsidRPr="006C0EE7">
        <w:rPr>
          <w:rFonts w:ascii="Arial" w:hAnsi="Arial"/>
          <w:sz w:val="20"/>
          <w:lang w:val="en-GB"/>
        </w:rPr>
        <w:t>In patients with ulcerative colitis, a loading dose of 160 mg Humira on Week 0 followed by 80 mg Humira on Week 2 achieves serum adalimumab trough concentrations of approximately 12 </w:t>
      </w:r>
      <w:r w:rsidR="00B42B59">
        <w:rPr>
          <w:rFonts w:ascii="Arial" w:hAnsi="Arial"/>
          <w:sz w:val="20"/>
          <w:lang w:val="en-GB"/>
        </w:rPr>
        <w:t>mc</w:t>
      </w:r>
      <w:r w:rsidRPr="006C0EE7">
        <w:rPr>
          <w:rFonts w:ascii="Arial" w:hAnsi="Arial"/>
          <w:sz w:val="20"/>
          <w:lang w:val="en-GB"/>
        </w:rPr>
        <w:t>g/m</w:t>
      </w:r>
      <w:r w:rsidR="00E91505">
        <w:rPr>
          <w:rFonts w:ascii="Arial" w:hAnsi="Arial"/>
          <w:sz w:val="20"/>
          <w:lang w:val="en-GB"/>
        </w:rPr>
        <w:t>L</w:t>
      </w:r>
      <w:r w:rsidRPr="006C0EE7">
        <w:rPr>
          <w:rFonts w:ascii="Arial" w:hAnsi="Arial"/>
          <w:sz w:val="20"/>
          <w:lang w:val="en-GB"/>
        </w:rPr>
        <w:t xml:space="preserve"> </w:t>
      </w:r>
      <w:r w:rsidR="00A56260" w:rsidRPr="00A56260">
        <w:rPr>
          <w:rFonts w:ascii="Arial" w:hAnsi="Arial"/>
          <w:sz w:val="20"/>
          <w:lang w:val="en-GB"/>
        </w:rPr>
        <w:t>during the induction period</w:t>
      </w:r>
      <w:r w:rsidRPr="006C0EE7">
        <w:rPr>
          <w:rFonts w:ascii="Arial" w:hAnsi="Arial"/>
          <w:sz w:val="20"/>
          <w:lang w:val="en-GB"/>
        </w:rPr>
        <w:t>.  Mean steady-state trough levels of approximately 8</w:t>
      </w:r>
      <w:r w:rsidR="00B42B59">
        <w:rPr>
          <w:rFonts w:ascii="Arial" w:hAnsi="Arial"/>
          <w:sz w:val="20"/>
          <w:lang w:val="en-GB"/>
        </w:rPr>
        <w:t>mc</w:t>
      </w:r>
      <w:r w:rsidRPr="006C0EE7">
        <w:rPr>
          <w:rFonts w:ascii="Arial" w:hAnsi="Arial"/>
          <w:sz w:val="20"/>
          <w:lang w:val="en-GB"/>
        </w:rPr>
        <w:t xml:space="preserve">g/ml were observed in ulcerative colitis patients who received a maintenance dose of 40 mg Humira </w:t>
      </w:r>
      <w:r w:rsidRPr="00047268">
        <w:rPr>
          <w:rFonts w:ascii="Arial" w:hAnsi="Arial"/>
          <w:sz w:val="20"/>
          <w:lang w:val="en-GB"/>
        </w:rPr>
        <w:t>fortnightly</w:t>
      </w:r>
      <w:r w:rsidR="006343EB" w:rsidRPr="00047268">
        <w:rPr>
          <w:rFonts w:ascii="Arial" w:hAnsi="Arial"/>
          <w:sz w:val="20"/>
          <w:lang w:val="en-GB"/>
        </w:rPr>
        <w:t xml:space="preserve"> in a 52-week study</w:t>
      </w:r>
      <w:r w:rsidRPr="00047268">
        <w:rPr>
          <w:rFonts w:ascii="Arial" w:hAnsi="Arial"/>
          <w:sz w:val="20"/>
          <w:lang w:val="en-GB"/>
        </w:rPr>
        <w:t>.</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Population pharmacokinetic analyses with data from over 1200 RA</w:t>
      </w:r>
      <w:r>
        <w:rPr>
          <w:rFonts w:ascii="Arial" w:hAnsi="Arial"/>
          <w:b/>
          <w:bCs/>
          <w:color w:val="FF0000"/>
          <w:sz w:val="20"/>
        </w:rPr>
        <w:t xml:space="preserve"> </w:t>
      </w:r>
      <w:r>
        <w:rPr>
          <w:rFonts w:ascii="Arial" w:hAnsi="Arial"/>
          <w:sz w:val="20"/>
        </w:rPr>
        <w:t xml:space="preserve">patients revealed a trend toward higher apparent clearance of adalimumab with increasing body weight and in patients who developed the presence of anti-adalimumab antibodies.  </w:t>
      </w:r>
    </w:p>
    <w:p w:rsidR="00E44F87" w:rsidRDefault="00E44F87">
      <w:pPr>
        <w:autoSpaceDE w:val="0"/>
        <w:autoSpaceDN w:val="0"/>
        <w:adjustRightInd w:val="0"/>
        <w:jc w:val="both"/>
        <w:rPr>
          <w:rFonts w:ascii="Arial" w:hAnsi="Arial"/>
          <w:sz w:val="20"/>
        </w:rPr>
      </w:pPr>
      <w:r>
        <w:rPr>
          <w:rFonts w:ascii="Arial" w:hAnsi="Arial"/>
          <w:sz w:val="20"/>
        </w:rPr>
        <w:t>Minor increases in apparent clearance were predicted in RA patients receiving doses lower than the recommended dose, and in RA patients with high rheumatoid factor or CRP concentrations.  These factors are not likely to be clinically important. However, there is a significant difference in mean</w:t>
      </w:r>
      <w:r>
        <w:rPr>
          <w:rFonts w:ascii="Arial" w:hAnsi="Arial"/>
          <w:b/>
          <w:bCs/>
          <w:color w:val="FF0000"/>
          <w:sz w:val="20"/>
        </w:rPr>
        <w:t xml:space="preserve"> </w:t>
      </w:r>
      <w:r>
        <w:rPr>
          <w:rFonts w:ascii="Arial" w:hAnsi="Arial"/>
          <w:sz w:val="20"/>
        </w:rPr>
        <w:t>apparent clearance in patients with Crohn’s disease studied short term (4 weeks</w:t>
      </w:r>
      <w:r>
        <w:rPr>
          <w:rFonts w:ascii="Arial" w:hAnsi="Arial"/>
          <w:b/>
          <w:bCs/>
          <w:color w:val="FF0000"/>
          <w:sz w:val="20"/>
        </w:rPr>
        <w:t xml:space="preserve"> </w:t>
      </w:r>
      <w:r>
        <w:rPr>
          <w:rFonts w:ascii="Arial" w:hAnsi="Arial"/>
          <w:sz w:val="20"/>
        </w:rPr>
        <w:t>– 13.1 mL/hr) vs. long term (56 weeks – 16.8 mL/hr).</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i/>
          <w:sz w:val="20"/>
        </w:rPr>
      </w:pPr>
      <w:r>
        <w:rPr>
          <w:rFonts w:ascii="Arial" w:hAnsi="Arial"/>
          <w:i/>
          <w:sz w:val="20"/>
        </w:rPr>
        <w:t>Special Populations</w:t>
      </w:r>
    </w:p>
    <w:p w:rsidR="00E44F87" w:rsidRDefault="00E44F87">
      <w:pPr>
        <w:autoSpaceDE w:val="0"/>
        <w:autoSpaceDN w:val="0"/>
        <w:adjustRightInd w:val="0"/>
        <w:jc w:val="both"/>
        <w:rPr>
          <w:rFonts w:ascii="Arial" w:hAnsi="Arial"/>
          <w:sz w:val="20"/>
        </w:rPr>
      </w:pPr>
      <w:r>
        <w:rPr>
          <w:rFonts w:ascii="Arial" w:hAnsi="Arial"/>
          <w:sz w:val="20"/>
        </w:rPr>
        <w:t xml:space="preserve">Pharmacokinetics in special populations </w:t>
      </w:r>
      <w:proofErr w:type="gramStart"/>
      <w:r>
        <w:rPr>
          <w:rFonts w:ascii="Arial" w:hAnsi="Arial"/>
          <w:sz w:val="20"/>
        </w:rPr>
        <w:t>were</w:t>
      </w:r>
      <w:proofErr w:type="gramEnd"/>
      <w:r>
        <w:rPr>
          <w:rFonts w:ascii="Arial" w:hAnsi="Arial"/>
          <w:sz w:val="20"/>
        </w:rPr>
        <w:t xml:space="preserve"> investigated using population pharmacokinetic analyses.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i/>
          <w:sz w:val="20"/>
        </w:rPr>
      </w:pPr>
      <w:r>
        <w:rPr>
          <w:rFonts w:ascii="Arial" w:hAnsi="Arial"/>
          <w:i/>
          <w:sz w:val="20"/>
        </w:rPr>
        <w:t>Geriatrics</w:t>
      </w:r>
    </w:p>
    <w:p w:rsidR="00E44F87" w:rsidRDefault="00E44F87">
      <w:pPr>
        <w:autoSpaceDE w:val="0"/>
        <w:autoSpaceDN w:val="0"/>
        <w:adjustRightInd w:val="0"/>
        <w:jc w:val="both"/>
        <w:rPr>
          <w:rFonts w:ascii="Arial" w:hAnsi="Arial"/>
          <w:sz w:val="20"/>
        </w:rPr>
      </w:pPr>
      <w:r>
        <w:rPr>
          <w:rFonts w:ascii="Arial" w:hAnsi="Arial"/>
          <w:sz w:val="20"/>
        </w:rPr>
        <w:t xml:space="preserve">Adalimumab’s apparent clearance decreases slightly with increasing age.  From the population analyses, the mean weight-adjusted clearances in patients 40 to 65 years (n=850) and </w:t>
      </w:r>
      <w:r>
        <w:rPr>
          <w:rFonts w:ascii="Arial" w:hAnsi="Arial"/>
          <w:sz w:val="20"/>
        </w:rPr>
        <w:sym w:font="Symbol" w:char="F0B3"/>
      </w:r>
      <w:r>
        <w:rPr>
          <w:rFonts w:ascii="Arial" w:hAnsi="Arial"/>
          <w:sz w:val="20"/>
        </w:rPr>
        <w:t xml:space="preserve"> 65 years (n=287) were 0.33 and 0.30 mL/h/kg, respectively.</w:t>
      </w:r>
    </w:p>
    <w:p w:rsidR="00E44F87" w:rsidRDefault="00E44F87">
      <w:pPr>
        <w:autoSpaceDE w:val="0"/>
        <w:autoSpaceDN w:val="0"/>
        <w:adjustRightInd w:val="0"/>
        <w:jc w:val="both"/>
        <w:rPr>
          <w:rFonts w:ascii="Arial" w:hAnsi="Arial"/>
          <w:b/>
          <w:bCs/>
          <w:sz w:val="20"/>
        </w:rPr>
      </w:pPr>
    </w:p>
    <w:p w:rsidR="00E44F87" w:rsidRDefault="00E44F87">
      <w:pPr>
        <w:tabs>
          <w:tab w:val="left" w:pos="3120"/>
        </w:tabs>
        <w:autoSpaceDE w:val="0"/>
        <w:autoSpaceDN w:val="0"/>
        <w:adjustRightInd w:val="0"/>
        <w:jc w:val="both"/>
        <w:rPr>
          <w:rFonts w:ascii="Arial" w:hAnsi="Arial"/>
          <w:i/>
          <w:sz w:val="20"/>
        </w:rPr>
      </w:pPr>
      <w:r>
        <w:rPr>
          <w:rFonts w:ascii="Arial" w:hAnsi="Arial"/>
          <w:i/>
          <w:sz w:val="20"/>
        </w:rPr>
        <w:t>Paediatrics</w:t>
      </w:r>
      <w:r>
        <w:rPr>
          <w:rFonts w:ascii="Arial" w:hAnsi="Arial"/>
          <w:i/>
          <w:sz w:val="20"/>
        </w:rPr>
        <w:tab/>
      </w:r>
    </w:p>
    <w:p w:rsidR="00E44F87" w:rsidRDefault="00E44F87">
      <w:pPr>
        <w:autoSpaceDE w:val="0"/>
        <w:autoSpaceDN w:val="0"/>
        <w:adjustRightInd w:val="0"/>
        <w:jc w:val="both"/>
        <w:rPr>
          <w:rFonts w:ascii="Arial" w:hAnsi="Arial"/>
          <w:sz w:val="20"/>
        </w:rPr>
      </w:pPr>
      <w:r>
        <w:rPr>
          <w:rFonts w:ascii="Arial" w:hAnsi="Arial"/>
          <w:sz w:val="20"/>
        </w:rPr>
        <w:t>Humira has not been studied in children except for the investigation in polyarticula</w:t>
      </w:r>
      <w:r w:rsidR="007E72F2">
        <w:rPr>
          <w:rFonts w:ascii="Arial" w:hAnsi="Arial"/>
          <w:sz w:val="20"/>
        </w:rPr>
        <w:t>r juvenile idiopathic arthritis and paediatric Crohn’s disease.</w:t>
      </w:r>
    </w:p>
    <w:p w:rsidR="007E72F2" w:rsidRDefault="007E72F2">
      <w:pPr>
        <w:autoSpaceDE w:val="0"/>
        <w:autoSpaceDN w:val="0"/>
        <w:adjustRightInd w:val="0"/>
        <w:jc w:val="both"/>
        <w:rPr>
          <w:rFonts w:ascii="Arial" w:hAnsi="Arial"/>
          <w:sz w:val="20"/>
        </w:rPr>
      </w:pPr>
    </w:p>
    <w:p w:rsidR="007E72F2" w:rsidRDefault="007E72F2">
      <w:pPr>
        <w:autoSpaceDE w:val="0"/>
        <w:autoSpaceDN w:val="0"/>
        <w:adjustRightInd w:val="0"/>
        <w:jc w:val="both"/>
        <w:rPr>
          <w:rFonts w:ascii="Arial" w:hAnsi="Arial"/>
          <w:sz w:val="20"/>
        </w:rPr>
      </w:pPr>
      <w:r>
        <w:rPr>
          <w:rFonts w:ascii="Arial" w:hAnsi="Arial"/>
          <w:sz w:val="20"/>
        </w:rPr>
        <w:t xml:space="preserve">In subjects with polyarticular juvenile idiopathic arthritis (4 to 17 years of age), the mean steady-state trough serum adalimumab concentrations for subjects weighing &lt;30 kg receiving 20 mg Humira subcutaneously fortnightly as monotherapy or with concomitant methotrexate were 6.8 </w:t>
      </w:r>
      <w:r>
        <w:rPr>
          <w:rFonts w:ascii="Arial" w:hAnsi="Arial" w:hint="eastAsia"/>
          <w:sz w:val="20"/>
        </w:rPr>
        <w:t>mcg/mL</w:t>
      </w:r>
      <w:r>
        <w:rPr>
          <w:rFonts w:ascii="Arial" w:hAnsi="Arial"/>
          <w:sz w:val="20"/>
        </w:rPr>
        <w:t xml:space="preserve"> and 10.9 </w:t>
      </w:r>
      <w:r>
        <w:rPr>
          <w:rFonts w:ascii="Arial" w:hAnsi="Arial" w:hint="eastAsia"/>
          <w:sz w:val="20"/>
        </w:rPr>
        <w:t>mcg/mL</w:t>
      </w:r>
      <w:r>
        <w:rPr>
          <w:rFonts w:ascii="Arial" w:hAnsi="Arial"/>
          <w:sz w:val="20"/>
        </w:rPr>
        <w:t xml:space="preserve">, respectively. The mean steady-state trough serum adalimumab concentrations for subjects weighing </w:t>
      </w:r>
      <w:r>
        <w:rPr>
          <w:rFonts w:ascii="Arial" w:hAnsi="Arial" w:hint="eastAsia"/>
          <w:sz w:val="20"/>
        </w:rPr>
        <w:t>≥</w:t>
      </w:r>
      <w:r>
        <w:rPr>
          <w:rFonts w:ascii="Arial" w:hAnsi="Arial"/>
          <w:sz w:val="20"/>
        </w:rPr>
        <w:t xml:space="preserve">30 kg receiving 40 mg Humira subcutaneously fortnightly as monotherapy or with concomitant methotrexate were </w:t>
      </w:r>
      <w:proofErr w:type="gramStart"/>
      <w:r>
        <w:rPr>
          <w:rFonts w:ascii="Arial" w:hAnsi="Arial"/>
          <w:sz w:val="20"/>
        </w:rPr>
        <w:t xml:space="preserve">6.6 </w:t>
      </w:r>
      <w:r>
        <w:rPr>
          <w:rFonts w:ascii="Arial" w:hAnsi="Arial" w:hint="eastAsia"/>
          <w:sz w:val="20"/>
        </w:rPr>
        <w:t>mcg/mL</w:t>
      </w:r>
      <w:proofErr w:type="gramEnd"/>
      <w:r>
        <w:rPr>
          <w:rFonts w:ascii="Arial" w:hAnsi="Arial"/>
          <w:sz w:val="20"/>
        </w:rPr>
        <w:t xml:space="preserve"> and 8.1 </w:t>
      </w:r>
      <w:r>
        <w:rPr>
          <w:rFonts w:ascii="Arial" w:hAnsi="Arial" w:hint="eastAsia"/>
          <w:sz w:val="20"/>
        </w:rPr>
        <w:t>mcg/mL</w:t>
      </w:r>
      <w:r>
        <w:rPr>
          <w:rFonts w:ascii="Arial" w:hAnsi="Arial"/>
          <w:sz w:val="20"/>
        </w:rPr>
        <w:t>, respectively.</w:t>
      </w:r>
    </w:p>
    <w:p w:rsidR="00C647D9" w:rsidRDefault="00C647D9">
      <w:pPr>
        <w:autoSpaceDE w:val="0"/>
        <w:autoSpaceDN w:val="0"/>
        <w:adjustRightInd w:val="0"/>
        <w:jc w:val="both"/>
        <w:rPr>
          <w:rFonts w:ascii="Arial" w:hAnsi="Arial"/>
          <w:sz w:val="20"/>
        </w:rPr>
      </w:pPr>
    </w:p>
    <w:p w:rsidR="00C647D9" w:rsidRDefault="00C647D9" w:rsidP="00C647D9">
      <w:pPr>
        <w:autoSpaceDE w:val="0"/>
        <w:autoSpaceDN w:val="0"/>
        <w:adjustRightInd w:val="0"/>
        <w:jc w:val="both"/>
        <w:rPr>
          <w:rFonts w:ascii="Arial" w:hAnsi="Arial"/>
          <w:sz w:val="20"/>
        </w:rPr>
      </w:pPr>
      <w:r w:rsidRPr="00E916CF">
        <w:rPr>
          <w:rFonts w:ascii="Arial" w:hAnsi="Arial"/>
          <w:sz w:val="20"/>
        </w:rPr>
        <w:t>In p</w:t>
      </w:r>
      <w:r>
        <w:rPr>
          <w:rFonts w:ascii="Arial" w:hAnsi="Arial"/>
          <w:sz w:val="20"/>
        </w:rPr>
        <w:t>a</w:t>
      </w:r>
      <w:r w:rsidRPr="00E916CF">
        <w:rPr>
          <w:rFonts w:ascii="Arial" w:hAnsi="Arial"/>
          <w:sz w:val="20"/>
        </w:rPr>
        <w:t>ediatric patients with moderately to severely active</w:t>
      </w:r>
      <w:r>
        <w:rPr>
          <w:rFonts w:ascii="Arial" w:hAnsi="Arial"/>
          <w:sz w:val="20"/>
        </w:rPr>
        <w:t xml:space="preserve"> </w:t>
      </w:r>
      <w:r w:rsidRPr="00E916CF">
        <w:rPr>
          <w:rFonts w:ascii="Arial" w:hAnsi="Arial"/>
          <w:sz w:val="20"/>
        </w:rPr>
        <w:t>Crohn</w:t>
      </w:r>
      <w:r>
        <w:rPr>
          <w:rFonts w:ascii="Arial" w:hAnsi="Arial"/>
          <w:sz w:val="20"/>
        </w:rPr>
        <w:t>’</w:t>
      </w:r>
      <w:r w:rsidRPr="00E916CF">
        <w:rPr>
          <w:rFonts w:ascii="Arial" w:hAnsi="Arial"/>
          <w:sz w:val="20"/>
        </w:rPr>
        <w:t>s disease, the open-label adalimumab induction</w:t>
      </w:r>
      <w:r>
        <w:rPr>
          <w:rFonts w:ascii="Arial" w:hAnsi="Arial"/>
          <w:sz w:val="20"/>
        </w:rPr>
        <w:t xml:space="preserve"> </w:t>
      </w:r>
      <w:r w:rsidRPr="00E916CF">
        <w:rPr>
          <w:rFonts w:ascii="Arial" w:hAnsi="Arial"/>
          <w:sz w:val="20"/>
        </w:rPr>
        <w:t>dose was 160/80 mg or 80/40 mg at Weeks 0 and 2,</w:t>
      </w:r>
      <w:r>
        <w:rPr>
          <w:rFonts w:ascii="Arial" w:hAnsi="Arial"/>
          <w:sz w:val="20"/>
        </w:rPr>
        <w:t xml:space="preserve"> </w:t>
      </w:r>
      <w:r w:rsidRPr="00E916CF">
        <w:rPr>
          <w:rFonts w:ascii="Arial" w:hAnsi="Arial"/>
          <w:sz w:val="20"/>
        </w:rPr>
        <w:t>respectively, dependent on a body weight cut-off of 40</w:t>
      </w:r>
      <w:r>
        <w:rPr>
          <w:rFonts w:ascii="Arial" w:hAnsi="Arial"/>
          <w:sz w:val="20"/>
        </w:rPr>
        <w:t xml:space="preserve"> </w:t>
      </w:r>
      <w:r w:rsidRPr="00E916CF">
        <w:rPr>
          <w:rFonts w:ascii="Arial" w:hAnsi="Arial"/>
          <w:sz w:val="20"/>
        </w:rPr>
        <w:t>kg. At Week 4, subjects were randomized 1:1 to either</w:t>
      </w:r>
      <w:r>
        <w:rPr>
          <w:rFonts w:ascii="Arial" w:hAnsi="Arial"/>
          <w:sz w:val="20"/>
        </w:rPr>
        <w:t xml:space="preserve"> </w:t>
      </w:r>
      <w:r w:rsidRPr="00E916CF">
        <w:rPr>
          <w:rFonts w:ascii="Arial" w:hAnsi="Arial"/>
          <w:sz w:val="20"/>
        </w:rPr>
        <w:t xml:space="preserve">the Standard Dose (40/20 mg </w:t>
      </w:r>
      <w:r>
        <w:rPr>
          <w:rFonts w:ascii="Arial" w:hAnsi="Arial"/>
          <w:sz w:val="20"/>
        </w:rPr>
        <w:t>fortnightly</w:t>
      </w:r>
      <w:r w:rsidRPr="00E916CF">
        <w:rPr>
          <w:rFonts w:ascii="Arial" w:hAnsi="Arial"/>
          <w:sz w:val="20"/>
        </w:rPr>
        <w:t>) or Low Dose</w:t>
      </w:r>
      <w:r>
        <w:rPr>
          <w:rFonts w:ascii="Arial" w:hAnsi="Arial"/>
          <w:sz w:val="20"/>
        </w:rPr>
        <w:t xml:space="preserve"> </w:t>
      </w:r>
      <w:r w:rsidRPr="00E916CF">
        <w:rPr>
          <w:rFonts w:ascii="Arial" w:hAnsi="Arial"/>
          <w:sz w:val="20"/>
        </w:rPr>
        <w:t xml:space="preserve">(20/10 mg </w:t>
      </w:r>
      <w:r>
        <w:rPr>
          <w:rFonts w:ascii="Arial" w:hAnsi="Arial"/>
          <w:sz w:val="20"/>
        </w:rPr>
        <w:t>fortnightly</w:t>
      </w:r>
      <w:r w:rsidRPr="00E916CF">
        <w:rPr>
          <w:rFonts w:ascii="Arial" w:hAnsi="Arial"/>
          <w:sz w:val="20"/>
        </w:rPr>
        <w:t>) maintenance treatment groups based</w:t>
      </w:r>
      <w:r>
        <w:rPr>
          <w:rFonts w:ascii="Arial" w:hAnsi="Arial"/>
          <w:sz w:val="20"/>
        </w:rPr>
        <w:t xml:space="preserve"> </w:t>
      </w:r>
      <w:r w:rsidRPr="00E916CF">
        <w:rPr>
          <w:rFonts w:ascii="Arial" w:hAnsi="Arial"/>
          <w:sz w:val="20"/>
        </w:rPr>
        <w:t>on their body weight. The mean (±SD) serum</w:t>
      </w:r>
      <w:r>
        <w:rPr>
          <w:rFonts w:ascii="Arial" w:hAnsi="Arial"/>
          <w:sz w:val="20"/>
        </w:rPr>
        <w:t xml:space="preserve"> </w:t>
      </w:r>
      <w:r w:rsidRPr="00E916CF">
        <w:rPr>
          <w:rFonts w:ascii="Arial" w:hAnsi="Arial"/>
          <w:sz w:val="20"/>
        </w:rPr>
        <w:t>adalimumab trough concentrations achieved at Week 4</w:t>
      </w:r>
      <w:r>
        <w:rPr>
          <w:rFonts w:ascii="Arial" w:hAnsi="Arial"/>
          <w:sz w:val="20"/>
        </w:rPr>
        <w:t xml:space="preserve"> </w:t>
      </w:r>
      <w:r w:rsidRPr="00E916CF">
        <w:rPr>
          <w:rFonts w:ascii="Arial" w:hAnsi="Arial"/>
          <w:sz w:val="20"/>
        </w:rPr>
        <w:t>we</w:t>
      </w:r>
      <w:r>
        <w:rPr>
          <w:rFonts w:ascii="Arial" w:hAnsi="Arial"/>
          <w:sz w:val="20"/>
        </w:rPr>
        <w:t xml:space="preserve">re 15.7±6.6 mcg/mL for subjects </w:t>
      </w:r>
      <w:r>
        <w:rPr>
          <w:rFonts w:ascii="Arial" w:hAnsi="Arial" w:cs="Arial"/>
          <w:sz w:val="20"/>
          <w:u w:val="single"/>
        </w:rPr>
        <w:t>≥</w:t>
      </w:r>
      <w:r w:rsidRPr="00E916CF">
        <w:rPr>
          <w:rFonts w:ascii="Arial" w:hAnsi="Arial"/>
          <w:sz w:val="20"/>
        </w:rPr>
        <w:t xml:space="preserve"> 40 kg (160/80</w:t>
      </w:r>
      <w:r>
        <w:rPr>
          <w:rFonts w:ascii="Arial" w:hAnsi="Arial"/>
          <w:sz w:val="20"/>
        </w:rPr>
        <w:t xml:space="preserve"> mg) and 10.6±6.1 mc</w:t>
      </w:r>
      <w:r w:rsidRPr="00E916CF">
        <w:rPr>
          <w:rFonts w:ascii="Arial" w:hAnsi="Arial"/>
          <w:sz w:val="20"/>
        </w:rPr>
        <w:t>g/mL for subjects &lt; 40 kg (80/40</w:t>
      </w:r>
      <w:r>
        <w:rPr>
          <w:rFonts w:ascii="Arial" w:hAnsi="Arial"/>
          <w:sz w:val="20"/>
        </w:rPr>
        <w:t>mg).</w:t>
      </w:r>
    </w:p>
    <w:p w:rsidR="00C647D9" w:rsidRDefault="00C647D9" w:rsidP="00C647D9">
      <w:pPr>
        <w:autoSpaceDE w:val="0"/>
        <w:autoSpaceDN w:val="0"/>
        <w:adjustRightInd w:val="0"/>
        <w:jc w:val="both"/>
        <w:rPr>
          <w:rFonts w:ascii="Arial" w:hAnsi="Arial"/>
          <w:sz w:val="20"/>
        </w:rPr>
      </w:pPr>
    </w:p>
    <w:p w:rsidR="00C647D9" w:rsidRDefault="00C647D9" w:rsidP="00C647D9">
      <w:pPr>
        <w:autoSpaceDE w:val="0"/>
        <w:autoSpaceDN w:val="0"/>
        <w:adjustRightInd w:val="0"/>
        <w:jc w:val="both"/>
        <w:rPr>
          <w:rFonts w:ascii="Arial" w:hAnsi="Arial"/>
          <w:sz w:val="20"/>
        </w:rPr>
      </w:pPr>
      <w:r w:rsidRPr="00E916CF">
        <w:rPr>
          <w:rFonts w:ascii="Arial" w:hAnsi="Arial"/>
          <w:sz w:val="20"/>
        </w:rPr>
        <w:t>For subjects who stayed on their randomized therapy,</w:t>
      </w:r>
      <w:r>
        <w:rPr>
          <w:rFonts w:ascii="Arial" w:hAnsi="Arial"/>
          <w:sz w:val="20"/>
        </w:rPr>
        <w:t xml:space="preserve"> </w:t>
      </w:r>
      <w:r w:rsidRPr="00E916CF">
        <w:rPr>
          <w:rFonts w:ascii="Arial" w:hAnsi="Arial"/>
          <w:sz w:val="20"/>
        </w:rPr>
        <w:t>the mean (±SD) adalimumab trough concentrations at</w:t>
      </w:r>
      <w:r>
        <w:rPr>
          <w:rFonts w:ascii="Arial" w:hAnsi="Arial"/>
          <w:sz w:val="20"/>
        </w:rPr>
        <w:t xml:space="preserve"> </w:t>
      </w:r>
      <w:r w:rsidRPr="00E916CF">
        <w:rPr>
          <w:rFonts w:ascii="Arial" w:hAnsi="Arial"/>
          <w:sz w:val="20"/>
        </w:rPr>
        <w:t xml:space="preserve">Week 52 were 9.5±5.6 </w:t>
      </w:r>
      <w:r>
        <w:rPr>
          <w:rFonts w:ascii="Arial" w:hAnsi="Arial"/>
          <w:sz w:val="20"/>
        </w:rPr>
        <w:t>mc</w:t>
      </w:r>
      <w:r w:rsidRPr="00E916CF">
        <w:rPr>
          <w:rFonts w:ascii="Arial" w:hAnsi="Arial"/>
          <w:sz w:val="20"/>
        </w:rPr>
        <w:t>g/mL for the Standard Dose</w:t>
      </w:r>
      <w:r>
        <w:rPr>
          <w:rFonts w:ascii="Arial" w:hAnsi="Arial"/>
          <w:sz w:val="20"/>
        </w:rPr>
        <w:t xml:space="preserve"> group and 3.5±2.2 mc</w:t>
      </w:r>
      <w:r w:rsidRPr="00E916CF">
        <w:rPr>
          <w:rFonts w:ascii="Arial" w:hAnsi="Arial"/>
          <w:sz w:val="20"/>
        </w:rPr>
        <w:t>g/mL for the Low Dose group.</w:t>
      </w:r>
      <w:r>
        <w:rPr>
          <w:rFonts w:ascii="Arial" w:hAnsi="Arial"/>
          <w:sz w:val="20"/>
        </w:rPr>
        <w:t xml:space="preserve"> </w:t>
      </w:r>
      <w:r w:rsidRPr="00E916CF">
        <w:rPr>
          <w:rFonts w:ascii="Arial" w:hAnsi="Arial"/>
          <w:sz w:val="20"/>
        </w:rPr>
        <w:t>The mean trough concentrations were maintained in</w:t>
      </w:r>
      <w:r>
        <w:rPr>
          <w:rFonts w:ascii="Arial" w:hAnsi="Arial"/>
          <w:sz w:val="20"/>
        </w:rPr>
        <w:t xml:space="preserve"> </w:t>
      </w:r>
      <w:r w:rsidRPr="00E916CF">
        <w:rPr>
          <w:rFonts w:ascii="Arial" w:hAnsi="Arial"/>
          <w:sz w:val="20"/>
        </w:rPr>
        <w:t>subjects who continued to receive adalimumab</w:t>
      </w:r>
      <w:r>
        <w:rPr>
          <w:rFonts w:ascii="Arial" w:hAnsi="Arial"/>
          <w:sz w:val="20"/>
        </w:rPr>
        <w:t xml:space="preserve"> </w:t>
      </w:r>
      <w:r w:rsidRPr="00E916CF">
        <w:rPr>
          <w:rFonts w:ascii="Arial" w:hAnsi="Arial"/>
          <w:sz w:val="20"/>
        </w:rPr>
        <w:t xml:space="preserve">treatment </w:t>
      </w:r>
      <w:r>
        <w:rPr>
          <w:rFonts w:ascii="Arial" w:hAnsi="Arial"/>
          <w:sz w:val="20"/>
        </w:rPr>
        <w:t>fortnightly</w:t>
      </w:r>
      <w:r w:rsidRPr="00E916CF">
        <w:rPr>
          <w:rFonts w:ascii="Arial" w:hAnsi="Arial"/>
          <w:sz w:val="20"/>
        </w:rPr>
        <w:t xml:space="preserve"> for 52 weeks. For subjects who dose</w:t>
      </w:r>
      <w:r>
        <w:rPr>
          <w:rFonts w:ascii="Arial" w:hAnsi="Arial"/>
          <w:sz w:val="20"/>
        </w:rPr>
        <w:t xml:space="preserve"> </w:t>
      </w:r>
      <w:r w:rsidRPr="00E916CF">
        <w:rPr>
          <w:rFonts w:ascii="Arial" w:hAnsi="Arial"/>
          <w:sz w:val="20"/>
        </w:rPr>
        <w:t xml:space="preserve">escalated from </w:t>
      </w:r>
      <w:r>
        <w:rPr>
          <w:rFonts w:ascii="Arial" w:hAnsi="Arial"/>
          <w:sz w:val="20"/>
        </w:rPr>
        <w:t>fortnightly</w:t>
      </w:r>
      <w:r w:rsidRPr="00E916CF">
        <w:rPr>
          <w:rFonts w:ascii="Arial" w:hAnsi="Arial"/>
          <w:sz w:val="20"/>
        </w:rPr>
        <w:t xml:space="preserve"> to weekly regimen, the mean</w:t>
      </w:r>
      <w:r>
        <w:rPr>
          <w:rFonts w:ascii="Arial" w:hAnsi="Arial"/>
          <w:sz w:val="20"/>
        </w:rPr>
        <w:t xml:space="preserve"> </w:t>
      </w:r>
      <w:r w:rsidRPr="00E916CF">
        <w:rPr>
          <w:rFonts w:ascii="Arial" w:hAnsi="Arial"/>
          <w:sz w:val="20"/>
        </w:rPr>
        <w:t>(±SD) serum concentrations of adalimumab at Week</w:t>
      </w:r>
      <w:r>
        <w:rPr>
          <w:rFonts w:ascii="Arial" w:hAnsi="Arial"/>
          <w:sz w:val="20"/>
        </w:rPr>
        <w:t xml:space="preserve"> 52 were 15.3±11.4 mcg/mL (40/20</w:t>
      </w:r>
      <w:r w:rsidRPr="00E916CF">
        <w:rPr>
          <w:rFonts w:ascii="Arial" w:hAnsi="Arial"/>
          <w:sz w:val="20"/>
        </w:rPr>
        <w:t>mg, weekly) and</w:t>
      </w:r>
      <w:r>
        <w:rPr>
          <w:rFonts w:ascii="Arial" w:hAnsi="Arial"/>
          <w:sz w:val="20"/>
        </w:rPr>
        <w:t xml:space="preserve"> 6.7±3.5 mc</w:t>
      </w:r>
      <w:r w:rsidRPr="00E916CF">
        <w:rPr>
          <w:rFonts w:ascii="Arial" w:hAnsi="Arial"/>
          <w:sz w:val="20"/>
        </w:rPr>
        <w:t>g/mL (20/10 mg, weekly).</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i/>
          <w:sz w:val="20"/>
        </w:rPr>
      </w:pPr>
      <w:r>
        <w:rPr>
          <w:rFonts w:ascii="Arial" w:hAnsi="Arial"/>
          <w:i/>
          <w:sz w:val="20"/>
        </w:rPr>
        <w:t>Gender</w:t>
      </w:r>
    </w:p>
    <w:p w:rsidR="00E44F87" w:rsidRDefault="00E44F87">
      <w:pPr>
        <w:autoSpaceDE w:val="0"/>
        <w:autoSpaceDN w:val="0"/>
        <w:adjustRightInd w:val="0"/>
        <w:jc w:val="both"/>
        <w:rPr>
          <w:rFonts w:ascii="Arial" w:hAnsi="Arial"/>
          <w:sz w:val="20"/>
        </w:rPr>
      </w:pPr>
      <w:r>
        <w:rPr>
          <w:rFonts w:ascii="Arial" w:hAnsi="Arial"/>
          <w:sz w:val="20"/>
        </w:rPr>
        <w:t>No gender-related pharmacokinetic differences were observed after correction for a patient’s body weight.</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i/>
          <w:sz w:val="20"/>
        </w:rPr>
      </w:pPr>
      <w:r>
        <w:rPr>
          <w:rFonts w:ascii="Arial" w:hAnsi="Arial"/>
          <w:i/>
          <w:sz w:val="20"/>
        </w:rPr>
        <w:t>Race</w:t>
      </w:r>
    </w:p>
    <w:p w:rsidR="00E44F87" w:rsidRDefault="00E44F87">
      <w:pPr>
        <w:autoSpaceDE w:val="0"/>
        <w:autoSpaceDN w:val="0"/>
        <w:adjustRightInd w:val="0"/>
        <w:jc w:val="both"/>
        <w:rPr>
          <w:rFonts w:ascii="Arial" w:hAnsi="Arial"/>
          <w:sz w:val="20"/>
        </w:rPr>
      </w:pPr>
      <w:r>
        <w:rPr>
          <w:rFonts w:ascii="Arial" w:hAnsi="Arial"/>
          <w:sz w:val="20"/>
        </w:rPr>
        <w:t>No differences in immunoglobulin clearance would be expected among races. From limited data in non-Caucasians, no important kinetic differences were observed for adalimumab.</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i/>
          <w:sz w:val="20"/>
        </w:rPr>
      </w:pPr>
      <w:r>
        <w:rPr>
          <w:rFonts w:ascii="Arial" w:hAnsi="Arial"/>
          <w:i/>
          <w:sz w:val="20"/>
        </w:rPr>
        <w:t>Hepatic and Renal Insufficiency</w:t>
      </w:r>
    </w:p>
    <w:p w:rsidR="00E44F87" w:rsidRDefault="00E44F87">
      <w:pPr>
        <w:autoSpaceDE w:val="0"/>
        <w:autoSpaceDN w:val="0"/>
        <w:adjustRightInd w:val="0"/>
        <w:jc w:val="both"/>
        <w:rPr>
          <w:rFonts w:ascii="Arial" w:hAnsi="Arial"/>
          <w:sz w:val="20"/>
        </w:rPr>
      </w:pPr>
      <w:r>
        <w:rPr>
          <w:rFonts w:ascii="Arial" w:hAnsi="Arial"/>
          <w:sz w:val="20"/>
        </w:rPr>
        <w:t>No pharmacokinetic data are available in patients with hepatic or renal impairment.</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i/>
          <w:sz w:val="20"/>
        </w:rPr>
      </w:pPr>
      <w:r>
        <w:rPr>
          <w:rFonts w:ascii="Arial" w:hAnsi="Arial"/>
          <w:i/>
          <w:sz w:val="20"/>
        </w:rPr>
        <w:t>Disease States</w:t>
      </w:r>
    </w:p>
    <w:p w:rsidR="00E44F87" w:rsidRDefault="00E44F87">
      <w:pPr>
        <w:autoSpaceDE w:val="0"/>
        <w:autoSpaceDN w:val="0"/>
        <w:adjustRightInd w:val="0"/>
        <w:jc w:val="both"/>
        <w:rPr>
          <w:rFonts w:ascii="Arial" w:hAnsi="Arial"/>
          <w:sz w:val="20"/>
        </w:rPr>
      </w:pPr>
      <w:r>
        <w:rPr>
          <w:rFonts w:ascii="Arial" w:hAnsi="Arial"/>
          <w:sz w:val="20"/>
        </w:rPr>
        <w:t>Healthy volunteers and patients with RA displayed similar adalimumab pharmacokinetics.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i/>
          <w:sz w:val="20"/>
        </w:rPr>
      </w:pPr>
      <w:r>
        <w:rPr>
          <w:rFonts w:ascii="Arial" w:hAnsi="Arial"/>
          <w:i/>
          <w:sz w:val="20"/>
        </w:rPr>
        <w:t>Drug Interactions, Methotrexate</w:t>
      </w:r>
    </w:p>
    <w:p w:rsidR="00E44F87" w:rsidRDefault="00E44F87">
      <w:pPr>
        <w:autoSpaceDE w:val="0"/>
        <w:autoSpaceDN w:val="0"/>
        <w:adjustRightInd w:val="0"/>
        <w:jc w:val="both"/>
        <w:rPr>
          <w:rFonts w:ascii="Arial" w:hAnsi="Arial"/>
          <w:sz w:val="20"/>
        </w:rPr>
      </w:pPr>
      <w:r>
        <w:rPr>
          <w:rFonts w:ascii="Arial" w:hAnsi="Arial"/>
          <w:sz w:val="20"/>
        </w:rPr>
        <w:t xml:space="preserve">When Humira was administered to 21 RA patients on stable methotrexate therapy, there were no statistically significant changes in the serum methotrexate concentration profiles. In contrast, after single and multiple dosing, methotrexate reduced adalimumab’s apparent clearances by 29% and 44% respectively (see </w:t>
      </w:r>
      <w:r>
        <w:rPr>
          <w:rFonts w:ascii="Arial" w:hAnsi="Arial"/>
          <w:b/>
          <w:sz w:val="20"/>
        </w:rPr>
        <w:t xml:space="preserve">PRECAUTIONS – </w:t>
      </w:r>
      <w:r>
        <w:rPr>
          <w:rFonts w:ascii="Arial" w:hAnsi="Arial"/>
          <w:b/>
          <w:i/>
          <w:sz w:val="20"/>
        </w:rPr>
        <w:t>Drug Interactions</w:t>
      </w:r>
      <w:r>
        <w:rPr>
          <w:rFonts w:ascii="Arial" w:hAnsi="Arial"/>
          <w:bCs/>
          <w:sz w:val="20"/>
        </w:rPr>
        <w:t>)</w:t>
      </w:r>
      <w:r>
        <w:rPr>
          <w:rFonts w:ascii="Arial" w:hAnsi="Arial"/>
          <w:b/>
          <w:sz w:val="20"/>
        </w:rPr>
        <w:t xml:space="preserve">. </w:t>
      </w:r>
      <w:r>
        <w:rPr>
          <w:rFonts w:ascii="Arial" w:hAnsi="Arial"/>
          <w:sz w:val="20"/>
        </w:rPr>
        <w:t xml:space="preserve">This is consistent with the higher trough concentrations of adalimumab found in patients treated with concomitant methotrexate (see </w:t>
      </w:r>
      <w:r>
        <w:rPr>
          <w:rFonts w:ascii="Arial" w:hAnsi="Arial"/>
          <w:b/>
          <w:i/>
          <w:sz w:val="20"/>
        </w:rPr>
        <w:t xml:space="preserve">Pharmacokinetics </w:t>
      </w:r>
      <w:r>
        <w:rPr>
          <w:rFonts w:ascii="Arial" w:hAnsi="Arial"/>
          <w:i/>
          <w:sz w:val="20"/>
        </w:rPr>
        <w:t xml:space="preserve">- </w:t>
      </w:r>
      <w:r>
        <w:rPr>
          <w:rFonts w:ascii="Arial" w:hAnsi="Arial"/>
          <w:b/>
          <w:bCs/>
          <w:i/>
          <w:sz w:val="20"/>
        </w:rPr>
        <w:t>Steady State</w:t>
      </w:r>
      <w:r>
        <w:rPr>
          <w:rFonts w:ascii="Arial" w:hAnsi="Arial"/>
          <w:sz w:val="20"/>
        </w:rPr>
        <w:t xml:space="preserve">). </w:t>
      </w:r>
    </w:p>
    <w:p w:rsidR="00B468E5" w:rsidRDefault="00B468E5">
      <w:pPr>
        <w:autoSpaceDE w:val="0"/>
        <w:autoSpaceDN w:val="0"/>
        <w:adjustRightInd w:val="0"/>
        <w:jc w:val="both"/>
        <w:rPr>
          <w:rFonts w:ascii="Arial" w:hAnsi="Arial"/>
          <w:b/>
          <w:sz w:val="20"/>
        </w:rPr>
      </w:pPr>
    </w:p>
    <w:p w:rsidR="00E44F87" w:rsidRPr="00A868ED" w:rsidRDefault="00E44F87">
      <w:pPr>
        <w:autoSpaceDE w:val="0"/>
        <w:autoSpaceDN w:val="0"/>
        <w:adjustRightInd w:val="0"/>
        <w:jc w:val="both"/>
        <w:rPr>
          <w:rFonts w:ascii="Arial" w:hAnsi="Arial"/>
          <w:b/>
          <w:sz w:val="20"/>
        </w:rPr>
      </w:pPr>
      <w:r w:rsidRPr="00A868ED">
        <w:rPr>
          <w:rFonts w:ascii="Arial" w:hAnsi="Arial"/>
          <w:b/>
          <w:sz w:val="20"/>
        </w:rPr>
        <w:t>CLINICAL TRIALS FOR RHEUMATOID ARTHRITIS</w:t>
      </w:r>
    </w:p>
    <w:p w:rsidR="00E44F87" w:rsidRDefault="00E44F87">
      <w:pPr>
        <w:autoSpaceDE w:val="0"/>
        <w:autoSpaceDN w:val="0"/>
        <w:adjustRightInd w:val="0"/>
        <w:jc w:val="both"/>
        <w:rPr>
          <w:rFonts w:ascii="Arial" w:hAnsi="Arial"/>
          <w:b/>
          <w:sz w:val="20"/>
        </w:rPr>
      </w:pPr>
    </w:p>
    <w:p w:rsidR="00E44F87" w:rsidRDefault="00E44F87">
      <w:pPr>
        <w:autoSpaceDE w:val="0"/>
        <w:autoSpaceDN w:val="0"/>
        <w:adjustRightInd w:val="0"/>
        <w:jc w:val="both"/>
        <w:rPr>
          <w:rFonts w:ascii="Arial" w:hAnsi="Arial"/>
          <w:b/>
          <w:i/>
          <w:sz w:val="20"/>
        </w:rPr>
      </w:pPr>
      <w:r>
        <w:rPr>
          <w:rFonts w:ascii="Arial" w:hAnsi="Arial"/>
          <w:b/>
          <w:i/>
          <w:sz w:val="20"/>
        </w:rPr>
        <w:t>Description of Clinical Trials</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sz w:val="20"/>
        </w:rPr>
      </w:pPr>
      <w:r>
        <w:rPr>
          <w:rFonts w:ascii="Arial" w:hAnsi="Arial"/>
          <w:sz w:val="20"/>
        </w:rPr>
        <w:t xml:space="preserve">Humira was evaluated in over 3000 patients in all rheumatoid arthritis clinical trials. Some patients were treated for greater than 60 months duration. The efficacy and safety of Humira were assessed in five randomised, double-blind and well-controlled studies.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The primary efficacy endpoint in those studies was ACR20 response, equating to an at least 20% improvement from baseline in tender joint count, swollen joint count, and at least 3 of the 5 remaining ACR core set measures: Patient assessment of pain, patient global assessment of disease activity, physician global assessment of disease activity, patient self-assessed disability (HAQ), and erythrocyte sedimentation rate or CRP.</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RA Study I (DE009) evaluated 271 patients with moderately to severely active RA who were </w:t>
      </w:r>
      <w:r>
        <w:rPr>
          <w:rFonts w:ascii="Arial" w:hAnsi="Arial"/>
          <w:sz w:val="20"/>
        </w:rPr>
        <w:sym w:font="Symbol" w:char="F0B3"/>
      </w:r>
      <w:r>
        <w:rPr>
          <w:rFonts w:ascii="Arial" w:hAnsi="Arial"/>
          <w:sz w:val="20"/>
        </w:rPr>
        <w:t xml:space="preserve">18 years old, had failed therapy with at least one but no more than four disease - modifying anti-rheumatic drugs (DMARDs) and had insufficient efficacy with methotrexate at doses of 12.5 to 25 </w:t>
      </w:r>
      <w:proofErr w:type="gramStart"/>
      <w:r>
        <w:rPr>
          <w:rFonts w:ascii="Arial" w:hAnsi="Arial"/>
          <w:sz w:val="20"/>
        </w:rPr>
        <w:t>mg  (</w:t>
      </w:r>
      <w:proofErr w:type="gramEnd"/>
      <w:r>
        <w:rPr>
          <w:rFonts w:ascii="Arial" w:hAnsi="Arial"/>
          <w:sz w:val="20"/>
        </w:rPr>
        <w:t xml:space="preserve">10 mg if methotrexate-intolerant) every week and whose methotrexate dose remained constant at 10 to 25 mg every week. Patients had </w:t>
      </w:r>
      <w:r>
        <w:rPr>
          <w:rFonts w:ascii="Arial" w:hAnsi="Arial"/>
          <w:sz w:val="20"/>
        </w:rPr>
        <w:sym w:font="Symbol" w:char="F0B3"/>
      </w:r>
      <w:r>
        <w:rPr>
          <w:rFonts w:ascii="Arial" w:hAnsi="Arial"/>
          <w:sz w:val="20"/>
        </w:rPr>
        <w:t xml:space="preserve"> 6 swollen joints and </w:t>
      </w:r>
      <w:r>
        <w:rPr>
          <w:rFonts w:ascii="Arial" w:hAnsi="Arial"/>
          <w:sz w:val="20"/>
        </w:rPr>
        <w:sym w:font="Symbol" w:char="F0B3"/>
      </w:r>
      <w:r>
        <w:rPr>
          <w:rFonts w:ascii="Arial" w:hAnsi="Arial"/>
          <w:sz w:val="20"/>
        </w:rPr>
        <w:t xml:space="preserve"> 9 tender joints and RA diagnosed according to ACR criteria. Doses of 20, 40 or 80 mg of Humira or placebo were given fortnightly for 24 weeks.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RA Study II (DE011) evaluated 544 patients with moderately to severely active RA who were </w:t>
      </w:r>
      <w:r>
        <w:rPr>
          <w:rFonts w:ascii="Arial" w:hAnsi="Arial"/>
          <w:sz w:val="20"/>
        </w:rPr>
        <w:sym w:font="Symbol" w:char="F0B3"/>
      </w:r>
      <w:r>
        <w:rPr>
          <w:rFonts w:ascii="Arial" w:hAnsi="Arial"/>
          <w:sz w:val="20"/>
        </w:rPr>
        <w:t xml:space="preserve">18 years old and had failed therapy with at least one DMARD. Patients, who were not permitted methotrexate or other DMARDs during the study, had </w:t>
      </w:r>
      <w:r>
        <w:rPr>
          <w:rFonts w:ascii="Arial" w:hAnsi="Arial"/>
          <w:sz w:val="20"/>
        </w:rPr>
        <w:sym w:font="Symbol" w:char="F0B3"/>
      </w:r>
      <w:r>
        <w:rPr>
          <w:rFonts w:ascii="Arial" w:hAnsi="Arial"/>
          <w:sz w:val="20"/>
        </w:rPr>
        <w:t xml:space="preserve"> 10 swollen joints and </w:t>
      </w:r>
      <w:r>
        <w:rPr>
          <w:rFonts w:ascii="Arial" w:hAnsi="Arial"/>
          <w:sz w:val="20"/>
        </w:rPr>
        <w:sym w:font="Symbol" w:char="F0B3"/>
      </w:r>
      <w:r>
        <w:rPr>
          <w:rFonts w:ascii="Arial" w:hAnsi="Arial"/>
          <w:sz w:val="20"/>
        </w:rPr>
        <w:t xml:space="preserve">12 tender joints and were also diagnosed according to ACR criteria. Doses of 20 or 40 mg of Humira were given by subcutaneous injection fortnightly with placebo on alternative weeks or every week for 26 weeks; placebo was given every week for the same duration. </w:t>
      </w:r>
    </w:p>
    <w:p w:rsidR="00E44F87" w:rsidRDefault="00E44F87">
      <w:pPr>
        <w:autoSpaceDE w:val="0"/>
        <w:autoSpaceDN w:val="0"/>
        <w:adjustRightInd w:val="0"/>
        <w:jc w:val="both"/>
        <w:rPr>
          <w:rFonts w:ascii="Arial" w:hAnsi="Arial"/>
          <w:b/>
          <w:bCs/>
          <w:sz w:val="20"/>
        </w:rPr>
      </w:pPr>
    </w:p>
    <w:p w:rsidR="00E44F87" w:rsidRDefault="00E44F87">
      <w:pPr>
        <w:autoSpaceDE w:val="0"/>
        <w:autoSpaceDN w:val="0"/>
        <w:adjustRightInd w:val="0"/>
        <w:jc w:val="both"/>
        <w:rPr>
          <w:rFonts w:ascii="Arial" w:hAnsi="Arial"/>
          <w:b/>
          <w:bCs/>
          <w:color w:val="0000FF"/>
          <w:sz w:val="20"/>
        </w:rPr>
      </w:pPr>
      <w:r>
        <w:rPr>
          <w:rFonts w:ascii="Arial" w:hAnsi="Arial"/>
          <w:sz w:val="20"/>
        </w:rPr>
        <w:t xml:space="preserve">RA Study III (DE019) evaluated 619 patients with moderately to severely active RA who were </w:t>
      </w:r>
      <w:r>
        <w:rPr>
          <w:rFonts w:ascii="Arial" w:hAnsi="Arial"/>
          <w:sz w:val="20"/>
        </w:rPr>
        <w:sym w:font="Symbol" w:char="F0B3"/>
      </w:r>
      <w:r>
        <w:rPr>
          <w:rFonts w:ascii="Arial" w:hAnsi="Arial"/>
          <w:sz w:val="20"/>
        </w:rPr>
        <w:t xml:space="preserve"> 18 years old, had insufficient efficacy to methotrexate at doses of 12.5 to 25 mg (10 mg if methotrexate-intolerant) every week and whose methotrexate dose remained constant at 12.5 to 25 mg every week. Patients had </w:t>
      </w:r>
      <w:r>
        <w:rPr>
          <w:rFonts w:ascii="Arial" w:hAnsi="Arial"/>
          <w:sz w:val="20"/>
        </w:rPr>
        <w:sym w:font="Symbol" w:char="F0B3"/>
      </w:r>
      <w:r>
        <w:rPr>
          <w:rFonts w:ascii="Arial" w:hAnsi="Arial"/>
          <w:sz w:val="20"/>
        </w:rPr>
        <w:t xml:space="preserve"> 6 swollen joints and </w:t>
      </w:r>
      <w:r>
        <w:rPr>
          <w:rFonts w:ascii="Arial" w:hAnsi="Arial"/>
          <w:sz w:val="20"/>
        </w:rPr>
        <w:sym w:font="Symbol" w:char="F0B3"/>
      </w:r>
      <w:r>
        <w:rPr>
          <w:rFonts w:ascii="Arial" w:hAnsi="Arial"/>
          <w:sz w:val="20"/>
        </w:rPr>
        <w:t xml:space="preserve"> 9 tender joints and RA diagnosed according to ACR criteria. There were three groups in this study. The first received placebo injections every week for 52 weeks.  The second received 20 mg of Humira every week for 52 weeks. The third group received 40 mg of Humira fortnightly with placebo injections on alternate weeks.  Upon completion of the first 52 weeks, 457 patients enrolled in an open-label extension phase in which 40 mg of Humira/MTX was administered fortnightly, for up to 5 years. </w:t>
      </w:r>
      <w:r>
        <w:rPr>
          <w:rFonts w:ascii="Helv" w:hAnsi="Helv"/>
          <w:sz w:val="20"/>
          <w:szCs w:val="20"/>
          <w:lang w:eastAsia="de-DE"/>
        </w:rPr>
        <w:t>The objectives of this open-label extension were to evaluate the long-term safety and maintenance of efficacy of Humira in subjects with RA receiving concurrent MTX. The maintenance of efficacy was assessed by evaluating the effect of Humira on the signs and symptoms of RA, physical function, structural damage, rates of clinical remission and patient-reported outcomes. Of the 457 patients who entered the open-label extension, 53/457 (11.6%) subjects discontinued the study due to adverse events, and 16/457(3.5%) subjects discontinued because of a lack of efficacy/disease progression.</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RA Study IV (DE031) primarily assessed safety in 636 patients with moderately to severely active RA who were </w:t>
      </w:r>
      <w:r>
        <w:rPr>
          <w:rFonts w:ascii="Arial" w:hAnsi="Arial"/>
          <w:sz w:val="20"/>
        </w:rPr>
        <w:sym w:font="Symbol" w:char="F0B3"/>
      </w:r>
      <w:r>
        <w:rPr>
          <w:rFonts w:ascii="Arial" w:hAnsi="Arial"/>
          <w:sz w:val="20"/>
        </w:rPr>
        <w:t xml:space="preserve"> 18 years old.  These patients met the ACR criteria for diagnosis of RA for at least three months and had at least 6 swollen joints and 9 tender joints. Patients were permitted to be either DMARD</w:t>
      </w:r>
      <w:r>
        <w:rPr>
          <w:rFonts w:ascii="Arial" w:hAnsi="Arial" w:cs="Arial"/>
          <w:sz w:val="20"/>
          <w:lang w:eastAsia="de-DE"/>
        </w:rPr>
        <w:t xml:space="preserve"> naïve</w:t>
      </w:r>
      <w:r>
        <w:rPr>
          <w:rFonts w:ascii="Arial" w:hAnsi="Arial"/>
          <w:sz w:val="20"/>
        </w:rPr>
        <w:t xml:space="preserve"> or to remain on their pre-existing rheumatologic therapy provided that therapy was stable for a minimum of 28 days. Patients were randomised to 40 mg of Humira or placebo fortnightly for 24 weeks.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trike/>
          <w:sz w:val="20"/>
        </w:rPr>
      </w:pPr>
      <w:r>
        <w:rPr>
          <w:rFonts w:ascii="Arial" w:hAnsi="Arial"/>
          <w:sz w:val="20"/>
        </w:rPr>
        <w:t xml:space="preserve">RA </w:t>
      </w:r>
      <w:r>
        <w:rPr>
          <w:rFonts w:ascii="Arial" w:hAnsi="Arial" w:cs="Arial"/>
          <w:sz w:val="20"/>
          <w:lang w:eastAsia="de-DE"/>
        </w:rPr>
        <w:t>Study V (DE013) was an active comparator trial of 2 years duration, which randomised 799 adult methotrexate (MTX)-naïve patients with early RA (mean disease duration less than 9 months) to treatment with adalimumab 40 mg fortnightly alone, methotrexate up to 20 mg/week alone, or the combination of the two, for 104 weeks. 31.5% of patients in the MTX group, 33.2% in the adalimumab group, and 32.5% in the combination group had taken previous DMARDs. The mean duration of RA was 0.8 years, 0.7 years, and 0.7 years in the MTX alone, adalimumab alone, and combination groups, respectively. The mean Tender Joint Count (TJC 68) at baseline was 32.3, 31.8 and 30.7 for the three groups, and the Erosion Score was 13.6, 11.3 and 11.0, respectively.</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Results of all five trials were expressed in percentage of patients with improvement in RA using ACR response criteria. The primary endpoint in RA Studies I, II and III and the secondary endpoint in RA Study IV was the percent of patients who achieved an ACR20 response at Week 24 or 26.  The primary endpoint in RA Study V was the percent of patients who achieved an ACR50 response at Week 52.  RA Studies III and V had an additional primary endpoint at 52 weeks of retardation of disease progression (as detected by X-ray results).  RA Study III also had a primary endpoint of changes in quality of life.</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b/>
          <w:i/>
          <w:sz w:val="20"/>
        </w:rPr>
      </w:pPr>
      <w:r>
        <w:rPr>
          <w:rFonts w:ascii="Arial" w:hAnsi="Arial"/>
          <w:b/>
          <w:i/>
          <w:sz w:val="20"/>
        </w:rPr>
        <w:t>Clinical Response</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i/>
          <w:sz w:val="20"/>
        </w:rPr>
      </w:pPr>
      <w:r>
        <w:rPr>
          <w:rFonts w:ascii="Arial" w:hAnsi="Arial"/>
          <w:sz w:val="20"/>
        </w:rPr>
        <w:t>RA S</w:t>
      </w:r>
      <w:r>
        <w:rPr>
          <w:rFonts w:ascii="Arial" w:hAnsi="Arial"/>
          <w:i/>
          <w:sz w:val="20"/>
        </w:rPr>
        <w:t>tudies I, II and III</w:t>
      </w:r>
    </w:p>
    <w:p w:rsidR="00E44F87" w:rsidRDefault="00E44F87">
      <w:pPr>
        <w:autoSpaceDE w:val="0"/>
        <w:autoSpaceDN w:val="0"/>
        <w:adjustRightInd w:val="0"/>
        <w:jc w:val="both"/>
        <w:rPr>
          <w:rFonts w:ascii="Arial" w:hAnsi="Arial"/>
          <w:i/>
          <w:sz w:val="20"/>
        </w:rPr>
      </w:pPr>
    </w:p>
    <w:p w:rsidR="00E44F87" w:rsidRDefault="00E44F87">
      <w:pPr>
        <w:autoSpaceDE w:val="0"/>
        <w:autoSpaceDN w:val="0"/>
        <w:adjustRightInd w:val="0"/>
        <w:jc w:val="both"/>
        <w:rPr>
          <w:rFonts w:ascii="Arial" w:hAnsi="Arial"/>
          <w:sz w:val="20"/>
        </w:rPr>
      </w:pPr>
      <w:r>
        <w:rPr>
          <w:rFonts w:ascii="Arial" w:hAnsi="Arial"/>
          <w:sz w:val="20"/>
        </w:rPr>
        <w:t>The percent of Humira-treated patients achieving ACR20, 50 and 70 responses was consistent across all three trials. The results for the 40 mg fortnightly dose are summarised in Table 1.</w:t>
      </w:r>
    </w:p>
    <w:p w:rsidR="00E44F87" w:rsidRDefault="00E44F87">
      <w:pPr>
        <w:autoSpaceDE w:val="0"/>
        <w:autoSpaceDN w:val="0"/>
        <w:adjustRightInd w:val="0"/>
        <w:jc w:val="both"/>
        <w:rPr>
          <w:rFonts w:ascii="Arial" w:hAnsi="Arial"/>
          <w:sz w:val="20"/>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97"/>
        <w:gridCol w:w="1403"/>
        <w:gridCol w:w="1297"/>
        <w:gridCol w:w="1223"/>
        <w:gridCol w:w="1297"/>
        <w:gridCol w:w="1403"/>
      </w:tblGrid>
      <w:tr w:rsidR="00E44F87">
        <w:trPr>
          <w:cantSplit/>
          <w:jc w:val="center"/>
        </w:trPr>
        <w:tc>
          <w:tcPr>
            <w:tcW w:w="9288" w:type="dxa"/>
            <w:gridSpan w:val="7"/>
            <w:tcBorders>
              <w:left w:val="nil"/>
              <w:bottom w:val="single" w:sz="4" w:space="0" w:color="auto"/>
              <w:right w:val="nil"/>
            </w:tcBorders>
          </w:tcPr>
          <w:p w:rsidR="00E44F87" w:rsidRDefault="00E44F87">
            <w:pPr>
              <w:pStyle w:val="TableText9Point"/>
              <w:rPr>
                <w:rFonts w:ascii="Arial" w:hAnsi="Arial" w:cs="Arial"/>
                <w:b/>
                <w:bCs/>
                <w:lang w:val="en-AU"/>
              </w:rPr>
            </w:pPr>
            <w:r>
              <w:rPr>
                <w:rFonts w:ascii="Arial" w:hAnsi="Arial" w:cs="Arial"/>
                <w:b/>
                <w:bCs/>
                <w:lang w:val="en-AU"/>
              </w:rPr>
              <w:t xml:space="preserve">Table 1: </w:t>
            </w:r>
            <w:r>
              <w:rPr>
                <w:rFonts w:ascii="Arial" w:hAnsi="Arial" w:cs="Arial"/>
                <w:b/>
                <w:bCs/>
                <w:lang w:val="en-AU"/>
              </w:rPr>
              <w:tab/>
              <w:t>ACR Responses in Placebo-Controlled Trials (Percent of Patients)</w:t>
            </w:r>
          </w:p>
          <w:p w:rsidR="00E44F87" w:rsidRDefault="00E44F87">
            <w:pPr>
              <w:pStyle w:val="TableText9Point"/>
              <w:rPr>
                <w:rFonts w:ascii="Arial" w:hAnsi="Arial" w:cs="Arial"/>
                <w:b/>
                <w:bCs/>
                <w:lang w:val="en-AU"/>
              </w:rPr>
            </w:pPr>
          </w:p>
        </w:tc>
      </w:tr>
      <w:tr w:rsidR="00E44F87">
        <w:trPr>
          <w:cantSplit/>
          <w:jc w:val="center"/>
        </w:trPr>
        <w:tc>
          <w:tcPr>
            <w:tcW w:w="1368" w:type="dxa"/>
            <w:vMerge w:val="restart"/>
            <w:tcBorders>
              <w:top w:val="single" w:sz="4" w:space="0" w:color="auto"/>
              <w:left w:val="nil"/>
              <w:bottom w:val="single" w:sz="4" w:space="0" w:color="auto"/>
              <w:right w:val="single" w:sz="4" w:space="0" w:color="auto"/>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Response</w:t>
            </w:r>
          </w:p>
        </w:tc>
        <w:tc>
          <w:tcPr>
            <w:tcW w:w="2700" w:type="dxa"/>
            <w:gridSpan w:val="2"/>
            <w:tcBorders>
              <w:top w:val="single" w:sz="4" w:space="0" w:color="auto"/>
              <w:left w:val="single" w:sz="4" w:space="0" w:color="auto"/>
              <w:bottom w:val="single" w:sz="4" w:space="0" w:color="auto"/>
            </w:tcBorders>
          </w:tcPr>
          <w:p w:rsidR="00E44F87" w:rsidRDefault="00E44F87">
            <w:pPr>
              <w:pStyle w:val="TableText9Point"/>
              <w:jc w:val="center"/>
              <w:rPr>
                <w:rFonts w:ascii="Arial" w:hAnsi="Arial" w:cs="Arial"/>
                <w:lang w:val="en-AU"/>
              </w:rPr>
            </w:pPr>
            <w:r>
              <w:rPr>
                <w:rFonts w:ascii="Arial" w:hAnsi="Arial"/>
              </w:rPr>
              <w:t xml:space="preserve">RA </w:t>
            </w:r>
            <w:r>
              <w:rPr>
                <w:rFonts w:ascii="Arial" w:hAnsi="Arial" w:cs="Arial"/>
                <w:lang w:val="en-AU"/>
              </w:rPr>
              <w:t>Study I</w:t>
            </w:r>
            <w:r>
              <w:rPr>
                <w:rFonts w:ascii="Arial" w:hAnsi="Arial" w:cs="Arial"/>
                <w:vertAlign w:val="superscript"/>
                <w:lang w:val="en-AU"/>
              </w:rPr>
              <w:t>a</w:t>
            </w:r>
            <w:r>
              <w:rPr>
                <w:rFonts w:ascii="Arial" w:hAnsi="Arial" w:cs="Arial"/>
                <w:lang w:val="en-AU"/>
              </w:rPr>
              <w:t>*</w:t>
            </w:r>
          </w:p>
          <w:p w:rsidR="00E44F87" w:rsidRDefault="00E44F87">
            <w:pPr>
              <w:pStyle w:val="TableText9Point"/>
              <w:jc w:val="center"/>
              <w:rPr>
                <w:rFonts w:ascii="Arial" w:hAnsi="Arial" w:cs="Arial"/>
                <w:lang w:val="en-AU"/>
              </w:rPr>
            </w:pPr>
          </w:p>
        </w:tc>
        <w:tc>
          <w:tcPr>
            <w:tcW w:w="2520" w:type="dxa"/>
            <w:gridSpan w:val="2"/>
            <w:tcBorders>
              <w:top w:val="single" w:sz="4" w:space="0" w:color="auto"/>
              <w:bottom w:val="single" w:sz="4" w:space="0" w:color="auto"/>
            </w:tcBorders>
          </w:tcPr>
          <w:p w:rsidR="00E44F87" w:rsidRDefault="00E44F87">
            <w:pPr>
              <w:pStyle w:val="TableText9Point"/>
              <w:jc w:val="center"/>
              <w:rPr>
                <w:rFonts w:ascii="Arial" w:hAnsi="Arial" w:cs="Arial"/>
                <w:lang w:val="en-AU"/>
              </w:rPr>
            </w:pPr>
            <w:r>
              <w:rPr>
                <w:rFonts w:ascii="Arial" w:hAnsi="Arial"/>
              </w:rPr>
              <w:t xml:space="preserve">RA </w:t>
            </w:r>
            <w:r>
              <w:rPr>
                <w:rFonts w:ascii="Arial" w:hAnsi="Arial" w:cs="Arial"/>
                <w:lang w:val="en-AU"/>
              </w:rPr>
              <w:t>Study II</w:t>
            </w:r>
            <w:r>
              <w:rPr>
                <w:rFonts w:ascii="Arial" w:hAnsi="Arial" w:cs="Arial"/>
                <w:vertAlign w:val="superscript"/>
                <w:lang w:val="en-AU"/>
              </w:rPr>
              <w:t>a</w:t>
            </w:r>
            <w:r>
              <w:rPr>
                <w:rFonts w:ascii="Arial" w:hAnsi="Arial" w:cs="Arial"/>
                <w:lang w:val="en-AU"/>
              </w:rPr>
              <w:t>*</w:t>
            </w:r>
          </w:p>
        </w:tc>
        <w:tc>
          <w:tcPr>
            <w:tcW w:w="2700" w:type="dxa"/>
            <w:gridSpan w:val="2"/>
            <w:tcBorders>
              <w:top w:val="single" w:sz="4" w:space="0" w:color="auto"/>
              <w:bottom w:val="single" w:sz="4" w:space="0" w:color="auto"/>
              <w:right w:val="nil"/>
            </w:tcBorders>
          </w:tcPr>
          <w:p w:rsidR="00E44F87" w:rsidRDefault="00E44F87">
            <w:pPr>
              <w:pStyle w:val="TableText9Point"/>
              <w:jc w:val="center"/>
              <w:rPr>
                <w:rFonts w:ascii="Arial" w:hAnsi="Arial" w:cs="Arial"/>
                <w:lang w:val="en-AU"/>
              </w:rPr>
            </w:pPr>
            <w:r>
              <w:rPr>
                <w:rFonts w:ascii="Arial" w:hAnsi="Arial"/>
              </w:rPr>
              <w:t xml:space="preserve">RA </w:t>
            </w:r>
            <w:r>
              <w:rPr>
                <w:rFonts w:ascii="Arial" w:hAnsi="Arial" w:cs="Arial"/>
                <w:lang w:val="en-AU"/>
              </w:rPr>
              <w:t>Study III</w:t>
            </w:r>
            <w:r>
              <w:rPr>
                <w:rFonts w:ascii="Arial" w:hAnsi="Arial" w:cs="Arial"/>
                <w:vertAlign w:val="superscript"/>
                <w:lang w:val="en-AU"/>
              </w:rPr>
              <w:t>a, c</w:t>
            </w:r>
            <w:r>
              <w:rPr>
                <w:rFonts w:ascii="Arial" w:hAnsi="Arial" w:cs="Arial"/>
                <w:lang w:val="en-AU"/>
              </w:rPr>
              <w:t xml:space="preserve"> *</w:t>
            </w:r>
          </w:p>
        </w:tc>
      </w:tr>
      <w:tr w:rsidR="00E44F87">
        <w:trPr>
          <w:cantSplit/>
          <w:jc w:val="center"/>
        </w:trPr>
        <w:tc>
          <w:tcPr>
            <w:tcW w:w="1368" w:type="dxa"/>
            <w:vMerge/>
            <w:tcBorders>
              <w:top w:val="nil"/>
              <w:left w:val="nil"/>
              <w:bottom w:val="single" w:sz="4" w:space="0" w:color="auto"/>
              <w:right w:val="single" w:sz="4" w:space="0" w:color="auto"/>
            </w:tcBorders>
          </w:tcPr>
          <w:p w:rsidR="00E44F87" w:rsidRDefault="00E44F87">
            <w:pPr>
              <w:pStyle w:val="TableText9Point"/>
              <w:rPr>
                <w:rFonts w:ascii="Arial" w:hAnsi="Arial" w:cs="Arial"/>
                <w:lang w:val="en-AU"/>
              </w:rPr>
            </w:pPr>
          </w:p>
        </w:tc>
        <w:tc>
          <w:tcPr>
            <w:tcW w:w="1297" w:type="dxa"/>
            <w:tcBorders>
              <w:top w:val="nil"/>
              <w:left w:val="single" w:sz="4" w:space="0" w:color="auto"/>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Placebo/</w:t>
            </w:r>
          </w:p>
          <w:p w:rsidR="00E44F87" w:rsidRDefault="00E44F87">
            <w:pPr>
              <w:pStyle w:val="TableText9Point"/>
              <w:rPr>
                <w:rFonts w:ascii="Arial" w:hAnsi="Arial" w:cs="Arial"/>
                <w:lang w:val="en-AU"/>
              </w:rPr>
            </w:pPr>
            <w:r>
              <w:rPr>
                <w:rFonts w:ascii="Arial" w:hAnsi="Arial" w:cs="Arial"/>
                <w:lang w:val="en-AU"/>
              </w:rPr>
              <w:t>MTX</w:t>
            </w:r>
          </w:p>
          <w:p w:rsidR="00E44F87" w:rsidRDefault="00E44F87">
            <w:pPr>
              <w:pStyle w:val="TableText9Point"/>
              <w:rPr>
                <w:rFonts w:ascii="Arial" w:hAnsi="Arial" w:cs="Arial"/>
                <w:lang w:val="en-AU"/>
              </w:rPr>
            </w:pPr>
            <w:r>
              <w:rPr>
                <w:rFonts w:ascii="Arial" w:hAnsi="Arial" w:cs="Arial"/>
                <w:lang w:val="en-AU"/>
              </w:rPr>
              <w:t>N=60</w:t>
            </w:r>
          </w:p>
        </w:tc>
        <w:tc>
          <w:tcPr>
            <w:tcW w:w="1403" w:type="dxa"/>
            <w:tcBorders>
              <w:top w:val="nil"/>
              <w:left w:val="nil"/>
              <w:bottom w:val="single" w:sz="4" w:space="0" w:color="auto"/>
            </w:tcBorders>
          </w:tcPr>
          <w:p w:rsidR="00E44F87" w:rsidRDefault="00E44F87">
            <w:pPr>
              <w:pStyle w:val="TableText9Point"/>
              <w:rPr>
                <w:rFonts w:ascii="Arial" w:hAnsi="Arial" w:cs="Arial"/>
                <w:lang w:val="en-AU"/>
              </w:rPr>
            </w:pPr>
            <w:r>
              <w:rPr>
                <w:rFonts w:ascii="Arial" w:hAnsi="Arial" w:cs="Arial"/>
                <w:lang w:val="en-AU"/>
              </w:rPr>
              <w:t>Humira</w:t>
            </w:r>
            <w:r>
              <w:rPr>
                <w:rFonts w:ascii="Arial" w:hAnsi="Arial" w:cs="Arial"/>
                <w:vertAlign w:val="superscript"/>
                <w:lang w:val="en-AU"/>
              </w:rPr>
              <w:t xml:space="preserve">b </w:t>
            </w:r>
            <w:r>
              <w:rPr>
                <w:rFonts w:ascii="Arial" w:hAnsi="Arial" w:cs="Arial"/>
                <w:lang w:val="en-AU"/>
              </w:rPr>
              <w:t>/</w:t>
            </w:r>
          </w:p>
          <w:p w:rsidR="00E44F87" w:rsidRDefault="00E44F87">
            <w:pPr>
              <w:pStyle w:val="TableText9Point"/>
              <w:rPr>
                <w:rFonts w:ascii="Arial" w:hAnsi="Arial" w:cs="Arial"/>
                <w:lang w:val="en-AU"/>
              </w:rPr>
            </w:pPr>
            <w:r>
              <w:rPr>
                <w:rFonts w:ascii="Arial" w:hAnsi="Arial" w:cs="Arial"/>
                <w:lang w:val="en-AU"/>
              </w:rPr>
              <w:t>MTX</w:t>
            </w:r>
          </w:p>
          <w:p w:rsidR="00E44F87" w:rsidRDefault="00E44F87">
            <w:pPr>
              <w:pStyle w:val="TableText9Point"/>
              <w:rPr>
                <w:rFonts w:ascii="Arial" w:hAnsi="Arial" w:cs="Arial"/>
                <w:lang w:val="en-AU"/>
              </w:rPr>
            </w:pPr>
            <w:r>
              <w:rPr>
                <w:rFonts w:ascii="Arial" w:hAnsi="Arial" w:cs="Arial"/>
                <w:lang w:val="en-AU"/>
              </w:rPr>
              <w:t>N=63</w:t>
            </w:r>
          </w:p>
        </w:tc>
        <w:tc>
          <w:tcPr>
            <w:tcW w:w="1297" w:type="dxa"/>
            <w:tcBorders>
              <w:top w:val="nil"/>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Placebo</w:t>
            </w:r>
          </w:p>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N=110</w:t>
            </w:r>
          </w:p>
        </w:tc>
        <w:tc>
          <w:tcPr>
            <w:tcW w:w="1223" w:type="dxa"/>
            <w:tcBorders>
              <w:top w:val="nil"/>
              <w:left w:val="nil"/>
              <w:bottom w:val="single" w:sz="4" w:space="0" w:color="auto"/>
            </w:tcBorders>
          </w:tcPr>
          <w:p w:rsidR="00E44F87" w:rsidRDefault="00E44F87">
            <w:pPr>
              <w:pStyle w:val="TableText9Point"/>
              <w:rPr>
                <w:rFonts w:ascii="Arial" w:hAnsi="Arial" w:cs="Arial"/>
                <w:lang w:val="en-AU"/>
              </w:rPr>
            </w:pPr>
            <w:r>
              <w:rPr>
                <w:rFonts w:ascii="Arial" w:hAnsi="Arial" w:cs="Arial"/>
                <w:lang w:val="en-AU"/>
              </w:rPr>
              <w:t>Humira</w:t>
            </w:r>
            <w:r>
              <w:rPr>
                <w:rFonts w:ascii="Arial" w:hAnsi="Arial" w:cs="Arial"/>
                <w:vertAlign w:val="superscript"/>
                <w:lang w:val="en-AU"/>
              </w:rPr>
              <w:t>b</w:t>
            </w:r>
          </w:p>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*N=113</w:t>
            </w:r>
          </w:p>
        </w:tc>
        <w:tc>
          <w:tcPr>
            <w:tcW w:w="1297" w:type="dxa"/>
            <w:tcBorders>
              <w:top w:val="nil"/>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Placebo/</w:t>
            </w:r>
          </w:p>
          <w:p w:rsidR="00E44F87" w:rsidRDefault="00E44F87">
            <w:pPr>
              <w:pStyle w:val="TableText9Point"/>
              <w:rPr>
                <w:rFonts w:ascii="Arial" w:hAnsi="Arial" w:cs="Arial"/>
                <w:lang w:val="en-AU"/>
              </w:rPr>
            </w:pPr>
            <w:r>
              <w:rPr>
                <w:rFonts w:ascii="Arial" w:hAnsi="Arial" w:cs="Arial"/>
                <w:lang w:val="en-AU"/>
              </w:rPr>
              <w:t>MTX</w:t>
            </w:r>
          </w:p>
          <w:p w:rsidR="00E44F87" w:rsidRDefault="00E44F87">
            <w:pPr>
              <w:pStyle w:val="TableText9Point"/>
              <w:rPr>
                <w:rFonts w:ascii="Arial" w:hAnsi="Arial" w:cs="Arial"/>
                <w:lang w:val="en-AU"/>
              </w:rPr>
            </w:pPr>
            <w:r>
              <w:rPr>
                <w:rFonts w:ascii="Arial" w:hAnsi="Arial" w:cs="Arial"/>
                <w:lang w:val="en-AU"/>
              </w:rPr>
              <w:t>N=200</w:t>
            </w:r>
          </w:p>
        </w:tc>
        <w:tc>
          <w:tcPr>
            <w:tcW w:w="1403" w:type="dxa"/>
            <w:tcBorders>
              <w:top w:val="nil"/>
              <w:left w:val="nil"/>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Humira</w:t>
            </w:r>
            <w:r>
              <w:rPr>
                <w:rFonts w:ascii="Arial" w:hAnsi="Arial" w:cs="Arial"/>
                <w:vertAlign w:val="superscript"/>
                <w:lang w:val="en-AU"/>
              </w:rPr>
              <w:t>b</w:t>
            </w:r>
            <w:r>
              <w:rPr>
                <w:rFonts w:ascii="Arial" w:hAnsi="Arial" w:cs="Arial"/>
                <w:lang w:val="en-AU"/>
              </w:rPr>
              <w:t>/</w:t>
            </w:r>
          </w:p>
          <w:p w:rsidR="00E44F87" w:rsidRDefault="00E44F87">
            <w:pPr>
              <w:pStyle w:val="TableText9Point"/>
              <w:rPr>
                <w:rFonts w:ascii="Arial" w:hAnsi="Arial" w:cs="Arial"/>
                <w:lang w:val="en-AU"/>
              </w:rPr>
            </w:pPr>
            <w:r>
              <w:rPr>
                <w:rFonts w:ascii="Arial" w:hAnsi="Arial" w:cs="Arial"/>
                <w:lang w:val="en-AU"/>
              </w:rPr>
              <w:t>MTX</w:t>
            </w:r>
          </w:p>
          <w:p w:rsidR="00E44F87" w:rsidRDefault="00E44F87">
            <w:pPr>
              <w:pStyle w:val="TableText9Point"/>
              <w:rPr>
                <w:rFonts w:ascii="Arial" w:hAnsi="Arial" w:cs="Arial"/>
                <w:lang w:val="en-AU"/>
              </w:rPr>
            </w:pPr>
            <w:r>
              <w:rPr>
                <w:rFonts w:ascii="Arial" w:hAnsi="Arial" w:cs="Arial"/>
                <w:lang w:val="en-AU"/>
              </w:rPr>
              <w:t>N=207</w:t>
            </w:r>
          </w:p>
          <w:p w:rsidR="00E44F87" w:rsidRDefault="00E44F87">
            <w:pPr>
              <w:pStyle w:val="TableText9Point"/>
              <w:rPr>
                <w:rFonts w:ascii="Arial" w:hAnsi="Arial" w:cs="Arial"/>
                <w:lang w:val="en-AU"/>
              </w:rPr>
            </w:pPr>
          </w:p>
        </w:tc>
      </w:tr>
      <w:tr w:rsidR="00E44F87">
        <w:trPr>
          <w:jc w:val="center"/>
        </w:trPr>
        <w:tc>
          <w:tcPr>
            <w:tcW w:w="1368" w:type="dxa"/>
            <w:tcBorders>
              <w:top w:val="single" w:sz="4" w:space="0" w:color="auto"/>
              <w:left w:val="nil"/>
              <w:bottom w:val="nil"/>
            </w:tcBorders>
            <w:vAlign w:val="center"/>
          </w:tcPr>
          <w:p w:rsidR="00E44F87" w:rsidRDefault="00E44F87">
            <w:pPr>
              <w:pStyle w:val="TableText9Point"/>
              <w:rPr>
                <w:rFonts w:ascii="Arial" w:hAnsi="Arial" w:cs="Arial"/>
                <w:lang w:val="en-AU"/>
              </w:rPr>
            </w:pPr>
            <w:r>
              <w:rPr>
                <w:rFonts w:ascii="Arial" w:hAnsi="Arial" w:cs="Arial"/>
                <w:lang w:val="en-AU"/>
              </w:rPr>
              <w:t>ACR20</w:t>
            </w:r>
          </w:p>
          <w:p w:rsidR="00E44F87" w:rsidRDefault="00E44F87">
            <w:pPr>
              <w:pStyle w:val="TableText9Point"/>
              <w:rPr>
                <w:rFonts w:ascii="Arial" w:hAnsi="Arial" w:cs="Arial"/>
                <w:lang w:val="en-AU"/>
              </w:rPr>
            </w:pPr>
            <w:r>
              <w:rPr>
                <w:rFonts w:ascii="Arial" w:hAnsi="Arial" w:cs="Arial"/>
                <w:lang w:val="en-AU"/>
              </w:rPr>
              <w:t xml:space="preserve">   6 months</w:t>
            </w:r>
          </w:p>
        </w:tc>
        <w:tc>
          <w:tcPr>
            <w:tcW w:w="1297" w:type="dxa"/>
            <w:tcBorders>
              <w:top w:val="single" w:sz="4" w:space="0" w:color="auto"/>
              <w:bottom w:val="nil"/>
              <w:right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13.3%</w:t>
            </w:r>
          </w:p>
        </w:tc>
        <w:tc>
          <w:tcPr>
            <w:tcW w:w="1403" w:type="dxa"/>
            <w:tcBorders>
              <w:top w:val="single" w:sz="4" w:space="0" w:color="auto"/>
              <w:left w:val="nil"/>
              <w:bottom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65.1%</w:t>
            </w:r>
          </w:p>
        </w:tc>
        <w:tc>
          <w:tcPr>
            <w:tcW w:w="1297" w:type="dxa"/>
            <w:tcBorders>
              <w:top w:val="single" w:sz="4" w:space="0" w:color="auto"/>
              <w:bottom w:val="nil"/>
              <w:right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19.1%</w:t>
            </w:r>
          </w:p>
        </w:tc>
        <w:tc>
          <w:tcPr>
            <w:tcW w:w="1223" w:type="dxa"/>
            <w:tcBorders>
              <w:top w:val="single" w:sz="4" w:space="0" w:color="auto"/>
              <w:left w:val="nil"/>
              <w:bottom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46.0%</w:t>
            </w:r>
          </w:p>
        </w:tc>
        <w:tc>
          <w:tcPr>
            <w:tcW w:w="1297" w:type="dxa"/>
            <w:tcBorders>
              <w:top w:val="single" w:sz="4" w:space="0" w:color="auto"/>
              <w:bottom w:val="nil"/>
              <w:right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29.5%</w:t>
            </w:r>
          </w:p>
        </w:tc>
        <w:tc>
          <w:tcPr>
            <w:tcW w:w="1403" w:type="dxa"/>
            <w:tcBorders>
              <w:top w:val="single" w:sz="4" w:space="0" w:color="auto"/>
              <w:left w:val="nil"/>
              <w:bottom w:val="nil"/>
              <w:right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63.3%</w:t>
            </w:r>
          </w:p>
        </w:tc>
      </w:tr>
      <w:tr w:rsidR="00E44F87">
        <w:trPr>
          <w:jc w:val="center"/>
        </w:trPr>
        <w:tc>
          <w:tcPr>
            <w:tcW w:w="1368" w:type="dxa"/>
            <w:tcBorders>
              <w:top w:val="nil"/>
              <w:left w:val="nil"/>
              <w:bottom w:val="nil"/>
            </w:tcBorders>
            <w:vAlign w:val="center"/>
          </w:tcPr>
          <w:p w:rsidR="00E44F87" w:rsidRDefault="00E44F87">
            <w:pPr>
              <w:pStyle w:val="TableText9Point"/>
              <w:rPr>
                <w:rFonts w:ascii="Arial" w:hAnsi="Arial" w:cs="Arial"/>
                <w:lang w:val="en-AU"/>
              </w:rPr>
            </w:pPr>
            <w:r>
              <w:rPr>
                <w:rFonts w:ascii="Arial" w:hAnsi="Arial" w:cs="Arial"/>
                <w:lang w:val="en-AU"/>
              </w:rPr>
              <w:t xml:space="preserve">  12 months</w:t>
            </w:r>
          </w:p>
        </w:tc>
        <w:tc>
          <w:tcPr>
            <w:tcW w:w="1297" w:type="dxa"/>
            <w:tcBorders>
              <w:top w:val="nil"/>
              <w:bottom w:val="nil"/>
              <w:right w:val="nil"/>
            </w:tcBorders>
          </w:tcPr>
          <w:p w:rsidR="00E44F87" w:rsidRDefault="00E44F87">
            <w:pPr>
              <w:pStyle w:val="TableText9Point"/>
              <w:rPr>
                <w:rFonts w:ascii="Arial" w:hAnsi="Arial" w:cs="Arial"/>
                <w:lang w:val="en-AU"/>
              </w:rPr>
            </w:pPr>
            <w:r>
              <w:rPr>
                <w:rFonts w:ascii="Arial" w:hAnsi="Arial" w:cs="Arial"/>
                <w:lang w:val="en-AU"/>
              </w:rPr>
              <w:t>NA</w:t>
            </w:r>
          </w:p>
        </w:tc>
        <w:tc>
          <w:tcPr>
            <w:tcW w:w="1403" w:type="dxa"/>
            <w:tcBorders>
              <w:top w:val="nil"/>
              <w:left w:val="nil"/>
              <w:bottom w:val="nil"/>
            </w:tcBorders>
          </w:tcPr>
          <w:p w:rsidR="00E44F87" w:rsidRDefault="00E44F87">
            <w:pPr>
              <w:pStyle w:val="TableText9Point"/>
              <w:rPr>
                <w:rFonts w:ascii="Arial" w:hAnsi="Arial" w:cs="Arial"/>
                <w:lang w:val="en-AU"/>
              </w:rPr>
            </w:pPr>
            <w:r>
              <w:rPr>
                <w:rFonts w:ascii="Arial" w:hAnsi="Arial" w:cs="Arial"/>
                <w:lang w:val="en-AU"/>
              </w:rPr>
              <w:t>NA</w:t>
            </w:r>
          </w:p>
        </w:tc>
        <w:tc>
          <w:tcPr>
            <w:tcW w:w="1297" w:type="dxa"/>
            <w:tcBorders>
              <w:top w:val="nil"/>
              <w:bottom w:val="nil"/>
              <w:right w:val="nil"/>
            </w:tcBorders>
          </w:tcPr>
          <w:p w:rsidR="00E44F87" w:rsidRDefault="00E44F87">
            <w:pPr>
              <w:pStyle w:val="TableText9Point"/>
              <w:rPr>
                <w:rFonts w:ascii="Arial" w:hAnsi="Arial" w:cs="Arial"/>
                <w:lang w:val="en-AU"/>
              </w:rPr>
            </w:pPr>
            <w:r>
              <w:rPr>
                <w:rFonts w:ascii="Arial" w:hAnsi="Arial" w:cs="Arial"/>
                <w:lang w:val="en-AU"/>
              </w:rPr>
              <w:t>NA</w:t>
            </w:r>
          </w:p>
        </w:tc>
        <w:tc>
          <w:tcPr>
            <w:tcW w:w="1223" w:type="dxa"/>
            <w:tcBorders>
              <w:top w:val="nil"/>
              <w:left w:val="nil"/>
              <w:bottom w:val="nil"/>
            </w:tcBorders>
          </w:tcPr>
          <w:p w:rsidR="00E44F87" w:rsidRDefault="00E44F87">
            <w:pPr>
              <w:pStyle w:val="TableText9Point"/>
              <w:rPr>
                <w:rFonts w:ascii="Arial" w:hAnsi="Arial" w:cs="Arial"/>
                <w:lang w:val="en-AU"/>
              </w:rPr>
            </w:pPr>
            <w:r>
              <w:rPr>
                <w:rFonts w:ascii="Arial" w:hAnsi="Arial" w:cs="Arial"/>
                <w:lang w:val="en-AU"/>
              </w:rPr>
              <w:t>NA</w:t>
            </w:r>
          </w:p>
        </w:tc>
        <w:tc>
          <w:tcPr>
            <w:tcW w:w="1297" w:type="dxa"/>
            <w:tcBorders>
              <w:top w:val="nil"/>
              <w:bottom w:val="nil"/>
              <w:right w:val="nil"/>
            </w:tcBorders>
          </w:tcPr>
          <w:p w:rsidR="00E44F87" w:rsidRDefault="00E44F87">
            <w:pPr>
              <w:pStyle w:val="TableText9Point"/>
              <w:rPr>
                <w:rFonts w:ascii="Arial" w:hAnsi="Arial" w:cs="Arial"/>
                <w:lang w:val="en-AU"/>
              </w:rPr>
            </w:pPr>
            <w:r>
              <w:rPr>
                <w:rFonts w:ascii="Arial" w:hAnsi="Arial" w:cs="Arial"/>
                <w:lang w:val="en-AU"/>
              </w:rPr>
              <w:t>24.0%</w:t>
            </w:r>
          </w:p>
        </w:tc>
        <w:tc>
          <w:tcPr>
            <w:tcW w:w="1403" w:type="dxa"/>
            <w:tcBorders>
              <w:top w:val="nil"/>
              <w:left w:val="nil"/>
              <w:bottom w:val="nil"/>
              <w:right w:val="nil"/>
            </w:tcBorders>
          </w:tcPr>
          <w:p w:rsidR="00E44F87" w:rsidRDefault="00E44F87">
            <w:pPr>
              <w:pStyle w:val="TableText9Point"/>
              <w:rPr>
                <w:rFonts w:ascii="Arial" w:hAnsi="Arial" w:cs="Arial"/>
                <w:lang w:val="en-AU"/>
              </w:rPr>
            </w:pPr>
            <w:r>
              <w:rPr>
                <w:rFonts w:ascii="Arial" w:hAnsi="Arial" w:cs="Arial"/>
                <w:lang w:val="en-AU"/>
              </w:rPr>
              <w:t>58.9%</w:t>
            </w:r>
          </w:p>
        </w:tc>
      </w:tr>
      <w:tr w:rsidR="00E44F87">
        <w:trPr>
          <w:jc w:val="center"/>
        </w:trPr>
        <w:tc>
          <w:tcPr>
            <w:tcW w:w="1368" w:type="dxa"/>
            <w:tcBorders>
              <w:top w:val="nil"/>
              <w:left w:val="nil"/>
              <w:bottom w:val="nil"/>
            </w:tcBorders>
            <w:vAlign w:val="center"/>
          </w:tcPr>
          <w:p w:rsidR="00E44F87" w:rsidRDefault="00E44F87">
            <w:pPr>
              <w:pStyle w:val="TableText9Point"/>
              <w:rPr>
                <w:rFonts w:ascii="Arial" w:hAnsi="Arial" w:cs="Arial"/>
                <w:lang w:val="en-AU"/>
              </w:rPr>
            </w:pPr>
            <w:r>
              <w:rPr>
                <w:rFonts w:ascii="Arial" w:hAnsi="Arial" w:cs="Arial"/>
                <w:lang w:val="en-AU"/>
              </w:rPr>
              <w:t>ACR50</w:t>
            </w:r>
          </w:p>
          <w:p w:rsidR="00E44F87" w:rsidRDefault="00E44F87">
            <w:pPr>
              <w:pStyle w:val="TableText9Point"/>
              <w:rPr>
                <w:rFonts w:ascii="Arial" w:hAnsi="Arial" w:cs="Arial"/>
                <w:lang w:val="en-AU"/>
              </w:rPr>
            </w:pPr>
            <w:r>
              <w:rPr>
                <w:rFonts w:ascii="Arial" w:hAnsi="Arial" w:cs="Arial"/>
                <w:lang w:val="en-AU"/>
              </w:rPr>
              <w:t xml:space="preserve">  6 months</w:t>
            </w:r>
          </w:p>
        </w:tc>
        <w:tc>
          <w:tcPr>
            <w:tcW w:w="1297" w:type="dxa"/>
            <w:tcBorders>
              <w:top w:val="nil"/>
              <w:bottom w:val="nil"/>
              <w:right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6.7%</w:t>
            </w:r>
          </w:p>
        </w:tc>
        <w:tc>
          <w:tcPr>
            <w:tcW w:w="1403" w:type="dxa"/>
            <w:tcBorders>
              <w:top w:val="nil"/>
              <w:left w:val="nil"/>
              <w:bottom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52.4%</w:t>
            </w:r>
          </w:p>
        </w:tc>
        <w:tc>
          <w:tcPr>
            <w:tcW w:w="1297" w:type="dxa"/>
            <w:tcBorders>
              <w:top w:val="nil"/>
              <w:bottom w:val="nil"/>
              <w:right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8.2%</w:t>
            </w:r>
          </w:p>
        </w:tc>
        <w:tc>
          <w:tcPr>
            <w:tcW w:w="1223" w:type="dxa"/>
            <w:tcBorders>
              <w:top w:val="nil"/>
              <w:left w:val="nil"/>
              <w:bottom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22.1%</w:t>
            </w:r>
          </w:p>
        </w:tc>
        <w:tc>
          <w:tcPr>
            <w:tcW w:w="1297" w:type="dxa"/>
            <w:tcBorders>
              <w:top w:val="nil"/>
              <w:bottom w:val="nil"/>
              <w:right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9.5%</w:t>
            </w:r>
          </w:p>
        </w:tc>
        <w:tc>
          <w:tcPr>
            <w:tcW w:w="1403" w:type="dxa"/>
            <w:tcBorders>
              <w:top w:val="nil"/>
              <w:left w:val="nil"/>
              <w:bottom w:val="nil"/>
              <w:right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39.1%</w:t>
            </w:r>
          </w:p>
        </w:tc>
      </w:tr>
      <w:tr w:rsidR="00E44F87">
        <w:trPr>
          <w:jc w:val="center"/>
        </w:trPr>
        <w:tc>
          <w:tcPr>
            <w:tcW w:w="1368" w:type="dxa"/>
            <w:tcBorders>
              <w:top w:val="nil"/>
              <w:left w:val="nil"/>
              <w:bottom w:val="nil"/>
            </w:tcBorders>
            <w:vAlign w:val="center"/>
          </w:tcPr>
          <w:p w:rsidR="00E44F87" w:rsidRDefault="00E44F87">
            <w:pPr>
              <w:pStyle w:val="TableText9Point"/>
              <w:rPr>
                <w:rFonts w:ascii="Arial" w:hAnsi="Arial" w:cs="Arial"/>
                <w:lang w:val="en-AU"/>
              </w:rPr>
            </w:pPr>
            <w:r>
              <w:rPr>
                <w:rFonts w:ascii="Arial" w:hAnsi="Arial" w:cs="Arial"/>
                <w:lang w:val="en-AU"/>
              </w:rPr>
              <w:t xml:space="preserve">  12 months</w:t>
            </w:r>
          </w:p>
        </w:tc>
        <w:tc>
          <w:tcPr>
            <w:tcW w:w="1297" w:type="dxa"/>
            <w:tcBorders>
              <w:top w:val="nil"/>
              <w:bottom w:val="nil"/>
              <w:right w:val="nil"/>
            </w:tcBorders>
          </w:tcPr>
          <w:p w:rsidR="00E44F87" w:rsidRDefault="00E44F87">
            <w:pPr>
              <w:pStyle w:val="TableText9Point"/>
              <w:rPr>
                <w:rFonts w:ascii="Arial" w:hAnsi="Arial" w:cs="Arial"/>
                <w:lang w:val="en-AU"/>
              </w:rPr>
            </w:pPr>
            <w:r>
              <w:rPr>
                <w:rFonts w:ascii="Arial" w:hAnsi="Arial" w:cs="Arial"/>
                <w:lang w:val="en-AU"/>
              </w:rPr>
              <w:t>NA</w:t>
            </w:r>
          </w:p>
        </w:tc>
        <w:tc>
          <w:tcPr>
            <w:tcW w:w="1403" w:type="dxa"/>
            <w:tcBorders>
              <w:top w:val="nil"/>
              <w:left w:val="nil"/>
              <w:bottom w:val="nil"/>
            </w:tcBorders>
          </w:tcPr>
          <w:p w:rsidR="00E44F87" w:rsidRDefault="00E44F87">
            <w:pPr>
              <w:pStyle w:val="TableText9Point"/>
              <w:rPr>
                <w:rFonts w:ascii="Arial" w:hAnsi="Arial" w:cs="Arial"/>
                <w:lang w:val="en-AU"/>
              </w:rPr>
            </w:pPr>
            <w:r>
              <w:rPr>
                <w:rFonts w:ascii="Arial" w:hAnsi="Arial" w:cs="Arial"/>
                <w:lang w:val="en-AU"/>
              </w:rPr>
              <w:t>NA</w:t>
            </w:r>
          </w:p>
        </w:tc>
        <w:tc>
          <w:tcPr>
            <w:tcW w:w="1297" w:type="dxa"/>
            <w:tcBorders>
              <w:top w:val="nil"/>
              <w:bottom w:val="nil"/>
              <w:right w:val="nil"/>
            </w:tcBorders>
          </w:tcPr>
          <w:p w:rsidR="00E44F87" w:rsidRDefault="00E44F87">
            <w:pPr>
              <w:pStyle w:val="TableText9Point"/>
              <w:rPr>
                <w:rFonts w:ascii="Arial" w:hAnsi="Arial" w:cs="Arial"/>
                <w:lang w:val="en-AU"/>
              </w:rPr>
            </w:pPr>
            <w:r>
              <w:rPr>
                <w:rFonts w:ascii="Arial" w:hAnsi="Arial" w:cs="Arial"/>
                <w:lang w:val="en-AU"/>
              </w:rPr>
              <w:t>NA</w:t>
            </w:r>
          </w:p>
        </w:tc>
        <w:tc>
          <w:tcPr>
            <w:tcW w:w="1223" w:type="dxa"/>
            <w:tcBorders>
              <w:top w:val="nil"/>
              <w:left w:val="nil"/>
              <w:bottom w:val="nil"/>
            </w:tcBorders>
          </w:tcPr>
          <w:p w:rsidR="00E44F87" w:rsidRDefault="00E44F87">
            <w:pPr>
              <w:pStyle w:val="TableText9Point"/>
              <w:rPr>
                <w:rFonts w:ascii="Arial" w:hAnsi="Arial" w:cs="Arial"/>
                <w:lang w:val="en-AU"/>
              </w:rPr>
            </w:pPr>
            <w:r>
              <w:rPr>
                <w:rFonts w:ascii="Arial" w:hAnsi="Arial" w:cs="Arial"/>
                <w:lang w:val="en-AU"/>
              </w:rPr>
              <w:t>NA</w:t>
            </w:r>
          </w:p>
        </w:tc>
        <w:tc>
          <w:tcPr>
            <w:tcW w:w="1297" w:type="dxa"/>
            <w:tcBorders>
              <w:top w:val="nil"/>
              <w:bottom w:val="nil"/>
              <w:right w:val="nil"/>
            </w:tcBorders>
          </w:tcPr>
          <w:p w:rsidR="00E44F87" w:rsidRDefault="00E44F87">
            <w:pPr>
              <w:pStyle w:val="TableText9Point"/>
              <w:rPr>
                <w:rFonts w:ascii="Arial" w:hAnsi="Arial" w:cs="Arial"/>
                <w:lang w:val="en-AU"/>
              </w:rPr>
            </w:pPr>
            <w:r>
              <w:rPr>
                <w:rFonts w:ascii="Arial" w:hAnsi="Arial" w:cs="Arial"/>
                <w:lang w:val="en-AU"/>
              </w:rPr>
              <w:t>9.5%</w:t>
            </w:r>
          </w:p>
        </w:tc>
        <w:tc>
          <w:tcPr>
            <w:tcW w:w="1403" w:type="dxa"/>
            <w:tcBorders>
              <w:top w:val="nil"/>
              <w:left w:val="nil"/>
              <w:bottom w:val="nil"/>
              <w:right w:val="nil"/>
            </w:tcBorders>
          </w:tcPr>
          <w:p w:rsidR="00E44F87" w:rsidRDefault="00E44F87">
            <w:pPr>
              <w:pStyle w:val="TableText9Point"/>
              <w:rPr>
                <w:rFonts w:ascii="Arial" w:hAnsi="Arial" w:cs="Arial"/>
                <w:lang w:val="en-AU"/>
              </w:rPr>
            </w:pPr>
            <w:r>
              <w:rPr>
                <w:rFonts w:ascii="Arial" w:hAnsi="Arial" w:cs="Arial"/>
                <w:lang w:val="en-AU"/>
              </w:rPr>
              <w:t>41.5%</w:t>
            </w:r>
          </w:p>
        </w:tc>
      </w:tr>
      <w:tr w:rsidR="00E44F87">
        <w:trPr>
          <w:jc w:val="center"/>
        </w:trPr>
        <w:tc>
          <w:tcPr>
            <w:tcW w:w="1368" w:type="dxa"/>
            <w:tcBorders>
              <w:top w:val="nil"/>
              <w:left w:val="nil"/>
              <w:bottom w:val="nil"/>
            </w:tcBorders>
            <w:vAlign w:val="center"/>
          </w:tcPr>
          <w:p w:rsidR="00E44F87" w:rsidRDefault="00E44F87">
            <w:pPr>
              <w:pStyle w:val="TableText9Point"/>
              <w:rPr>
                <w:rFonts w:ascii="Arial" w:hAnsi="Arial" w:cs="Arial"/>
                <w:lang w:val="en-AU"/>
              </w:rPr>
            </w:pPr>
            <w:r>
              <w:rPr>
                <w:rFonts w:ascii="Arial" w:hAnsi="Arial" w:cs="Arial"/>
                <w:lang w:val="en-AU"/>
              </w:rPr>
              <w:t>ACR70</w:t>
            </w:r>
          </w:p>
          <w:p w:rsidR="00E44F87" w:rsidRDefault="00E44F87">
            <w:pPr>
              <w:pStyle w:val="TableText9Point"/>
              <w:rPr>
                <w:rFonts w:ascii="Arial" w:hAnsi="Arial" w:cs="Arial"/>
                <w:lang w:val="en-AU"/>
              </w:rPr>
            </w:pPr>
            <w:r>
              <w:rPr>
                <w:rFonts w:ascii="Arial" w:hAnsi="Arial" w:cs="Arial"/>
                <w:lang w:val="en-AU"/>
              </w:rPr>
              <w:t xml:space="preserve">  6 months</w:t>
            </w:r>
          </w:p>
        </w:tc>
        <w:tc>
          <w:tcPr>
            <w:tcW w:w="1297" w:type="dxa"/>
            <w:tcBorders>
              <w:top w:val="nil"/>
              <w:bottom w:val="nil"/>
              <w:right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3.3%</w:t>
            </w:r>
          </w:p>
        </w:tc>
        <w:tc>
          <w:tcPr>
            <w:tcW w:w="1403" w:type="dxa"/>
            <w:tcBorders>
              <w:top w:val="nil"/>
              <w:left w:val="nil"/>
              <w:bottom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szCs w:val="24"/>
                <w:lang w:val="en-AU"/>
              </w:rPr>
            </w:pPr>
            <w:r>
              <w:rPr>
                <w:rFonts w:ascii="Arial" w:hAnsi="Arial" w:cs="Arial"/>
                <w:szCs w:val="24"/>
                <w:lang w:val="en-AU"/>
              </w:rPr>
              <w:t>23.8%</w:t>
            </w:r>
          </w:p>
        </w:tc>
        <w:tc>
          <w:tcPr>
            <w:tcW w:w="1297" w:type="dxa"/>
            <w:tcBorders>
              <w:top w:val="nil"/>
              <w:bottom w:val="nil"/>
              <w:right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1.8%</w:t>
            </w:r>
          </w:p>
        </w:tc>
        <w:tc>
          <w:tcPr>
            <w:tcW w:w="1223" w:type="dxa"/>
            <w:tcBorders>
              <w:top w:val="nil"/>
              <w:left w:val="nil"/>
              <w:bottom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12.4%</w:t>
            </w:r>
          </w:p>
        </w:tc>
        <w:tc>
          <w:tcPr>
            <w:tcW w:w="1297" w:type="dxa"/>
            <w:tcBorders>
              <w:top w:val="nil"/>
              <w:bottom w:val="nil"/>
              <w:right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2.5%</w:t>
            </w:r>
          </w:p>
        </w:tc>
        <w:tc>
          <w:tcPr>
            <w:tcW w:w="1403" w:type="dxa"/>
            <w:tcBorders>
              <w:top w:val="nil"/>
              <w:left w:val="nil"/>
              <w:bottom w:val="nil"/>
              <w:right w:val="nil"/>
            </w:tcBorders>
            <w:vAlign w:val="center"/>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20.8%</w:t>
            </w:r>
          </w:p>
        </w:tc>
      </w:tr>
      <w:tr w:rsidR="00E44F87">
        <w:trPr>
          <w:jc w:val="center"/>
        </w:trPr>
        <w:tc>
          <w:tcPr>
            <w:tcW w:w="1368" w:type="dxa"/>
            <w:tcBorders>
              <w:top w:val="nil"/>
              <w:left w:val="nil"/>
              <w:bottom w:val="single" w:sz="4" w:space="0" w:color="auto"/>
              <w:right w:val="single" w:sz="4" w:space="0" w:color="auto"/>
            </w:tcBorders>
            <w:vAlign w:val="center"/>
          </w:tcPr>
          <w:p w:rsidR="00E44F87" w:rsidRDefault="00E44F87">
            <w:pPr>
              <w:pStyle w:val="TableText9Point"/>
              <w:rPr>
                <w:rFonts w:ascii="Arial" w:hAnsi="Arial" w:cs="Arial"/>
                <w:lang w:val="en-AU"/>
              </w:rPr>
            </w:pPr>
            <w:r>
              <w:rPr>
                <w:rFonts w:ascii="Arial" w:hAnsi="Arial" w:cs="Arial"/>
                <w:lang w:val="en-AU"/>
              </w:rPr>
              <w:t xml:space="preserve"> 12 months </w:t>
            </w:r>
          </w:p>
        </w:tc>
        <w:tc>
          <w:tcPr>
            <w:tcW w:w="1297" w:type="dxa"/>
            <w:tcBorders>
              <w:top w:val="nil"/>
              <w:left w:val="single" w:sz="4" w:space="0" w:color="auto"/>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NA</w:t>
            </w:r>
          </w:p>
        </w:tc>
        <w:tc>
          <w:tcPr>
            <w:tcW w:w="1403" w:type="dxa"/>
            <w:tcBorders>
              <w:top w:val="nil"/>
              <w:left w:val="nil"/>
              <w:bottom w:val="single" w:sz="4" w:space="0" w:color="auto"/>
              <w:right w:val="single" w:sz="4" w:space="0" w:color="auto"/>
            </w:tcBorders>
          </w:tcPr>
          <w:p w:rsidR="00E44F87" w:rsidRDefault="00E44F87">
            <w:pPr>
              <w:pStyle w:val="TableText9Point"/>
              <w:rPr>
                <w:rFonts w:ascii="Arial" w:hAnsi="Arial" w:cs="Arial"/>
                <w:lang w:val="en-AU"/>
              </w:rPr>
            </w:pPr>
            <w:r>
              <w:rPr>
                <w:rFonts w:ascii="Arial" w:hAnsi="Arial" w:cs="Arial"/>
                <w:lang w:val="en-AU"/>
              </w:rPr>
              <w:t>NA</w:t>
            </w:r>
          </w:p>
        </w:tc>
        <w:tc>
          <w:tcPr>
            <w:tcW w:w="1297" w:type="dxa"/>
            <w:tcBorders>
              <w:top w:val="nil"/>
              <w:left w:val="single" w:sz="4" w:space="0" w:color="auto"/>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NA</w:t>
            </w:r>
          </w:p>
        </w:tc>
        <w:tc>
          <w:tcPr>
            <w:tcW w:w="1223" w:type="dxa"/>
            <w:tcBorders>
              <w:top w:val="nil"/>
              <w:left w:val="nil"/>
              <w:bottom w:val="single" w:sz="4" w:space="0" w:color="auto"/>
              <w:right w:val="single" w:sz="4" w:space="0" w:color="auto"/>
            </w:tcBorders>
          </w:tcPr>
          <w:p w:rsidR="00E44F87" w:rsidRDefault="00E44F87">
            <w:pPr>
              <w:pStyle w:val="TableText9Point"/>
              <w:rPr>
                <w:rFonts w:ascii="Arial" w:hAnsi="Arial" w:cs="Arial"/>
                <w:lang w:val="en-AU"/>
              </w:rPr>
            </w:pPr>
            <w:r>
              <w:rPr>
                <w:rFonts w:ascii="Arial" w:hAnsi="Arial" w:cs="Arial"/>
                <w:lang w:val="en-AU"/>
              </w:rPr>
              <w:t>NA</w:t>
            </w:r>
          </w:p>
        </w:tc>
        <w:tc>
          <w:tcPr>
            <w:tcW w:w="1297" w:type="dxa"/>
            <w:tcBorders>
              <w:top w:val="nil"/>
              <w:left w:val="single" w:sz="4" w:space="0" w:color="auto"/>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4.5%</w:t>
            </w:r>
          </w:p>
        </w:tc>
        <w:tc>
          <w:tcPr>
            <w:tcW w:w="1403" w:type="dxa"/>
            <w:tcBorders>
              <w:top w:val="nil"/>
              <w:left w:val="nil"/>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23.2%</w:t>
            </w:r>
          </w:p>
        </w:tc>
      </w:tr>
    </w:tbl>
    <w:p w:rsidR="00E44F87" w:rsidRDefault="00E44F87">
      <w:pPr>
        <w:autoSpaceDE w:val="0"/>
        <w:autoSpaceDN w:val="0"/>
        <w:adjustRightInd w:val="0"/>
        <w:jc w:val="both"/>
        <w:rPr>
          <w:rFonts w:ascii="Arial" w:hAnsi="Arial"/>
          <w:sz w:val="16"/>
          <w:vertAlign w:val="superscript"/>
        </w:rPr>
      </w:pPr>
    </w:p>
    <w:p w:rsidR="00E44F87" w:rsidRDefault="00E44F87">
      <w:pPr>
        <w:autoSpaceDE w:val="0"/>
        <w:autoSpaceDN w:val="0"/>
        <w:adjustRightInd w:val="0"/>
        <w:jc w:val="both"/>
        <w:rPr>
          <w:rFonts w:ascii="Arial" w:hAnsi="Arial"/>
          <w:sz w:val="16"/>
        </w:rPr>
      </w:pPr>
      <w:r>
        <w:rPr>
          <w:rFonts w:ascii="Arial" w:hAnsi="Arial"/>
          <w:sz w:val="16"/>
          <w:vertAlign w:val="superscript"/>
        </w:rPr>
        <w:t>a</w:t>
      </w:r>
      <w:r>
        <w:rPr>
          <w:rFonts w:ascii="Arial" w:hAnsi="Arial"/>
          <w:sz w:val="20"/>
        </w:rPr>
        <w:t xml:space="preserve"> </w:t>
      </w:r>
      <w:r>
        <w:rPr>
          <w:rFonts w:ascii="Arial" w:hAnsi="Arial"/>
          <w:sz w:val="20"/>
        </w:rPr>
        <w:tab/>
      </w:r>
      <w:r>
        <w:rPr>
          <w:rFonts w:ascii="Arial" w:hAnsi="Arial"/>
          <w:sz w:val="16"/>
        </w:rPr>
        <w:t>RA Study I at 24 weeks, RA Study II at 26 weeks, and RA Study III at 24 and 52 weeks</w:t>
      </w:r>
    </w:p>
    <w:p w:rsidR="00E44F87" w:rsidRDefault="00E44F87">
      <w:pPr>
        <w:autoSpaceDE w:val="0"/>
        <w:autoSpaceDN w:val="0"/>
        <w:adjustRightInd w:val="0"/>
        <w:jc w:val="both"/>
        <w:rPr>
          <w:rFonts w:ascii="Arial" w:hAnsi="Arial"/>
          <w:sz w:val="16"/>
        </w:rPr>
      </w:pPr>
      <w:proofErr w:type="gramStart"/>
      <w:r>
        <w:rPr>
          <w:rFonts w:ascii="Arial" w:hAnsi="Arial"/>
          <w:sz w:val="16"/>
          <w:vertAlign w:val="superscript"/>
        </w:rPr>
        <w:t>b</w:t>
      </w:r>
      <w:proofErr w:type="gramEnd"/>
      <w:r>
        <w:rPr>
          <w:rFonts w:ascii="Arial" w:hAnsi="Arial"/>
          <w:sz w:val="16"/>
          <w:vertAlign w:val="superscript"/>
        </w:rPr>
        <w:t xml:space="preserve"> </w:t>
      </w:r>
      <w:r>
        <w:rPr>
          <w:rFonts w:ascii="Arial" w:hAnsi="Arial"/>
          <w:sz w:val="16"/>
          <w:vertAlign w:val="superscript"/>
        </w:rPr>
        <w:tab/>
      </w:r>
      <w:r>
        <w:rPr>
          <w:rFonts w:ascii="Arial" w:hAnsi="Arial"/>
          <w:sz w:val="16"/>
        </w:rPr>
        <w:t>40 mg Humira administered fortnightly</w:t>
      </w:r>
    </w:p>
    <w:p w:rsidR="00E44F87" w:rsidRDefault="00E44F87">
      <w:pPr>
        <w:autoSpaceDE w:val="0"/>
        <w:autoSpaceDN w:val="0"/>
        <w:adjustRightInd w:val="0"/>
        <w:ind w:left="720" w:hanging="720"/>
        <w:jc w:val="both"/>
        <w:rPr>
          <w:rFonts w:ascii="Arial" w:hAnsi="Arial"/>
          <w:sz w:val="16"/>
        </w:rPr>
      </w:pPr>
      <w:r>
        <w:rPr>
          <w:rFonts w:ascii="Arial" w:hAnsi="Arial"/>
          <w:sz w:val="16"/>
          <w:vertAlign w:val="superscript"/>
        </w:rPr>
        <w:t>c</w:t>
      </w:r>
      <w:r>
        <w:rPr>
          <w:rFonts w:ascii="Arial" w:hAnsi="Arial"/>
          <w:sz w:val="16"/>
        </w:rPr>
        <w:tab/>
        <w:t>The 12 months placebo-controlled phase of RA Study III was followed by 12 months of open-label treatment with ACR responses at 24 months of 48.8% (ACR20), 36.2% (ACR50) and 22.7% (ACR70).</w:t>
      </w:r>
    </w:p>
    <w:p w:rsidR="00E44F87" w:rsidRDefault="00E44F87">
      <w:pPr>
        <w:autoSpaceDE w:val="0"/>
        <w:autoSpaceDN w:val="0"/>
        <w:adjustRightInd w:val="0"/>
        <w:jc w:val="both"/>
        <w:rPr>
          <w:rFonts w:ascii="Arial" w:hAnsi="Arial"/>
          <w:sz w:val="16"/>
        </w:rPr>
      </w:pPr>
      <w:r>
        <w:rPr>
          <w:rFonts w:ascii="Arial" w:hAnsi="Arial"/>
          <w:sz w:val="16"/>
        </w:rPr>
        <w:t xml:space="preserve">*  </w:t>
      </w:r>
      <w:r>
        <w:rPr>
          <w:rFonts w:ascii="Arial" w:hAnsi="Arial"/>
          <w:sz w:val="16"/>
        </w:rPr>
        <w:tab/>
        <w:t>p&lt;0.01, Humira vs. placebo at all timepoints for ACR20, 50, 70</w:t>
      </w:r>
    </w:p>
    <w:p w:rsidR="00E44F87" w:rsidRDefault="00E44F87">
      <w:pPr>
        <w:pStyle w:val="CommentText"/>
        <w:autoSpaceDE w:val="0"/>
        <w:autoSpaceDN w:val="0"/>
        <w:adjustRightInd w:val="0"/>
        <w:jc w:val="both"/>
        <w:rPr>
          <w:rFonts w:ascii="Arial" w:hAnsi="Arial"/>
          <w:sz w:val="16"/>
          <w:szCs w:val="24"/>
        </w:rPr>
      </w:pPr>
      <w:r>
        <w:rPr>
          <w:rFonts w:ascii="Arial" w:hAnsi="Arial"/>
          <w:sz w:val="16"/>
          <w:szCs w:val="24"/>
        </w:rPr>
        <w:t>MTX</w:t>
      </w:r>
      <w:r>
        <w:rPr>
          <w:rFonts w:ascii="Arial" w:hAnsi="Arial"/>
          <w:sz w:val="16"/>
          <w:szCs w:val="24"/>
        </w:rPr>
        <w:tab/>
        <w:t>Methotrexate</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Patients receiving Humira 40 mg every week in RA Study II also achieved statistically significant ACR20, 50 and 70 response rates of 53.4%, 35.0% and 18.4%, respectively, at six months.</w:t>
      </w:r>
    </w:p>
    <w:p w:rsidR="00E44F87" w:rsidRDefault="00E44F87">
      <w:pPr>
        <w:autoSpaceDE w:val="0"/>
        <w:autoSpaceDN w:val="0"/>
        <w:adjustRightInd w:val="0"/>
        <w:jc w:val="both"/>
        <w:rPr>
          <w:rFonts w:ascii="Arial" w:hAnsi="Arial"/>
          <w:sz w:val="20"/>
        </w:rPr>
      </w:pPr>
    </w:p>
    <w:p w:rsidR="00E44F87" w:rsidRDefault="00E44F87">
      <w:pPr>
        <w:pStyle w:val="Heading4"/>
        <w:rPr>
          <w:i/>
          <w:szCs w:val="24"/>
        </w:rPr>
      </w:pPr>
      <w:r>
        <w:rPr>
          <w:szCs w:val="24"/>
        </w:rPr>
        <w:t xml:space="preserve">Figure 2: </w:t>
      </w:r>
      <w:r>
        <w:t xml:space="preserve">RA </w:t>
      </w:r>
      <w:r>
        <w:rPr>
          <w:szCs w:val="24"/>
        </w:rPr>
        <w:t>Study II ACR20 Responses over 26 Weeks</w:t>
      </w:r>
    </w:p>
    <w:p w:rsidR="00E44F87" w:rsidRDefault="00D671D6">
      <w:pPr>
        <w:autoSpaceDE w:val="0"/>
        <w:autoSpaceDN w:val="0"/>
        <w:adjustRightInd w:val="0"/>
        <w:jc w:val="center"/>
        <w:rPr>
          <w:rFonts w:ascii="Arial" w:hAnsi="Arial"/>
          <w:sz w:val="20"/>
        </w:rPr>
      </w:pPr>
      <w:r>
        <w:rPr>
          <w:noProof/>
          <w:lang w:eastAsia="en-AU"/>
        </w:rPr>
        <w:drawing>
          <wp:inline distT="0" distB="0" distL="0" distR="0">
            <wp:extent cx="4953000" cy="292735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4F87" w:rsidRDefault="00E44F87" w:rsidP="00F54E04">
      <w:pPr>
        <w:autoSpaceDE w:val="0"/>
        <w:autoSpaceDN w:val="0"/>
        <w:adjustRightInd w:val="0"/>
        <w:rPr>
          <w:rFonts w:ascii="Arial" w:hAnsi="Arial"/>
          <w:sz w:val="20"/>
        </w:rPr>
      </w:pPr>
      <w:r>
        <w:rPr>
          <w:rFonts w:ascii="Arial" w:hAnsi="Arial"/>
          <w:sz w:val="20"/>
        </w:rPr>
        <w:t>The results of the components of the ACR response criteria for RA Study III are shown in Table 2.  ACR response rates and improvement in all ACR response criteria were maintained to Week 104.  Over the 2 years in RA Study III, 20% of Humira patients achieved a major clinical response, defined as maintenance of an ACR70 response over a &gt; 6 month period.</w:t>
      </w:r>
    </w:p>
    <w:p w:rsidR="00E44F87" w:rsidRDefault="00E44F87">
      <w:pPr>
        <w:autoSpaceDE w:val="0"/>
        <w:autoSpaceDN w:val="0"/>
        <w:adjustRightInd w:val="0"/>
        <w:jc w:val="both"/>
        <w:rPr>
          <w:rFonts w:ascii="Arial" w:hAnsi="Arial"/>
          <w:sz w:val="20"/>
        </w:rPr>
      </w:pPr>
    </w:p>
    <w:tbl>
      <w:tblPr>
        <w:tblW w:w="964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2808"/>
        <w:gridCol w:w="990"/>
        <w:gridCol w:w="1170"/>
        <w:gridCol w:w="1170"/>
        <w:gridCol w:w="1170"/>
        <w:gridCol w:w="1170"/>
        <w:gridCol w:w="1170"/>
      </w:tblGrid>
      <w:tr w:rsidR="00E44F87">
        <w:trPr>
          <w:cantSplit/>
        </w:trPr>
        <w:tc>
          <w:tcPr>
            <w:tcW w:w="9648" w:type="dxa"/>
            <w:gridSpan w:val="7"/>
          </w:tcPr>
          <w:p w:rsidR="00E44F87" w:rsidRDefault="00E44F87">
            <w:pPr>
              <w:pStyle w:val="TableText9Point"/>
              <w:rPr>
                <w:rFonts w:ascii="Arial" w:hAnsi="Arial" w:cs="Arial"/>
                <w:lang w:val="en-AU"/>
              </w:rPr>
            </w:pPr>
            <w:r>
              <w:rPr>
                <w:rFonts w:ascii="Arial" w:hAnsi="Arial" w:cs="Arial"/>
                <w:b/>
                <w:bCs/>
                <w:sz w:val="20"/>
                <w:lang w:val="en-AU"/>
              </w:rPr>
              <w:t xml:space="preserve">Table 2:  </w:t>
            </w:r>
            <w:r>
              <w:rPr>
                <w:rFonts w:ascii="Arial" w:hAnsi="Arial" w:cs="Arial"/>
                <w:b/>
                <w:bCs/>
                <w:sz w:val="20"/>
                <w:lang w:val="en-AU"/>
              </w:rPr>
              <w:tab/>
              <w:t xml:space="preserve">Components of ACR Response in </w:t>
            </w:r>
            <w:r>
              <w:rPr>
                <w:rFonts w:ascii="Arial" w:hAnsi="Arial"/>
                <w:b/>
                <w:bCs/>
                <w:sz w:val="20"/>
              </w:rPr>
              <w:t xml:space="preserve">RA </w:t>
            </w:r>
            <w:r>
              <w:rPr>
                <w:rFonts w:ascii="Arial" w:hAnsi="Arial" w:cs="Arial"/>
                <w:b/>
                <w:bCs/>
                <w:sz w:val="20"/>
                <w:lang w:val="en-AU"/>
              </w:rPr>
              <w:t>Study lll</w:t>
            </w:r>
          </w:p>
        </w:tc>
      </w:tr>
      <w:tr w:rsidR="00E44F87">
        <w:trPr>
          <w:cantSplit/>
        </w:trPr>
        <w:tc>
          <w:tcPr>
            <w:tcW w:w="2808" w:type="dxa"/>
            <w:vMerge w:val="restart"/>
            <w:tcBorders>
              <w:top w:val="single" w:sz="4" w:space="0" w:color="auto"/>
              <w:bottom w:val="single" w:sz="4" w:space="0" w:color="auto"/>
            </w:tcBorders>
          </w:tcPr>
          <w:p w:rsidR="00E44F87" w:rsidRDefault="00E44F87">
            <w:pPr>
              <w:pStyle w:val="TableText9Point"/>
              <w:rPr>
                <w:rFonts w:ascii="Arial" w:hAnsi="Arial" w:cs="Arial"/>
                <w:lang w:val="en-AU"/>
              </w:rPr>
            </w:pPr>
            <w:r>
              <w:rPr>
                <w:rFonts w:ascii="Arial" w:hAnsi="Arial" w:cs="Arial"/>
                <w:lang w:val="en-AU"/>
              </w:rPr>
              <w:t>Parameter (median)</w:t>
            </w:r>
          </w:p>
        </w:tc>
        <w:tc>
          <w:tcPr>
            <w:tcW w:w="3330" w:type="dxa"/>
            <w:gridSpan w:val="3"/>
            <w:tcBorders>
              <w:top w:val="single" w:sz="4" w:space="0" w:color="auto"/>
              <w:bottom w:val="single" w:sz="4" w:space="0" w:color="auto"/>
            </w:tcBorders>
          </w:tcPr>
          <w:p w:rsidR="00E44F87" w:rsidRDefault="00E44F87">
            <w:pPr>
              <w:pStyle w:val="TableText9Point"/>
              <w:jc w:val="center"/>
              <w:rPr>
                <w:rFonts w:ascii="Arial" w:hAnsi="Arial" w:cs="Arial"/>
                <w:lang w:val="en-AU"/>
              </w:rPr>
            </w:pPr>
            <w:r>
              <w:rPr>
                <w:rFonts w:ascii="Arial" w:hAnsi="Arial" w:cs="Arial"/>
                <w:lang w:val="en-AU"/>
              </w:rPr>
              <w:t>Placebo/MTX (N = 200)</w:t>
            </w:r>
          </w:p>
        </w:tc>
        <w:tc>
          <w:tcPr>
            <w:tcW w:w="3510" w:type="dxa"/>
            <w:gridSpan w:val="3"/>
            <w:tcBorders>
              <w:top w:val="single" w:sz="4" w:space="0" w:color="auto"/>
              <w:bottom w:val="single" w:sz="4" w:space="0" w:color="auto"/>
            </w:tcBorders>
          </w:tcPr>
          <w:p w:rsidR="00E44F87" w:rsidRDefault="00E44F87">
            <w:pPr>
              <w:pStyle w:val="TableText9Point"/>
              <w:jc w:val="center"/>
              <w:rPr>
                <w:rFonts w:ascii="Arial" w:hAnsi="Arial" w:cs="Arial"/>
                <w:lang w:val="en-AU"/>
              </w:rPr>
            </w:pPr>
            <w:r>
              <w:rPr>
                <w:rFonts w:ascii="Arial" w:hAnsi="Arial" w:cs="Arial"/>
                <w:lang w:val="en-AU"/>
              </w:rPr>
              <w:t>Humira</w:t>
            </w:r>
            <w:r>
              <w:rPr>
                <w:rFonts w:ascii="Arial" w:hAnsi="Arial" w:cs="Arial"/>
                <w:vertAlign w:val="superscript"/>
                <w:lang w:val="en-AU"/>
              </w:rPr>
              <w:t xml:space="preserve">a </w:t>
            </w:r>
            <w:r>
              <w:rPr>
                <w:rFonts w:ascii="Arial" w:hAnsi="Arial" w:cs="Arial"/>
                <w:lang w:val="en-AU"/>
              </w:rPr>
              <w:t>/MTX (N = 207)</w:t>
            </w:r>
          </w:p>
        </w:tc>
      </w:tr>
      <w:tr w:rsidR="00E44F87">
        <w:trPr>
          <w:cantSplit/>
        </w:trPr>
        <w:tc>
          <w:tcPr>
            <w:tcW w:w="2808" w:type="dxa"/>
            <w:vMerge/>
            <w:tcBorders>
              <w:top w:val="nil"/>
              <w:bottom w:val="single" w:sz="4" w:space="0" w:color="auto"/>
            </w:tcBorders>
          </w:tcPr>
          <w:p w:rsidR="00E44F87" w:rsidRDefault="00E44F87">
            <w:pPr>
              <w:pStyle w:val="TableText9Point"/>
              <w:rPr>
                <w:rFonts w:ascii="Arial" w:hAnsi="Arial" w:cs="Arial"/>
                <w:lang w:val="en-AU"/>
              </w:rPr>
            </w:pPr>
          </w:p>
        </w:tc>
        <w:tc>
          <w:tcPr>
            <w:tcW w:w="990" w:type="dxa"/>
            <w:tcBorders>
              <w:top w:val="single" w:sz="4" w:space="0" w:color="auto"/>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Baseline</w:t>
            </w:r>
          </w:p>
        </w:tc>
        <w:tc>
          <w:tcPr>
            <w:tcW w:w="1170" w:type="dxa"/>
            <w:tcBorders>
              <w:top w:val="single" w:sz="4" w:space="0" w:color="auto"/>
              <w:left w:val="nil"/>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Week 24</w:t>
            </w:r>
          </w:p>
        </w:tc>
        <w:tc>
          <w:tcPr>
            <w:tcW w:w="1170" w:type="dxa"/>
            <w:tcBorders>
              <w:top w:val="single" w:sz="4" w:space="0" w:color="auto"/>
              <w:left w:val="nil"/>
              <w:bottom w:val="single" w:sz="4" w:space="0" w:color="auto"/>
            </w:tcBorders>
          </w:tcPr>
          <w:p w:rsidR="00E44F87" w:rsidRDefault="00E44F87">
            <w:pPr>
              <w:pStyle w:val="TableText9Point"/>
              <w:rPr>
                <w:rFonts w:ascii="Arial" w:hAnsi="Arial" w:cs="Arial"/>
                <w:lang w:val="en-AU"/>
              </w:rPr>
            </w:pPr>
            <w:r>
              <w:rPr>
                <w:rFonts w:ascii="Arial" w:hAnsi="Arial" w:cs="Arial"/>
                <w:lang w:val="en-AU"/>
              </w:rPr>
              <w:t>Week 52</w:t>
            </w:r>
          </w:p>
        </w:tc>
        <w:tc>
          <w:tcPr>
            <w:tcW w:w="1170" w:type="dxa"/>
            <w:tcBorders>
              <w:top w:val="single" w:sz="4" w:space="0" w:color="auto"/>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Baseline</w:t>
            </w:r>
          </w:p>
        </w:tc>
        <w:tc>
          <w:tcPr>
            <w:tcW w:w="1170" w:type="dxa"/>
            <w:tcBorders>
              <w:top w:val="single" w:sz="4" w:space="0" w:color="auto"/>
              <w:left w:val="nil"/>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Week 24</w:t>
            </w:r>
          </w:p>
        </w:tc>
        <w:tc>
          <w:tcPr>
            <w:tcW w:w="1170" w:type="dxa"/>
            <w:tcBorders>
              <w:top w:val="single" w:sz="4" w:space="0" w:color="auto"/>
              <w:left w:val="nil"/>
              <w:bottom w:val="single" w:sz="4" w:space="0" w:color="auto"/>
            </w:tcBorders>
          </w:tcPr>
          <w:p w:rsidR="00E44F87" w:rsidRDefault="00E44F87">
            <w:pPr>
              <w:pStyle w:val="TableText9Point"/>
              <w:rPr>
                <w:rFonts w:ascii="Arial" w:hAnsi="Arial" w:cs="Arial"/>
                <w:lang w:val="en-AU"/>
              </w:rPr>
            </w:pPr>
            <w:r>
              <w:rPr>
                <w:rFonts w:ascii="Arial" w:hAnsi="Arial" w:cs="Arial"/>
                <w:lang w:val="en-AU"/>
              </w:rPr>
              <w:t>Week 52</w:t>
            </w:r>
          </w:p>
        </w:tc>
      </w:tr>
      <w:tr w:rsidR="00E44F87">
        <w:tc>
          <w:tcPr>
            <w:tcW w:w="2808" w:type="dxa"/>
            <w:tcBorders>
              <w:top w:val="single" w:sz="4" w:space="0" w:color="auto"/>
            </w:tcBorders>
          </w:tcPr>
          <w:p w:rsidR="00E44F87" w:rsidRDefault="00E44F87">
            <w:pPr>
              <w:pStyle w:val="TableText9Point"/>
              <w:rPr>
                <w:rFonts w:ascii="Arial" w:hAnsi="Arial" w:cs="Arial"/>
                <w:lang w:val="en-AU"/>
              </w:rPr>
            </w:pPr>
            <w:r>
              <w:rPr>
                <w:rFonts w:ascii="Arial" w:hAnsi="Arial" w:cs="Arial"/>
                <w:lang w:val="en-AU"/>
              </w:rPr>
              <w:t>Number of tender joints (0 – 68)</w:t>
            </w:r>
          </w:p>
        </w:tc>
        <w:tc>
          <w:tcPr>
            <w:tcW w:w="990" w:type="dxa"/>
            <w:tcBorders>
              <w:top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26.0</w:t>
            </w:r>
          </w:p>
        </w:tc>
        <w:tc>
          <w:tcPr>
            <w:tcW w:w="1170" w:type="dxa"/>
            <w:tcBorders>
              <w:top w:val="single" w:sz="4" w:space="0" w:color="auto"/>
              <w:left w:val="nil"/>
              <w:bottom w:val="nil"/>
              <w:right w:val="nil"/>
            </w:tcBorders>
          </w:tcPr>
          <w:p w:rsidR="00E44F87" w:rsidRDefault="00E44F87">
            <w:pPr>
              <w:pStyle w:val="TableText9Point"/>
              <w:rPr>
                <w:rFonts w:ascii="Arial" w:hAnsi="Arial" w:cs="Arial"/>
                <w:lang w:val="en-AU"/>
              </w:rPr>
            </w:pPr>
            <w:r>
              <w:rPr>
                <w:rFonts w:ascii="Arial" w:hAnsi="Arial" w:cs="Arial"/>
                <w:lang w:val="en-AU"/>
              </w:rPr>
              <w:t>15.0</w:t>
            </w:r>
          </w:p>
        </w:tc>
        <w:tc>
          <w:tcPr>
            <w:tcW w:w="1170" w:type="dxa"/>
            <w:tcBorders>
              <w:top w:val="single" w:sz="4" w:space="0" w:color="auto"/>
              <w:left w:val="nil"/>
            </w:tcBorders>
          </w:tcPr>
          <w:p w:rsidR="00E44F87" w:rsidRDefault="00E44F87">
            <w:pPr>
              <w:pStyle w:val="TableText9Point"/>
              <w:rPr>
                <w:rFonts w:ascii="Arial" w:hAnsi="Arial" w:cs="Arial"/>
                <w:lang w:val="en-AU"/>
              </w:rPr>
            </w:pPr>
            <w:r>
              <w:rPr>
                <w:rFonts w:ascii="Arial" w:hAnsi="Arial" w:cs="Arial"/>
                <w:lang w:val="en-AU"/>
              </w:rPr>
              <w:t>15.0</w:t>
            </w:r>
          </w:p>
        </w:tc>
        <w:tc>
          <w:tcPr>
            <w:tcW w:w="1170" w:type="dxa"/>
            <w:tcBorders>
              <w:top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24.0</w:t>
            </w:r>
          </w:p>
        </w:tc>
        <w:tc>
          <w:tcPr>
            <w:tcW w:w="1170" w:type="dxa"/>
            <w:tcBorders>
              <w:top w:val="single" w:sz="4" w:space="0" w:color="auto"/>
              <w:left w:val="nil"/>
              <w:bottom w:val="nil"/>
              <w:right w:val="nil"/>
            </w:tcBorders>
          </w:tcPr>
          <w:p w:rsidR="00E44F87" w:rsidRDefault="00E44F87">
            <w:pPr>
              <w:pStyle w:val="TableText9Point"/>
              <w:rPr>
                <w:rFonts w:ascii="Arial" w:hAnsi="Arial" w:cs="Arial"/>
                <w:lang w:val="en-AU"/>
              </w:rPr>
            </w:pPr>
            <w:r>
              <w:rPr>
                <w:rFonts w:ascii="Arial" w:hAnsi="Arial" w:cs="Arial"/>
                <w:lang w:val="en-AU"/>
              </w:rPr>
              <w:t>8.0*</w:t>
            </w:r>
          </w:p>
        </w:tc>
        <w:tc>
          <w:tcPr>
            <w:tcW w:w="1170" w:type="dxa"/>
            <w:tcBorders>
              <w:top w:val="single" w:sz="4" w:space="0" w:color="auto"/>
              <w:left w:val="nil"/>
            </w:tcBorders>
          </w:tcPr>
          <w:p w:rsidR="00E44F87" w:rsidRDefault="00E44F87">
            <w:pPr>
              <w:pStyle w:val="TableText9Point"/>
              <w:rPr>
                <w:rFonts w:ascii="Arial" w:hAnsi="Arial" w:cs="Arial"/>
                <w:lang w:val="en-AU"/>
              </w:rPr>
            </w:pPr>
            <w:r>
              <w:rPr>
                <w:rFonts w:ascii="Arial" w:hAnsi="Arial" w:cs="Arial"/>
                <w:lang w:val="en-AU"/>
              </w:rPr>
              <w:t>6.0*</w:t>
            </w:r>
          </w:p>
        </w:tc>
      </w:tr>
      <w:tr w:rsidR="00E44F87">
        <w:tc>
          <w:tcPr>
            <w:tcW w:w="2808" w:type="dxa"/>
          </w:tcPr>
          <w:p w:rsidR="00E44F87" w:rsidRDefault="00E44F87">
            <w:pPr>
              <w:pStyle w:val="TableText9Point"/>
              <w:rPr>
                <w:rFonts w:ascii="Arial" w:hAnsi="Arial" w:cs="Arial"/>
                <w:lang w:val="en-AU"/>
              </w:rPr>
            </w:pPr>
            <w:r>
              <w:rPr>
                <w:rFonts w:ascii="Arial" w:hAnsi="Arial" w:cs="Arial"/>
                <w:lang w:val="en-AU"/>
              </w:rPr>
              <w:t>Number of swollen joints (0-66)</w:t>
            </w:r>
          </w:p>
        </w:tc>
        <w:tc>
          <w:tcPr>
            <w:tcW w:w="990" w:type="dxa"/>
            <w:tcBorders>
              <w:right w:val="nil"/>
            </w:tcBorders>
          </w:tcPr>
          <w:p w:rsidR="00E44F87" w:rsidRDefault="00E44F87">
            <w:pPr>
              <w:pStyle w:val="TableText9Point"/>
              <w:rPr>
                <w:rFonts w:ascii="Arial" w:hAnsi="Arial" w:cs="Arial"/>
                <w:lang w:val="en-AU"/>
              </w:rPr>
            </w:pPr>
            <w:r>
              <w:rPr>
                <w:rFonts w:ascii="Arial" w:hAnsi="Arial" w:cs="Arial"/>
                <w:lang w:val="en-AU"/>
              </w:rPr>
              <w:t>17.0</w:t>
            </w:r>
          </w:p>
        </w:tc>
        <w:tc>
          <w:tcPr>
            <w:tcW w:w="1170" w:type="dxa"/>
            <w:tcBorders>
              <w:top w:val="nil"/>
              <w:left w:val="nil"/>
              <w:bottom w:val="nil"/>
              <w:right w:val="nil"/>
            </w:tcBorders>
          </w:tcPr>
          <w:p w:rsidR="00E44F87" w:rsidRDefault="00E44F87">
            <w:pPr>
              <w:pStyle w:val="TableText9Point"/>
              <w:rPr>
                <w:rFonts w:ascii="Arial" w:hAnsi="Arial" w:cs="Arial"/>
                <w:lang w:val="en-AU"/>
              </w:rPr>
            </w:pPr>
            <w:r>
              <w:rPr>
                <w:rFonts w:ascii="Arial" w:hAnsi="Arial" w:cs="Arial"/>
                <w:lang w:val="en-AU"/>
              </w:rPr>
              <w:t>11.0</w:t>
            </w:r>
          </w:p>
        </w:tc>
        <w:tc>
          <w:tcPr>
            <w:tcW w:w="1170" w:type="dxa"/>
            <w:tcBorders>
              <w:left w:val="nil"/>
            </w:tcBorders>
          </w:tcPr>
          <w:p w:rsidR="00E44F87" w:rsidRDefault="00E44F87">
            <w:pPr>
              <w:pStyle w:val="TableText9Point"/>
              <w:rPr>
                <w:rFonts w:ascii="Arial" w:hAnsi="Arial" w:cs="Arial"/>
                <w:lang w:val="en-AU"/>
              </w:rPr>
            </w:pPr>
            <w:r>
              <w:rPr>
                <w:rFonts w:ascii="Arial" w:hAnsi="Arial" w:cs="Arial"/>
                <w:lang w:val="en-AU"/>
              </w:rPr>
              <w:t>11.0</w:t>
            </w:r>
          </w:p>
        </w:tc>
        <w:tc>
          <w:tcPr>
            <w:tcW w:w="1170" w:type="dxa"/>
            <w:tcBorders>
              <w:right w:val="nil"/>
            </w:tcBorders>
          </w:tcPr>
          <w:p w:rsidR="00E44F87" w:rsidRDefault="00E44F87">
            <w:pPr>
              <w:pStyle w:val="TableText9Point"/>
              <w:rPr>
                <w:rFonts w:ascii="Arial" w:hAnsi="Arial" w:cs="Arial"/>
                <w:lang w:val="en-AU"/>
              </w:rPr>
            </w:pPr>
            <w:r>
              <w:rPr>
                <w:rFonts w:ascii="Arial" w:hAnsi="Arial" w:cs="Arial"/>
                <w:lang w:val="en-AU"/>
              </w:rPr>
              <w:t>18.0</w:t>
            </w:r>
          </w:p>
        </w:tc>
        <w:tc>
          <w:tcPr>
            <w:tcW w:w="1170" w:type="dxa"/>
            <w:tcBorders>
              <w:top w:val="nil"/>
              <w:left w:val="nil"/>
              <w:bottom w:val="nil"/>
              <w:right w:val="nil"/>
            </w:tcBorders>
          </w:tcPr>
          <w:p w:rsidR="00E44F87" w:rsidRDefault="00E44F87">
            <w:pPr>
              <w:pStyle w:val="TableText9Point"/>
              <w:rPr>
                <w:rFonts w:ascii="Arial" w:hAnsi="Arial" w:cs="Arial"/>
                <w:lang w:val="en-AU"/>
              </w:rPr>
            </w:pPr>
            <w:r>
              <w:rPr>
                <w:rFonts w:ascii="Arial" w:hAnsi="Arial" w:cs="Arial"/>
                <w:lang w:val="en-AU"/>
              </w:rPr>
              <w:t>5.0*</w:t>
            </w:r>
          </w:p>
        </w:tc>
        <w:tc>
          <w:tcPr>
            <w:tcW w:w="1170" w:type="dxa"/>
            <w:tcBorders>
              <w:left w:val="nil"/>
            </w:tcBorders>
          </w:tcPr>
          <w:p w:rsidR="00E44F87" w:rsidRDefault="00E44F87">
            <w:pPr>
              <w:pStyle w:val="TableText9Point"/>
              <w:rPr>
                <w:rFonts w:ascii="Arial" w:hAnsi="Arial" w:cs="Arial"/>
                <w:lang w:val="en-AU"/>
              </w:rPr>
            </w:pPr>
            <w:r>
              <w:rPr>
                <w:rFonts w:ascii="Arial" w:hAnsi="Arial" w:cs="Arial"/>
                <w:lang w:val="en-AU"/>
              </w:rPr>
              <w:t>4.0*</w:t>
            </w:r>
          </w:p>
        </w:tc>
      </w:tr>
      <w:tr w:rsidR="00E44F87">
        <w:tc>
          <w:tcPr>
            <w:tcW w:w="2808" w:type="dxa"/>
          </w:tcPr>
          <w:p w:rsidR="00E44F87" w:rsidRDefault="00E44F87">
            <w:pPr>
              <w:pStyle w:val="TableText9Point"/>
              <w:rPr>
                <w:rFonts w:ascii="Arial" w:hAnsi="Arial" w:cs="Arial"/>
                <w:lang w:val="en-AU"/>
              </w:rPr>
            </w:pPr>
            <w:r>
              <w:rPr>
                <w:rFonts w:ascii="Arial" w:hAnsi="Arial" w:cs="Arial"/>
                <w:lang w:val="en-AU"/>
              </w:rPr>
              <w:t xml:space="preserve">Physician global assessment </w:t>
            </w:r>
          </w:p>
          <w:p w:rsidR="00E44F87" w:rsidRDefault="00E44F87">
            <w:pPr>
              <w:pStyle w:val="TableText9Point"/>
              <w:rPr>
                <w:rFonts w:ascii="Arial" w:hAnsi="Arial" w:cs="Arial"/>
                <w:lang w:val="en-AU"/>
              </w:rPr>
            </w:pPr>
            <w:r>
              <w:rPr>
                <w:rFonts w:ascii="Arial" w:hAnsi="Arial" w:cs="Arial"/>
                <w:lang w:val="en-AU"/>
              </w:rPr>
              <w:t>disease activity</w:t>
            </w:r>
            <w:r>
              <w:rPr>
                <w:rFonts w:ascii="Arial" w:hAnsi="Arial" w:cs="Arial"/>
                <w:vertAlign w:val="superscript"/>
                <w:lang w:val="en-AU"/>
              </w:rPr>
              <w:t>b</w:t>
            </w:r>
          </w:p>
        </w:tc>
        <w:tc>
          <w:tcPr>
            <w:tcW w:w="990" w:type="dxa"/>
            <w:tcBorders>
              <w:right w:val="nil"/>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63.0</w:t>
            </w:r>
          </w:p>
        </w:tc>
        <w:tc>
          <w:tcPr>
            <w:tcW w:w="1170" w:type="dxa"/>
            <w:tcBorders>
              <w:top w:val="nil"/>
              <w:left w:val="nil"/>
              <w:bottom w:val="nil"/>
              <w:right w:val="nil"/>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35.0</w:t>
            </w:r>
          </w:p>
        </w:tc>
        <w:tc>
          <w:tcPr>
            <w:tcW w:w="1170" w:type="dxa"/>
            <w:tcBorders>
              <w:left w:val="nil"/>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38.0</w:t>
            </w:r>
          </w:p>
        </w:tc>
        <w:tc>
          <w:tcPr>
            <w:tcW w:w="1170" w:type="dxa"/>
            <w:tcBorders>
              <w:right w:val="nil"/>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65.0</w:t>
            </w:r>
          </w:p>
        </w:tc>
        <w:tc>
          <w:tcPr>
            <w:tcW w:w="1170" w:type="dxa"/>
            <w:tcBorders>
              <w:top w:val="nil"/>
              <w:left w:val="nil"/>
              <w:bottom w:val="nil"/>
              <w:right w:val="nil"/>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20.0*</w:t>
            </w:r>
          </w:p>
        </w:tc>
        <w:tc>
          <w:tcPr>
            <w:tcW w:w="1170" w:type="dxa"/>
            <w:tcBorders>
              <w:left w:val="nil"/>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16.0*</w:t>
            </w:r>
          </w:p>
        </w:tc>
      </w:tr>
      <w:tr w:rsidR="00E44F87">
        <w:tc>
          <w:tcPr>
            <w:tcW w:w="2808" w:type="dxa"/>
          </w:tcPr>
          <w:p w:rsidR="00E44F87" w:rsidRDefault="00E44F87">
            <w:pPr>
              <w:pStyle w:val="TableText9Point"/>
              <w:rPr>
                <w:rFonts w:ascii="Arial" w:hAnsi="Arial" w:cs="Arial"/>
                <w:lang w:val="en-AU"/>
              </w:rPr>
            </w:pPr>
            <w:r>
              <w:rPr>
                <w:rFonts w:ascii="Arial" w:hAnsi="Arial" w:cs="Arial"/>
                <w:lang w:val="en-AU"/>
              </w:rPr>
              <w:t xml:space="preserve">Patient global assessment </w:t>
            </w:r>
          </w:p>
          <w:p w:rsidR="00E44F87" w:rsidRDefault="00E44F87">
            <w:pPr>
              <w:pStyle w:val="TableText9Point"/>
              <w:rPr>
                <w:rFonts w:ascii="Arial" w:hAnsi="Arial" w:cs="Arial"/>
                <w:lang w:val="en-AU"/>
              </w:rPr>
            </w:pPr>
            <w:r>
              <w:rPr>
                <w:rFonts w:ascii="Arial" w:hAnsi="Arial" w:cs="Arial"/>
                <w:lang w:val="en-AU"/>
              </w:rPr>
              <w:t>disease activity</w:t>
            </w:r>
            <w:r>
              <w:rPr>
                <w:rFonts w:ascii="Arial" w:hAnsi="Arial" w:cs="Arial"/>
                <w:vertAlign w:val="superscript"/>
                <w:lang w:val="en-AU"/>
              </w:rPr>
              <w:t>b</w:t>
            </w:r>
          </w:p>
        </w:tc>
        <w:tc>
          <w:tcPr>
            <w:tcW w:w="990" w:type="dxa"/>
            <w:tcBorders>
              <w:right w:val="nil"/>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53.5</w:t>
            </w:r>
          </w:p>
        </w:tc>
        <w:tc>
          <w:tcPr>
            <w:tcW w:w="1170" w:type="dxa"/>
            <w:tcBorders>
              <w:top w:val="nil"/>
              <w:left w:val="nil"/>
              <w:bottom w:val="nil"/>
              <w:right w:val="nil"/>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39.0</w:t>
            </w:r>
          </w:p>
        </w:tc>
        <w:tc>
          <w:tcPr>
            <w:tcW w:w="1170" w:type="dxa"/>
            <w:tcBorders>
              <w:left w:val="nil"/>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43.0</w:t>
            </w:r>
          </w:p>
        </w:tc>
        <w:tc>
          <w:tcPr>
            <w:tcW w:w="1170" w:type="dxa"/>
            <w:tcBorders>
              <w:right w:val="nil"/>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52.0</w:t>
            </w:r>
          </w:p>
        </w:tc>
        <w:tc>
          <w:tcPr>
            <w:tcW w:w="1170" w:type="dxa"/>
            <w:tcBorders>
              <w:top w:val="nil"/>
              <w:left w:val="nil"/>
              <w:bottom w:val="nil"/>
              <w:right w:val="nil"/>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20.0*</w:t>
            </w:r>
          </w:p>
        </w:tc>
        <w:tc>
          <w:tcPr>
            <w:tcW w:w="1170" w:type="dxa"/>
            <w:tcBorders>
              <w:left w:val="nil"/>
            </w:tcBorders>
          </w:tcPr>
          <w:p w:rsidR="00E44F87" w:rsidRDefault="00E44F87">
            <w:pPr>
              <w:pStyle w:val="TableText9Point"/>
              <w:rPr>
                <w:rFonts w:ascii="Arial" w:hAnsi="Arial" w:cs="Arial"/>
                <w:lang w:val="en-AU"/>
              </w:rPr>
            </w:pPr>
          </w:p>
          <w:p w:rsidR="00E44F87" w:rsidRDefault="00E44F87">
            <w:pPr>
              <w:pStyle w:val="TableText9Point"/>
              <w:rPr>
                <w:rFonts w:ascii="Arial" w:hAnsi="Arial" w:cs="Arial"/>
                <w:lang w:val="en-AU"/>
              </w:rPr>
            </w:pPr>
            <w:r>
              <w:rPr>
                <w:rFonts w:ascii="Arial" w:hAnsi="Arial" w:cs="Arial"/>
                <w:lang w:val="en-AU"/>
              </w:rPr>
              <w:t>18.0*</w:t>
            </w:r>
          </w:p>
        </w:tc>
      </w:tr>
      <w:tr w:rsidR="00E44F87">
        <w:tc>
          <w:tcPr>
            <w:tcW w:w="2808" w:type="dxa"/>
          </w:tcPr>
          <w:p w:rsidR="00E44F87" w:rsidRDefault="00E44F87">
            <w:pPr>
              <w:pStyle w:val="TableText9Point"/>
              <w:rPr>
                <w:rFonts w:ascii="Arial" w:hAnsi="Arial" w:cs="Arial"/>
                <w:lang w:val="en-AU"/>
              </w:rPr>
            </w:pPr>
            <w:r>
              <w:rPr>
                <w:rFonts w:ascii="Arial" w:hAnsi="Arial" w:cs="Arial"/>
                <w:lang w:val="en-AU"/>
              </w:rPr>
              <w:t>Pain</w:t>
            </w:r>
            <w:r>
              <w:rPr>
                <w:rFonts w:ascii="Arial" w:hAnsi="Arial" w:cs="Arial"/>
                <w:vertAlign w:val="superscript"/>
                <w:lang w:val="en-AU"/>
              </w:rPr>
              <w:t>b</w:t>
            </w:r>
          </w:p>
        </w:tc>
        <w:tc>
          <w:tcPr>
            <w:tcW w:w="990" w:type="dxa"/>
            <w:tcBorders>
              <w:right w:val="nil"/>
            </w:tcBorders>
          </w:tcPr>
          <w:p w:rsidR="00E44F87" w:rsidRDefault="00E44F87">
            <w:pPr>
              <w:pStyle w:val="TableText9Point"/>
              <w:rPr>
                <w:rFonts w:ascii="Arial" w:hAnsi="Arial" w:cs="Arial"/>
                <w:lang w:val="en-AU"/>
              </w:rPr>
            </w:pPr>
            <w:r>
              <w:rPr>
                <w:rFonts w:ascii="Arial" w:hAnsi="Arial" w:cs="Arial"/>
                <w:lang w:val="en-AU"/>
              </w:rPr>
              <w:t>59.5</w:t>
            </w:r>
          </w:p>
        </w:tc>
        <w:tc>
          <w:tcPr>
            <w:tcW w:w="1170" w:type="dxa"/>
            <w:tcBorders>
              <w:top w:val="nil"/>
              <w:left w:val="nil"/>
              <w:bottom w:val="nil"/>
              <w:right w:val="nil"/>
            </w:tcBorders>
          </w:tcPr>
          <w:p w:rsidR="00E44F87" w:rsidRDefault="00E44F87">
            <w:pPr>
              <w:pStyle w:val="TableText9Point"/>
              <w:rPr>
                <w:rFonts w:ascii="Arial" w:hAnsi="Arial" w:cs="Arial"/>
                <w:lang w:val="en-AU"/>
              </w:rPr>
            </w:pPr>
            <w:r>
              <w:rPr>
                <w:rFonts w:ascii="Arial" w:hAnsi="Arial" w:cs="Arial"/>
                <w:lang w:val="en-AU"/>
              </w:rPr>
              <w:t>38.0</w:t>
            </w:r>
          </w:p>
        </w:tc>
        <w:tc>
          <w:tcPr>
            <w:tcW w:w="1170" w:type="dxa"/>
            <w:tcBorders>
              <w:left w:val="nil"/>
            </w:tcBorders>
          </w:tcPr>
          <w:p w:rsidR="00E44F87" w:rsidRDefault="00E44F87">
            <w:pPr>
              <w:pStyle w:val="TableText9Point"/>
              <w:rPr>
                <w:rFonts w:ascii="Arial" w:hAnsi="Arial" w:cs="Arial"/>
                <w:lang w:val="en-AU"/>
              </w:rPr>
            </w:pPr>
            <w:r>
              <w:rPr>
                <w:rFonts w:ascii="Arial" w:hAnsi="Arial" w:cs="Arial"/>
                <w:lang w:val="en-AU"/>
              </w:rPr>
              <w:t>46.0</w:t>
            </w:r>
          </w:p>
        </w:tc>
        <w:tc>
          <w:tcPr>
            <w:tcW w:w="1170" w:type="dxa"/>
            <w:tcBorders>
              <w:right w:val="nil"/>
            </w:tcBorders>
          </w:tcPr>
          <w:p w:rsidR="00E44F87" w:rsidRDefault="00E44F87">
            <w:pPr>
              <w:pStyle w:val="TableText9Point"/>
              <w:rPr>
                <w:rFonts w:ascii="Arial" w:hAnsi="Arial" w:cs="Arial"/>
                <w:lang w:val="en-AU"/>
              </w:rPr>
            </w:pPr>
            <w:r>
              <w:rPr>
                <w:rFonts w:ascii="Arial" w:hAnsi="Arial" w:cs="Arial"/>
                <w:lang w:val="en-AU"/>
              </w:rPr>
              <w:t>58.0</w:t>
            </w:r>
          </w:p>
        </w:tc>
        <w:tc>
          <w:tcPr>
            <w:tcW w:w="1170" w:type="dxa"/>
            <w:tcBorders>
              <w:top w:val="nil"/>
              <w:left w:val="nil"/>
              <w:bottom w:val="nil"/>
              <w:right w:val="nil"/>
            </w:tcBorders>
          </w:tcPr>
          <w:p w:rsidR="00E44F87" w:rsidRDefault="00E44F87">
            <w:pPr>
              <w:pStyle w:val="TableText9Point"/>
              <w:rPr>
                <w:rFonts w:ascii="Arial" w:hAnsi="Arial" w:cs="Arial"/>
                <w:lang w:val="en-AU"/>
              </w:rPr>
            </w:pPr>
            <w:r>
              <w:rPr>
                <w:rFonts w:ascii="Arial" w:hAnsi="Arial" w:cs="Arial"/>
                <w:lang w:val="en-AU"/>
              </w:rPr>
              <w:t>21.0*</w:t>
            </w:r>
          </w:p>
        </w:tc>
        <w:tc>
          <w:tcPr>
            <w:tcW w:w="1170" w:type="dxa"/>
            <w:tcBorders>
              <w:left w:val="nil"/>
            </w:tcBorders>
          </w:tcPr>
          <w:p w:rsidR="00E44F87" w:rsidRDefault="00E44F87">
            <w:pPr>
              <w:pStyle w:val="TableText9Point"/>
              <w:rPr>
                <w:rFonts w:ascii="Arial" w:hAnsi="Arial" w:cs="Arial"/>
                <w:lang w:val="en-AU"/>
              </w:rPr>
            </w:pPr>
            <w:r>
              <w:rPr>
                <w:rFonts w:ascii="Arial" w:hAnsi="Arial" w:cs="Arial"/>
                <w:lang w:val="en-AU"/>
              </w:rPr>
              <w:t>19.0*</w:t>
            </w:r>
          </w:p>
        </w:tc>
      </w:tr>
      <w:tr w:rsidR="00E44F87">
        <w:tc>
          <w:tcPr>
            <w:tcW w:w="2808" w:type="dxa"/>
          </w:tcPr>
          <w:p w:rsidR="00E44F87" w:rsidRDefault="00E44F87">
            <w:pPr>
              <w:pStyle w:val="TableText9Point"/>
              <w:rPr>
                <w:rFonts w:ascii="Arial" w:hAnsi="Arial" w:cs="Arial"/>
                <w:lang w:val="en-AU"/>
              </w:rPr>
            </w:pPr>
            <w:r>
              <w:rPr>
                <w:rFonts w:ascii="Arial" w:hAnsi="Arial" w:cs="Arial"/>
                <w:lang w:val="en-AU"/>
              </w:rPr>
              <w:t>Disability index (HAQ)</w:t>
            </w:r>
            <w:r>
              <w:rPr>
                <w:rFonts w:ascii="Arial" w:hAnsi="Arial" w:cs="Arial"/>
                <w:vertAlign w:val="superscript"/>
                <w:lang w:val="en-AU"/>
              </w:rPr>
              <w:t>c</w:t>
            </w:r>
          </w:p>
        </w:tc>
        <w:tc>
          <w:tcPr>
            <w:tcW w:w="990" w:type="dxa"/>
            <w:tcBorders>
              <w:right w:val="nil"/>
            </w:tcBorders>
          </w:tcPr>
          <w:p w:rsidR="00E44F87" w:rsidRDefault="00E44F87">
            <w:pPr>
              <w:pStyle w:val="TableText9Point"/>
              <w:rPr>
                <w:rFonts w:ascii="Arial" w:hAnsi="Arial" w:cs="Arial"/>
                <w:lang w:val="en-AU"/>
              </w:rPr>
            </w:pPr>
            <w:r>
              <w:rPr>
                <w:rFonts w:ascii="Arial" w:hAnsi="Arial" w:cs="Arial"/>
                <w:lang w:val="en-AU"/>
              </w:rPr>
              <w:t>1.50</w:t>
            </w:r>
          </w:p>
        </w:tc>
        <w:tc>
          <w:tcPr>
            <w:tcW w:w="1170" w:type="dxa"/>
            <w:tcBorders>
              <w:top w:val="nil"/>
              <w:left w:val="nil"/>
              <w:bottom w:val="nil"/>
              <w:right w:val="nil"/>
            </w:tcBorders>
          </w:tcPr>
          <w:p w:rsidR="00E44F87" w:rsidRDefault="00E44F87">
            <w:pPr>
              <w:pStyle w:val="TableText9Point"/>
              <w:rPr>
                <w:rFonts w:ascii="Arial" w:hAnsi="Arial" w:cs="Arial"/>
                <w:lang w:val="en-AU"/>
              </w:rPr>
            </w:pPr>
            <w:r>
              <w:rPr>
                <w:rFonts w:ascii="Arial" w:hAnsi="Arial" w:cs="Arial"/>
                <w:lang w:val="en-AU"/>
              </w:rPr>
              <w:t>1.25</w:t>
            </w:r>
          </w:p>
        </w:tc>
        <w:tc>
          <w:tcPr>
            <w:tcW w:w="1170" w:type="dxa"/>
            <w:tcBorders>
              <w:left w:val="nil"/>
            </w:tcBorders>
          </w:tcPr>
          <w:p w:rsidR="00E44F87" w:rsidRDefault="00E44F87">
            <w:pPr>
              <w:pStyle w:val="TableText9Point"/>
              <w:rPr>
                <w:rFonts w:ascii="Arial" w:hAnsi="Arial" w:cs="Arial"/>
                <w:lang w:val="en-AU"/>
              </w:rPr>
            </w:pPr>
            <w:r>
              <w:rPr>
                <w:rFonts w:ascii="Arial" w:hAnsi="Arial" w:cs="Arial"/>
                <w:lang w:val="en-AU"/>
              </w:rPr>
              <w:t>1.25</w:t>
            </w:r>
          </w:p>
        </w:tc>
        <w:tc>
          <w:tcPr>
            <w:tcW w:w="1170" w:type="dxa"/>
            <w:tcBorders>
              <w:right w:val="nil"/>
            </w:tcBorders>
          </w:tcPr>
          <w:p w:rsidR="00E44F87" w:rsidRDefault="00E44F87">
            <w:pPr>
              <w:pStyle w:val="TableText9Point"/>
              <w:rPr>
                <w:rFonts w:ascii="Arial" w:hAnsi="Arial" w:cs="Arial"/>
                <w:lang w:val="en-AU"/>
              </w:rPr>
            </w:pPr>
            <w:r>
              <w:rPr>
                <w:rFonts w:ascii="Arial" w:hAnsi="Arial" w:cs="Arial"/>
                <w:lang w:val="en-AU"/>
              </w:rPr>
              <w:t>1.50</w:t>
            </w:r>
          </w:p>
        </w:tc>
        <w:tc>
          <w:tcPr>
            <w:tcW w:w="1170" w:type="dxa"/>
            <w:tcBorders>
              <w:top w:val="nil"/>
              <w:left w:val="nil"/>
              <w:bottom w:val="nil"/>
              <w:right w:val="nil"/>
            </w:tcBorders>
          </w:tcPr>
          <w:p w:rsidR="00E44F87" w:rsidRDefault="00E44F87">
            <w:pPr>
              <w:pStyle w:val="TableText9Point"/>
              <w:rPr>
                <w:rFonts w:ascii="Arial" w:hAnsi="Arial" w:cs="Arial"/>
                <w:lang w:val="en-AU"/>
              </w:rPr>
            </w:pPr>
            <w:r>
              <w:rPr>
                <w:rFonts w:ascii="Arial" w:hAnsi="Arial" w:cs="Arial"/>
                <w:lang w:val="en-AU"/>
              </w:rPr>
              <w:t>0.75*</w:t>
            </w:r>
          </w:p>
        </w:tc>
        <w:tc>
          <w:tcPr>
            <w:tcW w:w="1170" w:type="dxa"/>
            <w:tcBorders>
              <w:left w:val="nil"/>
            </w:tcBorders>
          </w:tcPr>
          <w:p w:rsidR="00E44F87" w:rsidRDefault="00E44F87">
            <w:pPr>
              <w:pStyle w:val="TableText9Point"/>
              <w:rPr>
                <w:rFonts w:ascii="Arial" w:hAnsi="Arial" w:cs="Arial"/>
                <w:lang w:val="en-AU"/>
              </w:rPr>
            </w:pPr>
            <w:r>
              <w:rPr>
                <w:rFonts w:ascii="Arial" w:hAnsi="Arial" w:cs="Arial"/>
                <w:lang w:val="en-AU"/>
              </w:rPr>
              <w:t>0.75*</w:t>
            </w:r>
          </w:p>
        </w:tc>
      </w:tr>
      <w:tr w:rsidR="00E44F87">
        <w:trPr>
          <w:trHeight w:val="188"/>
        </w:trPr>
        <w:tc>
          <w:tcPr>
            <w:tcW w:w="2808" w:type="dxa"/>
          </w:tcPr>
          <w:p w:rsidR="00E44F87" w:rsidRDefault="00E44F87">
            <w:pPr>
              <w:pStyle w:val="TableText9Point"/>
              <w:rPr>
                <w:rFonts w:ascii="Arial" w:hAnsi="Arial" w:cs="Arial"/>
                <w:lang w:val="en-AU"/>
              </w:rPr>
            </w:pPr>
            <w:r>
              <w:rPr>
                <w:rFonts w:ascii="Arial" w:hAnsi="Arial" w:cs="Arial"/>
                <w:lang w:val="en-AU"/>
              </w:rPr>
              <w:t xml:space="preserve">CRP (mg/L) </w:t>
            </w:r>
          </w:p>
        </w:tc>
        <w:tc>
          <w:tcPr>
            <w:tcW w:w="990" w:type="dxa"/>
            <w:tcBorders>
              <w:right w:val="nil"/>
            </w:tcBorders>
          </w:tcPr>
          <w:p w:rsidR="00E44F87" w:rsidRDefault="00E44F87">
            <w:pPr>
              <w:pStyle w:val="TableText9Point"/>
              <w:rPr>
                <w:rFonts w:ascii="Arial" w:hAnsi="Arial" w:cs="Arial"/>
                <w:lang w:val="en-AU"/>
              </w:rPr>
            </w:pPr>
            <w:r>
              <w:rPr>
                <w:rFonts w:ascii="Arial" w:hAnsi="Arial" w:cs="Arial"/>
                <w:lang w:val="en-AU"/>
              </w:rPr>
              <w:t>10.0</w:t>
            </w:r>
          </w:p>
        </w:tc>
        <w:tc>
          <w:tcPr>
            <w:tcW w:w="1170" w:type="dxa"/>
            <w:tcBorders>
              <w:top w:val="nil"/>
              <w:left w:val="nil"/>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9.0</w:t>
            </w:r>
          </w:p>
        </w:tc>
        <w:tc>
          <w:tcPr>
            <w:tcW w:w="1170" w:type="dxa"/>
            <w:tcBorders>
              <w:left w:val="nil"/>
            </w:tcBorders>
          </w:tcPr>
          <w:p w:rsidR="00E44F87" w:rsidRDefault="00E44F87">
            <w:pPr>
              <w:pStyle w:val="TableText9Point"/>
              <w:rPr>
                <w:rFonts w:ascii="Arial" w:hAnsi="Arial" w:cs="Arial"/>
                <w:lang w:val="en-AU"/>
              </w:rPr>
            </w:pPr>
            <w:r>
              <w:rPr>
                <w:rFonts w:ascii="Arial" w:hAnsi="Arial" w:cs="Arial"/>
                <w:lang w:val="en-AU"/>
              </w:rPr>
              <w:t>9.0</w:t>
            </w:r>
          </w:p>
        </w:tc>
        <w:tc>
          <w:tcPr>
            <w:tcW w:w="1170" w:type="dxa"/>
            <w:tcBorders>
              <w:right w:val="nil"/>
            </w:tcBorders>
          </w:tcPr>
          <w:p w:rsidR="00E44F87" w:rsidRDefault="00E44F87">
            <w:pPr>
              <w:pStyle w:val="TableText9Point"/>
              <w:rPr>
                <w:rFonts w:ascii="Arial" w:hAnsi="Arial" w:cs="Arial"/>
                <w:lang w:val="en-AU"/>
              </w:rPr>
            </w:pPr>
            <w:r>
              <w:rPr>
                <w:rFonts w:ascii="Arial" w:hAnsi="Arial" w:cs="Arial"/>
                <w:lang w:val="en-AU"/>
              </w:rPr>
              <w:t>10.0</w:t>
            </w:r>
          </w:p>
        </w:tc>
        <w:tc>
          <w:tcPr>
            <w:tcW w:w="1170" w:type="dxa"/>
            <w:tcBorders>
              <w:top w:val="nil"/>
              <w:left w:val="nil"/>
              <w:bottom w:val="single" w:sz="4" w:space="0" w:color="auto"/>
              <w:right w:val="nil"/>
            </w:tcBorders>
          </w:tcPr>
          <w:p w:rsidR="00E44F87" w:rsidRDefault="00E44F87">
            <w:pPr>
              <w:pStyle w:val="TableText9Point"/>
              <w:rPr>
                <w:rFonts w:ascii="Arial" w:hAnsi="Arial" w:cs="Arial"/>
                <w:lang w:val="en-AU"/>
              </w:rPr>
            </w:pPr>
            <w:r>
              <w:rPr>
                <w:rFonts w:ascii="Arial" w:hAnsi="Arial" w:cs="Arial"/>
                <w:lang w:val="en-AU"/>
              </w:rPr>
              <w:t>4.0*</w:t>
            </w:r>
          </w:p>
        </w:tc>
        <w:tc>
          <w:tcPr>
            <w:tcW w:w="1170" w:type="dxa"/>
            <w:tcBorders>
              <w:left w:val="nil"/>
            </w:tcBorders>
          </w:tcPr>
          <w:p w:rsidR="00E44F87" w:rsidRDefault="00E44F87">
            <w:pPr>
              <w:pStyle w:val="TableText9Point"/>
              <w:rPr>
                <w:rFonts w:ascii="Arial" w:hAnsi="Arial" w:cs="Arial"/>
                <w:lang w:val="en-AU"/>
              </w:rPr>
            </w:pPr>
            <w:r>
              <w:rPr>
                <w:rFonts w:ascii="Arial" w:hAnsi="Arial" w:cs="Arial"/>
                <w:lang w:val="en-AU"/>
              </w:rPr>
              <w:t>4.0*</w:t>
            </w:r>
          </w:p>
        </w:tc>
      </w:tr>
    </w:tbl>
    <w:p w:rsidR="00E44F87" w:rsidRDefault="00E44F87">
      <w:pPr>
        <w:autoSpaceDE w:val="0"/>
        <w:autoSpaceDN w:val="0"/>
        <w:adjustRightInd w:val="0"/>
        <w:jc w:val="both"/>
        <w:rPr>
          <w:rFonts w:ascii="Arial" w:hAnsi="Arial"/>
          <w:b/>
          <w:sz w:val="20"/>
        </w:rPr>
      </w:pPr>
    </w:p>
    <w:p w:rsidR="00E44F87" w:rsidRDefault="00E44F87">
      <w:pPr>
        <w:autoSpaceDE w:val="0"/>
        <w:autoSpaceDN w:val="0"/>
        <w:adjustRightInd w:val="0"/>
        <w:jc w:val="both"/>
        <w:rPr>
          <w:rFonts w:ascii="Arial" w:hAnsi="Arial"/>
          <w:sz w:val="16"/>
        </w:rPr>
      </w:pPr>
      <w:proofErr w:type="gramStart"/>
      <w:r>
        <w:rPr>
          <w:rFonts w:ascii="Arial" w:hAnsi="Arial"/>
          <w:sz w:val="16"/>
          <w:vertAlign w:val="superscript"/>
        </w:rPr>
        <w:t>a</w:t>
      </w:r>
      <w:proofErr w:type="gramEnd"/>
      <w:r>
        <w:rPr>
          <w:rFonts w:ascii="Arial" w:hAnsi="Arial"/>
          <w:sz w:val="16"/>
          <w:vertAlign w:val="superscript"/>
        </w:rPr>
        <w:t xml:space="preserve"> </w:t>
      </w:r>
      <w:r>
        <w:rPr>
          <w:rFonts w:ascii="Arial" w:hAnsi="Arial"/>
          <w:sz w:val="16"/>
        </w:rPr>
        <w:tab/>
        <w:t>40 mg Humira administered fortnightly</w:t>
      </w:r>
    </w:p>
    <w:p w:rsidR="00E44F87" w:rsidRDefault="00E44F87">
      <w:pPr>
        <w:autoSpaceDE w:val="0"/>
        <w:autoSpaceDN w:val="0"/>
        <w:adjustRightInd w:val="0"/>
        <w:jc w:val="both"/>
        <w:rPr>
          <w:rFonts w:ascii="Arial" w:hAnsi="Arial"/>
          <w:sz w:val="16"/>
        </w:rPr>
      </w:pPr>
      <w:proofErr w:type="gramStart"/>
      <w:r>
        <w:rPr>
          <w:rFonts w:ascii="Arial" w:hAnsi="Arial"/>
          <w:sz w:val="16"/>
          <w:vertAlign w:val="superscript"/>
        </w:rPr>
        <w:t>b</w:t>
      </w:r>
      <w:proofErr w:type="gramEnd"/>
      <w:r>
        <w:rPr>
          <w:rFonts w:ascii="Arial" w:hAnsi="Arial"/>
          <w:sz w:val="16"/>
          <w:vertAlign w:val="superscript"/>
        </w:rPr>
        <w:t xml:space="preserve"> </w:t>
      </w:r>
      <w:r>
        <w:rPr>
          <w:rFonts w:ascii="Arial" w:hAnsi="Arial"/>
          <w:sz w:val="16"/>
        </w:rPr>
        <w:tab/>
        <w:t>Visual analogue scale; 0 = best, 100 = worst</w:t>
      </w:r>
    </w:p>
    <w:p w:rsidR="00E44F87" w:rsidRDefault="00E44F87">
      <w:pPr>
        <w:autoSpaceDE w:val="0"/>
        <w:autoSpaceDN w:val="0"/>
        <w:adjustRightInd w:val="0"/>
        <w:ind w:left="720" w:hanging="720"/>
        <w:jc w:val="both"/>
        <w:rPr>
          <w:rFonts w:ascii="Arial" w:hAnsi="Arial"/>
          <w:sz w:val="16"/>
        </w:rPr>
      </w:pPr>
      <w:proofErr w:type="gramStart"/>
      <w:r>
        <w:rPr>
          <w:rFonts w:ascii="Arial" w:hAnsi="Arial"/>
          <w:sz w:val="16"/>
          <w:vertAlign w:val="superscript"/>
        </w:rPr>
        <w:t>c</w:t>
      </w:r>
      <w:proofErr w:type="gramEnd"/>
      <w:r>
        <w:rPr>
          <w:rFonts w:ascii="Arial" w:hAnsi="Arial"/>
          <w:sz w:val="16"/>
          <w:vertAlign w:val="superscript"/>
        </w:rPr>
        <w:t xml:space="preserve"> </w:t>
      </w:r>
      <w:r>
        <w:rPr>
          <w:rFonts w:ascii="Arial" w:hAnsi="Arial"/>
          <w:sz w:val="16"/>
        </w:rPr>
        <w:tab/>
        <w:t>Disability Index of the Health Assessment Questionnaire  ; 0 = best, 3 = worst, measures the patient’s ability to perform the following: dress/groom, arise, eat, walk, reach, grip, maintain hygiene, and maintain daily activity</w:t>
      </w:r>
    </w:p>
    <w:p w:rsidR="00E44F87" w:rsidRDefault="00E44F87">
      <w:pPr>
        <w:autoSpaceDE w:val="0"/>
        <w:autoSpaceDN w:val="0"/>
        <w:adjustRightInd w:val="0"/>
        <w:jc w:val="both"/>
        <w:rPr>
          <w:rFonts w:ascii="Arial" w:hAnsi="Arial"/>
          <w:sz w:val="16"/>
        </w:rPr>
      </w:pPr>
      <w:r>
        <w:rPr>
          <w:rFonts w:ascii="Arial" w:hAnsi="Arial"/>
          <w:sz w:val="16"/>
        </w:rPr>
        <w:t>*</w:t>
      </w:r>
      <w:r>
        <w:rPr>
          <w:rFonts w:ascii="Arial" w:hAnsi="Arial"/>
          <w:sz w:val="16"/>
        </w:rPr>
        <w:tab/>
        <w:t>p&lt;0.001, Humira vs. placebo, based on mean change from baseline</w:t>
      </w:r>
    </w:p>
    <w:p w:rsidR="00E44F87" w:rsidRDefault="00E44F87">
      <w:pPr>
        <w:autoSpaceDE w:val="0"/>
        <w:autoSpaceDN w:val="0"/>
        <w:adjustRightInd w:val="0"/>
        <w:ind w:left="360"/>
        <w:jc w:val="both"/>
        <w:rPr>
          <w:rFonts w:ascii="Arial" w:hAnsi="Arial"/>
          <w:sz w:val="16"/>
        </w:rPr>
      </w:pPr>
    </w:p>
    <w:p w:rsidR="00E44F87" w:rsidRDefault="00E44F87">
      <w:pPr>
        <w:autoSpaceDE w:val="0"/>
        <w:autoSpaceDN w:val="0"/>
        <w:adjustRightInd w:val="0"/>
        <w:jc w:val="both"/>
        <w:rPr>
          <w:rFonts w:ascii="Arial" w:hAnsi="Arial"/>
          <w:sz w:val="20"/>
        </w:rPr>
      </w:pPr>
      <w:r>
        <w:rPr>
          <w:rFonts w:ascii="Arial" w:hAnsi="Arial"/>
          <w:sz w:val="20"/>
        </w:rPr>
        <w:t xml:space="preserve">In RA Study III, 84.7% of patients with ACR20 responses at Week 24 maintained the response at 52 weeks. Clinical responses were maintained for up to 5 years in the open-label portion of RA Study III. ACR responses observed at Week 52 were maintained or increased through 5 years of continuous treatment with 22% </w:t>
      </w:r>
      <w:r>
        <w:rPr>
          <w:rFonts w:ascii="Arial" w:hAnsi="Arial" w:cs="Arial"/>
          <w:sz w:val="20"/>
          <w:szCs w:val="20"/>
          <w:lang w:eastAsia="de-DE"/>
        </w:rPr>
        <w:t xml:space="preserve">(115/534) </w:t>
      </w:r>
      <w:r>
        <w:rPr>
          <w:rFonts w:ascii="Arial" w:hAnsi="Arial"/>
          <w:sz w:val="20"/>
        </w:rPr>
        <w:t xml:space="preserve">of patients achieving major clinical response. A total of 372 (67.8%) subjects had no change in their methotrexate dose during the study, 141 (25.7%) subjects had a dose reduction and 36 (6.6%) subjects required a dose increase. A total of 149 (55.6%) subjects had no change in their corticosteroid dose during the study, 80 (29.9%) subjects had a dose reduction and 39 (14.6%) subjects required a dose increase. The following figures illustrate the durability of ACR20 responses to Humira in RA Studies III and II. </w:t>
      </w:r>
    </w:p>
    <w:p w:rsidR="00E44F87" w:rsidRDefault="00E44F87">
      <w:pPr>
        <w:autoSpaceDE w:val="0"/>
        <w:autoSpaceDN w:val="0"/>
        <w:adjustRightInd w:val="0"/>
        <w:jc w:val="both"/>
        <w:rPr>
          <w:rFonts w:ascii="Arial" w:hAnsi="Arial"/>
          <w:b/>
          <w:sz w:val="20"/>
        </w:rPr>
      </w:pPr>
    </w:p>
    <w:p w:rsidR="00E44F87" w:rsidRDefault="00E44F87">
      <w:pPr>
        <w:pStyle w:val="Heading4"/>
        <w:rPr>
          <w:szCs w:val="24"/>
        </w:rPr>
      </w:pPr>
      <w:bookmarkStart w:id="1" w:name="_Ref88904657"/>
      <w:r>
        <w:rPr>
          <w:szCs w:val="24"/>
        </w:rPr>
        <w:t>Figure </w:t>
      </w:r>
      <w:bookmarkEnd w:id="1"/>
      <w:r>
        <w:rPr>
          <w:szCs w:val="24"/>
        </w:rPr>
        <w:t xml:space="preserve">3: </w:t>
      </w:r>
      <w:r>
        <w:t xml:space="preserve">RA </w:t>
      </w:r>
      <w:r>
        <w:rPr>
          <w:szCs w:val="24"/>
        </w:rPr>
        <w:t>Study III ACR20 Responses over 52 Weeks</w:t>
      </w:r>
    </w:p>
    <w:p w:rsidR="00E44F87" w:rsidRDefault="00E44F87">
      <w:pPr>
        <w:autoSpaceDE w:val="0"/>
        <w:autoSpaceDN w:val="0"/>
        <w:adjustRightInd w:val="0"/>
        <w:jc w:val="both"/>
        <w:rPr>
          <w:rFonts w:ascii="Arial" w:hAnsi="Arial"/>
          <w:iCs/>
          <w:sz w:val="20"/>
        </w:rPr>
      </w:pPr>
    </w:p>
    <w:p w:rsidR="00E44F87" w:rsidRDefault="00D671D6">
      <w:pPr>
        <w:autoSpaceDE w:val="0"/>
        <w:autoSpaceDN w:val="0"/>
        <w:adjustRightInd w:val="0"/>
        <w:jc w:val="center"/>
        <w:rPr>
          <w:rFonts w:ascii="Arial" w:hAnsi="Arial"/>
          <w:iCs/>
          <w:sz w:val="20"/>
        </w:rPr>
      </w:pPr>
      <w:r>
        <w:rPr>
          <w:noProof/>
          <w:lang w:eastAsia="en-AU"/>
        </w:rPr>
        <w:lastRenderedPageBreak/>
        <w:drawing>
          <wp:inline distT="0" distB="0" distL="0" distR="0">
            <wp:extent cx="4533900" cy="275590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4F87" w:rsidRDefault="00E44F87">
      <w:pPr>
        <w:autoSpaceDE w:val="0"/>
        <w:autoSpaceDN w:val="0"/>
        <w:adjustRightInd w:val="0"/>
        <w:jc w:val="both"/>
        <w:rPr>
          <w:rFonts w:ascii="Arial" w:hAnsi="Arial"/>
          <w:i/>
          <w:sz w:val="20"/>
        </w:rPr>
      </w:pPr>
      <w:r>
        <w:rPr>
          <w:rFonts w:ascii="Arial,BoldItalic" w:hAnsi="Arial,BoldItalic"/>
          <w:i/>
          <w:iCs/>
          <w:sz w:val="20"/>
          <w:szCs w:val="22"/>
        </w:rPr>
        <w:t>RA St</w:t>
      </w:r>
      <w:r>
        <w:rPr>
          <w:rFonts w:ascii="Arial" w:hAnsi="Arial"/>
          <w:i/>
          <w:sz w:val="20"/>
        </w:rPr>
        <w:t>udy IV</w:t>
      </w:r>
    </w:p>
    <w:p w:rsidR="00E44F87" w:rsidRDefault="00E44F87">
      <w:pPr>
        <w:autoSpaceDE w:val="0"/>
        <w:autoSpaceDN w:val="0"/>
        <w:adjustRightInd w:val="0"/>
        <w:jc w:val="both"/>
        <w:rPr>
          <w:rFonts w:ascii="Arial" w:hAnsi="Arial"/>
          <w:i/>
          <w:sz w:val="20"/>
        </w:rPr>
      </w:pPr>
    </w:p>
    <w:p w:rsidR="00E44F87" w:rsidRDefault="00E44F87">
      <w:pPr>
        <w:autoSpaceDE w:val="0"/>
        <w:autoSpaceDN w:val="0"/>
        <w:adjustRightInd w:val="0"/>
        <w:jc w:val="both"/>
        <w:rPr>
          <w:rFonts w:ascii="Arial" w:hAnsi="Arial"/>
          <w:sz w:val="20"/>
        </w:rPr>
      </w:pPr>
      <w:r>
        <w:rPr>
          <w:rFonts w:ascii="Arial" w:hAnsi="Arial"/>
          <w:sz w:val="20"/>
        </w:rPr>
        <w:t xml:space="preserve">The ACR20 response of patients treated with Humira plus standard of care was statistically significantly better than patients treated with placebo plus standard of </w:t>
      </w:r>
      <w:proofErr w:type="gramStart"/>
      <w:r>
        <w:rPr>
          <w:rFonts w:ascii="Arial" w:hAnsi="Arial"/>
          <w:sz w:val="20"/>
        </w:rPr>
        <w:t>care  (</w:t>
      </w:r>
      <w:proofErr w:type="gramEnd"/>
      <w:r>
        <w:rPr>
          <w:rFonts w:ascii="Arial" w:hAnsi="Arial"/>
          <w:sz w:val="20"/>
        </w:rPr>
        <w:t xml:space="preserve">p&lt;0.001).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In RA Studies I-IV, Humira-treated patients achieved statistically significant ACR20 and 50 responses compared to placebo as early as 1-2 weeks after initiation of treatment.</w:t>
      </w:r>
    </w:p>
    <w:p w:rsidR="00E44F87" w:rsidRDefault="00E44F87">
      <w:pPr>
        <w:autoSpaceDE w:val="0"/>
        <w:autoSpaceDN w:val="0"/>
        <w:adjustRightInd w:val="0"/>
        <w:jc w:val="both"/>
        <w:rPr>
          <w:rFonts w:ascii="Arial,BoldItalic" w:hAnsi="Arial,BoldItalic"/>
          <w:i/>
          <w:iCs/>
          <w:sz w:val="20"/>
          <w:szCs w:val="22"/>
        </w:rPr>
      </w:pPr>
    </w:p>
    <w:p w:rsidR="00E44F87" w:rsidRDefault="00E44F87">
      <w:pPr>
        <w:autoSpaceDE w:val="0"/>
        <w:autoSpaceDN w:val="0"/>
        <w:adjustRightInd w:val="0"/>
        <w:jc w:val="both"/>
        <w:rPr>
          <w:rFonts w:ascii="Arial,BoldItalic" w:hAnsi="Arial,BoldItalic"/>
          <w:i/>
          <w:iCs/>
          <w:sz w:val="20"/>
          <w:szCs w:val="22"/>
        </w:rPr>
      </w:pPr>
      <w:r>
        <w:rPr>
          <w:rFonts w:ascii="Arial,BoldItalic" w:hAnsi="Arial,BoldItalic"/>
          <w:i/>
          <w:iCs/>
          <w:sz w:val="20"/>
          <w:szCs w:val="22"/>
        </w:rPr>
        <w:t>RA Study V</w:t>
      </w:r>
    </w:p>
    <w:p w:rsidR="00E44F87" w:rsidRDefault="00E44F87">
      <w:pPr>
        <w:autoSpaceDE w:val="0"/>
        <w:autoSpaceDN w:val="0"/>
        <w:adjustRightInd w:val="0"/>
        <w:jc w:val="both"/>
        <w:rPr>
          <w:rFonts w:ascii="Arial,BoldItalic" w:hAnsi="Arial,BoldItalic"/>
          <w:b/>
          <w:bCs/>
          <w:i/>
          <w:iCs/>
          <w:sz w:val="20"/>
          <w:szCs w:val="22"/>
        </w:rPr>
      </w:pPr>
    </w:p>
    <w:p w:rsidR="00E44F87" w:rsidRDefault="00E44F87">
      <w:pPr>
        <w:autoSpaceDE w:val="0"/>
        <w:autoSpaceDN w:val="0"/>
        <w:adjustRightInd w:val="0"/>
        <w:jc w:val="both"/>
        <w:rPr>
          <w:rFonts w:ascii="Arial" w:hAnsi="Arial" w:cs="Arial"/>
          <w:sz w:val="20"/>
          <w:szCs w:val="20"/>
        </w:rPr>
      </w:pPr>
      <w:r>
        <w:rPr>
          <w:rFonts w:ascii="Arial" w:hAnsi="Arial" w:cs="Arial"/>
          <w:sz w:val="20"/>
          <w:szCs w:val="22"/>
        </w:rPr>
        <w:t xml:space="preserve">In </w:t>
      </w:r>
      <w:r>
        <w:rPr>
          <w:rFonts w:ascii="Arial" w:hAnsi="Arial"/>
          <w:sz w:val="20"/>
        </w:rPr>
        <w:t xml:space="preserve">RA </w:t>
      </w:r>
      <w:r>
        <w:rPr>
          <w:rFonts w:ascii="Arial" w:hAnsi="Arial" w:cs="Arial"/>
          <w:sz w:val="20"/>
          <w:szCs w:val="22"/>
        </w:rPr>
        <w:t xml:space="preserve">Study V for early rheumatoid arthritis patients who were methotrexate naïve, combination therapy with Humira plus methotrexate led to significantly greater ACR responses than methotrexate monotherapy at Week 52 and responses were sustained at Week 104 (see Table 3). </w:t>
      </w:r>
    </w:p>
    <w:p w:rsidR="00E44F87" w:rsidRDefault="00E44F87">
      <w:pPr>
        <w:autoSpaceDE w:val="0"/>
        <w:autoSpaceDN w:val="0"/>
        <w:adjustRightInd w:val="0"/>
        <w:jc w:val="both"/>
        <w:rPr>
          <w:rFonts w:ascii="Arial" w:hAnsi="Arial" w:cs="Arial"/>
          <w:sz w:val="20"/>
          <w:szCs w:val="22"/>
          <w:highlight w:val="lightGray"/>
        </w:rPr>
      </w:pP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 xml:space="preserve">At Week 52 all individual components of the ACR response criteria improved with Humira/methotrexate therapy and improvements were maintained to Week 104. </w:t>
      </w:r>
    </w:p>
    <w:p w:rsidR="00E44F87" w:rsidRDefault="00E44F87">
      <w:pPr>
        <w:autoSpaceDE w:val="0"/>
        <w:autoSpaceDN w:val="0"/>
        <w:adjustRightInd w:val="0"/>
        <w:jc w:val="both"/>
        <w:rPr>
          <w:rFonts w:ascii="Arial" w:hAnsi="Arial" w:cs="Arial"/>
          <w:sz w:val="20"/>
          <w:szCs w:val="22"/>
        </w:rPr>
      </w:pPr>
    </w:p>
    <w:p w:rsidR="00E44F87" w:rsidRDefault="00E44F87">
      <w:pPr>
        <w:autoSpaceDE w:val="0"/>
        <w:autoSpaceDN w:val="0"/>
        <w:adjustRightInd w:val="0"/>
        <w:jc w:val="both"/>
        <w:rPr>
          <w:rFonts w:ascii="Arial,BoldItalic" w:hAnsi="Arial,BoldItalic"/>
          <w:sz w:val="20"/>
          <w:szCs w:val="20"/>
        </w:rPr>
      </w:pPr>
      <w:r>
        <w:rPr>
          <w:rFonts w:ascii="Arial" w:hAnsi="Arial" w:cs="Arial"/>
          <w:sz w:val="20"/>
          <w:szCs w:val="22"/>
        </w:rPr>
        <w:t>Over the two-year study, 48.5% patients who received Humira/methotrexate combination therapy achieved a major clinical response (ACR70 for &gt; six continuous months) compared to 27.2% of patients who received methotrexate monotherapy (p&lt;0.001).</w:t>
      </w:r>
    </w:p>
    <w:p w:rsidR="00E44F87" w:rsidRDefault="00E44F87">
      <w:pPr>
        <w:rPr>
          <w:sz w:val="20"/>
        </w:rPr>
      </w:pPr>
    </w:p>
    <w:p w:rsidR="00E44F87" w:rsidRDefault="00E44F87">
      <w:pPr>
        <w:pStyle w:val="CaptionTable"/>
        <w:pBdr>
          <w:top w:val="single" w:sz="4" w:space="1" w:color="auto"/>
        </w:pBdr>
        <w:ind w:right="359" w:hanging="1368"/>
        <w:rPr>
          <w:rFonts w:ascii="Arial" w:hAnsi="Arial" w:cs="Arial"/>
          <w:sz w:val="20"/>
          <w:highlight w:val="lightGray"/>
          <w:lang w:val="en-AU"/>
        </w:rPr>
      </w:pPr>
      <w:bookmarkStart w:id="2" w:name="_Ref102961110"/>
      <w:bookmarkStart w:id="3" w:name="_Toc103008203"/>
      <w:bookmarkStart w:id="4" w:name="_Toc109013583"/>
      <w:bookmarkStart w:id="5" w:name="_Toc110922371"/>
      <w:proofErr w:type="gramStart"/>
      <w:r>
        <w:rPr>
          <w:rFonts w:ascii="Arial" w:hAnsi="Arial" w:cs="Arial"/>
          <w:sz w:val="20"/>
          <w:lang w:val="en-AU"/>
        </w:rPr>
        <w:lastRenderedPageBreak/>
        <w:t>Table </w:t>
      </w:r>
      <w:bookmarkEnd w:id="2"/>
      <w:r>
        <w:rPr>
          <w:rFonts w:ascii="Arial" w:hAnsi="Arial" w:cs="Arial"/>
          <w:sz w:val="20"/>
          <w:lang w:val="en-AU"/>
        </w:rPr>
        <w:t>3.</w:t>
      </w:r>
      <w:proofErr w:type="gramEnd"/>
      <w:r>
        <w:rPr>
          <w:rFonts w:ascii="Arial" w:hAnsi="Arial" w:cs="Arial"/>
          <w:sz w:val="20"/>
          <w:lang w:val="en-AU"/>
        </w:rPr>
        <w:tab/>
        <w:t>ACR20/50/70 Response at Weeks 26, 52, 76 and 104 (All Randomised Subjects)</w:t>
      </w:r>
      <w:bookmarkEnd w:id="3"/>
      <w:bookmarkEnd w:id="4"/>
      <w:bookmarkEnd w:id="5"/>
      <w:r>
        <w:rPr>
          <w:rFonts w:ascii="Arial" w:hAnsi="Arial" w:cs="Arial"/>
          <w:sz w:val="20"/>
          <w:lang w:val="en-AU"/>
        </w:rPr>
        <w:t xml:space="preserve"> in </w:t>
      </w:r>
      <w:r>
        <w:rPr>
          <w:rFonts w:ascii="Arial" w:hAnsi="Arial"/>
          <w:sz w:val="20"/>
        </w:rPr>
        <w:t xml:space="preserve">RA </w:t>
      </w:r>
      <w:r>
        <w:rPr>
          <w:rFonts w:ascii="Arial" w:hAnsi="Arial" w:cs="Arial"/>
          <w:sz w:val="20"/>
          <w:lang w:val="en-AU"/>
        </w:rPr>
        <w:t>Study V</w:t>
      </w:r>
    </w:p>
    <w:tbl>
      <w:tblPr>
        <w:tblW w:w="8640"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418"/>
        <w:gridCol w:w="1443"/>
        <w:gridCol w:w="1443"/>
        <w:gridCol w:w="1456"/>
        <w:gridCol w:w="1436"/>
        <w:gridCol w:w="1444"/>
      </w:tblGrid>
      <w:tr w:rsidR="00E44F87">
        <w:trPr>
          <w:cantSplit/>
          <w:jc w:val="center"/>
        </w:trPr>
        <w:tc>
          <w:tcPr>
            <w:tcW w:w="1418" w:type="dxa"/>
            <w:tcBorders>
              <w:top w:val="single" w:sz="4" w:space="0" w:color="auto"/>
              <w:bottom w:val="nil"/>
            </w:tcBorders>
            <w:vAlign w:val="bottom"/>
          </w:tcPr>
          <w:p w:rsidR="00E44F87" w:rsidRDefault="00E44F87">
            <w:pPr>
              <w:pStyle w:val="TableText"/>
              <w:rPr>
                <w:rFonts w:ascii="Arial" w:hAnsi="Arial" w:cs="Arial"/>
                <w:b/>
                <w:bCs/>
                <w:sz w:val="18"/>
                <w:lang w:val="en-AU"/>
              </w:rPr>
            </w:pPr>
          </w:p>
        </w:tc>
        <w:tc>
          <w:tcPr>
            <w:tcW w:w="1443" w:type="dxa"/>
            <w:tcBorders>
              <w:top w:val="single" w:sz="4" w:space="0" w:color="auto"/>
              <w:bottom w:val="single" w:sz="4" w:space="0" w:color="auto"/>
            </w:tcBorders>
            <w:vAlign w:val="bottom"/>
          </w:tcPr>
          <w:p w:rsidR="00E44F87" w:rsidRDefault="00E44F87">
            <w:pPr>
              <w:pStyle w:val="TableText"/>
              <w:jc w:val="center"/>
              <w:rPr>
                <w:rFonts w:ascii="Arial" w:hAnsi="Arial" w:cs="Arial"/>
                <w:b/>
                <w:bCs/>
                <w:sz w:val="18"/>
                <w:lang w:val="en-AU"/>
              </w:rPr>
            </w:pPr>
            <w:r>
              <w:rPr>
                <w:rFonts w:ascii="Arial" w:hAnsi="Arial" w:cs="Arial"/>
                <w:b/>
                <w:bCs/>
                <w:sz w:val="18"/>
                <w:lang w:val="en-AU"/>
              </w:rPr>
              <w:t>MTX</w:t>
            </w:r>
          </w:p>
          <w:p w:rsidR="00E44F87" w:rsidRDefault="00E44F87">
            <w:pPr>
              <w:pStyle w:val="TableText"/>
              <w:jc w:val="center"/>
              <w:rPr>
                <w:rFonts w:ascii="Arial" w:hAnsi="Arial" w:cs="Arial"/>
                <w:b/>
                <w:bCs/>
                <w:sz w:val="18"/>
                <w:lang w:val="en-AU"/>
              </w:rPr>
            </w:pPr>
            <w:r>
              <w:rPr>
                <w:rFonts w:ascii="Arial" w:hAnsi="Arial" w:cs="Arial"/>
                <w:b/>
                <w:bCs/>
                <w:sz w:val="18"/>
                <w:lang w:val="en-AU"/>
              </w:rPr>
              <w:t>N=257</w:t>
            </w:r>
          </w:p>
        </w:tc>
        <w:tc>
          <w:tcPr>
            <w:tcW w:w="1443" w:type="dxa"/>
            <w:tcBorders>
              <w:top w:val="single" w:sz="4" w:space="0" w:color="auto"/>
              <w:bottom w:val="single" w:sz="4" w:space="0" w:color="auto"/>
            </w:tcBorders>
            <w:vAlign w:val="bottom"/>
          </w:tcPr>
          <w:p w:rsidR="00E44F87" w:rsidRDefault="00E44F87">
            <w:pPr>
              <w:pStyle w:val="TableText"/>
              <w:jc w:val="center"/>
              <w:rPr>
                <w:rFonts w:ascii="Arial" w:hAnsi="Arial" w:cs="Arial"/>
                <w:b/>
                <w:bCs/>
                <w:sz w:val="18"/>
                <w:lang w:val="en-AU"/>
              </w:rPr>
            </w:pPr>
            <w:r>
              <w:rPr>
                <w:rFonts w:ascii="Arial" w:hAnsi="Arial" w:cs="Arial"/>
                <w:b/>
                <w:bCs/>
                <w:sz w:val="18"/>
                <w:lang w:val="en-AU"/>
              </w:rPr>
              <w:t>Adalimumab</w:t>
            </w:r>
          </w:p>
          <w:p w:rsidR="00E44F87" w:rsidRDefault="00E44F87">
            <w:pPr>
              <w:pStyle w:val="TableText"/>
              <w:jc w:val="center"/>
              <w:rPr>
                <w:rFonts w:ascii="Arial" w:hAnsi="Arial" w:cs="Arial"/>
                <w:b/>
                <w:bCs/>
                <w:sz w:val="18"/>
                <w:lang w:val="en-AU"/>
              </w:rPr>
            </w:pPr>
            <w:r>
              <w:rPr>
                <w:rFonts w:ascii="Arial" w:hAnsi="Arial" w:cs="Arial"/>
                <w:b/>
                <w:bCs/>
                <w:sz w:val="18"/>
                <w:lang w:val="en-AU"/>
              </w:rPr>
              <w:t>N=274</w:t>
            </w:r>
          </w:p>
        </w:tc>
        <w:tc>
          <w:tcPr>
            <w:tcW w:w="1456" w:type="dxa"/>
            <w:tcBorders>
              <w:top w:val="single" w:sz="4" w:space="0" w:color="auto"/>
              <w:bottom w:val="single" w:sz="4" w:space="0" w:color="auto"/>
            </w:tcBorders>
            <w:vAlign w:val="bottom"/>
          </w:tcPr>
          <w:p w:rsidR="00E44F87" w:rsidRDefault="00E44F87">
            <w:pPr>
              <w:pStyle w:val="TableText"/>
              <w:jc w:val="center"/>
              <w:rPr>
                <w:rFonts w:ascii="Arial" w:hAnsi="Arial" w:cs="Arial"/>
                <w:b/>
                <w:bCs/>
                <w:sz w:val="18"/>
                <w:lang w:val="en-AU"/>
              </w:rPr>
            </w:pPr>
            <w:r>
              <w:rPr>
                <w:rFonts w:ascii="Arial" w:hAnsi="Arial" w:cs="Arial"/>
                <w:b/>
                <w:bCs/>
                <w:sz w:val="18"/>
                <w:lang w:val="en-AU"/>
              </w:rPr>
              <w:t>Adalimumab + MTX</w:t>
            </w:r>
          </w:p>
          <w:p w:rsidR="00E44F87" w:rsidRDefault="00E44F87">
            <w:pPr>
              <w:pStyle w:val="TableText"/>
              <w:jc w:val="center"/>
              <w:rPr>
                <w:rFonts w:ascii="Arial" w:hAnsi="Arial" w:cs="Arial"/>
                <w:b/>
                <w:bCs/>
                <w:sz w:val="18"/>
                <w:lang w:val="en-AU"/>
              </w:rPr>
            </w:pPr>
            <w:r>
              <w:rPr>
                <w:rFonts w:ascii="Arial" w:hAnsi="Arial" w:cs="Arial"/>
                <w:b/>
                <w:bCs/>
                <w:sz w:val="18"/>
                <w:lang w:val="en-AU"/>
              </w:rPr>
              <w:t>N=268</w:t>
            </w:r>
          </w:p>
        </w:tc>
        <w:tc>
          <w:tcPr>
            <w:tcW w:w="1436" w:type="dxa"/>
            <w:tcBorders>
              <w:top w:val="single" w:sz="4" w:space="0" w:color="auto"/>
              <w:bottom w:val="nil"/>
            </w:tcBorders>
            <w:vAlign w:val="bottom"/>
          </w:tcPr>
          <w:p w:rsidR="00E44F87" w:rsidRDefault="00E44F87">
            <w:pPr>
              <w:pStyle w:val="TableText"/>
              <w:jc w:val="center"/>
              <w:rPr>
                <w:rFonts w:ascii="Arial" w:hAnsi="Arial" w:cs="Arial"/>
                <w:b/>
                <w:bCs/>
                <w:sz w:val="18"/>
                <w:lang w:val="en-AU"/>
              </w:rPr>
            </w:pPr>
          </w:p>
        </w:tc>
        <w:tc>
          <w:tcPr>
            <w:tcW w:w="1444" w:type="dxa"/>
            <w:tcBorders>
              <w:top w:val="single" w:sz="4" w:space="0" w:color="auto"/>
              <w:bottom w:val="nil"/>
            </w:tcBorders>
            <w:vAlign w:val="bottom"/>
          </w:tcPr>
          <w:p w:rsidR="00E44F87" w:rsidRDefault="00E44F87">
            <w:pPr>
              <w:pStyle w:val="TableText"/>
              <w:jc w:val="center"/>
              <w:rPr>
                <w:rFonts w:ascii="Arial" w:hAnsi="Arial" w:cs="Arial"/>
                <w:b/>
                <w:bCs/>
                <w:sz w:val="18"/>
                <w:lang w:val="en-AU"/>
              </w:rPr>
            </w:pPr>
          </w:p>
        </w:tc>
      </w:tr>
      <w:tr w:rsidR="00E44F87">
        <w:trPr>
          <w:cantSplit/>
          <w:jc w:val="center"/>
        </w:trPr>
        <w:tc>
          <w:tcPr>
            <w:tcW w:w="1418" w:type="dxa"/>
            <w:tcBorders>
              <w:top w:val="nil"/>
              <w:bottom w:val="single" w:sz="4" w:space="0" w:color="auto"/>
            </w:tcBorders>
            <w:vAlign w:val="bottom"/>
          </w:tcPr>
          <w:p w:rsidR="00E44F87" w:rsidRDefault="00E44F87">
            <w:pPr>
              <w:pStyle w:val="TableText"/>
              <w:rPr>
                <w:rFonts w:ascii="Arial" w:hAnsi="Arial" w:cs="Arial"/>
                <w:b/>
                <w:bCs/>
                <w:sz w:val="18"/>
                <w:lang w:val="en-AU"/>
              </w:rPr>
            </w:pPr>
          </w:p>
        </w:tc>
        <w:tc>
          <w:tcPr>
            <w:tcW w:w="4342" w:type="dxa"/>
            <w:gridSpan w:val="3"/>
            <w:tcBorders>
              <w:top w:val="single" w:sz="4" w:space="0" w:color="auto"/>
              <w:bottom w:val="single" w:sz="4" w:space="0" w:color="auto"/>
            </w:tcBorders>
            <w:vAlign w:val="bottom"/>
          </w:tcPr>
          <w:p w:rsidR="00E44F87" w:rsidRDefault="00E44F87">
            <w:pPr>
              <w:pStyle w:val="TableText"/>
              <w:jc w:val="center"/>
              <w:rPr>
                <w:rFonts w:ascii="Arial" w:hAnsi="Arial" w:cs="Arial"/>
                <w:b/>
                <w:bCs/>
                <w:sz w:val="18"/>
                <w:lang w:val="en-AU"/>
              </w:rPr>
            </w:pPr>
            <w:r>
              <w:rPr>
                <w:rFonts w:ascii="Arial" w:hAnsi="Arial" w:cs="Arial"/>
                <w:b/>
                <w:bCs/>
                <w:sz w:val="18"/>
                <w:lang w:val="en-AU"/>
              </w:rPr>
              <w:t>N (%)</w:t>
            </w:r>
          </w:p>
        </w:tc>
        <w:tc>
          <w:tcPr>
            <w:tcW w:w="1436" w:type="dxa"/>
            <w:tcBorders>
              <w:top w:val="nil"/>
              <w:bottom w:val="single" w:sz="4" w:space="0" w:color="auto"/>
            </w:tcBorders>
            <w:vAlign w:val="bottom"/>
          </w:tcPr>
          <w:p w:rsidR="00E44F87" w:rsidRDefault="00E44F87">
            <w:pPr>
              <w:pStyle w:val="TableText"/>
              <w:jc w:val="center"/>
              <w:rPr>
                <w:rFonts w:ascii="Arial" w:hAnsi="Arial" w:cs="Arial"/>
                <w:b/>
                <w:bCs/>
                <w:sz w:val="18"/>
                <w:lang w:val="en-AU"/>
              </w:rPr>
            </w:pPr>
            <w:r>
              <w:rPr>
                <w:rFonts w:ascii="Arial" w:hAnsi="Arial" w:cs="Arial"/>
                <w:b/>
                <w:bCs/>
                <w:sz w:val="18"/>
                <w:lang w:val="en-AU"/>
              </w:rPr>
              <w:t>p-value</w:t>
            </w:r>
            <w:r>
              <w:rPr>
                <w:rFonts w:ascii="Arial" w:hAnsi="Arial" w:cs="Arial"/>
                <w:b/>
                <w:bCs/>
                <w:sz w:val="18"/>
                <w:vertAlign w:val="superscript"/>
                <w:lang w:val="en-AU"/>
              </w:rPr>
              <w:t>a</w:t>
            </w:r>
          </w:p>
        </w:tc>
        <w:tc>
          <w:tcPr>
            <w:tcW w:w="1444" w:type="dxa"/>
            <w:tcBorders>
              <w:top w:val="nil"/>
              <w:bottom w:val="single" w:sz="4" w:space="0" w:color="auto"/>
            </w:tcBorders>
            <w:vAlign w:val="bottom"/>
          </w:tcPr>
          <w:p w:rsidR="00E44F87" w:rsidRDefault="00E44F87">
            <w:pPr>
              <w:pStyle w:val="TableText"/>
              <w:jc w:val="center"/>
              <w:rPr>
                <w:rFonts w:ascii="Arial" w:hAnsi="Arial" w:cs="Arial"/>
                <w:b/>
                <w:bCs/>
                <w:sz w:val="18"/>
                <w:lang w:val="en-AU"/>
              </w:rPr>
            </w:pPr>
            <w:r>
              <w:rPr>
                <w:rFonts w:ascii="Arial" w:hAnsi="Arial" w:cs="Arial"/>
                <w:b/>
                <w:bCs/>
                <w:sz w:val="18"/>
                <w:lang w:val="en-AU"/>
              </w:rPr>
              <w:t>p-value</w:t>
            </w:r>
            <w:r>
              <w:rPr>
                <w:rFonts w:ascii="Arial" w:hAnsi="Arial" w:cs="Arial"/>
                <w:b/>
                <w:bCs/>
                <w:sz w:val="18"/>
                <w:vertAlign w:val="superscript"/>
                <w:lang w:val="en-AU"/>
              </w:rPr>
              <w:t>b</w:t>
            </w:r>
          </w:p>
        </w:tc>
      </w:tr>
      <w:tr w:rsidR="00E44F87">
        <w:trPr>
          <w:cantSplit/>
          <w:jc w:val="center"/>
        </w:trPr>
        <w:tc>
          <w:tcPr>
            <w:tcW w:w="1418" w:type="dxa"/>
            <w:tcBorders>
              <w:top w:val="single" w:sz="4" w:space="0" w:color="auto"/>
            </w:tcBorders>
          </w:tcPr>
          <w:p w:rsidR="00E44F87" w:rsidRDefault="00E44F87">
            <w:pPr>
              <w:pStyle w:val="TableText"/>
              <w:rPr>
                <w:rFonts w:ascii="Arial" w:hAnsi="Arial" w:cs="Arial"/>
                <w:sz w:val="18"/>
                <w:lang w:val="en-AU"/>
              </w:rPr>
            </w:pPr>
            <w:r>
              <w:rPr>
                <w:rFonts w:ascii="Arial" w:hAnsi="Arial" w:cs="Arial"/>
                <w:sz w:val="18"/>
                <w:lang w:val="en-AU"/>
              </w:rPr>
              <w:t>ACR20</w:t>
            </w:r>
          </w:p>
        </w:tc>
        <w:tc>
          <w:tcPr>
            <w:tcW w:w="1443" w:type="dxa"/>
            <w:tcBorders>
              <w:top w:val="single" w:sz="4" w:space="0" w:color="auto"/>
            </w:tcBorders>
          </w:tcPr>
          <w:p w:rsidR="00E44F87" w:rsidRDefault="00E44F87">
            <w:pPr>
              <w:pStyle w:val="TableText"/>
              <w:jc w:val="center"/>
              <w:rPr>
                <w:rFonts w:ascii="Arial" w:hAnsi="Arial" w:cs="Arial"/>
                <w:sz w:val="18"/>
                <w:lang w:val="en-AU"/>
              </w:rPr>
            </w:pPr>
          </w:p>
        </w:tc>
        <w:tc>
          <w:tcPr>
            <w:tcW w:w="1443" w:type="dxa"/>
            <w:tcBorders>
              <w:top w:val="single" w:sz="4" w:space="0" w:color="auto"/>
            </w:tcBorders>
          </w:tcPr>
          <w:p w:rsidR="00E44F87" w:rsidRDefault="00E44F87">
            <w:pPr>
              <w:pStyle w:val="TableText"/>
              <w:jc w:val="center"/>
              <w:rPr>
                <w:rFonts w:ascii="Arial" w:hAnsi="Arial" w:cs="Arial"/>
                <w:sz w:val="18"/>
                <w:lang w:val="en-AU"/>
              </w:rPr>
            </w:pPr>
          </w:p>
        </w:tc>
        <w:tc>
          <w:tcPr>
            <w:tcW w:w="1456" w:type="dxa"/>
            <w:tcBorders>
              <w:top w:val="single" w:sz="4" w:space="0" w:color="auto"/>
            </w:tcBorders>
          </w:tcPr>
          <w:p w:rsidR="00E44F87" w:rsidRDefault="00E44F87">
            <w:pPr>
              <w:pStyle w:val="TableText"/>
              <w:jc w:val="center"/>
              <w:rPr>
                <w:rFonts w:ascii="Arial" w:hAnsi="Arial" w:cs="Arial"/>
                <w:sz w:val="18"/>
                <w:lang w:val="en-AU"/>
              </w:rPr>
            </w:pPr>
          </w:p>
        </w:tc>
        <w:tc>
          <w:tcPr>
            <w:tcW w:w="1436" w:type="dxa"/>
            <w:tcBorders>
              <w:top w:val="single" w:sz="4" w:space="0" w:color="auto"/>
            </w:tcBorders>
          </w:tcPr>
          <w:p w:rsidR="00E44F87" w:rsidRDefault="00E44F87">
            <w:pPr>
              <w:pStyle w:val="TableText"/>
              <w:jc w:val="center"/>
              <w:rPr>
                <w:rFonts w:ascii="Arial" w:hAnsi="Arial" w:cs="Arial"/>
                <w:sz w:val="18"/>
                <w:lang w:val="en-AU"/>
              </w:rPr>
            </w:pPr>
          </w:p>
        </w:tc>
        <w:tc>
          <w:tcPr>
            <w:tcW w:w="1444" w:type="dxa"/>
            <w:tcBorders>
              <w:top w:val="single" w:sz="4" w:space="0" w:color="auto"/>
            </w:tcBorders>
          </w:tcPr>
          <w:p w:rsidR="00E44F87" w:rsidRDefault="00E44F87">
            <w:pPr>
              <w:pStyle w:val="TableText"/>
              <w:jc w:val="center"/>
              <w:rPr>
                <w:rFonts w:ascii="Arial" w:hAnsi="Arial" w:cs="Arial"/>
                <w:sz w:val="18"/>
                <w:lang w:val="en-AU"/>
              </w:rPr>
            </w:pPr>
          </w:p>
        </w:tc>
      </w:tr>
      <w:tr w:rsidR="00E44F87">
        <w:trPr>
          <w:cantSplit/>
          <w:jc w:val="center"/>
        </w:trPr>
        <w:tc>
          <w:tcPr>
            <w:tcW w:w="1418" w:type="dxa"/>
          </w:tcPr>
          <w:p w:rsidR="00E44F87" w:rsidRDefault="00E44F87">
            <w:pPr>
              <w:pStyle w:val="TableText"/>
              <w:ind w:left="360"/>
              <w:rPr>
                <w:rFonts w:ascii="Arial" w:hAnsi="Arial" w:cs="Arial"/>
                <w:sz w:val="18"/>
                <w:lang w:val="en-AU"/>
              </w:rPr>
            </w:pPr>
            <w:r>
              <w:rPr>
                <w:rFonts w:ascii="Arial" w:hAnsi="Arial" w:cs="Arial"/>
                <w:sz w:val="18"/>
                <w:lang w:val="en-AU"/>
              </w:rPr>
              <w:t>Week 26</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158 (61.5)</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146 (53.3)</w:t>
            </w:r>
          </w:p>
        </w:tc>
        <w:tc>
          <w:tcPr>
            <w:tcW w:w="1456" w:type="dxa"/>
          </w:tcPr>
          <w:p w:rsidR="00E44F87" w:rsidRDefault="00E44F87">
            <w:pPr>
              <w:pStyle w:val="TableText"/>
              <w:jc w:val="center"/>
              <w:rPr>
                <w:rFonts w:ascii="Arial" w:hAnsi="Arial" w:cs="Arial"/>
                <w:sz w:val="18"/>
                <w:lang w:val="en-AU"/>
              </w:rPr>
            </w:pPr>
            <w:r>
              <w:rPr>
                <w:rFonts w:ascii="Arial" w:hAnsi="Arial" w:cs="Arial"/>
                <w:sz w:val="18"/>
                <w:lang w:val="en-AU"/>
              </w:rPr>
              <w:t>184 (68.7)</w:t>
            </w:r>
          </w:p>
        </w:tc>
        <w:tc>
          <w:tcPr>
            <w:tcW w:w="1436" w:type="dxa"/>
          </w:tcPr>
          <w:p w:rsidR="00E44F87" w:rsidRDefault="00E44F87">
            <w:pPr>
              <w:pStyle w:val="TableText"/>
              <w:jc w:val="center"/>
              <w:rPr>
                <w:rFonts w:ascii="Arial" w:hAnsi="Arial" w:cs="Arial"/>
                <w:sz w:val="18"/>
                <w:lang w:val="en-AU"/>
              </w:rPr>
            </w:pPr>
            <w:r>
              <w:rPr>
                <w:rFonts w:ascii="Arial" w:hAnsi="Arial" w:cs="Arial"/>
                <w:sz w:val="18"/>
                <w:lang w:val="en-AU"/>
              </w:rPr>
              <w:t>0.084</w:t>
            </w:r>
          </w:p>
        </w:tc>
        <w:tc>
          <w:tcPr>
            <w:tcW w:w="1444"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r>
      <w:tr w:rsidR="00E44F87">
        <w:trPr>
          <w:cantSplit/>
          <w:jc w:val="center"/>
        </w:trPr>
        <w:tc>
          <w:tcPr>
            <w:tcW w:w="1418" w:type="dxa"/>
          </w:tcPr>
          <w:p w:rsidR="00E44F87" w:rsidRDefault="00E44F87">
            <w:pPr>
              <w:pStyle w:val="TableText"/>
              <w:ind w:left="360"/>
              <w:rPr>
                <w:rFonts w:ascii="Arial" w:hAnsi="Arial" w:cs="Arial"/>
                <w:sz w:val="18"/>
                <w:lang w:val="en-AU"/>
              </w:rPr>
            </w:pPr>
            <w:r>
              <w:rPr>
                <w:rFonts w:ascii="Arial" w:hAnsi="Arial" w:cs="Arial"/>
                <w:sz w:val="18"/>
                <w:lang w:val="en-AU"/>
              </w:rPr>
              <w:t>Week 52</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161 (62.6)</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149 (54.4)</w:t>
            </w:r>
          </w:p>
        </w:tc>
        <w:tc>
          <w:tcPr>
            <w:tcW w:w="1456" w:type="dxa"/>
          </w:tcPr>
          <w:p w:rsidR="00E44F87" w:rsidRDefault="00E44F87">
            <w:pPr>
              <w:pStyle w:val="TableText"/>
              <w:jc w:val="center"/>
              <w:rPr>
                <w:rFonts w:ascii="Arial" w:hAnsi="Arial" w:cs="Arial"/>
                <w:sz w:val="18"/>
                <w:lang w:val="en-AU"/>
              </w:rPr>
            </w:pPr>
            <w:r>
              <w:rPr>
                <w:rFonts w:ascii="Arial" w:hAnsi="Arial" w:cs="Arial"/>
                <w:sz w:val="18"/>
                <w:lang w:val="en-AU"/>
              </w:rPr>
              <w:t>195 (72.8)</w:t>
            </w:r>
          </w:p>
        </w:tc>
        <w:tc>
          <w:tcPr>
            <w:tcW w:w="1436" w:type="dxa"/>
          </w:tcPr>
          <w:p w:rsidR="00E44F87" w:rsidRDefault="00E44F87">
            <w:pPr>
              <w:pStyle w:val="TableText"/>
              <w:jc w:val="center"/>
              <w:rPr>
                <w:rFonts w:ascii="Arial" w:hAnsi="Arial" w:cs="Arial"/>
                <w:sz w:val="18"/>
                <w:lang w:val="en-AU"/>
              </w:rPr>
            </w:pPr>
            <w:r>
              <w:rPr>
                <w:rFonts w:ascii="Arial" w:hAnsi="Arial" w:cs="Arial"/>
                <w:sz w:val="18"/>
                <w:lang w:val="en-AU"/>
              </w:rPr>
              <w:t>0.013</w:t>
            </w:r>
          </w:p>
        </w:tc>
        <w:tc>
          <w:tcPr>
            <w:tcW w:w="1444"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r>
      <w:tr w:rsidR="00E44F87">
        <w:trPr>
          <w:cantSplit/>
          <w:jc w:val="center"/>
        </w:trPr>
        <w:tc>
          <w:tcPr>
            <w:tcW w:w="1418" w:type="dxa"/>
            <w:tcBorders>
              <w:bottom w:val="nil"/>
            </w:tcBorders>
          </w:tcPr>
          <w:p w:rsidR="00E44F87" w:rsidRDefault="00E44F87">
            <w:pPr>
              <w:pStyle w:val="TableText"/>
              <w:ind w:left="360"/>
              <w:rPr>
                <w:rFonts w:ascii="Arial" w:hAnsi="Arial" w:cs="Arial"/>
                <w:sz w:val="18"/>
                <w:lang w:val="en-AU"/>
              </w:rPr>
            </w:pPr>
            <w:r>
              <w:rPr>
                <w:rFonts w:ascii="Arial" w:hAnsi="Arial" w:cs="Arial"/>
                <w:sz w:val="18"/>
                <w:lang w:val="en-AU"/>
              </w:rPr>
              <w:t>Week 76</w:t>
            </w:r>
          </w:p>
        </w:tc>
        <w:tc>
          <w:tcPr>
            <w:tcW w:w="1443" w:type="dxa"/>
            <w:tcBorders>
              <w:bottom w:val="nil"/>
            </w:tcBorders>
          </w:tcPr>
          <w:p w:rsidR="00E44F87" w:rsidRDefault="00E44F87">
            <w:pPr>
              <w:pStyle w:val="TableText"/>
              <w:jc w:val="center"/>
              <w:rPr>
                <w:rFonts w:ascii="Arial" w:hAnsi="Arial" w:cs="Arial"/>
                <w:sz w:val="18"/>
                <w:lang w:val="en-AU"/>
              </w:rPr>
            </w:pPr>
            <w:r>
              <w:rPr>
                <w:rFonts w:ascii="Arial" w:hAnsi="Arial" w:cs="Arial"/>
                <w:sz w:val="18"/>
                <w:lang w:val="en-AU"/>
              </w:rPr>
              <w:t>154 (59.9)</w:t>
            </w:r>
          </w:p>
        </w:tc>
        <w:tc>
          <w:tcPr>
            <w:tcW w:w="1443" w:type="dxa"/>
            <w:tcBorders>
              <w:bottom w:val="nil"/>
            </w:tcBorders>
          </w:tcPr>
          <w:p w:rsidR="00E44F87" w:rsidRDefault="00E44F87">
            <w:pPr>
              <w:pStyle w:val="TableText"/>
              <w:jc w:val="center"/>
              <w:rPr>
                <w:rFonts w:ascii="Arial" w:hAnsi="Arial" w:cs="Arial"/>
                <w:sz w:val="18"/>
                <w:lang w:val="en-AU"/>
              </w:rPr>
            </w:pPr>
            <w:r>
              <w:rPr>
                <w:rFonts w:ascii="Arial" w:hAnsi="Arial" w:cs="Arial"/>
                <w:sz w:val="18"/>
                <w:lang w:val="en-AU"/>
              </w:rPr>
              <w:t>137 (50.0)</w:t>
            </w:r>
          </w:p>
        </w:tc>
        <w:tc>
          <w:tcPr>
            <w:tcW w:w="1456" w:type="dxa"/>
            <w:tcBorders>
              <w:bottom w:val="nil"/>
            </w:tcBorders>
          </w:tcPr>
          <w:p w:rsidR="00E44F87" w:rsidRDefault="00E44F87">
            <w:pPr>
              <w:pStyle w:val="TableText"/>
              <w:jc w:val="center"/>
              <w:rPr>
                <w:rFonts w:ascii="Arial" w:hAnsi="Arial" w:cs="Arial"/>
                <w:sz w:val="18"/>
                <w:lang w:val="en-AU"/>
              </w:rPr>
            </w:pPr>
            <w:r>
              <w:rPr>
                <w:rFonts w:ascii="Arial" w:hAnsi="Arial" w:cs="Arial"/>
                <w:sz w:val="18"/>
                <w:lang w:val="en-AU"/>
              </w:rPr>
              <w:t>185 (69.0)</w:t>
            </w:r>
          </w:p>
        </w:tc>
        <w:tc>
          <w:tcPr>
            <w:tcW w:w="1436" w:type="dxa"/>
            <w:tcBorders>
              <w:bottom w:val="nil"/>
            </w:tcBorders>
          </w:tcPr>
          <w:p w:rsidR="00E44F87" w:rsidRDefault="00E44F87">
            <w:pPr>
              <w:pStyle w:val="TableText"/>
              <w:jc w:val="center"/>
              <w:rPr>
                <w:rFonts w:ascii="Arial" w:hAnsi="Arial" w:cs="Arial"/>
                <w:sz w:val="18"/>
                <w:lang w:val="en-AU"/>
              </w:rPr>
            </w:pPr>
            <w:r>
              <w:rPr>
                <w:rFonts w:ascii="Arial" w:hAnsi="Arial" w:cs="Arial"/>
                <w:sz w:val="18"/>
                <w:lang w:val="en-AU"/>
              </w:rPr>
              <w:t>0.029</w:t>
            </w:r>
          </w:p>
        </w:tc>
        <w:tc>
          <w:tcPr>
            <w:tcW w:w="1444" w:type="dxa"/>
            <w:tcBorders>
              <w:bottom w:val="nil"/>
            </w:tcBorders>
          </w:tcPr>
          <w:p w:rsidR="00E44F87" w:rsidRDefault="00E44F87">
            <w:pPr>
              <w:pStyle w:val="TableText"/>
              <w:jc w:val="center"/>
              <w:rPr>
                <w:rFonts w:ascii="Arial" w:hAnsi="Arial" w:cs="Arial"/>
                <w:sz w:val="18"/>
                <w:lang w:val="en-AU"/>
              </w:rPr>
            </w:pPr>
            <w:r>
              <w:rPr>
                <w:rFonts w:ascii="Arial" w:hAnsi="Arial" w:cs="Arial"/>
                <w:sz w:val="18"/>
                <w:lang w:val="en-AU"/>
              </w:rPr>
              <w:t>&lt; 0.001</w:t>
            </w:r>
          </w:p>
        </w:tc>
      </w:tr>
      <w:tr w:rsidR="00E44F87">
        <w:trPr>
          <w:cantSplit/>
          <w:jc w:val="center"/>
        </w:trPr>
        <w:tc>
          <w:tcPr>
            <w:tcW w:w="1418" w:type="dxa"/>
            <w:tcBorders>
              <w:top w:val="nil"/>
              <w:bottom w:val="single" w:sz="4" w:space="0" w:color="auto"/>
            </w:tcBorders>
          </w:tcPr>
          <w:p w:rsidR="00E44F87" w:rsidRDefault="00E44F87">
            <w:pPr>
              <w:pStyle w:val="TableText"/>
              <w:ind w:left="360"/>
              <w:rPr>
                <w:rFonts w:ascii="Arial" w:hAnsi="Arial" w:cs="Arial"/>
                <w:sz w:val="18"/>
                <w:lang w:val="en-AU"/>
              </w:rPr>
            </w:pPr>
            <w:r>
              <w:rPr>
                <w:rFonts w:ascii="Arial" w:hAnsi="Arial" w:cs="Arial"/>
                <w:sz w:val="18"/>
                <w:lang w:val="en-AU"/>
              </w:rPr>
              <w:t>Week 104</w:t>
            </w:r>
          </w:p>
        </w:tc>
        <w:tc>
          <w:tcPr>
            <w:tcW w:w="1443" w:type="dxa"/>
            <w:tcBorders>
              <w:top w:val="nil"/>
              <w:bottom w:val="single" w:sz="4" w:space="0" w:color="auto"/>
            </w:tcBorders>
          </w:tcPr>
          <w:p w:rsidR="00E44F87" w:rsidRDefault="00E44F87">
            <w:pPr>
              <w:pStyle w:val="TableText"/>
              <w:jc w:val="center"/>
              <w:rPr>
                <w:rFonts w:ascii="Arial" w:hAnsi="Arial" w:cs="Arial"/>
                <w:sz w:val="18"/>
                <w:lang w:val="en-AU"/>
              </w:rPr>
            </w:pPr>
            <w:r>
              <w:rPr>
                <w:rFonts w:ascii="Arial" w:hAnsi="Arial" w:cs="Arial"/>
                <w:sz w:val="18"/>
                <w:lang w:val="en-AU"/>
              </w:rPr>
              <w:t>144 (56.0)</w:t>
            </w:r>
          </w:p>
        </w:tc>
        <w:tc>
          <w:tcPr>
            <w:tcW w:w="1443" w:type="dxa"/>
            <w:tcBorders>
              <w:top w:val="nil"/>
              <w:bottom w:val="single" w:sz="4" w:space="0" w:color="auto"/>
            </w:tcBorders>
          </w:tcPr>
          <w:p w:rsidR="00E44F87" w:rsidRDefault="00E44F87">
            <w:pPr>
              <w:pStyle w:val="TableText"/>
              <w:jc w:val="center"/>
              <w:rPr>
                <w:rFonts w:ascii="Arial" w:hAnsi="Arial" w:cs="Arial"/>
                <w:sz w:val="18"/>
                <w:lang w:val="en-AU"/>
              </w:rPr>
            </w:pPr>
            <w:r>
              <w:rPr>
                <w:rFonts w:ascii="Arial" w:hAnsi="Arial" w:cs="Arial"/>
                <w:sz w:val="18"/>
                <w:lang w:val="en-AU"/>
              </w:rPr>
              <w:t>135 (49.3)</w:t>
            </w:r>
          </w:p>
        </w:tc>
        <w:tc>
          <w:tcPr>
            <w:tcW w:w="1456" w:type="dxa"/>
            <w:tcBorders>
              <w:top w:val="nil"/>
              <w:bottom w:val="single" w:sz="4" w:space="0" w:color="auto"/>
            </w:tcBorders>
          </w:tcPr>
          <w:p w:rsidR="00E44F87" w:rsidRDefault="00E44F87">
            <w:pPr>
              <w:pStyle w:val="TableText"/>
              <w:jc w:val="center"/>
              <w:rPr>
                <w:rFonts w:ascii="Arial" w:hAnsi="Arial" w:cs="Arial"/>
                <w:sz w:val="18"/>
                <w:lang w:val="en-AU"/>
              </w:rPr>
            </w:pPr>
            <w:r>
              <w:rPr>
                <w:rFonts w:ascii="Arial" w:hAnsi="Arial" w:cs="Arial"/>
                <w:sz w:val="18"/>
                <w:lang w:val="en-AU"/>
              </w:rPr>
              <w:t>186 (69.4)</w:t>
            </w:r>
          </w:p>
        </w:tc>
        <w:tc>
          <w:tcPr>
            <w:tcW w:w="1436" w:type="dxa"/>
            <w:tcBorders>
              <w:top w:val="nil"/>
              <w:bottom w:val="single" w:sz="4" w:space="0" w:color="auto"/>
            </w:tcBorders>
          </w:tcPr>
          <w:p w:rsidR="00E44F87" w:rsidRDefault="00E44F87">
            <w:pPr>
              <w:pStyle w:val="TableText"/>
              <w:jc w:val="center"/>
              <w:rPr>
                <w:rFonts w:ascii="Arial" w:hAnsi="Arial" w:cs="Arial"/>
                <w:sz w:val="18"/>
                <w:lang w:val="en-AU"/>
              </w:rPr>
            </w:pPr>
            <w:r>
              <w:rPr>
                <w:rFonts w:ascii="Arial" w:hAnsi="Arial" w:cs="Arial"/>
                <w:sz w:val="18"/>
                <w:lang w:val="en-AU"/>
              </w:rPr>
              <w:t>0.002</w:t>
            </w:r>
          </w:p>
        </w:tc>
        <w:tc>
          <w:tcPr>
            <w:tcW w:w="1444" w:type="dxa"/>
            <w:tcBorders>
              <w:top w:val="nil"/>
              <w:bottom w:val="single" w:sz="4" w:space="0" w:color="auto"/>
            </w:tcBorders>
          </w:tcPr>
          <w:p w:rsidR="00E44F87" w:rsidRDefault="00E44F87">
            <w:pPr>
              <w:pStyle w:val="TableText"/>
              <w:jc w:val="center"/>
              <w:rPr>
                <w:rFonts w:ascii="Arial" w:hAnsi="Arial" w:cs="Arial"/>
                <w:sz w:val="18"/>
                <w:lang w:val="en-AU"/>
              </w:rPr>
            </w:pPr>
            <w:r>
              <w:rPr>
                <w:rFonts w:ascii="Arial" w:hAnsi="Arial" w:cs="Arial"/>
                <w:sz w:val="18"/>
                <w:lang w:val="en-AU"/>
              </w:rPr>
              <w:t>&lt; 0.001</w:t>
            </w:r>
          </w:p>
        </w:tc>
      </w:tr>
      <w:tr w:rsidR="00E44F87">
        <w:trPr>
          <w:cantSplit/>
          <w:jc w:val="center"/>
        </w:trPr>
        <w:tc>
          <w:tcPr>
            <w:tcW w:w="1418" w:type="dxa"/>
            <w:tcBorders>
              <w:top w:val="single" w:sz="4" w:space="0" w:color="auto"/>
            </w:tcBorders>
          </w:tcPr>
          <w:p w:rsidR="00E44F87" w:rsidRDefault="00E44F87">
            <w:pPr>
              <w:pStyle w:val="TableText"/>
              <w:rPr>
                <w:rFonts w:ascii="Arial" w:hAnsi="Arial" w:cs="Arial"/>
                <w:sz w:val="18"/>
                <w:lang w:val="en-AU"/>
              </w:rPr>
            </w:pPr>
            <w:r>
              <w:rPr>
                <w:rFonts w:ascii="Arial" w:hAnsi="Arial" w:cs="Arial"/>
                <w:sz w:val="18"/>
                <w:lang w:val="en-AU"/>
              </w:rPr>
              <w:t>ACR50</w:t>
            </w:r>
          </w:p>
        </w:tc>
        <w:tc>
          <w:tcPr>
            <w:tcW w:w="1443" w:type="dxa"/>
            <w:tcBorders>
              <w:top w:val="single" w:sz="4" w:space="0" w:color="auto"/>
            </w:tcBorders>
          </w:tcPr>
          <w:p w:rsidR="00E44F87" w:rsidRDefault="00E44F87">
            <w:pPr>
              <w:pStyle w:val="TableText"/>
              <w:jc w:val="center"/>
              <w:rPr>
                <w:rFonts w:ascii="Arial" w:hAnsi="Arial" w:cs="Arial"/>
                <w:sz w:val="18"/>
                <w:lang w:val="en-AU"/>
              </w:rPr>
            </w:pPr>
          </w:p>
        </w:tc>
        <w:tc>
          <w:tcPr>
            <w:tcW w:w="1443" w:type="dxa"/>
            <w:tcBorders>
              <w:top w:val="single" w:sz="4" w:space="0" w:color="auto"/>
            </w:tcBorders>
          </w:tcPr>
          <w:p w:rsidR="00E44F87" w:rsidRDefault="00E44F87">
            <w:pPr>
              <w:pStyle w:val="TableText"/>
              <w:jc w:val="center"/>
              <w:rPr>
                <w:rFonts w:ascii="Arial" w:hAnsi="Arial" w:cs="Arial"/>
                <w:sz w:val="18"/>
                <w:lang w:val="en-AU"/>
              </w:rPr>
            </w:pPr>
          </w:p>
        </w:tc>
        <w:tc>
          <w:tcPr>
            <w:tcW w:w="1456" w:type="dxa"/>
            <w:tcBorders>
              <w:top w:val="single" w:sz="4" w:space="0" w:color="auto"/>
            </w:tcBorders>
          </w:tcPr>
          <w:p w:rsidR="00E44F87" w:rsidRDefault="00E44F87">
            <w:pPr>
              <w:pStyle w:val="TableText"/>
              <w:jc w:val="center"/>
              <w:rPr>
                <w:rFonts w:ascii="Arial" w:hAnsi="Arial" w:cs="Arial"/>
                <w:sz w:val="18"/>
                <w:lang w:val="en-AU"/>
              </w:rPr>
            </w:pPr>
          </w:p>
        </w:tc>
        <w:tc>
          <w:tcPr>
            <w:tcW w:w="1436" w:type="dxa"/>
            <w:tcBorders>
              <w:top w:val="single" w:sz="4" w:space="0" w:color="auto"/>
            </w:tcBorders>
          </w:tcPr>
          <w:p w:rsidR="00E44F87" w:rsidRDefault="00E44F87">
            <w:pPr>
              <w:pStyle w:val="TableText"/>
              <w:jc w:val="center"/>
              <w:rPr>
                <w:rFonts w:ascii="Arial" w:hAnsi="Arial" w:cs="Arial"/>
                <w:sz w:val="18"/>
                <w:lang w:val="en-AU"/>
              </w:rPr>
            </w:pPr>
          </w:p>
        </w:tc>
        <w:tc>
          <w:tcPr>
            <w:tcW w:w="1444" w:type="dxa"/>
            <w:tcBorders>
              <w:top w:val="single" w:sz="4" w:space="0" w:color="auto"/>
            </w:tcBorders>
          </w:tcPr>
          <w:p w:rsidR="00E44F87" w:rsidRDefault="00E44F87">
            <w:pPr>
              <w:pStyle w:val="TableText"/>
              <w:jc w:val="center"/>
              <w:rPr>
                <w:rFonts w:ascii="Arial" w:hAnsi="Arial" w:cs="Arial"/>
                <w:sz w:val="18"/>
                <w:lang w:val="en-AU"/>
              </w:rPr>
            </w:pPr>
          </w:p>
        </w:tc>
      </w:tr>
      <w:tr w:rsidR="00E44F87">
        <w:trPr>
          <w:cantSplit/>
          <w:jc w:val="center"/>
        </w:trPr>
        <w:tc>
          <w:tcPr>
            <w:tcW w:w="1418" w:type="dxa"/>
          </w:tcPr>
          <w:p w:rsidR="00E44F87" w:rsidRDefault="00E44F87">
            <w:pPr>
              <w:pStyle w:val="TableText"/>
              <w:ind w:left="360"/>
              <w:rPr>
                <w:rFonts w:ascii="Arial" w:hAnsi="Arial" w:cs="Arial"/>
                <w:sz w:val="18"/>
                <w:lang w:val="en-AU"/>
              </w:rPr>
            </w:pPr>
            <w:r>
              <w:rPr>
                <w:rFonts w:ascii="Arial" w:hAnsi="Arial" w:cs="Arial"/>
                <w:sz w:val="18"/>
                <w:lang w:val="en-AU"/>
              </w:rPr>
              <w:t>Week 26</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104 (40.5)</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96 (35.0)</w:t>
            </w:r>
          </w:p>
        </w:tc>
        <w:tc>
          <w:tcPr>
            <w:tcW w:w="1456" w:type="dxa"/>
          </w:tcPr>
          <w:p w:rsidR="00E44F87" w:rsidRDefault="00E44F87">
            <w:pPr>
              <w:pStyle w:val="TableText"/>
              <w:jc w:val="center"/>
              <w:rPr>
                <w:rFonts w:ascii="Arial" w:hAnsi="Arial" w:cs="Arial"/>
                <w:sz w:val="18"/>
                <w:lang w:val="en-AU"/>
              </w:rPr>
            </w:pPr>
            <w:r>
              <w:rPr>
                <w:rFonts w:ascii="Arial" w:hAnsi="Arial" w:cs="Arial"/>
                <w:sz w:val="18"/>
                <w:lang w:val="en-AU"/>
              </w:rPr>
              <w:t>157 (58.6)</w:t>
            </w:r>
          </w:p>
        </w:tc>
        <w:tc>
          <w:tcPr>
            <w:tcW w:w="1436"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c>
          <w:tcPr>
            <w:tcW w:w="1444"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r>
      <w:tr w:rsidR="00E44F87">
        <w:trPr>
          <w:cantSplit/>
          <w:jc w:val="center"/>
        </w:trPr>
        <w:tc>
          <w:tcPr>
            <w:tcW w:w="1418" w:type="dxa"/>
          </w:tcPr>
          <w:p w:rsidR="00E44F87" w:rsidRDefault="00E44F87">
            <w:pPr>
              <w:pStyle w:val="TableText"/>
              <w:ind w:left="360"/>
              <w:rPr>
                <w:rFonts w:ascii="Arial" w:hAnsi="Arial" w:cs="Arial"/>
                <w:sz w:val="18"/>
                <w:lang w:val="en-AU"/>
              </w:rPr>
            </w:pPr>
            <w:r>
              <w:rPr>
                <w:rFonts w:ascii="Arial" w:hAnsi="Arial" w:cs="Arial"/>
                <w:sz w:val="18"/>
                <w:lang w:val="en-AU"/>
              </w:rPr>
              <w:t>Week 52</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118 (45.9)</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113 (41.2)</w:t>
            </w:r>
          </w:p>
        </w:tc>
        <w:tc>
          <w:tcPr>
            <w:tcW w:w="1456" w:type="dxa"/>
          </w:tcPr>
          <w:p w:rsidR="00E44F87" w:rsidRDefault="00E44F87">
            <w:pPr>
              <w:pStyle w:val="TableText"/>
              <w:jc w:val="center"/>
              <w:rPr>
                <w:rFonts w:ascii="Arial" w:hAnsi="Arial" w:cs="Arial"/>
                <w:sz w:val="18"/>
                <w:lang w:val="en-AU"/>
              </w:rPr>
            </w:pPr>
            <w:r>
              <w:rPr>
                <w:rFonts w:ascii="Arial" w:hAnsi="Arial" w:cs="Arial"/>
                <w:sz w:val="18"/>
                <w:lang w:val="en-AU"/>
              </w:rPr>
              <w:t>165 (61.6)</w:t>
            </w:r>
          </w:p>
        </w:tc>
        <w:tc>
          <w:tcPr>
            <w:tcW w:w="1436"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c>
          <w:tcPr>
            <w:tcW w:w="1444"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r>
      <w:tr w:rsidR="00E44F87">
        <w:trPr>
          <w:cantSplit/>
          <w:jc w:val="center"/>
        </w:trPr>
        <w:tc>
          <w:tcPr>
            <w:tcW w:w="1418" w:type="dxa"/>
            <w:tcBorders>
              <w:bottom w:val="nil"/>
            </w:tcBorders>
          </w:tcPr>
          <w:p w:rsidR="00E44F87" w:rsidRDefault="00E44F87">
            <w:pPr>
              <w:pStyle w:val="TableText"/>
              <w:ind w:left="360"/>
              <w:rPr>
                <w:rFonts w:ascii="Arial" w:hAnsi="Arial" w:cs="Arial"/>
                <w:sz w:val="18"/>
                <w:lang w:val="en-AU"/>
              </w:rPr>
            </w:pPr>
            <w:r>
              <w:rPr>
                <w:rFonts w:ascii="Arial" w:hAnsi="Arial" w:cs="Arial"/>
                <w:sz w:val="18"/>
                <w:lang w:val="en-AU"/>
              </w:rPr>
              <w:t>Week 76</w:t>
            </w:r>
          </w:p>
        </w:tc>
        <w:tc>
          <w:tcPr>
            <w:tcW w:w="1443" w:type="dxa"/>
            <w:tcBorders>
              <w:bottom w:val="nil"/>
            </w:tcBorders>
          </w:tcPr>
          <w:p w:rsidR="00E44F87" w:rsidRDefault="00E44F87">
            <w:pPr>
              <w:pStyle w:val="TableText"/>
              <w:jc w:val="center"/>
              <w:rPr>
                <w:rFonts w:ascii="Arial" w:hAnsi="Arial" w:cs="Arial"/>
                <w:sz w:val="18"/>
                <w:lang w:val="en-AU"/>
              </w:rPr>
            </w:pPr>
            <w:r>
              <w:rPr>
                <w:rFonts w:ascii="Arial" w:hAnsi="Arial" w:cs="Arial"/>
                <w:sz w:val="18"/>
                <w:lang w:val="en-AU"/>
              </w:rPr>
              <w:t>114 (44.4)</w:t>
            </w:r>
          </w:p>
        </w:tc>
        <w:tc>
          <w:tcPr>
            <w:tcW w:w="1443" w:type="dxa"/>
            <w:tcBorders>
              <w:bottom w:val="nil"/>
            </w:tcBorders>
          </w:tcPr>
          <w:p w:rsidR="00E44F87" w:rsidRDefault="00E44F87">
            <w:pPr>
              <w:pStyle w:val="TableText"/>
              <w:jc w:val="center"/>
              <w:rPr>
                <w:rFonts w:ascii="Arial" w:hAnsi="Arial" w:cs="Arial"/>
                <w:sz w:val="18"/>
                <w:lang w:val="en-AU"/>
              </w:rPr>
            </w:pPr>
            <w:r>
              <w:rPr>
                <w:rFonts w:ascii="Arial" w:hAnsi="Arial" w:cs="Arial"/>
                <w:sz w:val="18"/>
                <w:lang w:val="en-AU"/>
              </w:rPr>
              <w:t>114 (41.6)</w:t>
            </w:r>
          </w:p>
        </w:tc>
        <w:tc>
          <w:tcPr>
            <w:tcW w:w="1456" w:type="dxa"/>
            <w:tcBorders>
              <w:bottom w:val="nil"/>
            </w:tcBorders>
          </w:tcPr>
          <w:p w:rsidR="00E44F87" w:rsidRDefault="00E44F87">
            <w:pPr>
              <w:pStyle w:val="TableText"/>
              <w:jc w:val="center"/>
              <w:rPr>
                <w:rFonts w:ascii="Arial" w:hAnsi="Arial" w:cs="Arial"/>
                <w:sz w:val="18"/>
                <w:lang w:val="en-AU"/>
              </w:rPr>
            </w:pPr>
            <w:r>
              <w:rPr>
                <w:rFonts w:ascii="Arial" w:hAnsi="Arial" w:cs="Arial"/>
                <w:sz w:val="18"/>
                <w:lang w:val="en-AU"/>
              </w:rPr>
              <w:t>161 (60.1)</w:t>
            </w:r>
          </w:p>
        </w:tc>
        <w:tc>
          <w:tcPr>
            <w:tcW w:w="1436" w:type="dxa"/>
            <w:tcBorders>
              <w:bottom w:val="nil"/>
            </w:tcBorders>
          </w:tcPr>
          <w:p w:rsidR="00E44F87" w:rsidRDefault="00E44F87">
            <w:pPr>
              <w:pStyle w:val="TableText"/>
              <w:jc w:val="center"/>
              <w:rPr>
                <w:rFonts w:ascii="Arial" w:hAnsi="Arial" w:cs="Arial"/>
                <w:sz w:val="18"/>
                <w:lang w:val="en-AU"/>
              </w:rPr>
            </w:pPr>
            <w:r>
              <w:rPr>
                <w:rFonts w:ascii="Arial" w:hAnsi="Arial" w:cs="Arial"/>
                <w:sz w:val="18"/>
                <w:lang w:val="en-AU"/>
              </w:rPr>
              <w:t>&lt; 0.001</w:t>
            </w:r>
          </w:p>
        </w:tc>
        <w:tc>
          <w:tcPr>
            <w:tcW w:w="1444" w:type="dxa"/>
            <w:tcBorders>
              <w:bottom w:val="nil"/>
            </w:tcBorders>
          </w:tcPr>
          <w:p w:rsidR="00E44F87" w:rsidRDefault="00E44F87">
            <w:pPr>
              <w:pStyle w:val="TableText"/>
              <w:jc w:val="center"/>
              <w:rPr>
                <w:rFonts w:ascii="Arial" w:hAnsi="Arial" w:cs="Arial"/>
                <w:sz w:val="18"/>
                <w:lang w:val="en-AU"/>
              </w:rPr>
            </w:pPr>
            <w:r>
              <w:rPr>
                <w:rFonts w:ascii="Arial" w:hAnsi="Arial" w:cs="Arial"/>
                <w:sz w:val="18"/>
                <w:lang w:val="en-AU"/>
              </w:rPr>
              <w:t>&lt; 0.001</w:t>
            </w:r>
          </w:p>
        </w:tc>
      </w:tr>
      <w:tr w:rsidR="00E44F87">
        <w:trPr>
          <w:cantSplit/>
          <w:jc w:val="center"/>
        </w:trPr>
        <w:tc>
          <w:tcPr>
            <w:tcW w:w="1418" w:type="dxa"/>
            <w:tcBorders>
              <w:top w:val="nil"/>
              <w:bottom w:val="single" w:sz="4" w:space="0" w:color="auto"/>
            </w:tcBorders>
          </w:tcPr>
          <w:p w:rsidR="00E44F87" w:rsidRDefault="00E44F87">
            <w:pPr>
              <w:pStyle w:val="TableText"/>
              <w:ind w:left="360"/>
              <w:rPr>
                <w:rFonts w:ascii="Arial" w:hAnsi="Arial" w:cs="Arial"/>
                <w:sz w:val="18"/>
                <w:lang w:val="en-AU"/>
              </w:rPr>
            </w:pPr>
            <w:r>
              <w:rPr>
                <w:rFonts w:ascii="Arial" w:hAnsi="Arial" w:cs="Arial"/>
                <w:sz w:val="18"/>
                <w:lang w:val="en-AU"/>
              </w:rPr>
              <w:t>Week 104</w:t>
            </w:r>
          </w:p>
        </w:tc>
        <w:tc>
          <w:tcPr>
            <w:tcW w:w="1443" w:type="dxa"/>
            <w:tcBorders>
              <w:top w:val="nil"/>
              <w:bottom w:val="single" w:sz="4" w:space="0" w:color="auto"/>
            </w:tcBorders>
          </w:tcPr>
          <w:p w:rsidR="00E44F87" w:rsidRDefault="00E44F87">
            <w:pPr>
              <w:pStyle w:val="TableText"/>
              <w:jc w:val="center"/>
              <w:rPr>
                <w:rFonts w:ascii="Arial" w:hAnsi="Arial" w:cs="Arial"/>
                <w:sz w:val="18"/>
                <w:lang w:val="en-AU"/>
              </w:rPr>
            </w:pPr>
            <w:r>
              <w:rPr>
                <w:rFonts w:ascii="Arial" w:hAnsi="Arial" w:cs="Arial"/>
                <w:sz w:val="18"/>
                <w:lang w:val="en-AU"/>
              </w:rPr>
              <w:t>110 (42.8)</w:t>
            </w:r>
          </w:p>
        </w:tc>
        <w:tc>
          <w:tcPr>
            <w:tcW w:w="1443" w:type="dxa"/>
            <w:tcBorders>
              <w:top w:val="nil"/>
              <w:bottom w:val="single" w:sz="4" w:space="0" w:color="auto"/>
            </w:tcBorders>
          </w:tcPr>
          <w:p w:rsidR="00E44F87" w:rsidRDefault="00E44F87">
            <w:pPr>
              <w:pStyle w:val="TableText"/>
              <w:jc w:val="center"/>
              <w:rPr>
                <w:rFonts w:ascii="Arial" w:hAnsi="Arial" w:cs="Arial"/>
                <w:sz w:val="18"/>
                <w:lang w:val="en-AU"/>
              </w:rPr>
            </w:pPr>
            <w:r>
              <w:rPr>
                <w:rFonts w:ascii="Arial" w:hAnsi="Arial" w:cs="Arial"/>
                <w:sz w:val="18"/>
                <w:lang w:val="en-AU"/>
              </w:rPr>
              <w:t>101 (36.9)</w:t>
            </w:r>
          </w:p>
        </w:tc>
        <w:tc>
          <w:tcPr>
            <w:tcW w:w="1456" w:type="dxa"/>
            <w:tcBorders>
              <w:top w:val="nil"/>
              <w:bottom w:val="single" w:sz="4" w:space="0" w:color="auto"/>
            </w:tcBorders>
          </w:tcPr>
          <w:p w:rsidR="00E44F87" w:rsidRDefault="00E44F87">
            <w:pPr>
              <w:pStyle w:val="TableText"/>
              <w:jc w:val="center"/>
              <w:rPr>
                <w:rFonts w:ascii="Arial" w:hAnsi="Arial" w:cs="Arial"/>
                <w:sz w:val="18"/>
                <w:lang w:val="en-AU"/>
              </w:rPr>
            </w:pPr>
            <w:r>
              <w:rPr>
                <w:rFonts w:ascii="Arial" w:hAnsi="Arial" w:cs="Arial"/>
                <w:sz w:val="18"/>
                <w:lang w:val="en-AU"/>
              </w:rPr>
              <w:t>158 (59.0)</w:t>
            </w:r>
          </w:p>
        </w:tc>
        <w:tc>
          <w:tcPr>
            <w:tcW w:w="1436" w:type="dxa"/>
            <w:tcBorders>
              <w:top w:val="nil"/>
              <w:bottom w:val="single" w:sz="4" w:space="0" w:color="auto"/>
            </w:tcBorders>
          </w:tcPr>
          <w:p w:rsidR="00E44F87" w:rsidRDefault="00E44F87">
            <w:pPr>
              <w:pStyle w:val="TableText"/>
              <w:jc w:val="center"/>
              <w:rPr>
                <w:rFonts w:ascii="Arial" w:hAnsi="Arial" w:cs="Arial"/>
                <w:sz w:val="18"/>
                <w:lang w:val="en-AU"/>
              </w:rPr>
            </w:pPr>
            <w:r>
              <w:rPr>
                <w:rFonts w:ascii="Arial" w:hAnsi="Arial" w:cs="Arial"/>
                <w:sz w:val="18"/>
                <w:lang w:val="en-AU"/>
              </w:rPr>
              <w:t>&lt; 0.001</w:t>
            </w:r>
          </w:p>
        </w:tc>
        <w:tc>
          <w:tcPr>
            <w:tcW w:w="1444" w:type="dxa"/>
            <w:tcBorders>
              <w:top w:val="nil"/>
              <w:bottom w:val="single" w:sz="4" w:space="0" w:color="auto"/>
            </w:tcBorders>
          </w:tcPr>
          <w:p w:rsidR="00E44F87" w:rsidRDefault="00E44F87">
            <w:pPr>
              <w:pStyle w:val="TableText"/>
              <w:jc w:val="center"/>
              <w:rPr>
                <w:rFonts w:ascii="Arial" w:hAnsi="Arial" w:cs="Arial"/>
                <w:sz w:val="18"/>
                <w:lang w:val="en-AU"/>
              </w:rPr>
            </w:pPr>
            <w:r>
              <w:rPr>
                <w:rFonts w:ascii="Arial" w:hAnsi="Arial" w:cs="Arial"/>
                <w:sz w:val="18"/>
                <w:lang w:val="en-AU"/>
              </w:rPr>
              <w:t>&lt; 0.001</w:t>
            </w:r>
          </w:p>
        </w:tc>
      </w:tr>
      <w:tr w:rsidR="00E44F87">
        <w:trPr>
          <w:cantSplit/>
          <w:jc w:val="center"/>
        </w:trPr>
        <w:tc>
          <w:tcPr>
            <w:tcW w:w="1418" w:type="dxa"/>
            <w:tcBorders>
              <w:top w:val="single" w:sz="4" w:space="0" w:color="auto"/>
            </w:tcBorders>
          </w:tcPr>
          <w:p w:rsidR="00E44F87" w:rsidRDefault="00E44F87">
            <w:pPr>
              <w:pStyle w:val="TableText"/>
              <w:rPr>
                <w:rFonts w:ascii="Arial" w:hAnsi="Arial" w:cs="Arial"/>
                <w:sz w:val="18"/>
                <w:lang w:val="en-AU"/>
              </w:rPr>
            </w:pPr>
            <w:r>
              <w:rPr>
                <w:rFonts w:ascii="Arial" w:hAnsi="Arial" w:cs="Arial"/>
                <w:sz w:val="18"/>
                <w:lang w:val="en-AU"/>
              </w:rPr>
              <w:t>ACR70</w:t>
            </w:r>
          </w:p>
        </w:tc>
        <w:tc>
          <w:tcPr>
            <w:tcW w:w="1443" w:type="dxa"/>
            <w:tcBorders>
              <w:top w:val="single" w:sz="4" w:space="0" w:color="auto"/>
            </w:tcBorders>
          </w:tcPr>
          <w:p w:rsidR="00E44F87" w:rsidRDefault="00E44F87">
            <w:pPr>
              <w:pStyle w:val="TableText"/>
              <w:jc w:val="center"/>
              <w:rPr>
                <w:rFonts w:ascii="Arial" w:hAnsi="Arial" w:cs="Arial"/>
                <w:sz w:val="18"/>
                <w:lang w:val="en-AU"/>
              </w:rPr>
            </w:pPr>
          </w:p>
        </w:tc>
        <w:tc>
          <w:tcPr>
            <w:tcW w:w="1443" w:type="dxa"/>
            <w:tcBorders>
              <w:top w:val="single" w:sz="4" w:space="0" w:color="auto"/>
            </w:tcBorders>
          </w:tcPr>
          <w:p w:rsidR="00E44F87" w:rsidRDefault="00E44F87">
            <w:pPr>
              <w:pStyle w:val="TableText"/>
              <w:jc w:val="center"/>
              <w:rPr>
                <w:rFonts w:ascii="Arial" w:hAnsi="Arial" w:cs="Arial"/>
                <w:sz w:val="18"/>
                <w:lang w:val="en-AU"/>
              </w:rPr>
            </w:pPr>
          </w:p>
        </w:tc>
        <w:tc>
          <w:tcPr>
            <w:tcW w:w="1456" w:type="dxa"/>
            <w:tcBorders>
              <w:top w:val="single" w:sz="4" w:space="0" w:color="auto"/>
            </w:tcBorders>
          </w:tcPr>
          <w:p w:rsidR="00E44F87" w:rsidRDefault="00E44F87">
            <w:pPr>
              <w:pStyle w:val="TableText"/>
              <w:jc w:val="center"/>
              <w:rPr>
                <w:rFonts w:ascii="Arial" w:hAnsi="Arial" w:cs="Arial"/>
                <w:sz w:val="18"/>
                <w:lang w:val="en-AU"/>
              </w:rPr>
            </w:pPr>
          </w:p>
        </w:tc>
        <w:tc>
          <w:tcPr>
            <w:tcW w:w="1436" w:type="dxa"/>
            <w:tcBorders>
              <w:top w:val="single" w:sz="4" w:space="0" w:color="auto"/>
            </w:tcBorders>
          </w:tcPr>
          <w:p w:rsidR="00E44F87" w:rsidRDefault="00E44F87">
            <w:pPr>
              <w:pStyle w:val="TableText"/>
              <w:jc w:val="center"/>
              <w:rPr>
                <w:rFonts w:ascii="Arial" w:hAnsi="Arial" w:cs="Arial"/>
                <w:sz w:val="18"/>
                <w:lang w:val="en-AU"/>
              </w:rPr>
            </w:pPr>
          </w:p>
        </w:tc>
        <w:tc>
          <w:tcPr>
            <w:tcW w:w="1444" w:type="dxa"/>
            <w:tcBorders>
              <w:top w:val="single" w:sz="4" w:space="0" w:color="auto"/>
            </w:tcBorders>
          </w:tcPr>
          <w:p w:rsidR="00E44F87" w:rsidRDefault="00E44F87">
            <w:pPr>
              <w:pStyle w:val="TableText"/>
              <w:jc w:val="center"/>
              <w:rPr>
                <w:rFonts w:ascii="Arial" w:hAnsi="Arial" w:cs="Arial"/>
                <w:sz w:val="18"/>
                <w:lang w:val="en-AU"/>
              </w:rPr>
            </w:pPr>
          </w:p>
        </w:tc>
      </w:tr>
      <w:tr w:rsidR="00E44F87">
        <w:trPr>
          <w:cantSplit/>
          <w:jc w:val="center"/>
        </w:trPr>
        <w:tc>
          <w:tcPr>
            <w:tcW w:w="1418" w:type="dxa"/>
          </w:tcPr>
          <w:p w:rsidR="00E44F87" w:rsidRDefault="00E44F87">
            <w:pPr>
              <w:pStyle w:val="TableText"/>
              <w:ind w:left="360"/>
              <w:rPr>
                <w:rFonts w:ascii="Arial" w:hAnsi="Arial" w:cs="Arial"/>
                <w:sz w:val="18"/>
                <w:lang w:val="en-AU"/>
              </w:rPr>
            </w:pPr>
            <w:r>
              <w:rPr>
                <w:rFonts w:ascii="Arial" w:hAnsi="Arial" w:cs="Arial"/>
                <w:sz w:val="18"/>
                <w:lang w:val="en-AU"/>
              </w:rPr>
              <w:t>Week 26</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57 (22.2)</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54 (19.7)</w:t>
            </w:r>
          </w:p>
        </w:tc>
        <w:tc>
          <w:tcPr>
            <w:tcW w:w="1456" w:type="dxa"/>
          </w:tcPr>
          <w:p w:rsidR="00E44F87" w:rsidRDefault="00E44F87">
            <w:pPr>
              <w:pStyle w:val="TableText"/>
              <w:jc w:val="center"/>
              <w:rPr>
                <w:rFonts w:ascii="Arial" w:hAnsi="Arial" w:cs="Arial"/>
                <w:sz w:val="18"/>
                <w:lang w:val="en-AU"/>
              </w:rPr>
            </w:pPr>
            <w:r>
              <w:rPr>
                <w:rFonts w:ascii="Arial" w:hAnsi="Arial" w:cs="Arial"/>
                <w:sz w:val="18"/>
                <w:lang w:val="en-AU"/>
              </w:rPr>
              <w:t>114 (42.5)</w:t>
            </w:r>
          </w:p>
        </w:tc>
        <w:tc>
          <w:tcPr>
            <w:tcW w:w="1436"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c>
          <w:tcPr>
            <w:tcW w:w="1444"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r>
      <w:tr w:rsidR="00E44F87">
        <w:trPr>
          <w:cantSplit/>
          <w:jc w:val="center"/>
        </w:trPr>
        <w:tc>
          <w:tcPr>
            <w:tcW w:w="1418" w:type="dxa"/>
          </w:tcPr>
          <w:p w:rsidR="00E44F87" w:rsidRDefault="00E44F87">
            <w:pPr>
              <w:pStyle w:val="TableText"/>
              <w:ind w:left="360"/>
              <w:rPr>
                <w:rFonts w:ascii="Arial" w:hAnsi="Arial" w:cs="Arial"/>
                <w:sz w:val="18"/>
                <w:lang w:val="en-AU"/>
              </w:rPr>
            </w:pPr>
            <w:r>
              <w:rPr>
                <w:rFonts w:ascii="Arial" w:hAnsi="Arial" w:cs="Arial"/>
                <w:sz w:val="18"/>
                <w:lang w:val="en-AU"/>
              </w:rPr>
              <w:t>Week 52</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70 (27.2)</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71 (25.9)</w:t>
            </w:r>
          </w:p>
        </w:tc>
        <w:tc>
          <w:tcPr>
            <w:tcW w:w="1456" w:type="dxa"/>
          </w:tcPr>
          <w:p w:rsidR="00E44F87" w:rsidRDefault="00E44F87">
            <w:pPr>
              <w:pStyle w:val="TableText"/>
              <w:jc w:val="center"/>
              <w:rPr>
                <w:rFonts w:ascii="Arial" w:hAnsi="Arial" w:cs="Arial"/>
                <w:sz w:val="18"/>
                <w:lang w:val="en-AU"/>
              </w:rPr>
            </w:pPr>
            <w:r>
              <w:rPr>
                <w:rFonts w:ascii="Arial" w:hAnsi="Arial" w:cs="Arial"/>
                <w:sz w:val="18"/>
                <w:lang w:val="en-AU"/>
              </w:rPr>
              <w:t>122 (45.5)</w:t>
            </w:r>
          </w:p>
        </w:tc>
        <w:tc>
          <w:tcPr>
            <w:tcW w:w="1436"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c>
          <w:tcPr>
            <w:tcW w:w="1444"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r>
      <w:tr w:rsidR="00E44F87">
        <w:trPr>
          <w:cantSplit/>
          <w:jc w:val="center"/>
        </w:trPr>
        <w:tc>
          <w:tcPr>
            <w:tcW w:w="1418" w:type="dxa"/>
          </w:tcPr>
          <w:p w:rsidR="00E44F87" w:rsidRDefault="00E44F87">
            <w:pPr>
              <w:pStyle w:val="TableText"/>
              <w:ind w:left="360"/>
              <w:rPr>
                <w:rFonts w:ascii="Arial" w:hAnsi="Arial" w:cs="Arial"/>
                <w:sz w:val="18"/>
                <w:lang w:val="en-AU"/>
              </w:rPr>
            </w:pPr>
            <w:r>
              <w:rPr>
                <w:rFonts w:ascii="Arial" w:hAnsi="Arial" w:cs="Arial"/>
                <w:sz w:val="18"/>
                <w:lang w:val="en-AU"/>
              </w:rPr>
              <w:t>Week 76</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75 (29.2)</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79 (28.8)</w:t>
            </w:r>
          </w:p>
        </w:tc>
        <w:tc>
          <w:tcPr>
            <w:tcW w:w="1456" w:type="dxa"/>
          </w:tcPr>
          <w:p w:rsidR="00E44F87" w:rsidRDefault="00E44F87">
            <w:pPr>
              <w:pStyle w:val="TableText"/>
              <w:jc w:val="center"/>
              <w:rPr>
                <w:rFonts w:ascii="Arial" w:hAnsi="Arial" w:cs="Arial"/>
                <w:sz w:val="18"/>
                <w:lang w:val="en-AU"/>
              </w:rPr>
            </w:pPr>
            <w:r>
              <w:rPr>
                <w:rFonts w:ascii="Arial" w:hAnsi="Arial" w:cs="Arial"/>
                <w:sz w:val="18"/>
                <w:lang w:val="en-AU"/>
              </w:rPr>
              <w:t>127 (47.4)</w:t>
            </w:r>
          </w:p>
        </w:tc>
        <w:tc>
          <w:tcPr>
            <w:tcW w:w="1436"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c>
          <w:tcPr>
            <w:tcW w:w="1444"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r>
      <w:tr w:rsidR="00E44F87">
        <w:trPr>
          <w:cantSplit/>
          <w:jc w:val="center"/>
        </w:trPr>
        <w:tc>
          <w:tcPr>
            <w:tcW w:w="1418" w:type="dxa"/>
          </w:tcPr>
          <w:p w:rsidR="00E44F87" w:rsidRDefault="00E44F87">
            <w:pPr>
              <w:pStyle w:val="TableText"/>
              <w:ind w:left="360"/>
              <w:rPr>
                <w:rFonts w:ascii="Arial" w:hAnsi="Arial" w:cs="Arial"/>
                <w:sz w:val="18"/>
                <w:lang w:val="en-AU"/>
              </w:rPr>
            </w:pPr>
            <w:r>
              <w:rPr>
                <w:rFonts w:ascii="Arial" w:hAnsi="Arial" w:cs="Arial"/>
                <w:sz w:val="18"/>
                <w:lang w:val="en-AU"/>
              </w:rPr>
              <w:t>Week 104</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73 (28.4)</w:t>
            </w:r>
          </w:p>
        </w:tc>
        <w:tc>
          <w:tcPr>
            <w:tcW w:w="1443" w:type="dxa"/>
          </w:tcPr>
          <w:p w:rsidR="00E44F87" w:rsidRDefault="00E44F87">
            <w:pPr>
              <w:pStyle w:val="TableText"/>
              <w:jc w:val="center"/>
              <w:rPr>
                <w:rFonts w:ascii="Arial" w:hAnsi="Arial" w:cs="Arial"/>
                <w:sz w:val="18"/>
                <w:lang w:val="en-AU"/>
              </w:rPr>
            </w:pPr>
            <w:r>
              <w:rPr>
                <w:rFonts w:ascii="Arial" w:hAnsi="Arial" w:cs="Arial"/>
                <w:sz w:val="18"/>
                <w:lang w:val="en-AU"/>
              </w:rPr>
              <w:t>77 (28.1)</w:t>
            </w:r>
          </w:p>
        </w:tc>
        <w:tc>
          <w:tcPr>
            <w:tcW w:w="1456" w:type="dxa"/>
          </w:tcPr>
          <w:p w:rsidR="00E44F87" w:rsidRDefault="00E44F87">
            <w:pPr>
              <w:pStyle w:val="TableText"/>
              <w:jc w:val="center"/>
              <w:rPr>
                <w:rFonts w:ascii="Arial" w:hAnsi="Arial" w:cs="Arial"/>
                <w:sz w:val="18"/>
                <w:lang w:val="en-AU"/>
              </w:rPr>
            </w:pPr>
            <w:r>
              <w:rPr>
                <w:rFonts w:ascii="Arial" w:hAnsi="Arial" w:cs="Arial"/>
                <w:sz w:val="18"/>
                <w:lang w:val="en-AU"/>
              </w:rPr>
              <w:t>125 (46.6)</w:t>
            </w:r>
          </w:p>
        </w:tc>
        <w:tc>
          <w:tcPr>
            <w:tcW w:w="1436"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c>
          <w:tcPr>
            <w:tcW w:w="1444" w:type="dxa"/>
          </w:tcPr>
          <w:p w:rsidR="00E44F87" w:rsidRDefault="00E44F87">
            <w:pPr>
              <w:pStyle w:val="TableText"/>
              <w:jc w:val="center"/>
              <w:rPr>
                <w:rFonts w:ascii="Arial" w:hAnsi="Arial" w:cs="Arial"/>
                <w:sz w:val="18"/>
                <w:lang w:val="en-AU"/>
              </w:rPr>
            </w:pPr>
            <w:r>
              <w:rPr>
                <w:rFonts w:ascii="Arial" w:hAnsi="Arial" w:cs="Arial"/>
                <w:sz w:val="18"/>
                <w:lang w:val="en-AU"/>
              </w:rPr>
              <w:t>&lt; 0.001</w:t>
            </w:r>
          </w:p>
        </w:tc>
      </w:tr>
    </w:tbl>
    <w:p w:rsidR="00E44F87" w:rsidRDefault="00E44F87">
      <w:pPr>
        <w:pStyle w:val="TableNote"/>
        <w:keepNext/>
        <w:keepLines/>
        <w:rPr>
          <w:rFonts w:ascii="Arial" w:hAnsi="Arial" w:cs="Arial"/>
          <w:sz w:val="18"/>
          <w:lang w:val="en-AU"/>
        </w:rPr>
      </w:pPr>
      <w:r>
        <w:rPr>
          <w:rFonts w:ascii="Arial" w:hAnsi="Arial" w:cs="Arial"/>
          <w:sz w:val="18"/>
          <w:lang w:val="en-AU"/>
        </w:rPr>
        <w:tab/>
        <w:t>Note:  Subjects with missing values were counted as non-responders.</w:t>
      </w:r>
    </w:p>
    <w:p w:rsidR="00E44F87" w:rsidRDefault="00E44F87">
      <w:pPr>
        <w:pStyle w:val="TableNote"/>
        <w:keepNext/>
        <w:keepLines/>
        <w:ind w:left="720" w:hanging="720"/>
        <w:rPr>
          <w:rFonts w:ascii="Arial" w:hAnsi="Arial" w:cs="Arial"/>
          <w:sz w:val="18"/>
          <w:lang w:val="en-AU"/>
        </w:rPr>
      </w:pPr>
      <w:r>
        <w:rPr>
          <w:rFonts w:ascii="Arial" w:hAnsi="Arial" w:cs="Arial"/>
          <w:sz w:val="18"/>
          <w:lang w:val="en-AU"/>
        </w:rPr>
        <w:tab/>
        <w:t>a.</w:t>
      </w:r>
      <w:r>
        <w:rPr>
          <w:rFonts w:ascii="Arial" w:hAnsi="Arial" w:cs="Arial"/>
          <w:sz w:val="18"/>
          <w:lang w:val="en-AU"/>
        </w:rPr>
        <w:tab/>
        <w:t>P-value is from the pairwise comparison of MTX monotherapy and adalimumab + MTX combination therapy using Pearson's chi-square test.</w:t>
      </w:r>
    </w:p>
    <w:p w:rsidR="00E44F87" w:rsidRDefault="00E44F87">
      <w:pPr>
        <w:pStyle w:val="TableNote"/>
        <w:keepNext/>
        <w:keepLines/>
        <w:ind w:left="720" w:hanging="720"/>
        <w:rPr>
          <w:rFonts w:ascii="Arial" w:hAnsi="Arial" w:cs="Arial"/>
          <w:sz w:val="18"/>
          <w:lang w:val="en-AU"/>
        </w:rPr>
      </w:pPr>
      <w:r>
        <w:rPr>
          <w:rFonts w:ascii="Arial" w:hAnsi="Arial" w:cs="Arial"/>
          <w:sz w:val="18"/>
          <w:lang w:val="en-AU"/>
        </w:rPr>
        <w:tab/>
        <w:t>b.</w:t>
      </w:r>
      <w:r>
        <w:rPr>
          <w:rFonts w:ascii="Arial" w:hAnsi="Arial" w:cs="Arial"/>
          <w:sz w:val="18"/>
          <w:lang w:val="en-AU"/>
        </w:rPr>
        <w:tab/>
        <w:t>P-value is from the pairwise comparison of adalimumab monotherapy and adalimumab + MTX combination therapy using Pearson's chi-square test.</w:t>
      </w:r>
    </w:p>
    <w:p w:rsidR="00E44F87" w:rsidRDefault="00E44F87">
      <w:pPr>
        <w:autoSpaceDE w:val="0"/>
        <w:autoSpaceDN w:val="0"/>
        <w:adjustRightInd w:val="0"/>
      </w:pP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 xml:space="preserve">In </w:t>
      </w:r>
      <w:r>
        <w:rPr>
          <w:rFonts w:ascii="Arial" w:hAnsi="Arial"/>
          <w:sz w:val="20"/>
        </w:rPr>
        <w:t xml:space="preserve">RA </w:t>
      </w:r>
      <w:r>
        <w:rPr>
          <w:rFonts w:ascii="Arial" w:hAnsi="Arial" w:cs="Arial"/>
          <w:sz w:val="20"/>
          <w:szCs w:val="22"/>
        </w:rPr>
        <w:t xml:space="preserve">Study V, Humira/methotrexate combination therapy was superior to methotrexate monotherapy in achieving clinical remission defined as Disease Activity Score (DAS28) &lt;2.6 at Week 52 (Table 4). </w:t>
      </w:r>
    </w:p>
    <w:p w:rsidR="00E44F87" w:rsidRDefault="00E44F87">
      <w:pPr>
        <w:autoSpaceDE w:val="0"/>
        <w:autoSpaceDN w:val="0"/>
        <w:adjustRightInd w:val="0"/>
        <w:jc w:val="both"/>
        <w:rPr>
          <w:rFonts w:ascii="Arial" w:hAnsi="Arial" w:cs="Arial"/>
          <w:sz w:val="20"/>
          <w:szCs w:val="22"/>
        </w:rPr>
      </w:pPr>
    </w:p>
    <w:p w:rsidR="00E44F87" w:rsidRDefault="00E44F87">
      <w:pPr>
        <w:autoSpaceDE w:val="0"/>
        <w:autoSpaceDN w:val="0"/>
        <w:adjustRightInd w:val="0"/>
        <w:jc w:val="both"/>
        <w:rPr>
          <w:rFonts w:ascii="Arial" w:hAnsi="Arial"/>
          <w:sz w:val="20"/>
          <w:highlight w:val="lightGray"/>
        </w:rPr>
      </w:pPr>
    </w:p>
    <w:p w:rsidR="00E44F87" w:rsidRDefault="00E44F87">
      <w:pPr>
        <w:pStyle w:val="CaptionTable"/>
        <w:pBdr>
          <w:top w:val="single" w:sz="4" w:space="1" w:color="auto"/>
        </w:pBdr>
        <w:ind w:right="359" w:hanging="1368"/>
        <w:rPr>
          <w:rFonts w:ascii="Arial" w:hAnsi="Arial" w:cs="Arial"/>
          <w:sz w:val="20"/>
          <w:lang w:val="en-AU"/>
        </w:rPr>
      </w:pPr>
      <w:r>
        <w:rPr>
          <w:rFonts w:ascii="Arial" w:hAnsi="Arial" w:cs="Arial"/>
          <w:sz w:val="20"/>
          <w:lang w:val="en-AU"/>
        </w:rPr>
        <w:t xml:space="preserve">Table 4: </w:t>
      </w:r>
      <w:r>
        <w:rPr>
          <w:sz w:val="20"/>
          <w:lang w:val="en-AU"/>
        </w:rPr>
        <w:tab/>
      </w:r>
      <w:r>
        <w:rPr>
          <w:rFonts w:ascii="Arial" w:hAnsi="Arial" w:cs="Arial"/>
          <w:sz w:val="20"/>
          <w:lang w:val="en-AU"/>
        </w:rPr>
        <w:t xml:space="preserve">Subjects in Remission as Defined by DAS28 &lt; 2.6 at Week 52 (All Randomised Subjects) in </w:t>
      </w:r>
      <w:r>
        <w:rPr>
          <w:rFonts w:ascii="Arial" w:hAnsi="Arial"/>
          <w:sz w:val="20"/>
        </w:rPr>
        <w:t xml:space="preserve">RA </w:t>
      </w:r>
      <w:r>
        <w:rPr>
          <w:rFonts w:ascii="Arial" w:hAnsi="Arial" w:cs="Arial"/>
          <w:sz w:val="20"/>
          <w:lang w:val="en-AU"/>
        </w:rPr>
        <w:t>Study V</w:t>
      </w:r>
    </w:p>
    <w:tbl>
      <w:tblPr>
        <w:tblW w:w="8640"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440"/>
        <w:gridCol w:w="1440"/>
        <w:gridCol w:w="1440"/>
        <w:gridCol w:w="1440"/>
        <w:gridCol w:w="1440"/>
        <w:gridCol w:w="1440"/>
      </w:tblGrid>
      <w:tr w:rsidR="00E44F87">
        <w:trPr>
          <w:jc w:val="center"/>
        </w:trPr>
        <w:tc>
          <w:tcPr>
            <w:tcW w:w="1440" w:type="dxa"/>
            <w:tcBorders>
              <w:top w:val="single" w:sz="4" w:space="0" w:color="auto"/>
              <w:bottom w:val="nil"/>
            </w:tcBorders>
            <w:vAlign w:val="bottom"/>
          </w:tcPr>
          <w:p w:rsidR="00E44F87" w:rsidRDefault="00E44F87">
            <w:pPr>
              <w:pStyle w:val="BodyText"/>
            </w:pPr>
          </w:p>
        </w:tc>
        <w:tc>
          <w:tcPr>
            <w:tcW w:w="1440" w:type="dxa"/>
            <w:tcBorders>
              <w:top w:val="single" w:sz="4" w:space="0" w:color="auto"/>
              <w:bottom w:val="single" w:sz="4" w:space="0" w:color="auto"/>
            </w:tcBorders>
            <w:vAlign w:val="bottom"/>
          </w:tcPr>
          <w:p w:rsidR="00E44F87" w:rsidRDefault="00E44F87">
            <w:pPr>
              <w:pStyle w:val="BodyText"/>
              <w:jc w:val="center"/>
            </w:pPr>
            <w:r>
              <w:t>MTX</w:t>
            </w:r>
          </w:p>
          <w:p w:rsidR="00E44F87" w:rsidRDefault="00E44F87">
            <w:pPr>
              <w:pStyle w:val="BodyText"/>
              <w:jc w:val="center"/>
            </w:pPr>
            <w:r>
              <w:t>N=257</w:t>
            </w:r>
          </w:p>
        </w:tc>
        <w:tc>
          <w:tcPr>
            <w:tcW w:w="1440" w:type="dxa"/>
            <w:tcBorders>
              <w:top w:val="single" w:sz="4" w:space="0" w:color="auto"/>
              <w:bottom w:val="single" w:sz="4" w:space="0" w:color="auto"/>
            </w:tcBorders>
            <w:vAlign w:val="bottom"/>
          </w:tcPr>
          <w:p w:rsidR="00E44F87" w:rsidRDefault="00E44F87">
            <w:pPr>
              <w:pStyle w:val="BodyText"/>
              <w:jc w:val="center"/>
            </w:pPr>
            <w:r>
              <w:t>Adalimumab</w:t>
            </w:r>
          </w:p>
          <w:p w:rsidR="00E44F87" w:rsidRDefault="00E44F87">
            <w:pPr>
              <w:pStyle w:val="BodyText"/>
              <w:jc w:val="center"/>
            </w:pPr>
            <w:r>
              <w:t>N=274</w:t>
            </w:r>
          </w:p>
        </w:tc>
        <w:tc>
          <w:tcPr>
            <w:tcW w:w="1440" w:type="dxa"/>
            <w:tcBorders>
              <w:top w:val="single" w:sz="4" w:space="0" w:color="auto"/>
              <w:bottom w:val="single" w:sz="4" w:space="0" w:color="auto"/>
            </w:tcBorders>
            <w:vAlign w:val="bottom"/>
          </w:tcPr>
          <w:p w:rsidR="00E44F87" w:rsidRDefault="00E44F87">
            <w:pPr>
              <w:pStyle w:val="BodyText"/>
              <w:jc w:val="center"/>
            </w:pPr>
            <w:r>
              <w:t>Adalimumab + MTX</w:t>
            </w:r>
          </w:p>
          <w:p w:rsidR="00E44F87" w:rsidRDefault="00E44F87">
            <w:pPr>
              <w:pStyle w:val="BodyText"/>
              <w:jc w:val="center"/>
            </w:pPr>
            <w:r>
              <w:t>N=268</w:t>
            </w:r>
          </w:p>
        </w:tc>
        <w:tc>
          <w:tcPr>
            <w:tcW w:w="1440" w:type="dxa"/>
            <w:tcBorders>
              <w:top w:val="single" w:sz="4" w:space="0" w:color="auto"/>
              <w:bottom w:val="nil"/>
            </w:tcBorders>
            <w:vAlign w:val="bottom"/>
          </w:tcPr>
          <w:p w:rsidR="00E44F87" w:rsidRDefault="00E44F87">
            <w:pPr>
              <w:pStyle w:val="BodyText"/>
              <w:jc w:val="center"/>
            </w:pPr>
          </w:p>
        </w:tc>
        <w:tc>
          <w:tcPr>
            <w:tcW w:w="1440" w:type="dxa"/>
            <w:tcBorders>
              <w:top w:val="single" w:sz="4" w:space="0" w:color="auto"/>
              <w:bottom w:val="nil"/>
            </w:tcBorders>
            <w:vAlign w:val="bottom"/>
          </w:tcPr>
          <w:p w:rsidR="00E44F87" w:rsidRDefault="00E44F87">
            <w:pPr>
              <w:pStyle w:val="BodyText"/>
              <w:jc w:val="center"/>
            </w:pPr>
          </w:p>
        </w:tc>
      </w:tr>
      <w:tr w:rsidR="00E44F87">
        <w:trPr>
          <w:cantSplit/>
          <w:jc w:val="center"/>
        </w:trPr>
        <w:tc>
          <w:tcPr>
            <w:tcW w:w="1440" w:type="dxa"/>
            <w:tcBorders>
              <w:top w:val="nil"/>
              <w:bottom w:val="single" w:sz="4" w:space="0" w:color="auto"/>
            </w:tcBorders>
            <w:vAlign w:val="bottom"/>
          </w:tcPr>
          <w:p w:rsidR="00E44F87" w:rsidRDefault="00E44F87">
            <w:pPr>
              <w:pStyle w:val="BodyText"/>
            </w:pPr>
          </w:p>
        </w:tc>
        <w:tc>
          <w:tcPr>
            <w:tcW w:w="4320" w:type="dxa"/>
            <w:gridSpan w:val="3"/>
            <w:tcBorders>
              <w:top w:val="single" w:sz="4" w:space="0" w:color="auto"/>
              <w:bottom w:val="single" w:sz="4" w:space="0" w:color="auto"/>
            </w:tcBorders>
            <w:vAlign w:val="bottom"/>
          </w:tcPr>
          <w:p w:rsidR="00E44F87" w:rsidRDefault="00E44F87">
            <w:pPr>
              <w:pStyle w:val="BodyText"/>
              <w:jc w:val="center"/>
            </w:pPr>
            <w:r>
              <w:t>N (%)</w:t>
            </w:r>
          </w:p>
        </w:tc>
        <w:tc>
          <w:tcPr>
            <w:tcW w:w="1440" w:type="dxa"/>
            <w:tcBorders>
              <w:top w:val="nil"/>
              <w:bottom w:val="single" w:sz="4" w:space="0" w:color="auto"/>
            </w:tcBorders>
            <w:vAlign w:val="bottom"/>
          </w:tcPr>
          <w:p w:rsidR="00E44F87" w:rsidRDefault="00E44F87">
            <w:pPr>
              <w:pStyle w:val="BodyText"/>
              <w:jc w:val="center"/>
            </w:pPr>
            <w:r>
              <w:t>p-value</w:t>
            </w:r>
            <w:r>
              <w:rPr>
                <w:vertAlign w:val="superscript"/>
              </w:rPr>
              <w:t>a</w:t>
            </w:r>
          </w:p>
        </w:tc>
        <w:tc>
          <w:tcPr>
            <w:tcW w:w="1440" w:type="dxa"/>
            <w:tcBorders>
              <w:top w:val="nil"/>
              <w:bottom w:val="single" w:sz="4" w:space="0" w:color="auto"/>
            </w:tcBorders>
            <w:vAlign w:val="bottom"/>
          </w:tcPr>
          <w:p w:rsidR="00E44F87" w:rsidRDefault="00E44F87">
            <w:pPr>
              <w:pStyle w:val="BodyText"/>
              <w:jc w:val="center"/>
            </w:pPr>
            <w:r>
              <w:t>p-value</w:t>
            </w:r>
            <w:r>
              <w:rPr>
                <w:vertAlign w:val="superscript"/>
              </w:rPr>
              <w:t>b</w:t>
            </w:r>
          </w:p>
        </w:tc>
      </w:tr>
      <w:tr w:rsidR="00E44F87">
        <w:trPr>
          <w:jc w:val="center"/>
        </w:trPr>
        <w:tc>
          <w:tcPr>
            <w:tcW w:w="1440" w:type="dxa"/>
            <w:tcBorders>
              <w:top w:val="single" w:sz="4" w:space="0" w:color="auto"/>
            </w:tcBorders>
          </w:tcPr>
          <w:p w:rsidR="00E44F87" w:rsidRDefault="00E44F87">
            <w:pPr>
              <w:pStyle w:val="BodyText"/>
            </w:pPr>
            <w:r>
              <w:t>Subjects in Remission at Week 52</w:t>
            </w:r>
          </w:p>
        </w:tc>
        <w:tc>
          <w:tcPr>
            <w:tcW w:w="1440" w:type="dxa"/>
            <w:tcBorders>
              <w:top w:val="single" w:sz="4" w:space="0" w:color="auto"/>
            </w:tcBorders>
            <w:vAlign w:val="center"/>
          </w:tcPr>
          <w:p w:rsidR="00E44F87" w:rsidRDefault="00E44F87">
            <w:pPr>
              <w:pStyle w:val="BodyText"/>
              <w:jc w:val="center"/>
            </w:pPr>
            <w:r>
              <w:t>53 (20.6)</w:t>
            </w:r>
          </w:p>
        </w:tc>
        <w:tc>
          <w:tcPr>
            <w:tcW w:w="1440" w:type="dxa"/>
            <w:tcBorders>
              <w:top w:val="single" w:sz="4" w:space="0" w:color="auto"/>
            </w:tcBorders>
            <w:vAlign w:val="center"/>
          </w:tcPr>
          <w:p w:rsidR="00E44F87" w:rsidRDefault="00E44F87">
            <w:pPr>
              <w:pStyle w:val="BodyText"/>
              <w:jc w:val="center"/>
            </w:pPr>
            <w:r>
              <w:t>64 (23.4)</w:t>
            </w:r>
          </w:p>
        </w:tc>
        <w:tc>
          <w:tcPr>
            <w:tcW w:w="1440" w:type="dxa"/>
            <w:tcBorders>
              <w:top w:val="single" w:sz="4" w:space="0" w:color="auto"/>
            </w:tcBorders>
            <w:vAlign w:val="center"/>
          </w:tcPr>
          <w:p w:rsidR="00E44F87" w:rsidRDefault="00E44F87">
            <w:pPr>
              <w:pStyle w:val="BodyText"/>
              <w:jc w:val="center"/>
            </w:pPr>
            <w:r>
              <w:t>115 (42.9)</w:t>
            </w:r>
          </w:p>
        </w:tc>
        <w:tc>
          <w:tcPr>
            <w:tcW w:w="1440" w:type="dxa"/>
            <w:tcBorders>
              <w:top w:val="single" w:sz="4" w:space="0" w:color="auto"/>
            </w:tcBorders>
            <w:vAlign w:val="center"/>
          </w:tcPr>
          <w:p w:rsidR="00E44F87" w:rsidRDefault="00E44F87">
            <w:pPr>
              <w:pStyle w:val="BodyText"/>
              <w:jc w:val="center"/>
            </w:pPr>
            <w:r>
              <w:t>&lt; 0.001</w:t>
            </w:r>
          </w:p>
        </w:tc>
        <w:tc>
          <w:tcPr>
            <w:tcW w:w="1440" w:type="dxa"/>
            <w:tcBorders>
              <w:top w:val="single" w:sz="4" w:space="0" w:color="auto"/>
            </w:tcBorders>
            <w:vAlign w:val="center"/>
          </w:tcPr>
          <w:p w:rsidR="00E44F87" w:rsidRDefault="00E44F87">
            <w:pPr>
              <w:pStyle w:val="BodyText"/>
              <w:jc w:val="center"/>
            </w:pPr>
            <w:r>
              <w:t>&lt; 0.001</w:t>
            </w:r>
          </w:p>
        </w:tc>
      </w:tr>
    </w:tbl>
    <w:p w:rsidR="00E44F87" w:rsidRDefault="00E44F87">
      <w:pPr>
        <w:pStyle w:val="BodyText"/>
        <w:ind w:left="1080" w:hanging="720"/>
      </w:pPr>
    </w:p>
    <w:p w:rsidR="00E44F87" w:rsidRDefault="00E44F87">
      <w:pPr>
        <w:pStyle w:val="BodyText"/>
        <w:ind w:left="1080" w:hanging="720"/>
      </w:pPr>
      <w:r>
        <w:t>a.</w:t>
      </w:r>
      <w:r>
        <w:tab/>
        <w:t>P-value is from the pairwise comparison of MTX monotherapy and adalimumab + MTX combination therapy using Pearson's chi-square test.</w:t>
      </w:r>
    </w:p>
    <w:p w:rsidR="00E44F87" w:rsidRDefault="00E44F87">
      <w:pPr>
        <w:autoSpaceDE w:val="0"/>
        <w:autoSpaceDN w:val="0"/>
        <w:adjustRightInd w:val="0"/>
        <w:ind w:left="1080" w:hanging="720"/>
        <w:jc w:val="both"/>
        <w:rPr>
          <w:rFonts w:ascii="Arial" w:hAnsi="Arial" w:cs="Arial"/>
          <w:sz w:val="20"/>
        </w:rPr>
      </w:pPr>
      <w:r>
        <w:rPr>
          <w:rFonts w:ascii="Arial" w:hAnsi="Arial" w:cs="Arial"/>
          <w:sz w:val="20"/>
        </w:rPr>
        <w:t>b.</w:t>
      </w:r>
      <w:r>
        <w:rPr>
          <w:rFonts w:ascii="Arial" w:hAnsi="Arial" w:cs="Arial"/>
          <w:sz w:val="20"/>
        </w:rPr>
        <w:tab/>
        <w:t>P-value is from the pairwise comparison of adalimumab monotherapy and adalimumab + MTX combination therapy using Pearson's chi-square test.</w:t>
      </w:r>
    </w:p>
    <w:p w:rsidR="00E44F87" w:rsidRDefault="00E44F87">
      <w:pPr>
        <w:autoSpaceDE w:val="0"/>
        <w:autoSpaceDN w:val="0"/>
        <w:adjustRightInd w:val="0"/>
        <w:ind w:left="1080" w:hanging="720"/>
        <w:jc w:val="both"/>
        <w:rPr>
          <w:rFonts w:ascii="Arial" w:hAnsi="Arial"/>
          <w:sz w:val="20"/>
        </w:rPr>
      </w:pPr>
      <w:r>
        <w:rPr>
          <w:rFonts w:ascii="Arial" w:hAnsi="Arial"/>
          <w:sz w:val="20"/>
        </w:rPr>
        <w:t>MTX</w:t>
      </w:r>
      <w:r>
        <w:rPr>
          <w:rFonts w:ascii="Arial" w:hAnsi="Arial"/>
          <w:sz w:val="20"/>
        </w:rPr>
        <w:tab/>
        <w:t>Methotrexate</w:t>
      </w:r>
    </w:p>
    <w:p w:rsidR="00E44F87" w:rsidRDefault="00E44F87" w:rsidP="00D671D6">
      <w:pPr>
        <w:pStyle w:val="Heading6"/>
        <w:jc w:val="both"/>
        <w:rPr>
          <w:rFonts w:cs="Times New Roman"/>
          <w:bCs w:val="0"/>
          <w:iCs w:val="0"/>
          <w:szCs w:val="24"/>
        </w:rPr>
      </w:pPr>
      <w:r>
        <w:rPr>
          <w:rFonts w:cs="Times New Roman"/>
          <w:bCs w:val="0"/>
          <w:iCs w:val="0"/>
          <w:szCs w:val="24"/>
        </w:rPr>
        <w:lastRenderedPageBreak/>
        <w:t>Radiographic Response</w:t>
      </w:r>
    </w:p>
    <w:p w:rsidR="00E44F87" w:rsidRDefault="00E44F87" w:rsidP="00D671D6">
      <w:pPr>
        <w:keepNext/>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sz w:val="20"/>
        </w:rPr>
      </w:pPr>
      <w:r>
        <w:rPr>
          <w:rFonts w:ascii="Arial" w:hAnsi="Arial"/>
          <w:sz w:val="20"/>
        </w:rPr>
        <w:t>In RA Study III, Humira-treated patients had a mean duration of rheumatoid arthritis for approximately 11 years and a mean + standard deviation baseline modified Total Sharp Score for the 40 mg fortnightly group of 72.1 + 60.7 and placebo group of 66.4 + 47.4.  Structural joint damage was assessed radiographically and expressed as change in modified Total Sharp Score (TSS) and its components, erosion score and joint space narrowing score (JSN) at month 12 compared to baseline.  Humira/methotrexate-treated patients demonstrated less radiographic progression than patients receiving placebo/methotrexate (Table 5).</w:t>
      </w:r>
    </w:p>
    <w:p w:rsidR="00E44F87" w:rsidRDefault="00E44F87">
      <w:pPr>
        <w:autoSpaceDE w:val="0"/>
        <w:autoSpaceDN w:val="0"/>
        <w:adjustRightInd w:val="0"/>
        <w:jc w:val="both"/>
        <w:rPr>
          <w:rFonts w:ascii="Arial" w:hAnsi="Arial"/>
          <w:b/>
          <w:bCs/>
          <w:sz w:val="20"/>
        </w:rPr>
      </w:pPr>
      <w:r>
        <w:rPr>
          <w:rFonts w:ascii="Arial" w:hAnsi="Arial"/>
          <w:b/>
          <w:bCs/>
          <w:sz w:val="20"/>
        </w:rPr>
        <w:t xml:space="preserve"> </w:t>
      </w:r>
    </w:p>
    <w:p w:rsidR="00E44F87" w:rsidRDefault="00E44F87">
      <w:pPr>
        <w:autoSpaceDE w:val="0"/>
        <w:autoSpaceDN w:val="0"/>
        <w:adjustRightInd w:val="0"/>
        <w:jc w:val="both"/>
        <w:rPr>
          <w:rFonts w:ascii="Arial" w:hAnsi="Arial"/>
          <w:sz w:val="20"/>
        </w:rPr>
      </w:pPr>
      <w:r>
        <w:rPr>
          <w:rFonts w:ascii="Arial" w:hAnsi="Arial"/>
          <w:sz w:val="20"/>
        </w:rPr>
        <w:t>In the open-label extension of RA Study III, 77% of the original patients treated with any dose of Humira were evaluated radiographically at 2 years. Patients maintained inhibition of structural damage, as measured by the TSS; 54% had no progression of structural damage as defined by a change in the TSS of zero or less.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trike/>
          <w:sz w:val="20"/>
        </w:rPr>
      </w:pPr>
      <w:r>
        <w:rPr>
          <w:rFonts w:ascii="Arial" w:hAnsi="Arial"/>
          <w:sz w:val="20"/>
        </w:rPr>
        <w:t xml:space="preserve">Fifty-five percent </w:t>
      </w:r>
      <w:r>
        <w:rPr>
          <w:rFonts w:ascii="Arial" w:hAnsi="Arial" w:cs="Arial"/>
          <w:sz w:val="20"/>
          <w:szCs w:val="20"/>
          <w:lang w:eastAsia="de-DE"/>
        </w:rPr>
        <w:t>(113/207)</w:t>
      </w:r>
      <w:r>
        <w:rPr>
          <w:rFonts w:ascii="Arial" w:hAnsi="Arial"/>
          <w:sz w:val="20"/>
        </w:rPr>
        <w:t xml:space="preserve"> of patients originally treated with 40 mg Humira fortnightly have been evaluated radiographically at 5 years. Patients had continued inhibition of structural damage with approximately 50% </w:t>
      </w:r>
      <w:r>
        <w:rPr>
          <w:rFonts w:ascii="Arial" w:hAnsi="Arial" w:cs="Arial"/>
          <w:sz w:val="20"/>
          <w:szCs w:val="20"/>
          <w:lang w:eastAsia="de-DE"/>
        </w:rPr>
        <w:t>(57/113)</w:t>
      </w:r>
      <w:r>
        <w:rPr>
          <w:rFonts w:ascii="Arial" w:hAnsi="Arial" w:cs="Arial"/>
          <w:b/>
          <w:bCs/>
          <w:sz w:val="20"/>
          <w:szCs w:val="20"/>
          <w:lang w:eastAsia="de-DE"/>
        </w:rPr>
        <w:t xml:space="preserve"> </w:t>
      </w:r>
      <w:r>
        <w:rPr>
          <w:rFonts w:ascii="Arial" w:hAnsi="Arial"/>
          <w:sz w:val="20"/>
        </w:rPr>
        <w:t>showing no progression of structural damage defined by a change in the TSS of zero or less.</w:t>
      </w:r>
      <w:r>
        <w:rPr>
          <w:rFonts w:ascii="Arial" w:hAnsi="Arial"/>
          <w:strike/>
          <w:sz w:val="20"/>
        </w:rPr>
        <w:t xml:space="preserve"> </w:t>
      </w:r>
    </w:p>
    <w:p w:rsidR="00E44F87" w:rsidRDefault="00E44F87">
      <w:pPr>
        <w:autoSpaceDE w:val="0"/>
        <w:autoSpaceDN w:val="0"/>
        <w:adjustRightInd w:val="0"/>
        <w:jc w:val="both"/>
        <w:rPr>
          <w:rFonts w:ascii="Arial" w:hAnsi="Arial"/>
          <w:strike/>
          <w:sz w:val="20"/>
        </w:rPr>
      </w:pPr>
    </w:p>
    <w:p w:rsidR="00E44F87" w:rsidRDefault="00E44F87">
      <w:pPr>
        <w:autoSpaceDE w:val="0"/>
        <w:autoSpaceDN w:val="0"/>
        <w:adjustRightInd w:val="0"/>
        <w:jc w:val="both"/>
        <w:rPr>
          <w:rFonts w:ascii="Arial" w:hAnsi="Arial"/>
          <w:strike/>
          <w:color w:val="FF0000"/>
          <w:sz w:val="20"/>
          <w:u w:val="single"/>
        </w:rPr>
      </w:pP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94"/>
        <w:gridCol w:w="1606"/>
        <w:gridCol w:w="2340"/>
        <w:gridCol w:w="1368"/>
      </w:tblGrid>
      <w:tr w:rsidR="00E44F87">
        <w:trPr>
          <w:cantSplit/>
          <w:jc w:val="center"/>
        </w:trPr>
        <w:tc>
          <w:tcPr>
            <w:tcW w:w="8856" w:type="dxa"/>
            <w:gridSpan w:val="5"/>
          </w:tcPr>
          <w:p w:rsidR="00E44F87" w:rsidRDefault="00E44F87">
            <w:pPr>
              <w:pStyle w:val="TableText9Point"/>
              <w:jc w:val="center"/>
              <w:rPr>
                <w:rFonts w:ascii="Arial" w:hAnsi="Arial" w:cs="Arial"/>
                <w:b/>
                <w:bCs/>
                <w:sz w:val="20"/>
                <w:lang w:val="en-AU"/>
              </w:rPr>
            </w:pPr>
            <w:r>
              <w:rPr>
                <w:rFonts w:ascii="Arial" w:hAnsi="Arial" w:cs="Arial"/>
                <w:b/>
                <w:bCs/>
                <w:sz w:val="20"/>
                <w:lang w:val="en-AU"/>
              </w:rPr>
              <w:t xml:space="preserve">Table 5:  </w:t>
            </w:r>
            <w:r>
              <w:rPr>
                <w:rFonts w:ascii="Arial" w:hAnsi="Arial" w:cs="Arial"/>
                <w:b/>
                <w:bCs/>
                <w:sz w:val="20"/>
                <w:lang w:val="en-AU"/>
              </w:rPr>
              <w:tab/>
              <w:t>Radiographic Mean Changes Over 12 Months in RA Study III with Background MTX</w:t>
            </w:r>
          </w:p>
          <w:p w:rsidR="00E44F87" w:rsidRDefault="00E44F87">
            <w:pPr>
              <w:pStyle w:val="TableText9Point"/>
              <w:rPr>
                <w:rFonts w:ascii="Arial" w:hAnsi="Arial" w:cs="Arial"/>
                <w:b/>
                <w:bCs/>
                <w:sz w:val="20"/>
                <w:lang w:val="en-AU"/>
              </w:rPr>
            </w:pPr>
          </w:p>
        </w:tc>
      </w:tr>
      <w:tr w:rsidR="00E44F87">
        <w:trPr>
          <w:jc w:val="center"/>
        </w:trPr>
        <w:tc>
          <w:tcPr>
            <w:tcW w:w="2448" w:type="dxa"/>
          </w:tcPr>
          <w:p w:rsidR="00E44F87" w:rsidRDefault="00E44F87">
            <w:pPr>
              <w:pStyle w:val="TableText9Point"/>
              <w:rPr>
                <w:rFonts w:ascii="Arial" w:hAnsi="Arial" w:cs="Arial"/>
                <w:lang w:val="en-AU"/>
              </w:rPr>
            </w:pPr>
          </w:p>
        </w:tc>
        <w:tc>
          <w:tcPr>
            <w:tcW w:w="1094" w:type="dxa"/>
          </w:tcPr>
          <w:p w:rsidR="00E44F87" w:rsidRDefault="00E44F87">
            <w:pPr>
              <w:pStyle w:val="TableText9Point"/>
              <w:jc w:val="center"/>
              <w:rPr>
                <w:rFonts w:ascii="Arial" w:hAnsi="Arial" w:cs="Arial"/>
                <w:b/>
                <w:lang w:val="en-AU"/>
              </w:rPr>
            </w:pPr>
          </w:p>
          <w:p w:rsidR="00E44F87" w:rsidRDefault="00E44F87">
            <w:pPr>
              <w:pStyle w:val="TableText9Point"/>
              <w:jc w:val="center"/>
              <w:rPr>
                <w:rFonts w:ascii="Arial" w:hAnsi="Arial" w:cs="Arial"/>
                <w:b/>
                <w:lang w:val="en-AU"/>
              </w:rPr>
            </w:pPr>
            <w:r>
              <w:rPr>
                <w:rFonts w:ascii="Arial" w:hAnsi="Arial" w:cs="Arial"/>
                <w:b/>
                <w:lang w:val="en-AU"/>
              </w:rPr>
              <w:t>Placebo/MTX</w:t>
            </w:r>
          </w:p>
          <w:p w:rsidR="00E44F87" w:rsidRDefault="00E44F87">
            <w:pPr>
              <w:pStyle w:val="TableText9Point"/>
              <w:jc w:val="center"/>
              <w:rPr>
                <w:rFonts w:ascii="Arial" w:hAnsi="Arial" w:cs="Arial"/>
                <w:b/>
                <w:lang w:val="en-AU"/>
              </w:rPr>
            </w:pPr>
            <w:r>
              <w:rPr>
                <w:rFonts w:ascii="Arial" w:hAnsi="Arial" w:cs="Arial"/>
                <w:b/>
                <w:lang w:val="en-AU"/>
              </w:rPr>
              <w:t>N=200</w:t>
            </w:r>
          </w:p>
        </w:tc>
        <w:tc>
          <w:tcPr>
            <w:tcW w:w="1606" w:type="dxa"/>
          </w:tcPr>
          <w:p w:rsidR="00E44F87" w:rsidRDefault="00E44F87">
            <w:pPr>
              <w:pStyle w:val="TableText9Point"/>
              <w:jc w:val="center"/>
              <w:rPr>
                <w:rFonts w:ascii="Arial" w:hAnsi="Arial" w:cs="Arial"/>
                <w:b/>
                <w:lang w:val="en-AU"/>
              </w:rPr>
            </w:pPr>
          </w:p>
          <w:p w:rsidR="00E44F87" w:rsidRDefault="00E44F87">
            <w:pPr>
              <w:pStyle w:val="TableText9Point"/>
              <w:jc w:val="center"/>
              <w:rPr>
                <w:rFonts w:ascii="Arial" w:hAnsi="Arial" w:cs="Arial"/>
                <w:b/>
                <w:lang w:val="en-AU"/>
              </w:rPr>
            </w:pPr>
            <w:r>
              <w:rPr>
                <w:rFonts w:ascii="Arial" w:hAnsi="Arial" w:cs="Arial"/>
                <w:b/>
                <w:lang w:val="en-AU"/>
              </w:rPr>
              <w:t>Humira</w:t>
            </w:r>
            <w:r>
              <w:rPr>
                <w:rFonts w:ascii="Arial" w:hAnsi="Arial" w:cs="Arial"/>
                <w:b/>
                <w:vertAlign w:val="superscript"/>
                <w:lang w:val="en-AU"/>
              </w:rPr>
              <w:t>a</w:t>
            </w:r>
            <w:r>
              <w:rPr>
                <w:rFonts w:ascii="Arial" w:hAnsi="Arial" w:cs="Arial"/>
                <w:b/>
                <w:lang w:val="en-AU"/>
              </w:rPr>
              <w:t>/MTX</w:t>
            </w:r>
          </w:p>
          <w:p w:rsidR="00E44F87" w:rsidRDefault="00E44F87">
            <w:pPr>
              <w:pStyle w:val="TableText9Point"/>
              <w:jc w:val="center"/>
              <w:rPr>
                <w:rFonts w:ascii="Arial" w:hAnsi="Arial" w:cs="Arial"/>
                <w:b/>
                <w:lang w:val="en-AU"/>
              </w:rPr>
            </w:pPr>
            <w:r>
              <w:rPr>
                <w:rFonts w:ascii="Arial" w:hAnsi="Arial" w:cs="Arial"/>
                <w:b/>
                <w:lang w:val="en-AU"/>
              </w:rPr>
              <w:t>N=207</w:t>
            </w:r>
          </w:p>
        </w:tc>
        <w:tc>
          <w:tcPr>
            <w:tcW w:w="2340" w:type="dxa"/>
          </w:tcPr>
          <w:p w:rsidR="00E44F87" w:rsidRDefault="00E44F87">
            <w:pPr>
              <w:pStyle w:val="TableText9Point"/>
              <w:jc w:val="center"/>
              <w:rPr>
                <w:rFonts w:ascii="Arial" w:hAnsi="Arial" w:cs="Arial"/>
                <w:b/>
                <w:lang w:val="en-AU"/>
              </w:rPr>
            </w:pPr>
            <w:r>
              <w:rPr>
                <w:rFonts w:ascii="Arial" w:hAnsi="Arial" w:cs="Arial"/>
                <w:b/>
                <w:lang w:val="en-AU"/>
              </w:rPr>
              <w:t>Difference Between</w:t>
            </w:r>
          </w:p>
          <w:p w:rsidR="00E44F87" w:rsidRDefault="00E44F87">
            <w:pPr>
              <w:pStyle w:val="TableText9Point"/>
              <w:jc w:val="center"/>
              <w:rPr>
                <w:rFonts w:ascii="Arial" w:hAnsi="Arial" w:cs="Arial"/>
                <w:b/>
                <w:lang w:val="en-AU"/>
              </w:rPr>
            </w:pPr>
            <w:r>
              <w:rPr>
                <w:rFonts w:ascii="Arial" w:hAnsi="Arial" w:cs="Arial"/>
                <w:b/>
                <w:lang w:val="en-AU"/>
              </w:rPr>
              <w:t>Humira</w:t>
            </w:r>
            <w:r>
              <w:rPr>
                <w:rFonts w:ascii="Arial" w:hAnsi="Arial" w:cs="Arial"/>
                <w:b/>
                <w:vertAlign w:val="superscript"/>
                <w:lang w:val="en-AU"/>
              </w:rPr>
              <w:t>a</w:t>
            </w:r>
            <w:r>
              <w:rPr>
                <w:rFonts w:ascii="Arial" w:hAnsi="Arial" w:cs="Arial"/>
                <w:b/>
                <w:lang w:val="en-AU"/>
              </w:rPr>
              <w:t>/MTX and Placebo/MTX</w:t>
            </w:r>
          </w:p>
          <w:p w:rsidR="00E44F87" w:rsidRDefault="00E44F87">
            <w:pPr>
              <w:pStyle w:val="TableText9Point"/>
              <w:jc w:val="center"/>
              <w:rPr>
                <w:rFonts w:ascii="Arial" w:hAnsi="Arial" w:cs="Arial"/>
                <w:b/>
                <w:lang w:val="en-AU"/>
              </w:rPr>
            </w:pPr>
            <w:r>
              <w:rPr>
                <w:rFonts w:ascii="Arial" w:hAnsi="Arial" w:cs="Arial"/>
                <w:b/>
                <w:lang w:val="en-AU"/>
              </w:rPr>
              <w:t>(95% Confidence Interval*)</w:t>
            </w:r>
          </w:p>
        </w:tc>
        <w:tc>
          <w:tcPr>
            <w:tcW w:w="1368" w:type="dxa"/>
          </w:tcPr>
          <w:p w:rsidR="00E44F87" w:rsidRDefault="00E44F87">
            <w:pPr>
              <w:pStyle w:val="TableText9Point"/>
              <w:jc w:val="center"/>
              <w:rPr>
                <w:rFonts w:ascii="Arial" w:hAnsi="Arial" w:cs="Arial"/>
                <w:b/>
                <w:lang w:val="en-AU"/>
              </w:rPr>
            </w:pPr>
          </w:p>
          <w:p w:rsidR="00E44F87" w:rsidRDefault="00E44F87">
            <w:pPr>
              <w:pStyle w:val="TableText9Point"/>
              <w:jc w:val="center"/>
              <w:rPr>
                <w:rFonts w:ascii="Arial" w:hAnsi="Arial" w:cs="Arial"/>
                <w:b/>
                <w:lang w:val="en-AU"/>
              </w:rPr>
            </w:pPr>
            <w:r>
              <w:rPr>
                <w:rFonts w:ascii="Arial" w:hAnsi="Arial" w:cs="Arial"/>
                <w:b/>
                <w:lang w:val="en-AU"/>
              </w:rPr>
              <w:t>p-value</w:t>
            </w:r>
          </w:p>
        </w:tc>
      </w:tr>
      <w:tr w:rsidR="00E44F87">
        <w:trPr>
          <w:jc w:val="center"/>
        </w:trPr>
        <w:tc>
          <w:tcPr>
            <w:tcW w:w="2448" w:type="dxa"/>
          </w:tcPr>
          <w:p w:rsidR="00E44F87" w:rsidRDefault="00E44F87">
            <w:pPr>
              <w:pStyle w:val="TableText9Point"/>
              <w:rPr>
                <w:rFonts w:ascii="Arial" w:hAnsi="Arial" w:cs="Arial"/>
                <w:lang w:val="en-AU"/>
              </w:rPr>
            </w:pPr>
            <w:r>
              <w:rPr>
                <w:rFonts w:ascii="Arial" w:hAnsi="Arial" w:cs="Arial"/>
                <w:lang w:val="en-AU"/>
              </w:rPr>
              <w:t>Total Sharp Score</w:t>
            </w:r>
          </w:p>
        </w:tc>
        <w:tc>
          <w:tcPr>
            <w:tcW w:w="1094" w:type="dxa"/>
          </w:tcPr>
          <w:p w:rsidR="00E44F87" w:rsidRDefault="00E44F87">
            <w:pPr>
              <w:pStyle w:val="TableText9Point"/>
              <w:jc w:val="center"/>
              <w:rPr>
                <w:rFonts w:ascii="Arial" w:hAnsi="Arial" w:cs="Arial"/>
                <w:lang w:val="en-AU"/>
              </w:rPr>
            </w:pPr>
            <w:r>
              <w:rPr>
                <w:rFonts w:ascii="Arial" w:hAnsi="Arial" w:cs="Arial"/>
                <w:lang w:val="en-AU"/>
              </w:rPr>
              <w:t>2.7</w:t>
            </w:r>
          </w:p>
        </w:tc>
        <w:tc>
          <w:tcPr>
            <w:tcW w:w="1606" w:type="dxa"/>
          </w:tcPr>
          <w:p w:rsidR="00E44F87" w:rsidRDefault="00E44F87">
            <w:pPr>
              <w:pStyle w:val="TableText9Point"/>
              <w:jc w:val="center"/>
              <w:rPr>
                <w:rFonts w:ascii="Arial" w:hAnsi="Arial" w:cs="Arial"/>
                <w:lang w:val="en-AU"/>
              </w:rPr>
            </w:pPr>
            <w:r>
              <w:rPr>
                <w:rFonts w:ascii="Arial" w:hAnsi="Arial" w:cs="Arial"/>
                <w:lang w:val="en-AU"/>
              </w:rPr>
              <w:t>0.1</w:t>
            </w:r>
          </w:p>
        </w:tc>
        <w:tc>
          <w:tcPr>
            <w:tcW w:w="2340" w:type="dxa"/>
          </w:tcPr>
          <w:p w:rsidR="00E44F87" w:rsidRDefault="00E44F87">
            <w:pPr>
              <w:pStyle w:val="TableText9Point"/>
              <w:jc w:val="center"/>
              <w:rPr>
                <w:rFonts w:ascii="Arial" w:hAnsi="Arial" w:cs="Arial"/>
                <w:lang w:val="en-AU"/>
              </w:rPr>
            </w:pPr>
            <w:r>
              <w:rPr>
                <w:rFonts w:ascii="Arial" w:hAnsi="Arial" w:cs="Arial"/>
                <w:lang w:val="en-AU"/>
              </w:rPr>
              <w:t>2.6 (1.4, 3.8)</w:t>
            </w:r>
          </w:p>
        </w:tc>
        <w:tc>
          <w:tcPr>
            <w:tcW w:w="1368" w:type="dxa"/>
          </w:tcPr>
          <w:p w:rsidR="00E44F87" w:rsidRDefault="00E44F87">
            <w:pPr>
              <w:pStyle w:val="TableText9Point"/>
              <w:jc w:val="center"/>
              <w:rPr>
                <w:rFonts w:ascii="Arial" w:hAnsi="Arial" w:cs="Arial"/>
                <w:lang w:val="en-AU"/>
              </w:rPr>
            </w:pPr>
            <w:r>
              <w:rPr>
                <w:rFonts w:ascii="Arial" w:hAnsi="Arial" w:cs="Arial"/>
                <w:lang w:val="en-AU"/>
              </w:rPr>
              <w:sym w:font="Symbol" w:char="F0A3"/>
            </w:r>
            <w:r>
              <w:rPr>
                <w:rFonts w:ascii="Arial" w:hAnsi="Arial" w:cs="Arial"/>
                <w:lang w:val="en-AU"/>
              </w:rPr>
              <w:t xml:space="preserve"> 0.001</w:t>
            </w:r>
            <w:r>
              <w:rPr>
                <w:rFonts w:ascii="Arial" w:hAnsi="Arial" w:cs="Arial"/>
                <w:vertAlign w:val="superscript"/>
                <w:lang w:val="en-AU"/>
              </w:rPr>
              <w:t>b</w:t>
            </w:r>
          </w:p>
        </w:tc>
      </w:tr>
      <w:tr w:rsidR="00E44F87">
        <w:trPr>
          <w:jc w:val="center"/>
        </w:trPr>
        <w:tc>
          <w:tcPr>
            <w:tcW w:w="2448" w:type="dxa"/>
          </w:tcPr>
          <w:p w:rsidR="00E44F87" w:rsidRDefault="00E44F87">
            <w:pPr>
              <w:pStyle w:val="TableText9Point"/>
              <w:rPr>
                <w:rFonts w:ascii="Arial" w:hAnsi="Arial" w:cs="Arial"/>
                <w:lang w:val="en-AU"/>
              </w:rPr>
            </w:pPr>
            <w:r>
              <w:rPr>
                <w:rFonts w:ascii="Arial" w:hAnsi="Arial" w:cs="Arial"/>
                <w:lang w:val="en-AU"/>
              </w:rPr>
              <w:t>Erosions</w:t>
            </w:r>
          </w:p>
        </w:tc>
        <w:tc>
          <w:tcPr>
            <w:tcW w:w="1094" w:type="dxa"/>
          </w:tcPr>
          <w:p w:rsidR="00E44F87" w:rsidRDefault="00E44F87">
            <w:pPr>
              <w:pStyle w:val="TableText9Point"/>
              <w:jc w:val="center"/>
              <w:rPr>
                <w:rFonts w:ascii="Arial" w:hAnsi="Arial" w:cs="Arial"/>
                <w:lang w:val="en-AU"/>
              </w:rPr>
            </w:pPr>
            <w:r>
              <w:rPr>
                <w:rFonts w:ascii="Arial" w:hAnsi="Arial" w:cs="Arial"/>
                <w:lang w:val="en-AU"/>
              </w:rPr>
              <w:t>1.6</w:t>
            </w:r>
          </w:p>
        </w:tc>
        <w:tc>
          <w:tcPr>
            <w:tcW w:w="1606" w:type="dxa"/>
          </w:tcPr>
          <w:p w:rsidR="00E44F87" w:rsidRDefault="00E44F87">
            <w:pPr>
              <w:pStyle w:val="TableText9Point"/>
              <w:jc w:val="center"/>
              <w:rPr>
                <w:rFonts w:ascii="Arial" w:hAnsi="Arial" w:cs="Arial"/>
                <w:lang w:val="en-AU"/>
              </w:rPr>
            </w:pPr>
            <w:r>
              <w:rPr>
                <w:rFonts w:ascii="Arial" w:hAnsi="Arial" w:cs="Arial"/>
                <w:lang w:val="en-AU"/>
              </w:rPr>
              <w:t>0.0</w:t>
            </w:r>
          </w:p>
        </w:tc>
        <w:tc>
          <w:tcPr>
            <w:tcW w:w="2340" w:type="dxa"/>
          </w:tcPr>
          <w:p w:rsidR="00E44F87" w:rsidRDefault="00E44F87">
            <w:pPr>
              <w:pStyle w:val="TableText9Point"/>
              <w:jc w:val="center"/>
              <w:rPr>
                <w:rFonts w:ascii="Arial" w:hAnsi="Arial" w:cs="Arial"/>
                <w:lang w:val="en-AU"/>
              </w:rPr>
            </w:pPr>
            <w:r>
              <w:rPr>
                <w:rFonts w:ascii="Arial" w:hAnsi="Arial" w:cs="Arial"/>
                <w:lang w:val="en-AU"/>
              </w:rPr>
              <w:t>1.6 (0.9, 2.2)</w:t>
            </w:r>
          </w:p>
        </w:tc>
        <w:tc>
          <w:tcPr>
            <w:tcW w:w="1368" w:type="dxa"/>
          </w:tcPr>
          <w:p w:rsidR="00E44F87" w:rsidRDefault="00E44F87">
            <w:pPr>
              <w:pStyle w:val="TableText9Point"/>
              <w:jc w:val="center"/>
              <w:rPr>
                <w:rFonts w:ascii="Arial" w:hAnsi="Arial" w:cs="Arial"/>
                <w:lang w:val="en-AU"/>
              </w:rPr>
            </w:pPr>
            <w:r>
              <w:rPr>
                <w:rFonts w:ascii="Arial" w:hAnsi="Arial" w:cs="Arial"/>
                <w:lang w:val="en-AU"/>
              </w:rPr>
              <w:sym w:font="Symbol" w:char="F0A3"/>
            </w:r>
            <w:r>
              <w:rPr>
                <w:rFonts w:ascii="Arial" w:hAnsi="Arial" w:cs="Arial"/>
                <w:lang w:val="en-AU"/>
              </w:rPr>
              <w:t xml:space="preserve"> 0.001</w:t>
            </w:r>
          </w:p>
        </w:tc>
      </w:tr>
      <w:tr w:rsidR="00E44F87">
        <w:trPr>
          <w:jc w:val="center"/>
        </w:trPr>
        <w:tc>
          <w:tcPr>
            <w:tcW w:w="2448" w:type="dxa"/>
          </w:tcPr>
          <w:p w:rsidR="00E44F87" w:rsidRDefault="00E44F87">
            <w:pPr>
              <w:pStyle w:val="TableText9Point"/>
              <w:rPr>
                <w:rFonts w:ascii="Arial" w:hAnsi="Arial" w:cs="Arial"/>
                <w:lang w:val="en-AU"/>
              </w:rPr>
            </w:pPr>
            <w:r>
              <w:rPr>
                <w:rFonts w:ascii="Arial" w:hAnsi="Arial" w:cs="Arial"/>
                <w:lang w:val="en-AU"/>
              </w:rPr>
              <w:t xml:space="preserve">No New Erosions </w:t>
            </w:r>
          </w:p>
          <w:p w:rsidR="00E44F87" w:rsidRDefault="00E44F87">
            <w:pPr>
              <w:pStyle w:val="TableText9Point"/>
              <w:rPr>
                <w:rFonts w:ascii="Arial" w:hAnsi="Arial" w:cs="Arial"/>
                <w:lang w:val="en-AU"/>
              </w:rPr>
            </w:pPr>
            <w:r>
              <w:rPr>
                <w:rFonts w:ascii="Arial" w:hAnsi="Arial" w:cs="Arial"/>
                <w:lang w:val="en-AU"/>
              </w:rPr>
              <w:t>(% of Patients)</w:t>
            </w:r>
          </w:p>
        </w:tc>
        <w:tc>
          <w:tcPr>
            <w:tcW w:w="1094" w:type="dxa"/>
          </w:tcPr>
          <w:p w:rsidR="00E44F87" w:rsidRDefault="00E44F87">
            <w:pPr>
              <w:pStyle w:val="TableText9Point"/>
              <w:jc w:val="center"/>
              <w:rPr>
                <w:rFonts w:ascii="Arial" w:hAnsi="Arial" w:cs="Arial"/>
                <w:lang w:val="en-AU"/>
              </w:rPr>
            </w:pPr>
            <w:r>
              <w:rPr>
                <w:rFonts w:ascii="Arial" w:hAnsi="Arial" w:cs="Arial"/>
                <w:lang w:val="en-AU"/>
              </w:rPr>
              <w:t>46.2</w:t>
            </w:r>
          </w:p>
        </w:tc>
        <w:tc>
          <w:tcPr>
            <w:tcW w:w="1606" w:type="dxa"/>
          </w:tcPr>
          <w:p w:rsidR="00E44F87" w:rsidRDefault="00E44F87">
            <w:pPr>
              <w:pStyle w:val="TableText9Point"/>
              <w:jc w:val="center"/>
              <w:rPr>
                <w:rFonts w:ascii="Arial" w:hAnsi="Arial" w:cs="Arial"/>
                <w:lang w:val="en-AU"/>
              </w:rPr>
            </w:pPr>
            <w:r>
              <w:rPr>
                <w:rFonts w:ascii="Arial" w:hAnsi="Arial" w:cs="Arial"/>
                <w:lang w:val="en-AU"/>
              </w:rPr>
              <w:t>62.9</w:t>
            </w:r>
          </w:p>
        </w:tc>
        <w:tc>
          <w:tcPr>
            <w:tcW w:w="2340" w:type="dxa"/>
          </w:tcPr>
          <w:p w:rsidR="00E44F87" w:rsidRDefault="00E44F87">
            <w:pPr>
              <w:pStyle w:val="TableText9Point"/>
              <w:jc w:val="center"/>
              <w:rPr>
                <w:rFonts w:ascii="Arial" w:hAnsi="Arial" w:cs="Arial"/>
                <w:lang w:val="en-AU"/>
              </w:rPr>
            </w:pPr>
            <w:r>
              <w:rPr>
                <w:rFonts w:ascii="Arial" w:hAnsi="Arial" w:cs="Arial"/>
                <w:lang w:val="en-AU"/>
              </w:rPr>
              <w:t>16.7</w:t>
            </w:r>
          </w:p>
        </w:tc>
        <w:tc>
          <w:tcPr>
            <w:tcW w:w="1368" w:type="dxa"/>
          </w:tcPr>
          <w:p w:rsidR="00E44F87" w:rsidRDefault="00E44F87">
            <w:pPr>
              <w:pStyle w:val="TableText9Point"/>
              <w:jc w:val="center"/>
              <w:rPr>
                <w:rFonts w:ascii="Arial" w:hAnsi="Arial" w:cs="Arial"/>
                <w:lang w:val="en-AU"/>
              </w:rPr>
            </w:pPr>
            <w:r>
              <w:rPr>
                <w:rFonts w:ascii="Arial" w:hAnsi="Arial" w:cs="Arial"/>
                <w:lang w:val="en-AU"/>
              </w:rPr>
              <w:sym w:font="Symbol" w:char="F0A3"/>
            </w:r>
            <w:r>
              <w:rPr>
                <w:rFonts w:ascii="Arial" w:hAnsi="Arial" w:cs="Arial"/>
                <w:lang w:val="en-AU"/>
              </w:rPr>
              <w:t xml:space="preserve"> 0.001</w:t>
            </w:r>
          </w:p>
        </w:tc>
      </w:tr>
      <w:tr w:rsidR="00E44F87">
        <w:trPr>
          <w:jc w:val="center"/>
        </w:trPr>
        <w:tc>
          <w:tcPr>
            <w:tcW w:w="2448" w:type="dxa"/>
          </w:tcPr>
          <w:p w:rsidR="00E44F87" w:rsidRDefault="00E44F87">
            <w:pPr>
              <w:pStyle w:val="TableText9Point"/>
              <w:rPr>
                <w:rFonts w:ascii="Arial" w:hAnsi="Arial" w:cs="Arial"/>
                <w:lang w:val="en-AU"/>
              </w:rPr>
            </w:pPr>
            <w:r>
              <w:rPr>
                <w:rFonts w:ascii="Arial" w:hAnsi="Arial" w:cs="Arial"/>
                <w:lang w:val="en-AU"/>
              </w:rPr>
              <w:t>JSN Score</w:t>
            </w:r>
          </w:p>
        </w:tc>
        <w:tc>
          <w:tcPr>
            <w:tcW w:w="1094" w:type="dxa"/>
          </w:tcPr>
          <w:p w:rsidR="00E44F87" w:rsidRDefault="00E44F87">
            <w:pPr>
              <w:pStyle w:val="TableText9Point"/>
              <w:jc w:val="center"/>
              <w:rPr>
                <w:rFonts w:ascii="Arial" w:hAnsi="Arial" w:cs="Arial"/>
                <w:lang w:val="en-AU"/>
              </w:rPr>
            </w:pPr>
            <w:r>
              <w:rPr>
                <w:rFonts w:ascii="Arial" w:hAnsi="Arial" w:cs="Arial"/>
                <w:lang w:val="en-AU"/>
              </w:rPr>
              <w:t>1.0</w:t>
            </w:r>
          </w:p>
        </w:tc>
        <w:tc>
          <w:tcPr>
            <w:tcW w:w="1606" w:type="dxa"/>
          </w:tcPr>
          <w:p w:rsidR="00E44F87" w:rsidRDefault="00E44F87">
            <w:pPr>
              <w:pStyle w:val="TableText9Point"/>
              <w:jc w:val="center"/>
              <w:rPr>
                <w:rFonts w:ascii="Arial" w:hAnsi="Arial" w:cs="Arial"/>
                <w:lang w:val="en-AU"/>
              </w:rPr>
            </w:pPr>
            <w:r>
              <w:rPr>
                <w:rFonts w:ascii="Arial" w:hAnsi="Arial" w:cs="Arial"/>
                <w:lang w:val="en-AU"/>
              </w:rPr>
              <w:t>0.1</w:t>
            </w:r>
          </w:p>
        </w:tc>
        <w:tc>
          <w:tcPr>
            <w:tcW w:w="2340" w:type="dxa"/>
          </w:tcPr>
          <w:p w:rsidR="00E44F87" w:rsidRDefault="00E44F87">
            <w:pPr>
              <w:pStyle w:val="TableText9Point"/>
              <w:jc w:val="center"/>
              <w:rPr>
                <w:rFonts w:ascii="Arial" w:hAnsi="Arial" w:cs="Arial"/>
                <w:lang w:val="en-AU"/>
              </w:rPr>
            </w:pPr>
            <w:r>
              <w:rPr>
                <w:rFonts w:ascii="Arial" w:hAnsi="Arial" w:cs="Arial"/>
                <w:lang w:val="en-AU"/>
              </w:rPr>
              <w:t>0.9 (0.3, 1.4)</w:t>
            </w:r>
          </w:p>
        </w:tc>
        <w:tc>
          <w:tcPr>
            <w:tcW w:w="1368" w:type="dxa"/>
          </w:tcPr>
          <w:p w:rsidR="00E44F87" w:rsidRDefault="00E44F87">
            <w:pPr>
              <w:pStyle w:val="TableText9Point"/>
              <w:jc w:val="center"/>
              <w:rPr>
                <w:rFonts w:ascii="Arial" w:hAnsi="Arial" w:cs="Arial"/>
                <w:lang w:val="en-AU"/>
              </w:rPr>
            </w:pPr>
            <w:r>
              <w:rPr>
                <w:rFonts w:ascii="Arial" w:hAnsi="Arial" w:cs="Arial"/>
                <w:lang w:val="en-AU"/>
              </w:rPr>
              <w:t>0.002</w:t>
            </w:r>
          </w:p>
        </w:tc>
      </w:tr>
    </w:tbl>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ind w:left="360"/>
        <w:jc w:val="both"/>
        <w:rPr>
          <w:rFonts w:ascii="Arial" w:hAnsi="Arial"/>
          <w:sz w:val="20"/>
        </w:rPr>
      </w:pPr>
      <w:proofErr w:type="gramStart"/>
      <w:r>
        <w:rPr>
          <w:rFonts w:ascii="Arial" w:hAnsi="Arial"/>
          <w:sz w:val="20"/>
          <w:vertAlign w:val="superscript"/>
        </w:rPr>
        <w:t>a</w:t>
      </w:r>
      <w:proofErr w:type="gramEnd"/>
      <w:r>
        <w:rPr>
          <w:rFonts w:ascii="Arial" w:hAnsi="Arial"/>
          <w:sz w:val="20"/>
        </w:rPr>
        <w:tab/>
      </w:r>
      <w:r>
        <w:rPr>
          <w:rFonts w:ascii="Arial" w:hAnsi="Arial"/>
          <w:sz w:val="20"/>
        </w:rPr>
        <w:tab/>
        <w:t>40 mg administered fortnightly</w:t>
      </w:r>
    </w:p>
    <w:p w:rsidR="00E44F87" w:rsidRDefault="00E44F87">
      <w:pPr>
        <w:autoSpaceDE w:val="0"/>
        <w:autoSpaceDN w:val="0"/>
        <w:adjustRightInd w:val="0"/>
        <w:ind w:left="360"/>
        <w:jc w:val="both"/>
        <w:rPr>
          <w:rFonts w:ascii="Arial" w:hAnsi="Arial"/>
          <w:sz w:val="20"/>
        </w:rPr>
      </w:pPr>
      <w:proofErr w:type="gramStart"/>
      <w:r>
        <w:rPr>
          <w:rFonts w:ascii="Arial" w:hAnsi="Arial"/>
          <w:sz w:val="20"/>
          <w:vertAlign w:val="superscript"/>
        </w:rPr>
        <w:t>b</w:t>
      </w:r>
      <w:proofErr w:type="gramEnd"/>
      <w:r>
        <w:rPr>
          <w:rFonts w:ascii="Arial" w:hAnsi="Arial"/>
          <w:sz w:val="20"/>
        </w:rPr>
        <w:tab/>
      </w:r>
      <w:r>
        <w:rPr>
          <w:rFonts w:ascii="Arial" w:hAnsi="Arial"/>
          <w:sz w:val="20"/>
        </w:rPr>
        <w:tab/>
        <w:t>Based on rank analysis</w:t>
      </w:r>
    </w:p>
    <w:p w:rsidR="00E44F87" w:rsidRDefault="00E44F87">
      <w:pPr>
        <w:autoSpaceDE w:val="0"/>
        <w:autoSpaceDN w:val="0"/>
        <w:adjustRightInd w:val="0"/>
        <w:ind w:left="360"/>
        <w:jc w:val="both"/>
        <w:rPr>
          <w:rFonts w:ascii="Arial" w:hAnsi="Arial"/>
          <w:sz w:val="20"/>
        </w:rPr>
      </w:pPr>
      <w:r>
        <w:rPr>
          <w:rFonts w:ascii="Arial" w:hAnsi="Arial"/>
          <w:sz w:val="20"/>
        </w:rPr>
        <w:t>MTX</w:t>
      </w:r>
      <w:r>
        <w:rPr>
          <w:rFonts w:ascii="Arial" w:hAnsi="Arial"/>
          <w:sz w:val="20"/>
        </w:rPr>
        <w:tab/>
        <w:t>Methotrexate</w:t>
      </w:r>
    </w:p>
    <w:p w:rsidR="00E44F87" w:rsidRDefault="00E44F87">
      <w:pPr>
        <w:autoSpaceDE w:val="0"/>
        <w:autoSpaceDN w:val="0"/>
        <w:adjustRightInd w:val="0"/>
        <w:ind w:left="360"/>
        <w:jc w:val="both"/>
        <w:rPr>
          <w:rFonts w:ascii="Arial" w:hAnsi="Arial" w:cs="Arial"/>
          <w:sz w:val="20"/>
          <w:szCs w:val="22"/>
        </w:rPr>
      </w:pPr>
      <w:r>
        <w:rPr>
          <w:rFonts w:ascii="Arial" w:hAnsi="Arial"/>
          <w:sz w:val="20"/>
        </w:rPr>
        <w:t xml:space="preserve">* </w:t>
      </w:r>
      <w:r>
        <w:rPr>
          <w:rFonts w:ascii="Arial" w:hAnsi="Arial"/>
          <w:sz w:val="20"/>
        </w:rPr>
        <w:tab/>
      </w:r>
      <w:r>
        <w:rPr>
          <w:rFonts w:ascii="Arial" w:hAnsi="Arial"/>
          <w:sz w:val="20"/>
        </w:rPr>
        <w:tab/>
        <w:t xml:space="preserve">95% confidence intervals for the differences in change scores between MTX and Humira </w:t>
      </w:r>
    </w:p>
    <w:p w:rsidR="00E44F87" w:rsidRDefault="00E44F87">
      <w:pPr>
        <w:autoSpaceDE w:val="0"/>
        <w:autoSpaceDN w:val="0"/>
        <w:adjustRightInd w:val="0"/>
        <w:jc w:val="both"/>
        <w:rPr>
          <w:rFonts w:ascii="Arial" w:hAnsi="Arial" w:cs="Arial"/>
          <w:sz w:val="20"/>
          <w:szCs w:val="22"/>
        </w:rPr>
      </w:pP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 xml:space="preserve">In </w:t>
      </w:r>
      <w:r>
        <w:rPr>
          <w:rFonts w:ascii="Arial" w:hAnsi="Arial"/>
          <w:sz w:val="20"/>
        </w:rPr>
        <w:t xml:space="preserve">RA </w:t>
      </w:r>
      <w:r>
        <w:rPr>
          <w:rFonts w:ascii="Arial" w:hAnsi="Arial" w:cs="Arial"/>
          <w:sz w:val="20"/>
          <w:szCs w:val="22"/>
        </w:rPr>
        <w:t xml:space="preserve">Study V, Humira-treated patients had a mean duration of rheumatoid arthritis of less than 9 months and had not previously received methotrexate. Structural joint damage was assessed radiographically and expressed as change in modified Total Sharp Score. The Week 52 results are shown in Table 6. A statistically significant difference for change in modified Total Sharp Score and the erosion score was observed at Week 52 and maintained at Week 104. </w:t>
      </w:r>
    </w:p>
    <w:p w:rsidR="00E44F87" w:rsidRDefault="00E44F87">
      <w:pPr>
        <w:autoSpaceDE w:val="0"/>
        <w:autoSpaceDN w:val="0"/>
        <w:adjustRightInd w:val="0"/>
        <w:rPr>
          <w:rFonts w:ascii="Arial,Bold" w:hAnsi="Arial,Bold"/>
          <w:b/>
          <w:bCs/>
          <w:sz w:val="20"/>
          <w:szCs w:val="22"/>
        </w:rPr>
      </w:pPr>
    </w:p>
    <w:p w:rsidR="00E44F87" w:rsidRDefault="00E44F87">
      <w:pPr>
        <w:pStyle w:val="CaptionTable"/>
        <w:pBdr>
          <w:top w:val="single" w:sz="4" w:space="1" w:color="auto"/>
        </w:pBdr>
        <w:ind w:right="359" w:hanging="1368"/>
        <w:rPr>
          <w:rFonts w:ascii="Arial" w:hAnsi="Arial" w:cs="Arial"/>
          <w:sz w:val="20"/>
          <w:lang w:val="en-AU"/>
        </w:rPr>
      </w:pPr>
      <w:r>
        <w:rPr>
          <w:rFonts w:ascii="Arial" w:hAnsi="Arial" w:cs="Arial"/>
          <w:sz w:val="20"/>
          <w:lang w:val="en-AU"/>
        </w:rPr>
        <w:lastRenderedPageBreak/>
        <w:t xml:space="preserve">Table 6: </w:t>
      </w:r>
      <w:r>
        <w:rPr>
          <w:rFonts w:ascii="Arial" w:hAnsi="Arial" w:cs="Arial"/>
          <w:sz w:val="20"/>
          <w:lang w:val="en-AU"/>
        </w:rPr>
        <w:tab/>
        <w:t xml:space="preserve">Change in Modified Total Sharp Score from Baseline at Weeks 52 and 104 (All Randomised Subjects) in </w:t>
      </w:r>
      <w:r>
        <w:rPr>
          <w:rFonts w:ascii="Arial" w:hAnsi="Arial"/>
          <w:sz w:val="20"/>
        </w:rPr>
        <w:t xml:space="preserve">RA </w:t>
      </w:r>
      <w:r>
        <w:rPr>
          <w:rFonts w:ascii="Arial" w:hAnsi="Arial" w:cs="Arial"/>
          <w:sz w:val="20"/>
          <w:lang w:val="en-AU"/>
        </w:rPr>
        <w:t>Study V</w:t>
      </w:r>
    </w:p>
    <w:tbl>
      <w:tblPr>
        <w:tblW w:w="8640"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620"/>
        <w:gridCol w:w="1404"/>
        <w:gridCol w:w="1404"/>
        <w:gridCol w:w="1404"/>
        <w:gridCol w:w="1404"/>
        <w:gridCol w:w="1404"/>
      </w:tblGrid>
      <w:tr w:rsidR="00E44F87">
        <w:trPr>
          <w:jc w:val="center"/>
        </w:trPr>
        <w:tc>
          <w:tcPr>
            <w:tcW w:w="1620" w:type="dxa"/>
            <w:tcBorders>
              <w:top w:val="single" w:sz="4" w:space="0" w:color="auto"/>
              <w:bottom w:val="single" w:sz="4" w:space="0" w:color="auto"/>
            </w:tcBorders>
            <w:vAlign w:val="bottom"/>
          </w:tcPr>
          <w:p w:rsidR="00E44F87" w:rsidRDefault="00E44F87">
            <w:pPr>
              <w:pStyle w:val="TableText9Point"/>
              <w:rPr>
                <w:rFonts w:ascii="Arial" w:hAnsi="Arial" w:cs="Arial"/>
                <w:b/>
                <w:bCs/>
                <w:lang w:val="en-AU"/>
              </w:rPr>
            </w:pPr>
          </w:p>
        </w:tc>
        <w:tc>
          <w:tcPr>
            <w:tcW w:w="1404" w:type="dxa"/>
            <w:tcBorders>
              <w:top w:val="single" w:sz="4" w:space="0" w:color="auto"/>
              <w:bottom w:val="single" w:sz="4" w:space="0" w:color="auto"/>
            </w:tcBorders>
            <w:vAlign w:val="bottom"/>
          </w:tcPr>
          <w:p w:rsidR="00E44F87" w:rsidRDefault="00E44F87">
            <w:pPr>
              <w:pStyle w:val="TableText9Point"/>
              <w:jc w:val="center"/>
              <w:rPr>
                <w:rFonts w:ascii="Arial" w:hAnsi="Arial" w:cs="Arial"/>
                <w:b/>
                <w:bCs/>
                <w:lang w:val="en-AU"/>
              </w:rPr>
            </w:pPr>
            <w:r>
              <w:rPr>
                <w:rFonts w:ascii="Arial" w:hAnsi="Arial" w:cs="Arial"/>
                <w:b/>
                <w:bCs/>
                <w:lang w:val="en-AU"/>
              </w:rPr>
              <w:t>MTX</w:t>
            </w:r>
          </w:p>
          <w:p w:rsidR="00E44F87" w:rsidRDefault="00E44F87">
            <w:pPr>
              <w:pStyle w:val="TableText9Point"/>
              <w:jc w:val="center"/>
              <w:rPr>
                <w:rFonts w:ascii="Arial" w:hAnsi="Arial" w:cs="Arial"/>
                <w:b/>
                <w:bCs/>
                <w:lang w:val="en-AU"/>
              </w:rPr>
            </w:pPr>
            <w:r>
              <w:rPr>
                <w:rFonts w:ascii="Arial" w:hAnsi="Arial" w:cs="Arial"/>
                <w:b/>
                <w:bCs/>
                <w:lang w:val="en-AU"/>
              </w:rPr>
              <w:t>N=257</w:t>
            </w:r>
          </w:p>
        </w:tc>
        <w:tc>
          <w:tcPr>
            <w:tcW w:w="1404" w:type="dxa"/>
            <w:tcBorders>
              <w:top w:val="single" w:sz="4" w:space="0" w:color="auto"/>
              <w:bottom w:val="single" w:sz="4" w:space="0" w:color="auto"/>
            </w:tcBorders>
            <w:vAlign w:val="bottom"/>
          </w:tcPr>
          <w:p w:rsidR="00E44F87" w:rsidRDefault="00E44F87">
            <w:pPr>
              <w:pStyle w:val="TableText9Point"/>
              <w:jc w:val="center"/>
              <w:rPr>
                <w:rFonts w:ascii="Arial" w:hAnsi="Arial" w:cs="Arial"/>
                <w:b/>
                <w:bCs/>
                <w:lang w:val="en-AU"/>
              </w:rPr>
            </w:pPr>
            <w:r>
              <w:rPr>
                <w:rFonts w:ascii="Arial" w:hAnsi="Arial" w:cs="Arial"/>
                <w:b/>
                <w:bCs/>
                <w:lang w:val="en-AU"/>
              </w:rPr>
              <w:t>Adalimumab</w:t>
            </w:r>
          </w:p>
          <w:p w:rsidR="00E44F87" w:rsidRDefault="00E44F87">
            <w:pPr>
              <w:pStyle w:val="TableText9Point"/>
              <w:jc w:val="center"/>
              <w:rPr>
                <w:rFonts w:ascii="Arial" w:hAnsi="Arial" w:cs="Arial"/>
                <w:b/>
                <w:bCs/>
                <w:lang w:val="en-AU"/>
              </w:rPr>
            </w:pPr>
            <w:r>
              <w:rPr>
                <w:rFonts w:ascii="Arial" w:hAnsi="Arial" w:cs="Arial"/>
                <w:b/>
                <w:bCs/>
                <w:lang w:val="en-AU"/>
              </w:rPr>
              <w:t>N=274</w:t>
            </w:r>
          </w:p>
        </w:tc>
        <w:tc>
          <w:tcPr>
            <w:tcW w:w="1404" w:type="dxa"/>
            <w:tcBorders>
              <w:top w:val="single" w:sz="4" w:space="0" w:color="auto"/>
              <w:bottom w:val="single" w:sz="4" w:space="0" w:color="auto"/>
            </w:tcBorders>
            <w:vAlign w:val="bottom"/>
          </w:tcPr>
          <w:p w:rsidR="00E44F87" w:rsidRDefault="00E44F87">
            <w:pPr>
              <w:pStyle w:val="TableText9Point"/>
              <w:jc w:val="center"/>
              <w:rPr>
                <w:rFonts w:ascii="Arial" w:hAnsi="Arial" w:cs="Arial"/>
                <w:b/>
                <w:bCs/>
                <w:lang w:val="en-AU"/>
              </w:rPr>
            </w:pPr>
            <w:r>
              <w:rPr>
                <w:rFonts w:ascii="Arial" w:hAnsi="Arial" w:cs="Arial"/>
                <w:b/>
                <w:bCs/>
                <w:lang w:val="en-AU"/>
              </w:rPr>
              <w:t>Adalimumab + MTX</w:t>
            </w:r>
          </w:p>
          <w:p w:rsidR="00E44F87" w:rsidRDefault="00E44F87">
            <w:pPr>
              <w:pStyle w:val="TableText9Point"/>
              <w:jc w:val="center"/>
              <w:rPr>
                <w:rFonts w:ascii="Arial" w:hAnsi="Arial" w:cs="Arial"/>
                <w:b/>
                <w:bCs/>
                <w:lang w:val="en-AU"/>
              </w:rPr>
            </w:pPr>
            <w:r>
              <w:rPr>
                <w:rFonts w:ascii="Arial" w:hAnsi="Arial" w:cs="Arial"/>
                <w:b/>
                <w:bCs/>
                <w:lang w:val="en-AU"/>
              </w:rPr>
              <w:t>N=268</w:t>
            </w:r>
          </w:p>
        </w:tc>
        <w:tc>
          <w:tcPr>
            <w:tcW w:w="1404" w:type="dxa"/>
            <w:tcBorders>
              <w:top w:val="single" w:sz="4" w:space="0" w:color="auto"/>
              <w:bottom w:val="single" w:sz="4" w:space="0" w:color="auto"/>
            </w:tcBorders>
            <w:vAlign w:val="bottom"/>
          </w:tcPr>
          <w:p w:rsidR="00E44F87" w:rsidRDefault="00E44F87">
            <w:pPr>
              <w:pStyle w:val="TableText9Point"/>
              <w:jc w:val="center"/>
              <w:rPr>
                <w:rFonts w:ascii="Arial" w:hAnsi="Arial" w:cs="Arial"/>
                <w:b/>
                <w:bCs/>
                <w:lang w:val="en-AU"/>
              </w:rPr>
            </w:pPr>
            <w:r>
              <w:rPr>
                <w:rFonts w:ascii="Arial" w:hAnsi="Arial" w:cs="Arial"/>
                <w:b/>
                <w:bCs/>
                <w:lang w:val="en-AU"/>
              </w:rPr>
              <w:t>p-value</w:t>
            </w:r>
            <w:r>
              <w:rPr>
                <w:rFonts w:ascii="Arial" w:hAnsi="Arial" w:cs="Arial"/>
                <w:b/>
                <w:bCs/>
                <w:vertAlign w:val="superscript"/>
                <w:lang w:val="en-AU"/>
              </w:rPr>
              <w:t>a</w:t>
            </w:r>
          </w:p>
        </w:tc>
        <w:tc>
          <w:tcPr>
            <w:tcW w:w="1404" w:type="dxa"/>
            <w:tcBorders>
              <w:top w:val="single" w:sz="4" w:space="0" w:color="auto"/>
              <w:bottom w:val="single" w:sz="4" w:space="0" w:color="auto"/>
            </w:tcBorders>
            <w:vAlign w:val="bottom"/>
          </w:tcPr>
          <w:p w:rsidR="00E44F87" w:rsidRDefault="00E44F87">
            <w:pPr>
              <w:pStyle w:val="TableText9Point"/>
              <w:jc w:val="center"/>
              <w:rPr>
                <w:rFonts w:ascii="Arial" w:hAnsi="Arial" w:cs="Arial"/>
                <w:b/>
                <w:bCs/>
                <w:lang w:val="en-AU"/>
              </w:rPr>
            </w:pPr>
            <w:r>
              <w:rPr>
                <w:rFonts w:ascii="Arial" w:hAnsi="Arial" w:cs="Arial"/>
                <w:b/>
                <w:bCs/>
                <w:lang w:val="en-AU"/>
              </w:rPr>
              <w:t>p-value</w:t>
            </w:r>
            <w:r>
              <w:rPr>
                <w:rFonts w:ascii="Arial" w:hAnsi="Arial" w:cs="Arial"/>
                <w:b/>
                <w:bCs/>
                <w:vertAlign w:val="superscript"/>
                <w:lang w:val="en-AU"/>
              </w:rPr>
              <w:t>b</w:t>
            </w:r>
          </w:p>
        </w:tc>
      </w:tr>
      <w:tr w:rsidR="00E44F87">
        <w:trPr>
          <w:jc w:val="center"/>
        </w:trPr>
        <w:tc>
          <w:tcPr>
            <w:tcW w:w="1620" w:type="dxa"/>
            <w:tcBorders>
              <w:top w:val="single" w:sz="4" w:space="0" w:color="auto"/>
            </w:tcBorders>
          </w:tcPr>
          <w:p w:rsidR="00E44F87" w:rsidRDefault="00E44F87">
            <w:pPr>
              <w:pStyle w:val="TableText9Point"/>
              <w:rPr>
                <w:rFonts w:ascii="Arial" w:hAnsi="Arial" w:cs="Arial"/>
                <w:lang w:val="en-AU"/>
              </w:rPr>
            </w:pPr>
            <w:r>
              <w:rPr>
                <w:rFonts w:ascii="Arial" w:hAnsi="Arial" w:cs="Arial"/>
                <w:lang w:val="en-AU"/>
              </w:rPr>
              <w:t>Week 52</w:t>
            </w:r>
          </w:p>
        </w:tc>
        <w:tc>
          <w:tcPr>
            <w:tcW w:w="1404" w:type="dxa"/>
            <w:tcBorders>
              <w:top w:val="single" w:sz="4" w:space="0" w:color="auto"/>
            </w:tcBorders>
          </w:tcPr>
          <w:p w:rsidR="00E44F87" w:rsidRDefault="00E44F87">
            <w:pPr>
              <w:pStyle w:val="TableText9Point"/>
              <w:jc w:val="center"/>
              <w:rPr>
                <w:rFonts w:ascii="Arial" w:hAnsi="Arial" w:cs="Arial"/>
                <w:lang w:val="en-AU"/>
              </w:rPr>
            </w:pPr>
          </w:p>
        </w:tc>
        <w:tc>
          <w:tcPr>
            <w:tcW w:w="1404" w:type="dxa"/>
            <w:tcBorders>
              <w:top w:val="single" w:sz="4" w:space="0" w:color="auto"/>
            </w:tcBorders>
          </w:tcPr>
          <w:p w:rsidR="00E44F87" w:rsidRDefault="00E44F87">
            <w:pPr>
              <w:pStyle w:val="TableText9Point"/>
              <w:jc w:val="center"/>
              <w:rPr>
                <w:rFonts w:ascii="Arial" w:hAnsi="Arial" w:cs="Arial"/>
                <w:lang w:val="en-AU"/>
              </w:rPr>
            </w:pPr>
          </w:p>
        </w:tc>
        <w:tc>
          <w:tcPr>
            <w:tcW w:w="1404" w:type="dxa"/>
            <w:tcBorders>
              <w:top w:val="single" w:sz="4" w:space="0" w:color="auto"/>
            </w:tcBorders>
          </w:tcPr>
          <w:p w:rsidR="00E44F87" w:rsidRDefault="00E44F87">
            <w:pPr>
              <w:pStyle w:val="TableText9Point"/>
              <w:jc w:val="center"/>
              <w:rPr>
                <w:rFonts w:ascii="Arial" w:hAnsi="Arial" w:cs="Arial"/>
                <w:lang w:val="en-AU"/>
              </w:rPr>
            </w:pPr>
          </w:p>
        </w:tc>
        <w:tc>
          <w:tcPr>
            <w:tcW w:w="1404" w:type="dxa"/>
            <w:tcBorders>
              <w:top w:val="single" w:sz="4" w:space="0" w:color="auto"/>
            </w:tcBorders>
          </w:tcPr>
          <w:p w:rsidR="00E44F87" w:rsidRDefault="00E44F87">
            <w:pPr>
              <w:pStyle w:val="TableText9Point"/>
              <w:jc w:val="center"/>
              <w:rPr>
                <w:rFonts w:ascii="Arial" w:hAnsi="Arial" w:cs="Arial"/>
                <w:lang w:val="en-AU"/>
              </w:rPr>
            </w:pPr>
          </w:p>
        </w:tc>
        <w:tc>
          <w:tcPr>
            <w:tcW w:w="1404" w:type="dxa"/>
            <w:tcBorders>
              <w:top w:val="single" w:sz="4" w:space="0" w:color="auto"/>
            </w:tcBorders>
          </w:tcPr>
          <w:p w:rsidR="00E44F87" w:rsidRDefault="00E44F87">
            <w:pPr>
              <w:pStyle w:val="TableText9Point"/>
              <w:jc w:val="center"/>
              <w:rPr>
                <w:rFonts w:ascii="Arial" w:hAnsi="Arial" w:cs="Arial"/>
                <w:lang w:val="en-AU"/>
              </w:rPr>
            </w:pPr>
          </w:p>
        </w:tc>
      </w:tr>
      <w:tr w:rsidR="00E44F87">
        <w:trPr>
          <w:jc w:val="center"/>
        </w:trPr>
        <w:tc>
          <w:tcPr>
            <w:tcW w:w="1620" w:type="dxa"/>
          </w:tcPr>
          <w:p w:rsidR="00E44F87" w:rsidRDefault="00E44F87">
            <w:pPr>
              <w:pStyle w:val="TableText9Point"/>
              <w:rPr>
                <w:rFonts w:ascii="Arial" w:hAnsi="Arial" w:cs="Arial"/>
                <w:lang w:val="en-AU"/>
              </w:rPr>
            </w:pPr>
            <w:r>
              <w:rPr>
                <w:rFonts w:ascii="Arial" w:hAnsi="Arial" w:cs="Arial"/>
                <w:lang w:val="en-AU"/>
              </w:rPr>
              <w:t>Baseline (mean)</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21.8 ± 22.2</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18.8 ± 19.0</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18.1 ± 20.1</w:t>
            </w:r>
          </w:p>
        </w:tc>
        <w:tc>
          <w:tcPr>
            <w:tcW w:w="1404" w:type="dxa"/>
          </w:tcPr>
          <w:p w:rsidR="00E44F87" w:rsidRDefault="00E44F87">
            <w:pPr>
              <w:pStyle w:val="TableText9Point"/>
              <w:jc w:val="center"/>
              <w:rPr>
                <w:rFonts w:ascii="Arial" w:hAnsi="Arial" w:cs="Arial"/>
                <w:lang w:val="en-AU"/>
              </w:rPr>
            </w:pPr>
          </w:p>
        </w:tc>
        <w:tc>
          <w:tcPr>
            <w:tcW w:w="1404" w:type="dxa"/>
          </w:tcPr>
          <w:p w:rsidR="00E44F87" w:rsidRDefault="00E44F87">
            <w:pPr>
              <w:pStyle w:val="TableText9Point"/>
              <w:jc w:val="center"/>
              <w:rPr>
                <w:rFonts w:ascii="Arial" w:hAnsi="Arial" w:cs="Arial"/>
                <w:lang w:val="en-AU"/>
              </w:rPr>
            </w:pPr>
          </w:p>
        </w:tc>
      </w:tr>
      <w:tr w:rsidR="00E44F87">
        <w:trPr>
          <w:jc w:val="center"/>
        </w:trPr>
        <w:tc>
          <w:tcPr>
            <w:tcW w:w="1620" w:type="dxa"/>
          </w:tcPr>
          <w:p w:rsidR="00E44F87" w:rsidRDefault="00E44F87">
            <w:pPr>
              <w:pStyle w:val="TableText9Point"/>
              <w:rPr>
                <w:rFonts w:ascii="Arial" w:hAnsi="Arial" w:cs="Arial"/>
                <w:lang w:val="en-AU"/>
              </w:rPr>
            </w:pPr>
            <w:r>
              <w:rPr>
                <w:rFonts w:ascii="Arial" w:hAnsi="Arial" w:cs="Arial"/>
                <w:lang w:val="en-AU"/>
              </w:rPr>
              <w:t>Week 52 (mean)</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27.6 ± 24.6</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21.8 ± 19.7</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19.4 ± 19.9</w:t>
            </w:r>
          </w:p>
        </w:tc>
        <w:tc>
          <w:tcPr>
            <w:tcW w:w="1404" w:type="dxa"/>
          </w:tcPr>
          <w:p w:rsidR="00E44F87" w:rsidRDefault="00E44F87">
            <w:pPr>
              <w:pStyle w:val="TableText9Point"/>
              <w:jc w:val="center"/>
              <w:rPr>
                <w:rFonts w:ascii="Arial" w:hAnsi="Arial" w:cs="Arial"/>
                <w:lang w:val="en-AU"/>
              </w:rPr>
            </w:pPr>
          </w:p>
        </w:tc>
        <w:tc>
          <w:tcPr>
            <w:tcW w:w="1404" w:type="dxa"/>
          </w:tcPr>
          <w:p w:rsidR="00E44F87" w:rsidRDefault="00E44F87">
            <w:pPr>
              <w:pStyle w:val="TableText9Point"/>
              <w:jc w:val="center"/>
              <w:rPr>
                <w:rFonts w:ascii="Arial" w:hAnsi="Arial" w:cs="Arial"/>
                <w:lang w:val="en-AU"/>
              </w:rPr>
            </w:pPr>
          </w:p>
        </w:tc>
      </w:tr>
      <w:tr w:rsidR="00E44F87">
        <w:trPr>
          <w:jc w:val="center"/>
        </w:trPr>
        <w:tc>
          <w:tcPr>
            <w:tcW w:w="1620" w:type="dxa"/>
            <w:tcBorders>
              <w:bottom w:val="single" w:sz="4" w:space="0" w:color="auto"/>
            </w:tcBorders>
          </w:tcPr>
          <w:p w:rsidR="00E44F87" w:rsidRDefault="00E44F87">
            <w:pPr>
              <w:pStyle w:val="TableText9Point"/>
              <w:rPr>
                <w:rFonts w:ascii="Arial" w:hAnsi="Arial" w:cs="Arial"/>
                <w:lang w:val="en-AU"/>
              </w:rPr>
            </w:pPr>
            <w:r>
              <w:rPr>
                <w:rFonts w:ascii="Arial" w:hAnsi="Arial" w:cs="Arial"/>
                <w:lang w:val="en-AU"/>
              </w:rPr>
              <w:t>Change at Week 52 (mean ± SD)</w:t>
            </w:r>
          </w:p>
        </w:tc>
        <w:tc>
          <w:tcPr>
            <w:tcW w:w="1404" w:type="dxa"/>
            <w:tcBorders>
              <w:bottom w:val="single" w:sz="4" w:space="0" w:color="auto"/>
            </w:tcBorders>
          </w:tcPr>
          <w:p w:rsidR="00E44F87" w:rsidRDefault="00E44F87">
            <w:pPr>
              <w:pStyle w:val="TableText9Point"/>
              <w:jc w:val="center"/>
              <w:rPr>
                <w:rFonts w:ascii="Arial" w:hAnsi="Arial" w:cs="Arial"/>
                <w:lang w:val="en-AU"/>
              </w:rPr>
            </w:pPr>
            <w:r>
              <w:rPr>
                <w:rFonts w:ascii="Arial" w:hAnsi="Arial" w:cs="Arial"/>
                <w:lang w:val="en-AU"/>
              </w:rPr>
              <w:t>5.7 ± 12.7</w:t>
            </w:r>
          </w:p>
        </w:tc>
        <w:tc>
          <w:tcPr>
            <w:tcW w:w="1404" w:type="dxa"/>
            <w:tcBorders>
              <w:bottom w:val="single" w:sz="4" w:space="0" w:color="auto"/>
            </w:tcBorders>
          </w:tcPr>
          <w:p w:rsidR="00E44F87" w:rsidRDefault="00E44F87">
            <w:pPr>
              <w:pStyle w:val="TableText9Point"/>
              <w:jc w:val="center"/>
              <w:rPr>
                <w:rFonts w:ascii="Arial" w:hAnsi="Arial" w:cs="Arial"/>
                <w:lang w:val="en-AU"/>
              </w:rPr>
            </w:pPr>
            <w:r>
              <w:rPr>
                <w:rFonts w:ascii="Arial" w:hAnsi="Arial" w:cs="Arial"/>
                <w:lang w:val="en-AU"/>
              </w:rPr>
              <w:t>3.0 ± 11.2</w:t>
            </w:r>
          </w:p>
        </w:tc>
        <w:tc>
          <w:tcPr>
            <w:tcW w:w="1404" w:type="dxa"/>
            <w:tcBorders>
              <w:bottom w:val="single" w:sz="4" w:space="0" w:color="auto"/>
            </w:tcBorders>
          </w:tcPr>
          <w:p w:rsidR="00E44F87" w:rsidRDefault="00E44F87">
            <w:pPr>
              <w:pStyle w:val="TableText9Point"/>
              <w:jc w:val="center"/>
              <w:rPr>
                <w:rFonts w:ascii="Arial" w:hAnsi="Arial" w:cs="Arial"/>
                <w:lang w:val="en-AU"/>
              </w:rPr>
            </w:pPr>
            <w:r>
              <w:rPr>
                <w:rFonts w:ascii="Arial" w:hAnsi="Arial" w:cs="Arial"/>
                <w:lang w:val="en-AU"/>
              </w:rPr>
              <w:t>1.3 ± 6.5</w:t>
            </w:r>
          </w:p>
        </w:tc>
        <w:tc>
          <w:tcPr>
            <w:tcW w:w="1404" w:type="dxa"/>
            <w:tcBorders>
              <w:bottom w:val="single" w:sz="4" w:space="0" w:color="auto"/>
            </w:tcBorders>
          </w:tcPr>
          <w:p w:rsidR="00E44F87" w:rsidRDefault="00E44F87">
            <w:pPr>
              <w:pStyle w:val="TableText9Point"/>
              <w:jc w:val="center"/>
              <w:rPr>
                <w:rFonts w:ascii="Arial" w:hAnsi="Arial" w:cs="Arial"/>
                <w:lang w:val="en-AU"/>
              </w:rPr>
            </w:pPr>
            <w:r>
              <w:rPr>
                <w:rFonts w:ascii="Arial" w:hAnsi="Arial" w:cs="Arial"/>
                <w:lang w:val="en-AU"/>
              </w:rPr>
              <w:t>&lt; 0.001</w:t>
            </w:r>
          </w:p>
        </w:tc>
        <w:tc>
          <w:tcPr>
            <w:tcW w:w="1404" w:type="dxa"/>
            <w:tcBorders>
              <w:bottom w:val="single" w:sz="4" w:space="0" w:color="auto"/>
            </w:tcBorders>
          </w:tcPr>
          <w:p w:rsidR="00E44F87" w:rsidRDefault="00E44F87">
            <w:pPr>
              <w:pStyle w:val="TableText9Point"/>
              <w:jc w:val="center"/>
              <w:rPr>
                <w:rFonts w:ascii="Arial" w:hAnsi="Arial" w:cs="Arial"/>
                <w:lang w:val="en-AU"/>
              </w:rPr>
            </w:pPr>
            <w:r>
              <w:rPr>
                <w:rFonts w:ascii="Arial" w:hAnsi="Arial" w:cs="Arial"/>
                <w:lang w:val="en-AU"/>
              </w:rPr>
              <w:t>0.002</w:t>
            </w:r>
          </w:p>
        </w:tc>
      </w:tr>
      <w:tr w:rsidR="00E44F87">
        <w:trPr>
          <w:jc w:val="center"/>
        </w:trPr>
        <w:tc>
          <w:tcPr>
            <w:tcW w:w="1620" w:type="dxa"/>
            <w:tcBorders>
              <w:top w:val="single" w:sz="4" w:space="0" w:color="auto"/>
              <w:bottom w:val="nil"/>
            </w:tcBorders>
          </w:tcPr>
          <w:p w:rsidR="00E44F87" w:rsidRDefault="00E44F87">
            <w:pPr>
              <w:pStyle w:val="TableText9Point"/>
              <w:rPr>
                <w:rFonts w:ascii="Arial" w:hAnsi="Arial" w:cs="Arial"/>
                <w:lang w:val="en-AU"/>
              </w:rPr>
            </w:pPr>
            <w:r>
              <w:rPr>
                <w:rFonts w:ascii="Arial" w:hAnsi="Arial" w:cs="Arial"/>
                <w:lang w:val="en-AU"/>
              </w:rPr>
              <w:t>Week 104</w:t>
            </w:r>
          </w:p>
        </w:tc>
        <w:tc>
          <w:tcPr>
            <w:tcW w:w="1404" w:type="dxa"/>
            <w:tcBorders>
              <w:top w:val="single" w:sz="4" w:space="0" w:color="auto"/>
              <w:bottom w:val="nil"/>
            </w:tcBorders>
          </w:tcPr>
          <w:p w:rsidR="00E44F87" w:rsidRDefault="00E44F87">
            <w:pPr>
              <w:pStyle w:val="TableText9Point"/>
              <w:jc w:val="center"/>
              <w:rPr>
                <w:rFonts w:ascii="Arial" w:hAnsi="Arial" w:cs="Arial"/>
                <w:lang w:val="en-AU"/>
              </w:rPr>
            </w:pPr>
          </w:p>
        </w:tc>
        <w:tc>
          <w:tcPr>
            <w:tcW w:w="1404" w:type="dxa"/>
            <w:tcBorders>
              <w:top w:val="single" w:sz="4" w:space="0" w:color="auto"/>
              <w:bottom w:val="nil"/>
            </w:tcBorders>
          </w:tcPr>
          <w:p w:rsidR="00E44F87" w:rsidRDefault="00E44F87">
            <w:pPr>
              <w:pStyle w:val="TableText9Point"/>
              <w:jc w:val="center"/>
              <w:rPr>
                <w:rFonts w:ascii="Arial" w:hAnsi="Arial" w:cs="Arial"/>
                <w:lang w:val="en-AU"/>
              </w:rPr>
            </w:pPr>
          </w:p>
        </w:tc>
        <w:tc>
          <w:tcPr>
            <w:tcW w:w="1404" w:type="dxa"/>
            <w:tcBorders>
              <w:top w:val="single" w:sz="4" w:space="0" w:color="auto"/>
              <w:bottom w:val="nil"/>
            </w:tcBorders>
          </w:tcPr>
          <w:p w:rsidR="00E44F87" w:rsidRDefault="00E44F87">
            <w:pPr>
              <w:pStyle w:val="TableText9Point"/>
              <w:jc w:val="center"/>
              <w:rPr>
                <w:rFonts w:ascii="Arial" w:hAnsi="Arial" w:cs="Arial"/>
                <w:lang w:val="en-AU"/>
              </w:rPr>
            </w:pPr>
          </w:p>
        </w:tc>
        <w:tc>
          <w:tcPr>
            <w:tcW w:w="1404" w:type="dxa"/>
            <w:tcBorders>
              <w:top w:val="single" w:sz="4" w:space="0" w:color="auto"/>
              <w:bottom w:val="nil"/>
            </w:tcBorders>
          </w:tcPr>
          <w:p w:rsidR="00E44F87" w:rsidRDefault="00E44F87">
            <w:pPr>
              <w:pStyle w:val="TableText9Point"/>
              <w:jc w:val="center"/>
              <w:rPr>
                <w:rFonts w:ascii="Arial" w:hAnsi="Arial" w:cs="Arial"/>
                <w:lang w:val="en-AU"/>
              </w:rPr>
            </w:pPr>
          </w:p>
        </w:tc>
        <w:tc>
          <w:tcPr>
            <w:tcW w:w="1404" w:type="dxa"/>
            <w:tcBorders>
              <w:top w:val="single" w:sz="4" w:space="0" w:color="auto"/>
              <w:bottom w:val="nil"/>
            </w:tcBorders>
          </w:tcPr>
          <w:p w:rsidR="00E44F87" w:rsidRDefault="00E44F87">
            <w:pPr>
              <w:pStyle w:val="TableText9Point"/>
              <w:jc w:val="center"/>
              <w:rPr>
                <w:rFonts w:ascii="Arial" w:hAnsi="Arial" w:cs="Arial"/>
                <w:lang w:val="en-AU"/>
              </w:rPr>
            </w:pPr>
          </w:p>
        </w:tc>
      </w:tr>
      <w:tr w:rsidR="00E44F87">
        <w:trPr>
          <w:jc w:val="center"/>
        </w:trPr>
        <w:tc>
          <w:tcPr>
            <w:tcW w:w="1620" w:type="dxa"/>
            <w:tcBorders>
              <w:top w:val="nil"/>
            </w:tcBorders>
          </w:tcPr>
          <w:p w:rsidR="00E44F87" w:rsidRDefault="00E44F87">
            <w:pPr>
              <w:pStyle w:val="TableText9Point"/>
              <w:rPr>
                <w:rFonts w:ascii="Arial" w:hAnsi="Arial" w:cs="Arial"/>
                <w:lang w:val="en-AU"/>
              </w:rPr>
            </w:pPr>
            <w:r>
              <w:rPr>
                <w:rFonts w:ascii="Arial" w:hAnsi="Arial" w:cs="Arial"/>
                <w:lang w:val="en-AU"/>
              </w:rPr>
              <w:t>Baseline (mean)</w:t>
            </w:r>
          </w:p>
        </w:tc>
        <w:tc>
          <w:tcPr>
            <w:tcW w:w="1404" w:type="dxa"/>
            <w:tcBorders>
              <w:top w:val="nil"/>
            </w:tcBorders>
          </w:tcPr>
          <w:p w:rsidR="00E44F87" w:rsidRDefault="00E44F87">
            <w:pPr>
              <w:pStyle w:val="TableText9Point"/>
              <w:jc w:val="center"/>
              <w:rPr>
                <w:rFonts w:ascii="Arial" w:hAnsi="Arial" w:cs="Arial"/>
                <w:lang w:val="en-AU"/>
              </w:rPr>
            </w:pPr>
            <w:r>
              <w:rPr>
                <w:rFonts w:ascii="Arial" w:hAnsi="Arial" w:cs="Arial"/>
                <w:lang w:val="en-AU"/>
              </w:rPr>
              <w:t>21.8 ± 22.2</w:t>
            </w:r>
          </w:p>
        </w:tc>
        <w:tc>
          <w:tcPr>
            <w:tcW w:w="1404" w:type="dxa"/>
            <w:tcBorders>
              <w:top w:val="nil"/>
            </w:tcBorders>
          </w:tcPr>
          <w:p w:rsidR="00E44F87" w:rsidRDefault="00E44F87">
            <w:pPr>
              <w:pStyle w:val="TableText9Point"/>
              <w:jc w:val="center"/>
              <w:rPr>
                <w:rFonts w:ascii="Arial" w:hAnsi="Arial" w:cs="Arial"/>
                <w:lang w:val="en-AU"/>
              </w:rPr>
            </w:pPr>
            <w:r>
              <w:rPr>
                <w:rFonts w:ascii="Arial" w:hAnsi="Arial" w:cs="Arial"/>
                <w:lang w:val="en-AU"/>
              </w:rPr>
              <w:t>18.8 ± 19.0</w:t>
            </w:r>
          </w:p>
        </w:tc>
        <w:tc>
          <w:tcPr>
            <w:tcW w:w="1404" w:type="dxa"/>
            <w:tcBorders>
              <w:top w:val="nil"/>
            </w:tcBorders>
          </w:tcPr>
          <w:p w:rsidR="00E44F87" w:rsidRDefault="00E44F87">
            <w:pPr>
              <w:pStyle w:val="TableText9Point"/>
              <w:jc w:val="center"/>
              <w:rPr>
                <w:rFonts w:ascii="Arial" w:hAnsi="Arial" w:cs="Arial"/>
                <w:lang w:val="en-AU"/>
              </w:rPr>
            </w:pPr>
            <w:r>
              <w:rPr>
                <w:rFonts w:ascii="Arial" w:hAnsi="Arial" w:cs="Arial"/>
                <w:lang w:val="en-AU"/>
              </w:rPr>
              <w:t>18.1 ± 20.1</w:t>
            </w:r>
          </w:p>
        </w:tc>
        <w:tc>
          <w:tcPr>
            <w:tcW w:w="1404" w:type="dxa"/>
            <w:tcBorders>
              <w:top w:val="nil"/>
            </w:tcBorders>
          </w:tcPr>
          <w:p w:rsidR="00E44F87" w:rsidRDefault="00E44F87">
            <w:pPr>
              <w:pStyle w:val="TableText9Point"/>
              <w:jc w:val="center"/>
              <w:rPr>
                <w:rFonts w:ascii="Arial" w:hAnsi="Arial" w:cs="Arial"/>
                <w:lang w:val="en-AU"/>
              </w:rPr>
            </w:pPr>
          </w:p>
        </w:tc>
        <w:tc>
          <w:tcPr>
            <w:tcW w:w="1404" w:type="dxa"/>
            <w:tcBorders>
              <w:top w:val="nil"/>
            </w:tcBorders>
          </w:tcPr>
          <w:p w:rsidR="00E44F87" w:rsidRDefault="00E44F87">
            <w:pPr>
              <w:pStyle w:val="TableText9Point"/>
              <w:jc w:val="center"/>
              <w:rPr>
                <w:rFonts w:ascii="Arial" w:hAnsi="Arial" w:cs="Arial"/>
                <w:lang w:val="en-AU"/>
              </w:rPr>
            </w:pPr>
          </w:p>
        </w:tc>
      </w:tr>
      <w:tr w:rsidR="00E44F87">
        <w:trPr>
          <w:jc w:val="center"/>
        </w:trPr>
        <w:tc>
          <w:tcPr>
            <w:tcW w:w="1620" w:type="dxa"/>
          </w:tcPr>
          <w:p w:rsidR="00E44F87" w:rsidRDefault="00E44F87">
            <w:pPr>
              <w:pStyle w:val="TableText9Point"/>
              <w:rPr>
                <w:rFonts w:ascii="Arial" w:hAnsi="Arial" w:cs="Arial"/>
                <w:lang w:val="en-AU"/>
              </w:rPr>
            </w:pPr>
            <w:r>
              <w:rPr>
                <w:rFonts w:ascii="Arial" w:hAnsi="Arial" w:cs="Arial"/>
                <w:lang w:val="en-AU"/>
              </w:rPr>
              <w:t>Week 104 (mean)</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32.3 ± 30.0</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24.3 ± 23.2</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20.0 ± 20.5</w:t>
            </w:r>
          </w:p>
        </w:tc>
        <w:tc>
          <w:tcPr>
            <w:tcW w:w="1404" w:type="dxa"/>
          </w:tcPr>
          <w:p w:rsidR="00E44F87" w:rsidRDefault="00E44F87">
            <w:pPr>
              <w:pStyle w:val="TableText9Point"/>
              <w:jc w:val="center"/>
              <w:rPr>
                <w:rFonts w:ascii="Arial" w:hAnsi="Arial" w:cs="Arial"/>
                <w:lang w:val="en-AU"/>
              </w:rPr>
            </w:pPr>
          </w:p>
        </w:tc>
        <w:tc>
          <w:tcPr>
            <w:tcW w:w="1404" w:type="dxa"/>
          </w:tcPr>
          <w:p w:rsidR="00E44F87" w:rsidRDefault="00E44F87">
            <w:pPr>
              <w:pStyle w:val="TableText9Point"/>
              <w:jc w:val="center"/>
              <w:rPr>
                <w:rFonts w:ascii="Arial" w:hAnsi="Arial" w:cs="Arial"/>
                <w:lang w:val="en-AU"/>
              </w:rPr>
            </w:pPr>
          </w:p>
        </w:tc>
      </w:tr>
      <w:tr w:rsidR="00E44F87">
        <w:trPr>
          <w:jc w:val="center"/>
        </w:trPr>
        <w:tc>
          <w:tcPr>
            <w:tcW w:w="1620" w:type="dxa"/>
          </w:tcPr>
          <w:p w:rsidR="00E44F87" w:rsidRDefault="00E44F87">
            <w:pPr>
              <w:pStyle w:val="TableText9Point"/>
              <w:rPr>
                <w:rFonts w:ascii="Arial" w:hAnsi="Arial" w:cs="Arial"/>
                <w:lang w:val="en-AU"/>
              </w:rPr>
            </w:pPr>
            <w:r>
              <w:rPr>
                <w:rFonts w:ascii="Arial" w:hAnsi="Arial" w:cs="Arial"/>
                <w:lang w:val="en-AU"/>
              </w:rPr>
              <w:t>Change at Week 104 (mean ± SD)</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10.4 ± 21.7</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5.5 ± 15.8</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1.9 ± 8.3</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&lt; 0.001</w:t>
            </w:r>
          </w:p>
        </w:tc>
        <w:tc>
          <w:tcPr>
            <w:tcW w:w="1404" w:type="dxa"/>
          </w:tcPr>
          <w:p w:rsidR="00E44F87" w:rsidRDefault="00E44F87">
            <w:pPr>
              <w:pStyle w:val="TableText9Point"/>
              <w:jc w:val="center"/>
              <w:rPr>
                <w:rFonts w:ascii="Arial" w:hAnsi="Arial" w:cs="Arial"/>
                <w:lang w:val="en-AU"/>
              </w:rPr>
            </w:pPr>
            <w:r>
              <w:rPr>
                <w:rFonts w:ascii="Arial" w:hAnsi="Arial" w:cs="Arial"/>
                <w:lang w:val="en-AU"/>
              </w:rPr>
              <w:t>&lt; 0.001</w:t>
            </w:r>
          </w:p>
        </w:tc>
      </w:tr>
    </w:tbl>
    <w:p w:rsidR="00E44F87" w:rsidRDefault="00E44F87">
      <w:pPr>
        <w:pStyle w:val="TableNote"/>
        <w:keepNext/>
        <w:keepLines/>
        <w:rPr>
          <w:rFonts w:ascii="Arial" w:hAnsi="Arial" w:cs="Arial"/>
          <w:lang w:val="en-AU"/>
        </w:rPr>
      </w:pPr>
      <w:r>
        <w:rPr>
          <w:rFonts w:ascii="Arial" w:hAnsi="Arial" w:cs="Arial"/>
          <w:lang w:val="en-AU"/>
        </w:rPr>
        <w:tab/>
        <w:t>Note:  Primary analysis imputation used for missing data.</w:t>
      </w:r>
    </w:p>
    <w:p w:rsidR="00E44F87" w:rsidRDefault="00E44F87">
      <w:pPr>
        <w:pStyle w:val="TableNote"/>
        <w:keepNext/>
        <w:keepLines/>
        <w:ind w:left="720" w:hanging="720"/>
        <w:rPr>
          <w:rFonts w:ascii="Arial" w:hAnsi="Arial" w:cs="Arial"/>
          <w:lang w:val="en-AU"/>
        </w:rPr>
      </w:pPr>
      <w:r>
        <w:rPr>
          <w:rFonts w:ascii="Arial" w:hAnsi="Arial" w:cs="Arial"/>
          <w:lang w:val="en-AU"/>
        </w:rPr>
        <w:tab/>
        <w:t>a.</w:t>
      </w:r>
      <w:r>
        <w:rPr>
          <w:rFonts w:ascii="Arial" w:hAnsi="Arial" w:cs="Arial"/>
          <w:lang w:val="en-AU"/>
        </w:rPr>
        <w:tab/>
        <w:t>P-value is from the pairwise comparison of MTX monotherapy and adalimumab + MTX combination therapy using the Mann-Whitney U test.</w:t>
      </w:r>
    </w:p>
    <w:p w:rsidR="00E44F87" w:rsidRDefault="00E44F87">
      <w:pPr>
        <w:pStyle w:val="TableNote"/>
        <w:keepNext/>
        <w:keepLines/>
        <w:ind w:left="720" w:hanging="720"/>
        <w:rPr>
          <w:lang w:val="en-AU"/>
        </w:rPr>
      </w:pPr>
      <w:r>
        <w:rPr>
          <w:rFonts w:ascii="Arial" w:hAnsi="Arial" w:cs="Arial"/>
          <w:lang w:val="en-AU"/>
        </w:rPr>
        <w:tab/>
        <w:t>b.</w:t>
      </w:r>
      <w:r>
        <w:rPr>
          <w:rFonts w:ascii="Arial" w:hAnsi="Arial" w:cs="Arial"/>
          <w:lang w:val="en-AU"/>
        </w:rPr>
        <w:tab/>
        <w:t>P-value is from the pairwise comparison of adalimumab monotherapy and adalimumab + MTX combination therapy using the Mann-Whitney U test.</w:t>
      </w:r>
    </w:p>
    <w:p w:rsidR="00E44F87" w:rsidRDefault="00E44F87">
      <w:pPr>
        <w:autoSpaceDE w:val="0"/>
        <w:autoSpaceDN w:val="0"/>
        <w:adjustRightInd w:val="0"/>
        <w:jc w:val="both"/>
        <w:rPr>
          <w:rFonts w:ascii="Arial" w:hAnsi="Arial"/>
          <w:sz w:val="18"/>
        </w:rPr>
      </w:pPr>
    </w:p>
    <w:p w:rsidR="004C008E" w:rsidRDefault="004C008E">
      <w:pPr>
        <w:pStyle w:val="BodyText"/>
        <w:jc w:val="both"/>
        <w:rPr>
          <w:b/>
          <w:bCs/>
          <w:i/>
          <w:iCs/>
        </w:rPr>
      </w:pPr>
    </w:p>
    <w:p w:rsidR="00E44F87" w:rsidRDefault="00E44F87">
      <w:pPr>
        <w:pStyle w:val="BodyText"/>
        <w:jc w:val="both"/>
        <w:rPr>
          <w:b/>
          <w:bCs/>
          <w:i/>
          <w:iCs/>
        </w:rPr>
      </w:pPr>
      <w:r>
        <w:rPr>
          <w:b/>
          <w:bCs/>
          <w:i/>
          <w:iCs/>
        </w:rPr>
        <w:t>Physical Function</w:t>
      </w:r>
      <w:r>
        <w:rPr>
          <w:b/>
          <w:bCs/>
          <w:i/>
          <w:iCs/>
        </w:rPr>
        <w:tab/>
      </w:r>
    </w:p>
    <w:p w:rsidR="00E44F87" w:rsidRDefault="00E44F87">
      <w:pPr>
        <w:pStyle w:val="BodyText"/>
        <w:jc w:val="both"/>
      </w:pPr>
    </w:p>
    <w:p w:rsidR="00E44F87" w:rsidRDefault="00E44F87">
      <w:pPr>
        <w:pStyle w:val="BodyText"/>
        <w:jc w:val="both"/>
      </w:pPr>
      <w:r>
        <w:t xml:space="preserve">Health-related quality of life and physical function was assessed using the disability index of the Stanford Health Assessment Questionnaire (HAQ), which was a pre-specified primary endpoint at Week 52 in RA Study III. </w:t>
      </w:r>
    </w:p>
    <w:p w:rsidR="00E44F87" w:rsidRDefault="00E44F87">
      <w:pPr>
        <w:pStyle w:val="BodyText"/>
        <w:jc w:val="both"/>
      </w:pPr>
    </w:p>
    <w:p w:rsidR="00E44F87" w:rsidRDefault="00E44F87">
      <w:pPr>
        <w:pStyle w:val="BodyText"/>
        <w:jc w:val="both"/>
      </w:pPr>
      <w:r>
        <w:t xml:space="preserve">The HAQ was developed as a disease-specific outcome measure for rheumatoid arthritis and has been extensively studied in RA. HAQ has been shown to correlate with mortality, work disability, functional limitations, pain, fatigue and psychological relief. The score is based on 8 questions and normalised to a scale of 0 to 3, where higher scores indicate more disability, and lower scores indicate less disability.  Studies have shown that a change in HAQ score of 0.22 or greater represents an improvement in disability that is perceptible and meaningful to the patient. All doses/schedules of Humira in RA Study III showed statistically significantly greater improvement in the disability index of the HAQ from baseline to Month 6 compared to placebo and the same was seen at Week 52.  </w:t>
      </w:r>
    </w:p>
    <w:p w:rsidR="00E44F87" w:rsidRDefault="00E44F87">
      <w:pPr>
        <w:pStyle w:val="BodyText"/>
        <w:jc w:val="both"/>
      </w:pPr>
    </w:p>
    <w:p w:rsidR="00E44F87" w:rsidRDefault="00E44F87">
      <w:pPr>
        <w:autoSpaceDE w:val="0"/>
        <w:autoSpaceDN w:val="0"/>
        <w:adjustRightInd w:val="0"/>
        <w:jc w:val="both"/>
        <w:rPr>
          <w:rFonts w:ascii="Arial" w:hAnsi="Arial"/>
          <w:sz w:val="20"/>
        </w:rPr>
      </w:pPr>
      <w:r>
        <w:rPr>
          <w:rFonts w:ascii="Arial" w:hAnsi="Arial" w:cs="Arial"/>
          <w:sz w:val="20"/>
        </w:rPr>
        <w:t xml:space="preserve">There were 619 patients enrolled in </w:t>
      </w:r>
      <w:r>
        <w:rPr>
          <w:rFonts w:ascii="Arial" w:hAnsi="Arial"/>
          <w:sz w:val="20"/>
        </w:rPr>
        <w:t xml:space="preserve">RA </w:t>
      </w:r>
      <w:r>
        <w:rPr>
          <w:rFonts w:ascii="Arial" w:hAnsi="Arial" w:cs="Arial"/>
          <w:sz w:val="20"/>
        </w:rPr>
        <w:t>Study III also known as the DE019 study.  The patients were divided into three groups.</w:t>
      </w:r>
      <w:r>
        <w:t xml:space="preserve">  </w:t>
      </w:r>
      <w:r>
        <w:rPr>
          <w:rFonts w:ascii="Arial" w:hAnsi="Arial"/>
          <w:sz w:val="20"/>
        </w:rPr>
        <w:t>The first group received placebo injections every week for 52 weeks.  The second group received 20 mg of Humira every week for 52 weeks. The third group received 40 mg of Humira fortnightly with placebo injections on alternate weeks.  Upon completion of the first 52 weeks, 457 patients enrolled in an open-label extension phase (DE019OLE) in which 40 mg of Humira/MTX was administered fortnightly.  Maintenance of physical function was defined as maintaining a reduction in HAQ of –0.5 over the second year of active treatment.</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Results </w:t>
      </w:r>
    </w:p>
    <w:p w:rsidR="00E44F87" w:rsidRDefault="00E44F87">
      <w:pPr>
        <w:autoSpaceDE w:val="0"/>
        <w:autoSpaceDN w:val="0"/>
        <w:adjustRightInd w:val="0"/>
        <w:jc w:val="both"/>
        <w:rPr>
          <w:rFonts w:ascii="Arial" w:hAnsi="Arial"/>
          <w:sz w:val="20"/>
        </w:rPr>
      </w:pPr>
    </w:p>
    <w:p w:rsidR="00E44F87" w:rsidRDefault="00E44F87">
      <w:pPr>
        <w:pStyle w:val="BodyText"/>
        <w:jc w:val="both"/>
        <w:rPr>
          <w:rFonts w:cs="Times New Roman"/>
          <w:szCs w:val="24"/>
        </w:rPr>
      </w:pPr>
      <w:r>
        <w:rPr>
          <w:rFonts w:cs="Times New Roman"/>
          <w:szCs w:val="24"/>
        </w:rPr>
        <w:t xml:space="preserve">In </w:t>
      </w:r>
      <w:r>
        <w:t xml:space="preserve">RA </w:t>
      </w:r>
      <w:r>
        <w:rPr>
          <w:rFonts w:cs="Times New Roman"/>
          <w:szCs w:val="24"/>
        </w:rPr>
        <w:t>Study III, the mean (95% CI) improvement in HAQ from baseline at Week 52 was -0.60 (-0.65, -0.55) for the Humira patients and -0.25 (-0.33, -0.17) for the placebo/MTX (p&lt;0.001) patients. At Week 104, the mean improvement in HAQ from baseline was –0.70 (-0.8, -0.6) for the Humira patients.</w:t>
      </w:r>
    </w:p>
    <w:p w:rsidR="00E44F87" w:rsidRDefault="00E44F87">
      <w:pPr>
        <w:pStyle w:val="BodyText"/>
        <w:jc w:val="both"/>
        <w:rPr>
          <w:b/>
          <w:bCs/>
        </w:rPr>
      </w:pPr>
    </w:p>
    <w:tbl>
      <w:tblPr>
        <w:tblW w:w="964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706"/>
        <w:gridCol w:w="2002"/>
        <w:gridCol w:w="1620"/>
        <w:gridCol w:w="2340"/>
        <w:gridCol w:w="1980"/>
      </w:tblGrid>
      <w:tr w:rsidR="00E44F87">
        <w:trPr>
          <w:cantSplit/>
        </w:trPr>
        <w:tc>
          <w:tcPr>
            <w:tcW w:w="9648" w:type="dxa"/>
            <w:gridSpan w:val="5"/>
          </w:tcPr>
          <w:p w:rsidR="00E44F87" w:rsidRDefault="00E44F87">
            <w:pPr>
              <w:pStyle w:val="Heading9"/>
              <w:rPr>
                <w:sz w:val="18"/>
              </w:rPr>
            </w:pPr>
            <w:r>
              <w:rPr>
                <w:sz w:val="18"/>
              </w:rPr>
              <w:lastRenderedPageBreak/>
              <w:t xml:space="preserve">Table 7:  </w:t>
            </w:r>
            <w:r>
              <w:rPr>
                <w:sz w:val="18"/>
              </w:rPr>
              <w:tab/>
              <w:t xml:space="preserve">Percentage of Patients Achieving Improvement in Physical Function </w:t>
            </w:r>
            <w:proofErr w:type="gramStart"/>
            <w:r>
              <w:rPr>
                <w:sz w:val="18"/>
              </w:rPr>
              <w:t>After</w:t>
            </w:r>
            <w:proofErr w:type="gramEnd"/>
            <w:r>
              <w:rPr>
                <w:sz w:val="18"/>
              </w:rPr>
              <w:t xml:space="preserve"> One and </w:t>
            </w:r>
            <w:r>
              <w:rPr>
                <w:sz w:val="18"/>
              </w:rPr>
              <w:tab/>
            </w:r>
            <w:r>
              <w:rPr>
                <w:sz w:val="18"/>
              </w:rPr>
              <w:tab/>
            </w:r>
            <w:r>
              <w:rPr>
                <w:sz w:val="18"/>
              </w:rPr>
              <w:tab/>
            </w:r>
            <w:r>
              <w:rPr>
                <w:sz w:val="18"/>
              </w:rPr>
              <w:tab/>
              <w:t xml:space="preserve">Two Years of Treatment In </w:t>
            </w:r>
            <w:r>
              <w:t>RA</w:t>
            </w:r>
            <w:r>
              <w:rPr>
                <w:sz w:val="18"/>
              </w:rPr>
              <w:t xml:space="preserve"> Study III</w:t>
            </w:r>
          </w:p>
          <w:p w:rsidR="00E44F87" w:rsidRDefault="00E44F87">
            <w:pPr>
              <w:pStyle w:val="BodyText"/>
              <w:rPr>
                <w:b/>
                <w:bCs/>
                <w:sz w:val="18"/>
              </w:rPr>
            </w:pPr>
          </w:p>
        </w:tc>
      </w:tr>
      <w:tr w:rsidR="00E44F87">
        <w:trPr>
          <w:cantSplit/>
        </w:trPr>
        <w:tc>
          <w:tcPr>
            <w:tcW w:w="1706" w:type="dxa"/>
          </w:tcPr>
          <w:p w:rsidR="00E44F87" w:rsidRDefault="00E44F87">
            <w:pPr>
              <w:pStyle w:val="BodyText"/>
              <w:rPr>
                <w:b/>
                <w:bCs/>
                <w:sz w:val="18"/>
              </w:rPr>
            </w:pPr>
            <w:r>
              <w:rPr>
                <w:b/>
                <w:bCs/>
                <w:sz w:val="18"/>
              </w:rPr>
              <w:t>Reduction in HAQ from Baseline</w:t>
            </w:r>
          </w:p>
        </w:tc>
        <w:tc>
          <w:tcPr>
            <w:tcW w:w="3622" w:type="dxa"/>
            <w:gridSpan w:val="2"/>
          </w:tcPr>
          <w:p w:rsidR="00E44F87" w:rsidRDefault="00E44F87">
            <w:pPr>
              <w:pStyle w:val="BodyText"/>
              <w:rPr>
                <w:b/>
                <w:bCs/>
                <w:sz w:val="18"/>
              </w:rPr>
            </w:pPr>
            <w:r>
              <w:rPr>
                <w:b/>
                <w:bCs/>
                <w:sz w:val="18"/>
              </w:rPr>
              <w:t>Proportion of patients who achieved HAQ reduction at Week 52</w:t>
            </w:r>
          </w:p>
        </w:tc>
        <w:tc>
          <w:tcPr>
            <w:tcW w:w="2340" w:type="dxa"/>
          </w:tcPr>
          <w:p w:rsidR="00E44F87" w:rsidRDefault="00E44F87">
            <w:pPr>
              <w:pStyle w:val="BodyText"/>
              <w:rPr>
                <w:b/>
                <w:bCs/>
                <w:sz w:val="18"/>
              </w:rPr>
            </w:pPr>
            <w:r>
              <w:rPr>
                <w:b/>
                <w:bCs/>
                <w:sz w:val="18"/>
              </w:rPr>
              <w:t>Proportion of patients who received adalimumab 40 mg fortnightly and who achieved HAQ reduction at Week 104</w:t>
            </w:r>
          </w:p>
          <w:p w:rsidR="00E44F87" w:rsidRDefault="00E44F87">
            <w:pPr>
              <w:pStyle w:val="BodyText"/>
              <w:rPr>
                <w:b/>
                <w:bCs/>
                <w:sz w:val="18"/>
              </w:rPr>
            </w:pPr>
          </w:p>
        </w:tc>
        <w:tc>
          <w:tcPr>
            <w:tcW w:w="1980" w:type="dxa"/>
          </w:tcPr>
          <w:p w:rsidR="00E44F87" w:rsidRDefault="00E44F87">
            <w:pPr>
              <w:pStyle w:val="BodyText"/>
              <w:rPr>
                <w:b/>
                <w:bCs/>
                <w:sz w:val="18"/>
              </w:rPr>
            </w:pPr>
            <w:r>
              <w:rPr>
                <w:b/>
                <w:bCs/>
                <w:sz w:val="18"/>
              </w:rPr>
              <w:t>Proportion of all adalimumab-treated patients with HAQ reduction at Week 52 that was maintained at Week 104</w:t>
            </w:r>
          </w:p>
        </w:tc>
      </w:tr>
      <w:tr w:rsidR="00E44F87">
        <w:tc>
          <w:tcPr>
            <w:tcW w:w="1706" w:type="dxa"/>
          </w:tcPr>
          <w:p w:rsidR="00E44F87" w:rsidRDefault="00E44F87">
            <w:pPr>
              <w:pStyle w:val="BodyText"/>
              <w:jc w:val="center"/>
              <w:rPr>
                <w:b/>
                <w:bCs/>
                <w:sz w:val="18"/>
              </w:rPr>
            </w:pPr>
            <w:r>
              <w:rPr>
                <w:b/>
                <w:bCs/>
                <w:sz w:val="18"/>
              </w:rPr>
              <w:t>Treatment arm</w:t>
            </w:r>
          </w:p>
        </w:tc>
        <w:tc>
          <w:tcPr>
            <w:tcW w:w="2002" w:type="dxa"/>
          </w:tcPr>
          <w:p w:rsidR="00E44F87" w:rsidRDefault="00E44F87">
            <w:pPr>
              <w:pStyle w:val="BodyText"/>
              <w:jc w:val="center"/>
              <w:rPr>
                <w:b/>
                <w:bCs/>
                <w:sz w:val="18"/>
              </w:rPr>
            </w:pPr>
            <w:r>
              <w:rPr>
                <w:b/>
                <w:bCs/>
                <w:sz w:val="18"/>
              </w:rPr>
              <w:t>Adalimumab 40 mg fortnightly</w:t>
            </w:r>
          </w:p>
          <w:p w:rsidR="00E44F87" w:rsidRDefault="00E44F87">
            <w:pPr>
              <w:pStyle w:val="BodyText"/>
              <w:jc w:val="center"/>
              <w:rPr>
                <w:b/>
                <w:bCs/>
                <w:sz w:val="18"/>
              </w:rPr>
            </w:pPr>
          </w:p>
        </w:tc>
        <w:tc>
          <w:tcPr>
            <w:tcW w:w="1620" w:type="dxa"/>
          </w:tcPr>
          <w:p w:rsidR="00E44F87" w:rsidRDefault="00E44F87">
            <w:pPr>
              <w:pStyle w:val="BodyText"/>
              <w:jc w:val="center"/>
              <w:rPr>
                <w:b/>
                <w:bCs/>
                <w:sz w:val="18"/>
              </w:rPr>
            </w:pPr>
            <w:r>
              <w:rPr>
                <w:b/>
                <w:bCs/>
                <w:sz w:val="18"/>
              </w:rPr>
              <w:t>Placebo</w:t>
            </w:r>
          </w:p>
        </w:tc>
        <w:tc>
          <w:tcPr>
            <w:tcW w:w="2340" w:type="dxa"/>
          </w:tcPr>
          <w:p w:rsidR="00E44F87" w:rsidRDefault="00E44F87">
            <w:pPr>
              <w:pStyle w:val="BodyText"/>
              <w:jc w:val="center"/>
              <w:rPr>
                <w:b/>
                <w:bCs/>
                <w:sz w:val="18"/>
              </w:rPr>
            </w:pPr>
            <w:r>
              <w:rPr>
                <w:b/>
                <w:bCs/>
                <w:sz w:val="18"/>
              </w:rPr>
              <w:t>Adalimumab 40 mg fortnightly</w:t>
            </w:r>
          </w:p>
        </w:tc>
        <w:tc>
          <w:tcPr>
            <w:tcW w:w="1980" w:type="dxa"/>
          </w:tcPr>
          <w:p w:rsidR="00E44F87" w:rsidRDefault="00E44F87">
            <w:pPr>
              <w:pStyle w:val="BodyText"/>
              <w:jc w:val="center"/>
              <w:rPr>
                <w:b/>
                <w:bCs/>
                <w:sz w:val="18"/>
              </w:rPr>
            </w:pPr>
            <w:r>
              <w:rPr>
                <w:b/>
                <w:bCs/>
                <w:sz w:val="18"/>
              </w:rPr>
              <w:t>All adalimumab</w:t>
            </w:r>
          </w:p>
        </w:tc>
      </w:tr>
      <w:tr w:rsidR="00E44F87">
        <w:tc>
          <w:tcPr>
            <w:tcW w:w="1706" w:type="dxa"/>
          </w:tcPr>
          <w:p w:rsidR="00E44F87" w:rsidRDefault="00E44F87">
            <w:pPr>
              <w:pStyle w:val="TableText9Point"/>
              <w:jc w:val="center"/>
              <w:rPr>
                <w:rFonts w:ascii="Arial" w:hAnsi="Arial" w:cs="Arial"/>
                <w:lang w:val="en-AU"/>
              </w:rPr>
            </w:pPr>
            <w:r>
              <w:rPr>
                <w:rFonts w:ascii="Arial" w:hAnsi="Arial" w:cs="Arial"/>
                <w:lang w:val="en-AU"/>
              </w:rPr>
              <w:t>-0.22</w:t>
            </w:r>
          </w:p>
        </w:tc>
        <w:tc>
          <w:tcPr>
            <w:tcW w:w="2002" w:type="dxa"/>
          </w:tcPr>
          <w:p w:rsidR="00E44F87" w:rsidRDefault="00E44F87">
            <w:pPr>
              <w:pStyle w:val="TableText9Point"/>
              <w:jc w:val="center"/>
              <w:rPr>
                <w:rFonts w:ascii="Arial" w:hAnsi="Arial" w:cs="Arial"/>
                <w:lang w:val="en-AU"/>
              </w:rPr>
            </w:pPr>
            <w:r>
              <w:rPr>
                <w:rFonts w:ascii="Arial" w:hAnsi="Arial" w:cs="Arial"/>
                <w:lang w:val="en-AU"/>
              </w:rPr>
              <w:t>150/207 (72.5%)</w:t>
            </w:r>
          </w:p>
        </w:tc>
        <w:tc>
          <w:tcPr>
            <w:tcW w:w="1620" w:type="dxa"/>
          </w:tcPr>
          <w:p w:rsidR="00E44F87" w:rsidRDefault="00E44F87">
            <w:pPr>
              <w:pStyle w:val="TableText9Point"/>
              <w:jc w:val="center"/>
              <w:rPr>
                <w:rFonts w:ascii="Arial" w:hAnsi="Arial" w:cs="Arial"/>
                <w:lang w:val="en-AU"/>
              </w:rPr>
            </w:pPr>
            <w:r>
              <w:rPr>
                <w:rFonts w:ascii="Arial" w:hAnsi="Arial" w:cs="Arial"/>
                <w:lang w:val="en-AU"/>
              </w:rPr>
              <w:t>96/200 (48%)</w:t>
            </w:r>
          </w:p>
        </w:tc>
        <w:tc>
          <w:tcPr>
            <w:tcW w:w="2340" w:type="dxa"/>
          </w:tcPr>
          <w:p w:rsidR="00E44F87" w:rsidRDefault="00E44F87">
            <w:pPr>
              <w:pStyle w:val="TableText9Point"/>
              <w:jc w:val="center"/>
              <w:rPr>
                <w:rFonts w:ascii="Arial" w:hAnsi="Arial" w:cs="Arial"/>
                <w:lang w:val="en-AU"/>
              </w:rPr>
            </w:pPr>
            <w:r>
              <w:rPr>
                <w:rFonts w:ascii="Arial" w:hAnsi="Arial" w:cs="Arial"/>
                <w:lang w:val="en-AU"/>
              </w:rPr>
              <w:t>123/207 (59.4%)</w:t>
            </w:r>
          </w:p>
        </w:tc>
        <w:tc>
          <w:tcPr>
            <w:tcW w:w="1980" w:type="dxa"/>
          </w:tcPr>
          <w:p w:rsidR="00E44F87" w:rsidRDefault="00E44F87">
            <w:pPr>
              <w:pStyle w:val="TableText9Point"/>
              <w:jc w:val="center"/>
              <w:rPr>
                <w:rFonts w:ascii="Arial" w:hAnsi="Arial" w:cs="Arial"/>
                <w:lang w:val="en-AU"/>
              </w:rPr>
            </w:pPr>
            <w:r>
              <w:rPr>
                <w:rFonts w:ascii="Arial" w:hAnsi="Arial" w:cs="Arial"/>
                <w:lang w:val="en-AU"/>
              </w:rPr>
              <w:t>231/258 (89.5%)</w:t>
            </w:r>
          </w:p>
        </w:tc>
      </w:tr>
      <w:tr w:rsidR="00E44F87">
        <w:tc>
          <w:tcPr>
            <w:tcW w:w="1706" w:type="dxa"/>
          </w:tcPr>
          <w:p w:rsidR="00E44F87" w:rsidRDefault="00E44F87">
            <w:pPr>
              <w:pStyle w:val="TableText9Point"/>
              <w:jc w:val="center"/>
              <w:rPr>
                <w:rFonts w:ascii="Arial" w:hAnsi="Arial" w:cs="Arial"/>
                <w:lang w:val="en-AU"/>
              </w:rPr>
            </w:pPr>
            <w:r>
              <w:rPr>
                <w:rFonts w:ascii="Arial" w:hAnsi="Arial" w:cs="Arial"/>
                <w:lang w:val="en-AU"/>
              </w:rPr>
              <w:t>-0.5</w:t>
            </w:r>
          </w:p>
        </w:tc>
        <w:tc>
          <w:tcPr>
            <w:tcW w:w="2002" w:type="dxa"/>
          </w:tcPr>
          <w:p w:rsidR="00E44F87" w:rsidRDefault="00E44F87">
            <w:pPr>
              <w:pStyle w:val="TableText9Point"/>
              <w:jc w:val="center"/>
              <w:rPr>
                <w:rFonts w:ascii="Arial" w:hAnsi="Arial" w:cs="Arial"/>
                <w:lang w:val="en-AU"/>
              </w:rPr>
            </w:pPr>
            <w:r>
              <w:rPr>
                <w:rFonts w:ascii="Arial" w:hAnsi="Arial" w:cs="Arial"/>
                <w:lang w:val="en-AU"/>
              </w:rPr>
              <w:t>114/207 (55.1%)</w:t>
            </w:r>
          </w:p>
        </w:tc>
        <w:tc>
          <w:tcPr>
            <w:tcW w:w="1620" w:type="dxa"/>
          </w:tcPr>
          <w:p w:rsidR="00E44F87" w:rsidRDefault="00E44F87">
            <w:pPr>
              <w:pStyle w:val="TableText9Point"/>
              <w:jc w:val="center"/>
              <w:rPr>
                <w:rFonts w:ascii="Arial" w:hAnsi="Arial" w:cs="Arial"/>
                <w:lang w:val="en-AU"/>
              </w:rPr>
            </w:pPr>
            <w:r>
              <w:rPr>
                <w:rFonts w:ascii="Arial" w:hAnsi="Arial" w:cs="Arial"/>
                <w:lang w:val="en-AU"/>
              </w:rPr>
              <w:t>56/200 (28%)</w:t>
            </w:r>
          </w:p>
        </w:tc>
        <w:tc>
          <w:tcPr>
            <w:tcW w:w="2340" w:type="dxa"/>
          </w:tcPr>
          <w:p w:rsidR="00E44F87" w:rsidRDefault="00E44F87">
            <w:pPr>
              <w:pStyle w:val="TableText9Point"/>
              <w:jc w:val="center"/>
              <w:rPr>
                <w:rFonts w:ascii="Arial" w:hAnsi="Arial" w:cs="Arial"/>
                <w:lang w:val="en-AU"/>
              </w:rPr>
            </w:pPr>
            <w:r>
              <w:rPr>
                <w:rFonts w:ascii="Arial" w:hAnsi="Arial" w:cs="Arial"/>
                <w:lang w:val="en-AU"/>
              </w:rPr>
              <w:t>94/207 (45.4%)</w:t>
            </w:r>
          </w:p>
        </w:tc>
        <w:tc>
          <w:tcPr>
            <w:tcW w:w="1980" w:type="dxa"/>
          </w:tcPr>
          <w:p w:rsidR="00E44F87" w:rsidRDefault="00E44F87">
            <w:pPr>
              <w:pStyle w:val="TableText9Point"/>
              <w:jc w:val="center"/>
              <w:rPr>
                <w:rFonts w:ascii="Arial" w:hAnsi="Arial" w:cs="Arial"/>
                <w:lang w:val="en-AU"/>
              </w:rPr>
            </w:pPr>
            <w:r>
              <w:rPr>
                <w:rFonts w:ascii="Arial" w:hAnsi="Arial" w:cs="Arial"/>
                <w:lang w:val="en-AU"/>
              </w:rPr>
              <w:t>167/204 (81.9%)</w:t>
            </w:r>
          </w:p>
        </w:tc>
      </w:tr>
      <w:tr w:rsidR="00E44F87">
        <w:tc>
          <w:tcPr>
            <w:tcW w:w="1706" w:type="dxa"/>
          </w:tcPr>
          <w:p w:rsidR="00E44F87" w:rsidRDefault="00E44F87">
            <w:pPr>
              <w:pStyle w:val="TableText9Point"/>
              <w:jc w:val="center"/>
              <w:rPr>
                <w:rFonts w:ascii="Arial" w:hAnsi="Arial" w:cs="Arial"/>
                <w:lang w:val="en-AU"/>
              </w:rPr>
            </w:pPr>
            <w:r>
              <w:rPr>
                <w:rFonts w:ascii="Arial" w:hAnsi="Arial" w:cs="Arial"/>
                <w:lang w:val="en-AU"/>
              </w:rPr>
              <w:t>-0.75</w:t>
            </w:r>
          </w:p>
        </w:tc>
        <w:tc>
          <w:tcPr>
            <w:tcW w:w="2002" w:type="dxa"/>
          </w:tcPr>
          <w:p w:rsidR="00E44F87" w:rsidRDefault="00E44F87">
            <w:pPr>
              <w:pStyle w:val="TableText9Point"/>
              <w:jc w:val="center"/>
              <w:rPr>
                <w:rFonts w:ascii="Arial" w:hAnsi="Arial" w:cs="Arial"/>
                <w:lang w:val="en-AU"/>
              </w:rPr>
            </w:pPr>
            <w:r>
              <w:rPr>
                <w:rFonts w:ascii="Arial" w:hAnsi="Arial" w:cs="Arial"/>
                <w:lang w:val="en-AU"/>
              </w:rPr>
              <w:t>82/207 (39.6%)</w:t>
            </w:r>
          </w:p>
        </w:tc>
        <w:tc>
          <w:tcPr>
            <w:tcW w:w="1620" w:type="dxa"/>
          </w:tcPr>
          <w:p w:rsidR="00E44F87" w:rsidRDefault="00E44F87">
            <w:pPr>
              <w:pStyle w:val="TableText9Point"/>
              <w:jc w:val="center"/>
              <w:rPr>
                <w:rFonts w:ascii="Arial" w:hAnsi="Arial" w:cs="Arial"/>
                <w:lang w:val="en-AU"/>
              </w:rPr>
            </w:pPr>
            <w:r>
              <w:rPr>
                <w:rFonts w:ascii="Arial" w:hAnsi="Arial" w:cs="Arial"/>
                <w:lang w:val="en-AU"/>
              </w:rPr>
              <w:t>40/200 (20%)</w:t>
            </w:r>
          </w:p>
        </w:tc>
        <w:tc>
          <w:tcPr>
            <w:tcW w:w="2340" w:type="dxa"/>
          </w:tcPr>
          <w:p w:rsidR="00E44F87" w:rsidRDefault="00E44F87">
            <w:pPr>
              <w:pStyle w:val="TableText9Point"/>
              <w:jc w:val="center"/>
              <w:rPr>
                <w:rFonts w:ascii="Arial" w:hAnsi="Arial" w:cs="Arial"/>
                <w:lang w:val="en-AU"/>
              </w:rPr>
            </w:pPr>
            <w:r>
              <w:rPr>
                <w:rFonts w:ascii="Arial" w:hAnsi="Arial" w:cs="Arial"/>
                <w:lang w:val="en-AU"/>
              </w:rPr>
              <w:t>71/207 (34.3%)</w:t>
            </w:r>
          </w:p>
        </w:tc>
        <w:tc>
          <w:tcPr>
            <w:tcW w:w="1980" w:type="dxa"/>
          </w:tcPr>
          <w:p w:rsidR="00E44F87" w:rsidRDefault="00E44F87">
            <w:pPr>
              <w:pStyle w:val="TableText9Point"/>
              <w:jc w:val="center"/>
              <w:rPr>
                <w:rFonts w:ascii="Arial" w:hAnsi="Arial" w:cs="Arial"/>
                <w:lang w:val="en-AU"/>
              </w:rPr>
            </w:pPr>
            <w:r>
              <w:rPr>
                <w:rFonts w:ascii="Arial" w:hAnsi="Arial" w:cs="Arial"/>
                <w:lang w:val="en-AU"/>
              </w:rPr>
              <w:t>124/149 (83.2%)</w:t>
            </w:r>
          </w:p>
        </w:tc>
      </w:tr>
      <w:tr w:rsidR="00E44F87">
        <w:tc>
          <w:tcPr>
            <w:tcW w:w="1706" w:type="dxa"/>
          </w:tcPr>
          <w:p w:rsidR="00E44F87" w:rsidRDefault="00E44F87">
            <w:pPr>
              <w:pStyle w:val="TableText9Point"/>
              <w:jc w:val="center"/>
              <w:rPr>
                <w:rFonts w:ascii="Arial" w:hAnsi="Arial" w:cs="Arial"/>
                <w:lang w:val="en-AU"/>
              </w:rPr>
            </w:pPr>
            <w:r>
              <w:rPr>
                <w:rFonts w:ascii="Arial" w:hAnsi="Arial" w:cs="Arial"/>
                <w:lang w:val="en-AU"/>
              </w:rPr>
              <w:t>-1.0</w:t>
            </w:r>
          </w:p>
        </w:tc>
        <w:tc>
          <w:tcPr>
            <w:tcW w:w="2002" w:type="dxa"/>
          </w:tcPr>
          <w:p w:rsidR="00E44F87" w:rsidRDefault="00E44F87">
            <w:pPr>
              <w:pStyle w:val="TableText9Point"/>
              <w:jc w:val="center"/>
              <w:rPr>
                <w:rFonts w:ascii="Arial" w:hAnsi="Arial" w:cs="Arial"/>
                <w:lang w:val="en-AU"/>
              </w:rPr>
            </w:pPr>
            <w:r>
              <w:rPr>
                <w:rFonts w:ascii="Arial" w:hAnsi="Arial" w:cs="Arial"/>
                <w:lang w:val="en-AU"/>
              </w:rPr>
              <w:t>56/207 (27.1%)</w:t>
            </w:r>
          </w:p>
        </w:tc>
        <w:tc>
          <w:tcPr>
            <w:tcW w:w="1620" w:type="dxa"/>
          </w:tcPr>
          <w:p w:rsidR="00E44F87" w:rsidRDefault="00E44F87">
            <w:pPr>
              <w:pStyle w:val="TableText9Point"/>
              <w:jc w:val="center"/>
              <w:rPr>
                <w:rFonts w:ascii="Arial" w:hAnsi="Arial" w:cs="Arial"/>
                <w:lang w:val="en-AU"/>
              </w:rPr>
            </w:pPr>
            <w:r>
              <w:rPr>
                <w:rFonts w:ascii="Arial" w:hAnsi="Arial" w:cs="Arial"/>
                <w:lang w:val="en-AU"/>
              </w:rPr>
              <w:t>22/200 (11%)</w:t>
            </w:r>
          </w:p>
        </w:tc>
        <w:tc>
          <w:tcPr>
            <w:tcW w:w="2340" w:type="dxa"/>
          </w:tcPr>
          <w:p w:rsidR="00E44F87" w:rsidRDefault="00E44F87">
            <w:pPr>
              <w:pStyle w:val="TableText9Point"/>
              <w:jc w:val="center"/>
              <w:rPr>
                <w:rFonts w:ascii="Arial" w:hAnsi="Arial" w:cs="Arial"/>
                <w:lang w:val="en-AU"/>
              </w:rPr>
            </w:pPr>
            <w:r>
              <w:rPr>
                <w:rFonts w:ascii="Arial" w:hAnsi="Arial" w:cs="Arial"/>
                <w:lang w:val="en-AU"/>
              </w:rPr>
              <w:t>40/207 (19.3%)</w:t>
            </w:r>
          </w:p>
        </w:tc>
        <w:tc>
          <w:tcPr>
            <w:tcW w:w="1980" w:type="dxa"/>
          </w:tcPr>
          <w:p w:rsidR="00E44F87" w:rsidRDefault="00E44F87">
            <w:pPr>
              <w:pStyle w:val="TableText9Point"/>
              <w:jc w:val="center"/>
              <w:rPr>
                <w:rFonts w:ascii="Arial" w:hAnsi="Arial" w:cs="Arial"/>
                <w:lang w:val="en-AU"/>
              </w:rPr>
            </w:pPr>
            <w:r>
              <w:rPr>
                <w:rFonts w:ascii="Arial" w:hAnsi="Arial" w:cs="Arial"/>
                <w:lang w:val="en-AU"/>
              </w:rPr>
              <w:t>69/103 (67.0%)</w:t>
            </w:r>
          </w:p>
        </w:tc>
      </w:tr>
    </w:tbl>
    <w:p w:rsidR="00E44F87" w:rsidRDefault="00E44F87">
      <w:pPr>
        <w:pStyle w:val="BodyText"/>
        <w:jc w:val="both"/>
      </w:pPr>
    </w:p>
    <w:p w:rsidR="00E44F87" w:rsidRDefault="00E44F87">
      <w:pPr>
        <w:pStyle w:val="BodyText"/>
        <w:jc w:val="both"/>
        <w:rPr>
          <w:color w:val="0000FF"/>
          <w:u w:val="single"/>
        </w:rPr>
      </w:pPr>
      <w:r>
        <w:t xml:space="preserve">At Year 2, 94/207 (45.4%) of patients who originally entered the study achieved a –0.5 reduction in HAQ. </w:t>
      </w:r>
      <w:r>
        <w:rPr>
          <w:color w:val="0000FF"/>
          <w:u w:val="single"/>
        </w:rPr>
        <w:t xml:space="preserve"> </w:t>
      </w:r>
      <w:r>
        <w:t>79.5% (115/195) of the patients who achieved a reduction in HAQ of –0.5 at the end of one year of Humira treatment maintained this response over 5 years of active treatment.</w:t>
      </w:r>
    </w:p>
    <w:p w:rsidR="00E44F87" w:rsidRDefault="00E44F87">
      <w:pPr>
        <w:pStyle w:val="BodyText"/>
        <w:jc w:val="both"/>
      </w:pPr>
    </w:p>
    <w:p w:rsidR="00E44F87" w:rsidRDefault="00E44F87">
      <w:pPr>
        <w:pStyle w:val="BodyText"/>
        <w:jc w:val="both"/>
        <w:rPr>
          <w:b/>
          <w:bCs/>
          <w:i/>
          <w:iCs/>
        </w:rPr>
      </w:pPr>
      <w:r>
        <w:rPr>
          <w:b/>
          <w:bCs/>
          <w:i/>
          <w:iCs/>
        </w:rPr>
        <w:t>Quality of Life</w:t>
      </w:r>
    </w:p>
    <w:p w:rsidR="00E44F87" w:rsidRDefault="00E44F87">
      <w:pPr>
        <w:pStyle w:val="BodyText"/>
        <w:jc w:val="both"/>
      </w:pPr>
    </w:p>
    <w:p w:rsidR="00E44F87" w:rsidRDefault="00E44F87">
      <w:pPr>
        <w:pStyle w:val="BodyText"/>
        <w:jc w:val="both"/>
      </w:pPr>
      <w:r>
        <w:t>Results from the Short Form Health Survey (SF-36) for all doses/schedules of Humira in all four studies support these findings, with statistically significant Physical Component Summary (PCS) scores, as well as statistically significant pain and vitality domain scores for the 40 mg fortnightly dose.  A statistically significant decrease in fatigue as measured by Functional Assessment of Chronic Illness Therapy (FACIT) scores was seen in all three studies in which it was assessed (RA Studies I, III, IV).  Improvement in SF-36 was measured up to Week 156 (3 years) and improvement was maintained through this time.</w:t>
      </w:r>
    </w:p>
    <w:p w:rsidR="00E44F87" w:rsidRDefault="00E44F87">
      <w:pPr>
        <w:pStyle w:val="BodyText"/>
        <w:jc w:val="both"/>
      </w:pP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 xml:space="preserve">In </w:t>
      </w:r>
      <w:r>
        <w:rPr>
          <w:rFonts w:ascii="Arial" w:hAnsi="Arial"/>
          <w:sz w:val="20"/>
        </w:rPr>
        <w:t>RA</w:t>
      </w:r>
      <w:r>
        <w:rPr>
          <w:rFonts w:ascii="Arial" w:hAnsi="Arial" w:cs="Arial"/>
          <w:sz w:val="20"/>
          <w:szCs w:val="22"/>
        </w:rPr>
        <w:t xml:space="preserve"> Study V, the active-comparator controlled study in early rheumatoid arthritis, the improvement in the HAQ disability index and the physical component of the SF-36 showed greater improvement (p&lt;0.001) for Humira/methotrexate combination therapy versus methotrexate monotherapy at Week 52, which was maintained through Week 104.</w:t>
      </w:r>
    </w:p>
    <w:p w:rsidR="00E44F87" w:rsidRDefault="00E44F87">
      <w:pPr>
        <w:autoSpaceDE w:val="0"/>
        <w:autoSpaceDN w:val="0"/>
        <w:adjustRightInd w:val="0"/>
        <w:jc w:val="both"/>
        <w:rPr>
          <w:rFonts w:ascii="Arial" w:hAnsi="Arial" w:cs="Arial"/>
          <w:sz w:val="20"/>
          <w:szCs w:val="22"/>
        </w:rPr>
      </w:pPr>
    </w:p>
    <w:p w:rsidR="00E44F87" w:rsidRDefault="00E44F87">
      <w:pPr>
        <w:pStyle w:val="BodyText3"/>
        <w:jc w:val="both"/>
        <w:rPr>
          <w:i/>
          <w:iCs/>
          <w:sz w:val="20"/>
          <w:u w:val="none"/>
        </w:rPr>
      </w:pPr>
      <w:r>
        <w:rPr>
          <w:rFonts w:ascii="Arial" w:hAnsi="Arial" w:cs="Arial"/>
          <w:b/>
          <w:bCs/>
          <w:strike w:val="0"/>
          <w:sz w:val="20"/>
          <w:u w:val="none"/>
        </w:rPr>
        <w:t xml:space="preserve">CLINICAL TRIALS FOR POLYARTICULAR JUVENILE IDIOPATHIC ARTHRITIS </w:t>
      </w:r>
    </w:p>
    <w:p w:rsidR="00E44F87" w:rsidRDefault="00E44F87">
      <w:pPr>
        <w:pStyle w:val="BodyText3"/>
        <w:jc w:val="both"/>
        <w:rPr>
          <w:sz w:val="20"/>
          <w:u w:val="none"/>
        </w:rPr>
      </w:pPr>
    </w:p>
    <w:p w:rsidR="00E44F87" w:rsidRDefault="00E44F87">
      <w:pPr>
        <w:pStyle w:val="first"/>
        <w:spacing w:before="0" w:line="240" w:lineRule="atLeast"/>
        <w:jc w:val="both"/>
        <w:rPr>
          <w:rFonts w:ascii="Arial" w:eastAsia="Times New Roman" w:hAnsi="Arial" w:cs="Times New Roman"/>
          <w:sz w:val="20"/>
          <w:szCs w:val="22"/>
          <w:lang w:val="en-AU"/>
        </w:rPr>
      </w:pPr>
      <w:r>
        <w:rPr>
          <w:rFonts w:ascii="Arial" w:eastAsia="Times New Roman" w:hAnsi="Arial" w:cs="Times New Roman"/>
          <w:sz w:val="20"/>
          <w:szCs w:val="22"/>
          <w:lang w:val="en-AU"/>
        </w:rPr>
        <w:t xml:space="preserve">The safety and efficacy of Humira were assessed in a multi-centre, randomised, withdrawal, double blind, parallel-group study in 171 children (4 to 17 years of age) with polyarticular juvenile idiopathic arthritis (JIA). In the study, the patients were stratified into two groups: MTX-treated or non-MTX-treated. All subjects had to show signs of active moderate or severe disease despite previous treatment with NSAIDs, analgesics, corticosteroids, or DMARDs. Subjects who received prior treatment with any biologic DMARDs were excluded from the study. </w:t>
      </w:r>
    </w:p>
    <w:p w:rsidR="00E44F87" w:rsidRDefault="00E44F87">
      <w:pPr>
        <w:pStyle w:val="NormalWeb"/>
        <w:spacing w:before="0" w:line="240" w:lineRule="atLeast"/>
        <w:jc w:val="both"/>
        <w:rPr>
          <w:rFonts w:ascii="Arial" w:eastAsia="Times New Roman" w:hAnsi="Arial" w:cs="Times New Roman"/>
          <w:sz w:val="20"/>
          <w:szCs w:val="22"/>
          <w:lang w:val="en-AU"/>
        </w:rPr>
      </w:pPr>
    </w:p>
    <w:p w:rsidR="00E44F87" w:rsidRDefault="00E44F87">
      <w:pPr>
        <w:pStyle w:val="NormalWeb"/>
        <w:spacing w:before="0" w:line="240" w:lineRule="atLeast"/>
        <w:jc w:val="both"/>
        <w:rPr>
          <w:rFonts w:ascii="Arial" w:eastAsia="Times New Roman" w:hAnsi="Arial" w:cs="Times New Roman"/>
          <w:sz w:val="20"/>
          <w:szCs w:val="22"/>
          <w:lang w:val="en-AU"/>
        </w:rPr>
      </w:pPr>
      <w:r>
        <w:rPr>
          <w:rFonts w:ascii="Arial" w:eastAsia="Times New Roman" w:hAnsi="Arial" w:cs="Times New Roman"/>
          <w:sz w:val="20"/>
          <w:szCs w:val="22"/>
          <w:lang w:val="en-AU"/>
        </w:rPr>
        <w:t>The study included four phases: an open-label lead in phase (OL-LI; 16 weeks), a double-blind randomized withdrawal phase (DB; 32 weeks), an open-label extension phase (OLE-BSA; up to 136 weeks), and an open-label fixed dose phase (OLE-FD; 16 weeks). In the first three phases of the study, Humira was administered based on body surface area at a dose of 24 mg/m</w:t>
      </w:r>
      <w:r>
        <w:rPr>
          <w:rFonts w:ascii="Arial" w:eastAsia="Times New Roman" w:hAnsi="Arial" w:cs="Times New Roman"/>
          <w:sz w:val="20"/>
          <w:szCs w:val="22"/>
          <w:vertAlign w:val="superscript"/>
          <w:lang w:val="en-AU"/>
        </w:rPr>
        <w:t>2</w:t>
      </w:r>
      <w:r>
        <w:rPr>
          <w:rFonts w:ascii="Arial" w:eastAsia="Times New Roman" w:hAnsi="Arial" w:cs="Times New Roman"/>
          <w:sz w:val="20"/>
          <w:szCs w:val="22"/>
          <w:lang w:val="en-AU"/>
        </w:rPr>
        <w:t xml:space="preserve"> up to a maximum total body dose of 40 mg subcutaneously (SC) fortnightly. In the OLE-FD phase, the patients were treated with 20 mg of Humira SC fortnightly if their weight was less than 30 kg and with 40 mg of Humira SC fortnightly if their weight was 30 kg or greater. Patients remained on stable doses of NSAIDs and or prednisone (</w:t>
      </w:r>
      <w:r>
        <w:rPr>
          <w:rFonts w:ascii="Arial" w:eastAsia="Times New Roman" w:hAnsi="Arial" w:cs="Times New Roman" w:hint="eastAsia"/>
          <w:sz w:val="20"/>
          <w:szCs w:val="22"/>
          <w:lang w:val="en-AU"/>
        </w:rPr>
        <w:t>≤</w:t>
      </w:r>
      <w:r>
        <w:rPr>
          <w:rFonts w:ascii="Arial" w:eastAsia="Times New Roman" w:hAnsi="Arial" w:cs="Times New Roman"/>
          <w:sz w:val="20"/>
          <w:szCs w:val="22"/>
          <w:lang w:val="en-AU"/>
        </w:rPr>
        <w:t xml:space="preserve">0.2 mg/kg/day or 10 mg/day maximum). </w:t>
      </w:r>
    </w:p>
    <w:p w:rsidR="00E44F87" w:rsidRDefault="00E44F87">
      <w:pPr>
        <w:pStyle w:val="NormalWeb"/>
        <w:spacing w:before="0" w:line="240" w:lineRule="atLeast"/>
        <w:jc w:val="both"/>
        <w:rPr>
          <w:rFonts w:ascii="Arial" w:eastAsia="Times New Roman" w:hAnsi="Arial" w:cs="Times New Roman"/>
          <w:sz w:val="20"/>
          <w:szCs w:val="22"/>
          <w:lang w:val="en-AU"/>
        </w:rPr>
      </w:pPr>
    </w:p>
    <w:p w:rsidR="00E44F87" w:rsidRDefault="00E44F87">
      <w:pPr>
        <w:pStyle w:val="NormalWeb"/>
        <w:spacing w:before="0" w:line="240" w:lineRule="atLeast"/>
        <w:jc w:val="both"/>
        <w:rPr>
          <w:rFonts w:ascii="Arial" w:eastAsia="Times New Roman" w:hAnsi="Arial" w:cs="Times New Roman"/>
          <w:sz w:val="20"/>
          <w:szCs w:val="22"/>
          <w:lang w:val="en-AU"/>
        </w:rPr>
      </w:pPr>
      <w:r>
        <w:rPr>
          <w:rFonts w:ascii="Arial" w:eastAsia="Times New Roman" w:hAnsi="Arial" w:cs="Times New Roman"/>
          <w:sz w:val="20"/>
          <w:szCs w:val="22"/>
          <w:lang w:val="en-AU"/>
        </w:rPr>
        <w:t xml:space="preserve">Patients demonstrating a Paediatric ACR 30 response at the end of OL-LI phase were randomized into the double blind (DB) phase of the study and received either Humira or placebo fortnightly for 32 weeks or until disease flare. Disease flare was defined as a worsening of </w:t>
      </w:r>
      <w:r>
        <w:rPr>
          <w:rFonts w:ascii="Arial" w:eastAsia="Times New Roman" w:hAnsi="Arial" w:cs="Times New Roman" w:hint="eastAsia"/>
          <w:sz w:val="20"/>
          <w:szCs w:val="22"/>
          <w:lang w:val="en-AU"/>
        </w:rPr>
        <w:t>≥</w:t>
      </w:r>
      <w:r>
        <w:rPr>
          <w:rFonts w:ascii="Arial" w:eastAsia="Times New Roman" w:hAnsi="Arial" w:cs="Times New Roman"/>
          <w:sz w:val="20"/>
          <w:szCs w:val="22"/>
          <w:lang w:val="en-AU"/>
        </w:rPr>
        <w:t xml:space="preserve">30% from baseline in </w:t>
      </w:r>
      <w:r>
        <w:rPr>
          <w:rFonts w:ascii="Arial" w:eastAsia="Times New Roman" w:hAnsi="Arial" w:cs="Times New Roman" w:hint="eastAsia"/>
          <w:sz w:val="20"/>
          <w:szCs w:val="22"/>
          <w:lang w:val="en-AU"/>
        </w:rPr>
        <w:t>≥</w:t>
      </w:r>
      <w:r>
        <w:rPr>
          <w:rFonts w:ascii="Arial" w:eastAsia="Times New Roman" w:hAnsi="Arial" w:cs="Times New Roman"/>
          <w:sz w:val="20"/>
          <w:szCs w:val="22"/>
          <w:lang w:val="en-AU"/>
        </w:rPr>
        <w:t xml:space="preserve">3 of 6 Paediatric ACR core criteria, </w:t>
      </w:r>
      <w:r>
        <w:rPr>
          <w:rFonts w:ascii="Arial" w:eastAsia="Times New Roman" w:hAnsi="Arial" w:cs="Times New Roman" w:hint="eastAsia"/>
          <w:sz w:val="20"/>
          <w:szCs w:val="22"/>
          <w:lang w:val="en-AU"/>
        </w:rPr>
        <w:t>≥</w:t>
      </w:r>
      <w:r>
        <w:rPr>
          <w:rFonts w:ascii="Arial" w:eastAsia="Times New Roman" w:hAnsi="Arial" w:cs="Times New Roman"/>
          <w:sz w:val="20"/>
          <w:szCs w:val="22"/>
          <w:lang w:val="en-AU"/>
        </w:rPr>
        <w:t xml:space="preserve">2 active joints, and improvement of &gt;30% in no more than 1 of the 6 criteria. After 32 weeks or at the </w:t>
      </w:r>
      <w:r>
        <w:rPr>
          <w:rFonts w:ascii="Arial" w:eastAsia="Times New Roman" w:hAnsi="Arial" w:cs="Times New Roman"/>
          <w:sz w:val="20"/>
          <w:szCs w:val="22"/>
          <w:lang w:val="en-AU"/>
        </w:rPr>
        <w:lastRenderedPageBreak/>
        <w:t xml:space="preserve">time of disease flare during the DB phase, patients were treated in the open-label extension phase based on the BSA regimen (OLE-BSA), before converting to a fixed dose regimen based on body weight (OLE-FD phase). </w:t>
      </w:r>
    </w:p>
    <w:p w:rsidR="00E44F87" w:rsidRDefault="00E44F87">
      <w:pPr>
        <w:pStyle w:val="NormalWeb"/>
        <w:spacing w:before="0" w:line="240" w:lineRule="atLeast"/>
        <w:jc w:val="both"/>
        <w:rPr>
          <w:rFonts w:ascii="Arial" w:eastAsia="Times New Roman" w:hAnsi="Arial" w:cs="Times New Roman"/>
          <w:sz w:val="20"/>
          <w:szCs w:val="22"/>
          <w:lang w:val="en-AU"/>
        </w:rPr>
      </w:pPr>
    </w:p>
    <w:p w:rsidR="00E44F87" w:rsidRDefault="00E44F87">
      <w:pPr>
        <w:pStyle w:val="NormalWeb"/>
        <w:spacing w:before="0" w:line="240" w:lineRule="atLeast"/>
        <w:jc w:val="both"/>
        <w:rPr>
          <w:rFonts w:ascii="Arial" w:eastAsia="Times New Roman" w:hAnsi="Arial" w:cs="Times New Roman"/>
          <w:sz w:val="20"/>
          <w:szCs w:val="22"/>
          <w:u w:val="single"/>
          <w:lang w:val="en-AU"/>
        </w:rPr>
      </w:pPr>
      <w:r>
        <w:rPr>
          <w:rFonts w:ascii="Arial" w:eastAsia="Times New Roman" w:hAnsi="Arial" w:cs="Times New Roman"/>
          <w:sz w:val="20"/>
          <w:szCs w:val="22"/>
          <w:u w:val="single"/>
          <w:lang w:val="en-AU"/>
        </w:rPr>
        <w:t>Clinical Response</w:t>
      </w:r>
    </w:p>
    <w:p w:rsidR="00E44F87" w:rsidRDefault="00E44F87">
      <w:pPr>
        <w:autoSpaceDE w:val="0"/>
        <w:autoSpaceDN w:val="0"/>
        <w:adjustRightInd w:val="0"/>
        <w:jc w:val="both"/>
        <w:rPr>
          <w:rFonts w:ascii="Arial" w:hAnsi="Arial" w:cs="Arial"/>
          <w:sz w:val="20"/>
          <w:szCs w:val="22"/>
        </w:rPr>
      </w:pPr>
      <w:r>
        <w:rPr>
          <w:rFonts w:ascii="Arial" w:hAnsi="Arial"/>
          <w:sz w:val="20"/>
          <w:szCs w:val="22"/>
        </w:rPr>
        <w:t xml:space="preserve">At the end of the 16-week OL-LI phase, 94% of the patients in the MTX stratum and 74% of the patients in the non-MTX stratum were Paediatric ACR 30 responders. In the DB phase significantly fewer patients who received Humira experienced disease flare compared to placebo, both without MTX (43% </w:t>
      </w:r>
      <w:r>
        <w:rPr>
          <w:rFonts w:ascii="Arial" w:hAnsi="Arial"/>
          <w:i/>
          <w:iCs/>
          <w:sz w:val="20"/>
          <w:szCs w:val="22"/>
        </w:rPr>
        <w:t>vs.</w:t>
      </w:r>
      <w:r>
        <w:rPr>
          <w:rFonts w:ascii="Arial" w:hAnsi="Arial"/>
          <w:sz w:val="20"/>
          <w:szCs w:val="22"/>
        </w:rPr>
        <w:t xml:space="preserve"> 71%) and with MTX (37%</w:t>
      </w:r>
      <w:r>
        <w:rPr>
          <w:rFonts w:ascii="Arial" w:hAnsi="Arial"/>
          <w:i/>
          <w:iCs/>
          <w:sz w:val="20"/>
          <w:szCs w:val="22"/>
        </w:rPr>
        <w:t xml:space="preserve"> vs.</w:t>
      </w:r>
      <w:r>
        <w:rPr>
          <w:rFonts w:ascii="Arial" w:hAnsi="Arial"/>
          <w:sz w:val="20"/>
          <w:szCs w:val="22"/>
        </w:rPr>
        <w:t xml:space="preserve"> 65%). More patients treated with Humira continued to show paediatric ACR 30/50/70 responses at Week 48 compared to patients treated with placebo. </w:t>
      </w:r>
      <w:r>
        <w:rPr>
          <w:rFonts w:ascii="Arial" w:hAnsi="Arial" w:cs="Arial"/>
          <w:sz w:val="20"/>
          <w:szCs w:val="22"/>
          <w:lang w:val="en-US"/>
        </w:rPr>
        <w:t>Overall responses were generally better and, fewer patients developed antibodies when treated with the combination of Humira and MTX compared to Humira alone.</w:t>
      </w:r>
    </w:p>
    <w:p w:rsidR="00E44F87" w:rsidRDefault="00E44F87">
      <w:pPr>
        <w:autoSpaceDE w:val="0"/>
        <w:autoSpaceDN w:val="0"/>
        <w:adjustRightInd w:val="0"/>
        <w:jc w:val="both"/>
        <w:rPr>
          <w:rFonts w:ascii="Arial" w:hAnsi="Arial"/>
          <w:sz w:val="20"/>
          <w:szCs w:val="22"/>
        </w:rPr>
      </w:pPr>
    </w:p>
    <w:p w:rsidR="00E44F87" w:rsidRDefault="00E44F87">
      <w:pPr>
        <w:autoSpaceDE w:val="0"/>
        <w:autoSpaceDN w:val="0"/>
        <w:adjustRightInd w:val="0"/>
        <w:jc w:val="both"/>
        <w:rPr>
          <w:rFonts w:ascii="Arial" w:hAnsi="Arial"/>
          <w:sz w:val="20"/>
          <w:szCs w:val="22"/>
        </w:rPr>
      </w:pPr>
      <w:r>
        <w:rPr>
          <w:rFonts w:ascii="Arial" w:hAnsi="Arial"/>
          <w:sz w:val="20"/>
          <w:szCs w:val="22"/>
        </w:rPr>
        <w:t>Paediatric ACR responses were maintained for up to two years in the OLE phase in patients who received Humira throughout the study.</w:t>
      </w:r>
    </w:p>
    <w:p w:rsidR="00E44F87" w:rsidRDefault="00E44F87">
      <w:pPr>
        <w:autoSpaceDE w:val="0"/>
        <w:autoSpaceDN w:val="0"/>
        <w:adjustRightInd w:val="0"/>
        <w:jc w:val="both"/>
        <w:rPr>
          <w:rFonts w:ascii="Arial" w:hAnsi="Arial"/>
          <w:sz w:val="20"/>
          <w:szCs w:val="22"/>
        </w:rPr>
      </w:pPr>
    </w:p>
    <w:p w:rsidR="00E44F87" w:rsidRDefault="00E44F87">
      <w:pPr>
        <w:autoSpaceDE w:val="0"/>
        <w:autoSpaceDN w:val="0"/>
        <w:adjustRightInd w:val="0"/>
        <w:jc w:val="both"/>
        <w:rPr>
          <w:rFonts w:ascii="Arial" w:hAnsi="Arial" w:cs="Arial"/>
          <w:sz w:val="20"/>
          <w:szCs w:val="22"/>
          <w:lang w:val="en-US"/>
        </w:rPr>
      </w:pPr>
      <w:r>
        <w:rPr>
          <w:rFonts w:ascii="Arial" w:hAnsi="Arial" w:cs="Arial"/>
          <w:sz w:val="20"/>
          <w:szCs w:val="22"/>
          <w:lang w:val="en-US"/>
        </w:rPr>
        <w:t>The long term effects of Humira on the growth and development of children have not been studied.</w:t>
      </w:r>
    </w:p>
    <w:p w:rsidR="00E44F87" w:rsidRDefault="00E44F87">
      <w:pPr>
        <w:pStyle w:val="BodyText3"/>
        <w:jc w:val="both"/>
        <w:rPr>
          <w:rFonts w:ascii="Arial" w:hAnsi="Arial" w:cs="Arial"/>
          <w:strike w:val="0"/>
          <w:sz w:val="20"/>
          <w:u w:val="none"/>
        </w:rPr>
      </w:pPr>
    </w:p>
    <w:p w:rsidR="00E44F87" w:rsidRPr="00A868ED" w:rsidRDefault="00E44F87">
      <w:pPr>
        <w:pStyle w:val="Heading3"/>
        <w:autoSpaceDE/>
        <w:autoSpaceDN/>
        <w:adjustRightInd/>
        <w:rPr>
          <w:szCs w:val="24"/>
          <w:u w:val="none"/>
        </w:rPr>
      </w:pPr>
      <w:r w:rsidRPr="00A868ED">
        <w:rPr>
          <w:szCs w:val="24"/>
          <w:u w:val="none"/>
        </w:rPr>
        <w:t>CLINICAL TRIALS FOR PSORIATIC ARTHRITIS</w:t>
      </w:r>
    </w:p>
    <w:p w:rsidR="00E44F87" w:rsidRDefault="00E44F87">
      <w:pPr>
        <w:autoSpaceDE w:val="0"/>
        <w:autoSpaceDN w:val="0"/>
        <w:adjustRightInd w:val="0"/>
        <w:rPr>
          <w:rFonts w:ascii="Arial,Bold" w:hAnsi="Arial,Bold"/>
          <w:b/>
          <w:bCs/>
          <w:sz w:val="20"/>
          <w:szCs w:val="22"/>
        </w:rPr>
      </w:pP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 xml:space="preserve">Humira, 40 mg fortnightly, was studied in patients with moderately to severely active psoriatic arthritis in two placebo-controlled studies, PsA Studies I (M02-518) and II (M02-570).  PsA Study I with 24-week duration, treated 313 adult patients who had an inadequate response to non-steroidal anti-inflammatory drug therapy and of these, approximately 50% were taking methotrexate.  PsA Study II with 12-week </w:t>
      </w:r>
      <w:proofErr w:type="gramStart"/>
      <w:r>
        <w:rPr>
          <w:rFonts w:ascii="Arial" w:hAnsi="Arial" w:cs="Arial"/>
          <w:sz w:val="20"/>
          <w:szCs w:val="22"/>
        </w:rPr>
        <w:t>duration,</w:t>
      </w:r>
      <w:proofErr w:type="gramEnd"/>
      <w:r>
        <w:rPr>
          <w:rFonts w:ascii="Arial" w:hAnsi="Arial" w:cs="Arial"/>
          <w:sz w:val="20"/>
          <w:szCs w:val="22"/>
        </w:rPr>
        <w:t xml:space="preserve"> treated 100 patients who had an inadequate response to DMARD therapy. Upon completion of both studies, 383 patients enrolled in an open-label extension study, in which 40mg Humira was administered fortnightly.</w:t>
      </w:r>
    </w:p>
    <w:p w:rsidR="00E44F87" w:rsidRDefault="00E44F87">
      <w:pPr>
        <w:autoSpaceDE w:val="0"/>
        <w:autoSpaceDN w:val="0"/>
        <w:adjustRightInd w:val="0"/>
        <w:rPr>
          <w:rFonts w:ascii="Arial,Bold" w:hAnsi="Arial,Bold"/>
          <w:b/>
          <w:bCs/>
          <w:sz w:val="20"/>
          <w:szCs w:val="22"/>
          <w:highlight w:val="yellow"/>
        </w:rPr>
      </w:pPr>
    </w:p>
    <w:p w:rsidR="00E44F87" w:rsidRDefault="00E44F87">
      <w:pPr>
        <w:pStyle w:val="Heading7"/>
      </w:pPr>
      <w:r>
        <w:t>ACR and PASI response</w:t>
      </w: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Humira was superior to placebo in all measures of disease activity (p &lt; 0.001) as shown in Table 8 and 9. Among patients with psoriatic arthritis who received Humira, the clinical responses were apparent at the time of the first visit (2 weeks), significant at 12 weeks and were maintained through 24 weeks of therapy. Patients with a psoriasis involvement of at least 3% Body Surface Areas (BSA) were evaluated for Psoriatic Area and Severity Index (PASI) response. In these patients the skin lesions of psoriasis were improved with Humira, relative to placebo, as measured by PASI. Responses were similar with and without concomitant methotrexate therapy. ACR responses were maintained in the open-label extension study for up to 136 weeks.</w:t>
      </w:r>
    </w:p>
    <w:p w:rsidR="00E44F87" w:rsidRDefault="00E44F87">
      <w:pPr>
        <w:autoSpaceDE w:val="0"/>
        <w:autoSpaceDN w:val="0"/>
        <w:adjustRightInd w:val="0"/>
        <w:jc w:val="both"/>
        <w:rPr>
          <w:rFonts w:ascii="Arial" w:hAnsi="Arial" w:cs="Arial"/>
          <w:sz w:val="20"/>
          <w:szCs w:val="22"/>
        </w:rPr>
      </w:pPr>
    </w:p>
    <w:p w:rsidR="00E44F87" w:rsidRDefault="00E44F87">
      <w:pPr>
        <w:autoSpaceDE w:val="0"/>
        <w:autoSpaceDN w:val="0"/>
        <w:adjustRightInd w:val="0"/>
        <w:jc w:val="both"/>
        <w:rPr>
          <w:rFonts w:ascii="Arial" w:hAnsi="Arial" w:cs="Arial"/>
          <w:sz w:val="20"/>
          <w:szCs w:val="22"/>
        </w:rPr>
      </w:pPr>
    </w:p>
    <w:p w:rsidR="00E44F87" w:rsidRDefault="00E44F87">
      <w:pPr>
        <w:autoSpaceDE w:val="0"/>
        <w:autoSpaceDN w:val="0"/>
        <w:adjustRightInd w:val="0"/>
        <w:rPr>
          <w:rFonts w:ascii="Arial,Bold" w:hAnsi="Arial,Bold"/>
          <w:sz w:val="20"/>
          <w:szCs w:val="20"/>
        </w:rPr>
      </w:pPr>
    </w:p>
    <w:tbl>
      <w:tblPr>
        <w:tblW w:w="5991" w:type="dxa"/>
        <w:jc w:val="center"/>
        <w:tblInd w:w="-668" w:type="dxa"/>
        <w:tblCellMar>
          <w:left w:w="0" w:type="dxa"/>
          <w:right w:w="0" w:type="dxa"/>
        </w:tblCellMar>
        <w:tblLook w:val="0000" w:firstRow="0" w:lastRow="0" w:firstColumn="0" w:lastColumn="0" w:noHBand="0" w:noVBand="0"/>
      </w:tblPr>
      <w:tblGrid>
        <w:gridCol w:w="2180"/>
        <w:gridCol w:w="1660"/>
        <w:gridCol w:w="2151"/>
      </w:tblGrid>
      <w:tr w:rsidR="00E44F87">
        <w:trPr>
          <w:cantSplit/>
          <w:trHeight w:val="510"/>
          <w:jc w:val="center"/>
        </w:trPr>
        <w:tc>
          <w:tcPr>
            <w:tcW w:w="5991" w:type="dxa"/>
            <w:gridSpan w:val="3"/>
            <w:tcBorders>
              <w:top w:val="single" w:sz="4" w:space="0" w:color="000000"/>
              <w:bottom w:val="single" w:sz="4" w:space="0" w:color="000000"/>
            </w:tcBorders>
            <w:noWrap/>
            <w:tcMar>
              <w:top w:w="15" w:type="dxa"/>
              <w:left w:w="15" w:type="dxa"/>
              <w:bottom w:w="0" w:type="dxa"/>
              <w:right w:w="15" w:type="dxa"/>
            </w:tcMar>
            <w:vAlign w:val="center"/>
          </w:tcPr>
          <w:p w:rsidR="00E44F87" w:rsidRDefault="00E44F87">
            <w:pPr>
              <w:pStyle w:val="CommentText"/>
              <w:ind w:left="1181" w:hanging="1181"/>
              <w:rPr>
                <w:rFonts w:ascii="Arial" w:hAnsi="Arial" w:cs="Arial"/>
                <w:b/>
                <w:bCs/>
              </w:rPr>
            </w:pPr>
            <w:r>
              <w:rPr>
                <w:rFonts w:ascii="Arial" w:hAnsi="Arial" w:cs="Arial"/>
                <w:b/>
                <w:bCs/>
              </w:rPr>
              <w:t>Table 8:</w:t>
            </w:r>
            <w:r>
              <w:rPr>
                <w:rFonts w:ascii="Arial" w:hAnsi="Arial" w:cs="Arial"/>
                <w:b/>
                <w:bCs/>
              </w:rPr>
              <w:tab/>
              <w:t>ACR and PASI Response in Placebo-Controlled Psoriatic Arthritis Study (Percent of Patients)</w:t>
            </w:r>
          </w:p>
        </w:tc>
      </w:tr>
      <w:tr w:rsidR="00E44F87">
        <w:trPr>
          <w:trHeight w:val="510"/>
          <w:jc w:val="center"/>
        </w:trPr>
        <w:tc>
          <w:tcPr>
            <w:tcW w:w="2180" w:type="dxa"/>
            <w:tcBorders>
              <w:top w:val="single" w:sz="4" w:space="0" w:color="000000"/>
              <w:bottom w:val="single" w:sz="4" w:space="0" w:color="000000"/>
              <w:right w:val="single" w:sz="4" w:space="0" w:color="000000"/>
            </w:tcBorders>
            <w:noWrap/>
            <w:tcMar>
              <w:top w:w="15" w:type="dxa"/>
              <w:left w:w="15" w:type="dxa"/>
              <w:bottom w:w="0" w:type="dxa"/>
              <w:right w:w="15" w:type="dxa"/>
            </w:tcMar>
            <w:vAlign w:val="center"/>
          </w:tcPr>
          <w:p w:rsidR="00E44F87" w:rsidRDefault="00E44F87">
            <w:pPr>
              <w:rPr>
                <w:rFonts w:ascii="Arial" w:eastAsia="Arial Unicode MS" w:hAnsi="Arial" w:cs="Arial"/>
                <w:sz w:val="20"/>
                <w:szCs w:val="20"/>
              </w:rPr>
            </w:pPr>
            <w:r>
              <w:rPr>
                <w:rFonts w:ascii="Arial" w:hAnsi="Arial" w:cs="Arial"/>
                <w:sz w:val="20"/>
                <w:szCs w:val="20"/>
              </w:rPr>
              <w:t xml:space="preserve">Response* </w:t>
            </w:r>
          </w:p>
        </w:tc>
        <w:tc>
          <w:tcPr>
            <w:tcW w:w="1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Placebo           N=162</w:t>
            </w:r>
          </w:p>
        </w:tc>
        <w:tc>
          <w:tcPr>
            <w:tcW w:w="2151" w:type="dxa"/>
            <w:tcBorders>
              <w:top w:val="single" w:sz="4" w:space="0" w:color="000000"/>
              <w:left w:val="nil"/>
              <w:bottom w:val="single" w:sz="4" w:space="0" w:color="000000"/>
            </w:tcBorders>
            <w:tcMar>
              <w:top w:w="15" w:type="dxa"/>
              <w:left w:w="15" w:type="dxa"/>
              <w:bottom w:w="0" w:type="dxa"/>
              <w:right w:w="15" w:type="dxa"/>
            </w:tcMar>
            <w:vAlign w:val="bottom"/>
          </w:tcPr>
          <w:p w:rsidR="00E44F87" w:rsidRDefault="00E44F87">
            <w:pPr>
              <w:jc w:val="center"/>
              <w:rPr>
                <w:rFonts w:ascii="Arial" w:hAnsi="Arial" w:cs="Arial"/>
                <w:sz w:val="20"/>
                <w:szCs w:val="20"/>
              </w:rPr>
            </w:pPr>
            <w:r>
              <w:rPr>
                <w:rFonts w:ascii="Arial" w:hAnsi="Arial" w:cs="Arial"/>
                <w:sz w:val="20"/>
                <w:szCs w:val="20"/>
              </w:rPr>
              <w:t>Humira</w:t>
            </w:r>
          </w:p>
          <w:p w:rsidR="00E44F87" w:rsidRDefault="00E44F87">
            <w:pPr>
              <w:jc w:val="center"/>
              <w:rPr>
                <w:rFonts w:ascii="Arial" w:eastAsia="Arial Unicode MS" w:hAnsi="Arial" w:cs="Arial"/>
                <w:sz w:val="20"/>
                <w:szCs w:val="20"/>
              </w:rPr>
            </w:pPr>
            <w:r>
              <w:rPr>
                <w:rFonts w:ascii="Arial" w:hAnsi="Arial" w:cs="Arial"/>
                <w:sz w:val="20"/>
                <w:szCs w:val="20"/>
              </w:rPr>
              <w:t>N=151</w:t>
            </w: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rPr>
                <w:rFonts w:ascii="Arial" w:eastAsia="Arial Unicode MS" w:hAnsi="Arial" w:cs="Arial"/>
                <w:sz w:val="20"/>
                <w:szCs w:val="20"/>
              </w:rPr>
            </w:pPr>
            <w:r>
              <w:rPr>
                <w:rFonts w:ascii="Arial" w:hAnsi="Arial" w:cs="Arial"/>
                <w:sz w:val="20"/>
                <w:szCs w:val="20"/>
              </w:rPr>
              <w:t>ACR20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14%</w:t>
            </w: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58%</w:t>
            </w: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 xml:space="preserve">Week 24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15%</w:t>
            </w: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57%</w:t>
            </w: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rPr>
                <w:rFonts w:ascii="Arial" w:eastAsia="Arial Unicode MS" w:hAnsi="Arial" w:cs="Arial"/>
                <w:sz w:val="20"/>
                <w:szCs w:val="20"/>
              </w:rPr>
            </w:pPr>
            <w:r>
              <w:rPr>
                <w:rFonts w:ascii="Arial" w:hAnsi="Arial" w:cs="Arial"/>
                <w:sz w:val="20"/>
                <w:szCs w:val="20"/>
              </w:rPr>
              <w:t>ACR50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4%</w:t>
            </w: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36%</w:t>
            </w: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 xml:space="preserve">Week 24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6%</w:t>
            </w: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39%</w:t>
            </w: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rPr>
                <w:rFonts w:ascii="Arial" w:eastAsia="Arial Unicode MS" w:hAnsi="Arial" w:cs="Arial"/>
                <w:sz w:val="20"/>
                <w:szCs w:val="20"/>
              </w:rPr>
            </w:pPr>
            <w:r>
              <w:rPr>
                <w:rFonts w:ascii="Arial" w:hAnsi="Arial" w:cs="Arial"/>
                <w:sz w:val="20"/>
                <w:szCs w:val="20"/>
              </w:rPr>
              <w:t>ACR70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1%</w:t>
            </w: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20%</w:t>
            </w:r>
          </w:p>
        </w:tc>
      </w:tr>
      <w:tr w:rsidR="00E44F87">
        <w:trPr>
          <w:trHeight w:val="255"/>
          <w:jc w:val="center"/>
        </w:trPr>
        <w:tc>
          <w:tcPr>
            <w:tcW w:w="0" w:type="auto"/>
            <w:tcBorders>
              <w:top w:val="nil"/>
              <w:bottom w:val="single" w:sz="4" w:space="0" w:color="000000"/>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 xml:space="preserve">Week 24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1%</w:t>
            </w:r>
          </w:p>
        </w:tc>
        <w:tc>
          <w:tcPr>
            <w:tcW w:w="2151" w:type="dxa"/>
            <w:tcBorders>
              <w:top w:val="nil"/>
              <w:left w:val="nil"/>
              <w:bottom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23%</w:t>
            </w:r>
          </w:p>
        </w:tc>
      </w:tr>
      <w:tr w:rsidR="00E44F87">
        <w:trPr>
          <w:trHeight w:val="255"/>
          <w:jc w:val="center"/>
        </w:trPr>
        <w:tc>
          <w:tcPr>
            <w:tcW w:w="0" w:type="auto"/>
            <w:tcBorders>
              <w:top w:val="nil"/>
              <w:bottom w:val="single" w:sz="4" w:space="0" w:color="000000"/>
              <w:right w:val="single" w:sz="4" w:space="0" w:color="000000"/>
            </w:tcBorders>
            <w:noWrap/>
            <w:tcMar>
              <w:top w:w="15" w:type="dxa"/>
              <w:left w:w="15" w:type="dxa"/>
              <w:bottom w:w="0" w:type="dxa"/>
              <w:right w:w="15" w:type="dxa"/>
            </w:tcMar>
            <w:vAlign w:val="bottom"/>
          </w:tcPr>
          <w:p w:rsidR="00E44F87" w:rsidRDefault="00E44F87">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 xml:space="preserve">N=69 </w:t>
            </w:r>
          </w:p>
        </w:tc>
        <w:tc>
          <w:tcPr>
            <w:tcW w:w="2151" w:type="dxa"/>
            <w:tcBorders>
              <w:top w:val="nil"/>
              <w:left w:val="nil"/>
              <w:bottom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N=69</w:t>
            </w: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rPr>
                <w:rFonts w:ascii="Arial" w:eastAsia="Arial Unicode MS" w:hAnsi="Arial" w:cs="Arial"/>
                <w:sz w:val="20"/>
                <w:szCs w:val="20"/>
              </w:rPr>
            </w:pPr>
            <w:r>
              <w:rPr>
                <w:rFonts w:ascii="Arial" w:hAnsi="Arial" w:cs="Arial"/>
                <w:sz w:val="20"/>
                <w:szCs w:val="20"/>
              </w:rPr>
              <w:t>PASI 50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15%</w:t>
            </w: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72%</w:t>
            </w: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 xml:space="preserve">Week 24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12%</w:t>
            </w: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75%</w:t>
            </w: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rPr>
                <w:rFonts w:ascii="Arial" w:eastAsia="Arial Unicode MS" w:hAnsi="Arial" w:cs="Arial"/>
                <w:sz w:val="20"/>
                <w:szCs w:val="20"/>
              </w:rPr>
            </w:pPr>
            <w:r>
              <w:rPr>
                <w:rFonts w:ascii="Arial" w:hAnsi="Arial" w:cs="Arial"/>
                <w:sz w:val="20"/>
                <w:szCs w:val="20"/>
              </w:rPr>
              <w:t>PASI 75</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p>
        </w:tc>
      </w:tr>
      <w:tr w:rsidR="00E44F87">
        <w:trPr>
          <w:trHeight w:val="255"/>
          <w:jc w:val="center"/>
        </w:trPr>
        <w:tc>
          <w:tcPr>
            <w:tcW w:w="0" w:type="auto"/>
            <w:tcBorders>
              <w:top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lastRenderedPageBreak/>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4%</w:t>
            </w:r>
          </w:p>
        </w:tc>
        <w:tc>
          <w:tcPr>
            <w:tcW w:w="2151" w:type="dxa"/>
            <w:tcBorders>
              <w:top w:val="nil"/>
              <w:left w:val="nil"/>
              <w:bottom w:val="nil"/>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49%</w:t>
            </w:r>
          </w:p>
        </w:tc>
      </w:tr>
      <w:tr w:rsidR="00E44F87">
        <w:trPr>
          <w:trHeight w:val="255"/>
          <w:jc w:val="center"/>
        </w:trPr>
        <w:tc>
          <w:tcPr>
            <w:tcW w:w="0" w:type="auto"/>
            <w:tcBorders>
              <w:top w:val="nil"/>
              <w:bottom w:val="single" w:sz="4" w:space="0" w:color="000000"/>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 xml:space="preserve">Week 24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1%</w:t>
            </w:r>
          </w:p>
        </w:tc>
        <w:tc>
          <w:tcPr>
            <w:tcW w:w="2151" w:type="dxa"/>
            <w:tcBorders>
              <w:top w:val="nil"/>
              <w:left w:val="nil"/>
              <w:bottom w:val="single" w:sz="4" w:space="0" w:color="000000"/>
            </w:tcBorders>
            <w:noWrap/>
            <w:tcMar>
              <w:top w:w="15" w:type="dxa"/>
              <w:left w:w="15" w:type="dxa"/>
              <w:bottom w:w="0" w:type="dxa"/>
              <w:right w:w="15" w:type="dxa"/>
            </w:tcMar>
            <w:vAlign w:val="bottom"/>
          </w:tcPr>
          <w:p w:rsidR="00E44F87" w:rsidRDefault="00E44F87">
            <w:pPr>
              <w:jc w:val="center"/>
              <w:rPr>
                <w:rFonts w:ascii="Arial" w:eastAsia="Arial Unicode MS" w:hAnsi="Arial" w:cs="Arial"/>
                <w:sz w:val="20"/>
                <w:szCs w:val="20"/>
              </w:rPr>
            </w:pPr>
            <w:r>
              <w:rPr>
                <w:rFonts w:ascii="Arial" w:hAnsi="Arial" w:cs="Arial"/>
                <w:sz w:val="20"/>
                <w:szCs w:val="20"/>
              </w:rPr>
              <w:t>59%</w:t>
            </w:r>
          </w:p>
        </w:tc>
      </w:tr>
    </w:tbl>
    <w:p w:rsidR="00E44F87" w:rsidRDefault="00E44F87">
      <w:pPr>
        <w:autoSpaceDE w:val="0"/>
        <w:autoSpaceDN w:val="0"/>
        <w:adjustRightInd w:val="0"/>
        <w:ind w:left="1440" w:firstLine="360"/>
        <w:rPr>
          <w:rFonts w:ascii="Arial,Bold" w:hAnsi="Arial,Bold"/>
          <w:sz w:val="20"/>
          <w:szCs w:val="20"/>
        </w:rPr>
      </w:pPr>
    </w:p>
    <w:p w:rsidR="00E44F87" w:rsidRDefault="00E44F87">
      <w:pPr>
        <w:autoSpaceDE w:val="0"/>
        <w:autoSpaceDN w:val="0"/>
        <w:adjustRightInd w:val="0"/>
        <w:ind w:left="1440" w:firstLine="360"/>
        <w:rPr>
          <w:rFonts w:ascii="Arial,Bold" w:hAnsi="Arial,Bold"/>
          <w:sz w:val="20"/>
          <w:szCs w:val="20"/>
        </w:rPr>
      </w:pPr>
      <w:r>
        <w:rPr>
          <w:rFonts w:ascii="Arial,Bold" w:hAnsi="Arial,Bold"/>
          <w:sz w:val="20"/>
          <w:szCs w:val="20"/>
        </w:rPr>
        <w:t>*   p&lt;0.001 for all comparisons between Humira and placebo</w:t>
      </w:r>
    </w:p>
    <w:p w:rsidR="00E44F87" w:rsidRDefault="00E44F87">
      <w:pPr>
        <w:autoSpaceDE w:val="0"/>
        <w:autoSpaceDN w:val="0"/>
        <w:adjustRightInd w:val="0"/>
        <w:ind w:left="1440" w:firstLine="360"/>
        <w:rPr>
          <w:rFonts w:ascii="Arial,Bold" w:hAnsi="Arial,Bold"/>
          <w:sz w:val="18"/>
          <w:szCs w:val="20"/>
          <w:highlight w:val="cyan"/>
        </w:rPr>
      </w:pPr>
    </w:p>
    <w:p w:rsidR="00E44F87" w:rsidRDefault="00E44F87">
      <w:pPr>
        <w:autoSpaceDE w:val="0"/>
        <w:autoSpaceDN w:val="0"/>
        <w:adjustRightInd w:val="0"/>
        <w:ind w:left="1440" w:firstLine="360"/>
        <w:rPr>
          <w:rFonts w:ascii="Arial,Bold" w:hAnsi="Arial,Bold"/>
          <w:sz w:val="18"/>
          <w:szCs w:val="20"/>
          <w:highlight w:val="cyan"/>
        </w:rPr>
      </w:pPr>
    </w:p>
    <w:tbl>
      <w:tblPr>
        <w:tblW w:w="8882" w:type="dxa"/>
        <w:jc w:val="center"/>
        <w:tblBorders>
          <w:top w:val="single" w:sz="4" w:space="0" w:color="000000"/>
          <w:bottom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409"/>
        <w:gridCol w:w="1273"/>
        <w:gridCol w:w="1380"/>
        <w:gridCol w:w="1440"/>
        <w:gridCol w:w="1380"/>
      </w:tblGrid>
      <w:tr w:rsidR="00E44F87">
        <w:trPr>
          <w:cantSplit/>
          <w:trHeight w:val="540"/>
          <w:jc w:val="center"/>
        </w:trPr>
        <w:tc>
          <w:tcPr>
            <w:tcW w:w="8882" w:type="dxa"/>
            <w:gridSpan w:val="5"/>
            <w:noWrap/>
            <w:tcMar>
              <w:top w:w="15" w:type="dxa"/>
              <w:left w:w="15" w:type="dxa"/>
              <w:bottom w:w="0" w:type="dxa"/>
              <w:right w:w="15" w:type="dxa"/>
            </w:tcMar>
            <w:vAlign w:val="center"/>
          </w:tcPr>
          <w:p w:rsidR="00E44F87" w:rsidRDefault="00E44F87">
            <w:pPr>
              <w:pStyle w:val="Heading7"/>
              <w:autoSpaceDE/>
              <w:autoSpaceDN/>
              <w:adjustRightInd/>
              <w:rPr>
                <w:szCs w:val="18"/>
              </w:rPr>
            </w:pPr>
            <w:r>
              <w:rPr>
                <w:szCs w:val="18"/>
              </w:rPr>
              <w:t xml:space="preserve">Table 9: </w:t>
            </w:r>
            <w:r>
              <w:rPr>
                <w:szCs w:val="18"/>
              </w:rPr>
              <w:tab/>
              <w:t>Components of Disease Activity in Psoriatic Arthritis</w:t>
            </w:r>
          </w:p>
        </w:tc>
      </w:tr>
      <w:tr w:rsidR="00E44F87">
        <w:trPr>
          <w:cantSplit/>
          <w:trHeight w:val="540"/>
          <w:jc w:val="center"/>
        </w:trPr>
        <w:tc>
          <w:tcPr>
            <w:tcW w:w="3409" w:type="dxa"/>
            <w:noWrap/>
            <w:tcMar>
              <w:top w:w="15" w:type="dxa"/>
              <w:left w:w="15" w:type="dxa"/>
              <w:bottom w:w="0" w:type="dxa"/>
              <w:right w:w="15" w:type="dxa"/>
            </w:tcMar>
            <w:vAlign w:val="bottom"/>
          </w:tcPr>
          <w:p w:rsidR="00E44F87" w:rsidRDefault="00E44F87">
            <w:pPr>
              <w:rPr>
                <w:rFonts w:ascii="Arial" w:eastAsia="Arial Unicode MS" w:hAnsi="Arial" w:cs="Arial"/>
                <w:sz w:val="20"/>
                <w:szCs w:val="20"/>
              </w:rPr>
            </w:pPr>
            <w:r>
              <w:rPr>
                <w:rFonts w:ascii="Arial" w:hAnsi="Arial" w:cs="Arial"/>
                <w:sz w:val="20"/>
                <w:szCs w:val="20"/>
              </w:rPr>
              <w:t> </w:t>
            </w:r>
          </w:p>
        </w:tc>
        <w:tc>
          <w:tcPr>
            <w:tcW w:w="2653" w:type="dxa"/>
            <w:gridSpan w:val="2"/>
            <w:tcMar>
              <w:top w:w="15" w:type="dxa"/>
              <w:left w:w="15" w:type="dxa"/>
              <w:bottom w:w="0" w:type="dxa"/>
              <w:right w:w="15" w:type="dxa"/>
            </w:tcMar>
            <w:vAlign w:val="bottom"/>
          </w:tcPr>
          <w:p w:rsidR="00E44F87" w:rsidRDefault="00E44F87" w:rsidP="004C008E">
            <w:pPr>
              <w:jc w:val="center"/>
              <w:rPr>
                <w:rFonts w:ascii="Arial" w:hAnsi="Arial" w:cs="Arial"/>
                <w:sz w:val="20"/>
                <w:szCs w:val="20"/>
              </w:rPr>
            </w:pPr>
            <w:r>
              <w:rPr>
                <w:rFonts w:ascii="Arial" w:hAnsi="Arial" w:cs="Arial"/>
                <w:sz w:val="20"/>
                <w:szCs w:val="20"/>
              </w:rPr>
              <w:t>Placebo</w:t>
            </w:r>
          </w:p>
          <w:p w:rsidR="00E44F87" w:rsidRDefault="00E44F87">
            <w:pPr>
              <w:jc w:val="center"/>
              <w:rPr>
                <w:rFonts w:ascii="Arial" w:eastAsia="Arial Unicode MS" w:hAnsi="Arial" w:cs="Arial"/>
                <w:sz w:val="20"/>
                <w:szCs w:val="20"/>
              </w:rPr>
            </w:pPr>
            <w:r>
              <w:rPr>
                <w:rFonts w:ascii="Arial" w:hAnsi="Arial" w:cs="Arial"/>
                <w:sz w:val="20"/>
                <w:szCs w:val="20"/>
              </w:rPr>
              <w:t>N=162</w:t>
            </w:r>
            <w:r>
              <w:rPr>
                <w:rFonts w:ascii="Arial" w:hAnsi="Arial" w:cs="Arial"/>
                <w:sz w:val="20"/>
                <w:szCs w:val="20"/>
                <w:vertAlign w:val="superscript"/>
              </w:rPr>
              <w:t>a</w:t>
            </w:r>
          </w:p>
        </w:tc>
        <w:tc>
          <w:tcPr>
            <w:tcW w:w="2820" w:type="dxa"/>
            <w:gridSpan w:val="2"/>
            <w:tcMar>
              <w:top w:w="15" w:type="dxa"/>
              <w:left w:w="15" w:type="dxa"/>
              <w:bottom w:w="0" w:type="dxa"/>
              <w:right w:w="15" w:type="dxa"/>
            </w:tcMar>
            <w:vAlign w:val="bottom"/>
          </w:tcPr>
          <w:p w:rsidR="00E44F87" w:rsidRDefault="00E44F87" w:rsidP="004C008E">
            <w:pPr>
              <w:jc w:val="center"/>
              <w:rPr>
                <w:rFonts w:ascii="Arial" w:hAnsi="Arial" w:cs="Arial"/>
                <w:sz w:val="20"/>
                <w:szCs w:val="20"/>
              </w:rPr>
            </w:pPr>
            <w:r>
              <w:rPr>
                <w:rFonts w:ascii="Arial" w:hAnsi="Arial" w:cs="Arial"/>
                <w:sz w:val="20"/>
                <w:szCs w:val="20"/>
              </w:rPr>
              <w:t>Humira</w:t>
            </w:r>
          </w:p>
          <w:p w:rsidR="00E44F87" w:rsidRDefault="00E44F87">
            <w:pPr>
              <w:jc w:val="center"/>
              <w:rPr>
                <w:rFonts w:ascii="Arial" w:eastAsia="Arial Unicode MS" w:hAnsi="Arial" w:cs="Arial"/>
                <w:sz w:val="20"/>
                <w:szCs w:val="20"/>
              </w:rPr>
            </w:pPr>
            <w:r>
              <w:rPr>
                <w:rFonts w:ascii="Arial" w:hAnsi="Arial" w:cs="Arial"/>
                <w:sz w:val="20"/>
                <w:szCs w:val="20"/>
              </w:rPr>
              <w:t>N=151</w:t>
            </w:r>
            <w:r>
              <w:rPr>
                <w:rFonts w:ascii="Arial" w:hAnsi="Arial" w:cs="Arial"/>
                <w:sz w:val="20"/>
                <w:szCs w:val="20"/>
                <w:vertAlign w:val="superscript"/>
              </w:rPr>
              <w:t>a</w:t>
            </w:r>
          </w:p>
        </w:tc>
      </w:tr>
      <w:tr w:rsidR="00E44F87">
        <w:trPr>
          <w:trHeight w:val="255"/>
          <w:jc w:val="center"/>
        </w:trPr>
        <w:tc>
          <w:tcPr>
            <w:tcW w:w="3409" w:type="dxa"/>
            <w:noWrap/>
            <w:tcMar>
              <w:top w:w="15" w:type="dxa"/>
              <w:left w:w="15" w:type="dxa"/>
              <w:bottom w:w="0" w:type="dxa"/>
              <w:right w:w="15" w:type="dxa"/>
            </w:tcMar>
            <w:vAlign w:val="bottom"/>
          </w:tcPr>
          <w:p w:rsidR="00E44F87" w:rsidRDefault="00E44F87">
            <w:pPr>
              <w:pStyle w:val="TableText9Point"/>
              <w:rPr>
                <w:rFonts w:ascii="Arial" w:eastAsia="Arial Unicode MS" w:hAnsi="Arial" w:cs="Arial"/>
                <w:sz w:val="20"/>
                <w:lang w:val="en-AU"/>
              </w:rPr>
            </w:pPr>
            <w:r>
              <w:rPr>
                <w:rFonts w:ascii="Arial" w:hAnsi="Arial" w:cs="Arial"/>
                <w:sz w:val="20"/>
                <w:lang w:val="en-AU"/>
              </w:rPr>
              <w:t xml:space="preserve">Parameter: mean (median) </w:t>
            </w:r>
          </w:p>
        </w:tc>
        <w:tc>
          <w:tcPr>
            <w:tcW w:w="1273" w:type="dxa"/>
            <w:noWrap/>
            <w:tcMar>
              <w:top w:w="15" w:type="dxa"/>
              <w:left w:w="15" w:type="dxa"/>
              <w:bottom w:w="0" w:type="dxa"/>
              <w:right w:w="15" w:type="dxa"/>
            </w:tcMar>
            <w:vAlign w:val="bottom"/>
          </w:tcPr>
          <w:p w:rsidR="00E44F87" w:rsidRDefault="00E44F87">
            <w:pPr>
              <w:pStyle w:val="TableText9Point"/>
              <w:ind w:left="118"/>
              <w:rPr>
                <w:rFonts w:ascii="Arial" w:eastAsia="Arial Unicode MS" w:hAnsi="Arial" w:cs="Arial"/>
                <w:sz w:val="20"/>
                <w:lang w:val="en-AU"/>
              </w:rPr>
            </w:pPr>
            <w:r>
              <w:rPr>
                <w:rFonts w:ascii="Arial" w:hAnsi="Arial" w:cs="Arial"/>
                <w:sz w:val="20"/>
                <w:lang w:val="en-AU"/>
              </w:rPr>
              <w:t>Baseline</w:t>
            </w:r>
          </w:p>
        </w:tc>
        <w:tc>
          <w:tcPr>
            <w:tcW w:w="1380" w:type="dxa"/>
            <w:noWrap/>
            <w:tcMar>
              <w:top w:w="15" w:type="dxa"/>
              <w:left w:w="15" w:type="dxa"/>
              <w:bottom w:w="0" w:type="dxa"/>
              <w:right w:w="15" w:type="dxa"/>
            </w:tcMar>
            <w:vAlign w:val="bottom"/>
          </w:tcPr>
          <w:p w:rsidR="00E44F87" w:rsidRDefault="00E44F87">
            <w:pPr>
              <w:pStyle w:val="TableText9Point"/>
              <w:ind w:left="105"/>
              <w:rPr>
                <w:rFonts w:ascii="Arial" w:eastAsia="Arial Unicode MS" w:hAnsi="Arial" w:cs="Arial"/>
                <w:sz w:val="20"/>
                <w:lang w:val="en-AU"/>
              </w:rPr>
            </w:pPr>
            <w:r>
              <w:rPr>
                <w:rFonts w:ascii="Arial" w:hAnsi="Arial" w:cs="Arial"/>
                <w:sz w:val="20"/>
                <w:lang w:val="en-AU"/>
              </w:rPr>
              <w:t>24 Weeks</w:t>
            </w:r>
          </w:p>
        </w:tc>
        <w:tc>
          <w:tcPr>
            <w:tcW w:w="144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 xml:space="preserve">Baseline </w:t>
            </w:r>
          </w:p>
        </w:tc>
        <w:tc>
          <w:tcPr>
            <w:tcW w:w="138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24 Weeks</w:t>
            </w:r>
          </w:p>
        </w:tc>
      </w:tr>
      <w:tr w:rsidR="00E44F87">
        <w:trPr>
          <w:trHeight w:val="285"/>
          <w:jc w:val="center"/>
        </w:trPr>
        <w:tc>
          <w:tcPr>
            <w:tcW w:w="3409" w:type="dxa"/>
            <w:noWrap/>
            <w:tcMar>
              <w:top w:w="15" w:type="dxa"/>
              <w:left w:w="15" w:type="dxa"/>
              <w:bottom w:w="0" w:type="dxa"/>
              <w:right w:w="15" w:type="dxa"/>
            </w:tcMar>
            <w:vAlign w:val="bottom"/>
          </w:tcPr>
          <w:p w:rsidR="00E44F87" w:rsidRDefault="00E44F87">
            <w:pPr>
              <w:pStyle w:val="TableText9Point"/>
              <w:rPr>
                <w:rFonts w:ascii="Arial" w:eastAsia="Arial Unicode MS" w:hAnsi="Arial" w:cs="Arial"/>
                <w:sz w:val="20"/>
                <w:lang w:val="en-AU"/>
              </w:rPr>
            </w:pPr>
            <w:r>
              <w:rPr>
                <w:rFonts w:ascii="Arial" w:hAnsi="Arial" w:cs="Arial"/>
                <w:sz w:val="20"/>
                <w:lang w:val="en-AU"/>
              </w:rPr>
              <w:t>Number of tender joints</w:t>
            </w:r>
            <w:r>
              <w:rPr>
                <w:rFonts w:ascii="Arial" w:hAnsi="Arial" w:cs="Arial"/>
                <w:sz w:val="20"/>
                <w:vertAlign w:val="superscript"/>
                <w:lang w:val="en-AU"/>
              </w:rPr>
              <w:t>b</w:t>
            </w:r>
            <w:r>
              <w:rPr>
                <w:rFonts w:ascii="Arial" w:hAnsi="Arial" w:cs="Arial"/>
                <w:sz w:val="20"/>
                <w:lang w:val="en-AU"/>
              </w:rPr>
              <w:t xml:space="preserve"> </w:t>
            </w:r>
          </w:p>
        </w:tc>
        <w:tc>
          <w:tcPr>
            <w:tcW w:w="1273" w:type="dxa"/>
            <w:noWrap/>
            <w:tcMar>
              <w:top w:w="15" w:type="dxa"/>
              <w:left w:w="15" w:type="dxa"/>
              <w:bottom w:w="0" w:type="dxa"/>
              <w:right w:w="15" w:type="dxa"/>
            </w:tcMar>
            <w:vAlign w:val="bottom"/>
          </w:tcPr>
          <w:p w:rsidR="00E44F87" w:rsidRDefault="00E44F87">
            <w:pPr>
              <w:pStyle w:val="TableText9Point"/>
              <w:ind w:left="118"/>
              <w:rPr>
                <w:rFonts w:ascii="Arial" w:eastAsia="Arial Unicode MS" w:hAnsi="Arial" w:cs="Arial"/>
                <w:sz w:val="20"/>
                <w:lang w:val="en-AU"/>
              </w:rPr>
            </w:pPr>
            <w:r>
              <w:rPr>
                <w:rFonts w:ascii="Arial" w:hAnsi="Arial" w:cs="Arial"/>
                <w:sz w:val="20"/>
                <w:lang w:val="en-AU"/>
              </w:rPr>
              <w:t xml:space="preserve">25.8 (23.0) </w:t>
            </w:r>
          </w:p>
        </w:tc>
        <w:tc>
          <w:tcPr>
            <w:tcW w:w="1380" w:type="dxa"/>
            <w:noWrap/>
            <w:tcMar>
              <w:top w:w="15" w:type="dxa"/>
              <w:left w:w="15" w:type="dxa"/>
              <w:bottom w:w="0" w:type="dxa"/>
              <w:right w:w="15" w:type="dxa"/>
            </w:tcMar>
            <w:vAlign w:val="bottom"/>
          </w:tcPr>
          <w:p w:rsidR="00E44F87" w:rsidRDefault="00E44F87">
            <w:pPr>
              <w:pStyle w:val="TableText9Point"/>
              <w:ind w:left="105"/>
              <w:rPr>
                <w:rFonts w:ascii="Arial" w:eastAsia="Arial Unicode MS" w:hAnsi="Arial" w:cs="Arial"/>
                <w:sz w:val="20"/>
                <w:lang w:val="en-AU"/>
              </w:rPr>
            </w:pPr>
            <w:r>
              <w:rPr>
                <w:rFonts w:ascii="Arial" w:hAnsi="Arial" w:cs="Arial"/>
                <w:sz w:val="20"/>
                <w:lang w:val="en-AU"/>
              </w:rPr>
              <w:t xml:space="preserve">22.3 (17.0) </w:t>
            </w:r>
          </w:p>
        </w:tc>
        <w:tc>
          <w:tcPr>
            <w:tcW w:w="144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 xml:space="preserve">23.3 (19.0) </w:t>
            </w:r>
          </w:p>
        </w:tc>
        <w:tc>
          <w:tcPr>
            <w:tcW w:w="138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11.8 (5.0)</w:t>
            </w:r>
          </w:p>
        </w:tc>
      </w:tr>
      <w:tr w:rsidR="00E44F87">
        <w:trPr>
          <w:trHeight w:val="285"/>
          <w:jc w:val="center"/>
        </w:trPr>
        <w:tc>
          <w:tcPr>
            <w:tcW w:w="3409" w:type="dxa"/>
            <w:noWrap/>
            <w:tcMar>
              <w:top w:w="15" w:type="dxa"/>
              <w:left w:w="15" w:type="dxa"/>
              <w:bottom w:w="0" w:type="dxa"/>
              <w:right w:w="15" w:type="dxa"/>
            </w:tcMar>
            <w:vAlign w:val="bottom"/>
          </w:tcPr>
          <w:p w:rsidR="00E44F87" w:rsidRDefault="00E44F87">
            <w:pPr>
              <w:pStyle w:val="TableText9Point"/>
              <w:rPr>
                <w:rFonts w:ascii="Arial" w:eastAsia="Arial Unicode MS" w:hAnsi="Arial" w:cs="Arial"/>
                <w:sz w:val="20"/>
                <w:lang w:val="en-AU"/>
              </w:rPr>
            </w:pPr>
            <w:r>
              <w:rPr>
                <w:rFonts w:ascii="Arial" w:hAnsi="Arial" w:cs="Arial"/>
                <w:sz w:val="20"/>
                <w:lang w:val="en-AU"/>
              </w:rPr>
              <w:t>Number of swollen joints</w:t>
            </w:r>
            <w:r>
              <w:rPr>
                <w:rFonts w:ascii="Arial" w:hAnsi="Arial" w:cs="Arial"/>
                <w:sz w:val="20"/>
                <w:vertAlign w:val="superscript"/>
                <w:lang w:val="en-AU"/>
              </w:rPr>
              <w:t>c</w:t>
            </w:r>
            <w:r>
              <w:rPr>
                <w:rFonts w:ascii="Arial" w:hAnsi="Arial" w:cs="Arial"/>
                <w:sz w:val="20"/>
                <w:lang w:val="en-AU"/>
              </w:rPr>
              <w:t xml:space="preserve"> </w:t>
            </w:r>
          </w:p>
        </w:tc>
        <w:tc>
          <w:tcPr>
            <w:tcW w:w="1273" w:type="dxa"/>
            <w:noWrap/>
            <w:tcMar>
              <w:top w:w="15" w:type="dxa"/>
              <w:left w:w="15" w:type="dxa"/>
              <w:bottom w:w="0" w:type="dxa"/>
              <w:right w:w="15" w:type="dxa"/>
            </w:tcMar>
            <w:vAlign w:val="bottom"/>
          </w:tcPr>
          <w:p w:rsidR="00E44F87" w:rsidRDefault="00E44F87">
            <w:pPr>
              <w:pStyle w:val="TableText9Point"/>
              <w:ind w:left="118"/>
              <w:rPr>
                <w:rFonts w:ascii="Arial" w:eastAsia="Arial Unicode MS" w:hAnsi="Arial" w:cs="Arial"/>
                <w:sz w:val="20"/>
                <w:lang w:val="en-AU"/>
              </w:rPr>
            </w:pPr>
            <w:r>
              <w:rPr>
                <w:rFonts w:ascii="Arial" w:hAnsi="Arial" w:cs="Arial"/>
                <w:sz w:val="20"/>
                <w:lang w:val="en-AU"/>
              </w:rPr>
              <w:t xml:space="preserve">14.6 (11.0) </w:t>
            </w:r>
          </w:p>
        </w:tc>
        <w:tc>
          <w:tcPr>
            <w:tcW w:w="1380" w:type="dxa"/>
            <w:noWrap/>
            <w:tcMar>
              <w:top w:w="15" w:type="dxa"/>
              <w:left w:w="15" w:type="dxa"/>
              <w:bottom w:w="0" w:type="dxa"/>
              <w:right w:w="15" w:type="dxa"/>
            </w:tcMar>
            <w:vAlign w:val="bottom"/>
          </w:tcPr>
          <w:p w:rsidR="00E44F87" w:rsidRDefault="00E44F87">
            <w:pPr>
              <w:pStyle w:val="TableText9Point"/>
              <w:ind w:left="105"/>
              <w:rPr>
                <w:rFonts w:ascii="Arial" w:eastAsia="Arial Unicode MS" w:hAnsi="Arial" w:cs="Arial"/>
                <w:sz w:val="20"/>
                <w:lang w:val="en-AU"/>
              </w:rPr>
            </w:pPr>
            <w:r>
              <w:rPr>
                <w:rFonts w:ascii="Arial" w:hAnsi="Arial" w:cs="Arial"/>
                <w:sz w:val="20"/>
                <w:lang w:val="en-AU"/>
              </w:rPr>
              <w:t xml:space="preserve">12.1 (8.0) </w:t>
            </w:r>
          </w:p>
        </w:tc>
        <w:tc>
          <w:tcPr>
            <w:tcW w:w="144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 xml:space="preserve">13.4 (10.0) </w:t>
            </w:r>
          </w:p>
        </w:tc>
        <w:tc>
          <w:tcPr>
            <w:tcW w:w="138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7.6 (3.0)</w:t>
            </w:r>
          </w:p>
        </w:tc>
      </w:tr>
      <w:tr w:rsidR="00E44F87">
        <w:trPr>
          <w:trHeight w:val="285"/>
          <w:jc w:val="center"/>
        </w:trPr>
        <w:tc>
          <w:tcPr>
            <w:tcW w:w="3409" w:type="dxa"/>
            <w:noWrap/>
            <w:tcMar>
              <w:top w:w="15" w:type="dxa"/>
              <w:left w:w="15" w:type="dxa"/>
              <w:bottom w:w="0" w:type="dxa"/>
              <w:right w:w="15" w:type="dxa"/>
            </w:tcMar>
            <w:vAlign w:val="bottom"/>
          </w:tcPr>
          <w:p w:rsidR="00E44F87" w:rsidRDefault="00E44F87">
            <w:pPr>
              <w:pStyle w:val="TableText9Point"/>
              <w:rPr>
                <w:rFonts w:ascii="Arial" w:eastAsia="Arial Unicode MS" w:hAnsi="Arial" w:cs="Arial"/>
                <w:sz w:val="20"/>
                <w:lang w:val="en-AU"/>
              </w:rPr>
            </w:pPr>
            <w:r>
              <w:rPr>
                <w:rFonts w:ascii="Arial" w:hAnsi="Arial" w:cs="Arial"/>
                <w:sz w:val="20"/>
                <w:lang w:val="en-AU"/>
              </w:rPr>
              <w:t>Physician global assessment</w:t>
            </w:r>
            <w:r>
              <w:rPr>
                <w:rFonts w:ascii="Arial" w:hAnsi="Arial" w:cs="Arial"/>
                <w:sz w:val="20"/>
                <w:vertAlign w:val="superscript"/>
                <w:lang w:val="en-AU"/>
              </w:rPr>
              <w:t>d</w:t>
            </w:r>
            <w:r>
              <w:rPr>
                <w:rFonts w:ascii="Arial" w:hAnsi="Arial" w:cs="Arial"/>
                <w:sz w:val="20"/>
                <w:lang w:val="en-AU"/>
              </w:rPr>
              <w:t xml:space="preserve"> </w:t>
            </w:r>
          </w:p>
        </w:tc>
        <w:tc>
          <w:tcPr>
            <w:tcW w:w="1273" w:type="dxa"/>
            <w:noWrap/>
            <w:tcMar>
              <w:top w:w="15" w:type="dxa"/>
              <w:left w:w="15" w:type="dxa"/>
              <w:bottom w:w="0" w:type="dxa"/>
              <w:right w:w="15" w:type="dxa"/>
            </w:tcMar>
            <w:vAlign w:val="bottom"/>
          </w:tcPr>
          <w:p w:rsidR="00E44F87" w:rsidRDefault="00E44F87">
            <w:pPr>
              <w:pStyle w:val="TableText9Point"/>
              <w:ind w:left="118"/>
              <w:rPr>
                <w:rFonts w:ascii="Arial" w:eastAsia="Arial Unicode MS" w:hAnsi="Arial" w:cs="Arial"/>
                <w:sz w:val="20"/>
                <w:lang w:val="en-AU"/>
              </w:rPr>
            </w:pPr>
            <w:r>
              <w:rPr>
                <w:rFonts w:ascii="Arial" w:hAnsi="Arial" w:cs="Arial"/>
                <w:sz w:val="20"/>
                <w:lang w:val="en-AU"/>
              </w:rPr>
              <w:t xml:space="preserve">53.2 (53.0) </w:t>
            </w:r>
          </w:p>
        </w:tc>
        <w:tc>
          <w:tcPr>
            <w:tcW w:w="1380" w:type="dxa"/>
            <w:noWrap/>
            <w:tcMar>
              <w:top w:w="15" w:type="dxa"/>
              <w:left w:w="15" w:type="dxa"/>
              <w:bottom w:w="0" w:type="dxa"/>
              <w:right w:w="15" w:type="dxa"/>
            </w:tcMar>
            <w:vAlign w:val="bottom"/>
          </w:tcPr>
          <w:p w:rsidR="00E44F87" w:rsidRDefault="00E44F87">
            <w:pPr>
              <w:pStyle w:val="TableText9Point"/>
              <w:ind w:left="105"/>
              <w:rPr>
                <w:rFonts w:ascii="Arial" w:eastAsia="Arial Unicode MS" w:hAnsi="Arial" w:cs="Arial"/>
                <w:sz w:val="20"/>
                <w:lang w:val="en-AU"/>
              </w:rPr>
            </w:pPr>
            <w:r>
              <w:rPr>
                <w:rFonts w:ascii="Arial" w:hAnsi="Arial" w:cs="Arial"/>
                <w:sz w:val="20"/>
                <w:lang w:val="en-AU"/>
              </w:rPr>
              <w:t xml:space="preserve">46.0 (48.0) </w:t>
            </w:r>
          </w:p>
        </w:tc>
        <w:tc>
          <w:tcPr>
            <w:tcW w:w="144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 xml:space="preserve">53.5 (54.0) </w:t>
            </w:r>
          </w:p>
        </w:tc>
        <w:tc>
          <w:tcPr>
            <w:tcW w:w="138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 xml:space="preserve">21.4 (16.0) </w:t>
            </w:r>
          </w:p>
        </w:tc>
      </w:tr>
      <w:tr w:rsidR="00E44F87">
        <w:trPr>
          <w:trHeight w:val="285"/>
          <w:jc w:val="center"/>
        </w:trPr>
        <w:tc>
          <w:tcPr>
            <w:tcW w:w="3409" w:type="dxa"/>
            <w:noWrap/>
            <w:tcMar>
              <w:top w:w="15" w:type="dxa"/>
              <w:left w:w="15" w:type="dxa"/>
              <w:bottom w:w="0" w:type="dxa"/>
              <w:right w:w="15" w:type="dxa"/>
            </w:tcMar>
            <w:vAlign w:val="bottom"/>
          </w:tcPr>
          <w:p w:rsidR="00E44F87" w:rsidRDefault="00E44F87">
            <w:pPr>
              <w:pStyle w:val="TableText9Point"/>
              <w:rPr>
                <w:rFonts w:ascii="Arial" w:eastAsia="Arial Unicode MS" w:hAnsi="Arial" w:cs="Arial"/>
                <w:sz w:val="20"/>
                <w:lang w:val="en-AU"/>
              </w:rPr>
            </w:pPr>
            <w:r>
              <w:rPr>
                <w:rFonts w:ascii="Arial" w:hAnsi="Arial" w:cs="Arial"/>
                <w:sz w:val="20"/>
                <w:lang w:val="en-AU"/>
              </w:rPr>
              <w:t>Patient global assessment</w:t>
            </w:r>
            <w:r>
              <w:rPr>
                <w:rFonts w:ascii="Arial" w:hAnsi="Arial" w:cs="Arial"/>
                <w:sz w:val="20"/>
                <w:vertAlign w:val="superscript"/>
                <w:lang w:val="en-AU"/>
              </w:rPr>
              <w:t>d</w:t>
            </w:r>
            <w:r>
              <w:rPr>
                <w:rFonts w:ascii="Arial" w:hAnsi="Arial" w:cs="Arial"/>
                <w:sz w:val="20"/>
                <w:lang w:val="en-AU"/>
              </w:rPr>
              <w:t xml:space="preserve"> </w:t>
            </w:r>
          </w:p>
        </w:tc>
        <w:tc>
          <w:tcPr>
            <w:tcW w:w="1273" w:type="dxa"/>
            <w:noWrap/>
            <w:tcMar>
              <w:top w:w="15" w:type="dxa"/>
              <w:left w:w="15" w:type="dxa"/>
              <w:bottom w:w="0" w:type="dxa"/>
              <w:right w:w="15" w:type="dxa"/>
            </w:tcMar>
            <w:vAlign w:val="bottom"/>
          </w:tcPr>
          <w:p w:rsidR="00E44F87" w:rsidRDefault="00E44F87">
            <w:pPr>
              <w:pStyle w:val="TableText9Point"/>
              <w:ind w:left="118"/>
              <w:rPr>
                <w:rFonts w:ascii="Arial" w:eastAsia="Arial Unicode MS" w:hAnsi="Arial" w:cs="Arial"/>
                <w:sz w:val="20"/>
                <w:lang w:val="en-AU"/>
              </w:rPr>
            </w:pPr>
            <w:r>
              <w:rPr>
                <w:rFonts w:ascii="Arial" w:hAnsi="Arial" w:cs="Arial"/>
                <w:sz w:val="20"/>
                <w:lang w:val="en-AU"/>
              </w:rPr>
              <w:t xml:space="preserve">47.2 (49.0) </w:t>
            </w:r>
          </w:p>
        </w:tc>
        <w:tc>
          <w:tcPr>
            <w:tcW w:w="1380" w:type="dxa"/>
            <w:noWrap/>
            <w:tcMar>
              <w:top w:w="15" w:type="dxa"/>
              <w:left w:w="15" w:type="dxa"/>
              <w:bottom w:w="0" w:type="dxa"/>
              <w:right w:w="15" w:type="dxa"/>
            </w:tcMar>
            <w:vAlign w:val="bottom"/>
          </w:tcPr>
          <w:p w:rsidR="00E44F87" w:rsidRDefault="00E44F87">
            <w:pPr>
              <w:pStyle w:val="TableText9Point"/>
              <w:ind w:left="105"/>
              <w:rPr>
                <w:rFonts w:ascii="Arial" w:eastAsia="Arial Unicode MS" w:hAnsi="Arial" w:cs="Arial"/>
                <w:sz w:val="20"/>
                <w:lang w:val="en-AU"/>
              </w:rPr>
            </w:pPr>
            <w:r>
              <w:rPr>
                <w:rFonts w:ascii="Arial" w:hAnsi="Arial" w:cs="Arial"/>
                <w:sz w:val="20"/>
                <w:lang w:val="en-AU"/>
              </w:rPr>
              <w:t xml:space="preserve">47.6 (49.0) </w:t>
            </w:r>
          </w:p>
        </w:tc>
        <w:tc>
          <w:tcPr>
            <w:tcW w:w="144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 xml:space="preserve">47.5 (48.0) </w:t>
            </w:r>
          </w:p>
        </w:tc>
        <w:tc>
          <w:tcPr>
            <w:tcW w:w="138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24.2 (18.5)</w:t>
            </w:r>
          </w:p>
        </w:tc>
      </w:tr>
      <w:tr w:rsidR="00E44F87">
        <w:trPr>
          <w:trHeight w:val="285"/>
          <w:jc w:val="center"/>
        </w:trPr>
        <w:tc>
          <w:tcPr>
            <w:tcW w:w="3409" w:type="dxa"/>
            <w:noWrap/>
            <w:tcMar>
              <w:top w:w="15" w:type="dxa"/>
              <w:left w:w="15" w:type="dxa"/>
              <w:bottom w:w="0" w:type="dxa"/>
              <w:right w:w="15" w:type="dxa"/>
            </w:tcMar>
            <w:vAlign w:val="bottom"/>
          </w:tcPr>
          <w:p w:rsidR="00E44F87" w:rsidRDefault="00E44F87">
            <w:pPr>
              <w:pStyle w:val="TableText9Point"/>
              <w:rPr>
                <w:rFonts w:ascii="Arial" w:eastAsia="Arial Unicode MS" w:hAnsi="Arial" w:cs="Arial"/>
                <w:sz w:val="20"/>
                <w:lang w:val="en-AU"/>
              </w:rPr>
            </w:pPr>
            <w:r>
              <w:rPr>
                <w:rFonts w:ascii="Arial" w:hAnsi="Arial" w:cs="Arial"/>
                <w:sz w:val="20"/>
                <w:lang w:val="en-AU"/>
              </w:rPr>
              <w:t>Pain</w:t>
            </w:r>
            <w:r>
              <w:rPr>
                <w:rFonts w:ascii="Arial" w:hAnsi="Arial" w:cs="Arial"/>
                <w:sz w:val="20"/>
                <w:vertAlign w:val="superscript"/>
                <w:lang w:val="en-AU"/>
              </w:rPr>
              <w:t>d</w:t>
            </w:r>
            <w:r>
              <w:rPr>
                <w:rFonts w:ascii="Arial" w:hAnsi="Arial" w:cs="Arial"/>
                <w:sz w:val="20"/>
                <w:lang w:val="en-AU"/>
              </w:rPr>
              <w:t xml:space="preserve"> </w:t>
            </w:r>
          </w:p>
        </w:tc>
        <w:tc>
          <w:tcPr>
            <w:tcW w:w="1273" w:type="dxa"/>
            <w:noWrap/>
            <w:tcMar>
              <w:top w:w="15" w:type="dxa"/>
              <w:left w:w="15" w:type="dxa"/>
              <w:bottom w:w="0" w:type="dxa"/>
              <w:right w:w="15" w:type="dxa"/>
            </w:tcMar>
            <w:vAlign w:val="bottom"/>
          </w:tcPr>
          <w:p w:rsidR="00E44F87" w:rsidRDefault="00E44F87">
            <w:pPr>
              <w:pStyle w:val="TableText9Point"/>
              <w:ind w:left="118"/>
              <w:rPr>
                <w:rFonts w:ascii="Arial" w:eastAsia="Arial Unicode MS" w:hAnsi="Arial" w:cs="Arial"/>
                <w:sz w:val="20"/>
                <w:lang w:val="en-AU"/>
              </w:rPr>
            </w:pPr>
            <w:r>
              <w:rPr>
                <w:rFonts w:ascii="Arial" w:hAnsi="Arial" w:cs="Arial"/>
                <w:sz w:val="20"/>
                <w:lang w:val="en-AU"/>
              </w:rPr>
              <w:t xml:space="preserve">47.6 (47.5) </w:t>
            </w:r>
          </w:p>
        </w:tc>
        <w:tc>
          <w:tcPr>
            <w:tcW w:w="1380" w:type="dxa"/>
            <w:noWrap/>
            <w:tcMar>
              <w:top w:w="15" w:type="dxa"/>
              <w:left w:w="15" w:type="dxa"/>
              <w:bottom w:w="0" w:type="dxa"/>
              <w:right w:w="15" w:type="dxa"/>
            </w:tcMar>
            <w:vAlign w:val="bottom"/>
          </w:tcPr>
          <w:p w:rsidR="00E44F87" w:rsidRDefault="00E44F87">
            <w:pPr>
              <w:pStyle w:val="TableText9Point"/>
              <w:ind w:left="105"/>
              <w:rPr>
                <w:rFonts w:ascii="Arial" w:eastAsia="Arial Unicode MS" w:hAnsi="Arial" w:cs="Arial"/>
                <w:sz w:val="20"/>
                <w:lang w:val="en-AU"/>
              </w:rPr>
            </w:pPr>
            <w:r>
              <w:rPr>
                <w:rFonts w:ascii="Arial" w:hAnsi="Arial" w:cs="Arial"/>
                <w:sz w:val="20"/>
                <w:lang w:val="en-AU"/>
              </w:rPr>
              <w:t xml:space="preserve">47.9 (49.0) </w:t>
            </w:r>
          </w:p>
        </w:tc>
        <w:tc>
          <w:tcPr>
            <w:tcW w:w="144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 xml:space="preserve">50.6 (53.0) </w:t>
            </w:r>
          </w:p>
        </w:tc>
        <w:tc>
          <w:tcPr>
            <w:tcW w:w="138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25.4 (19.0)</w:t>
            </w:r>
          </w:p>
        </w:tc>
      </w:tr>
      <w:tr w:rsidR="00E44F87">
        <w:trPr>
          <w:trHeight w:val="285"/>
          <w:jc w:val="center"/>
        </w:trPr>
        <w:tc>
          <w:tcPr>
            <w:tcW w:w="3409" w:type="dxa"/>
            <w:noWrap/>
            <w:tcMar>
              <w:top w:w="15" w:type="dxa"/>
              <w:left w:w="15" w:type="dxa"/>
              <w:bottom w:w="0" w:type="dxa"/>
              <w:right w:w="15" w:type="dxa"/>
            </w:tcMar>
            <w:vAlign w:val="bottom"/>
          </w:tcPr>
          <w:p w:rsidR="00E44F87" w:rsidRDefault="00E44F87">
            <w:pPr>
              <w:pStyle w:val="TableText9Point"/>
              <w:rPr>
                <w:rFonts w:ascii="Arial" w:eastAsia="Arial Unicode MS" w:hAnsi="Arial" w:cs="Arial"/>
                <w:sz w:val="20"/>
                <w:lang w:val="en-AU"/>
              </w:rPr>
            </w:pPr>
            <w:r>
              <w:rPr>
                <w:rFonts w:ascii="Arial" w:hAnsi="Arial" w:cs="Arial"/>
                <w:sz w:val="20"/>
                <w:lang w:val="en-AU"/>
              </w:rPr>
              <w:t>Disability index (HAQ)</w:t>
            </w:r>
            <w:r>
              <w:rPr>
                <w:rFonts w:ascii="Arial" w:hAnsi="Arial" w:cs="Arial"/>
                <w:sz w:val="20"/>
                <w:vertAlign w:val="superscript"/>
                <w:lang w:val="en-AU"/>
              </w:rPr>
              <w:t>e</w:t>
            </w:r>
            <w:r>
              <w:rPr>
                <w:rFonts w:ascii="Arial" w:hAnsi="Arial" w:cs="Arial"/>
                <w:sz w:val="20"/>
                <w:lang w:val="en-AU"/>
              </w:rPr>
              <w:t xml:space="preserve"> </w:t>
            </w:r>
          </w:p>
        </w:tc>
        <w:tc>
          <w:tcPr>
            <w:tcW w:w="1273" w:type="dxa"/>
            <w:noWrap/>
            <w:tcMar>
              <w:top w:w="15" w:type="dxa"/>
              <w:left w:w="15" w:type="dxa"/>
              <w:bottom w:w="0" w:type="dxa"/>
              <w:right w:w="15" w:type="dxa"/>
            </w:tcMar>
            <w:vAlign w:val="bottom"/>
          </w:tcPr>
          <w:p w:rsidR="00E44F87" w:rsidRDefault="00E44F87">
            <w:pPr>
              <w:pStyle w:val="TableText9Point"/>
              <w:ind w:left="118"/>
              <w:rPr>
                <w:rFonts w:ascii="Arial" w:eastAsia="Arial Unicode MS" w:hAnsi="Arial" w:cs="Arial"/>
                <w:sz w:val="20"/>
                <w:lang w:val="en-AU"/>
              </w:rPr>
            </w:pPr>
            <w:r>
              <w:rPr>
                <w:rFonts w:ascii="Arial" w:hAnsi="Arial" w:cs="Arial"/>
                <w:sz w:val="20"/>
                <w:lang w:val="en-AU"/>
              </w:rPr>
              <w:t xml:space="preserve">1.0 (1.0) </w:t>
            </w:r>
          </w:p>
        </w:tc>
        <w:tc>
          <w:tcPr>
            <w:tcW w:w="1380" w:type="dxa"/>
            <w:noWrap/>
            <w:tcMar>
              <w:top w:w="15" w:type="dxa"/>
              <w:left w:w="15" w:type="dxa"/>
              <w:bottom w:w="0" w:type="dxa"/>
              <w:right w:w="15" w:type="dxa"/>
            </w:tcMar>
            <w:vAlign w:val="bottom"/>
          </w:tcPr>
          <w:p w:rsidR="00E44F87" w:rsidRDefault="00E44F87">
            <w:pPr>
              <w:pStyle w:val="TableText9Point"/>
              <w:ind w:left="105"/>
              <w:rPr>
                <w:rFonts w:ascii="Arial" w:eastAsia="Arial Unicode MS" w:hAnsi="Arial" w:cs="Arial"/>
                <w:sz w:val="20"/>
                <w:lang w:val="en-AU"/>
              </w:rPr>
            </w:pPr>
            <w:r>
              <w:rPr>
                <w:rFonts w:ascii="Arial" w:hAnsi="Arial" w:cs="Arial"/>
                <w:sz w:val="20"/>
                <w:lang w:val="en-AU"/>
              </w:rPr>
              <w:t xml:space="preserve">0.9 (0.8) </w:t>
            </w:r>
          </w:p>
        </w:tc>
        <w:tc>
          <w:tcPr>
            <w:tcW w:w="144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 xml:space="preserve">1.0 (0.9) </w:t>
            </w:r>
          </w:p>
        </w:tc>
        <w:tc>
          <w:tcPr>
            <w:tcW w:w="138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 xml:space="preserve">0.6 (0.4) </w:t>
            </w:r>
          </w:p>
        </w:tc>
      </w:tr>
      <w:tr w:rsidR="00E44F87">
        <w:trPr>
          <w:trHeight w:val="285"/>
          <w:jc w:val="center"/>
        </w:trPr>
        <w:tc>
          <w:tcPr>
            <w:tcW w:w="3409" w:type="dxa"/>
            <w:noWrap/>
            <w:tcMar>
              <w:top w:w="15" w:type="dxa"/>
              <w:left w:w="15" w:type="dxa"/>
              <w:bottom w:w="0" w:type="dxa"/>
              <w:right w:w="15" w:type="dxa"/>
            </w:tcMar>
            <w:vAlign w:val="bottom"/>
          </w:tcPr>
          <w:p w:rsidR="00E44F87" w:rsidRDefault="00E44F87">
            <w:pPr>
              <w:pStyle w:val="TableText9Point"/>
              <w:rPr>
                <w:rFonts w:ascii="Arial" w:eastAsia="Arial Unicode MS" w:hAnsi="Arial" w:cs="Arial"/>
                <w:sz w:val="20"/>
                <w:lang w:val="en-AU"/>
              </w:rPr>
            </w:pPr>
            <w:r>
              <w:rPr>
                <w:rFonts w:ascii="Arial" w:hAnsi="Arial" w:cs="Arial"/>
                <w:sz w:val="20"/>
                <w:lang w:val="en-AU"/>
              </w:rPr>
              <w:t>CRP (mg/L)</w:t>
            </w:r>
            <w:r>
              <w:rPr>
                <w:rFonts w:ascii="Arial" w:hAnsi="Arial" w:cs="Arial"/>
                <w:sz w:val="20"/>
                <w:vertAlign w:val="superscript"/>
                <w:lang w:val="en-AU"/>
              </w:rPr>
              <w:t>f</w:t>
            </w:r>
            <w:r>
              <w:rPr>
                <w:rFonts w:ascii="Arial" w:hAnsi="Arial" w:cs="Arial"/>
                <w:sz w:val="20"/>
                <w:lang w:val="en-AU"/>
              </w:rPr>
              <w:t xml:space="preserve"> </w:t>
            </w:r>
          </w:p>
        </w:tc>
        <w:tc>
          <w:tcPr>
            <w:tcW w:w="1273" w:type="dxa"/>
            <w:noWrap/>
            <w:tcMar>
              <w:top w:w="15" w:type="dxa"/>
              <w:left w:w="15" w:type="dxa"/>
              <w:bottom w:w="0" w:type="dxa"/>
              <w:right w:w="15" w:type="dxa"/>
            </w:tcMar>
            <w:vAlign w:val="bottom"/>
          </w:tcPr>
          <w:p w:rsidR="00E44F87" w:rsidRDefault="00E44F87">
            <w:pPr>
              <w:pStyle w:val="TableText9Point"/>
              <w:ind w:left="118"/>
              <w:rPr>
                <w:rFonts w:ascii="Arial" w:eastAsia="Arial Unicode MS" w:hAnsi="Arial" w:cs="Arial"/>
                <w:sz w:val="20"/>
                <w:lang w:val="en-AU"/>
              </w:rPr>
            </w:pPr>
            <w:r>
              <w:rPr>
                <w:rFonts w:ascii="Arial" w:hAnsi="Arial" w:cs="Arial"/>
                <w:sz w:val="20"/>
                <w:lang w:val="en-AU"/>
              </w:rPr>
              <w:t xml:space="preserve">13.9 (7.8) </w:t>
            </w:r>
          </w:p>
        </w:tc>
        <w:tc>
          <w:tcPr>
            <w:tcW w:w="1380" w:type="dxa"/>
            <w:noWrap/>
            <w:tcMar>
              <w:top w:w="15" w:type="dxa"/>
              <w:left w:w="15" w:type="dxa"/>
              <w:bottom w:w="0" w:type="dxa"/>
              <w:right w:w="15" w:type="dxa"/>
            </w:tcMar>
            <w:vAlign w:val="bottom"/>
          </w:tcPr>
          <w:p w:rsidR="00E44F87" w:rsidRDefault="00E44F87">
            <w:pPr>
              <w:pStyle w:val="TableText9Point"/>
              <w:ind w:left="105"/>
              <w:rPr>
                <w:rFonts w:ascii="Arial" w:eastAsia="Arial Unicode MS" w:hAnsi="Arial" w:cs="Arial"/>
                <w:sz w:val="20"/>
                <w:lang w:val="en-AU"/>
              </w:rPr>
            </w:pPr>
            <w:r>
              <w:rPr>
                <w:rFonts w:ascii="Arial" w:hAnsi="Arial" w:cs="Arial"/>
                <w:sz w:val="20"/>
                <w:lang w:val="en-AU"/>
              </w:rPr>
              <w:t xml:space="preserve">14.3 (7.4) </w:t>
            </w:r>
          </w:p>
        </w:tc>
        <w:tc>
          <w:tcPr>
            <w:tcW w:w="144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14.3 (8.0)</w:t>
            </w:r>
          </w:p>
        </w:tc>
        <w:tc>
          <w:tcPr>
            <w:tcW w:w="1380" w:type="dxa"/>
            <w:noWrap/>
            <w:tcMar>
              <w:top w:w="15" w:type="dxa"/>
              <w:left w:w="15" w:type="dxa"/>
              <w:bottom w:w="0" w:type="dxa"/>
              <w:right w:w="15" w:type="dxa"/>
            </w:tcMar>
            <w:vAlign w:val="bottom"/>
          </w:tcPr>
          <w:p w:rsidR="00E44F87" w:rsidRDefault="00E44F87">
            <w:pPr>
              <w:pStyle w:val="TableText9Point"/>
              <w:ind w:left="165"/>
              <w:rPr>
                <w:rFonts w:ascii="Arial" w:eastAsia="Arial Unicode MS" w:hAnsi="Arial" w:cs="Arial"/>
                <w:sz w:val="20"/>
                <w:lang w:val="en-AU"/>
              </w:rPr>
            </w:pPr>
            <w:r>
              <w:rPr>
                <w:rFonts w:ascii="Arial" w:hAnsi="Arial" w:cs="Arial"/>
                <w:sz w:val="20"/>
                <w:lang w:val="en-AU"/>
              </w:rPr>
              <w:t xml:space="preserve"> 5.5 (2.1)</w:t>
            </w:r>
          </w:p>
        </w:tc>
      </w:tr>
    </w:tbl>
    <w:p w:rsidR="00E44F87" w:rsidRDefault="00E44F87">
      <w:pPr>
        <w:autoSpaceDE w:val="0"/>
        <w:autoSpaceDN w:val="0"/>
        <w:adjustRightInd w:val="0"/>
        <w:rPr>
          <w:rFonts w:ascii="Arial,Bold" w:hAnsi="Arial,Bold"/>
          <w:sz w:val="18"/>
          <w:szCs w:val="20"/>
        </w:rPr>
      </w:pPr>
    </w:p>
    <w:p w:rsidR="00E44F87" w:rsidRDefault="00E44F87">
      <w:pPr>
        <w:autoSpaceDE w:val="0"/>
        <w:autoSpaceDN w:val="0"/>
        <w:adjustRightInd w:val="0"/>
        <w:ind w:left="180"/>
        <w:rPr>
          <w:rFonts w:ascii="Arial" w:hAnsi="Arial" w:cs="Arial"/>
          <w:sz w:val="18"/>
          <w:szCs w:val="18"/>
        </w:rPr>
      </w:pPr>
      <w:proofErr w:type="gramStart"/>
      <w:r>
        <w:rPr>
          <w:rFonts w:ascii="Arial" w:hAnsi="Arial" w:cs="Arial"/>
          <w:sz w:val="20"/>
          <w:szCs w:val="18"/>
          <w:vertAlign w:val="superscript"/>
        </w:rPr>
        <w:t>a</w:t>
      </w:r>
      <w:proofErr w:type="gramEnd"/>
      <w:r>
        <w:rPr>
          <w:rFonts w:ascii="Arial" w:hAnsi="Arial" w:cs="Arial"/>
          <w:sz w:val="18"/>
          <w:szCs w:val="18"/>
        </w:rPr>
        <w:t xml:space="preserve"> </w:t>
      </w:r>
      <w:r>
        <w:rPr>
          <w:rFonts w:ascii="Arial" w:hAnsi="Arial" w:cs="Arial"/>
          <w:sz w:val="18"/>
          <w:szCs w:val="18"/>
        </w:rPr>
        <w:tab/>
        <w:t>As observed analysis presented. N at 24 weeks may be less than 162 for placebo or 151 for Humira.</w:t>
      </w:r>
    </w:p>
    <w:p w:rsidR="00E44F87" w:rsidRDefault="00E44F87">
      <w:pPr>
        <w:autoSpaceDE w:val="0"/>
        <w:autoSpaceDN w:val="0"/>
        <w:adjustRightInd w:val="0"/>
        <w:ind w:left="180"/>
        <w:rPr>
          <w:rFonts w:ascii="Arial" w:hAnsi="Arial" w:cs="Arial"/>
          <w:sz w:val="18"/>
          <w:szCs w:val="18"/>
        </w:rPr>
      </w:pPr>
      <w:proofErr w:type="gramStart"/>
      <w:r>
        <w:rPr>
          <w:rFonts w:ascii="Arial" w:hAnsi="Arial" w:cs="Arial"/>
          <w:sz w:val="20"/>
          <w:szCs w:val="18"/>
          <w:vertAlign w:val="superscript"/>
        </w:rPr>
        <w:t>b</w:t>
      </w:r>
      <w:proofErr w:type="gramEnd"/>
      <w:r>
        <w:rPr>
          <w:rFonts w:ascii="Arial" w:hAnsi="Arial" w:cs="Arial"/>
          <w:sz w:val="18"/>
          <w:szCs w:val="18"/>
        </w:rPr>
        <w:t xml:space="preserve"> </w:t>
      </w:r>
      <w:r>
        <w:rPr>
          <w:rFonts w:ascii="Arial" w:hAnsi="Arial" w:cs="Arial"/>
          <w:sz w:val="18"/>
          <w:szCs w:val="18"/>
        </w:rPr>
        <w:tab/>
        <w:t>Scale 0 – 78</w:t>
      </w:r>
    </w:p>
    <w:p w:rsidR="00E44F87" w:rsidRDefault="00E44F87">
      <w:pPr>
        <w:autoSpaceDE w:val="0"/>
        <w:autoSpaceDN w:val="0"/>
        <w:adjustRightInd w:val="0"/>
        <w:ind w:left="180"/>
        <w:rPr>
          <w:rFonts w:ascii="Arial" w:hAnsi="Arial" w:cs="Arial"/>
          <w:sz w:val="18"/>
          <w:szCs w:val="18"/>
        </w:rPr>
      </w:pPr>
      <w:proofErr w:type="gramStart"/>
      <w:r>
        <w:rPr>
          <w:rFonts w:ascii="Arial" w:hAnsi="Arial" w:cs="Arial"/>
          <w:sz w:val="20"/>
          <w:szCs w:val="18"/>
          <w:vertAlign w:val="superscript"/>
        </w:rPr>
        <w:t>c</w:t>
      </w:r>
      <w:proofErr w:type="gramEnd"/>
      <w:r>
        <w:rPr>
          <w:rFonts w:ascii="Arial" w:hAnsi="Arial" w:cs="Arial"/>
          <w:sz w:val="18"/>
          <w:szCs w:val="18"/>
        </w:rPr>
        <w:t xml:space="preserve"> </w:t>
      </w:r>
      <w:r>
        <w:rPr>
          <w:rFonts w:ascii="Arial" w:hAnsi="Arial" w:cs="Arial"/>
          <w:sz w:val="18"/>
          <w:szCs w:val="18"/>
        </w:rPr>
        <w:tab/>
        <w:t>Scale 0 – 76</w:t>
      </w:r>
    </w:p>
    <w:p w:rsidR="00E44F87" w:rsidRDefault="00E44F87">
      <w:pPr>
        <w:autoSpaceDE w:val="0"/>
        <w:autoSpaceDN w:val="0"/>
        <w:adjustRightInd w:val="0"/>
        <w:ind w:left="180"/>
        <w:rPr>
          <w:rFonts w:ascii="Arial" w:hAnsi="Arial" w:cs="Arial"/>
          <w:sz w:val="18"/>
          <w:szCs w:val="18"/>
        </w:rPr>
      </w:pPr>
      <w:proofErr w:type="gramStart"/>
      <w:r>
        <w:rPr>
          <w:rFonts w:ascii="Arial" w:hAnsi="Arial" w:cs="Arial"/>
          <w:sz w:val="20"/>
          <w:szCs w:val="18"/>
          <w:vertAlign w:val="superscript"/>
        </w:rPr>
        <w:t>d</w:t>
      </w:r>
      <w:proofErr w:type="gramEnd"/>
      <w:r>
        <w:rPr>
          <w:rFonts w:ascii="Arial" w:hAnsi="Arial" w:cs="Arial"/>
          <w:sz w:val="18"/>
          <w:szCs w:val="18"/>
        </w:rPr>
        <w:t xml:space="preserve"> </w:t>
      </w:r>
      <w:r>
        <w:rPr>
          <w:rFonts w:ascii="Arial" w:hAnsi="Arial" w:cs="Arial"/>
          <w:sz w:val="18"/>
          <w:szCs w:val="18"/>
        </w:rPr>
        <w:tab/>
        <w:t>Visual analog scale; 0 = best, 100 = worst.</w:t>
      </w:r>
    </w:p>
    <w:p w:rsidR="00E44F87" w:rsidRDefault="00E44F87">
      <w:pPr>
        <w:autoSpaceDE w:val="0"/>
        <w:autoSpaceDN w:val="0"/>
        <w:adjustRightInd w:val="0"/>
        <w:ind w:left="720" w:hanging="540"/>
        <w:rPr>
          <w:rFonts w:ascii="Arial" w:hAnsi="Arial" w:cs="Arial"/>
          <w:sz w:val="18"/>
          <w:szCs w:val="18"/>
        </w:rPr>
      </w:pPr>
      <w:proofErr w:type="gramStart"/>
      <w:r>
        <w:rPr>
          <w:rFonts w:ascii="Arial" w:hAnsi="Arial" w:cs="Arial"/>
          <w:sz w:val="18"/>
          <w:szCs w:val="18"/>
          <w:vertAlign w:val="superscript"/>
        </w:rPr>
        <w:t>e</w:t>
      </w:r>
      <w:proofErr w:type="gramEnd"/>
      <w:r>
        <w:rPr>
          <w:rFonts w:ascii="Arial" w:hAnsi="Arial" w:cs="Arial"/>
          <w:sz w:val="18"/>
          <w:szCs w:val="18"/>
        </w:rPr>
        <w:t xml:space="preserve"> </w:t>
      </w:r>
      <w:r>
        <w:rPr>
          <w:rFonts w:ascii="Arial" w:hAnsi="Arial" w:cs="Arial"/>
          <w:sz w:val="18"/>
          <w:szCs w:val="18"/>
        </w:rPr>
        <w:tab/>
        <w:t>Disability Index of the Health Assessment Questionnaire; 0 = best, 3 = worst; measures the patient’s ability to perform the following: dress/groom, arise, eat, walk, reach, grip, maintain hygiene, and maintain daily activity.</w:t>
      </w:r>
    </w:p>
    <w:p w:rsidR="00E44F87" w:rsidRDefault="00E44F87">
      <w:pPr>
        <w:autoSpaceDE w:val="0"/>
        <w:autoSpaceDN w:val="0"/>
        <w:adjustRightInd w:val="0"/>
        <w:ind w:left="180"/>
        <w:rPr>
          <w:rFonts w:ascii="Arial" w:hAnsi="Arial" w:cs="Arial"/>
          <w:sz w:val="18"/>
          <w:szCs w:val="18"/>
        </w:rPr>
      </w:pPr>
      <w:proofErr w:type="gramStart"/>
      <w:r>
        <w:rPr>
          <w:rFonts w:ascii="Arial" w:hAnsi="Arial" w:cs="Arial"/>
          <w:sz w:val="18"/>
          <w:szCs w:val="18"/>
          <w:vertAlign w:val="superscript"/>
        </w:rPr>
        <w:t>f</w:t>
      </w:r>
      <w:proofErr w:type="gramEnd"/>
      <w:r>
        <w:rPr>
          <w:rFonts w:ascii="Arial" w:hAnsi="Arial" w:cs="Arial"/>
          <w:sz w:val="18"/>
          <w:szCs w:val="18"/>
        </w:rPr>
        <w:t xml:space="preserve"> </w:t>
      </w:r>
      <w:r>
        <w:rPr>
          <w:rFonts w:ascii="Arial" w:hAnsi="Arial" w:cs="Arial"/>
          <w:sz w:val="18"/>
          <w:szCs w:val="18"/>
        </w:rPr>
        <w:tab/>
      </w:r>
      <w:smartTag w:uri="urn:schemas-microsoft-com:office:smarttags" w:element="place">
        <w:r>
          <w:rPr>
            <w:rFonts w:ascii="Arial" w:hAnsi="Arial" w:cs="Arial"/>
            <w:sz w:val="18"/>
            <w:szCs w:val="18"/>
          </w:rPr>
          <w:t>Normal</w:t>
        </w:r>
      </w:smartTag>
      <w:r>
        <w:rPr>
          <w:rFonts w:ascii="Arial" w:hAnsi="Arial" w:cs="Arial"/>
          <w:sz w:val="18"/>
          <w:szCs w:val="18"/>
        </w:rPr>
        <w:t xml:space="preserve"> range: 0-2.87 mg/L.</w:t>
      </w:r>
    </w:p>
    <w:p w:rsidR="00E44F87" w:rsidRDefault="00E44F87">
      <w:pPr>
        <w:autoSpaceDE w:val="0"/>
        <w:autoSpaceDN w:val="0"/>
        <w:adjustRightInd w:val="0"/>
        <w:ind w:left="180"/>
        <w:rPr>
          <w:rFonts w:ascii="Arial" w:hAnsi="Arial" w:cs="Arial"/>
          <w:sz w:val="18"/>
          <w:szCs w:val="18"/>
        </w:rPr>
      </w:pPr>
      <w:r>
        <w:rPr>
          <w:rFonts w:ascii="Arial" w:hAnsi="Arial" w:cs="Arial"/>
          <w:sz w:val="18"/>
          <w:szCs w:val="18"/>
        </w:rPr>
        <w:t>*</w:t>
      </w:r>
      <w:r>
        <w:rPr>
          <w:rFonts w:ascii="Arial" w:hAnsi="Arial" w:cs="Arial"/>
          <w:sz w:val="18"/>
          <w:szCs w:val="18"/>
        </w:rPr>
        <w:tab/>
        <w:t xml:space="preserve"> p&lt; 0.001 for Humira vs. placebo comparisons based on mean changes.</w:t>
      </w:r>
    </w:p>
    <w:p w:rsidR="00E44F87" w:rsidRDefault="00E44F87">
      <w:pPr>
        <w:autoSpaceDE w:val="0"/>
        <w:autoSpaceDN w:val="0"/>
        <w:adjustRightInd w:val="0"/>
        <w:jc w:val="both"/>
        <w:rPr>
          <w:rFonts w:ascii="Arial" w:hAnsi="Arial" w:cs="Arial"/>
          <w:b/>
          <w:bCs/>
          <w:sz w:val="20"/>
          <w:szCs w:val="22"/>
        </w:rPr>
      </w:pPr>
    </w:p>
    <w:p w:rsidR="00E44F87" w:rsidRDefault="00E44F87">
      <w:pPr>
        <w:autoSpaceDE w:val="0"/>
        <w:autoSpaceDN w:val="0"/>
        <w:adjustRightInd w:val="0"/>
        <w:jc w:val="both"/>
        <w:rPr>
          <w:rFonts w:ascii="Arial" w:hAnsi="Arial" w:cs="Arial"/>
          <w:b/>
          <w:bCs/>
          <w:sz w:val="20"/>
          <w:szCs w:val="22"/>
        </w:rPr>
      </w:pPr>
      <w:r>
        <w:rPr>
          <w:rFonts w:ascii="Arial" w:hAnsi="Arial" w:cs="Arial"/>
          <w:b/>
          <w:bCs/>
          <w:sz w:val="20"/>
          <w:szCs w:val="22"/>
        </w:rPr>
        <w:t>Radiographic Response</w:t>
      </w:r>
    </w:p>
    <w:p w:rsidR="00E44F87" w:rsidRDefault="00E44F87">
      <w:pPr>
        <w:autoSpaceDE w:val="0"/>
        <w:autoSpaceDN w:val="0"/>
        <w:adjustRightInd w:val="0"/>
        <w:jc w:val="both"/>
        <w:rPr>
          <w:rFonts w:ascii="Arial" w:hAnsi="Arial" w:cs="Arial"/>
          <w:sz w:val="20"/>
          <w:szCs w:val="22"/>
        </w:rPr>
      </w:pP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Radiographic changes were assessed in the psoriatic arthritis studies. Radiographs of hands, wrists and feet were obtained at baseline and Week 24 during the double-blind period when patients were on Humira or placebo and at Week 48 when all patients were on open-label Humira. A modified Total Sharp Score (mTSS), which included distal interphalangeal joints (i.e., not identical to the TSS used for rheumatoid arthritis), was used by readers blinded to treatment group to assess the radiographs.</w:t>
      </w:r>
    </w:p>
    <w:p w:rsidR="00E44F87" w:rsidRDefault="00E44F87">
      <w:pPr>
        <w:pStyle w:val="CommentText"/>
        <w:autoSpaceDE w:val="0"/>
        <w:autoSpaceDN w:val="0"/>
        <w:adjustRightInd w:val="0"/>
        <w:jc w:val="both"/>
        <w:rPr>
          <w:rFonts w:ascii="Arial" w:hAnsi="Arial" w:cs="Arial"/>
          <w:szCs w:val="22"/>
        </w:rPr>
      </w:pP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Humira-treated patients demonstrated greater inhibition of radiographic progression compared to placebo-treated patients and this effect was maintained at 48 weeks (see Table 10)</w:t>
      </w:r>
    </w:p>
    <w:p w:rsidR="00E44F87" w:rsidRDefault="00E44F87">
      <w:pPr>
        <w:autoSpaceDE w:val="0"/>
        <w:autoSpaceDN w:val="0"/>
        <w:adjustRightInd w:val="0"/>
        <w:rPr>
          <w:rFonts w:ascii="Arial" w:hAnsi="Arial" w:cs="Arial"/>
          <w:sz w:val="20"/>
          <w:szCs w:val="22"/>
        </w:rPr>
      </w:pPr>
    </w:p>
    <w:p w:rsidR="00E44F87" w:rsidRPr="004C008E" w:rsidRDefault="00E44F87" w:rsidP="004C008E">
      <w:pPr>
        <w:autoSpaceDE w:val="0"/>
        <w:autoSpaceDN w:val="0"/>
        <w:adjustRightInd w:val="0"/>
        <w:jc w:val="center"/>
        <w:rPr>
          <w:rFonts w:ascii="Arial" w:hAnsi="Arial" w:cs="Arial"/>
          <w:b/>
          <w:bCs/>
          <w:sz w:val="20"/>
          <w:szCs w:val="22"/>
        </w:rPr>
      </w:pPr>
      <w:r>
        <w:rPr>
          <w:rFonts w:ascii="Arial" w:hAnsi="Arial" w:cs="Arial"/>
          <w:b/>
          <w:bCs/>
          <w:sz w:val="20"/>
          <w:szCs w:val="22"/>
        </w:rPr>
        <w:t>Table 10: Change in Modified Total Sharp Score in Psoriatic Arthritis</w:t>
      </w:r>
    </w:p>
    <w:p w:rsidR="00E44F87" w:rsidRDefault="00E44F87">
      <w:pPr>
        <w:autoSpaceDE w:val="0"/>
        <w:autoSpaceDN w:val="0"/>
        <w:adjustRightInd w:val="0"/>
        <w:rPr>
          <w:rFonts w:ascii="Arial" w:hAnsi="Arial" w:cs="Arial"/>
          <w:sz w:val="16"/>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9"/>
        <w:gridCol w:w="2837"/>
        <w:gridCol w:w="2229"/>
        <w:gridCol w:w="1134"/>
      </w:tblGrid>
      <w:tr w:rsidR="00E44F87">
        <w:trPr>
          <w:tblHeader/>
        </w:trPr>
        <w:tc>
          <w:tcPr>
            <w:tcW w:w="1890" w:type="pct"/>
            <w:tcBorders>
              <w:top w:val="nil"/>
              <w:left w:val="nil"/>
              <w:bottom w:val="single" w:sz="4" w:space="0" w:color="auto"/>
              <w:right w:val="nil"/>
            </w:tcBorders>
          </w:tcPr>
          <w:p w:rsidR="00E44F87" w:rsidRDefault="00E44F87">
            <w:pPr>
              <w:rPr>
                <w:rFonts w:ascii="Arial" w:hAnsi="Arial" w:cs="Arial"/>
                <w:b/>
                <w:bCs/>
                <w:sz w:val="20"/>
              </w:rPr>
            </w:pPr>
            <w:r>
              <w:rPr>
                <w:rFonts w:ascii="Arial" w:hAnsi="Arial" w:cs="Arial"/>
                <w:b/>
                <w:bCs/>
                <w:sz w:val="20"/>
              </w:rPr>
              <w:t>Modified Total Sharp Score*</w:t>
            </w:r>
          </w:p>
        </w:tc>
        <w:tc>
          <w:tcPr>
            <w:tcW w:w="1423" w:type="pct"/>
            <w:tcBorders>
              <w:top w:val="nil"/>
              <w:left w:val="nil"/>
              <w:bottom w:val="single" w:sz="4" w:space="0" w:color="auto"/>
              <w:right w:val="nil"/>
            </w:tcBorders>
          </w:tcPr>
          <w:p w:rsidR="00E44F87" w:rsidRDefault="00E44F87">
            <w:pPr>
              <w:jc w:val="center"/>
              <w:rPr>
                <w:rFonts w:ascii="Arial" w:hAnsi="Arial" w:cs="Arial"/>
                <w:sz w:val="20"/>
              </w:rPr>
            </w:pPr>
            <w:r>
              <w:rPr>
                <w:rFonts w:ascii="Arial" w:hAnsi="Arial" w:cs="Arial"/>
                <w:sz w:val="20"/>
              </w:rPr>
              <w:t>Placebo</w:t>
            </w:r>
          </w:p>
        </w:tc>
        <w:tc>
          <w:tcPr>
            <w:tcW w:w="1118" w:type="pct"/>
            <w:tcBorders>
              <w:top w:val="nil"/>
              <w:left w:val="nil"/>
              <w:bottom w:val="single" w:sz="4" w:space="0" w:color="auto"/>
              <w:right w:val="nil"/>
            </w:tcBorders>
          </w:tcPr>
          <w:p w:rsidR="00E44F87" w:rsidRDefault="00E44F87">
            <w:pPr>
              <w:jc w:val="center"/>
              <w:rPr>
                <w:rFonts w:ascii="Arial" w:hAnsi="Arial" w:cs="Arial"/>
                <w:sz w:val="20"/>
              </w:rPr>
            </w:pPr>
            <w:r>
              <w:rPr>
                <w:rFonts w:ascii="Arial" w:hAnsi="Arial" w:cs="Arial"/>
                <w:sz w:val="20"/>
              </w:rPr>
              <w:t>Adalimumab</w:t>
            </w:r>
          </w:p>
        </w:tc>
        <w:tc>
          <w:tcPr>
            <w:tcW w:w="569" w:type="pct"/>
            <w:tcBorders>
              <w:top w:val="nil"/>
              <w:left w:val="nil"/>
              <w:bottom w:val="single" w:sz="4" w:space="0" w:color="auto"/>
              <w:right w:val="nil"/>
            </w:tcBorders>
          </w:tcPr>
          <w:p w:rsidR="00E44F87" w:rsidRDefault="00E44F87">
            <w:pPr>
              <w:jc w:val="center"/>
              <w:rPr>
                <w:rFonts w:ascii="Arial" w:hAnsi="Arial" w:cs="Arial"/>
                <w:sz w:val="20"/>
              </w:rPr>
            </w:pPr>
            <w:r>
              <w:rPr>
                <w:rFonts w:ascii="Arial" w:hAnsi="Arial" w:cs="Arial"/>
                <w:i/>
                <w:iCs/>
                <w:sz w:val="20"/>
              </w:rPr>
              <w:t>p</w:t>
            </w:r>
            <w:r>
              <w:rPr>
                <w:rFonts w:ascii="Arial" w:hAnsi="Arial" w:cs="Arial"/>
                <w:sz w:val="20"/>
              </w:rPr>
              <w:t>-value</w:t>
            </w:r>
          </w:p>
        </w:tc>
      </w:tr>
      <w:tr w:rsidR="00E44F87">
        <w:tc>
          <w:tcPr>
            <w:tcW w:w="1890" w:type="pct"/>
            <w:tcBorders>
              <w:left w:val="nil"/>
              <w:bottom w:val="nil"/>
              <w:right w:val="nil"/>
            </w:tcBorders>
          </w:tcPr>
          <w:p w:rsidR="00E44F87" w:rsidRDefault="00E44F87">
            <w:pPr>
              <w:pStyle w:val="CommentText"/>
              <w:rPr>
                <w:rFonts w:ascii="Arial" w:hAnsi="Arial" w:cs="Arial"/>
                <w:szCs w:val="24"/>
              </w:rPr>
            </w:pPr>
            <w:r>
              <w:rPr>
                <w:rFonts w:ascii="Arial" w:hAnsi="Arial" w:cs="Arial"/>
                <w:szCs w:val="24"/>
              </w:rPr>
              <w:t>Baseline to Week-24</w:t>
            </w:r>
          </w:p>
          <w:p w:rsidR="00E44F87" w:rsidRDefault="00E44F87">
            <w:pPr>
              <w:numPr>
                <w:ilvl w:val="0"/>
                <w:numId w:val="14"/>
              </w:numPr>
              <w:rPr>
                <w:rFonts w:ascii="Arial" w:hAnsi="Arial" w:cs="Arial"/>
                <w:sz w:val="20"/>
              </w:rPr>
            </w:pPr>
            <w:r>
              <w:rPr>
                <w:rFonts w:ascii="Arial" w:hAnsi="Arial" w:cs="Arial"/>
                <w:sz w:val="20"/>
              </w:rPr>
              <w:t>baseline mean</w:t>
            </w:r>
          </w:p>
          <w:p w:rsidR="00E44F87" w:rsidRDefault="00E44F87">
            <w:pPr>
              <w:numPr>
                <w:ilvl w:val="0"/>
                <w:numId w:val="14"/>
              </w:numPr>
              <w:rPr>
                <w:rFonts w:ascii="Arial" w:hAnsi="Arial" w:cs="Arial"/>
                <w:sz w:val="20"/>
              </w:rPr>
            </w:pPr>
            <w:r>
              <w:rPr>
                <w:rFonts w:ascii="Arial" w:hAnsi="Arial" w:cs="Arial"/>
                <w:sz w:val="20"/>
              </w:rPr>
              <w:t>mean change from baseline</w:t>
            </w:r>
          </w:p>
        </w:tc>
        <w:tc>
          <w:tcPr>
            <w:tcW w:w="1423" w:type="pct"/>
            <w:tcBorders>
              <w:left w:val="nil"/>
              <w:right w:val="nil"/>
            </w:tcBorders>
          </w:tcPr>
          <w:p w:rsidR="00E44F87" w:rsidRDefault="00E44F87">
            <w:pPr>
              <w:jc w:val="center"/>
              <w:rPr>
                <w:rFonts w:ascii="Arial" w:hAnsi="Arial" w:cs="Arial"/>
                <w:sz w:val="20"/>
              </w:rPr>
            </w:pPr>
            <w:r>
              <w:rPr>
                <w:rFonts w:ascii="Arial" w:hAnsi="Arial" w:cs="Arial"/>
                <w:sz w:val="20"/>
              </w:rPr>
              <w:t>n = 162</w:t>
            </w:r>
          </w:p>
          <w:p w:rsidR="00E44F87" w:rsidRDefault="00E44F87">
            <w:pPr>
              <w:jc w:val="center"/>
              <w:rPr>
                <w:rFonts w:ascii="Arial" w:hAnsi="Arial" w:cs="Arial"/>
                <w:sz w:val="20"/>
              </w:rPr>
            </w:pPr>
            <w:r>
              <w:rPr>
                <w:rFonts w:ascii="Arial" w:hAnsi="Arial" w:cs="Arial"/>
                <w:sz w:val="20"/>
              </w:rPr>
              <w:t>19.0</w:t>
            </w:r>
          </w:p>
          <w:p w:rsidR="00E44F87" w:rsidRDefault="00E44F87">
            <w:pPr>
              <w:jc w:val="center"/>
              <w:rPr>
                <w:rFonts w:ascii="Arial" w:hAnsi="Arial" w:cs="Arial"/>
                <w:sz w:val="20"/>
                <w:highlight w:val="cyan"/>
              </w:rPr>
            </w:pPr>
            <w:r>
              <w:rPr>
                <w:rFonts w:ascii="Arial" w:hAnsi="Arial" w:cs="Arial"/>
                <w:sz w:val="20"/>
              </w:rPr>
              <w:t xml:space="preserve">1.6 </w:t>
            </w:r>
          </w:p>
        </w:tc>
        <w:tc>
          <w:tcPr>
            <w:tcW w:w="1118" w:type="pct"/>
            <w:tcBorders>
              <w:left w:val="nil"/>
              <w:right w:val="nil"/>
            </w:tcBorders>
          </w:tcPr>
          <w:p w:rsidR="00E44F87" w:rsidRDefault="00E44F87">
            <w:pPr>
              <w:jc w:val="center"/>
              <w:rPr>
                <w:rFonts w:ascii="Arial" w:hAnsi="Arial" w:cs="Arial"/>
                <w:sz w:val="20"/>
              </w:rPr>
            </w:pPr>
            <w:r>
              <w:rPr>
                <w:rFonts w:ascii="Arial" w:hAnsi="Arial" w:cs="Arial"/>
                <w:sz w:val="20"/>
              </w:rPr>
              <w:t>n = 151</w:t>
            </w:r>
          </w:p>
          <w:p w:rsidR="00E44F87" w:rsidRDefault="00E44F87">
            <w:pPr>
              <w:jc w:val="center"/>
              <w:rPr>
                <w:rFonts w:ascii="Arial" w:hAnsi="Arial" w:cs="Arial"/>
                <w:sz w:val="20"/>
              </w:rPr>
            </w:pPr>
            <w:r>
              <w:rPr>
                <w:rFonts w:ascii="Arial" w:hAnsi="Arial" w:cs="Arial"/>
                <w:sz w:val="20"/>
              </w:rPr>
              <w:t>22.6</w:t>
            </w:r>
          </w:p>
          <w:p w:rsidR="00E44F87" w:rsidRDefault="00E44F87">
            <w:pPr>
              <w:jc w:val="center"/>
              <w:rPr>
                <w:rFonts w:ascii="Arial" w:hAnsi="Arial" w:cs="Arial"/>
                <w:sz w:val="20"/>
                <w:highlight w:val="cyan"/>
              </w:rPr>
            </w:pPr>
            <w:r>
              <w:rPr>
                <w:rFonts w:ascii="Arial" w:hAnsi="Arial" w:cs="Arial"/>
                <w:sz w:val="20"/>
              </w:rPr>
              <w:t xml:space="preserve">1.0 </w:t>
            </w:r>
          </w:p>
        </w:tc>
        <w:tc>
          <w:tcPr>
            <w:tcW w:w="569" w:type="pct"/>
            <w:tcBorders>
              <w:left w:val="nil"/>
              <w:bottom w:val="nil"/>
              <w:right w:val="nil"/>
            </w:tcBorders>
          </w:tcPr>
          <w:p w:rsidR="00E44F87" w:rsidRDefault="00E44F87">
            <w:pPr>
              <w:jc w:val="center"/>
              <w:rPr>
                <w:rFonts w:ascii="Arial" w:hAnsi="Arial" w:cs="Arial"/>
                <w:sz w:val="20"/>
              </w:rPr>
            </w:pPr>
          </w:p>
          <w:p w:rsidR="00E44F87" w:rsidRDefault="00E44F87">
            <w:pPr>
              <w:jc w:val="center"/>
              <w:rPr>
                <w:rFonts w:ascii="Arial" w:hAnsi="Arial" w:cs="Arial"/>
                <w:sz w:val="20"/>
              </w:rPr>
            </w:pPr>
          </w:p>
          <w:p w:rsidR="00E44F87" w:rsidRDefault="00E44F87">
            <w:pPr>
              <w:jc w:val="center"/>
              <w:rPr>
                <w:rFonts w:ascii="Arial" w:hAnsi="Arial" w:cs="Arial"/>
                <w:sz w:val="20"/>
              </w:rPr>
            </w:pPr>
            <w:r>
              <w:rPr>
                <w:rFonts w:ascii="Arial" w:hAnsi="Arial" w:cs="Arial"/>
                <w:sz w:val="20"/>
              </w:rPr>
              <w:t>&lt; 0.001</w:t>
            </w:r>
          </w:p>
        </w:tc>
      </w:tr>
      <w:tr w:rsidR="00E44F87">
        <w:tc>
          <w:tcPr>
            <w:tcW w:w="1890" w:type="pct"/>
            <w:tcBorders>
              <w:top w:val="nil"/>
              <w:left w:val="nil"/>
              <w:bottom w:val="single" w:sz="4" w:space="0" w:color="auto"/>
              <w:right w:val="nil"/>
            </w:tcBorders>
          </w:tcPr>
          <w:p w:rsidR="00E44F87" w:rsidRDefault="00E44F87">
            <w:pPr>
              <w:rPr>
                <w:rFonts w:ascii="Arial" w:hAnsi="Arial" w:cs="Arial"/>
                <w:sz w:val="20"/>
              </w:rPr>
            </w:pPr>
          </w:p>
        </w:tc>
        <w:tc>
          <w:tcPr>
            <w:tcW w:w="1423" w:type="pct"/>
            <w:tcBorders>
              <w:left w:val="nil"/>
              <w:bottom w:val="single" w:sz="4" w:space="0" w:color="auto"/>
              <w:right w:val="nil"/>
            </w:tcBorders>
          </w:tcPr>
          <w:p w:rsidR="00E44F87" w:rsidRDefault="00E44F87">
            <w:pPr>
              <w:jc w:val="center"/>
              <w:rPr>
                <w:rFonts w:ascii="Arial" w:hAnsi="Arial" w:cs="Arial"/>
                <w:sz w:val="20"/>
              </w:rPr>
            </w:pPr>
            <w:r>
              <w:rPr>
                <w:rFonts w:ascii="Arial" w:hAnsi="Arial" w:cs="Arial"/>
                <w:sz w:val="20"/>
              </w:rPr>
              <w:t>Placebo to adalimumab**</w:t>
            </w:r>
          </w:p>
        </w:tc>
        <w:tc>
          <w:tcPr>
            <w:tcW w:w="1118" w:type="pct"/>
            <w:tcBorders>
              <w:left w:val="nil"/>
              <w:bottom w:val="single" w:sz="4" w:space="0" w:color="auto"/>
              <w:right w:val="nil"/>
            </w:tcBorders>
          </w:tcPr>
          <w:p w:rsidR="00E44F87" w:rsidRDefault="00E44F87">
            <w:pPr>
              <w:jc w:val="center"/>
              <w:rPr>
                <w:rFonts w:ascii="Arial" w:hAnsi="Arial" w:cs="Arial"/>
                <w:sz w:val="20"/>
              </w:rPr>
            </w:pPr>
            <w:r>
              <w:rPr>
                <w:rFonts w:ascii="Arial" w:hAnsi="Arial" w:cs="Arial"/>
                <w:sz w:val="20"/>
              </w:rPr>
              <w:t>Adalimumab</w:t>
            </w:r>
          </w:p>
        </w:tc>
        <w:tc>
          <w:tcPr>
            <w:tcW w:w="569" w:type="pct"/>
            <w:tcBorders>
              <w:top w:val="nil"/>
              <w:left w:val="nil"/>
              <w:bottom w:val="single" w:sz="4" w:space="0" w:color="auto"/>
              <w:right w:val="nil"/>
            </w:tcBorders>
          </w:tcPr>
          <w:p w:rsidR="00E44F87" w:rsidRDefault="00E44F87">
            <w:pPr>
              <w:jc w:val="center"/>
              <w:rPr>
                <w:rFonts w:ascii="Arial" w:hAnsi="Arial" w:cs="Arial"/>
                <w:sz w:val="20"/>
              </w:rPr>
            </w:pPr>
          </w:p>
        </w:tc>
      </w:tr>
      <w:tr w:rsidR="00E44F87">
        <w:tc>
          <w:tcPr>
            <w:tcW w:w="1890" w:type="pct"/>
            <w:tcBorders>
              <w:left w:val="nil"/>
              <w:bottom w:val="nil"/>
              <w:right w:val="nil"/>
            </w:tcBorders>
          </w:tcPr>
          <w:p w:rsidR="00E44F87" w:rsidRDefault="00E44F87">
            <w:pPr>
              <w:rPr>
                <w:rFonts w:ascii="Arial" w:hAnsi="Arial" w:cs="Arial"/>
                <w:sz w:val="20"/>
              </w:rPr>
            </w:pPr>
            <w:r>
              <w:rPr>
                <w:rFonts w:ascii="Arial" w:hAnsi="Arial" w:cs="Arial"/>
                <w:sz w:val="20"/>
              </w:rPr>
              <w:t>Baseline to Week-48</w:t>
            </w:r>
          </w:p>
          <w:p w:rsidR="00E44F87" w:rsidRDefault="00E44F87">
            <w:pPr>
              <w:numPr>
                <w:ilvl w:val="0"/>
                <w:numId w:val="14"/>
              </w:numPr>
              <w:rPr>
                <w:rFonts w:ascii="Arial" w:hAnsi="Arial" w:cs="Arial"/>
                <w:sz w:val="20"/>
              </w:rPr>
            </w:pPr>
            <w:r>
              <w:rPr>
                <w:rFonts w:ascii="Arial" w:hAnsi="Arial" w:cs="Arial"/>
                <w:sz w:val="20"/>
              </w:rPr>
              <w:t xml:space="preserve">baseline mean </w:t>
            </w:r>
          </w:p>
          <w:p w:rsidR="00E44F87" w:rsidRDefault="00E44F87">
            <w:pPr>
              <w:numPr>
                <w:ilvl w:val="0"/>
                <w:numId w:val="14"/>
              </w:numPr>
              <w:rPr>
                <w:rFonts w:ascii="Arial" w:hAnsi="Arial" w:cs="Arial"/>
                <w:sz w:val="20"/>
              </w:rPr>
            </w:pPr>
            <w:r>
              <w:rPr>
                <w:rFonts w:ascii="Arial" w:hAnsi="Arial" w:cs="Arial"/>
                <w:sz w:val="20"/>
              </w:rPr>
              <w:t>mean change from baseline</w:t>
            </w:r>
          </w:p>
        </w:tc>
        <w:tc>
          <w:tcPr>
            <w:tcW w:w="1423" w:type="pct"/>
            <w:tcBorders>
              <w:left w:val="nil"/>
              <w:bottom w:val="nil"/>
              <w:right w:val="nil"/>
            </w:tcBorders>
          </w:tcPr>
          <w:p w:rsidR="00E44F87" w:rsidRDefault="00E44F87">
            <w:pPr>
              <w:jc w:val="center"/>
              <w:rPr>
                <w:rFonts w:ascii="Arial" w:hAnsi="Arial" w:cs="Arial"/>
                <w:sz w:val="20"/>
              </w:rPr>
            </w:pPr>
            <w:r>
              <w:rPr>
                <w:rFonts w:ascii="Arial" w:hAnsi="Arial" w:cs="Arial"/>
                <w:sz w:val="20"/>
              </w:rPr>
              <w:t>n = 141</w:t>
            </w:r>
          </w:p>
          <w:p w:rsidR="00E44F87" w:rsidRDefault="00E44F87">
            <w:pPr>
              <w:jc w:val="center"/>
              <w:rPr>
                <w:rFonts w:ascii="Arial" w:hAnsi="Arial" w:cs="Arial"/>
                <w:sz w:val="20"/>
              </w:rPr>
            </w:pPr>
            <w:r>
              <w:rPr>
                <w:rFonts w:ascii="Arial" w:hAnsi="Arial" w:cs="Arial"/>
                <w:sz w:val="20"/>
              </w:rPr>
              <w:t>21.2</w:t>
            </w:r>
          </w:p>
          <w:p w:rsidR="00E44F87" w:rsidRDefault="00E44F87">
            <w:pPr>
              <w:jc w:val="center"/>
              <w:rPr>
                <w:rFonts w:ascii="Arial" w:hAnsi="Arial" w:cs="Arial"/>
                <w:sz w:val="20"/>
              </w:rPr>
            </w:pPr>
            <w:r>
              <w:rPr>
                <w:rFonts w:ascii="Arial" w:hAnsi="Arial" w:cs="Arial"/>
                <w:sz w:val="20"/>
              </w:rPr>
              <w:t>0.9</w:t>
            </w:r>
          </w:p>
        </w:tc>
        <w:tc>
          <w:tcPr>
            <w:tcW w:w="1118" w:type="pct"/>
            <w:tcBorders>
              <w:left w:val="nil"/>
              <w:bottom w:val="nil"/>
              <w:right w:val="nil"/>
            </w:tcBorders>
          </w:tcPr>
          <w:p w:rsidR="00E44F87" w:rsidRDefault="00E44F87">
            <w:pPr>
              <w:jc w:val="center"/>
              <w:rPr>
                <w:rFonts w:ascii="Arial" w:hAnsi="Arial" w:cs="Arial"/>
                <w:sz w:val="20"/>
              </w:rPr>
            </w:pPr>
            <w:r>
              <w:rPr>
                <w:rFonts w:ascii="Arial" w:hAnsi="Arial" w:cs="Arial"/>
                <w:sz w:val="20"/>
              </w:rPr>
              <w:t>n = 133</w:t>
            </w:r>
          </w:p>
          <w:p w:rsidR="00E44F87" w:rsidRDefault="00E44F87">
            <w:pPr>
              <w:jc w:val="center"/>
              <w:rPr>
                <w:rFonts w:ascii="Arial" w:hAnsi="Arial" w:cs="Arial"/>
                <w:sz w:val="20"/>
              </w:rPr>
            </w:pPr>
            <w:r>
              <w:rPr>
                <w:rFonts w:ascii="Arial" w:hAnsi="Arial" w:cs="Arial"/>
                <w:sz w:val="20"/>
              </w:rPr>
              <w:t>22.2</w:t>
            </w:r>
          </w:p>
          <w:p w:rsidR="00E44F87" w:rsidRDefault="00E44F87">
            <w:pPr>
              <w:jc w:val="center"/>
              <w:rPr>
                <w:rFonts w:ascii="Arial" w:hAnsi="Arial" w:cs="Arial"/>
                <w:sz w:val="20"/>
              </w:rPr>
            </w:pPr>
            <w:r>
              <w:rPr>
                <w:rFonts w:ascii="Arial" w:hAnsi="Arial" w:cs="Arial"/>
                <w:sz w:val="20"/>
              </w:rPr>
              <w:t>0.0</w:t>
            </w:r>
          </w:p>
        </w:tc>
        <w:tc>
          <w:tcPr>
            <w:tcW w:w="569" w:type="pct"/>
            <w:tcBorders>
              <w:left w:val="nil"/>
              <w:bottom w:val="nil"/>
              <w:right w:val="nil"/>
            </w:tcBorders>
          </w:tcPr>
          <w:p w:rsidR="00E44F87" w:rsidRDefault="00E44F87">
            <w:pPr>
              <w:jc w:val="center"/>
              <w:rPr>
                <w:rFonts w:ascii="Arial" w:hAnsi="Arial" w:cs="Arial"/>
                <w:sz w:val="20"/>
              </w:rPr>
            </w:pPr>
          </w:p>
        </w:tc>
      </w:tr>
      <w:tr w:rsidR="00E44F87">
        <w:tc>
          <w:tcPr>
            <w:tcW w:w="1890" w:type="pct"/>
            <w:tcBorders>
              <w:left w:val="nil"/>
              <w:right w:val="nil"/>
            </w:tcBorders>
          </w:tcPr>
          <w:p w:rsidR="00E44F87" w:rsidRDefault="00E44F87">
            <w:pPr>
              <w:rPr>
                <w:rFonts w:ascii="Arial" w:hAnsi="Arial" w:cs="Arial"/>
                <w:sz w:val="20"/>
              </w:rPr>
            </w:pPr>
            <w:r>
              <w:rPr>
                <w:rFonts w:ascii="Arial" w:hAnsi="Arial" w:cs="Arial"/>
                <w:sz w:val="20"/>
              </w:rPr>
              <w:t>Week-48 to Week-144</w:t>
            </w:r>
          </w:p>
          <w:p w:rsidR="00E44F87" w:rsidRDefault="00E44F87">
            <w:pPr>
              <w:numPr>
                <w:ilvl w:val="0"/>
                <w:numId w:val="14"/>
              </w:numPr>
              <w:rPr>
                <w:rFonts w:ascii="Arial" w:hAnsi="Arial" w:cs="Arial"/>
                <w:sz w:val="20"/>
              </w:rPr>
            </w:pPr>
            <w:r>
              <w:rPr>
                <w:rFonts w:ascii="Arial" w:hAnsi="Arial" w:cs="Arial"/>
                <w:sz w:val="20"/>
              </w:rPr>
              <w:t>Week-48 mean</w:t>
            </w:r>
          </w:p>
          <w:p w:rsidR="00E44F87" w:rsidRDefault="00E44F87">
            <w:pPr>
              <w:numPr>
                <w:ilvl w:val="0"/>
                <w:numId w:val="14"/>
              </w:numPr>
              <w:rPr>
                <w:rFonts w:ascii="Arial" w:hAnsi="Arial" w:cs="Arial"/>
                <w:sz w:val="20"/>
              </w:rPr>
            </w:pPr>
            <w:r>
              <w:rPr>
                <w:rFonts w:ascii="Arial" w:hAnsi="Arial" w:cs="Arial"/>
                <w:sz w:val="20"/>
              </w:rPr>
              <w:t>mean change from Week-48</w:t>
            </w:r>
          </w:p>
        </w:tc>
        <w:tc>
          <w:tcPr>
            <w:tcW w:w="1423" w:type="pct"/>
            <w:tcBorders>
              <w:left w:val="nil"/>
              <w:right w:val="nil"/>
            </w:tcBorders>
          </w:tcPr>
          <w:p w:rsidR="00E44F87" w:rsidRDefault="00E44F87">
            <w:pPr>
              <w:jc w:val="center"/>
              <w:rPr>
                <w:rFonts w:ascii="Arial" w:hAnsi="Arial" w:cs="Arial"/>
                <w:sz w:val="20"/>
              </w:rPr>
            </w:pPr>
            <w:r>
              <w:rPr>
                <w:rFonts w:ascii="Arial" w:hAnsi="Arial" w:cs="Arial"/>
                <w:sz w:val="20"/>
              </w:rPr>
              <w:t>n = 128</w:t>
            </w:r>
          </w:p>
          <w:p w:rsidR="00E44F87" w:rsidRDefault="00E44F87">
            <w:pPr>
              <w:jc w:val="center"/>
              <w:rPr>
                <w:rFonts w:ascii="Arial" w:hAnsi="Arial" w:cs="Arial"/>
                <w:sz w:val="20"/>
              </w:rPr>
            </w:pPr>
            <w:r>
              <w:rPr>
                <w:rFonts w:ascii="Arial" w:hAnsi="Arial" w:cs="Arial"/>
                <w:sz w:val="20"/>
              </w:rPr>
              <w:t>22.7</w:t>
            </w:r>
          </w:p>
          <w:p w:rsidR="00E44F87" w:rsidRDefault="00E44F87">
            <w:pPr>
              <w:jc w:val="center"/>
              <w:rPr>
                <w:rFonts w:ascii="Arial" w:hAnsi="Arial" w:cs="Arial"/>
                <w:sz w:val="20"/>
              </w:rPr>
            </w:pPr>
            <w:r>
              <w:rPr>
                <w:rFonts w:ascii="Arial" w:hAnsi="Arial" w:cs="Arial"/>
                <w:sz w:val="20"/>
              </w:rPr>
              <w:t>0.1</w:t>
            </w:r>
          </w:p>
        </w:tc>
        <w:tc>
          <w:tcPr>
            <w:tcW w:w="1118" w:type="pct"/>
            <w:tcBorders>
              <w:left w:val="nil"/>
              <w:right w:val="nil"/>
            </w:tcBorders>
          </w:tcPr>
          <w:p w:rsidR="00E44F87" w:rsidRDefault="00E44F87">
            <w:pPr>
              <w:jc w:val="center"/>
              <w:rPr>
                <w:rFonts w:ascii="Arial" w:hAnsi="Arial" w:cs="Arial"/>
                <w:sz w:val="20"/>
              </w:rPr>
            </w:pPr>
            <w:r>
              <w:rPr>
                <w:rFonts w:ascii="Arial" w:hAnsi="Arial" w:cs="Arial"/>
                <w:sz w:val="20"/>
              </w:rPr>
              <w:t>n = 115</w:t>
            </w:r>
          </w:p>
          <w:p w:rsidR="00E44F87" w:rsidRDefault="00E44F87">
            <w:pPr>
              <w:jc w:val="center"/>
              <w:rPr>
                <w:rFonts w:ascii="Arial" w:hAnsi="Arial" w:cs="Arial"/>
                <w:sz w:val="20"/>
              </w:rPr>
            </w:pPr>
            <w:r>
              <w:rPr>
                <w:rFonts w:ascii="Arial" w:hAnsi="Arial" w:cs="Arial"/>
                <w:sz w:val="20"/>
              </w:rPr>
              <w:t>22.3</w:t>
            </w:r>
          </w:p>
          <w:p w:rsidR="00E44F87" w:rsidRDefault="00E44F87">
            <w:pPr>
              <w:jc w:val="center"/>
              <w:rPr>
                <w:rFonts w:ascii="Arial" w:hAnsi="Arial" w:cs="Arial"/>
                <w:sz w:val="20"/>
              </w:rPr>
            </w:pPr>
            <w:r>
              <w:rPr>
                <w:rFonts w:ascii="Arial" w:hAnsi="Arial" w:cs="Arial"/>
                <w:sz w:val="20"/>
              </w:rPr>
              <w:t>0.4</w:t>
            </w:r>
          </w:p>
        </w:tc>
        <w:tc>
          <w:tcPr>
            <w:tcW w:w="569" w:type="pct"/>
            <w:tcBorders>
              <w:left w:val="nil"/>
              <w:right w:val="nil"/>
            </w:tcBorders>
          </w:tcPr>
          <w:p w:rsidR="00E44F87" w:rsidRDefault="00E44F87">
            <w:pPr>
              <w:jc w:val="center"/>
              <w:rPr>
                <w:rFonts w:ascii="Arial" w:hAnsi="Arial" w:cs="Arial"/>
                <w:sz w:val="20"/>
              </w:rPr>
            </w:pPr>
          </w:p>
        </w:tc>
      </w:tr>
      <w:tr w:rsidR="00E44F87">
        <w:tc>
          <w:tcPr>
            <w:tcW w:w="1890" w:type="pct"/>
            <w:tcBorders>
              <w:left w:val="nil"/>
              <w:bottom w:val="single" w:sz="4" w:space="0" w:color="auto"/>
              <w:right w:val="nil"/>
            </w:tcBorders>
          </w:tcPr>
          <w:p w:rsidR="00E44F87" w:rsidRDefault="00E44F87">
            <w:pPr>
              <w:rPr>
                <w:rFonts w:ascii="Arial" w:hAnsi="Arial" w:cs="Arial"/>
                <w:sz w:val="20"/>
              </w:rPr>
            </w:pPr>
          </w:p>
          <w:p w:rsidR="00E44F87" w:rsidRDefault="00E44F87">
            <w:pPr>
              <w:rPr>
                <w:rFonts w:ascii="Arial" w:hAnsi="Arial" w:cs="Arial"/>
                <w:b/>
                <w:bCs/>
                <w:sz w:val="20"/>
              </w:rPr>
            </w:pPr>
            <w:r>
              <w:rPr>
                <w:rFonts w:ascii="Arial" w:hAnsi="Arial" w:cs="Arial"/>
                <w:b/>
                <w:bCs/>
                <w:sz w:val="20"/>
              </w:rPr>
              <w:t>Erosion Score</w:t>
            </w:r>
          </w:p>
        </w:tc>
        <w:tc>
          <w:tcPr>
            <w:tcW w:w="1423" w:type="pct"/>
            <w:tcBorders>
              <w:left w:val="nil"/>
              <w:bottom w:val="single" w:sz="4" w:space="0" w:color="auto"/>
              <w:right w:val="nil"/>
            </w:tcBorders>
          </w:tcPr>
          <w:p w:rsidR="00E44F87" w:rsidRDefault="00E44F87">
            <w:pPr>
              <w:jc w:val="center"/>
              <w:rPr>
                <w:rFonts w:ascii="Arial" w:hAnsi="Arial" w:cs="Arial"/>
                <w:sz w:val="20"/>
              </w:rPr>
            </w:pPr>
          </w:p>
          <w:p w:rsidR="00E44F87" w:rsidRDefault="00E44F87">
            <w:pPr>
              <w:jc w:val="center"/>
              <w:rPr>
                <w:rFonts w:ascii="Arial" w:hAnsi="Arial" w:cs="Arial"/>
                <w:sz w:val="20"/>
              </w:rPr>
            </w:pPr>
            <w:r>
              <w:rPr>
                <w:rFonts w:ascii="Arial" w:hAnsi="Arial" w:cs="Arial"/>
                <w:sz w:val="20"/>
              </w:rPr>
              <w:t>Placebo to adalimumab**</w:t>
            </w:r>
          </w:p>
        </w:tc>
        <w:tc>
          <w:tcPr>
            <w:tcW w:w="1118" w:type="pct"/>
            <w:tcBorders>
              <w:left w:val="nil"/>
              <w:bottom w:val="single" w:sz="4" w:space="0" w:color="auto"/>
              <w:right w:val="nil"/>
            </w:tcBorders>
          </w:tcPr>
          <w:p w:rsidR="00E44F87" w:rsidRDefault="00E44F87">
            <w:pPr>
              <w:jc w:val="center"/>
              <w:rPr>
                <w:rFonts w:ascii="Arial" w:hAnsi="Arial" w:cs="Arial"/>
                <w:sz w:val="20"/>
              </w:rPr>
            </w:pPr>
          </w:p>
          <w:p w:rsidR="00E44F87" w:rsidRDefault="00E44F87">
            <w:pPr>
              <w:jc w:val="center"/>
              <w:rPr>
                <w:rFonts w:ascii="Arial" w:hAnsi="Arial" w:cs="Arial"/>
                <w:sz w:val="20"/>
              </w:rPr>
            </w:pPr>
            <w:r>
              <w:rPr>
                <w:rFonts w:ascii="Arial" w:hAnsi="Arial" w:cs="Arial"/>
                <w:sz w:val="20"/>
              </w:rPr>
              <w:t>Adalimumab</w:t>
            </w:r>
          </w:p>
        </w:tc>
        <w:tc>
          <w:tcPr>
            <w:tcW w:w="569" w:type="pct"/>
            <w:tcBorders>
              <w:left w:val="nil"/>
              <w:bottom w:val="single" w:sz="4" w:space="0" w:color="auto"/>
              <w:right w:val="nil"/>
            </w:tcBorders>
          </w:tcPr>
          <w:p w:rsidR="00E44F87" w:rsidRDefault="00E44F87">
            <w:pPr>
              <w:jc w:val="center"/>
              <w:rPr>
                <w:rFonts w:ascii="Arial" w:hAnsi="Arial" w:cs="Arial"/>
                <w:sz w:val="20"/>
              </w:rPr>
            </w:pPr>
          </w:p>
        </w:tc>
      </w:tr>
      <w:tr w:rsidR="00E44F87">
        <w:tc>
          <w:tcPr>
            <w:tcW w:w="1890" w:type="pct"/>
            <w:tcBorders>
              <w:left w:val="nil"/>
              <w:right w:val="nil"/>
            </w:tcBorders>
          </w:tcPr>
          <w:p w:rsidR="00E44F87" w:rsidRDefault="00E44F87">
            <w:pPr>
              <w:rPr>
                <w:rFonts w:ascii="Arial" w:hAnsi="Arial" w:cs="Arial"/>
                <w:sz w:val="20"/>
              </w:rPr>
            </w:pPr>
            <w:r>
              <w:rPr>
                <w:rFonts w:ascii="Arial" w:hAnsi="Arial" w:cs="Arial"/>
                <w:sz w:val="20"/>
              </w:rPr>
              <w:t>Baseline to Week 48</w:t>
            </w:r>
          </w:p>
          <w:p w:rsidR="00E44F87" w:rsidRDefault="00E44F87">
            <w:pPr>
              <w:numPr>
                <w:ilvl w:val="0"/>
                <w:numId w:val="14"/>
              </w:numPr>
              <w:rPr>
                <w:rFonts w:ascii="Arial" w:hAnsi="Arial" w:cs="Arial"/>
                <w:sz w:val="20"/>
              </w:rPr>
            </w:pPr>
            <w:r>
              <w:rPr>
                <w:rFonts w:ascii="Arial" w:hAnsi="Arial" w:cs="Arial"/>
                <w:sz w:val="20"/>
              </w:rPr>
              <w:lastRenderedPageBreak/>
              <w:t xml:space="preserve">baseline mean </w:t>
            </w:r>
          </w:p>
          <w:p w:rsidR="00E44F87" w:rsidRDefault="00E44F87">
            <w:pPr>
              <w:numPr>
                <w:ilvl w:val="0"/>
                <w:numId w:val="14"/>
              </w:numPr>
              <w:rPr>
                <w:rFonts w:ascii="Arial" w:hAnsi="Arial" w:cs="Arial"/>
                <w:sz w:val="20"/>
              </w:rPr>
            </w:pPr>
            <w:r>
              <w:rPr>
                <w:rFonts w:ascii="Arial" w:hAnsi="Arial" w:cs="Arial"/>
                <w:sz w:val="20"/>
              </w:rPr>
              <w:t>mean change from baseline</w:t>
            </w:r>
          </w:p>
        </w:tc>
        <w:tc>
          <w:tcPr>
            <w:tcW w:w="1423" w:type="pct"/>
            <w:tcBorders>
              <w:left w:val="nil"/>
              <w:right w:val="nil"/>
            </w:tcBorders>
          </w:tcPr>
          <w:p w:rsidR="00E44F87" w:rsidRDefault="00E44F87">
            <w:pPr>
              <w:jc w:val="center"/>
              <w:rPr>
                <w:rFonts w:ascii="Arial" w:hAnsi="Arial" w:cs="Arial"/>
                <w:sz w:val="20"/>
              </w:rPr>
            </w:pPr>
            <w:r>
              <w:rPr>
                <w:rFonts w:ascii="Arial" w:hAnsi="Arial" w:cs="Arial"/>
                <w:sz w:val="20"/>
              </w:rPr>
              <w:lastRenderedPageBreak/>
              <w:t>n = 141</w:t>
            </w:r>
          </w:p>
          <w:p w:rsidR="00E44F87" w:rsidRDefault="00E44F87">
            <w:pPr>
              <w:jc w:val="center"/>
              <w:rPr>
                <w:rFonts w:ascii="Arial" w:hAnsi="Arial" w:cs="Arial"/>
                <w:sz w:val="20"/>
              </w:rPr>
            </w:pPr>
            <w:r>
              <w:rPr>
                <w:rFonts w:ascii="Arial" w:hAnsi="Arial" w:cs="Arial"/>
                <w:sz w:val="20"/>
              </w:rPr>
              <w:lastRenderedPageBreak/>
              <w:t>11.2</w:t>
            </w:r>
          </w:p>
          <w:p w:rsidR="00E44F87" w:rsidRDefault="00E44F87">
            <w:pPr>
              <w:jc w:val="center"/>
              <w:rPr>
                <w:rFonts w:ascii="Arial" w:hAnsi="Arial" w:cs="Arial"/>
                <w:sz w:val="20"/>
              </w:rPr>
            </w:pPr>
            <w:r>
              <w:rPr>
                <w:rFonts w:ascii="Arial" w:hAnsi="Arial" w:cs="Arial"/>
                <w:sz w:val="20"/>
              </w:rPr>
              <w:t>0.6</w:t>
            </w:r>
          </w:p>
        </w:tc>
        <w:tc>
          <w:tcPr>
            <w:tcW w:w="1118" w:type="pct"/>
            <w:tcBorders>
              <w:left w:val="nil"/>
              <w:right w:val="nil"/>
            </w:tcBorders>
          </w:tcPr>
          <w:p w:rsidR="00E44F87" w:rsidRDefault="00E44F87">
            <w:pPr>
              <w:jc w:val="center"/>
              <w:rPr>
                <w:rFonts w:ascii="Arial" w:hAnsi="Arial" w:cs="Arial"/>
                <w:sz w:val="20"/>
              </w:rPr>
            </w:pPr>
            <w:r>
              <w:rPr>
                <w:rFonts w:ascii="Arial" w:hAnsi="Arial" w:cs="Arial"/>
                <w:sz w:val="20"/>
              </w:rPr>
              <w:lastRenderedPageBreak/>
              <w:t>n = 133</w:t>
            </w:r>
          </w:p>
          <w:p w:rsidR="00E44F87" w:rsidRDefault="00E44F87">
            <w:pPr>
              <w:jc w:val="center"/>
              <w:rPr>
                <w:rFonts w:ascii="Arial" w:hAnsi="Arial" w:cs="Arial"/>
                <w:sz w:val="20"/>
              </w:rPr>
            </w:pPr>
            <w:r>
              <w:rPr>
                <w:rFonts w:ascii="Arial" w:hAnsi="Arial" w:cs="Arial"/>
                <w:sz w:val="20"/>
              </w:rPr>
              <w:lastRenderedPageBreak/>
              <w:t>11.9</w:t>
            </w:r>
          </w:p>
          <w:p w:rsidR="00E44F87" w:rsidRDefault="00E44F87">
            <w:pPr>
              <w:jc w:val="center"/>
              <w:rPr>
                <w:rFonts w:ascii="Arial" w:hAnsi="Arial" w:cs="Arial"/>
                <w:sz w:val="20"/>
              </w:rPr>
            </w:pPr>
            <w:r>
              <w:rPr>
                <w:rFonts w:ascii="Arial" w:hAnsi="Arial" w:cs="Arial"/>
                <w:sz w:val="20"/>
              </w:rPr>
              <w:t>0.1</w:t>
            </w:r>
          </w:p>
        </w:tc>
        <w:tc>
          <w:tcPr>
            <w:tcW w:w="569" w:type="pct"/>
            <w:tcBorders>
              <w:left w:val="nil"/>
              <w:right w:val="nil"/>
            </w:tcBorders>
          </w:tcPr>
          <w:p w:rsidR="00E44F87" w:rsidRDefault="00E44F87">
            <w:pPr>
              <w:jc w:val="center"/>
              <w:rPr>
                <w:rFonts w:ascii="Arial" w:hAnsi="Arial" w:cs="Arial"/>
                <w:sz w:val="20"/>
              </w:rPr>
            </w:pPr>
          </w:p>
        </w:tc>
      </w:tr>
      <w:tr w:rsidR="00E44F87">
        <w:tc>
          <w:tcPr>
            <w:tcW w:w="1890" w:type="pct"/>
            <w:tcBorders>
              <w:left w:val="nil"/>
              <w:right w:val="nil"/>
            </w:tcBorders>
          </w:tcPr>
          <w:p w:rsidR="00E44F87" w:rsidRDefault="00E44F87">
            <w:pPr>
              <w:rPr>
                <w:rFonts w:ascii="Arial" w:hAnsi="Arial" w:cs="Arial"/>
                <w:sz w:val="20"/>
              </w:rPr>
            </w:pPr>
            <w:r>
              <w:rPr>
                <w:rFonts w:ascii="Arial" w:hAnsi="Arial" w:cs="Arial"/>
                <w:sz w:val="20"/>
              </w:rPr>
              <w:lastRenderedPageBreak/>
              <w:t>Week-48 to Week-144</w:t>
            </w:r>
          </w:p>
          <w:p w:rsidR="00E44F87" w:rsidRDefault="00E44F87">
            <w:pPr>
              <w:numPr>
                <w:ilvl w:val="0"/>
                <w:numId w:val="15"/>
              </w:numPr>
              <w:rPr>
                <w:rFonts w:ascii="Arial" w:hAnsi="Arial" w:cs="Arial"/>
                <w:sz w:val="20"/>
              </w:rPr>
            </w:pPr>
            <w:r>
              <w:rPr>
                <w:rFonts w:ascii="Arial" w:hAnsi="Arial" w:cs="Arial"/>
                <w:sz w:val="20"/>
              </w:rPr>
              <w:t>Week-48 mean</w:t>
            </w:r>
          </w:p>
          <w:p w:rsidR="00E44F87" w:rsidRDefault="00E44F87">
            <w:pPr>
              <w:numPr>
                <w:ilvl w:val="0"/>
                <w:numId w:val="15"/>
              </w:numPr>
              <w:rPr>
                <w:rFonts w:ascii="Arial" w:hAnsi="Arial" w:cs="Arial"/>
                <w:sz w:val="20"/>
              </w:rPr>
            </w:pPr>
            <w:r>
              <w:rPr>
                <w:rFonts w:ascii="Arial" w:hAnsi="Arial" w:cs="Arial"/>
                <w:sz w:val="20"/>
              </w:rPr>
              <w:t>Mean change from Week 48</w:t>
            </w:r>
          </w:p>
        </w:tc>
        <w:tc>
          <w:tcPr>
            <w:tcW w:w="1423" w:type="pct"/>
            <w:tcBorders>
              <w:left w:val="nil"/>
              <w:right w:val="nil"/>
            </w:tcBorders>
          </w:tcPr>
          <w:p w:rsidR="00E44F87" w:rsidRDefault="00E44F87">
            <w:pPr>
              <w:jc w:val="center"/>
              <w:rPr>
                <w:rFonts w:ascii="Arial" w:hAnsi="Arial" w:cs="Arial"/>
                <w:sz w:val="20"/>
              </w:rPr>
            </w:pPr>
            <w:r>
              <w:rPr>
                <w:rFonts w:ascii="Arial" w:hAnsi="Arial" w:cs="Arial"/>
                <w:sz w:val="20"/>
              </w:rPr>
              <w:t>n = 128</w:t>
            </w:r>
          </w:p>
          <w:p w:rsidR="00E44F87" w:rsidRDefault="00E44F87">
            <w:pPr>
              <w:jc w:val="center"/>
              <w:rPr>
                <w:rFonts w:ascii="Arial" w:hAnsi="Arial" w:cs="Arial"/>
                <w:sz w:val="20"/>
              </w:rPr>
            </w:pPr>
            <w:r>
              <w:rPr>
                <w:rFonts w:ascii="Arial" w:hAnsi="Arial" w:cs="Arial"/>
                <w:sz w:val="20"/>
              </w:rPr>
              <w:t>12.1</w:t>
            </w:r>
          </w:p>
          <w:p w:rsidR="00E44F87" w:rsidRDefault="00E44F87">
            <w:pPr>
              <w:jc w:val="center"/>
              <w:rPr>
                <w:rFonts w:ascii="Arial" w:hAnsi="Arial" w:cs="Arial"/>
                <w:sz w:val="20"/>
              </w:rPr>
            </w:pPr>
            <w:r>
              <w:rPr>
                <w:rFonts w:ascii="Arial" w:hAnsi="Arial" w:cs="Arial"/>
                <w:sz w:val="20"/>
              </w:rPr>
              <w:t>-0.2</w:t>
            </w:r>
          </w:p>
        </w:tc>
        <w:tc>
          <w:tcPr>
            <w:tcW w:w="1118" w:type="pct"/>
            <w:tcBorders>
              <w:left w:val="nil"/>
              <w:right w:val="nil"/>
            </w:tcBorders>
          </w:tcPr>
          <w:p w:rsidR="00E44F87" w:rsidRDefault="00E44F87">
            <w:pPr>
              <w:jc w:val="center"/>
              <w:rPr>
                <w:rFonts w:ascii="Arial" w:hAnsi="Arial" w:cs="Arial"/>
                <w:sz w:val="20"/>
              </w:rPr>
            </w:pPr>
            <w:r>
              <w:rPr>
                <w:rFonts w:ascii="Arial" w:hAnsi="Arial" w:cs="Arial"/>
                <w:sz w:val="20"/>
              </w:rPr>
              <w:t>n = 115</w:t>
            </w:r>
          </w:p>
          <w:p w:rsidR="00E44F87" w:rsidRDefault="00E44F87">
            <w:pPr>
              <w:jc w:val="center"/>
              <w:rPr>
                <w:rFonts w:ascii="Arial" w:hAnsi="Arial" w:cs="Arial"/>
                <w:sz w:val="20"/>
              </w:rPr>
            </w:pPr>
            <w:r>
              <w:rPr>
                <w:rFonts w:ascii="Arial" w:hAnsi="Arial" w:cs="Arial"/>
                <w:sz w:val="20"/>
              </w:rPr>
              <w:t>12.1</w:t>
            </w:r>
          </w:p>
          <w:p w:rsidR="00E44F87" w:rsidRDefault="00E44F87">
            <w:pPr>
              <w:jc w:val="center"/>
              <w:rPr>
                <w:rFonts w:ascii="Arial" w:hAnsi="Arial" w:cs="Arial"/>
                <w:sz w:val="20"/>
              </w:rPr>
            </w:pPr>
            <w:r>
              <w:rPr>
                <w:rFonts w:ascii="Arial" w:hAnsi="Arial" w:cs="Arial"/>
                <w:sz w:val="20"/>
              </w:rPr>
              <w:t>0.0</w:t>
            </w:r>
          </w:p>
        </w:tc>
        <w:tc>
          <w:tcPr>
            <w:tcW w:w="569" w:type="pct"/>
            <w:tcBorders>
              <w:left w:val="nil"/>
              <w:right w:val="nil"/>
            </w:tcBorders>
          </w:tcPr>
          <w:p w:rsidR="00E44F87" w:rsidRDefault="00E44F87">
            <w:pPr>
              <w:jc w:val="center"/>
              <w:rPr>
                <w:rFonts w:ascii="Arial" w:hAnsi="Arial" w:cs="Arial"/>
                <w:sz w:val="20"/>
              </w:rPr>
            </w:pPr>
          </w:p>
        </w:tc>
      </w:tr>
    </w:tbl>
    <w:p w:rsidR="00BC0EE3" w:rsidRDefault="00BC0EE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9"/>
        <w:gridCol w:w="2837"/>
        <w:gridCol w:w="2229"/>
        <w:gridCol w:w="1134"/>
      </w:tblGrid>
      <w:tr w:rsidR="00E44F87">
        <w:tc>
          <w:tcPr>
            <w:tcW w:w="1890" w:type="pct"/>
            <w:tcBorders>
              <w:left w:val="nil"/>
              <w:right w:val="nil"/>
            </w:tcBorders>
          </w:tcPr>
          <w:p w:rsidR="00E44F87" w:rsidRDefault="00E44F87">
            <w:pPr>
              <w:rPr>
                <w:rFonts w:ascii="Arial" w:hAnsi="Arial" w:cs="Arial"/>
                <w:sz w:val="20"/>
              </w:rPr>
            </w:pPr>
          </w:p>
          <w:p w:rsidR="00E44F87" w:rsidRDefault="00E44F87">
            <w:pPr>
              <w:rPr>
                <w:rFonts w:ascii="Arial" w:hAnsi="Arial" w:cs="Arial"/>
                <w:b/>
                <w:bCs/>
                <w:sz w:val="20"/>
              </w:rPr>
            </w:pPr>
            <w:r>
              <w:rPr>
                <w:rFonts w:ascii="Arial" w:hAnsi="Arial" w:cs="Arial"/>
                <w:b/>
                <w:bCs/>
                <w:sz w:val="20"/>
              </w:rPr>
              <w:t>Joint Space Narrowing Score</w:t>
            </w:r>
          </w:p>
        </w:tc>
        <w:tc>
          <w:tcPr>
            <w:tcW w:w="1423" w:type="pct"/>
            <w:tcBorders>
              <w:left w:val="nil"/>
              <w:right w:val="nil"/>
            </w:tcBorders>
          </w:tcPr>
          <w:p w:rsidR="00E44F87" w:rsidRDefault="00E44F87">
            <w:pPr>
              <w:jc w:val="center"/>
              <w:rPr>
                <w:rFonts w:ascii="Arial" w:hAnsi="Arial" w:cs="Arial"/>
                <w:sz w:val="20"/>
              </w:rPr>
            </w:pPr>
          </w:p>
          <w:p w:rsidR="00E44F87" w:rsidRDefault="00E44F87">
            <w:pPr>
              <w:jc w:val="center"/>
              <w:rPr>
                <w:rFonts w:ascii="Arial" w:hAnsi="Arial" w:cs="Arial"/>
                <w:sz w:val="20"/>
              </w:rPr>
            </w:pPr>
            <w:r>
              <w:rPr>
                <w:rFonts w:ascii="Arial" w:hAnsi="Arial" w:cs="Arial"/>
                <w:sz w:val="20"/>
              </w:rPr>
              <w:t>Placebo to adalimumab**</w:t>
            </w:r>
          </w:p>
        </w:tc>
        <w:tc>
          <w:tcPr>
            <w:tcW w:w="1118" w:type="pct"/>
            <w:tcBorders>
              <w:left w:val="nil"/>
              <w:right w:val="nil"/>
            </w:tcBorders>
          </w:tcPr>
          <w:p w:rsidR="00E44F87" w:rsidRDefault="00E44F87">
            <w:pPr>
              <w:jc w:val="center"/>
              <w:rPr>
                <w:rFonts w:ascii="Arial" w:hAnsi="Arial" w:cs="Arial"/>
                <w:sz w:val="20"/>
              </w:rPr>
            </w:pPr>
          </w:p>
          <w:p w:rsidR="00E44F87" w:rsidRDefault="00E44F87">
            <w:pPr>
              <w:jc w:val="center"/>
              <w:rPr>
                <w:rFonts w:ascii="Arial" w:hAnsi="Arial" w:cs="Arial"/>
                <w:sz w:val="20"/>
              </w:rPr>
            </w:pPr>
            <w:r>
              <w:rPr>
                <w:rFonts w:ascii="Arial" w:hAnsi="Arial" w:cs="Arial"/>
                <w:sz w:val="20"/>
              </w:rPr>
              <w:t>Adalimumab</w:t>
            </w:r>
          </w:p>
        </w:tc>
        <w:tc>
          <w:tcPr>
            <w:tcW w:w="569" w:type="pct"/>
            <w:tcBorders>
              <w:left w:val="nil"/>
              <w:right w:val="nil"/>
            </w:tcBorders>
          </w:tcPr>
          <w:p w:rsidR="00E44F87" w:rsidRDefault="00E44F87">
            <w:pPr>
              <w:jc w:val="center"/>
              <w:rPr>
                <w:rFonts w:ascii="Arial" w:hAnsi="Arial" w:cs="Arial"/>
                <w:sz w:val="20"/>
              </w:rPr>
            </w:pPr>
          </w:p>
        </w:tc>
      </w:tr>
      <w:tr w:rsidR="00E44F87">
        <w:tc>
          <w:tcPr>
            <w:tcW w:w="1890" w:type="pct"/>
            <w:tcBorders>
              <w:left w:val="nil"/>
              <w:right w:val="nil"/>
            </w:tcBorders>
          </w:tcPr>
          <w:p w:rsidR="00E44F87" w:rsidRDefault="00E44F87">
            <w:pPr>
              <w:rPr>
                <w:rFonts w:ascii="Arial" w:hAnsi="Arial" w:cs="Arial"/>
                <w:sz w:val="20"/>
              </w:rPr>
            </w:pPr>
            <w:r>
              <w:rPr>
                <w:rFonts w:ascii="Arial" w:hAnsi="Arial" w:cs="Arial"/>
                <w:sz w:val="20"/>
              </w:rPr>
              <w:t>Baseline to Week 48</w:t>
            </w:r>
          </w:p>
          <w:p w:rsidR="00E44F87" w:rsidRDefault="00E44F87">
            <w:pPr>
              <w:numPr>
                <w:ilvl w:val="0"/>
                <w:numId w:val="14"/>
              </w:numPr>
              <w:rPr>
                <w:rFonts w:ascii="Arial" w:hAnsi="Arial" w:cs="Arial"/>
                <w:sz w:val="20"/>
              </w:rPr>
            </w:pPr>
            <w:r>
              <w:rPr>
                <w:rFonts w:ascii="Arial" w:hAnsi="Arial" w:cs="Arial"/>
                <w:sz w:val="20"/>
              </w:rPr>
              <w:t xml:space="preserve">baseline mean </w:t>
            </w:r>
          </w:p>
          <w:p w:rsidR="00E44F87" w:rsidRDefault="00E44F87">
            <w:pPr>
              <w:numPr>
                <w:ilvl w:val="0"/>
                <w:numId w:val="14"/>
              </w:numPr>
              <w:rPr>
                <w:rFonts w:ascii="Arial" w:hAnsi="Arial" w:cs="Arial"/>
                <w:sz w:val="20"/>
              </w:rPr>
            </w:pPr>
            <w:r>
              <w:rPr>
                <w:rFonts w:ascii="Arial" w:hAnsi="Arial" w:cs="Arial"/>
                <w:sz w:val="20"/>
              </w:rPr>
              <w:t>mean change from baseline</w:t>
            </w:r>
          </w:p>
        </w:tc>
        <w:tc>
          <w:tcPr>
            <w:tcW w:w="1423" w:type="pct"/>
            <w:tcBorders>
              <w:left w:val="nil"/>
              <w:right w:val="nil"/>
            </w:tcBorders>
          </w:tcPr>
          <w:p w:rsidR="00E44F87" w:rsidRDefault="00E44F87">
            <w:pPr>
              <w:jc w:val="center"/>
              <w:rPr>
                <w:rFonts w:ascii="Arial" w:hAnsi="Arial" w:cs="Arial"/>
                <w:sz w:val="20"/>
              </w:rPr>
            </w:pPr>
            <w:r>
              <w:rPr>
                <w:rFonts w:ascii="Arial" w:hAnsi="Arial" w:cs="Arial"/>
                <w:sz w:val="20"/>
              </w:rPr>
              <w:t>n = 141</w:t>
            </w:r>
          </w:p>
          <w:p w:rsidR="00E44F87" w:rsidRDefault="00E44F87">
            <w:pPr>
              <w:jc w:val="center"/>
              <w:rPr>
                <w:rFonts w:ascii="Arial" w:hAnsi="Arial" w:cs="Arial"/>
                <w:sz w:val="20"/>
              </w:rPr>
            </w:pPr>
            <w:r>
              <w:rPr>
                <w:rFonts w:ascii="Arial" w:hAnsi="Arial" w:cs="Arial"/>
                <w:sz w:val="20"/>
              </w:rPr>
              <w:t>10.0</w:t>
            </w:r>
          </w:p>
          <w:p w:rsidR="00E44F87" w:rsidRDefault="00E44F87">
            <w:pPr>
              <w:jc w:val="center"/>
              <w:rPr>
                <w:rFonts w:ascii="Arial" w:hAnsi="Arial" w:cs="Arial"/>
                <w:sz w:val="20"/>
              </w:rPr>
            </w:pPr>
            <w:r>
              <w:rPr>
                <w:rFonts w:ascii="Arial" w:hAnsi="Arial" w:cs="Arial"/>
                <w:sz w:val="20"/>
              </w:rPr>
              <w:t>0.3</w:t>
            </w:r>
          </w:p>
        </w:tc>
        <w:tc>
          <w:tcPr>
            <w:tcW w:w="1118" w:type="pct"/>
            <w:tcBorders>
              <w:left w:val="nil"/>
              <w:right w:val="nil"/>
            </w:tcBorders>
          </w:tcPr>
          <w:p w:rsidR="00E44F87" w:rsidRDefault="00E44F87">
            <w:pPr>
              <w:jc w:val="center"/>
              <w:rPr>
                <w:rFonts w:ascii="Arial" w:hAnsi="Arial" w:cs="Arial"/>
                <w:sz w:val="20"/>
              </w:rPr>
            </w:pPr>
            <w:r>
              <w:rPr>
                <w:rFonts w:ascii="Arial" w:hAnsi="Arial" w:cs="Arial"/>
                <w:sz w:val="20"/>
              </w:rPr>
              <w:t>n = 133</w:t>
            </w:r>
          </w:p>
          <w:p w:rsidR="00E44F87" w:rsidRDefault="00E44F87">
            <w:pPr>
              <w:jc w:val="center"/>
              <w:rPr>
                <w:rFonts w:ascii="Arial" w:hAnsi="Arial" w:cs="Arial"/>
                <w:sz w:val="20"/>
              </w:rPr>
            </w:pPr>
            <w:r>
              <w:rPr>
                <w:rFonts w:ascii="Arial" w:hAnsi="Arial" w:cs="Arial"/>
                <w:sz w:val="20"/>
              </w:rPr>
              <w:t>10.4</w:t>
            </w:r>
          </w:p>
          <w:p w:rsidR="00E44F87" w:rsidRDefault="00E44F87">
            <w:pPr>
              <w:jc w:val="center"/>
              <w:rPr>
                <w:rFonts w:ascii="Arial" w:hAnsi="Arial" w:cs="Arial"/>
                <w:sz w:val="20"/>
              </w:rPr>
            </w:pPr>
            <w:r>
              <w:rPr>
                <w:rFonts w:ascii="Arial" w:hAnsi="Arial" w:cs="Arial"/>
                <w:sz w:val="20"/>
              </w:rPr>
              <w:t>-0.1</w:t>
            </w:r>
          </w:p>
        </w:tc>
        <w:tc>
          <w:tcPr>
            <w:tcW w:w="569" w:type="pct"/>
            <w:tcBorders>
              <w:left w:val="nil"/>
              <w:right w:val="nil"/>
            </w:tcBorders>
          </w:tcPr>
          <w:p w:rsidR="00E44F87" w:rsidRDefault="00E44F87">
            <w:pPr>
              <w:jc w:val="center"/>
              <w:rPr>
                <w:rFonts w:ascii="Arial" w:hAnsi="Arial" w:cs="Arial"/>
                <w:sz w:val="20"/>
              </w:rPr>
            </w:pPr>
          </w:p>
        </w:tc>
      </w:tr>
      <w:tr w:rsidR="00E44F87">
        <w:tc>
          <w:tcPr>
            <w:tcW w:w="1890" w:type="pct"/>
            <w:tcBorders>
              <w:left w:val="nil"/>
              <w:bottom w:val="nil"/>
              <w:right w:val="nil"/>
            </w:tcBorders>
          </w:tcPr>
          <w:p w:rsidR="00E44F87" w:rsidRDefault="00E44F87">
            <w:pPr>
              <w:rPr>
                <w:rFonts w:ascii="Arial" w:hAnsi="Arial" w:cs="Arial"/>
                <w:sz w:val="20"/>
              </w:rPr>
            </w:pPr>
            <w:r>
              <w:rPr>
                <w:rFonts w:ascii="Arial" w:hAnsi="Arial" w:cs="Arial"/>
                <w:sz w:val="20"/>
              </w:rPr>
              <w:t>Week-48 to Week-144</w:t>
            </w:r>
          </w:p>
          <w:p w:rsidR="00E44F87" w:rsidRDefault="00E44F87">
            <w:pPr>
              <w:numPr>
                <w:ilvl w:val="0"/>
                <w:numId w:val="15"/>
              </w:numPr>
              <w:rPr>
                <w:rFonts w:ascii="Arial" w:hAnsi="Arial" w:cs="Arial"/>
                <w:sz w:val="20"/>
              </w:rPr>
            </w:pPr>
            <w:r>
              <w:rPr>
                <w:rFonts w:ascii="Arial" w:hAnsi="Arial" w:cs="Arial"/>
                <w:sz w:val="20"/>
              </w:rPr>
              <w:t>Week-48 mean</w:t>
            </w:r>
          </w:p>
          <w:p w:rsidR="00E44F87" w:rsidRDefault="00E44F87">
            <w:pPr>
              <w:numPr>
                <w:ilvl w:val="0"/>
                <w:numId w:val="15"/>
              </w:numPr>
              <w:rPr>
                <w:rFonts w:ascii="Arial" w:hAnsi="Arial" w:cs="Arial"/>
                <w:sz w:val="20"/>
              </w:rPr>
            </w:pPr>
            <w:r>
              <w:rPr>
                <w:rFonts w:ascii="Arial" w:hAnsi="Arial" w:cs="Arial"/>
                <w:sz w:val="20"/>
              </w:rPr>
              <w:t>Mean change from Week 48</w:t>
            </w:r>
          </w:p>
        </w:tc>
        <w:tc>
          <w:tcPr>
            <w:tcW w:w="1423" w:type="pct"/>
            <w:tcBorders>
              <w:left w:val="nil"/>
              <w:bottom w:val="nil"/>
              <w:right w:val="nil"/>
            </w:tcBorders>
          </w:tcPr>
          <w:p w:rsidR="00E44F87" w:rsidRDefault="00E44F87">
            <w:pPr>
              <w:jc w:val="center"/>
              <w:rPr>
                <w:rFonts w:ascii="Arial" w:hAnsi="Arial" w:cs="Arial"/>
                <w:sz w:val="20"/>
              </w:rPr>
            </w:pPr>
            <w:r>
              <w:rPr>
                <w:rFonts w:ascii="Arial" w:hAnsi="Arial" w:cs="Arial"/>
                <w:sz w:val="20"/>
              </w:rPr>
              <w:t>n = 128</w:t>
            </w:r>
          </w:p>
          <w:p w:rsidR="00E44F87" w:rsidRDefault="00E44F87">
            <w:pPr>
              <w:jc w:val="center"/>
              <w:rPr>
                <w:rFonts w:ascii="Arial" w:hAnsi="Arial" w:cs="Arial"/>
                <w:sz w:val="20"/>
              </w:rPr>
            </w:pPr>
            <w:r>
              <w:rPr>
                <w:rFonts w:ascii="Arial" w:hAnsi="Arial" w:cs="Arial"/>
                <w:sz w:val="20"/>
              </w:rPr>
              <w:t>10.6</w:t>
            </w:r>
          </w:p>
          <w:p w:rsidR="00E44F87" w:rsidRDefault="00E44F87">
            <w:pPr>
              <w:jc w:val="center"/>
              <w:rPr>
                <w:rFonts w:ascii="Arial" w:hAnsi="Arial" w:cs="Arial"/>
                <w:sz w:val="20"/>
              </w:rPr>
            </w:pPr>
            <w:r>
              <w:rPr>
                <w:rFonts w:ascii="Arial" w:hAnsi="Arial" w:cs="Arial"/>
                <w:sz w:val="20"/>
              </w:rPr>
              <w:t>0.3</w:t>
            </w:r>
          </w:p>
        </w:tc>
        <w:tc>
          <w:tcPr>
            <w:tcW w:w="1118" w:type="pct"/>
            <w:tcBorders>
              <w:left w:val="nil"/>
              <w:bottom w:val="nil"/>
              <w:right w:val="nil"/>
            </w:tcBorders>
          </w:tcPr>
          <w:p w:rsidR="00E44F87" w:rsidRDefault="00E44F87">
            <w:pPr>
              <w:jc w:val="center"/>
              <w:rPr>
                <w:rFonts w:ascii="Arial" w:hAnsi="Arial" w:cs="Arial"/>
                <w:sz w:val="20"/>
              </w:rPr>
            </w:pPr>
            <w:r>
              <w:rPr>
                <w:rFonts w:ascii="Arial" w:hAnsi="Arial" w:cs="Arial"/>
                <w:sz w:val="20"/>
              </w:rPr>
              <w:t>n = 115</w:t>
            </w:r>
          </w:p>
          <w:p w:rsidR="00E44F87" w:rsidRDefault="00E44F87">
            <w:pPr>
              <w:jc w:val="center"/>
              <w:rPr>
                <w:rFonts w:ascii="Arial" w:hAnsi="Arial" w:cs="Arial"/>
                <w:sz w:val="20"/>
              </w:rPr>
            </w:pPr>
            <w:r>
              <w:rPr>
                <w:rFonts w:ascii="Arial" w:hAnsi="Arial" w:cs="Arial"/>
                <w:sz w:val="20"/>
              </w:rPr>
              <w:t>10.2</w:t>
            </w:r>
          </w:p>
          <w:p w:rsidR="00E44F87" w:rsidRDefault="00E44F87">
            <w:pPr>
              <w:jc w:val="center"/>
              <w:rPr>
                <w:rFonts w:ascii="Arial" w:hAnsi="Arial" w:cs="Arial"/>
                <w:sz w:val="20"/>
              </w:rPr>
            </w:pPr>
            <w:r>
              <w:rPr>
                <w:rFonts w:ascii="Arial" w:hAnsi="Arial" w:cs="Arial"/>
                <w:sz w:val="20"/>
              </w:rPr>
              <w:t>0.4</w:t>
            </w:r>
          </w:p>
        </w:tc>
        <w:tc>
          <w:tcPr>
            <w:tcW w:w="569" w:type="pct"/>
            <w:tcBorders>
              <w:left w:val="nil"/>
              <w:bottom w:val="nil"/>
              <w:right w:val="nil"/>
            </w:tcBorders>
          </w:tcPr>
          <w:p w:rsidR="00E44F87" w:rsidRDefault="00E44F87">
            <w:pPr>
              <w:jc w:val="center"/>
              <w:rPr>
                <w:rFonts w:ascii="Arial" w:hAnsi="Arial" w:cs="Arial"/>
                <w:sz w:val="20"/>
              </w:rPr>
            </w:pPr>
          </w:p>
        </w:tc>
      </w:tr>
    </w:tbl>
    <w:p w:rsidR="00E44F87" w:rsidRDefault="00E44F87">
      <w:pPr>
        <w:autoSpaceDE w:val="0"/>
        <w:autoSpaceDN w:val="0"/>
        <w:adjustRightInd w:val="0"/>
        <w:rPr>
          <w:rFonts w:ascii="Arial" w:hAnsi="Arial" w:cs="Arial"/>
          <w:sz w:val="20"/>
          <w:szCs w:val="22"/>
        </w:rPr>
      </w:pPr>
    </w:p>
    <w:p w:rsidR="00E44F87" w:rsidRDefault="00E44F87">
      <w:pPr>
        <w:pStyle w:val="BodyText"/>
        <w:rPr>
          <w:sz w:val="18"/>
        </w:rPr>
      </w:pPr>
      <w:r>
        <w:rPr>
          <w:sz w:val="18"/>
        </w:rPr>
        <w:t>* Baseline to Week-24 data represents ITT data and belongs to a different x-ray reading than baseline to Week-48 and Week-48 to Week-144 data.</w:t>
      </w:r>
    </w:p>
    <w:p w:rsidR="00E44F87" w:rsidRDefault="00E44F87">
      <w:pPr>
        <w:pStyle w:val="BodyText"/>
        <w:rPr>
          <w:sz w:val="18"/>
        </w:rPr>
      </w:pPr>
      <w:r>
        <w:rPr>
          <w:sz w:val="18"/>
        </w:rPr>
        <w:t>**Patients changed over to adalimumab at Week 24</w:t>
      </w:r>
    </w:p>
    <w:p w:rsidR="00E44F87" w:rsidRDefault="00E44F87">
      <w:pPr>
        <w:pStyle w:val="BodyText"/>
        <w:rPr>
          <w:sz w:val="18"/>
        </w:rPr>
      </w:pPr>
    </w:p>
    <w:p w:rsidR="00E44F87" w:rsidRDefault="00E44F87">
      <w:pPr>
        <w:autoSpaceDE w:val="0"/>
        <w:autoSpaceDN w:val="0"/>
        <w:adjustRightInd w:val="0"/>
        <w:rPr>
          <w:rFonts w:ascii="Arial" w:hAnsi="Arial" w:cs="Arial"/>
          <w:sz w:val="20"/>
          <w:szCs w:val="22"/>
        </w:rPr>
      </w:pPr>
      <w:r>
        <w:rPr>
          <w:rFonts w:ascii="Arial" w:hAnsi="Arial" w:cs="Arial"/>
          <w:sz w:val="20"/>
          <w:szCs w:val="22"/>
        </w:rPr>
        <w:t>In subjects treated with Humira with no radiographic progression from baseline to Week 48 (n = 102), 84% continued to show no radiographic progression through 144 weeks of treatment.</w:t>
      </w:r>
    </w:p>
    <w:p w:rsidR="00E44F87" w:rsidRDefault="00E44F87">
      <w:pPr>
        <w:autoSpaceDE w:val="0"/>
        <w:autoSpaceDN w:val="0"/>
        <w:adjustRightInd w:val="0"/>
        <w:rPr>
          <w:rFonts w:ascii="Arial" w:hAnsi="Arial" w:cs="Arial"/>
          <w:sz w:val="20"/>
          <w:szCs w:val="20"/>
        </w:rPr>
      </w:pPr>
    </w:p>
    <w:p w:rsidR="00E44F87" w:rsidRDefault="00E44F87">
      <w:pPr>
        <w:autoSpaceDE w:val="0"/>
        <w:autoSpaceDN w:val="0"/>
        <w:adjustRightInd w:val="0"/>
        <w:rPr>
          <w:rFonts w:ascii="Arial" w:hAnsi="Arial" w:cs="Arial"/>
          <w:b/>
          <w:bCs/>
          <w:sz w:val="20"/>
          <w:szCs w:val="22"/>
        </w:rPr>
      </w:pPr>
      <w:r>
        <w:rPr>
          <w:rFonts w:ascii="Arial" w:hAnsi="Arial" w:cs="Arial"/>
          <w:b/>
          <w:bCs/>
          <w:sz w:val="20"/>
          <w:szCs w:val="22"/>
        </w:rPr>
        <w:t>Quality of Life and Physical Function</w:t>
      </w:r>
    </w:p>
    <w:p w:rsidR="00E44F87" w:rsidRDefault="00E44F87">
      <w:pPr>
        <w:autoSpaceDE w:val="0"/>
        <w:autoSpaceDN w:val="0"/>
        <w:adjustRightInd w:val="0"/>
        <w:rPr>
          <w:rFonts w:ascii="Arial" w:hAnsi="Arial" w:cs="Arial"/>
          <w:b/>
          <w:bCs/>
          <w:sz w:val="20"/>
          <w:szCs w:val="22"/>
        </w:rPr>
      </w:pPr>
    </w:p>
    <w:p w:rsidR="00E44F87" w:rsidRDefault="00E44F87">
      <w:pPr>
        <w:pStyle w:val="BodyText"/>
      </w:pPr>
      <w:r>
        <w:t xml:space="preserve">In PsA study VI, physical function and disability were assessed using the HAQ Disability Index (HAQ-DI) and the Short Form Health Survey (SF-36). Patients treated with 40mg of Humira </w:t>
      </w:r>
      <w:r w:rsidR="004961DF">
        <w:t>fortnightly</w:t>
      </w:r>
      <w:r>
        <w:t xml:space="preserve"> showed greater improvement from baseline in the HAQ-DI score (mean decreases of 47% and 49% at Weeks 12 and 24 respectively) in comparison to placebo (mean decreases of 1% and 3% at Weeks 12 and 24 respectively).</w:t>
      </w:r>
    </w:p>
    <w:p w:rsidR="00E44F87" w:rsidRDefault="00E44F87">
      <w:pPr>
        <w:autoSpaceDE w:val="0"/>
        <w:autoSpaceDN w:val="0"/>
        <w:adjustRightInd w:val="0"/>
        <w:rPr>
          <w:rFonts w:ascii="Arial" w:hAnsi="Arial" w:cs="Arial"/>
          <w:sz w:val="20"/>
          <w:szCs w:val="22"/>
        </w:rPr>
      </w:pP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Results from the Short Form Health Survey (SF-36) support these findings, with statistically significant Physical Component Summary (PCS) scores, as well as statistically significant pain and vitality domain scores. At Weeks 12 and 24, patients treated with Humira showed greater improvement from baseline in the SF-36 Physical Component Summary score compared to patients treated with placebo, and no worsening in the SF-36 Mental Component Summary score. Improvement in physical function and disability measures were maintained for up to 136 weeks through the open label portion of the study.</w:t>
      </w:r>
    </w:p>
    <w:p w:rsidR="00B468E5" w:rsidRDefault="00B468E5">
      <w:pPr>
        <w:pStyle w:val="Heading7"/>
        <w:autoSpaceDE/>
        <w:autoSpaceDN/>
        <w:adjustRightInd/>
        <w:rPr>
          <w:b w:val="0"/>
          <w:bCs w:val="0"/>
        </w:rPr>
      </w:pPr>
    </w:p>
    <w:p w:rsidR="00E44F87" w:rsidRPr="00A868ED" w:rsidRDefault="00E44F87">
      <w:pPr>
        <w:pStyle w:val="Heading7"/>
        <w:autoSpaceDE/>
        <w:autoSpaceDN/>
        <w:adjustRightInd/>
        <w:rPr>
          <w:szCs w:val="24"/>
        </w:rPr>
      </w:pPr>
      <w:r w:rsidRPr="00A868ED">
        <w:rPr>
          <w:szCs w:val="24"/>
        </w:rPr>
        <w:t>CLINICAL TRIALS FOR ANKYLOSING SPONDYLITIS</w:t>
      </w:r>
    </w:p>
    <w:p w:rsidR="00E44F87" w:rsidRDefault="00E44F87"/>
    <w:p w:rsidR="00E44F87" w:rsidRDefault="00E44F87">
      <w:pPr>
        <w:jc w:val="both"/>
        <w:rPr>
          <w:rFonts w:ascii="Arial" w:hAnsi="Arial" w:cs="Arial"/>
          <w:sz w:val="20"/>
        </w:rPr>
      </w:pPr>
      <w:r>
        <w:rPr>
          <w:rFonts w:ascii="Arial" w:hAnsi="Arial" w:cs="Arial"/>
          <w:sz w:val="20"/>
        </w:rPr>
        <w:t xml:space="preserve">The safety and efficacy of Humira 40 mg fortnightly was assessed in 393 adult patients in two randomised, 24-week double-blind, placebo-controlled studies in patients with active ankylosing spondylitis (AS).  The larger study (AS Study I or M03-607) enrolled 315 adult patients with active AS (defined as fulfilling at least two of the following three criteria:  (1) a Bath AS disease activity index (BASDAI) score </w:t>
      </w:r>
      <w:r>
        <w:rPr>
          <w:rFonts w:ascii="Arial" w:hAnsi="Arial" w:cs="Arial"/>
          <w:sz w:val="20"/>
        </w:rPr>
        <w:sym w:font="Symbol" w:char="F0B3"/>
      </w:r>
      <w:r>
        <w:rPr>
          <w:rFonts w:ascii="Arial" w:hAnsi="Arial" w:cs="Arial"/>
          <w:sz w:val="20"/>
        </w:rPr>
        <w:t xml:space="preserve">4 cm, (2) a visual analog score (VAS) for total back pain </w:t>
      </w:r>
      <w:r>
        <w:rPr>
          <w:rFonts w:ascii="Arial" w:hAnsi="Arial" w:cs="Arial"/>
          <w:sz w:val="20"/>
        </w:rPr>
        <w:sym w:font="Symbol" w:char="F0B3"/>
      </w:r>
      <w:r>
        <w:rPr>
          <w:rFonts w:ascii="Arial" w:hAnsi="Arial" w:cs="Arial"/>
          <w:sz w:val="20"/>
        </w:rPr>
        <w:t xml:space="preserve"> 40 mm, (3) morning stiffness </w:t>
      </w:r>
      <w:r>
        <w:rPr>
          <w:rFonts w:ascii="Arial" w:hAnsi="Arial" w:cs="Arial"/>
          <w:sz w:val="20"/>
        </w:rPr>
        <w:sym w:font="Symbol" w:char="F0B3"/>
      </w:r>
      <w:r>
        <w:rPr>
          <w:rFonts w:ascii="Arial" w:hAnsi="Arial" w:cs="Arial"/>
          <w:sz w:val="20"/>
        </w:rPr>
        <w:t> 1 hour), who had an inadequate response to conventional therapy. Seventy-nine (20.1%) patients were treated concomitantly with disease modifying anti-rheumatic drugs, and 37 (9.4%) patients with glucocorticoids.  The blinded period was followed by an open</w:t>
      </w:r>
      <w:r>
        <w:rPr>
          <w:rFonts w:ascii="Arial" w:hAnsi="Arial" w:cs="Arial"/>
          <w:sz w:val="20"/>
        </w:rPr>
        <w:noBreakHyphen/>
        <w:t>label period.   Subjects (N=215, 54.7%) who failed to achieve ASAS 20 at Weeks 12, or 16 or 20 received early escape open-label adalimumab 40mg fortnightly SC and were subsequently treated as non-responders in double-blind statistical analyses.</w:t>
      </w:r>
    </w:p>
    <w:p w:rsidR="00E44F87" w:rsidRDefault="00E44F87">
      <w:pPr>
        <w:rPr>
          <w:rFonts w:ascii="Arial" w:hAnsi="Arial" w:cs="Arial"/>
          <w:sz w:val="20"/>
        </w:rPr>
      </w:pPr>
    </w:p>
    <w:p w:rsidR="00E44F87" w:rsidRDefault="00E44F87">
      <w:pPr>
        <w:jc w:val="both"/>
        <w:rPr>
          <w:rFonts w:ascii="Arial" w:hAnsi="Arial" w:cs="Arial"/>
          <w:i/>
          <w:iCs/>
          <w:sz w:val="20"/>
        </w:rPr>
      </w:pPr>
      <w:r>
        <w:rPr>
          <w:rFonts w:ascii="Arial" w:hAnsi="Arial" w:cs="Arial"/>
          <w:sz w:val="20"/>
        </w:rPr>
        <w:t xml:space="preserve">Results showed statistically significant improvement of signs and symptoms of AS in patients treated with Humira compared to placebo.  Significant improvement in measures of disease activity was first observed at Week 2 and maintained through 24 weeks as shown in Figure 4 and Table 11.  </w:t>
      </w:r>
    </w:p>
    <w:p w:rsidR="00E44F87" w:rsidRDefault="00E44F87">
      <w:pPr>
        <w:rPr>
          <w:rFonts w:ascii="Arial" w:hAnsi="Arial" w:cs="Arial"/>
          <w:i/>
          <w:iCs/>
          <w:sz w:val="20"/>
        </w:rPr>
      </w:pPr>
    </w:p>
    <w:p w:rsidR="00E44F87" w:rsidRDefault="00E44F87">
      <w:pPr>
        <w:rPr>
          <w:rFonts w:ascii="Arial" w:hAnsi="Arial" w:cs="Arial"/>
          <w:sz w:val="20"/>
        </w:rPr>
      </w:pPr>
      <w:r>
        <w:rPr>
          <w:rFonts w:ascii="Arial" w:hAnsi="Arial" w:cs="Arial"/>
          <w:sz w:val="20"/>
        </w:rPr>
        <w:t>Patients with total spinal ankylosis were included in the larger study (n=11).  Responses of these patients were similar to those without total ankylosis.</w:t>
      </w:r>
    </w:p>
    <w:p w:rsidR="00E44F87" w:rsidRPr="0019657D" w:rsidRDefault="00E44F87" w:rsidP="0019657D">
      <w:pPr>
        <w:pStyle w:val="CaptionFigure"/>
        <w:rPr>
          <w:rFonts w:ascii="Arial" w:hAnsi="Arial" w:cs="Arial"/>
          <w:sz w:val="20"/>
          <w:szCs w:val="24"/>
          <w:lang w:val="en-AU"/>
        </w:rPr>
      </w:pPr>
      <w:r>
        <w:rPr>
          <w:rFonts w:ascii="Arial" w:hAnsi="Arial" w:cs="Arial"/>
          <w:sz w:val="20"/>
          <w:lang w:val="en-AU"/>
        </w:rPr>
        <w:lastRenderedPageBreak/>
        <w:t>Figure 4.</w:t>
      </w:r>
      <w:r>
        <w:rPr>
          <w:rFonts w:ascii="Arial" w:hAnsi="Arial" w:cs="Arial"/>
          <w:sz w:val="20"/>
          <w:lang w:val="en-AU"/>
        </w:rPr>
        <w:tab/>
        <w:t xml:space="preserve">ASAS 20 Response By Visit, </w:t>
      </w:r>
      <w:r>
        <w:rPr>
          <w:rFonts w:ascii="Arial" w:hAnsi="Arial" w:cs="Arial"/>
          <w:sz w:val="20"/>
        </w:rPr>
        <w:t>AS</w:t>
      </w:r>
      <w:r>
        <w:rPr>
          <w:rFonts w:ascii="Arial" w:hAnsi="Arial" w:cs="Arial"/>
          <w:sz w:val="20"/>
          <w:lang w:val="en-AU"/>
        </w:rPr>
        <w:t xml:space="preserve"> Study I</w:t>
      </w:r>
    </w:p>
    <w:p w:rsidR="00E44F87" w:rsidRDefault="00D671D6">
      <w:pPr>
        <w:pStyle w:val="DefaultText"/>
        <w:rPr>
          <w:rFonts w:ascii="Times New Roman Bold" w:hAnsi="Times New Roman Bold"/>
          <w:b/>
          <w:bCs w:val="0"/>
          <w:sz w:val="24"/>
        </w:rPr>
      </w:pPr>
      <w:r>
        <w:rPr>
          <w:noProof/>
          <w:lang w:eastAsia="en-AU"/>
        </w:rPr>
        <w:drawing>
          <wp:inline distT="0" distB="0" distL="0" distR="0">
            <wp:extent cx="4914900" cy="3365500"/>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44F87" w:rsidRDefault="00E44F87">
      <w:pPr>
        <w:jc w:val="both"/>
        <w:rPr>
          <w:rFonts w:ascii="Arial" w:hAnsi="Arial" w:cs="Arial"/>
          <w:sz w:val="20"/>
        </w:rPr>
      </w:pPr>
    </w:p>
    <w:tbl>
      <w:tblPr>
        <w:tblW w:w="0" w:type="auto"/>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2"/>
        <w:gridCol w:w="2580"/>
        <w:gridCol w:w="2581"/>
      </w:tblGrid>
      <w:tr w:rsidR="00E44F87">
        <w:trPr>
          <w:cantSplit/>
        </w:trPr>
        <w:tc>
          <w:tcPr>
            <w:tcW w:w="9213" w:type="dxa"/>
            <w:gridSpan w:val="3"/>
            <w:vAlign w:val="center"/>
          </w:tcPr>
          <w:p w:rsidR="00E44F87" w:rsidRDefault="00E44F87">
            <w:pPr>
              <w:pStyle w:val="TableText9Point"/>
              <w:rPr>
                <w:rFonts w:ascii="Arial" w:hAnsi="Arial" w:cs="Arial"/>
                <w:b/>
                <w:bCs/>
                <w:sz w:val="20"/>
                <w:lang w:val="en-AU"/>
              </w:rPr>
            </w:pPr>
            <w:r>
              <w:rPr>
                <w:rFonts w:ascii="Arial" w:hAnsi="Arial" w:cs="Arial"/>
                <w:b/>
                <w:bCs/>
                <w:sz w:val="20"/>
                <w:lang w:val="en-AU"/>
              </w:rPr>
              <w:t>Table 11.  ASAS</w:t>
            </w:r>
            <w:r>
              <w:rPr>
                <w:rFonts w:ascii="Arial" w:hAnsi="Arial" w:cs="Arial"/>
                <w:sz w:val="20"/>
                <w:vertAlign w:val="superscript"/>
                <w:lang w:val="en-AU"/>
              </w:rPr>
              <w:t>a</w:t>
            </w:r>
            <w:r>
              <w:rPr>
                <w:rFonts w:ascii="Arial" w:hAnsi="Arial" w:cs="Arial"/>
                <w:b/>
                <w:bCs/>
                <w:sz w:val="20"/>
                <w:lang w:val="en-AU"/>
              </w:rPr>
              <w:t xml:space="preserve"> Responses in Placebo-Controlled AS Study </w:t>
            </w:r>
          </w:p>
          <w:p w:rsidR="00E44F87" w:rsidRDefault="00E44F87">
            <w:pPr>
              <w:pStyle w:val="TableText9Point"/>
              <w:rPr>
                <w:rFonts w:ascii="Arial" w:hAnsi="Arial" w:cs="Arial"/>
                <w:lang w:val="en-AU"/>
              </w:rPr>
            </w:pPr>
          </w:p>
        </w:tc>
      </w:tr>
      <w:tr w:rsidR="00E44F87">
        <w:tc>
          <w:tcPr>
            <w:tcW w:w="4052" w:type="dxa"/>
          </w:tcPr>
          <w:p w:rsidR="00E44F87" w:rsidRDefault="00E44F87">
            <w:pPr>
              <w:pStyle w:val="TableText9Point"/>
              <w:rPr>
                <w:rFonts w:ascii="Arial" w:hAnsi="Arial" w:cs="Arial"/>
                <w:lang w:val="en-AU"/>
              </w:rPr>
            </w:pPr>
            <w:r>
              <w:rPr>
                <w:rFonts w:ascii="Arial" w:hAnsi="Arial" w:cs="Arial"/>
                <w:lang w:val="en-AU"/>
              </w:rPr>
              <w:t>Response</w:t>
            </w:r>
          </w:p>
        </w:tc>
        <w:tc>
          <w:tcPr>
            <w:tcW w:w="2580" w:type="dxa"/>
          </w:tcPr>
          <w:p w:rsidR="00E44F87" w:rsidRDefault="00E44F87">
            <w:pPr>
              <w:pStyle w:val="TableText9Point"/>
              <w:jc w:val="center"/>
              <w:rPr>
                <w:rFonts w:ascii="Arial" w:hAnsi="Arial" w:cs="Arial"/>
                <w:lang w:val="en-AU"/>
              </w:rPr>
            </w:pPr>
            <w:r>
              <w:rPr>
                <w:rFonts w:ascii="Arial" w:hAnsi="Arial" w:cs="Arial"/>
                <w:lang w:val="en-AU"/>
              </w:rPr>
              <w:t>Placebo</w:t>
            </w:r>
          </w:p>
          <w:p w:rsidR="00E44F87" w:rsidRDefault="00E44F87">
            <w:pPr>
              <w:pStyle w:val="TableText9Point"/>
              <w:jc w:val="center"/>
              <w:rPr>
                <w:rFonts w:ascii="Arial" w:hAnsi="Arial" w:cs="Arial"/>
                <w:lang w:val="en-AU"/>
              </w:rPr>
            </w:pPr>
            <w:r>
              <w:rPr>
                <w:rFonts w:ascii="Arial" w:hAnsi="Arial" w:cs="Arial"/>
                <w:lang w:val="en-AU"/>
              </w:rPr>
              <w:t>N=107</w:t>
            </w:r>
          </w:p>
        </w:tc>
        <w:tc>
          <w:tcPr>
            <w:tcW w:w="2581" w:type="dxa"/>
          </w:tcPr>
          <w:p w:rsidR="00E44F87" w:rsidRDefault="00E44F87">
            <w:pPr>
              <w:pStyle w:val="TableText9Point"/>
              <w:jc w:val="center"/>
              <w:rPr>
                <w:rFonts w:ascii="Arial" w:hAnsi="Arial" w:cs="Arial"/>
                <w:lang w:val="en-AU"/>
              </w:rPr>
            </w:pPr>
            <w:r>
              <w:rPr>
                <w:rFonts w:ascii="Arial" w:hAnsi="Arial" w:cs="Arial"/>
                <w:lang w:val="en-AU"/>
              </w:rPr>
              <w:t>Humira</w:t>
            </w:r>
          </w:p>
          <w:p w:rsidR="00E44F87" w:rsidRDefault="00E44F87">
            <w:pPr>
              <w:pStyle w:val="TableText9Point"/>
              <w:jc w:val="center"/>
              <w:rPr>
                <w:rFonts w:ascii="Arial" w:hAnsi="Arial" w:cs="Arial"/>
                <w:lang w:val="en-AU"/>
              </w:rPr>
            </w:pPr>
            <w:r>
              <w:rPr>
                <w:rFonts w:ascii="Arial" w:hAnsi="Arial" w:cs="Arial"/>
                <w:lang w:val="en-AU"/>
              </w:rPr>
              <w:t>N=208</w:t>
            </w:r>
          </w:p>
        </w:tc>
      </w:tr>
      <w:tr w:rsidR="00E44F87">
        <w:tc>
          <w:tcPr>
            <w:tcW w:w="4052" w:type="dxa"/>
          </w:tcPr>
          <w:p w:rsidR="00E44F87" w:rsidRDefault="00E44F87">
            <w:pPr>
              <w:pStyle w:val="TableText9Point"/>
              <w:rPr>
                <w:rFonts w:ascii="Arial" w:hAnsi="Arial" w:cs="Arial"/>
                <w:lang w:val="en-AU"/>
              </w:rPr>
            </w:pPr>
            <w:r>
              <w:rPr>
                <w:rFonts w:ascii="Arial" w:hAnsi="Arial" w:cs="Arial"/>
                <w:lang w:val="en-AU"/>
              </w:rPr>
              <w:t>ASAS 20</w:t>
            </w:r>
          </w:p>
        </w:tc>
        <w:tc>
          <w:tcPr>
            <w:tcW w:w="2580" w:type="dxa"/>
          </w:tcPr>
          <w:p w:rsidR="00E44F87" w:rsidRDefault="00E44F87">
            <w:pPr>
              <w:pStyle w:val="TableText9Point"/>
              <w:jc w:val="center"/>
              <w:rPr>
                <w:rFonts w:ascii="Arial" w:hAnsi="Arial" w:cs="Arial"/>
                <w:lang w:val="en-AU"/>
              </w:rPr>
            </w:pPr>
          </w:p>
        </w:tc>
        <w:tc>
          <w:tcPr>
            <w:tcW w:w="2581" w:type="dxa"/>
          </w:tcPr>
          <w:p w:rsidR="00E44F87" w:rsidRDefault="00E44F87">
            <w:pPr>
              <w:pStyle w:val="TableText9Point"/>
              <w:jc w:val="center"/>
              <w:rPr>
                <w:rFonts w:ascii="Arial" w:hAnsi="Arial" w:cs="Arial"/>
                <w:lang w:val="en-AU"/>
              </w:rPr>
            </w:pPr>
          </w:p>
        </w:tc>
      </w:tr>
      <w:tr w:rsidR="00E44F87">
        <w:tc>
          <w:tcPr>
            <w:tcW w:w="4052" w:type="dxa"/>
          </w:tcPr>
          <w:p w:rsidR="00E44F87" w:rsidRDefault="00E44F87">
            <w:pPr>
              <w:pStyle w:val="TableText9Point"/>
              <w:rPr>
                <w:rFonts w:ascii="Arial" w:hAnsi="Arial" w:cs="Arial"/>
                <w:lang w:val="en-AU"/>
              </w:rPr>
            </w:pPr>
            <w:r>
              <w:rPr>
                <w:rFonts w:ascii="Arial" w:hAnsi="Arial" w:cs="Arial"/>
                <w:lang w:val="en-AU"/>
              </w:rPr>
              <w:tab/>
              <w:t>Week 12</w:t>
            </w:r>
          </w:p>
        </w:tc>
        <w:tc>
          <w:tcPr>
            <w:tcW w:w="2580" w:type="dxa"/>
          </w:tcPr>
          <w:p w:rsidR="00E44F87" w:rsidRDefault="00E44F87">
            <w:pPr>
              <w:pStyle w:val="TableText9Point"/>
              <w:jc w:val="center"/>
              <w:rPr>
                <w:rFonts w:ascii="Arial" w:hAnsi="Arial" w:cs="Arial"/>
                <w:lang w:val="en-AU"/>
              </w:rPr>
            </w:pPr>
            <w:r>
              <w:rPr>
                <w:rFonts w:ascii="Arial" w:hAnsi="Arial" w:cs="Arial"/>
                <w:lang w:val="en-AU"/>
              </w:rPr>
              <w:t>21%</w:t>
            </w:r>
          </w:p>
        </w:tc>
        <w:tc>
          <w:tcPr>
            <w:tcW w:w="2581" w:type="dxa"/>
          </w:tcPr>
          <w:p w:rsidR="00E44F87" w:rsidRDefault="00E44F87">
            <w:pPr>
              <w:pStyle w:val="TableText9Point"/>
              <w:jc w:val="center"/>
              <w:rPr>
                <w:rFonts w:ascii="Arial" w:hAnsi="Arial" w:cs="Arial"/>
                <w:lang w:val="en-AU"/>
              </w:rPr>
            </w:pPr>
            <w:r>
              <w:rPr>
                <w:rFonts w:ascii="Arial" w:hAnsi="Arial" w:cs="Arial"/>
                <w:lang w:val="en-AU"/>
              </w:rPr>
              <w:t>58%*</w:t>
            </w:r>
          </w:p>
        </w:tc>
      </w:tr>
      <w:tr w:rsidR="00E44F87">
        <w:tc>
          <w:tcPr>
            <w:tcW w:w="4052" w:type="dxa"/>
          </w:tcPr>
          <w:p w:rsidR="00E44F87" w:rsidRDefault="00E44F87">
            <w:pPr>
              <w:pStyle w:val="TableText9Point"/>
              <w:rPr>
                <w:rFonts w:ascii="Arial" w:hAnsi="Arial" w:cs="Arial"/>
                <w:lang w:val="en-AU"/>
              </w:rPr>
            </w:pPr>
            <w:r>
              <w:rPr>
                <w:rFonts w:ascii="Arial" w:hAnsi="Arial" w:cs="Arial"/>
                <w:lang w:val="en-AU"/>
              </w:rPr>
              <w:tab/>
              <w:t>Week 24</w:t>
            </w:r>
          </w:p>
        </w:tc>
        <w:tc>
          <w:tcPr>
            <w:tcW w:w="2580" w:type="dxa"/>
          </w:tcPr>
          <w:p w:rsidR="00E44F87" w:rsidRDefault="00E44F87">
            <w:pPr>
              <w:pStyle w:val="TableText9Point"/>
              <w:jc w:val="center"/>
              <w:rPr>
                <w:rFonts w:ascii="Arial" w:hAnsi="Arial" w:cs="Arial"/>
                <w:lang w:val="en-AU"/>
              </w:rPr>
            </w:pPr>
            <w:r>
              <w:rPr>
                <w:rFonts w:ascii="Arial" w:hAnsi="Arial" w:cs="Arial"/>
                <w:lang w:val="en-AU"/>
              </w:rPr>
              <w:t>19%</w:t>
            </w:r>
          </w:p>
        </w:tc>
        <w:tc>
          <w:tcPr>
            <w:tcW w:w="2581" w:type="dxa"/>
          </w:tcPr>
          <w:p w:rsidR="00E44F87" w:rsidRDefault="00E44F87">
            <w:pPr>
              <w:pStyle w:val="TableText9Point"/>
              <w:jc w:val="center"/>
              <w:rPr>
                <w:rFonts w:ascii="Arial" w:hAnsi="Arial" w:cs="Arial"/>
                <w:lang w:val="en-AU"/>
              </w:rPr>
            </w:pPr>
            <w:r>
              <w:rPr>
                <w:rFonts w:ascii="Arial" w:hAnsi="Arial" w:cs="Arial"/>
                <w:lang w:val="en-AU"/>
              </w:rPr>
              <w:t>51%*</w:t>
            </w:r>
          </w:p>
        </w:tc>
      </w:tr>
      <w:tr w:rsidR="00E44F87">
        <w:tc>
          <w:tcPr>
            <w:tcW w:w="4052" w:type="dxa"/>
          </w:tcPr>
          <w:p w:rsidR="00E44F87" w:rsidRDefault="00E44F87">
            <w:pPr>
              <w:pStyle w:val="TableText9Point"/>
              <w:rPr>
                <w:rFonts w:ascii="Arial" w:hAnsi="Arial" w:cs="Arial"/>
                <w:lang w:val="en-AU"/>
              </w:rPr>
            </w:pPr>
            <w:r>
              <w:rPr>
                <w:rFonts w:ascii="Arial" w:hAnsi="Arial" w:cs="Arial"/>
                <w:lang w:val="en-AU"/>
              </w:rPr>
              <w:t>ASAS 50</w:t>
            </w:r>
          </w:p>
        </w:tc>
        <w:tc>
          <w:tcPr>
            <w:tcW w:w="2580" w:type="dxa"/>
          </w:tcPr>
          <w:p w:rsidR="00E44F87" w:rsidRDefault="00E44F87">
            <w:pPr>
              <w:pStyle w:val="TableText9Point"/>
              <w:jc w:val="center"/>
              <w:rPr>
                <w:rFonts w:ascii="Arial" w:hAnsi="Arial" w:cs="Arial"/>
                <w:lang w:val="en-AU"/>
              </w:rPr>
            </w:pPr>
          </w:p>
        </w:tc>
        <w:tc>
          <w:tcPr>
            <w:tcW w:w="2581" w:type="dxa"/>
          </w:tcPr>
          <w:p w:rsidR="00E44F87" w:rsidRDefault="00E44F87">
            <w:pPr>
              <w:pStyle w:val="TableText9Point"/>
              <w:jc w:val="center"/>
              <w:rPr>
                <w:rFonts w:ascii="Arial" w:hAnsi="Arial" w:cs="Arial"/>
                <w:lang w:val="en-AU"/>
              </w:rPr>
            </w:pPr>
          </w:p>
        </w:tc>
      </w:tr>
      <w:tr w:rsidR="00E44F87">
        <w:tc>
          <w:tcPr>
            <w:tcW w:w="4052" w:type="dxa"/>
          </w:tcPr>
          <w:p w:rsidR="00E44F87" w:rsidRDefault="00E44F87">
            <w:pPr>
              <w:pStyle w:val="TableText9Point"/>
              <w:rPr>
                <w:rFonts w:ascii="Arial" w:hAnsi="Arial" w:cs="Arial"/>
                <w:lang w:val="en-AU"/>
              </w:rPr>
            </w:pPr>
            <w:r>
              <w:rPr>
                <w:rFonts w:ascii="Arial" w:hAnsi="Arial" w:cs="Arial"/>
                <w:lang w:val="en-AU"/>
              </w:rPr>
              <w:tab/>
              <w:t>Week 12</w:t>
            </w:r>
          </w:p>
        </w:tc>
        <w:tc>
          <w:tcPr>
            <w:tcW w:w="2580" w:type="dxa"/>
          </w:tcPr>
          <w:p w:rsidR="00E44F87" w:rsidRDefault="00E44F87">
            <w:pPr>
              <w:pStyle w:val="TableText9Point"/>
              <w:jc w:val="center"/>
              <w:rPr>
                <w:rFonts w:ascii="Arial" w:hAnsi="Arial" w:cs="Arial"/>
                <w:lang w:val="en-AU"/>
              </w:rPr>
            </w:pPr>
            <w:r>
              <w:rPr>
                <w:rFonts w:ascii="Arial" w:hAnsi="Arial" w:cs="Arial"/>
                <w:lang w:val="en-AU"/>
              </w:rPr>
              <w:t>10%</w:t>
            </w:r>
          </w:p>
        </w:tc>
        <w:tc>
          <w:tcPr>
            <w:tcW w:w="2581" w:type="dxa"/>
          </w:tcPr>
          <w:p w:rsidR="00E44F87" w:rsidRDefault="00E44F87">
            <w:pPr>
              <w:pStyle w:val="TableText9Point"/>
              <w:jc w:val="center"/>
              <w:rPr>
                <w:rFonts w:ascii="Arial" w:hAnsi="Arial" w:cs="Arial"/>
                <w:lang w:val="en-AU"/>
              </w:rPr>
            </w:pPr>
            <w:r>
              <w:rPr>
                <w:rFonts w:ascii="Arial" w:hAnsi="Arial" w:cs="Arial"/>
                <w:lang w:val="en-AU"/>
              </w:rPr>
              <w:t>38%*</w:t>
            </w:r>
          </w:p>
        </w:tc>
      </w:tr>
      <w:tr w:rsidR="00E44F87">
        <w:tc>
          <w:tcPr>
            <w:tcW w:w="4052" w:type="dxa"/>
          </w:tcPr>
          <w:p w:rsidR="00E44F87" w:rsidRDefault="00E44F87">
            <w:pPr>
              <w:pStyle w:val="TableText9Point"/>
              <w:rPr>
                <w:rFonts w:ascii="Arial" w:hAnsi="Arial" w:cs="Arial"/>
                <w:lang w:val="en-AU"/>
              </w:rPr>
            </w:pPr>
            <w:r>
              <w:rPr>
                <w:rFonts w:ascii="Arial" w:hAnsi="Arial" w:cs="Arial"/>
                <w:lang w:val="en-AU"/>
              </w:rPr>
              <w:tab/>
              <w:t>Week 24</w:t>
            </w:r>
          </w:p>
        </w:tc>
        <w:tc>
          <w:tcPr>
            <w:tcW w:w="2580" w:type="dxa"/>
          </w:tcPr>
          <w:p w:rsidR="00E44F87" w:rsidRDefault="00E44F87">
            <w:pPr>
              <w:pStyle w:val="TableText9Point"/>
              <w:jc w:val="center"/>
              <w:rPr>
                <w:rFonts w:ascii="Arial" w:hAnsi="Arial" w:cs="Arial"/>
                <w:lang w:val="en-AU"/>
              </w:rPr>
            </w:pPr>
            <w:r>
              <w:rPr>
                <w:rFonts w:ascii="Arial" w:hAnsi="Arial" w:cs="Arial"/>
                <w:lang w:val="en-AU"/>
              </w:rPr>
              <w:t>11%</w:t>
            </w:r>
          </w:p>
        </w:tc>
        <w:tc>
          <w:tcPr>
            <w:tcW w:w="2581" w:type="dxa"/>
          </w:tcPr>
          <w:p w:rsidR="00E44F87" w:rsidRDefault="00E44F87">
            <w:pPr>
              <w:pStyle w:val="TableText9Point"/>
              <w:jc w:val="center"/>
              <w:rPr>
                <w:rFonts w:ascii="Arial" w:hAnsi="Arial" w:cs="Arial"/>
                <w:lang w:val="en-AU"/>
              </w:rPr>
            </w:pPr>
            <w:r>
              <w:rPr>
                <w:rFonts w:ascii="Arial" w:hAnsi="Arial" w:cs="Arial"/>
                <w:lang w:val="en-AU"/>
              </w:rPr>
              <w:t>35%*</w:t>
            </w:r>
          </w:p>
        </w:tc>
      </w:tr>
      <w:tr w:rsidR="00E44F87">
        <w:tc>
          <w:tcPr>
            <w:tcW w:w="4052" w:type="dxa"/>
          </w:tcPr>
          <w:p w:rsidR="00E44F87" w:rsidRDefault="00E44F87">
            <w:pPr>
              <w:pStyle w:val="TableText9Point"/>
              <w:rPr>
                <w:rFonts w:ascii="Arial" w:hAnsi="Arial" w:cs="Arial"/>
                <w:lang w:val="en-AU"/>
              </w:rPr>
            </w:pPr>
            <w:r>
              <w:rPr>
                <w:rFonts w:ascii="Arial" w:hAnsi="Arial" w:cs="Arial"/>
                <w:lang w:val="en-AU"/>
              </w:rPr>
              <w:t>ASAS 70</w:t>
            </w:r>
          </w:p>
        </w:tc>
        <w:tc>
          <w:tcPr>
            <w:tcW w:w="2580" w:type="dxa"/>
          </w:tcPr>
          <w:p w:rsidR="00E44F87" w:rsidRDefault="00E44F87">
            <w:pPr>
              <w:pStyle w:val="TableText9Point"/>
              <w:jc w:val="center"/>
              <w:rPr>
                <w:rFonts w:ascii="Arial" w:hAnsi="Arial" w:cs="Arial"/>
                <w:lang w:val="en-AU"/>
              </w:rPr>
            </w:pPr>
          </w:p>
        </w:tc>
        <w:tc>
          <w:tcPr>
            <w:tcW w:w="2581" w:type="dxa"/>
          </w:tcPr>
          <w:p w:rsidR="00E44F87" w:rsidRDefault="00E44F87">
            <w:pPr>
              <w:pStyle w:val="TableText9Point"/>
              <w:jc w:val="center"/>
              <w:rPr>
                <w:rFonts w:ascii="Arial" w:hAnsi="Arial" w:cs="Arial"/>
                <w:lang w:val="en-AU"/>
              </w:rPr>
            </w:pPr>
          </w:p>
        </w:tc>
      </w:tr>
      <w:tr w:rsidR="00E44F87">
        <w:tc>
          <w:tcPr>
            <w:tcW w:w="4052" w:type="dxa"/>
          </w:tcPr>
          <w:p w:rsidR="00E44F87" w:rsidRDefault="00E44F87">
            <w:pPr>
              <w:pStyle w:val="TableText9Point"/>
              <w:rPr>
                <w:rFonts w:ascii="Arial" w:hAnsi="Arial" w:cs="Arial"/>
                <w:lang w:val="en-AU"/>
              </w:rPr>
            </w:pPr>
            <w:r>
              <w:rPr>
                <w:rFonts w:ascii="Arial" w:hAnsi="Arial" w:cs="Arial"/>
                <w:lang w:val="en-AU"/>
              </w:rPr>
              <w:tab/>
              <w:t>Week 12</w:t>
            </w:r>
          </w:p>
        </w:tc>
        <w:tc>
          <w:tcPr>
            <w:tcW w:w="2580" w:type="dxa"/>
          </w:tcPr>
          <w:p w:rsidR="00E44F87" w:rsidRDefault="00E44F87">
            <w:pPr>
              <w:pStyle w:val="TableText9Point"/>
              <w:jc w:val="center"/>
              <w:rPr>
                <w:rFonts w:ascii="Arial" w:hAnsi="Arial" w:cs="Arial"/>
                <w:lang w:val="en-AU"/>
              </w:rPr>
            </w:pPr>
            <w:r>
              <w:rPr>
                <w:rFonts w:ascii="Arial" w:hAnsi="Arial" w:cs="Arial"/>
                <w:lang w:val="en-AU"/>
              </w:rPr>
              <w:t>5%</w:t>
            </w:r>
          </w:p>
        </w:tc>
        <w:tc>
          <w:tcPr>
            <w:tcW w:w="2581" w:type="dxa"/>
          </w:tcPr>
          <w:p w:rsidR="00E44F87" w:rsidRDefault="00E44F87">
            <w:pPr>
              <w:pStyle w:val="TableText9Point"/>
              <w:jc w:val="center"/>
              <w:rPr>
                <w:rFonts w:ascii="Arial" w:hAnsi="Arial" w:cs="Arial"/>
                <w:lang w:val="en-AU"/>
              </w:rPr>
            </w:pPr>
            <w:r>
              <w:rPr>
                <w:rFonts w:ascii="Arial" w:hAnsi="Arial" w:cs="Arial"/>
                <w:lang w:val="en-AU"/>
              </w:rPr>
              <w:t>23%*</w:t>
            </w:r>
          </w:p>
        </w:tc>
      </w:tr>
      <w:tr w:rsidR="00E44F87">
        <w:tc>
          <w:tcPr>
            <w:tcW w:w="4052" w:type="dxa"/>
          </w:tcPr>
          <w:p w:rsidR="00E44F87" w:rsidRDefault="00E44F87">
            <w:pPr>
              <w:pStyle w:val="TableText9Point"/>
              <w:rPr>
                <w:rFonts w:ascii="Arial" w:hAnsi="Arial" w:cs="Arial"/>
                <w:lang w:val="en-AU"/>
              </w:rPr>
            </w:pPr>
            <w:r>
              <w:rPr>
                <w:rFonts w:ascii="Arial" w:hAnsi="Arial" w:cs="Arial"/>
                <w:lang w:val="en-AU"/>
              </w:rPr>
              <w:tab/>
              <w:t>Week 24</w:t>
            </w:r>
          </w:p>
        </w:tc>
        <w:tc>
          <w:tcPr>
            <w:tcW w:w="2580" w:type="dxa"/>
          </w:tcPr>
          <w:p w:rsidR="00E44F87" w:rsidRDefault="00E44F87">
            <w:pPr>
              <w:pStyle w:val="TableText9Point"/>
              <w:jc w:val="center"/>
              <w:rPr>
                <w:rFonts w:ascii="Arial" w:hAnsi="Arial" w:cs="Arial"/>
                <w:lang w:val="en-AU"/>
              </w:rPr>
            </w:pPr>
            <w:r>
              <w:rPr>
                <w:rFonts w:ascii="Arial" w:hAnsi="Arial" w:cs="Arial"/>
                <w:lang w:val="en-AU"/>
              </w:rPr>
              <w:t>8%</w:t>
            </w:r>
          </w:p>
        </w:tc>
        <w:tc>
          <w:tcPr>
            <w:tcW w:w="2581" w:type="dxa"/>
          </w:tcPr>
          <w:p w:rsidR="00E44F87" w:rsidRDefault="00E44F87">
            <w:pPr>
              <w:pStyle w:val="TableText9Point"/>
              <w:jc w:val="center"/>
              <w:rPr>
                <w:rFonts w:ascii="Arial" w:hAnsi="Arial" w:cs="Arial"/>
                <w:lang w:val="en-AU"/>
              </w:rPr>
            </w:pPr>
            <w:r>
              <w:rPr>
                <w:rFonts w:ascii="Arial" w:hAnsi="Arial" w:cs="Arial"/>
                <w:lang w:val="en-AU"/>
              </w:rPr>
              <w:t>24%*</w:t>
            </w:r>
          </w:p>
        </w:tc>
      </w:tr>
    </w:tbl>
    <w:p w:rsidR="00E44F87" w:rsidRDefault="00E44F87">
      <w:pPr>
        <w:pStyle w:val="DefaultText"/>
        <w:rPr>
          <w:sz w:val="18"/>
        </w:rPr>
      </w:pPr>
    </w:p>
    <w:p w:rsidR="00E44F87" w:rsidRDefault="00E44F87">
      <w:pPr>
        <w:pStyle w:val="DefaultText"/>
        <w:rPr>
          <w:rFonts w:cs="Arial"/>
          <w:sz w:val="18"/>
        </w:rPr>
      </w:pPr>
      <w:r>
        <w:rPr>
          <w:rFonts w:cs="Arial"/>
          <w:sz w:val="18"/>
        </w:rPr>
        <w:t>* Statistically significant at p&lt;0.001 for all comparisons between Humira and placebo at Weeks 12 and 24</w:t>
      </w:r>
    </w:p>
    <w:p w:rsidR="00E44F87" w:rsidRDefault="00E44F87">
      <w:pPr>
        <w:autoSpaceDE w:val="0"/>
        <w:autoSpaceDN w:val="0"/>
        <w:adjustRightInd w:val="0"/>
        <w:rPr>
          <w:rFonts w:ascii="Arial" w:hAnsi="Arial" w:cs="Arial"/>
          <w:sz w:val="18"/>
          <w:szCs w:val="20"/>
        </w:rPr>
      </w:pPr>
      <w:r>
        <w:rPr>
          <w:rFonts w:ascii="Arial" w:hAnsi="Arial" w:cs="Arial"/>
          <w:sz w:val="18"/>
          <w:vertAlign w:val="superscript"/>
        </w:rPr>
        <w:t>a</w:t>
      </w:r>
      <w:r>
        <w:rPr>
          <w:rFonts w:ascii="Arial" w:hAnsi="Arial" w:cs="Arial"/>
          <w:sz w:val="18"/>
        </w:rPr>
        <w:t xml:space="preserve"> </w:t>
      </w:r>
      <w:r>
        <w:rPr>
          <w:rFonts w:ascii="Arial" w:hAnsi="Arial" w:cs="Arial"/>
          <w:sz w:val="18"/>
          <w:szCs w:val="20"/>
        </w:rPr>
        <w:t>Assessments in Ankylosing Spondylitis</w:t>
      </w:r>
    </w:p>
    <w:p w:rsidR="00E44F87" w:rsidRDefault="00E44F87">
      <w:pPr>
        <w:pStyle w:val="EMEANormal"/>
        <w:rPr>
          <w:sz w:val="18"/>
          <w:lang w:val="en-AU"/>
        </w:rPr>
      </w:pPr>
    </w:p>
    <w:p w:rsidR="00E44F87" w:rsidRDefault="00E44F87">
      <w:pPr>
        <w:pStyle w:val="BodyText"/>
        <w:autoSpaceDE/>
        <w:autoSpaceDN/>
        <w:adjustRightInd/>
        <w:jc w:val="both"/>
        <w:rPr>
          <w:szCs w:val="24"/>
        </w:rPr>
      </w:pPr>
      <w:r>
        <w:rPr>
          <w:szCs w:val="24"/>
        </w:rPr>
        <w:t xml:space="preserve">A low level of disease activity (defined as a value &lt;20 [on a scale of 0-100mm] in each of the four ASAS response parameters) was achieved at 24 weeks in 22% of Humira-treated patients vs. 6% in placebo-treated patients (p&lt;0.001). </w:t>
      </w:r>
    </w:p>
    <w:p w:rsidR="00E44F87" w:rsidRDefault="00E44F87">
      <w:pPr>
        <w:pStyle w:val="BodyText"/>
        <w:autoSpaceDE/>
        <w:autoSpaceDN/>
        <w:adjustRightInd/>
        <w:jc w:val="both"/>
        <w:rPr>
          <w:szCs w:val="24"/>
        </w:rPr>
      </w:pPr>
    </w:p>
    <w:tbl>
      <w:tblPr>
        <w:tblW w:w="0" w:type="auto"/>
        <w:jc w:val="center"/>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548"/>
        <w:gridCol w:w="1332"/>
        <w:gridCol w:w="108"/>
        <w:gridCol w:w="1260"/>
        <w:gridCol w:w="72"/>
        <w:gridCol w:w="1188"/>
        <w:gridCol w:w="72"/>
        <w:gridCol w:w="1008"/>
        <w:gridCol w:w="252"/>
        <w:gridCol w:w="1080"/>
      </w:tblGrid>
      <w:tr w:rsidR="00E44F87">
        <w:trPr>
          <w:gridAfter w:val="2"/>
          <w:wAfter w:w="1332" w:type="dxa"/>
          <w:cantSplit/>
          <w:jc w:val="center"/>
        </w:trPr>
        <w:tc>
          <w:tcPr>
            <w:tcW w:w="7920" w:type="dxa"/>
            <w:gridSpan w:val="9"/>
            <w:vAlign w:val="center"/>
          </w:tcPr>
          <w:p w:rsidR="00E44F87" w:rsidRDefault="00E44F87">
            <w:pPr>
              <w:pStyle w:val="TableText9Point"/>
              <w:rPr>
                <w:rFonts w:ascii="Arial" w:hAnsi="Arial" w:cs="Arial"/>
                <w:b/>
                <w:bCs/>
                <w:sz w:val="20"/>
                <w:lang w:val="en-AU"/>
              </w:rPr>
            </w:pPr>
            <w:r>
              <w:rPr>
                <w:rFonts w:ascii="Arial" w:hAnsi="Arial" w:cs="Arial"/>
                <w:b/>
                <w:bCs/>
                <w:sz w:val="20"/>
                <w:lang w:val="en-AU"/>
              </w:rPr>
              <w:lastRenderedPageBreak/>
              <w:t>Table 12.           Components of Ankylosing Spondylitis Disease Activity</w:t>
            </w:r>
          </w:p>
        </w:tc>
      </w:tr>
      <w:tr w:rsidR="00E44F87">
        <w:trPr>
          <w:gridAfter w:val="2"/>
          <w:wAfter w:w="1332" w:type="dxa"/>
          <w:cantSplit/>
          <w:jc w:val="center"/>
        </w:trPr>
        <w:tc>
          <w:tcPr>
            <w:tcW w:w="2880" w:type="dxa"/>
            <w:gridSpan w:val="2"/>
          </w:tcPr>
          <w:p w:rsidR="00E44F87" w:rsidRDefault="00E44F87">
            <w:pPr>
              <w:pStyle w:val="TableText9Point"/>
              <w:rPr>
                <w:rFonts w:ascii="Arial" w:hAnsi="Arial" w:cs="Arial"/>
                <w:lang w:val="en-AU"/>
              </w:rPr>
            </w:pPr>
          </w:p>
        </w:tc>
        <w:tc>
          <w:tcPr>
            <w:tcW w:w="2700" w:type="dxa"/>
            <w:gridSpan w:val="3"/>
          </w:tcPr>
          <w:p w:rsidR="00E44F87" w:rsidRDefault="00E44F87">
            <w:pPr>
              <w:pStyle w:val="TableText9Point"/>
              <w:jc w:val="center"/>
              <w:rPr>
                <w:rFonts w:ascii="Arial" w:hAnsi="Arial" w:cs="Arial"/>
                <w:lang w:val="en-AU"/>
              </w:rPr>
            </w:pPr>
            <w:r>
              <w:rPr>
                <w:rFonts w:ascii="Arial" w:hAnsi="Arial" w:cs="Arial"/>
                <w:lang w:val="en-AU"/>
              </w:rPr>
              <w:t>Placebo</w:t>
            </w:r>
          </w:p>
          <w:p w:rsidR="00E44F87" w:rsidRDefault="00E44F87">
            <w:pPr>
              <w:pStyle w:val="TableText9Point"/>
              <w:jc w:val="center"/>
              <w:rPr>
                <w:rFonts w:ascii="Arial" w:hAnsi="Arial" w:cs="Arial"/>
                <w:lang w:val="en-AU"/>
              </w:rPr>
            </w:pPr>
            <w:r>
              <w:rPr>
                <w:rFonts w:ascii="Arial" w:hAnsi="Arial" w:cs="Arial"/>
                <w:lang w:val="en-AU"/>
              </w:rPr>
              <w:t>N=107</w:t>
            </w:r>
          </w:p>
        </w:tc>
        <w:tc>
          <w:tcPr>
            <w:tcW w:w="2340" w:type="dxa"/>
            <w:gridSpan w:val="4"/>
          </w:tcPr>
          <w:p w:rsidR="00E44F87" w:rsidRDefault="00E44F87">
            <w:pPr>
              <w:pStyle w:val="TableText9Point"/>
              <w:jc w:val="center"/>
              <w:rPr>
                <w:rFonts w:ascii="Arial" w:hAnsi="Arial" w:cs="Arial"/>
                <w:lang w:val="en-AU"/>
              </w:rPr>
            </w:pPr>
            <w:r>
              <w:rPr>
                <w:rFonts w:ascii="Arial" w:hAnsi="Arial" w:cs="Arial"/>
                <w:lang w:val="en-AU"/>
              </w:rPr>
              <w:t>Humira</w:t>
            </w:r>
          </w:p>
          <w:p w:rsidR="00E44F87" w:rsidRDefault="00E44F87">
            <w:pPr>
              <w:pStyle w:val="TableText9Point"/>
              <w:jc w:val="center"/>
              <w:rPr>
                <w:rFonts w:ascii="Arial" w:hAnsi="Arial" w:cs="Arial"/>
                <w:lang w:val="en-AU"/>
              </w:rPr>
            </w:pPr>
            <w:r>
              <w:rPr>
                <w:rFonts w:ascii="Arial" w:hAnsi="Arial" w:cs="Arial"/>
                <w:lang w:val="en-AU"/>
              </w:rPr>
              <w:t>N=208</w:t>
            </w:r>
          </w:p>
        </w:tc>
      </w:tr>
      <w:tr w:rsidR="00E44F87">
        <w:trPr>
          <w:gridAfter w:val="2"/>
          <w:wAfter w:w="1332" w:type="dxa"/>
          <w:jc w:val="center"/>
        </w:trPr>
        <w:tc>
          <w:tcPr>
            <w:tcW w:w="2880" w:type="dxa"/>
            <w:gridSpan w:val="2"/>
          </w:tcPr>
          <w:p w:rsidR="00E44F87" w:rsidRDefault="00E44F87">
            <w:pPr>
              <w:pStyle w:val="TableText9Point"/>
              <w:rPr>
                <w:rFonts w:ascii="Arial" w:hAnsi="Arial" w:cs="Arial"/>
                <w:lang w:val="en-AU"/>
              </w:rPr>
            </w:pPr>
          </w:p>
        </w:tc>
        <w:tc>
          <w:tcPr>
            <w:tcW w:w="1440" w:type="dxa"/>
            <w:gridSpan w:val="2"/>
          </w:tcPr>
          <w:p w:rsidR="00E44F87" w:rsidRDefault="00E44F87">
            <w:pPr>
              <w:pStyle w:val="TableText9Point"/>
              <w:rPr>
                <w:rFonts w:ascii="Arial" w:hAnsi="Arial" w:cs="Arial"/>
                <w:lang w:val="en-AU"/>
              </w:rPr>
            </w:pPr>
            <w:r>
              <w:rPr>
                <w:rFonts w:ascii="Arial" w:hAnsi="Arial" w:cs="Arial"/>
                <w:lang w:val="en-AU"/>
              </w:rPr>
              <w:t>Baseline mean</w:t>
            </w:r>
          </w:p>
        </w:tc>
        <w:tc>
          <w:tcPr>
            <w:tcW w:w="1260" w:type="dxa"/>
          </w:tcPr>
          <w:p w:rsidR="00E44F87" w:rsidRDefault="00E44F87">
            <w:pPr>
              <w:pStyle w:val="TableText9Point"/>
              <w:rPr>
                <w:rFonts w:ascii="Arial" w:hAnsi="Arial" w:cs="Arial"/>
                <w:lang w:val="en-AU"/>
              </w:rPr>
            </w:pPr>
            <w:r>
              <w:rPr>
                <w:rFonts w:ascii="Arial" w:hAnsi="Arial" w:cs="Arial"/>
                <w:lang w:val="en-AU"/>
              </w:rPr>
              <w:t>Week 24 mean</w:t>
            </w:r>
          </w:p>
        </w:tc>
        <w:tc>
          <w:tcPr>
            <w:tcW w:w="1260" w:type="dxa"/>
            <w:gridSpan w:val="2"/>
          </w:tcPr>
          <w:p w:rsidR="00E44F87" w:rsidRDefault="00E44F87">
            <w:pPr>
              <w:pStyle w:val="TableText9Point"/>
              <w:rPr>
                <w:rFonts w:ascii="Arial" w:hAnsi="Arial" w:cs="Arial"/>
                <w:lang w:val="en-AU"/>
              </w:rPr>
            </w:pPr>
            <w:r>
              <w:rPr>
                <w:rFonts w:ascii="Arial" w:hAnsi="Arial" w:cs="Arial"/>
                <w:lang w:val="en-AU"/>
              </w:rPr>
              <w:t>Baseline mean</w:t>
            </w:r>
          </w:p>
        </w:tc>
        <w:tc>
          <w:tcPr>
            <w:tcW w:w="1080" w:type="dxa"/>
            <w:gridSpan w:val="2"/>
          </w:tcPr>
          <w:p w:rsidR="00E44F87" w:rsidRDefault="00E44F87">
            <w:pPr>
              <w:pStyle w:val="TableText9Point"/>
              <w:rPr>
                <w:rFonts w:ascii="Arial" w:hAnsi="Arial" w:cs="Arial"/>
                <w:lang w:val="en-AU"/>
              </w:rPr>
            </w:pPr>
            <w:r>
              <w:rPr>
                <w:rFonts w:ascii="Arial" w:hAnsi="Arial" w:cs="Arial"/>
                <w:lang w:val="en-AU"/>
              </w:rPr>
              <w:t>Week 24 mean</w:t>
            </w:r>
          </w:p>
        </w:tc>
      </w:tr>
      <w:tr w:rsidR="00E44F87">
        <w:trPr>
          <w:gridAfter w:val="2"/>
          <w:wAfter w:w="1332" w:type="dxa"/>
          <w:jc w:val="center"/>
        </w:trPr>
        <w:tc>
          <w:tcPr>
            <w:tcW w:w="2880" w:type="dxa"/>
            <w:gridSpan w:val="2"/>
          </w:tcPr>
          <w:p w:rsidR="00E44F87" w:rsidRDefault="00E44F87">
            <w:pPr>
              <w:pStyle w:val="TableText9Point"/>
              <w:rPr>
                <w:rFonts w:ascii="Arial" w:hAnsi="Arial" w:cs="Arial"/>
                <w:lang w:val="en-AU"/>
              </w:rPr>
            </w:pPr>
            <w:r>
              <w:rPr>
                <w:rFonts w:ascii="Arial" w:hAnsi="Arial" w:cs="Arial"/>
                <w:lang w:val="en-AU"/>
              </w:rPr>
              <w:t>ASAS 20 Response Criteria*</w:t>
            </w:r>
          </w:p>
        </w:tc>
        <w:tc>
          <w:tcPr>
            <w:tcW w:w="1440" w:type="dxa"/>
            <w:gridSpan w:val="2"/>
          </w:tcPr>
          <w:p w:rsidR="00E44F87" w:rsidRDefault="00E44F87">
            <w:pPr>
              <w:pStyle w:val="TableText9Point"/>
              <w:rPr>
                <w:rFonts w:ascii="Arial" w:hAnsi="Arial" w:cs="Arial"/>
                <w:lang w:val="en-AU"/>
              </w:rPr>
            </w:pPr>
          </w:p>
        </w:tc>
        <w:tc>
          <w:tcPr>
            <w:tcW w:w="1260" w:type="dxa"/>
          </w:tcPr>
          <w:p w:rsidR="00E44F87" w:rsidRDefault="00E44F87">
            <w:pPr>
              <w:pStyle w:val="TableText9Point"/>
              <w:rPr>
                <w:rFonts w:ascii="Arial" w:hAnsi="Arial" w:cs="Arial"/>
                <w:lang w:val="en-AU"/>
              </w:rPr>
            </w:pPr>
          </w:p>
        </w:tc>
        <w:tc>
          <w:tcPr>
            <w:tcW w:w="1260" w:type="dxa"/>
            <w:gridSpan w:val="2"/>
          </w:tcPr>
          <w:p w:rsidR="00E44F87" w:rsidRDefault="00E44F87">
            <w:pPr>
              <w:pStyle w:val="TableText9Point"/>
              <w:rPr>
                <w:rFonts w:ascii="Arial" w:hAnsi="Arial" w:cs="Arial"/>
                <w:lang w:val="en-AU"/>
              </w:rPr>
            </w:pPr>
          </w:p>
        </w:tc>
        <w:tc>
          <w:tcPr>
            <w:tcW w:w="1080" w:type="dxa"/>
            <w:gridSpan w:val="2"/>
          </w:tcPr>
          <w:p w:rsidR="00E44F87" w:rsidRDefault="00E44F87">
            <w:pPr>
              <w:pStyle w:val="TableText9Point"/>
              <w:rPr>
                <w:rFonts w:ascii="Arial" w:hAnsi="Arial" w:cs="Arial"/>
                <w:lang w:val="en-AU"/>
              </w:rPr>
            </w:pPr>
          </w:p>
        </w:tc>
      </w:tr>
      <w:tr w:rsidR="00E44F87">
        <w:trPr>
          <w:gridBefore w:val="1"/>
          <w:wBefore w:w="1332" w:type="dxa"/>
          <w:jc w:val="center"/>
        </w:trPr>
        <w:tc>
          <w:tcPr>
            <w:tcW w:w="2880" w:type="dxa"/>
            <w:gridSpan w:val="2"/>
          </w:tcPr>
          <w:p w:rsidR="00E44F87" w:rsidRDefault="00E44F87">
            <w:pPr>
              <w:pStyle w:val="TableText9Point"/>
              <w:ind w:left="360"/>
              <w:rPr>
                <w:rFonts w:ascii="Arial" w:hAnsi="Arial" w:cs="Arial"/>
                <w:lang w:val="en-AU"/>
              </w:rPr>
            </w:pPr>
            <w:r>
              <w:rPr>
                <w:rFonts w:ascii="Arial" w:hAnsi="Arial" w:cs="Arial"/>
                <w:lang w:val="en-AU"/>
              </w:rPr>
              <w:t>Patient’s Global Assessment of Disease Activity</w:t>
            </w:r>
            <w:r>
              <w:rPr>
                <w:rFonts w:ascii="Arial" w:hAnsi="Arial" w:cs="Arial"/>
                <w:vertAlign w:val="superscript"/>
                <w:lang w:val="en-AU"/>
              </w:rPr>
              <w:t xml:space="preserve">a </w:t>
            </w:r>
          </w:p>
        </w:tc>
        <w:tc>
          <w:tcPr>
            <w:tcW w:w="1440" w:type="dxa"/>
            <w:gridSpan w:val="3"/>
          </w:tcPr>
          <w:p w:rsidR="00E44F87" w:rsidRDefault="00E44F87">
            <w:pPr>
              <w:pStyle w:val="TableText9Point"/>
              <w:jc w:val="center"/>
              <w:rPr>
                <w:rFonts w:ascii="Arial" w:hAnsi="Arial" w:cs="Arial"/>
                <w:lang w:val="en-AU"/>
              </w:rPr>
            </w:pPr>
            <w:r>
              <w:rPr>
                <w:rFonts w:ascii="Arial" w:hAnsi="Arial" w:cs="Arial"/>
                <w:lang w:val="en-AU"/>
              </w:rPr>
              <w:t>65</w:t>
            </w:r>
          </w:p>
        </w:tc>
        <w:tc>
          <w:tcPr>
            <w:tcW w:w="1260" w:type="dxa"/>
            <w:gridSpan w:val="2"/>
          </w:tcPr>
          <w:p w:rsidR="00E44F87" w:rsidRDefault="00E44F87">
            <w:pPr>
              <w:pStyle w:val="TableText9Point"/>
              <w:jc w:val="center"/>
              <w:rPr>
                <w:rFonts w:ascii="Arial" w:hAnsi="Arial" w:cs="Arial"/>
                <w:lang w:val="en-AU"/>
              </w:rPr>
            </w:pPr>
            <w:r>
              <w:rPr>
                <w:rFonts w:ascii="Arial" w:hAnsi="Arial" w:cs="Arial"/>
                <w:lang w:val="en-AU"/>
              </w:rPr>
              <w:t>60</w:t>
            </w:r>
          </w:p>
        </w:tc>
        <w:tc>
          <w:tcPr>
            <w:tcW w:w="1260" w:type="dxa"/>
            <w:gridSpan w:val="2"/>
          </w:tcPr>
          <w:p w:rsidR="00E44F87" w:rsidRDefault="00E44F87">
            <w:pPr>
              <w:pStyle w:val="TableText9Point"/>
              <w:jc w:val="center"/>
              <w:rPr>
                <w:rFonts w:ascii="Arial" w:hAnsi="Arial" w:cs="Arial"/>
                <w:lang w:val="en-AU"/>
              </w:rPr>
            </w:pPr>
            <w:r>
              <w:rPr>
                <w:rFonts w:ascii="Arial" w:hAnsi="Arial" w:cs="Arial"/>
                <w:lang w:val="en-AU"/>
              </w:rPr>
              <w:t>63</w:t>
            </w:r>
          </w:p>
        </w:tc>
        <w:tc>
          <w:tcPr>
            <w:tcW w:w="1080" w:type="dxa"/>
          </w:tcPr>
          <w:p w:rsidR="00E44F87" w:rsidRDefault="00E44F87">
            <w:pPr>
              <w:pStyle w:val="TableText9Point"/>
              <w:jc w:val="center"/>
              <w:rPr>
                <w:rFonts w:ascii="Arial" w:hAnsi="Arial" w:cs="Arial"/>
                <w:lang w:val="en-AU"/>
              </w:rPr>
            </w:pPr>
            <w:r>
              <w:rPr>
                <w:rFonts w:ascii="Arial" w:hAnsi="Arial" w:cs="Arial"/>
                <w:lang w:val="en-AU"/>
              </w:rPr>
              <w:t>38</w:t>
            </w:r>
          </w:p>
        </w:tc>
      </w:tr>
      <w:tr w:rsidR="00E44F87">
        <w:trPr>
          <w:gridBefore w:val="1"/>
          <w:wBefore w:w="1332" w:type="dxa"/>
          <w:jc w:val="center"/>
        </w:trPr>
        <w:tc>
          <w:tcPr>
            <w:tcW w:w="2880" w:type="dxa"/>
            <w:gridSpan w:val="2"/>
          </w:tcPr>
          <w:p w:rsidR="00E44F87" w:rsidRDefault="00E44F87">
            <w:pPr>
              <w:pStyle w:val="TableText9Point"/>
              <w:ind w:left="360"/>
              <w:rPr>
                <w:rFonts w:ascii="Arial" w:hAnsi="Arial" w:cs="Arial"/>
                <w:lang w:val="en-AU"/>
              </w:rPr>
            </w:pPr>
            <w:r>
              <w:rPr>
                <w:rFonts w:ascii="Arial" w:hAnsi="Arial" w:cs="Arial"/>
                <w:lang w:val="en-AU"/>
              </w:rPr>
              <w:t>Total back pain</w:t>
            </w:r>
          </w:p>
        </w:tc>
        <w:tc>
          <w:tcPr>
            <w:tcW w:w="1440" w:type="dxa"/>
            <w:gridSpan w:val="3"/>
          </w:tcPr>
          <w:p w:rsidR="00E44F87" w:rsidRDefault="00E44F87">
            <w:pPr>
              <w:pStyle w:val="TableText9Point"/>
              <w:jc w:val="center"/>
              <w:rPr>
                <w:rFonts w:ascii="Arial" w:hAnsi="Arial" w:cs="Arial"/>
                <w:lang w:val="en-AU"/>
              </w:rPr>
            </w:pPr>
            <w:r>
              <w:rPr>
                <w:rFonts w:ascii="Arial" w:hAnsi="Arial" w:cs="Arial"/>
                <w:lang w:val="en-AU"/>
              </w:rPr>
              <w:t>67</w:t>
            </w:r>
          </w:p>
        </w:tc>
        <w:tc>
          <w:tcPr>
            <w:tcW w:w="1260" w:type="dxa"/>
            <w:gridSpan w:val="2"/>
          </w:tcPr>
          <w:p w:rsidR="00E44F87" w:rsidRDefault="00E44F87">
            <w:pPr>
              <w:pStyle w:val="TableText9Point"/>
              <w:jc w:val="center"/>
              <w:rPr>
                <w:rFonts w:ascii="Arial" w:hAnsi="Arial" w:cs="Arial"/>
                <w:lang w:val="en-AU"/>
              </w:rPr>
            </w:pPr>
            <w:r>
              <w:rPr>
                <w:rFonts w:ascii="Arial" w:hAnsi="Arial" w:cs="Arial"/>
                <w:lang w:val="en-AU"/>
              </w:rPr>
              <w:t>58</w:t>
            </w:r>
          </w:p>
        </w:tc>
        <w:tc>
          <w:tcPr>
            <w:tcW w:w="1260" w:type="dxa"/>
            <w:gridSpan w:val="2"/>
          </w:tcPr>
          <w:p w:rsidR="00E44F87" w:rsidRDefault="00E44F87">
            <w:pPr>
              <w:pStyle w:val="TableText9Point"/>
              <w:jc w:val="center"/>
              <w:rPr>
                <w:rFonts w:ascii="Arial" w:hAnsi="Arial" w:cs="Arial"/>
                <w:lang w:val="en-AU"/>
              </w:rPr>
            </w:pPr>
            <w:r>
              <w:rPr>
                <w:rFonts w:ascii="Arial" w:hAnsi="Arial" w:cs="Arial"/>
                <w:lang w:val="en-AU"/>
              </w:rPr>
              <w:t>65</w:t>
            </w:r>
          </w:p>
        </w:tc>
        <w:tc>
          <w:tcPr>
            <w:tcW w:w="1080" w:type="dxa"/>
          </w:tcPr>
          <w:p w:rsidR="00E44F87" w:rsidRDefault="00E44F87">
            <w:pPr>
              <w:pStyle w:val="TableText9Point"/>
              <w:jc w:val="center"/>
              <w:rPr>
                <w:rFonts w:ascii="Arial" w:hAnsi="Arial" w:cs="Arial"/>
                <w:lang w:val="en-AU"/>
              </w:rPr>
            </w:pPr>
            <w:r>
              <w:rPr>
                <w:rFonts w:ascii="Arial" w:hAnsi="Arial" w:cs="Arial"/>
                <w:lang w:val="en-AU"/>
              </w:rPr>
              <w:t>37</w:t>
            </w:r>
          </w:p>
        </w:tc>
      </w:tr>
      <w:tr w:rsidR="00E44F87">
        <w:trPr>
          <w:gridBefore w:val="1"/>
          <w:wBefore w:w="1332" w:type="dxa"/>
          <w:jc w:val="center"/>
        </w:trPr>
        <w:tc>
          <w:tcPr>
            <w:tcW w:w="2880" w:type="dxa"/>
            <w:gridSpan w:val="2"/>
          </w:tcPr>
          <w:p w:rsidR="00E44F87" w:rsidRDefault="00E44F87">
            <w:pPr>
              <w:pStyle w:val="TableText9Point"/>
              <w:ind w:left="360"/>
              <w:rPr>
                <w:rFonts w:ascii="Arial" w:hAnsi="Arial" w:cs="Arial"/>
                <w:lang w:val="en-AU"/>
              </w:rPr>
            </w:pPr>
            <w:r>
              <w:rPr>
                <w:rFonts w:ascii="Arial" w:hAnsi="Arial" w:cs="Arial"/>
                <w:lang w:val="en-AU"/>
              </w:rPr>
              <w:t>Inflammation</w:t>
            </w:r>
            <w:r>
              <w:rPr>
                <w:rFonts w:ascii="Arial" w:hAnsi="Arial" w:cs="Arial"/>
                <w:vertAlign w:val="superscript"/>
                <w:lang w:val="en-AU"/>
              </w:rPr>
              <w:t>b</w:t>
            </w:r>
          </w:p>
        </w:tc>
        <w:tc>
          <w:tcPr>
            <w:tcW w:w="1440" w:type="dxa"/>
            <w:gridSpan w:val="3"/>
          </w:tcPr>
          <w:p w:rsidR="00E44F87" w:rsidRDefault="00E44F87">
            <w:pPr>
              <w:pStyle w:val="TableText9Point"/>
              <w:jc w:val="center"/>
              <w:rPr>
                <w:rFonts w:ascii="Arial" w:hAnsi="Arial" w:cs="Arial"/>
                <w:lang w:val="en-AU"/>
              </w:rPr>
            </w:pPr>
            <w:r>
              <w:rPr>
                <w:rFonts w:ascii="Arial" w:hAnsi="Arial" w:cs="Arial"/>
                <w:lang w:val="en-AU"/>
              </w:rPr>
              <w:t>6.7</w:t>
            </w:r>
          </w:p>
        </w:tc>
        <w:tc>
          <w:tcPr>
            <w:tcW w:w="1260" w:type="dxa"/>
            <w:gridSpan w:val="2"/>
          </w:tcPr>
          <w:p w:rsidR="00E44F87" w:rsidRDefault="00E44F87">
            <w:pPr>
              <w:pStyle w:val="TableText9Point"/>
              <w:jc w:val="center"/>
              <w:rPr>
                <w:rFonts w:ascii="Arial" w:hAnsi="Arial" w:cs="Arial"/>
                <w:lang w:val="en-AU"/>
              </w:rPr>
            </w:pPr>
            <w:r>
              <w:rPr>
                <w:rFonts w:ascii="Arial" w:hAnsi="Arial" w:cs="Arial"/>
                <w:lang w:val="en-AU"/>
              </w:rPr>
              <w:t>5.6</w:t>
            </w:r>
          </w:p>
        </w:tc>
        <w:tc>
          <w:tcPr>
            <w:tcW w:w="1260" w:type="dxa"/>
            <w:gridSpan w:val="2"/>
          </w:tcPr>
          <w:p w:rsidR="00E44F87" w:rsidRDefault="00E44F87">
            <w:pPr>
              <w:pStyle w:val="TableText9Point"/>
              <w:jc w:val="center"/>
              <w:rPr>
                <w:rFonts w:ascii="Arial" w:hAnsi="Arial" w:cs="Arial"/>
                <w:lang w:val="en-AU"/>
              </w:rPr>
            </w:pPr>
            <w:r>
              <w:rPr>
                <w:rFonts w:ascii="Arial" w:hAnsi="Arial" w:cs="Arial"/>
                <w:lang w:val="en-AU"/>
              </w:rPr>
              <w:t>6.7</w:t>
            </w:r>
          </w:p>
        </w:tc>
        <w:tc>
          <w:tcPr>
            <w:tcW w:w="1080" w:type="dxa"/>
          </w:tcPr>
          <w:p w:rsidR="00E44F87" w:rsidRDefault="00E44F87">
            <w:pPr>
              <w:pStyle w:val="TableText9Point"/>
              <w:jc w:val="center"/>
              <w:rPr>
                <w:rFonts w:ascii="Arial" w:hAnsi="Arial" w:cs="Arial"/>
                <w:lang w:val="en-AU"/>
              </w:rPr>
            </w:pPr>
            <w:r>
              <w:rPr>
                <w:rFonts w:ascii="Arial" w:hAnsi="Arial" w:cs="Arial"/>
                <w:lang w:val="en-AU"/>
              </w:rPr>
              <w:t>3.6</w:t>
            </w:r>
          </w:p>
        </w:tc>
      </w:tr>
      <w:tr w:rsidR="00E44F87">
        <w:trPr>
          <w:gridBefore w:val="1"/>
          <w:wBefore w:w="1332" w:type="dxa"/>
          <w:jc w:val="center"/>
        </w:trPr>
        <w:tc>
          <w:tcPr>
            <w:tcW w:w="2880" w:type="dxa"/>
            <w:gridSpan w:val="2"/>
          </w:tcPr>
          <w:p w:rsidR="00E44F87" w:rsidRDefault="00E44F87">
            <w:pPr>
              <w:pStyle w:val="TableText9Point"/>
              <w:ind w:left="360"/>
              <w:rPr>
                <w:rFonts w:ascii="Arial" w:hAnsi="Arial" w:cs="Arial"/>
                <w:lang w:val="en-AU"/>
              </w:rPr>
            </w:pPr>
            <w:r>
              <w:rPr>
                <w:rFonts w:ascii="Arial" w:hAnsi="Arial" w:cs="Arial"/>
                <w:lang w:val="en-AU"/>
              </w:rPr>
              <w:t>BASFI</w:t>
            </w:r>
            <w:r>
              <w:rPr>
                <w:rFonts w:ascii="Arial" w:hAnsi="Arial" w:cs="Arial"/>
                <w:vertAlign w:val="superscript"/>
                <w:lang w:val="en-AU"/>
              </w:rPr>
              <w:t>c</w:t>
            </w:r>
          </w:p>
        </w:tc>
        <w:tc>
          <w:tcPr>
            <w:tcW w:w="1440" w:type="dxa"/>
            <w:gridSpan w:val="3"/>
          </w:tcPr>
          <w:p w:rsidR="00E44F87" w:rsidRDefault="00E44F87">
            <w:pPr>
              <w:pStyle w:val="TableText9Point"/>
              <w:jc w:val="center"/>
              <w:rPr>
                <w:rFonts w:ascii="Arial" w:hAnsi="Arial" w:cs="Arial"/>
                <w:lang w:val="en-AU"/>
              </w:rPr>
            </w:pPr>
            <w:r>
              <w:rPr>
                <w:rFonts w:ascii="Arial" w:hAnsi="Arial" w:cs="Arial"/>
                <w:lang w:val="en-AU"/>
              </w:rPr>
              <w:t>56</w:t>
            </w:r>
          </w:p>
        </w:tc>
        <w:tc>
          <w:tcPr>
            <w:tcW w:w="1260" w:type="dxa"/>
            <w:gridSpan w:val="2"/>
          </w:tcPr>
          <w:p w:rsidR="00E44F87" w:rsidRDefault="00E44F87">
            <w:pPr>
              <w:pStyle w:val="TableText9Point"/>
              <w:jc w:val="center"/>
              <w:rPr>
                <w:rFonts w:ascii="Arial" w:hAnsi="Arial" w:cs="Arial"/>
                <w:lang w:val="en-AU"/>
              </w:rPr>
            </w:pPr>
            <w:r>
              <w:rPr>
                <w:rFonts w:ascii="Arial" w:hAnsi="Arial" w:cs="Arial"/>
                <w:lang w:val="en-AU"/>
              </w:rPr>
              <w:t>51</w:t>
            </w:r>
          </w:p>
        </w:tc>
        <w:tc>
          <w:tcPr>
            <w:tcW w:w="1260" w:type="dxa"/>
            <w:gridSpan w:val="2"/>
          </w:tcPr>
          <w:p w:rsidR="00E44F87" w:rsidRDefault="00E44F87">
            <w:pPr>
              <w:pStyle w:val="TableText9Point"/>
              <w:jc w:val="center"/>
              <w:rPr>
                <w:rFonts w:ascii="Arial" w:hAnsi="Arial" w:cs="Arial"/>
                <w:lang w:val="en-AU"/>
              </w:rPr>
            </w:pPr>
            <w:r>
              <w:rPr>
                <w:rFonts w:ascii="Arial" w:hAnsi="Arial" w:cs="Arial"/>
                <w:lang w:val="en-AU"/>
              </w:rPr>
              <w:t>52</w:t>
            </w:r>
          </w:p>
        </w:tc>
        <w:tc>
          <w:tcPr>
            <w:tcW w:w="1080" w:type="dxa"/>
          </w:tcPr>
          <w:p w:rsidR="00E44F87" w:rsidRDefault="00E44F87">
            <w:pPr>
              <w:pStyle w:val="TableText9Point"/>
              <w:jc w:val="center"/>
              <w:rPr>
                <w:rFonts w:ascii="Arial" w:hAnsi="Arial" w:cs="Arial"/>
                <w:lang w:val="en-AU"/>
              </w:rPr>
            </w:pPr>
            <w:r>
              <w:rPr>
                <w:rFonts w:ascii="Arial" w:hAnsi="Arial" w:cs="Arial"/>
                <w:lang w:val="en-AU"/>
              </w:rPr>
              <w:t>34</w:t>
            </w:r>
          </w:p>
        </w:tc>
      </w:tr>
      <w:tr w:rsidR="00E44F87">
        <w:trPr>
          <w:gridAfter w:val="2"/>
          <w:wAfter w:w="1332" w:type="dxa"/>
          <w:jc w:val="center"/>
        </w:trPr>
        <w:tc>
          <w:tcPr>
            <w:tcW w:w="2880" w:type="dxa"/>
            <w:gridSpan w:val="2"/>
          </w:tcPr>
          <w:p w:rsidR="00E44F87" w:rsidRDefault="00E44F87">
            <w:pPr>
              <w:pStyle w:val="TableText9Point"/>
              <w:rPr>
                <w:rFonts w:ascii="Arial" w:hAnsi="Arial" w:cs="Arial"/>
                <w:lang w:val="en-AU"/>
              </w:rPr>
            </w:pPr>
            <w:r>
              <w:rPr>
                <w:rFonts w:ascii="Arial" w:hAnsi="Arial" w:cs="Arial"/>
                <w:lang w:val="en-AU"/>
              </w:rPr>
              <w:t>BASDAI</w:t>
            </w:r>
            <w:r>
              <w:rPr>
                <w:rFonts w:ascii="Arial" w:hAnsi="Arial" w:cs="Arial"/>
                <w:vertAlign w:val="superscript"/>
                <w:lang w:val="en-AU"/>
              </w:rPr>
              <w:t xml:space="preserve">d </w:t>
            </w:r>
            <w:r>
              <w:rPr>
                <w:rFonts w:ascii="Arial" w:hAnsi="Arial" w:cs="Arial"/>
                <w:lang w:val="en-AU"/>
              </w:rPr>
              <w:t>score</w:t>
            </w:r>
          </w:p>
        </w:tc>
        <w:tc>
          <w:tcPr>
            <w:tcW w:w="1440" w:type="dxa"/>
            <w:gridSpan w:val="2"/>
          </w:tcPr>
          <w:p w:rsidR="00E44F87" w:rsidRDefault="00E44F87">
            <w:pPr>
              <w:pStyle w:val="TableText9Point"/>
              <w:jc w:val="center"/>
              <w:rPr>
                <w:rFonts w:ascii="Arial" w:hAnsi="Arial" w:cs="Arial"/>
                <w:lang w:val="en-AU"/>
              </w:rPr>
            </w:pPr>
            <w:r>
              <w:rPr>
                <w:rFonts w:ascii="Arial" w:hAnsi="Arial" w:cs="Arial"/>
                <w:lang w:val="en-AU"/>
              </w:rPr>
              <w:t>6.3</w:t>
            </w:r>
          </w:p>
        </w:tc>
        <w:tc>
          <w:tcPr>
            <w:tcW w:w="1260" w:type="dxa"/>
          </w:tcPr>
          <w:p w:rsidR="00E44F87" w:rsidRDefault="00E44F87">
            <w:pPr>
              <w:pStyle w:val="TableText9Point"/>
              <w:jc w:val="center"/>
              <w:rPr>
                <w:rFonts w:ascii="Arial" w:hAnsi="Arial" w:cs="Arial"/>
                <w:lang w:val="en-AU"/>
              </w:rPr>
            </w:pPr>
            <w:r>
              <w:rPr>
                <w:rFonts w:ascii="Arial" w:hAnsi="Arial" w:cs="Arial"/>
                <w:lang w:val="en-AU"/>
              </w:rPr>
              <w:t>5.5</w:t>
            </w:r>
          </w:p>
        </w:tc>
        <w:tc>
          <w:tcPr>
            <w:tcW w:w="1260" w:type="dxa"/>
            <w:gridSpan w:val="2"/>
          </w:tcPr>
          <w:p w:rsidR="00E44F87" w:rsidRDefault="00E44F87">
            <w:pPr>
              <w:pStyle w:val="TableText9Point"/>
              <w:jc w:val="center"/>
              <w:rPr>
                <w:rFonts w:ascii="Arial" w:hAnsi="Arial" w:cs="Arial"/>
                <w:lang w:val="en-AU"/>
              </w:rPr>
            </w:pPr>
            <w:r>
              <w:rPr>
                <w:rFonts w:ascii="Arial" w:hAnsi="Arial" w:cs="Arial"/>
                <w:lang w:val="en-AU"/>
              </w:rPr>
              <w:t>6.3</w:t>
            </w:r>
          </w:p>
        </w:tc>
        <w:tc>
          <w:tcPr>
            <w:tcW w:w="1080" w:type="dxa"/>
            <w:gridSpan w:val="2"/>
          </w:tcPr>
          <w:p w:rsidR="00E44F87" w:rsidRDefault="00E44F87">
            <w:pPr>
              <w:pStyle w:val="TableText9Point"/>
              <w:jc w:val="center"/>
              <w:rPr>
                <w:rFonts w:ascii="Arial" w:hAnsi="Arial" w:cs="Arial"/>
                <w:lang w:val="en-AU"/>
              </w:rPr>
            </w:pPr>
            <w:r>
              <w:rPr>
                <w:rFonts w:ascii="Arial" w:hAnsi="Arial" w:cs="Arial"/>
                <w:lang w:val="en-AU"/>
              </w:rPr>
              <w:t>3.7</w:t>
            </w:r>
          </w:p>
        </w:tc>
      </w:tr>
      <w:tr w:rsidR="00E44F87">
        <w:trPr>
          <w:gridAfter w:val="2"/>
          <w:wAfter w:w="1332" w:type="dxa"/>
          <w:jc w:val="center"/>
        </w:trPr>
        <w:tc>
          <w:tcPr>
            <w:tcW w:w="2880" w:type="dxa"/>
            <w:gridSpan w:val="2"/>
          </w:tcPr>
          <w:p w:rsidR="00E44F87" w:rsidRDefault="00E44F87">
            <w:pPr>
              <w:pStyle w:val="TableText9Point"/>
              <w:rPr>
                <w:rFonts w:ascii="Arial" w:hAnsi="Arial" w:cs="Arial"/>
                <w:lang w:val="en-AU"/>
              </w:rPr>
            </w:pPr>
            <w:r>
              <w:rPr>
                <w:rFonts w:ascii="Arial" w:hAnsi="Arial" w:cs="Arial"/>
                <w:lang w:val="en-AU"/>
              </w:rPr>
              <w:t>CRP</w:t>
            </w:r>
            <w:r>
              <w:rPr>
                <w:rFonts w:ascii="Arial" w:hAnsi="Arial" w:cs="Arial"/>
                <w:vertAlign w:val="superscript"/>
                <w:lang w:val="en-AU"/>
              </w:rPr>
              <w:t>e</w:t>
            </w:r>
          </w:p>
        </w:tc>
        <w:tc>
          <w:tcPr>
            <w:tcW w:w="1440" w:type="dxa"/>
            <w:gridSpan w:val="2"/>
          </w:tcPr>
          <w:p w:rsidR="00E44F87" w:rsidRDefault="00E44F87">
            <w:pPr>
              <w:pStyle w:val="TableText9Point"/>
              <w:jc w:val="center"/>
              <w:rPr>
                <w:rFonts w:ascii="Arial" w:hAnsi="Arial" w:cs="Arial"/>
                <w:lang w:val="en-AU"/>
              </w:rPr>
            </w:pPr>
            <w:r>
              <w:rPr>
                <w:rFonts w:ascii="Arial" w:hAnsi="Arial" w:cs="Arial"/>
                <w:lang w:val="en-AU"/>
              </w:rPr>
              <w:t>2.2</w:t>
            </w:r>
          </w:p>
        </w:tc>
        <w:tc>
          <w:tcPr>
            <w:tcW w:w="1260" w:type="dxa"/>
          </w:tcPr>
          <w:p w:rsidR="00E44F87" w:rsidRDefault="00E44F87">
            <w:pPr>
              <w:pStyle w:val="TableText9Point"/>
              <w:jc w:val="center"/>
              <w:rPr>
                <w:rFonts w:ascii="Arial" w:hAnsi="Arial" w:cs="Arial"/>
                <w:lang w:val="en-AU"/>
              </w:rPr>
            </w:pPr>
            <w:r>
              <w:rPr>
                <w:rFonts w:ascii="Arial" w:hAnsi="Arial" w:cs="Arial"/>
                <w:lang w:val="en-AU"/>
              </w:rPr>
              <w:t>2.0</w:t>
            </w:r>
          </w:p>
        </w:tc>
        <w:tc>
          <w:tcPr>
            <w:tcW w:w="1260" w:type="dxa"/>
            <w:gridSpan w:val="2"/>
          </w:tcPr>
          <w:p w:rsidR="00E44F87" w:rsidRDefault="00E44F87">
            <w:pPr>
              <w:pStyle w:val="TableText9Point"/>
              <w:jc w:val="center"/>
              <w:rPr>
                <w:rFonts w:ascii="Arial" w:hAnsi="Arial" w:cs="Arial"/>
                <w:lang w:val="en-AU"/>
              </w:rPr>
            </w:pPr>
            <w:r>
              <w:rPr>
                <w:rFonts w:ascii="Arial" w:hAnsi="Arial" w:cs="Arial"/>
                <w:lang w:val="en-AU"/>
              </w:rPr>
              <w:t>1.8</w:t>
            </w:r>
          </w:p>
        </w:tc>
        <w:tc>
          <w:tcPr>
            <w:tcW w:w="1080" w:type="dxa"/>
            <w:gridSpan w:val="2"/>
          </w:tcPr>
          <w:p w:rsidR="00E44F87" w:rsidRDefault="00E44F87">
            <w:pPr>
              <w:pStyle w:val="TableText9Point"/>
              <w:jc w:val="center"/>
              <w:rPr>
                <w:rFonts w:ascii="Arial" w:hAnsi="Arial" w:cs="Arial"/>
                <w:lang w:val="en-AU"/>
              </w:rPr>
            </w:pPr>
            <w:r>
              <w:rPr>
                <w:rFonts w:ascii="Arial" w:hAnsi="Arial" w:cs="Arial"/>
                <w:lang w:val="en-AU"/>
              </w:rPr>
              <w:t>0.6</w:t>
            </w:r>
          </w:p>
        </w:tc>
      </w:tr>
    </w:tbl>
    <w:p w:rsidR="00E44F87" w:rsidRDefault="00E44F87">
      <w:pPr>
        <w:pStyle w:val="TableNote"/>
        <w:tabs>
          <w:tab w:val="clear" w:pos="360"/>
        </w:tabs>
        <w:ind w:left="1080"/>
        <w:rPr>
          <w:rFonts w:ascii="Arial" w:hAnsi="Arial" w:cs="Arial"/>
          <w:sz w:val="18"/>
          <w:lang w:val="en-AU"/>
        </w:rPr>
      </w:pPr>
      <w:r>
        <w:rPr>
          <w:rFonts w:ascii="Arial" w:hAnsi="Arial" w:cs="Arial"/>
          <w:sz w:val="18"/>
          <w:vertAlign w:val="superscript"/>
          <w:lang w:val="en-AU"/>
        </w:rPr>
        <w:t>a</w:t>
      </w:r>
      <w:r>
        <w:rPr>
          <w:rFonts w:ascii="Arial" w:hAnsi="Arial" w:cs="Arial"/>
          <w:sz w:val="18"/>
          <w:lang w:val="en-AU"/>
        </w:rPr>
        <w:tab/>
        <w:t xml:space="preserve">Percent of subjects with at least a 20% and 10-unit improvement measured on a Visual Analog Scale (VAS) with 0 =  “none” and 100 = “severe” </w:t>
      </w:r>
    </w:p>
    <w:p w:rsidR="00E44F87" w:rsidRDefault="00E44F87">
      <w:pPr>
        <w:pStyle w:val="TableNote"/>
        <w:tabs>
          <w:tab w:val="clear" w:pos="360"/>
        </w:tabs>
        <w:ind w:left="1080"/>
        <w:rPr>
          <w:rFonts w:ascii="Arial" w:hAnsi="Arial" w:cs="Arial"/>
          <w:sz w:val="18"/>
          <w:lang w:val="en-AU"/>
        </w:rPr>
      </w:pPr>
      <w:r>
        <w:rPr>
          <w:rFonts w:ascii="Arial" w:hAnsi="Arial" w:cs="Arial"/>
          <w:sz w:val="18"/>
          <w:vertAlign w:val="superscript"/>
          <w:lang w:val="en-AU"/>
        </w:rPr>
        <w:t>b</w:t>
      </w:r>
      <w:r>
        <w:rPr>
          <w:rFonts w:ascii="Arial" w:hAnsi="Arial" w:cs="Arial"/>
          <w:sz w:val="18"/>
          <w:vertAlign w:val="superscript"/>
          <w:lang w:val="en-AU"/>
        </w:rPr>
        <w:tab/>
      </w:r>
      <w:r>
        <w:rPr>
          <w:rFonts w:ascii="Arial" w:hAnsi="Arial" w:cs="Arial"/>
          <w:sz w:val="18"/>
          <w:lang w:val="en-AU"/>
        </w:rPr>
        <w:t>mean of questions 5 and 6 of BASDAI (defined in ‘d’)</w:t>
      </w:r>
    </w:p>
    <w:p w:rsidR="00E44F87" w:rsidRDefault="00E44F87">
      <w:pPr>
        <w:pStyle w:val="TableNote"/>
        <w:tabs>
          <w:tab w:val="clear" w:pos="360"/>
        </w:tabs>
        <w:ind w:left="1080"/>
        <w:rPr>
          <w:rFonts w:ascii="Arial" w:hAnsi="Arial" w:cs="Arial"/>
          <w:sz w:val="18"/>
          <w:lang w:val="en-AU"/>
        </w:rPr>
      </w:pPr>
      <w:r>
        <w:rPr>
          <w:rFonts w:ascii="Arial" w:hAnsi="Arial" w:cs="Arial"/>
          <w:sz w:val="18"/>
          <w:vertAlign w:val="superscript"/>
          <w:lang w:val="en-AU"/>
        </w:rPr>
        <w:t>c</w:t>
      </w:r>
      <w:r>
        <w:rPr>
          <w:rFonts w:ascii="Arial" w:hAnsi="Arial" w:cs="Arial"/>
          <w:sz w:val="18"/>
          <w:vertAlign w:val="superscript"/>
          <w:lang w:val="en-AU"/>
        </w:rPr>
        <w:tab/>
      </w:r>
      <w:smartTag w:uri="urn:schemas-microsoft-com:office:smarttags" w:element="place">
        <w:smartTag w:uri="urn:schemas-microsoft-com:office:smarttags" w:element="City">
          <w:r>
            <w:rPr>
              <w:rFonts w:ascii="Arial" w:hAnsi="Arial" w:cs="Arial"/>
              <w:sz w:val="18"/>
              <w:lang w:val="en-AU"/>
            </w:rPr>
            <w:t>Bath</w:t>
          </w:r>
        </w:smartTag>
      </w:smartTag>
      <w:r>
        <w:rPr>
          <w:rFonts w:ascii="Arial" w:hAnsi="Arial" w:cs="Arial"/>
          <w:sz w:val="18"/>
          <w:lang w:val="en-AU"/>
        </w:rPr>
        <w:t xml:space="preserve"> Ankylosing Spondylitis Functional Index</w:t>
      </w:r>
    </w:p>
    <w:p w:rsidR="00E44F87" w:rsidRDefault="00E44F87">
      <w:pPr>
        <w:pStyle w:val="TableNote"/>
        <w:tabs>
          <w:tab w:val="clear" w:pos="360"/>
        </w:tabs>
        <w:ind w:left="1080"/>
        <w:rPr>
          <w:rFonts w:ascii="Arial" w:hAnsi="Arial" w:cs="Arial"/>
          <w:sz w:val="18"/>
          <w:lang w:val="en-AU"/>
        </w:rPr>
      </w:pPr>
      <w:r>
        <w:rPr>
          <w:rFonts w:ascii="Arial" w:hAnsi="Arial" w:cs="Arial"/>
          <w:sz w:val="18"/>
          <w:vertAlign w:val="superscript"/>
          <w:lang w:val="en-AU"/>
        </w:rPr>
        <w:t>d</w:t>
      </w:r>
      <w:r>
        <w:rPr>
          <w:rFonts w:ascii="Arial" w:hAnsi="Arial" w:cs="Arial"/>
          <w:sz w:val="18"/>
          <w:vertAlign w:val="superscript"/>
          <w:lang w:val="en-AU"/>
        </w:rPr>
        <w:tab/>
      </w:r>
      <w:r>
        <w:rPr>
          <w:rFonts w:ascii="Arial" w:hAnsi="Arial" w:cs="Arial"/>
          <w:sz w:val="18"/>
          <w:lang w:val="en-AU"/>
        </w:rPr>
        <w:t>Bath Ankylosing Spondylitis Disease Activity Index</w:t>
      </w:r>
    </w:p>
    <w:p w:rsidR="00E44F87" w:rsidRDefault="00E44F87">
      <w:pPr>
        <w:pStyle w:val="TableNote"/>
        <w:tabs>
          <w:tab w:val="clear" w:pos="360"/>
        </w:tabs>
        <w:ind w:left="1080"/>
        <w:rPr>
          <w:rFonts w:ascii="Arial" w:hAnsi="Arial" w:cs="Arial"/>
          <w:sz w:val="18"/>
          <w:lang w:val="en-AU"/>
        </w:rPr>
      </w:pPr>
      <w:r>
        <w:rPr>
          <w:rFonts w:ascii="Arial" w:hAnsi="Arial" w:cs="Arial"/>
          <w:sz w:val="18"/>
          <w:vertAlign w:val="superscript"/>
          <w:lang w:val="en-AU"/>
        </w:rPr>
        <w:t>e</w:t>
      </w:r>
      <w:r>
        <w:rPr>
          <w:rFonts w:ascii="Arial" w:hAnsi="Arial" w:cs="Arial"/>
          <w:sz w:val="18"/>
          <w:vertAlign w:val="superscript"/>
          <w:lang w:val="en-AU"/>
        </w:rPr>
        <w:tab/>
      </w:r>
      <w:r>
        <w:rPr>
          <w:rFonts w:ascii="Arial" w:hAnsi="Arial" w:cs="Arial"/>
          <w:sz w:val="18"/>
          <w:lang w:val="en-AU"/>
        </w:rPr>
        <w:t>C-Reactive Protein (mg/dL)</w:t>
      </w:r>
    </w:p>
    <w:p w:rsidR="00E44F87" w:rsidRDefault="00E44F87">
      <w:pPr>
        <w:pStyle w:val="TableNote"/>
        <w:tabs>
          <w:tab w:val="clear" w:pos="360"/>
        </w:tabs>
        <w:ind w:left="1080"/>
        <w:rPr>
          <w:rFonts w:ascii="Arial" w:hAnsi="Arial" w:cs="Arial"/>
          <w:sz w:val="18"/>
          <w:lang w:val="en-AU"/>
        </w:rPr>
      </w:pPr>
      <w:r>
        <w:rPr>
          <w:rFonts w:ascii="Arial" w:hAnsi="Arial" w:cs="Arial"/>
          <w:sz w:val="18"/>
          <w:lang w:val="en-AU"/>
        </w:rPr>
        <w:t>*     Statistically significant as p&lt;0.001 for all comparisons between Humira and placebo at Week 24</w:t>
      </w:r>
    </w:p>
    <w:p w:rsidR="00E44F87" w:rsidRDefault="00E44F87">
      <w:pPr>
        <w:jc w:val="both"/>
        <w:rPr>
          <w:rFonts w:ascii="Arial" w:hAnsi="Arial" w:cs="Arial"/>
          <w:sz w:val="20"/>
        </w:rPr>
      </w:pPr>
    </w:p>
    <w:p w:rsidR="00E44F87" w:rsidRDefault="00E44F87">
      <w:pPr>
        <w:jc w:val="both"/>
        <w:rPr>
          <w:rFonts w:ascii="Arial" w:hAnsi="Arial" w:cs="Arial"/>
          <w:sz w:val="20"/>
        </w:rPr>
      </w:pPr>
      <w:r>
        <w:rPr>
          <w:rFonts w:ascii="Arial" w:hAnsi="Arial" w:cs="Arial"/>
          <w:sz w:val="20"/>
        </w:rPr>
        <w:t>Results of this study were similar to those seen in the second randomised trial (AS Study II or M03-606), a multicenter, double-blind, placebo-controlled study of 82 patients with ankylosing spondylitis.  Patient Reported Outcomes were assessed in both ankylosing spondylitis studies using the generic health status questionnaire SF-36 and the disease specific Ankylosing Spondylitis Quality of Life Questionnaire (ASQoL).  The Humira-treated patients had significantly greater improvement in SF-36 Physical Component Score (mean change: 6.93) compared to placebo-treated patients (mean change: 1.55; p&lt;0.001) at Week 12, which was maintained through Week 24.</w:t>
      </w:r>
    </w:p>
    <w:p w:rsidR="00E44F87" w:rsidRDefault="00E44F87">
      <w:pPr>
        <w:jc w:val="both"/>
        <w:rPr>
          <w:rFonts w:ascii="Arial" w:hAnsi="Arial" w:cs="Arial"/>
          <w:sz w:val="20"/>
        </w:rPr>
      </w:pPr>
    </w:p>
    <w:p w:rsidR="00E44F87" w:rsidRDefault="00E44F87">
      <w:pPr>
        <w:autoSpaceDE w:val="0"/>
        <w:autoSpaceDN w:val="0"/>
        <w:adjustRightInd w:val="0"/>
        <w:jc w:val="both"/>
        <w:rPr>
          <w:rFonts w:ascii="Arial" w:hAnsi="Arial" w:cs="Arial"/>
          <w:sz w:val="20"/>
        </w:rPr>
      </w:pPr>
      <w:r>
        <w:rPr>
          <w:rFonts w:ascii="Arial" w:hAnsi="Arial" w:cs="Arial"/>
          <w:sz w:val="20"/>
        </w:rPr>
        <w:t>Results from the ASQoL support these findings demonstrating improvement in overall quality of life. The Humira-treated patients had statistically significant improvement (mean change: - 3.15) compared to placebo-treated patients (mean change: - 0.95; p&lt;0.001) at Week 12, which was maintained through Week 24.</w:t>
      </w:r>
    </w:p>
    <w:p w:rsidR="00E44F87" w:rsidRDefault="00E44F87">
      <w:pPr>
        <w:autoSpaceDE w:val="0"/>
        <w:autoSpaceDN w:val="0"/>
        <w:adjustRightInd w:val="0"/>
        <w:jc w:val="both"/>
        <w:rPr>
          <w:rFonts w:ascii="Arial" w:hAnsi="Arial" w:cs="Arial"/>
          <w:sz w:val="22"/>
          <w:szCs w:val="22"/>
        </w:rPr>
      </w:pPr>
    </w:p>
    <w:p w:rsidR="00E44F87" w:rsidRPr="00A868ED" w:rsidRDefault="00E44F87">
      <w:pPr>
        <w:autoSpaceDE w:val="0"/>
        <w:autoSpaceDN w:val="0"/>
        <w:adjustRightInd w:val="0"/>
        <w:jc w:val="both"/>
        <w:rPr>
          <w:rFonts w:ascii="Arial" w:hAnsi="Arial" w:cs="Arial"/>
          <w:b/>
          <w:bCs/>
          <w:sz w:val="20"/>
          <w:szCs w:val="22"/>
        </w:rPr>
      </w:pPr>
      <w:r w:rsidRPr="00A868ED">
        <w:rPr>
          <w:rFonts w:ascii="Arial" w:hAnsi="Arial" w:cs="Arial"/>
          <w:b/>
          <w:bCs/>
          <w:sz w:val="20"/>
          <w:szCs w:val="22"/>
        </w:rPr>
        <w:t>CLINICAL TRIALS FOR CROHN’S DISEASE</w:t>
      </w:r>
      <w:r w:rsidR="0019657D">
        <w:rPr>
          <w:rFonts w:ascii="Arial" w:hAnsi="Arial" w:cs="Arial"/>
          <w:b/>
          <w:bCs/>
          <w:sz w:val="20"/>
          <w:szCs w:val="22"/>
        </w:rPr>
        <w:t xml:space="preserve"> IN ADULTS</w:t>
      </w:r>
    </w:p>
    <w:p w:rsidR="00E44F87" w:rsidRDefault="00E44F87">
      <w:pPr>
        <w:autoSpaceDE w:val="0"/>
        <w:autoSpaceDN w:val="0"/>
        <w:adjustRightInd w:val="0"/>
        <w:jc w:val="both"/>
        <w:rPr>
          <w:rFonts w:ascii="Arial" w:hAnsi="Arial" w:cs="Arial"/>
          <w:b/>
          <w:bCs/>
          <w:sz w:val="22"/>
          <w:szCs w:val="22"/>
          <w:u w:val="single"/>
        </w:rPr>
      </w:pP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The safety and efficacy of multiple doses of</w:t>
      </w:r>
      <w:r w:rsidR="00E20574">
        <w:rPr>
          <w:rFonts w:ascii="Arial" w:hAnsi="Arial" w:cs="Arial"/>
          <w:sz w:val="20"/>
          <w:szCs w:val="22"/>
        </w:rPr>
        <w:t xml:space="preserve"> Humira were assessed in over 1500 </w:t>
      </w:r>
      <w:r>
        <w:rPr>
          <w:rFonts w:ascii="Arial" w:hAnsi="Arial" w:cs="Arial"/>
          <w:sz w:val="20"/>
          <w:szCs w:val="22"/>
        </w:rPr>
        <w:t>patients with moderately to severely active Crohn’s disease (Crohn’s Disease Activity Index (CDAI) ≥220 and ≤450) in randomized, double-blind, placebo controlled studies. Concomitant stable doses of aminosalicylates, corticosteroids, and/or immunomodulat</w:t>
      </w:r>
      <w:r w:rsidR="00E20574">
        <w:rPr>
          <w:rFonts w:ascii="Arial" w:hAnsi="Arial" w:cs="Arial"/>
          <w:sz w:val="20"/>
          <w:szCs w:val="22"/>
        </w:rPr>
        <w:t>ory agents were permitted and 80</w:t>
      </w:r>
      <w:r>
        <w:rPr>
          <w:rFonts w:ascii="Arial" w:hAnsi="Arial" w:cs="Arial"/>
          <w:sz w:val="20"/>
          <w:szCs w:val="22"/>
        </w:rPr>
        <w:t>% of patients continued to receive at least one of these medications.</w:t>
      </w:r>
    </w:p>
    <w:p w:rsidR="00E44F87" w:rsidRDefault="00E44F87">
      <w:pPr>
        <w:autoSpaceDE w:val="0"/>
        <w:autoSpaceDN w:val="0"/>
        <w:adjustRightInd w:val="0"/>
        <w:jc w:val="both"/>
        <w:rPr>
          <w:rFonts w:ascii="Arial" w:hAnsi="Arial" w:cs="Arial"/>
          <w:sz w:val="20"/>
          <w:szCs w:val="22"/>
        </w:rPr>
      </w:pP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Induction of clinical remission (defined as CDAI &lt;150) was evaluated in two studies, CD Study I (M02-403) and CD Study II (M04-691). In CD Study I, 299 TNF-antagonist naïve patients were randomised to one of four treatment groups; the placebo group received placebo at Weeks 0 to 2, the 160/80 group received 160mg Humira at Week 0 and 80mg at Week 2, the 80/40 group received 80mg at Week 0 and 40mg at Week 2, and the 40/20 group received 40mg at Week 0 and 20mg at Week 2. In CD Study II, 325 patients who had lost response or were intolerant to infliximab were randomised to receive either</w:t>
      </w:r>
      <w:r w:rsidR="00F86F01">
        <w:rPr>
          <w:rFonts w:ascii="Arial" w:hAnsi="Arial" w:cs="Arial"/>
          <w:sz w:val="20"/>
          <w:szCs w:val="22"/>
        </w:rPr>
        <w:t xml:space="preserve"> </w:t>
      </w:r>
      <w:r>
        <w:rPr>
          <w:rFonts w:ascii="Arial" w:hAnsi="Arial" w:cs="Arial"/>
          <w:sz w:val="20"/>
          <w:szCs w:val="22"/>
        </w:rPr>
        <w:t>160mg Humira at Week 0 and 80mg at Week 2, or placebo at Weeks 0 and 2.</w:t>
      </w:r>
    </w:p>
    <w:p w:rsidR="00E44F87" w:rsidRDefault="00E44F87">
      <w:pPr>
        <w:autoSpaceDE w:val="0"/>
        <w:autoSpaceDN w:val="0"/>
        <w:adjustRightInd w:val="0"/>
        <w:jc w:val="both"/>
        <w:rPr>
          <w:rFonts w:ascii="Arial" w:hAnsi="Arial" w:cs="Arial"/>
          <w:sz w:val="20"/>
          <w:szCs w:val="22"/>
        </w:rPr>
      </w:pPr>
    </w:p>
    <w:p w:rsidR="00F74AA2" w:rsidRDefault="00E44F87" w:rsidP="00F74AA2">
      <w:pPr>
        <w:autoSpaceDE w:val="0"/>
        <w:autoSpaceDN w:val="0"/>
        <w:adjustRightInd w:val="0"/>
        <w:jc w:val="both"/>
        <w:rPr>
          <w:rFonts w:ascii="Arial" w:hAnsi="Arial" w:cs="Arial"/>
          <w:sz w:val="20"/>
          <w:szCs w:val="22"/>
        </w:rPr>
      </w:pPr>
      <w:r>
        <w:rPr>
          <w:rFonts w:ascii="Arial" w:hAnsi="Arial" w:cs="Arial"/>
          <w:sz w:val="20"/>
          <w:szCs w:val="22"/>
        </w:rPr>
        <w:t xml:space="preserve">Maintenance of clinical remission was evaluated in a third study, CD Study III (M02-404). In CD Study III, 854 patients received open-label 80 mg Humira at Week 0 and 40 mg Humira at Week 2. Patients were then randomised at Week 4 to 40 mg Humira fortnightly, 40 mg Humira every week or placebo with a total study duration of 56 weeks. Patients in clinical response (decrease in CDAI </w:t>
      </w:r>
      <w:r>
        <w:rPr>
          <w:rFonts w:ascii="Arial" w:hAnsi="Arial" w:cs="Arial"/>
          <w:sz w:val="20"/>
          <w:szCs w:val="22"/>
        </w:rPr>
        <w:sym w:font="Symbol" w:char="F0B3"/>
      </w:r>
      <w:r>
        <w:rPr>
          <w:rFonts w:ascii="Arial" w:hAnsi="Arial" w:cs="Arial"/>
          <w:sz w:val="20"/>
          <w:szCs w:val="22"/>
        </w:rPr>
        <w:t xml:space="preserve">70) at Week 4 were stratified and </w:t>
      </w:r>
      <w:r>
        <w:rPr>
          <w:rFonts w:ascii="Arial" w:hAnsi="Arial" w:cs="Arial"/>
          <w:sz w:val="20"/>
          <w:szCs w:val="22"/>
        </w:rPr>
        <w:lastRenderedPageBreak/>
        <w:t>analysed separately from those not in clinical response at Week 4. Corticosteroid taper was permitted after Week 8.</w:t>
      </w:r>
      <w:r w:rsidR="00F74AA2">
        <w:rPr>
          <w:rFonts w:ascii="Arial" w:hAnsi="Arial" w:cs="Arial"/>
          <w:sz w:val="20"/>
          <w:szCs w:val="22"/>
        </w:rPr>
        <w:t xml:space="preserve"> </w:t>
      </w:r>
      <w:r w:rsidR="00F74AA2" w:rsidRPr="00A93BF7">
        <w:rPr>
          <w:rFonts w:ascii="Arial" w:hAnsi="Arial" w:cs="Arial"/>
          <w:sz w:val="20"/>
          <w:szCs w:val="22"/>
        </w:rPr>
        <w:t>Fistula healing was an important pre-determined secondary endpoint for this study</w:t>
      </w:r>
    </w:p>
    <w:p w:rsidR="006D0426" w:rsidRPr="00A04430" w:rsidRDefault="006D0426" w:rsidP="00F74AA2">
      <w:pPr>
        <w:autoSpaceDE w:val="0"/>
        <w:autoSpaceDN w:val="0"/>
        <w:adjustRightInd w:val="0"/>
        <w:jc w:val="both"/>
        <w:rPr>
          <w:rFonts w:ascii="Arial" w:hAnsi="Arial" w:cs="Arial"/>
          <w:sz w:val="20"/>
          <w:szCs w:val="22"/>
        </w:rPr>
      </w:pPr>
    </w:p>
    <w:p w:rsidR="0019657D" w:rsidRDefault="0019657D">
      <w:pPr>
        <w:autoSpaceDE w:val="0"/>
        <w:autoSpaceDN w:val="0"/>
        <w:adjustRightInd w:val="0"/>
        <w:jc w:val="both"/>
        <w:rPr>
          <w:rFonts w:ascii="Arial" w:hAnsi="Arial" w:cs="Arial"/>
          <w:sz w:val="20"/>
          <w:szCs w:val="22"/>
        </w:rPr>
      </w:pP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Clinical Results</w:t>
      </w:r>
    </w:p>
    <w:p w:rsidR="00E44F87" w:rsidRDefault="00E44F87">
      <w:pPr>
        <w:autoSpaceDE w:val="0"/>
        <w:autoSpaceDN w:val="0"/>
        <w:adjustRightInd w:val="0"/>
        <w:jc w:val="both"/>
        <w:rPr>
          <w:rFonts w:ascii="Arial" w:hAnsi="Arial" w:cs="Arial"/>
          <w:sz w:val="20"/>
          <w:szCs w:val="22"/>
        </w:rPr>
      </w:pPr>
    </w:p>
    <w:p w:rsidR="00E44F87" w:rsidRDefault="00E44F87">
      <w:pPr>
        <w:autoSpaceDE w:val="0"/>
        <w:autoSpaceDN w:val="0"/>
        <w:adjustRightInd w:val="0"/>
        <w:jc w:val="both"/>
        <w:rPr>
          <w:rFonts w:ascii="Arial" w:hAnsi="Arial" w:cs="Arial"/>
          <w:i/>
          <w:iCs/>
          <w:strike/>
          <w:sz w:val="20"/>
          <w:szCs w:val="22"/>
        </w:rPr>
      </w:pPr>
      <w:r>
        <w:rPr>
          <w:rFonts w:ascii="Arial" w:hAnsi="Arial" w:cs="Arial"/>
          <w:i/>
          <w:iCs/>
          <w:sz w:val="20"/>
          <w:szCs w:val="22"/>
        </w:rPr>
        <w:t>CD Study I / CD Study II</w:t>
      </w: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A statistically significantly greater percentage of the groups treated with 160/80mg Humira achieved induction of clinical remission versus placebo at Week 4 regardless of whether the patients were TNF antagonist naïve (CD Study I) or had been previously exposed to infliximab (CD Study II) (see table 13)</w:t>
      </w:r>
    </w:p>
    <w:p w:rsidR="00E44F87" w:rsidRDefault="00E44F87">
      <w:pPr>
        <w:autoSpaceDE w:val="0"/>
        <w:autoSpaceDN w:val="0"/>
        <w:adjustRightInd w:val="0"/>
        <w:jc w:val="both"/>
        <w:rPr>
          <w:rFonts w:ascii="Arial" w:hAnsi="Arial" w:cs="Arial"/>
          <w:sz w:val="20"/>
          <w:szCs w:val="22"/>
        </w:rPr>
      </w:pPr>
    </w:p>
    <w:p w:rsidR="00E44F87" w:rsidRDefault="00E44F87">
      <w:pPr>
        <w:pStyle w:val="Heading4"/>
      </w:pPr>
      <w:r>
        <w:t>Table 13: Induction of Clinical Remission and Response</w:t>
      </w:r>
    </w:p>
    <w:p w:rsidR="00E44F87" w:rsidRDefault="00E44F87">
      <w:pPr>
        <w:autoSpaceDE w:val="0"/>
        <w:autoSpaceDN w:val="0"/>
        <w:adjustRightInd w:val="0"/>
        <w:jc w:val="center"/>
        <w:rPr>
          <w:rFonts w:ascii="Arial" w:hAnsi="Arial" w:cs="Arial"/>
          <w:b/>
          <w:bCs/>
          <w:sz w:val="20"/>
          <w:szCs w:val="22"/>
        </w:rPr>
      </w:pPr>
      <w:r>
        <w:rPr>
          <w:rFonts w:ascii="Arial" w:hAnsi="Arial" w:cs="Arial"/>
          <w:b/>
          <w:bCs/>
          <w:sz w:val="20"/>
          <w:szCs w:val="22"/>
        </w:rPr>
        <w:t>(Percent of Patients)</w:t>
      </w:r>
    </w:p>
    <w:p w:rsidR="00E44F87" w:rsidRDefault="00E44F87">
      <w:pPr>
        <w:autoSpaceDE w:val="0"/>
        <w:autoSpaceDN w:val="0"/>
        <w:adjustRightInd w:val="0"/>
        <w:jc w:val="center"/>
        <w:rPr>
          <w:rFonts w:ascii="Arial" w:hAnsi="Arial" w:cs="Arial"/>
          <w:b/>
          <w:bCs/>
          <w:sz w:val="20"/>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440"/>
        <w:gridCol w:w="1980"/>
        <w:gridCol w:w="1440"/>
        <w:gridCol w:w="1980"/>
      </w:tblGrid>
      <w:tr w:rsidR="00E44F87">
        <w:trPr>
          <w:cantSplit/>
        </w:trPr>
        <w:tc>
          <w:tcPr>
            <w:tcW w:w="2268" w:type="dxa"/>
          </w:tcPr>
          <w:p w:rsidR="00E44F87" w:rsidRPr="00CE0E16" w:rsidRDefault="00E44F87">
            <w:pPr>
              <w:pStyle w:val="TableText"/>
              <w:rPr>
                <w:rFonts w:ascii="Arial" w:hAnsi="Arial" w:cs="Arial"/>
                <w:b/>
                <w:bCs/>
                <w:sz w:val="18"/>
                <w:lang w:val="en-AU"/>
              </w:rPr>
            </w:pPr>
          </w:p>
        </w:tc>
        <w:tc>
          <w:tcPr>
            <w:tcW w:w="3420" w:type="dxa"/>
            <w:gridSpan w:val="2"/>
          </w:tcPr>
          <w:p w:rsidR="00E44F87" w:rsidRPr="00CE0E16" w:rsidRDefault="00E44F87">
            <w:pPr>
              <w:pStyle w:val="TableText"/>
              <w:jc w:val="center"/>
              <w:rPr>
                <w:rFonts w:ascii="Arial" w:hAnsi="Arial" w:cs="Arial"/>
                <w:b/>
                <w:bCs/>
                <w:strike/>
                <w:lang w:val="en-AU"/>
              </w:rPr>
            </w:pPr>
            <w:r w:rsidRPr="00CE0E16">
              <w:rPr>
                <w:rFonts w:ascii="Arial" w:hAnsi="Arial" w:cs="Arial"/>
                <w:b/>
                <w:bCs/>
                <w:szCs w:val="22"/>
              </w:rPr>
              <w:t>CD Study I</w:t>
            </w:r>
          </w:p>
        </w:tc>
        <w:tc>
          <w:tcPr>
            <w:tcW w:w="3420" w:type="dxa"/>
            <w:gridSpan w:val="2"/>
          </w:tcPr>
          <w:p w:rsidR="00E44F87" w:rsidRPr="00CE0E16" w:rsidRDefault="00E44F87">
            <w:pPr>
              <w:pStyle w:val="TableText"/>
              <w:jc w:val="center"/>
              <w:rPr>
                <w:rFonts w:ascii="Arial" w:hAnsi="Arial" w:cs="Arial"/>
                <w:b/>
                <w:bCs/>
                <w:strike/>
                <w:lang w:val="en-AU"/>
              </w:rPr>
            </w:pPr>
            <w:r w:rsidRPr="00CE0E16">
              <w:rPr>
                <w:rFonts w:ascii="Arial" w:hAnsi="Arial" w:cs="Arial"/>
                <w:b/>
                <w:bCs/>
                <w:szCs w:val="22"/>
              </w:rPr>
              <w:t>CD Study II</w:t>
            </w:r>
          </w:p>
        </w:tc>
      </w:tr>
      <w:tr w:rsidR="00E44F87">
        <w:tc>
          <w:tcPr>
            <w:tcW w:w="2268" w:type="dxa"/>
          </w:tcPr>
          <w:p w:rsidR="00E44F87" w:rsidRPr="00CE0E16" w:rsidRDefault="00E44F87">
            <w:pPr>
              <w:pStyle w:val="TableText"/>
              <w:jc w:val="center"/>
              <w:rPr>
                <w:rFonts w:ascii="Arial" w:hAnsi="Arial" w:cs="Arial"/>
                <w:b/>
                <w:bCs/>
                <w:sz w:val="18"/>
                <w:lang w:val="en-AU"/>
              </w:rPr>
            </w:pPr>
          </w:p>
        </w:tc>
        <w:tc>
          <w:tcPr>
            <w:tcW w:w="1440" w:type="dxa"/>
          </w:tcPr>
          <w:p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Placebo</w:t>
            </w:r>
          </w:p>
          <w:p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N=74</w:t>
            </w:r>
          </w:p>
        </w:tc>
        <w:tc>
          <w:tcPr>
            <w:tcW w:w="1980" w:type="dxa"/>
          </w:tcPr>
          <w:p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HUMIRA 160/80 mg</w:t>
            </w:r>
          </w:p>
          <w:p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N=76</w:t>
            </w:r>
          </w:p>
        </w:tc>
        <w:tc>
          <w:tcPr>
            <w:tcW w:w="1440" w:type="dxa"/>
          </w:tcPr>
          <w:p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Placebo</w:t>
            </w:r>
          </w:p>
          <w:p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N=166</w:t>
            </w:r>
          </w:p>
        </w:tc>
        <w:tc>
          <w:tcPr>
            <w:tcW w:w="1980" w:type="dxa"/>
          </w:tcPr>
          <w:p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HUMIRA 160/80 mg</w:t>
            </w:r>
          </w:p>
          <w:p w:rsidR="00E44F87" w:rsidRPr="00CE0E16" w:rsidRDefault="00E44F87">
            <w:pPr>
              <w:pStyle w:val="TableText"/>
              <w:jc w:val="center"/>
              <w:rPr>
                <w:rFonts w:ascii="Arial" w:hAnsi="Arial" w:cs="Arial"/>
                <w:b/>
                <w:bCs/>
                <w:sz w:val="18"/>
                <w:lang w:val="en-AU"/>
              </w:rPr>
            </w:pPr>
            <w:r w:rsidRPr="00CE0E16">
              <w:rPr>
                <w:rFonts w:ascii="Arial" w:hAnsi="Arial" w:cs="Arial"/>
                <w:b/>
                <w:bCs/>
                <w:sz w:val="18"/>
                <w:lang w:val="en-AU"/>
              </w:rPr>
              <w:t>N=159</w:t>
            </w:r>
          </w:p>
        </w:tc>
      </w:tr>
      <w:tr w:rsidR="00E44F87">
        <w:tc>
          <w:tcPr>
            <w:tcW w:w="2268" w:type="dxa"/>
          </w:tcPr>
          <w:p w:rsidR="00E44F87" w:rsidRPr="00CE0E16" w:rsidRDefault="00E44F87">
            <w:pPr>
              <w:pStyle w:val="TableText"/>
              <w:rPr>
                <w:rFonts w:ascii="Arial" w:hAnsi="Arial" w:cs="Arial"/>
                <w:sz w:val="18"/>
                <w:lang w:val="en-AU"/>
              </w:rPr>
            </w:pPr>
            <w:r w:rsidRPr="00CE0E16">
              <w:rPr>
                <w:rFonts w:ascii="Arial" w:hAnsi="Arial" w:cs="Arial"/>
                <w:sz w:val="18"/>
                <w:lang w:val="en-AU"/>
              </w:rPr>
              <w:t>Week 4</w:t>
            </w:r>
          </w:p>
        </w:tc>
        <w:tc>
          <w:tcPr>
            <w:tcW w:w="1440" w:type="dxa"/>
          </w:tcPr>
          <w:p w:rsidR="00E44F87" w:rsidRPr="00CE0E16" w:rsidRDefault="00E44F87">
            <w:pPr>
              <w:pStyle w:val="TableText"/>
              <w:rPr>
                <w:rFonts w:ascii="Arial" w:hAnsi="Arial" w:cs="Arial"/>
                <w:sz w:val="18"/>
                <w:lang w:val="en-AU"/>
              </w:rPr>
            </w:pPr>
          </w:p>
        </w:tc>
        <w:tc>
          <w:tcPr>
            <w:tcW w:w="1980" w:type="dxa"/>
          </w:tcPr>
          <w:p w:rsidR="00E44F87" w:rsidRPr="00CE0E16" w:rsidRDefault="00E44F87">
            <w:pPr>
              <w:pStyle w:val="TableText"/>
              <w:rPr>
                <w:rFonts w:ascii="Arial" w:hAnsi="Arial" w:cs="Arial"/>
                <w:sz w:val="18"/>
                <w:lang w:val="en-AU"/>
              </w:rPr>
            </w:pPr>
          </w:p>
        </w:tc>
        <w:tc>
          <w:tcPr>
            <w:tcW w:w="1440" w:type="dxa"/>
          </w:tcPr>
          <w:p w:rsidR="00E44F87" w:rsidRPr="00CE0E16" w:rsidRDefault="00E44F87">
            <w:pPr>
              <w:pStyle w:val="TableText"/>
              <w:rPr>
                <w:rFonts w:ascii="Arial" w:hAnsi="Arial" w:cs="Arial"/>
                <w:sz w:val="18"/>
                <w:lang w:val="en-AU"/>
              </w:rPr>
            </w:pPr>
          </w:p>
        </w:tc>
        <w:tc>
          <w:tcPr>
            <w:tcW w:w="1980" w:type="dxa"/>
          </w:tcPr>
          <w:p w:rsidR="00E44F87" w:rsidRPr="00CE0E16" w:rsidRDefault="00E44F87">
            <w:pPr>
              <w:pStyle w:val="TableText"/>
              <w:rPr>
                <w:rFonts w:ascii="Arial" w:hAnsi="Arial" w:cs="Arial"/>
                <w:sz w:val="18"/>
                <w:lang w:val="en-AU"/>
              </w:rPr>
            </w:pPr>
          </w:p>
        </w:tc>
      </w:tr>
      <w:tr w:rsidR="00E44F87">
        <w:tc>
          <w:tcPr>
            <w:tcW w:w="2268" w:type="dxa"/>
          </w:tcPr>
          <w:p w:rsidR="00E44F87" w:rsidRPr="00CE0E16" w:rsidRDefault="00E44F87">
            <w:pPr>
              <w:pStyle w:val="EMEAFigureTitle"/>
              <w:rPr>
                <w:rFonts w:ascii="Arial" w:hAnsi="Arial" w:cs="Arial"/>
                <w:sz w:val="18"/>
              </w:rPr>
            </w:pPr>
            <w:r w:rsidRPr="00CE0E16">
              <w:rPr>
                <w:rFonts w:ascii="Arial" w:hAnsi="Arial" w:cs="Arial"/>
                <w:sz w:val="18"/>
              </w:rPr>
              <w:t>Clinical remission</w:t>
            </w:r>
          </w:p>
        </w:tc>
        <w:tc>
          <w:tcPr>
            <w:tcW w:w="1440" w:type="dxa"/>
            <w:vAlign w:val="center"/>
          </w:tcPr>
          <w:p w:rsidR="00E44F87" w:rsidRPr="00CE0E16" w:rsidRDefault="00E44F87">
            <w:pPr>
              <w:pStyle w:val="DefaultText"/>
              <w:jc w:val="center"/>
              <w:rPr>
                <w:rFonts w:cs="Arial"/>
                <w:sz w:val="18"/>
              </w:rPr>
            </w:pPr>
            <w:r w:rsidRPr="00CE0E16">
              <w:rPr>
                <w:rFonts w:cs="Arial"/>
                <w:sz w:val="18"/>
              </w:rPr>
              <w:t>12%</w:t>
            </w:r>
          </w:p>
        </w:tc>
        <w:tc>
          <w:tcPr>
            <w:tcW w:w="1980" w:type="dxa"/>
            <w:vAlign w:val="center"/>
          </w:tcPr>
          <w:p w:rsidR="00E44F87" w:rsidRPr="00CE0E16" w:rsidRDefault="00E44F87">
            <w:pPr>
              <w:pStyle w:val="DefaultText"/>
              <w:jc w:val="center"/>
              <w:rPr>
                <w:rFonts w:cs="Arial"/>
                <w:sz w:val="18"/>
              </w:rPr>
            </w:pPr>
            <w:r w:rsidRPr="00CE0E16">
              <w:rPr>
                <w:rFonts w:cs="Arial"/>
                <w:sz w:val="18"/>
              </w:rPr>
              <w:t>36%</w:t>
            </w:r>
            <w:r w:rsidRPr="00CE0E16">
              <w:rPr>
                <w:rFonts w:cs="Arial"/>
                <w:sz w:val="18"/>
                <w:vertAlign w:val="superscript"/>
              </w:rPr>
              <w:t>*</w:t>
            </w:r>
          </w:p>
        </w:tc>
        <w:tc>
          <w:tcPr>
            <w:tcW w:w="1440" w:type="dxa"/>
            <w:vAlign w:val="center"/>
          </w:tcPr>
          <w:p w:rsidR="00E44F87" w:rsidRPr="00CE0E16" w:rsidRDefault="00E44F87">
            <w:pPr>
              <w:pStyle w:val="TableText"/>
              <w:jc w:val="center"/>
              <w:rPr>
                <w:rFonts w:ascii="Arial" w:hAnsi="Arial" w:cs="Arial"/>
                <w:sz w:val="18"/>
                <w:lang w:val="en-AU"/>
              </w:rPr>
            </w:pPr>
            <w:r w:rsidRPr="00CE0E16">
              <w:rPr>
                <w:rFonts w:ascii="Arial" w:hAnsi="Arial" w:cs="Arial"/>
                <w:sz w:val="18"/>
                <w:lang w:val="en-AU"/>
              </w:rPr>
              <w:t>7%</w:t>
            </w:r>
          </w:p>
        </w:tc>
        <w:tc>
          <w:tcPr>
            <w:tcW w:w="1980" w:type="dxa"/>
            <w:vAlign w:val="center"/>
          </w:tcPr>
          <w:p w:rsidR="00E44F87" w:rsidRPr="00CE0E16" w:rsidRDefault="00E44F87">
            <w:pPr>
              <w:pStyle w:val="TableText"/>
              <w:jc w:val="center"/>
              <w:rPr>
                <w:rFonts w:ascii="Arial" w:hAnsi="Arial" w:cs="Arial"/>
                <w:sz w:val="18"/>
                <w:lang w:val="en-AU"/>
              </w:rPr>
            </w:pPr>
            <w:r w:rsidRPr="00CE0E16">
              <w:rPr>
                <w:rFonts w:ascii="Arial" w:hAnsi="Arial" w:cs="Arial"/>
                <w:sz w:val="18"/>
                <w:lang w:val="en-AU"/>
              </w:rPr>
              <w:t>21%</w:t>
            </w:r>
            <w:r w:rsidRPr="00CE0E16">
              <w:rPr>
                <w:rFonts w:ascii="Arial" w:hAnsi="Arial" w:cs="Arial"/>
                <w:sz w:val="18"/>
                <w:vertAlign w:val="superscript"/>
                <w:lang w:val="en-AU"/>
              </w:rPr>
              <w:t>*</w:t>
            </w:r>
          </w:p>
        </w:tc>
      </w:tr>
      <w:tr w:rsidR="00E44F87">
        <w:tc>
          <w:tcPr>
            <w:tcW w:w="2268" w:type="dxa"/>
          </w:tcPr>
          <w:p w:rsidR="00E44F87" w:rsidRPr="00CE0E16" w:rsidRDefault="00E44F87">
            <w:pPr>
              <w:pStyle w:val="TableText"/>
              <w:rPr>
                <w:rFonts w:ascii="Arial" w:hAnsi="Arial" w:cs="Arial"/>
                <w:sz w:val="18"/>
                <w:lang w:val="en-AU"/>
              </w:rPr>
            </w:pPr>
            <w:r w:rsidRPr="00CE0E16">
              <w:rPr>
                <w:rFonts w:ascii="Arial" w:hAnsi="Arial" w:cs="Arial"/>
                <w:sz w:val="18"/>
                <w:lang w:val="en-AU"/>
              </w:rPr>
              <w:t>Clinical response (CR-100)</w:t>
            </w:r>
          </w:p>
        </w:tc>
        <w:tc>
          <w:tcPr>
            <w:tcW w:w="1440" w:type="dxa"/>
            <w:vAlign w:val="center"/>
          </w:tcPr>
          <w:p w:rsidR="00E44F87" w:rsidRPr="00CE0E16" w:rsidRDefault="00E44F87">
            <w:pPr>
              <w:pStyle w:val="Title"/>
              <w:rPr>
                <w:b w:val="0"/>
                <w:bCs w:val="0"/>
                <w:sz w:val="18"/>
              </w:rPr>
            </w:pPr>
            <w:r w:rsidRPr="00CE0E16">
              <w:rPr>
                <w:b w:val="0"/>
                <w:bCs w:val="0"/>
                <w:sz w:val="18"/>
              </w:rPr>
              <w:t>24%</w:t>
            </w:r>
          </w:p>
        </w:tc>
        <w:tc>
          <w:tcPr>
            <w:tcW w:w="1980" w:type="dxa"/>
            <w:vAlign w:val="center"/>
          </w:tcPr>
          <w:p w:rsidR="00E44F87" w:rsidRPr="00CE0E16" w:rsidRDefault="00E44F87">
            <w:pPr>
              <w:pStyle w:val="Title"/>
              <w:rPr>
                <w:b w:val="0"/>
                <w:bCs w:val="0"/>
                <w:sz w:val="18"/>
              </w:rPr>
            </w:pPr>
            <w:r w:rsidRPr="00CE0E16">
              <w:rPr>
                <w:b w:val="0"/>
                <w:bCs w:val="0"/>
                <w:sz w:val="18"/>
              </w:rPr>
              <w:t>49%</w:t>
            </w:r>
            <w:r w:rsidRPr="00CE0E16">
              <w:rPr>
                <w:b w:val="0"/>
                <w:bCs w:val="0"/>
                <w:sz w:val="18"/>
                <w:vertAlign w:val="superscript"/>
              </w:rPr>
              <w:t>**</w:t>
            </w:r>
          </w:p>
        </w:tc>
        <w:tc>
          <w:tcPr>
            <w:tcW w:w="1440" w:type="dxa"/>
            <w:vAlign w:val="center"/>
          </w:tcPr>
          <w:p w:rsidR="00E44F87" w:rsidRPr="00CE0E16" w:rsidRDefault="00E44F87">
            <w:pPr>
              <w:pStyle w:val="TableText"/>
              <w:jc w:val="center"/>
              <w:rPr>
                <w:rFonts w:ascii="Arial" w:hAnsi="Arial" w:cs="Arial"/>
                <w:sz w:val="18"/>
                <w:lang w:val="en-AU"/>
              </w:rPr>
            </w:pPr>
            <w:r w:rsidRPr="00CE0E16">
              <w:rPr>
                <w:rFonts w:ascii="Arial" w:hAnsi="Arial" w:cs="Arial"/>
                <w:sz w:val="18"/>
                <w:lang w:val="en-AU"/>
              </w:rPr>
              <w:t>25%</w:t>
            </w:r>
          </w:p>
        </w:tc>
        <w:tc>
          <w:tcPr>
            <w:tcW w:w="1980" w:type="dxa"/>
            <w:vAlign w:val="center"/>
          </w:tcPr>
          <w:p w:rsidR="00E44F87" w:rsidRPr="00CE0E16" w:rsidRDefault="00E44F87">
            <w:pPr>
              <w:pStyle w:val="TableText"/>
              <w:jc w:val="center"/>
              <w:rPr>
                <w:rFonts w:ascii="Arial" w:hAnsi="Arial" w:cs="Arial"/>
                <w:sz w:val="18"/>
                <w:lang w:val="en-AU"/>
              </w:rPr>
            </w:pPr>
            <w:r w:rsidRPr="00CE0E16">
              <w:rPr>
                <w:rFonts w:ascii="Arial" w:hAnsi="Arial" w:cs="Arial"/>
                <w:sz w:val="18"/>
                <w:lang w:val="en-AU"/>
              </w:rPr>
              <w:t>38%</w:t>
            </w:r>
            <w:r w:rsidRPr="00CE0E16">
              <w:rPr>
                <w:rFonts w:ascii="Arial" w:hAnsi="Arial" w:cs="Arial"/>
                <w:sz w:val="18"/>
                <w:vertAlign w:val="superscript"/>
                <w:lang w:val="en-AU"/>
              </w:rPr>
              <w:t>**</w:t>
            </w:r>
          </w:p>
        </w:tc>
      </w:tr>
      <w:tr w:rsidR="00E44F87">
        <w:tc>
          <w:tcPr>
            <w:tcW w:w="2268" w:type="dxa"/>
            <w:tcBorders>
              <w:bottom w:val="single" w:sz="4" w:space="0" w:color="auto"/>
            </w:tcBorders>
          </w:tcPr>
          <w:p w:rsidR="00E44F87" w:rsidRPr="00CE0E16" w:rsidRDefault="00E44F87">
            <w:pPr>
              <w:pStyle w:val="TableText"/>
              <w:rPr>
                <w:rFonts w:ascii="Arial" w:hAnsi="Arial" w:cs="Arial"/>
                <w:sz w:val="18"/>
                <w:lang w:val="en-AU"/>
              </w:rPr>
            </w:pPr>
            <w:r w:rsidRPr="00CE0E16">
              <w:rPr>
                <w:rFonts w:ascii="Arial" w:hAnsi="Arial" w:cs="Arial"/>
                <w:sz w:val="18"/>
                <w:lang w:val="en-AU"/>
              </w:rPr>
              <w:t>Clinical response (CR-70)</w:t>
            </w:r>
          </w:p>
        </w:tc>
        <w:tc>
          <w:tcPr>
            <w:tcW w:w="1440" w:type="dxa"/>
            <w:tcBorders>
              <w:bottom w:val="single" w:sz="4" w:space="0" w:color="auto"/>
            </w:tcBorders>
            <w:vAlign w:val="center"/>
          </w:tcPr>
          <w:p w:rsidR="00E44F87" w:rsidRPr="00CE0E16" w:rsidRDefault="00E44F87">
            <w:pPr>
              <w:pStyle w:val="Title"/>
              <w:rPr>
                <w:b w:val="0"/>
                <w:bCs w:val="0"/>
                <w:sz w:val="18"/>
              </w:rPr>
            </w:pPr>
            <w:r w:rsidRPr="00CE0E16">
              <w:rPr>
                <w:b w:val="0"/>
                <w:bCs w:val="0"/>
                <w:sz w:val="18"/>
              </w:rPr>
              <w:t>34%</w:t>
            </w:r>
          </w:p>
        </w:tc>
        <w:tc>
          <w:tcPr>
            <w:tcW w:w="1980" w:type="dxa"/>
            <w:tcBorders>
              <w:bottom w:val="single" w:sz="4" w:space="0" w:color="auto"/>
            </w:tcBorders>
            <w:vAlign w:val="center"/>
          </w:tcPr>
          <w:p w:rsidR="00E44F87" w:rsidRPr="00CE0E16" w:rsidRDefault="00E44F87">
            <w:pPr>
              <w:pStyle w:val="Title"/>
              <w:rPr>
                <w:b w:val="0"/>
                <w:bCs w:val="0"/>
                <w:sz w:val="18"/>
              </w:rPr>
            </w:pPr>
            <w:r w:rsidRPr="00CE0E16">
              <w:rPr>
                <w:b w:val="0"/>
                <w:bCs w:val="0"/>
                <w:sz w:val="18"/>
              </w:rPr>
              <w:t>58%</w:t>
            </w:r>
            <w:r w:rsidRPr="00CE0E16">
              <w:rPr>
                <w:b w:val="0"/>
                <w:bCs w:val="0"/>
                <w:sz w:val="18"/>
                <w:vertAlign w:val="superscript"/>
              </w:rPr>
              <w:t>**</w:t>
            </w:r>
          </w:p>
        </w:tc>
        <w:tc>
          <w:tcPr>
            <w:tcW w:w="1440" w:type="dxa"/>
            <w:tcBorders>
              <w:bottom w:val="single" w:sz="4" w:space="0" w:color="auto"/>
            </w:tcBorders>
            <w:vAlign w:val="center"/>
          </w:tcPr>
          <w:p w:rsidR="00E44F87" w:rsidRPr="00CE0E16" w:rsidRDefault="00E44F87">
            <w:pPr>
              <w:pStyle w:val="TableText"/>
              <w:jc w:val="center"/>
              <w:rPr>
                <w:rFonts w:ascii="Arial" w:hAnsi="Arial" w:cs="Arial"/>
                <w:sz w:val="18"/>
                <w:lang w:val="en-AU"/>
              </w:rPr>
            </w:pPr>
            <w:r w:rsidRPr="00CE0E16">
              <w:rPr>
                <w:rFonts w:ascii="Arial" w:hAnsi="Arial" w:cs="Arial"/>
                <w:sz w:val="18"/>
                <w:lang w:val="en-AU"/>
              </w:rPr>
              <w:t>34%</w:t>
            </w:r>
          </w:p>
        </w:tc>
        <w:tc>
          <w:tcPr>
            <w:tcW w:w="1980" w:type="dxa"/>
            <w:tcBorders>
              <w:bottom w:val="single" w:sz="4" w:space="0" w:color="auto"/>
            </w:tcBorders>
            <w:vAlign w:val="center"/>
          </w:tcPr>
          <w:p w:rsidR="00E44F87" w:rsidRPr="00CE0E16" w:rsidRDefault="00E44F87">
            <w:pPr>
              <w:pStyle w:val="TableText"/>
              <w:jc w:val="center"/>
              <w:rPr>
                <w:rFonts w:ascii="Arial" w:hAnsi="Arial" w:cs="Arial"/>
                <w:sz w:val="18"/>
                <w:lang w:val="en-AU"/>
              </w:rPr>
            </w:pPr>
            <w:r w:rsidRPr="00CE0E16">
              <w:rPr>
                <w:rFonts w:ascii="Arial" w:hAnsi="Arial" w:cs="Arial"/>
                <w:sz w:val="18"/>
                <w:lang w:val="en-AU"/>
              </w:rPr>
              <w:t>52%</w:t>
            </w:r>
            <w:r w:rsidRPr="00CE0E16">
              <w:rPr>
                <w:rFonts w:ascii="Arial" w:hAnsi="Arial" w:cs="Arial"/>
                <w:sz w:val="18"/>
                <w:vertAlign w:val="superscript"/>
                <w:lang w:val="en-AU"/>
              </w:rPr>
              <w:t>**</w:t>
            </w:r>
          </w:p>
        </w:tc>
      </w:tr>
      <w:tr w:rsidR="00E44F87">
        <w:trPr>
          <w:cantSplit/>
        </w:trPr>
        <w:tc>
          <w:tcPr>
            <w:tcW w:w="9108" w:type="dxa"/>
            <w:gridSpan w:val="5"/>
            <w:tcBorders>
              <w:left w:val="nil"/>
              <w:bottom w:val="nil"/>
              <w:right w:val="nil"/>
            </w:tcBorders>
          </w:tcPr>
          <w:p w:rsidR="00E44F87" w:rsidRPr="00CE0E16" w:rsidRDefault="00E44F87">
            <w:pPr>
              <w:pStyle w:val="TableText"/>
              <w:spacing w:before="0" w:after="0" w:line="240" w:lineRule="auto"/>
              <w:rPr>
                <w:rFonts w:ascii="Arial" w:hAnsi="Arial" w:cs="Arial"/>
                <w:sz w:val="18"/>
                <w:lang w:val="en-AU"/>
              </w:rPr>
            </w:pPr>
            <w:r w:rsidRPr="00CE0E16">
              <w:rPr>
                <w:rFonts w:ascii="Arial" w:hAnsi="Arial" w:cs="Arial"/>
                <w:sz w:val="18"/>
                <w:lang w:val="en-AU"/>
              </w:rPr>
              <w:t>Clinical remission is CDAI score &lt;150; clinical response (CR-100) is decrease in CDAI ≥ 100 points; clinical response (CR-70) is decrease in CDAI ≥ 70 points</w:t>
            </w:r>
          </w:p>
          <w:p w:rsidR="00E44F87" w:rsidRPr="00CE0E16" w:rsidRDefault="00E44F87">
            <w:pPr>
              <w:pStyle w:val="TableText"/>
              <w:spacing w:before="0" w:after="0" w:line="240" w:lineRule="auto"/>
              <w:rPr>
                <w:rFonts w:ascii="Arial" w:hAnsi="Arial" w:cs="Arial"/>
                <w:sz w:val="18"/>
                <w:lang w:val="en-AU"/>
              </w:rPr>
            </w:pPr>
            <w:r w:rsidRPr="00CE0E16">
              <w:rPr>
                <w:rFonts w:ascii="Arial" w:hAnsi="Arial" w:cs="Arial"/>
                <w:sz w:val="18"/>
                <w:lang w:val="en-AU"/>
              </w:rPr>
              <w:t xml:space="preserve">All p-values are pairwise comparisons of proportions for Humira </w:t>
            </w:r>
            <w:r w:rsidRPr="00CE0E16">
              <w:rPr>
                <w:rFonts w:ascii="Arial" w:hAnsi="Arial" w:cs="Arial"/>
                <w:i/>
                <w:iCs/>
                <w:sz w:val="18"/>
                <w:lang w:val="en-AU"/>
              </w:rPr>
              <w:t>vs</w:t>
            </w:r>
            <w:r w:rsidRPr="00CE0E16">
              <w:rPr>
                <w:rFonts w:ascii="Arial" w:hAnsi="Arial" w:cs="Arial"/>
                <w:sz w:val="18"/>
                <w:lang w:val="en-AU"/>
              </w:rPr>
              <w:t>. placebo</w:t>
            </w:r>
          </w:p>
          <w:p w:rsidR="00E44F87" w:rsidRPr="00CE0E16" w:rsidRDefault="00E44F87">
            <w:pPr>
              <w:pStyle w:val="TableText"/>
              <w:spacing w:before="0" w:after="0" w:line="240" w:lineRule="auto"/>
              <w:rPr>
                <w:rFonts w:ascii="Arial" w:hAnsi="Arial" w:cs="Arial"/>
                <w:sz w:val="18"/>
                <w:lang w:val="en-AU"/>
              </w:rPr>
            </w:pPr>
            <w:r w:rsidRPr="00CE0E16">
              <w:rPr>
                <w:rFonts w:ascii="Arial" w:hAnsi="Arial" w:cs="Arial"/>
                <w:sz w:val="18"/>
                <w:vertAlign w:val="superscript"/>
                <w:lang w:val="en-AU"/>
              </w:rPr>
              <w:t>*</w:t>
            </w:r>
            <w:r w:rsidRPr="00CE0E16">
              <w:rPr>
                <w:rFonts w:ascii="Arial" w:hAnsi="Arial" w:cs="Arial"/>
                <w:sz w:val="18"/>
                <w:lang w:val="en-AU"/>
              </w:rPr>
              <w:tab/>
              <w:t>p&lt;0.001</w:t>
            </w:r>
          </w:p>
          <w:p w:rsidR="00E44F87" w:rsidRPr="00CE0E16" w:rsidRDefault="00E44F87">
            <w:pPr>
              <w:pStyle w:val="TableText"/>
              <w:spacing w:before="0" w:after="0" w:line="240" w:lineRule="auto"/>
              <w:rPr>
                <w:rFonts w:ascii="Arial" w:hAnsi="Arial" w:cs="Arial"/>
                <w:sz w:val="18"/>
                <w:lang w:val="en-AU"/>
              </w:rPr>
            </w:pPr>
            <w:r w:rsidRPr="00CE0E16">
              <w:rPr>
                <w:rFonts w:ascii="Arial" w:hAnsi="Arial" w:cs="Arial"/>
                <w:sz w:val="18"/>
                <w:vertAlign w:val="superscript"/>
                <w:lang w:val="en-AU"/>
              </w:rPr>
              <w:t>**</w:t>
            </w:r>
            <w:r w:rsidRPr="00CE0E16">
              <w:rPr>
                <w:rFonts w:ascii="Arial" w:hAnsi="Arial" w:cs="Arial"/>
                <w:sz w:val="18"/>
                <w:lang w:val="en-AU"/>
              </w:rPr>
              <w:tab/>
              <w:t>p&lt;0.01</w:t>
            </w:r>
          </w:p>
        </w:tc>
      </w:tr>
    </w:tbl>
    <w:p w:rsidR="00E44F87" w:rsidRDefault="00E44F87">
      <w:pPr>
        <w:pStyle w:val="TableText"/>
        <w:keepLines w:val="0"/>
        <w:tabs>
          <w:tab w:val="clear" w:pos="360"/>
        </w:tabs>
        <w:suppressAutoHyphens w:val="0"/>
        <w:autoSpaceDE w:val="0"/>
        <w:autoSpaceDN w:val="0"/>
        <w:adjustRightInd w:val="0"/>
        <w:spacing w:before="0" w:after="0" w:line="240" w:lineRule="auto"/>
        <w:rPr>
          <w:rFonts w:ascii="Arial" w:hAnsi="Arial" w:cs="Arial"/>
          <w:strike/>
          <w:color w:val="FF0000"/>
          <w:szCs w:val="22"/>
          <w:lang w:val="en-AU"/>
        </w:rPr>
      </w:pPr>
    </w:p>
    <w:p w:rsidR="00B468E5" w:rsidRDefault="00B468E5">
      <w:pPr>
        <w:jc w:val="both"/>
        <w:rPr>
          <w:rFonts w:ascii="Arial" w:hAnsi="Arial" w:cs="Arial"/>
          <w:i/>
          <w:iCs/>
          <w:sz w:val="20"/>
          <w:szCs w:val="22"/>
        </w:rPr>
      </w:pPr>
    </w:p>
    <w:p w:rsidR="00E44F87" w:rsidRDefault="00E44F87">
      <w:pPr>
        <w:jc w:val="both"/>
        <w:rPr>
          <w:rFonts w:ascii="Arial" w:hAnsi="Arial" w:cs="Arial"/>
          <w:i/>
          <w:iCs/>
          <w:sz w:val="20"/>
        </w:rPr>
      </w:pPr>
      <w:r>
        <w:rPr>
          <w:rFonts w:ascii="Arial" w:hAnsi="Arial" w:cs="Arial"/>
          <w:i/>
          <w:iCs/>
          <w:sz w:val="20"/>
          <w:szCs w:val="22"/>
        </w:rPr>
        <w:t>CD Study I</w:t>
      </w:r>
      <w:r w:rsidR="00F86F01">
        <w:rPr>
          <w:rFonts w:ascii="Arial" w:hAnsi="Arial" w:cs="Arial"/>
          <w:i/>
          <w:iCs/>
          <w:sz w:val="20"/>
          <w:szCs w:val="22"/>
        </w:rPr>
        <w:t>II</w:t>
      </w:r>
      <w:r>
        <w:rPr>
          <w:rFonts w:ascii="Arial" w:hAnsi="Arial" w:cs="Arial"/>
          <w:i/>
          <w:iCs/>
          <w:sz w:val="20"/>
        </w:rPr>
        <w:t xml:space="preserve"> (M02-404)</w:t>
      </w:r>
    </w:p>
    <w:p w:rsidR="00E44F87" w:rsidRDefault="00E44F87">
      <w:pPr>
        <w:jc w:val="both"/>
        <w:rPr>
          <w:rFonts w:ascii="Arial" w:hAnsi="Arial" w:cs="Arial"/>
          <w:sz w:val="20"/>
        </w:rPr>
      </w:pPr>
      <w:r>
        <w:rPr>
          <w:rFonts w:ascii="Arial" w:hAnsi="Arial" w:cs="Arial"/>
          <w:sz w:val="20"/>
        </w:rPr>
        <w:t>At Week 4, 58% (499/854) patients were in clinical response (decrease in CDAI ≥ 70 points) and were assessed in the primary analysis. Of those in clinical response at Week 4, 48% had been previously exposed to other anti-TNF therapy. At Weeks 26 and 56, statistically significantly greater proportions of patients who were in clinical response at Week 4 achieved clinical remission in the Humira maintenance groups compared to patients in the placebo maintenance group.</w:t>
      </w:r>
      <w:r>
        <w:rPr>
          <w:rFonts w:ascii="Arial" w:hAnsi="Arial" w:cs="Arial"/>
          <w:b/>
          <w:bCs/>
          <w:color w:val="FF0000"/>
          <w:sz w:val="20"/>
        </w:rPr>
        <w:t xml:space="preserve"> </w:t>
      </w:r>
      <w:r>
        <w:rPr>
          <w:rFonts w:ascii="Arial" w:hAnsi="Arial" w:cs="Arial"/>
          <w:sz w:val="20"/>
        </w:rPr>
        <w:t>Additionally, statistically significantly greater proportions of patients receiving concomitant corticosteroids at baseline were in clinical remission and were able to discontinue corticosteroid use for at least 90 days in the Humira maintenance groups compared to patients in the placebo maintenance group at Weeks 26 and 56 (see table 1</w:t>
      </w:r>
      <w:r w:rsidR="00F74AA2">
        <w:rPr>
          <w:rFonts w:ascii="Arial" w:hAnsi="Arial" w:cs="Arial"/>
          <w:sz w:val="20"/>
        </w:rPr>
        <w:t>5</w:t>
      </w:r>
      <w:r>
        <w:rPr>
          <w:rFonts w:ascii="Arial" w:hAnsi="Arial" w:cs="Arial"/>
          <w:sz w:val="20"/>
        </w:rPr>
        <w:t>).</w:t>
      </w:r>
    </w:p>
    <w:p w:rsidR="00F74AA2" w:rsidRDefault="00F74AA2">
      <w:pPr>
        <w:jc w:val="both"/>
        <w:rPr>
          <w:rFonts w:ascii="Arial" w:hAnsi="Arial" w:cs="Arial"/>
          <w:sz w:val="20"/>
        </w:rPr>
      </w:pPr>
    </w:p>
    <w:p w:rsidR="00F74AA2" w:rsidRDefault="00F74AA2" w:rsidP="00F74AA2">
      <w:pPr>
        <w:jc w:val="both"/>
        <w:rPr>
          <w:rFonts w:ascii="Arial" w:hAnsi="Arial" w:cs="Arial"/>
          <w:bCs/>
          <w:iCs/>
          <w:sz w:val="20"/>
          <w:lang w:val="en-GB"/>
        </w:rPr>
      </w:pPr>
      <w:r w:rsidRPr="00A04430">
        <w:rPr>
          <w:rFonts w:ascii="Arial" w:hAnsi="Arial" w:cs="Arial"/>
          <w:bCs/>
          <w:iCs/>
          <w:sz w:val="20"/>
          <w:lang w:val="en-GB"/>
        </w:rPr>
        <w:t>Disease-related hospitalisations and surgeries were statistically significantly reduced with adalimumab compared with placebo at Week 56</w:t>
      </w:r>
      <w:r>
        <w:rPr>
          <w:rFonts w:ascii="Arial" w:hAnsi="Arial" w:cs="Arial"/>
          <w:bCs/>
          <w:iCs/>
          <w:sz w:val="20"/>
          <w:lang w:val="en-GB"/>
        </w:rPr>
        <w:t xml:space="preserve"> (See table 14)</w:t>
      </w:r>
      <w:r w:rsidRPr="00A04430">
        <w:rPr>
          <w:rFonts w:ascii="Arial" w:hAnsi="Arial" w:cs="Arial"/>
          <w:bCs/>
          <w:iCs/>
          <w:sz w:val="20"/>
          <w:lang w:val="en-GB"/>
        </w:rPr>
        <w:t>.</w:t>
      </w:r>
    </w:p>
    <w:p w:rsidR="00F74AA2" w:rsidRPr="00A93BF7" w:rsidRDefault="00F74AA2" w:rsidP="00F74AA2">
      <w:pPr>
        <w:jc w:val="center"/>
        <w:rPr>
          <w:rFonts w:ascii="Arial" w:hAnsi="Arial" w:cs="Arial"/>
          <w:b/>
          <w:bCs/>
          <w:sz w:val="20"/>
          <w:szCs w:val="22"/>
          <w:lang w:val="en-GB"/>
        </w:rPr>
      </w:pPr>
    </w:p>
    <w:p w:rsidR="00F74AA2" w:rsidRPr="00F86F01" w:rsidRDefault="00F74AA2" w:rsidP="00D671D6">
      <w:pPr>
        <w:keepNext/>
        <w:jc w:val="center"/>
        <w:rPr>
          <w:rFonts w:ascii="Arial" w:hAnsi="Arial" w:cs="Arial"/>
          <w:b/>
          <w:bCs/>
          <w:sz w:val="20"/>
          <w:szCs w:val="22"/>
        </w:rPr>
      </w:pPr>
      <w:r>
        <w:rPr>
          <w:rFonts w:ascii="Arial" w:hAnsi="Arial" w:cs="Arial"/>
          <w:b/>
          <w:bCs/>
          <w:sz w:val="20"/>
          <w:szCs w:val="22"/>
        </w:rPr>
        <w:t>Table 14</w:t>
      </w:r>
      <w:r w:rsidRPr="00F86F01">
        <w:rPr>
          <w:rFonts w:ascii="Arial" w:hAnsi="Arial" w:cs="Arial"/>
          <w:b/>
          <w:bCs/>
          <w:sz w:val="20"/>
          <w:szCs w:val="22"/>
        </w:rPr>
        <w:t xml:space="preserve">: </w:t>
      </w:r>
      <w:r w:rsidRPr="005A19DE">
        <w:rPr>
          <w:rFonts w:ascii="Arial" w:hAnsi="Arial" w:cs="Arial"/>
          <w:b/>
          <w:bCs/>
          <w:sz w:val="20"/>
          <w:szCs w:val="22"/>
        </w:rPr>
        <w:t>Hospitalisations to Week 56 (ITT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9"/>
        <w:gridCol w:w="1531"/>
        <w:gridCol w:w="1718"/>
        <w:gridCol w:w="1656"/>
        <w:gridCol w:w="1531"/>
      </w:tblGrid>
      <w:tr w:rsidR="00F74AA2" w:rsidRPr="00771190" w:rsidTr="00C576F3">
        <w:tc>
          <w:tcPr>
            <w:tcW w:w="3139" w:type="dxa"/>
          </w:tcPr>
          <w:p w:rsidR="00F74AA2" w:rsidRPr="00771190" w:rsidRDefault="00F74AA2" w:rsidP="00C576F3">
            <w:pPr>
              <w:pStyle w:val="TableText"/>
              <w:rPr>
                <w:rFonts w:ascii="Arial" w:hAnsi="Arial" w:cs="Arial"/>
                <w:b/>
                <w:bCs/>
                <w:sz w:val="18"/>
                <w:lang w:val="en-AU"/>
              </w:rPr>
            </w:pPr>
          </w:p>
        </w:tc>
        <w:tc>
          <w:tcPr>
            <w:tcW w:w="1531" w:type="dxa"/>
          </w:tcPr>
          <w:p w:rsidR="00F74AA2" w:rsidRPr="00771190" w:rsidRDefault="00F74AA2" w:rsidP="00C576F3">
            <w:pPr>
              <w:pStyle w:val="TableText"/>
              <w:jc w:val="center"/>
              <w:rPr>
                <w:rFonts w:ascii="Arial" w:hAnsi="Arial" w:cs="Arial"/>
                <w:b/>
                <w:bCs/>
                <w:sz w:val="18"/>
                <w:lang w:val="en-AU"/>
              </w:rPr>
            </w:pPr>
            <w:r w:rsidRPr="00771190">
              <w:rPr>
                <w:rFonts w:ascii="Arial" w:hAnsi="Arial" w:cs="Arial"/>
                <w:b/>
                <w:bCs/>
                <w:sz w:val="18"/>
                <w:lang w:val="en-AU"/>
              </w:rPr>
              <w:t>Placebo</w:t>
            </w:r>
          </w:p>
        </w:tc>
        <w:tc>
          <w:tcPr>
            <w:tcW w:w="1718" w:type="dxa"/>
          </w:tcPr>
          <w:p w:rsidR="00F74AA2" w:rsidRPr="00771190" w:rsidRDefault="00F74AA2" w:rsidP="00C576F3">
            <w:pPr>
              <w:pStyle w:val="TableText"/>
              <w:jc w:val="center"/>
              <w:rPr>
                <w:rFonts w:ascii="Arial" w:hAnsi="Arial" w:cs="Arial"/>
                <w:b/>
                <w:bCs/>
                <w:sz w:val="18"/>
                <w:lang w:val="en-AU"/>
              </w:rPr>
            </w:pPr>
            <w:r w:rsidRPr="00771190">
              <w:rPr>
                <w:rFonts w:ascii="Arial" w:hAnsi="Arial" w:cs="Arial"/>
                <w:b/>
                <w:bCs/>
                <w:sz w:val="18"/>
                <w:lang w:val="en-AU"/>
              </w:rPr>
              <w:t>40 mg HUMIRA</w:t>
            </w:r>
            <w:r w:rsidRPr="00771190">
              <w:rPr>
                <w:rFonts w:ascii="Arial" w:hAnsi="Arial" w:cs="Arial"/>
                <w:b/>
                <w:bCs/>
                <w:sz w:val="18"/>
                <w:lang w:val="en-AU"/>
              </w:rPr>
              <w:br/>
              <w:t>fortnightly</w:t>
            </w:r>
          </w:p>
        </w:tc>
        <w:tc>
          <w:tcPr>
            <w:tcW w:w="1656" w:type="dxa"/>
          </w:tcPr>
          <w:p w:rsidR="00F74AA2" w:rsidRPr="00771190" w:rsidRDefault="00F74AA2" w:rsidP="00C576F3">
            <w:pPr>
              <w:pStyle w:val="TableText"/>
              <w:jc w:val="center"/>
              <w:rPr>
                <w:rFonts w:ascii="Arial" w:hAnsi="Arial" w:cs="Arial"/>
                <w:b/>
                <w:bCs/>
                <w:sz w:val="18"/>
                <w:lang w:val="en-AU"/>
              </w:rPr>
            </w:pPr>
            <w:r w:rsidRPr="00771190">
              <w:rPr>
                <w:rFonts w:ascii="Arial" w:hAnsi="Arial" w:cs="Arial"/>
                <w:b/>
                <w:bCs/>
                <w:sz w:val="18"/>
                <w:lang w:val="en-AU"/>
              </w:rPr>
              <w:t>40 mg HUMIRA</w:t>
            </w:r>
            <w:r w:rsidRPr="00771190">
              <w:rPr>
                <w:rFonts w:ascii="Arial" w:hAnsi="Arial" w:cs="Arial"/>
                <w:b/>
                <w:bCs/>
                <w:sz w:val="18"/>
                <w:lang w:val="en-AU"/>
              </w:rPr>
              <w:br/>
              <w:t>every week</w:t>
            </w:r>
          </w:p>
        </w:tc>
        <w:tc>
          <w:tcPr>
            <w:tcW w:w="1531" w:type="dxa"/>
          </w:tcPr>
          <w:p w:rsidR="00F74AA2" w:rsidRPr="00771190" w:rsidRDefault="00F74AA2" w:rsidP="00C576F3">
            <w:pPr>
              <w:pStyle w:val="TableText"/>
              <w:jc w:val="center"/>
              <w:rPr>
                <w:rFonts w:ascii="Arial" w:hAnsi="Arial" w:cs="Arial"/>
                <w:b/>
                <w:bCs/>
                <w:sz w:val="18"/>
                <w:lang w:val="en-AU"/>
              </w:rPr>
            </w:pPr>
            <w:r w:rsidRPr="00771190">
              <w:rPr>
                <w:rFonts w:ascii="Arial" w:hAnsi="Arial" w:cs="Arial"/>
                <w:b/>
                <w:bCs/>
                <w:sz w:val="18"/>
                <w:lang w:val="en-AU"/>
              </w:rPr>
              <w:t>Combined HUMIRA</w:t>
            </w:r>
          </w:p>
        </w:tc>
      </w:tr>
      <w:tr w:rsidR="00F74AA2" w:rsidRPr="00771190" w:rsidTr="00C576F3">
        <w:tc>
          <w:tcPr>
            <w:tcW w:w="3139" w:type="dxa"/>
          </w:tcPr>
          <w:p w:rsidR="00F74AA2" w:rsidRPr="00771190" w:rsidRDefault="00F74AA2" w:rsidP="00C576F3">
            <w:pPr>
              <w:pStyle w:val="TableText"/>
              <w:rPr>
                <w:rFonts w:ascii="Arial" w:hAnsi="Arial" w:cs="Arial"/>
                <w:b/>
                <w:bCs/>
                <w:sz w:val="18"/>
                <w:lang w:val="en-AU"/>
              </w:rPr>
            </w:pPr>
          </w:p>
        </w:tc>
        <w:tc>
          <w:tcPr>
            <w:tcW w:w="1531" w:type="dxa"/>
            <w:vAlign w:val="center"/>
          </w:tcPr>
          <w:p w:rsidR="00F74AA2" w:rsidRPr="00771190" w:rsidRDefault="00F74AA2" w:rsidP="00C576F3">
            <w:pPr>
              <w:pStyle w:val="TableText"/>
              <w:jc w:val="center"/>
              <w:rPr>
                <w:rFonts w:ascii="Arial" w:hAnsi="Arial" w:cs="Arial"/>
                <w:b/>
                <w:bCs/>
                <w:sz w:val="18"/>
                <w:lang w:val="en-AU"/>
              </w:rPr>
            </w:pPr>
            <w:r w:rsidRPr="00771190">
              <w:rPr>
                <w:rFonts w:ascii="Arial" w:hAnsi="Arial" w:cs="Arial"/>
                <w:b/>
                <w:bCs/>
                <w:sz w:val="18"/>
                <w:lang w:val="en-AU"/>
              </w:rPr>
              <w:t>N=261</w:t>
            </w:r>
          </w:p>
          <w:p w:rsidR="00F74AA2" w:rsidRPr="00771190" w:rsidRDefault="00F74AA2" w:rsidP="00C576F3">
            <w:pPr>
              <w:pStyle w:val="TableText"/>
              <w:jc w:val="center"/>
              <w:rPr>
                <w:rFonts w:ascii="Arial" w:hAnsi="Arial" w:cs="Arial"/>
                <w:b/>
                <w:bCs/>
                <w:sz w:val="18"/>
                <w:lang w:val="en-AU"/>
              </w:rPr>
            </w:pPr>
            <w:r w:rsidRPr="00771190">
              <w:rPr>
                <w:rFonts w:ascii="Arial" w:hAnsi="Arial" w:cs="Arial"/>
                <w:b/>
                <w:bCs/>
                <w:sz w:val="18"/>
                <w:lang w:val="en-AU"/>
              </w:rPr>
              <w:t xml:space="preserve">n (%) </w:t>
            </w:r>
          </w:p>
        </w:tc>
        <w:tc>
          <w:tcPr>
            <w:tcW w:w="1718" w:type="dxa"/>
            <w:vAlign w:val="center"/>
          </w:tcPr>
          <w:p w:rsidR="00F74AA2" w:rsidRPr="00771190" w:rsidRDefault="00F74AA2" w:rsidP="00C576F3">
            <w:pPr>
              <w:pStyle w:val="TableText"/>
              <w:jc w:val="center"/>
              <w:rPr>
                <w:rFonts w:ascii="Arial" w:hAnsi="Arial" w:cs="Arial"/>
                <w:b/>
                <w:bCs/>
                <w:sz w:val="18"/>
                <w:lang w:val="en-AU"/>
              </w:rPr>
            </w:pPr>
            <w:r w:rsidRPr="00771190">
              <w:rPr>
                <w:rFonts w:ascii="Arial" w:hAnsi="Arial" w:cs="Arial"/>
                <w:b/>
                <w:bCs/>
                <w:sz w:val="18"/>
                <w:lang w:val="en-AU"/>
              </w:rPr>
              <w:t>N=260</w:t>
            </w:r>
          </w:p>
          <w:p w:rsidR="00F74AA2" w:rsidRPr="00771190" w:rsidRDefault="00F74AA2" w:rsidP="00C576F3">
            <w:pPr>
              <w:pStyle w:val="TableText"/>
              <w:jc w:val="center"/>
              <w:rPr>
                <w:rFonts w:ascii="Arial" w:hAnsi="Arial" w:cs="Arial"/>
                <w:b/>
                <w:bCs/>
                <w:sz w:val="18"/>
                <w:lang w:val="en-AU"/>
              </w:rPr>
            </w:pPr>
            <w:r w:rsidRPr="00771190">
              <w:rPr>
                <w:rFonts w:ascii="Arial" w:hAnsi="Arial" w:cs="Arial"/>
                <w:b/>
                <w:bCs/>
                <w:sz w:val="18"/>
                <w:lang w:val="en-AU"/>
              </w:rPr>
              <w:t>n (%)</w:t>
            </w:r>
          </w:p>
        </w:tc>
        <w:tc>
          <w:tcPr>
            <w:tcW w:w="1656" w:type="dxa"/>
            <w:vAlign w:val="center"/>
          </w:tcPr>
          <w:p w:rsidR="00F74AA2" w:rsidRPr="00771190" w:rsidRDefault="00F74AA2" w:rsidP="00C576F3">
            <w:pPr>
              <w:pStyle w:val="TableText"/>
              <w:jc w:val="center"/>
              <w:rPr>
                <w:rFonts w:ascii="Arial" w:hAnsi="Arial" w:cs="Arial"/>
                <w:b/>
                <w:bCs/>
                <w:sz w:val="18"/>
                <w:lang w:val="en-AU"/>
              </w:rPr>
            </w:pPr>
            <w:r w:rsidRPr="00771190">
              <w:rPr>
                <w:rFonts w:ascii="Arial" w:hAnsi="Arial" w:cs="Arial"/>
                <w:b/>
                <w:bCs/>
                <w:sz w:val="18"/>
                <w:lang w:val="en-AU"/>
              </w:rPr>
              <w:t>N=257</w:t>
            </w:r>
          </w:p>
          <w:p w:rsidR="00F74AA2" w:rsidRPr="00771190" w:rsidRDefault="00F74AA2" w:rsidP="00C576F3">
            <w:pPr>
              <w:pStyle w:val="TableText"/>
              <w:jc w:val="center"/>
              <w:rPr>
                <w:rFonts w:ascii="Arial" w:hAnsi="Arial" w:cs="Arial"/>
                <w:b/>
                <w:bCs/>
                <w:sz w:val="18"/>
                <w:lang w:val="en-AU"/>
              </w:rPr>
            </w:pPr>
            <w:r w:rsidRPr="00771190">
              <w:rPr>
                <w:rFonts w:ascii="Arial" w:hAnsi="Arial" w:cs="Arial"/>
                <w:b/>
                <w:bCs/>
                <w:sz w:val="18"/>
                <w:lang w:val="en-AU"/>
              </w:rPr>
              <w:t>n (%)</w:t>
            </w:r>
          </w:p>
        </w:tc>
        <w:tc>
          <w:tcPr>
            <w:tcW w:w="1531" w:type="dxa"/>
          </w:tcPr>
          <w:p w:rsidR="00F74AA2" w:rsidRPr="00771190" w:rsidRDefault="00F74AA2" w:rsidP="00C576F3">
            <w:pPr>
              <w:pStyle w:val="TableText"/>
              <w:jc w:val="center"/>
              <w:rPr>
                <w:rFonts w:ascii="Arial" w:hAnsi="Arial" w:cs="Arial"/>
                <w:b/>
                <w:bCs/>
                <w:sz w:val="18"/>
                <w:lang w:val="en-AU"/>
              </w:rPr>
            </w:pPr>
            <w:r w:rsidRPr="00771190">
              <w:rPr>
                <w:rFonts w:ascii="Arial" w:hAnsi="Arial" w:cs="Arial"/>
                <w:b/>
                <w:bCs/>
                <w:sz w:val="18"/>
                <w:lang w:val="en-AU"/>
              </w:rPr>
              <w:t>N= 517</w:t>
            </w:r>
          </w:p>
          <w:p w:rsidR="00F74AA2" w:rsidRPr="00771190" w:rsidRDefault="00F74AA2" w:rsidP="00C576F3">
            <w:pPr>
              <w:pStyle w:val="TableText"/>
              <w:jc w:val="center"/>
              <w:rPr>
                <w:rFonts w:ascii="Arial" w:hAnsi="Arial" w:cs="Arial"/>
                <w:b/>
                <w:bCs/>
                <w:sz w:val="18"/>
                <w:lang w:val="en-AU"/>
              </w:rPr>
            </w:pPr>
            <w:r w:rsidRPr="00771190">
              <w:rPr>
                <w:rFonts w:ascii="Arial" w:hAnsi="Arial" w:cs="Arial"/>
                <w:b/>
                <w:bCs/>
                <w:sz w:val="18"/>
                <w:lang w:val="en-AU"/>
              </w:rPr>
              <w:t>n (%)</w:t>
            </w:r>
          </w:p>
        </w:tc>
      </w:tr>
      <w:tr w:rsidR="00F74AA2" w:rsidRPr="00771190" w:rsidTr="00C576F3">
        <w:tc>
          <w:tcPr>
            <w:tcW w:w="3139" w:type="dxa"/>
          </w:tcPr>
          <w:p w:rsidR="00F74AA2" w:rsidRPr="00771190" w:rsidRDefault="00F74AA2" w:rsidP="00C576F3">
            <w:pPr>
              <w:pStyle w:val="TableText"/>
              <w:rPr>
                <w:rFonts w:ascii="Arial" w:hAnsi="Arial" w:cs="Arial"/>
                <w:sz w:val="18"/>
                <w:lang w:val="en-AU"/>
              </w:rPr>
            </w:pPr>
            <w:r w:rsidRPr="00771190">
              <w:rPr>
                <w:rFonts w:ascii="Arial" w:hAnsi="Arial" w:cs="Arial"/>
                <w:sz w:val="18"/>
                <w:lang w:val="en-AU"/>
              </w:rPr>
              <w:t xml:space="preserve">All-cause Hospitalisation </w:t>
            </w:r>
          </w:p>
        </w:tc>
        <w:tc>
          <w:tcPr>
            <w:tcW w:w="1531" w:type="dxa"/>
            <w:vAlign w:val="center"/>
          </w:tcPr>
          <w:p w:rsidR="00F74AA2" w:rsidRPr="00771190" w:rsidRDefault="00F74AA2" w:rsidP="00C576F3">
            <w:pPr>
              <w:pStyle w:val="TableText"/>
              <w:jc w:val="center"/>
              <w:rPr>
                <w:rFonts w:ascii="Arial" w:hAnsi="Arial" w:cs="Arial"/>
                <w:sz w:val="18"/>
                <w:lang w:val="en-AU"/>
              </w:rPr>
            </w:pPr>
            <w:r w:rsidRPr="00771190">
              <w:rPr>
                <w:rFonts w:ascii="Arial" w:hAnsi="Arial" w:cs="Arial"/>
                <w:sz w:val="18"/>
                <w:lang w:val="en-AU"/>
              </w:rPr>
              <w:t>47 (18)</w:t>
            </w:r>
          </w:p>
        </w:tc>
        <w:tc>
          <w:tcPr>
            <w:tcW w:w="1718" w:type="dxa"/>
            <w:vAlign w:val="center"/>
          </w:tcPr>
          <w:p w:rsidR="00F74AA2" w:rsidRPr="00771190" w:rsidRDefault="00F74AA2" w:rsidP="00C576F3">
            <w:pPr>
              <w:pStyle w:val="TableText"/>
              <w:jc w:val="center"/>
              <w:rPr>
                <w:rFonts w:ascii="Arial" w:hAnsi="Arial" w:cs="Arial"/>
                <w:sz w:val="18"/>
                <w:lang w:val="en-AU"/>
              </w:rPr>
            </w:pPr>
            <w:r w:rsidRPr="00771190">
              <w:rPr>
                <w:rFonts w:ascii="Arial" w:hAnsi="Arial" w:cs="Arial"/>
                <w:sz w:val="18"/>
                <w:lang w:val="en-AU"/>
              </w:rPr>
              <w:t>25 (9.6) *</w:t>
            </w:r>
          </w:p>
        </w:tc>
        <w:tc>
          <w:tcPr>
            <w:tcW w:w="1656" w:type="dxa"/>
            <w:vAlign w:val="center"/>
          </w:tcPr>
          <w:p w:rsidR="00F74AA2" w:rsidRPr="00771190" w:rsidRDefault="00F74AA2" w:rsidP="00C576F3">
            <w:pPr>
              <w:pStyle w:val="TableText"/>
              <w:jc w:val="center"/>
              <w:rPr>
                <w:rFonts w:ascii="Arial" w:hAnsi="Arial" w:cs="Arial"/>
                <w:sz w:val="18"/>
                <w:lang w:val="en-AU"/>
              </w:rPr>
            </w:pPr>
            <w:r w:rsidRPr="00771190">
              <w:rPr>
                <w:rFonts w:ascii="Arial" w:hAnsi="Arial" w:cs="Arial"/>
                <w:sz w:val="18"/>
                <w:lang w:val="en-AU"/>
              </w:rPr>
              <w:t>29 (11.3) *</w:t>
            </w:r>
          </w:p>
        </w:tc>
        <w:tc>
          <w:tcPr>
            <w:tcW w:w="1531" w:type="dxa"/>
          </w:tcPr>
          <w:p w:rsidR="00F74AA2" w:rsidRPr="00771190" w:rsidRDefault="00F74AA2" w:rsidP="00C576F3">
            <w:pPr>
              <w:pStyle w:val="TableText"/>
              <w:jc w:val="center"/>
              <w:rPr>
                <w:rFonts w:ascii="Arial" w:hAnsi="Arial" w:cs="Arial"/>
                <w:sz w:val="18"/>
                <w:lang w:val="en-AU"/>
              </w:rPr>
            </w:pPr>
            <w:r w:rsidRPr="00771190">
              <w:rPr>
                <w:rFonts w:ascii="Arial" w:hAnsi="Arial" w:cs="Arial"/>
                <w:sz w:val="18"/>
                <w:lang w:val="en-AU"/>
              </w:rPr>
              <w:t>54 (10.4) *</w:t>
            </w:r>
          </w:p>
        </w:tc>
      </w:tr>
      <w:tr w:rsidR="00F74AA2" w:rsidRPr="00771190" w:rsidTr="00C576F3">
        <w:tc>
          <w:tcPr>
            <w:tcW w:w="3139" w:type="dxa"/>
          </w:tcPr>
          <w:p w:rsidR="00F74AA2" w:rsidRPr="00771190" w:rsidRDefault="00F74AA2" w:rsidP="00C576F3">
            <w:pPr>
              <w:pStyle w:val="TableText"/>
              <w:rPr>
                <w:rFonts w:ascii="Arial" w:hAnsi="Arial" w:cs="Arial"/>
                <w:sz w:val="18"/>
                <w:lang w:val="en-AU"/>
              </w:rPr>
            </w:pPr>
            <w:r w:rsidRPr="00771190">
              <w:rPr>
                <w:rFonts w:ascii="Arial" w:hAnsi="Arial" w:cs="Arial"/>
                <w:sz w:val="18"/>
                <w:lang w:val="en-AU"/>
              </w:rPr>
              <w:t>CD – Related Hospitalisation</w:t>
            </w:r>
          </w:p>
        </w:tc>
        <w:tc>
          <w:tcPr>
            <w:tcW w:w="1531" w:type="dxa"/>
            <w:vAlign w:val="center"/>
          </w:tcPr>
          <w:p w:rsidR="00F74AA2" w:rsidRPr="00771190" w:rsidRDefault="00F74AA2" w:rsidP="00C576F3">
            <w:pPr>
              <w:pStyle w:val="TableText"/>
              <w:jc w:val="center"/>
              <w:rPr>
                <w:rFonts w:ascii="Arial" w:hAnsi="Arial" w:cs="Arial"/>
                <w:sz w:val="18"/>
                <w:lang w:val="en-AU"/>
              </w:rPr>
            </w:pPr>
            <w:r w:rsidRPr="00771190">
              <w:rPr>
                <w:rFonts w:ascii="Arial" w:hAnsi="Arial" w:cs="Arial"/>
                <w:sz w:val="18"/>
                <w:lang w:val="en-AU"/>
              </w:rPr>
              <w:t xml:space="preserve">31 (11.9) </w:t>
            </w:r>
          </w:p>
        </w:tc>
        <w:tc>
          <w:tcPr>
            <w:tcW w:w="1718" w:type="dxa"/>
            <w:vAlign w:val="center"/>
          </w:tcPr>
          <w:p w:rsidR="00F74AA2" w:rsidRPr="00771190" w:rsidRDefault="00F74AA2" w:rsidP="00C576F3">
            <w:pPr>
              <w:pStyle w:val="TableText"/>
              <w:jc w:val="center"/>
              <w:rPr>
                <w:rFonts w:ascii="Arial" w:hAnsi="Arial" w:cs="Arial"/>
                <w:sz w:val="18"/>
                <w:lang w:val="en-AU"/>
              </w:rPr>
            </w:pPr>
            <w:r w:rsidRPr="00771190">
              <w:rPr>
                <w:rFonts w:ascii="Arial" w:hAnsi="Arial" w:cs="Arial"/>
                <w:sz w:val="18"/>
                <w:lang w:val="en-AU"/>
              </w:rPr>
              <w:t>16 (6.2) *</w:t>
            </w:r>
          </w:p>
        </w:tc>
        <w:tc>
          <w:tcPr>
            <w:tcW w:w="1656" w:type="dxa"/>
            <w:vAlign w:val="center"/>
          </w:tcPr>
          <w:p w:rsidR="00F74AA2" w:rsidRPr="00771190" w:rsidRDefault="00F74AA2" w:rsidP="00C576F3">
            <w:pPr>
              <w:pStyle w:val="TableText"/>
              <w:jc w:val="center"/>
              <w:rPr>
                <w:rFonts w:ascii="Arial" w:hAnsi="Arial" w:cs="Arial"/>
                <w:sz w:val="18"/>
                <w:lang w:val="en-AU"/>
              </w:rPr>
            </w:pPr>
            <w:r w:rsidRPr="00771190">
              <w:rPr>
                <w:rFonts w:ascii="Arial" w:hAnsi="Arial" w:cs="Arial"/>
                <w:sz w:val="18"/>
                <w:lang w:val="en-AU"/>
              </w:rPr>
              <w:t>18 (7.0)*</w:t>
            </w:r>
          </w:p>
        </w:tc>
        <w:tc>
          <w:tcPr>
            <w:tcW w:w="1531" w:type="dxa"/>
          </w:tcPr>
          <w:p w:rsidR="00F74AA2" w:rsidRPr="00771190" w:rsidRDefault="00F74AA2" w:rsidP="00C576F3">
            <w:pPr>
              <w:pStyle w:val="TableText"/>
              <w:jc w:val="center"/>
              <w:rPr>
                <w:rFonts w:ascii="Arial" w:hAnsi="Arial" w:cs="Arial"/>
                <w:sz w:val="18"/>
                <w:lang w:val="en-AU"/>
              </w:rPr>
            </w:pPr>
            <w:r w:rsidRPr="00771190">
              <w:rPr>
                <w:rFonts w:ascii="Arial" w:hAnsi="Arial" w:cs="Arial"/>
                <w:sz w:val="18"/>
                <w:lang w:val="en-AU"/>
              </w:rPr>
              <w:t xml:space="preserve">34 (6.6) * </w:t>
            </w:r>
          </w:p>
        </w:tc>
      </w:tr>
      <w:tr w:rsidR="00F74AA2" w:rsidRPr="00771190" w:rsidTr="00C576F3">
        <w:tc>
          <w:tcPr>
            <w:tcW w:w="3139" w:type="dxa"/>
            <w:tcBorders>
              <w:bottom w:val="single" w:sz="4" w:space="0" w:color="auto"/>
            </w:tcBorders>
          </w:tcPr>
          <w:p w:rsidR="00F74AA2" w:rsidRPr="00771190" w:rsidRDefault="00F74AA2" w:rsidP="00C576F3">
            <w:pPr>
              <w:pStyle w:val="TableText"/>
              <w:rPr>
                <w:rFonts w:ascii="Arial" w:hAnsi="Arial" w:cs="Arial"/>
                <w:sz w:val="18"/>
                <w:lang w:val="en-AU"/>
              </w:rPr>
            </w:pPr>
            <w:r w:rsidRPr="00771190">
              <w:rPr>
                <w:rFonts w:ascii="Arial" w:hAnsi="Arial" w:cs="Arial"/>
                <w:sz w:val="18"/>
                <w:lang w:val="en-AU"/>
              </w:rPr>
              <w:t xml:space="preserve">Major Surgery </w:t>
            </w:r>
          </w:p>
        </w:tc>
        <w:tc>
          <w:tcPr>
            <w:tcW w:w="1531" w:type="dxa"/>
            <w:tcBorders>
              <w:bottom w:val="single" w:sz="4" w:space="0" w:color="auto"/>
            </w:tcBorders>
            <w:vAlign w:val="center"/>
          </w:tcPr>
          <w:p w:rsidR="00F74AA2" w:rsidRPr="00771190" w:rsidRDefault="00F74AA2" w:rsidP="00C576F3">
            <w:pPr>
              <w:pStyle w:val="TableText"/>
              <w:jc w:val="center"/>
              <w:rPr>
                <w:rFonts w:ascii="Arial" w:hAnsi="Arial" w:cs="Arial"/>
                <w:sz w:val="18"/>
                <w:lang w:val="en-AU"/>
              </w:rPr>
            </w:pPr>
            <w:r w:rsidRPr="00771190">
              <w:rPr>
                <w:rFonts w:ascii="Arial" w:hAnsi="Arial" w:cs="Arial"/>
                <w:sz w:val="18"/>
                <w:lang w:val="en-AU"/>
              </w:rPr>
              <w:t>11 (4.2)</w:t>
            </w:r>
          </w:p>
        </w:tc>
        <w:tc>
          <w:tcPr>
            <w:tcW w:w="1718" w:type="dxa"/>
            <w:tcBorders>
              <w:bottom w:val="single" w:sz="4" w:space="0" w:color="auto"/>
            </w:tcBorders>
            <w:vAlign w:val="center"/>
          </w:tcPr>
          <w:p w:rsidR="00F74AA2" w:rsidRPr="00771190" w:rsidRDefault="00F74AA2" w:rsidP="00C576F3">
            <w:pPr>
              <w:pStyle w:val="TableText"/>
              <w:jc w:val="center"/>
              <w:rPr>
                <w:rFonts w:ascii="Arial" w:hAnsi="Arial" w:cs="Arial"/>
                <w:sz w:val="18"/>
                <w:lang w:val="en-AU"/>
              </w:rPr>
            </w:pPr>
            <w:r w:rsidRPr="00771190">
              <w:rPr>
                <w:rFonts w:ascii="Arial" w:hAnsi="Arial" w:cs="Arial"/>
                <w:sz w:val="18"/>
                <w:lang w:val="en-AU"/>
              </w:rPr>
              <w:t xml:space="preserve">1 (0.4) * </w:t>
            </w:r>
          </w:p>
        </w:tc>
        <w:tc>
          <w:tcPr>
            <w:tcW w:w="1656" w:type="dxa"/>
            <w:tcBorders>
              <w:bottom w:val="single" w:sz="4" w:space="0" w:color="auto"/>
            </w:tcBorders>
            <w:vAlign w:val="center"/>
          </w:tcPr>
          <w:p w:rsidR="00F74AA2" w:rsidRPr="00771190" w:rsidRDefault="00F74AA2" w:rsidP="00C576F3">
            <w:pPr>
              <w:pStyle w:val="TableText"/>
              <w:jc w:val="center"/>
              <w:rPr>
                <w:rFonts w:ascii="Arial" w:hAnsi="Arial" w:cs="Arial"/>
                <w:sz w:val="18"/>
                <w:lang w:val="en-AU"/>
              </w:rPr>
            </w:pPr>
            <w:r w:rsidRPr="00771190">
              <w:rPr>
                <w:rFonts w:ascii="Arial" w:hAnsi="Arial" w:cs="Arial"/>
                <w:sz w:val="18"/>
                <w:lang w:val="en-AU"/>
              </w:rPr>
              <w:t xml:space="preserve">2 (0.8) * </w:t>
            </w:r>
          </w:p>
        </w:tc>
        <w:tc>
          <w:tcPr>
            <w:tcW w:w="1531" w:type="dxa"/>
            <w:tcBorders>
              <w:bottom w:val="single" w:sz="4" w:space="0" w:color="auto"/>
            </w:tcBorders>
          </w:tcPr>
          <w:p w:rsidR="00F74AA2" w:rsidRPr="00771190" w:rsidRDefault="00F74AA2" w:rsidP="00C576F3">
            <w:pPr>
              <w:pStyle w:val="TableText"/>
              <w:jc w:val="center"/>
              <w:rPr>
                <w:rFonts w:ascii="Arial" w:hAnsi="Arial" w:cs="Arial"/>
                <w:sz w:val="18"/>
                <w:lang w:val="en-AU"/>
              </w:rPr>
            </w:pPr>
            <w:r w:rsidRPr="00771190">
              <w:rPr>
                <w:rFonts w:ascii="Arial" w:hAnsi="Arial" w:cs="Arial"/>
                <w:sz w:val="18"/>
                <w:lang w:val="en-AU"/>
              </w:rPr>
              <w:t>3 (0.6) *</w:t>
            </w:r>
          </w:p>
        </w:tc>
      </w:tr>
      <w:tr w:rsidR="00F74AA2" w:rsidRPr="00771190" w:rsidTr="00C576F3">
        <w:tc>
          <w:tcPr>
            <w:tcW w:w="3139" w:type="dxa"/>
            <w:tcBorders>
              <w:left w:val="nil"/>
              <w:right w:val="nil"/>
            </w:tcBorders>
          </w:tcPr>
          <w:p w:rsidR="00F74AA2" w:rsidRPr="00771190" w:rsidRDefault="00F74AA2" w:rsidP="00C576F3">
            <w:pPr>
              <w:pStyle w:val="TableText"/>
              <w:ind w:left="360"/>
              <w:rPr>
                <w:rFonts w:ascii="Arial" w:hAnsi="Arial" w:cs="Arial"/>
                <w:sz w:val="16"/>
                <w:szCs w:val="16"/>
                <w:lang w:val="en-AU"/>
              </w:rPr>
            </w:pPr>
            <w:r w:rsidRPr="00771190">
              <w:rPr>
                <w:rFonts w:ascii="Arial" w:hAnsi="Arial" w:cs="Arial"/>
                <w:sz w:val="16"/>
                <w:szCs w:val="16"/>
                <w:lang w:val="en-AU"/>
              </w:rPr>
              <w:t>* p ≤0.05</w:t>
            </w:r>
          </w:p>
        </w:tc>
        <w:tc>
          <w:tcPr>
            <w:tcW w:w="1531" w:type="dxa"/>
            <w:tcBorders>
              <w:left w:val="nil"/>
              <w:right w:val="nil"/>
            </w:tcBorders>
            <w:vAlign w:val="center"/>
          </w:tcPr>
          <w:p w:rsidR="00F74AA2" w:rsidRPr="00771190" w:rsidRDefault="00F74AA2" w:rsidP="00C576F3">
            <w:pPr>
              <w:pStyle w:val="TableText"/>
              <w:jc w:val="center"/>
              <w:rPr>
                <w:rFonts w:ascii="Arial" w:hAnsi="Arial" w:cs="Arial"/>
                <w:sz w:val="18"/>
                <w:lang w:val="en-AU"/>
              </w:rPr>
            </w:pPr>
          </w:p>
        </w:tc>
        <w:tc>
          <w:tcPr>
            <w:tcW w:w="1718" w:type="dxa"/>
            <w:tcBorders>
              <w:left w:val="nil"/>
              <w:right w:val="nil"/>
            </w:tcBorders>
            <w:vAlign w:val="center"/>
          </w:tcPr>
          <w:p w:rsidR="00F74AA2" w:rsidRPr="00771190" w:rsidRDefault="00F74AA2" w:rsidP="00C576F3">
            <w:pPr>
              <w:pStyle w:val="TableText"/>
              <w:jc w:val="center"/>
              <w:rPr>
                <w:rFonts w:ascii="Arial" w:hAnsi="Arial" w:cs="Arial"/>
                <w:sz w:val="18"/>
                <w:lang w:val="en-AU"/>
              </w:rPr>
            </w:pPr>
          </w:p>
        </w:tc>
        <w:tc>
          <w:tcPr>
            <w:tcW w:w="1656" w:type="dxa"/>
            <w:tcBorders>
              <w:left w:val="nil"/>
              <w:right w:val="nil"/>
            </w:tcBorders>
            <w:vAlign w:val="center"/>
          </w:tcPr>
          <w:p w:rsidR="00F74AA2" w:rsidRPr="00771190" w:rsidRDefault="00F74AA2" w:rsidP="00C576F3">
            <w:pPr>
              <w:pStyle w:val="TableText"/>
              <w:jc w:val="center"/>
              <w:rPr>
                <w:rFonts w:ascii="Arial" w:hAnsi="Arial" w:cs="Arial"/>
                <w:sz w:val="18"/>
                <w:lang w:val="en-AU"/>
              </w:rPr>
            </w:pPr>
          </w:p>
        </w:tc>
        <w:tc>
          <w:tcPr>
            <w:tcW w:w="1531" w:type="dxa"/>
            <w:tcBorders>
              <w:left w:val="nil"/>
              <w:right w:val="nil"/>
            </w:tcBorders>
          </w:tcPr>
          <w:p w:rsidR="00F74AA2" w:rsidRPr="00771190" w:rsidRDefault="00F74AA2" w:rsidP="00C576F3">
            <w:pPr>
              <w:pStyle w:val="TableText"/>
              <w:jc w:val="center"/>
              <w:rPr>
                <w:rFonts w:ascii="Arial" w:hAnsi="Arial" w:cs="Arial"/>
                <w:sz w:val="18"/>
                <w:lang w:val="en-AU"/>
              </w:rPr>
            </w:pPr>
          </w:p>
        </w:tc>
      </w:tr>
    </w:tbl>
    <w:p w:rsidR="00F74AA2" w:rsidRDefault="00F74AA2">
      <w:pPr>
        <w:jc w:val="both"/>
        <w:rPr>
          <w:rFonts w:ascii="Arial" w:hAnsi="Arial" w:cs="Arial"/>
          <w:sz w:val="20"/>
        </w:rPr>
      </w:pPr>
    </w:p>
    <w:p w:rsidR="00E44F87" w:rsidRDefault="00E44F87">
      <w:pPr>
        <w:jc w:val="both"/>
        <w:rPr>
          <w:rFonts w:ascii="Arial" w:hAnsi="Arial" w:cs="Arial"/>
          <w:sz w:val="20"/>
        </w:rPr>
      </w:pPr>
    </w:p>
    <w:p w:rsidR="00E44F87" w:rsidRDefault="00E44F87">
      <w:pPr>
        <w:jc w:val="both"/>
        <w:rPr>
          <w:rFonts w:ascii="Arial" w:hAnsi="Arial" w:cs="Arial"/>
          <w:sz w:val="20"/>
        </w:rPr>
      </w:pPr>
      <w:r>
        <w:rPr>
          <w:rFonts w:ascii="Arial" w:hAnsi="Arial" w:cs="Arial"/>
          <w:sz w:val="20"/>
        </w:rPr>
        <w:lastRenderedPageBreak/>
        <w:t>Clinical remission results presented in Ta</w:t>
      </w:r>
      <w:r w:rsidR="00030650">
        <w:rPr>
          <w:rFonts w:ascii="Arial" w:hAnsi="Arial" w:cs="Arial"/>
          <w:sz w:val="20"/>
        </w:rPr>
        <w:t>ble 15</w:t>
      </w:r>
      <w:r>
        <w:rPr>
          <w:rFonts w:ascii="Arial" w:hAnsi="Arial" w:cs="Arial"/>
          <w:sz w:val="20"/>
        </w:rPr>
        <w:t xml:space="preserve"> remained relatively constant irrespective of previous TNF antagonist exposure.</w:t>
      </w:r>
    </w:p>
    <w:p w:rsidR="00E44F87" w:rsidRDefault="00E44F87">
      <w:pPr>
        <w:jc w:val="both"/>
        <w:rPr>
          <w:rFonts w:ascii="Arial" w:hAnsi="Arial" w:cs="Arial"/>
          <w:sz w:val="20"/>
        </w:rPr>
      </w:pPr>
    </w:p>
    <w:p w:rsidR="00B468E5" w:rsidRPr="0019657D" w:rsidRDefault="00E44F87" w:rsidP="0019657D">
      <w:pPr>
        <w:jc w:val="both"/>
        <w:rPr>
          <w:rFonts w:ascii="Arial" w:hAnsi="Arial" w:cs="Arial"/>
          <w:sz w:val="20"/>
        </w:rPr>
      </w:pPr>
      <w:r>
        <w:rPr>
          <w:rFonts w:ascii="Arial" w:hAnsi="Arial" w:cs="Arial"/>
          <w:sz w:val="20"/>
        </w:rPr>
        <w:t>Of those in response at Week 4 who attained remission during the study, patients in Humira maintenance groups maintained remission for a significantly longer time that patients in the placebo maintenance group (see Figure 5). Among patients who were not in response by Week 12, therapy continued beyond 12 weeks did not result in significantly more responses.  The group that received Humira every week did not show significantly higher remission rates than the group that received Humira fortnightly.</w:t>
      </w:r>
    </w:p>
    <w:p w:rsidR="00B468E5" w:rsidRDefault="00B468E5" w:rsidP="00F86F01">
      <w:pPr>
        <w:jc w:val="center"/>
        <w:rPr>
          <w:rFonts w:ascii="Arial" w:hAnsi="Arial" w:cs="Arial"/>
          <w:b/>
          <w:bCs/>
          <w:sz w:val="20"/>
          <w:szCs w:val="22"/>
        </w:rPr>
      </w:pPr>
    </w:p>
    <w:p w:rsidR="00E44F87" w:rsidRPr="00F86F01" w:rsidRDefault="00E44F87" w:rsidP="00F86F01">
      <w:pPr>
        <w:jc w:val="center"/>
        <w:rPr>
          <w:rFonts w:ascii="Arial" w:hAnsi="Arial" w:cs="Arial"/>
          <w:b/>
          <w:bCs/>
          <w:sz w:val="20"/>
          <w:szCs w:val="22"/>
        </w:rPr>
      </w:pPr>
      <w:r w:rsidRPr="00F86F01">
        <w:rPr>
          <w:rFonts w:ascii="Arial" w:hAnsi="Arial" w:cs="Arial"/>
          <w:b/>
          <w:bCs/>
          <w:sz w:val="20"/>
          <w:szCs w:val="22"/>
        </w:rPr>
        <w:t>Table 1</w:t>
      </w:r>
      <w:r w:rsidR="00F74AA2">
        <w:rPr>
          <w:rFonts w:ascii="Arial" w:hAnsi="Arial" w:cs="Arial"/>
          <w:b/>
          <w:bCs/>
          <w:sz w:val="20"/>
          <w:szCs w:val="22"/>
        </w:rPr>
        <w:t>5</w:t>
      </w:r>
      <w:r w:rsidRPr="00F86F01">
        <w:rPr>
          <w:rFonts w:ascii="Arial" w:hAnsi="Arial" w:cs="Arial"/>
          <w:b/>
          <w:bCs/>
          <w:sz w:val="20"/>
          <w:szCs w:val="22"/>
        </w:rPr>
        <w:t>: Maintenance of Clinical Remission and Response</w:t>
      </w:r>
    </w:p>
    <w:p w:rsidR="00E44F87" w:rsidRDefault="00E44F87">
      <w:pPr>
        <w:autoSpaceDE w:val="0"/>
        <w:autoSpaceDN w:val="0"/>
        <w:adjustRightInd w:val="0"/>
        <w:jc w:val="center"/>
        <w:rPr>
          <w:rFonts w:ascii="Arial" w:hAnsi="Arial" w:cs="Arial"/>
          <w:b/>
          <w:bCs/>
          <w:sz w:val="20"/>
          <w:szCs w:val="22"/>
        </w:rPr>
      </w:pPr>
      <w:r>
        <w:rPr>
          <w:rFonts w:ascii="Arial" w:hAnsi="Arial" w:cs="Arial"/>
          <w:b/>
          <w:bCs/>
          <w:sz w:val="20"/>
          <w:szCs w:val="22"/>
        </w:rPr>
        <w:t>(Percent of Patients)</w:t>
      </w:r>
    </w:p>
    <w:p w:rsidR="00E44F87" w:rsidRDefault="00E44F87">
      <w:pPr>
        <w:autoSpaceDE w:val="0"/>
        <w:autoSpaceDN w:val="0"/>
        <w:adjustRightInd w:val="0"/>
        <w:jc w:val="center"/>
        <w:rPr>
          <w:rFonts w:ascii="Arial" w:hAnsi="Arial" w:cs="Arial"/>
          <w:b/>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1674"/>
        <w:gridCol w:w="1853"/>
        <w:gridCol w:w="1790"/>
      </w:tblGrid>
      <w:tr w:rsidR="00E44F87" w:rsidRPr="002430F3">
        <w:tc>
          <w:tcPr>
            <w:tcW w:w="3539" w:type="dxa"/>
          </w:tcPr>
          <w:p w:rsidR="00E44F87" w:rsidRPr="002430F3" w:rsidRDefault="00E44F87">
            <w:pPr>
              <w:pStyle w:val="TableText"/>
              <w:rPr>
                <w:rFonts w:ascii="Arial" w:hAnsi="Arial" w:cs="Arial"/>
                <w:b/>
                <w:bCs/>
                <w:sz w:val="18"/>
                <w:lang w:val="en-AU"/>
              </w:rPr>
            </w:pPr>
          </w:p>
        </w:tc>
        <w:tc>
          <w:tcPr>
            <w:tcW w:w="1674" w:type="dxa"/>
          </w:tcPr>
          <w:p w:rsidR="00E44F87" w:rsidRPr="002430F3" w:rsidRDefault="00E44F87">
            <w:pPr>
              <w:pStyle w:val="TableText"/>
              <w:jc w:val="center"/>
              <w:rPr>
                <w:rFonts w:ascii="Arial" w:hAnsi="Arial" w:cs="Arial"/>
                <w:b/>
                <w:bCs/>
                <w:sz w:val="18"/>
                <w:lang w:val="en-AU"/>
              </w:rPr>
            </w:pPr>
            <w:r w:rsidRPr="002430F3">
              <w:rPr>
                <w:rFonts w:ascii="Arial" w:hAnsi="Arial" w:cs="Arial"/>
                <w:b/>
                <w:bCs/>
                <w:sz w:val="18"/>
                <w:lang w:val="en-AU"/>
              </w:rPr>
              <w:t>Placebo</w:t>
            </w:r>
          </w:p>
        </w:tc>
        <w:tc>
          <w:tcPr>
            <w:tcW w:w="1853" w:type="dxa"/>
          </w:tcPr>
          <w:p w:rsidR="00E44F87" w:rsidRPr="002430F3" w:rsidRDefault="00E44F87">
            <w:pPr>
              <w:pStyle w:val="TableText"/>
              <w:jc w:val="center"/>
              <w:rPr>
                <w:rFonts w:ascii="Arial" w:hAnsi="Arial" w:cs="Arial"/>
                <w:b/>
                <w:bCs/>
                <w:sz w:val="18"/>
                <w:lang w:val="en-AU"/>
              </w:rPr>
            </w:pPr>
            <w:r w:rsidRPr="002430F3">
              <w:rPr>
                <w:rFonts w:ascii="Arial" w:hAnsi="Arial" w:cs="Arial"/>
                <w:b/>
                <w:bCs/>
                <w:sz w:val="18"/>
                <w:lang w:val="en-AU"/>
              </w:rPr>
              <w:t>40 mg HUMIRA</w:t>
            </w:r>
            <w:r w:rsidRPr="002430F3">
              <w:rPr>
                <w:rFonts w:ascii="Arial" w:hAnsi="Arial" w:cs="Arial"/>
                <w:b/>
                <w:bCs/>
                <w:sz w:val="18"/>
                <w:lang w:val="en-AU"/>
              </w:rPr>
              <w:br/>
              <w:t>fortnightly</w:t>
            </w:r>
          </w:p>
        </w:tc>
        <w:tc>
          <w:tcPr>
            <w:tcW w:w="1790" w:type="dxa"/>
          </w:tcPr>
          <w:p w:rsidR="00E44F87" w:rsidRPr="002430F3" w:rsidRDefault="00E44F87">
            <w:pPr>
              <w:pStyle w:val="TableText"/>
              <w:jc w:val="center"/>
              <w:rPr>
                <w:rFonts w:ascii="Arial" w:hAnsi="Arial" w:cs="Arial"/>
                <w:b/>
                <w:bCs/>
                <w:sz w:val="18"/>
                <w:lang w:val="en-AU"/>
              </w:rPr>
            </w:pPr>
            <w:r w:rsidRPr="002430F3">
              <w:rPr>
                <w:rFonts w:ascii="Arial" w:hAnsi="Arial" w:cs="Arial"/>
                <w:b/>
                <w:bCs/>
                <w:sz w:val="18"/>
                <w:lang w:val="en-AU"/>
              </w:rPr>
              <w:t>40 mg HUMIRA</w:t>
            </w:r>
            <w:r w:rsidRPr="002430F3">
              <w:rPr>
                <w:rFonts w:ascii="Arial" w:hAnsi="Arial" w:cs="Arial"/>
                <w:b/>
                <w:bCs/>
                <w:sz w:val="18"/>
                <w:lang w:val="en-AU"/>
              </w:rPr>
              <w:br/>
              <w:t>every week</w:t>
            </w:r>
          </w:p>
        </w:tc>
      </w:tr>
      <w:tr w:rsidR="00E44F87" w:rsidRPr="002430F3">
        <w:tc>
          <w:tcPr>
            <w:tcW w:w="3539" w:type="dxa"/>
          </w:tcPr>
          <w:p w:rsidR="00E44F87" w:rsidRPr="002430F3" w:rsidRDefault="00E44F87">
            <w:pPr>
              <w:pStyle w:val="TableText"/>
              <w:rPr>
                <w:rFonts w:ascii="Arial" w:hAnsi="Arial" w:cs="Arial"/>
                <w:b/>
                <w:bCs/>
                <w:sz w:val="18"/>
                <w:lang w:val="en-AU"/>
              </w:rPr>
            </w:pPr>
            <w:r w:rsidRPr="002430F3">
              <w:rPr>
                <w:rFonts w:ascii="Arial" w:hAnsi="Arial" w:cs="Arial"/>
                <w:b/>
                <w:bCs/>
                <w:sz w:val="18"/>
                <w:lang w:val="en-AU"/>
              </w:rPr>
              <w:t>Week 26</w:t>
            </w:r>
          </w:p>
        </w:tc>
        <w:tc>
          <w:tcPr>
            <w:tcW w:w="1674" w:type="dxa"/>
            <w:vAlign w:val="center"/>
          </w:tcPr>
          <w:p w:rsidR="00E44F87" w:rsidRPr="002430F3" w:rsidRDefault="00E44F87">
            <w:pPr>
              <w:pStyle w:val="TableText"/>
              <w:jc w:val="center"/>
              <w:rPr>
                <w:rFonts w:ascii="Arial" w:hAnsi="Arial" w:cs="Arial"/>
                <w:b/>
                <w:bCs/>
                <w:sz w:val="18"/>
                <w:lang w:val="en-AU"/>
              </w:rPr>
            </w:pPr>
            <w:r w:rsidRPr="002430F3">
              <w:rPr>
                <w:rFonts w:ascii="Arial" w:hAnsi="Arial" w:cs="Arial"/>
                <w:b/>
                <w:bCs/>
                <w:sz w:val="18"/>
                <w:lang w:val="en-AU"/>
              </w:rPr>
              <w:t>N=170</w:t>
            </w:r>
          </w:p>
        </w:tc>
        <w:tc>
          <w:tcPr>
            <w:tcW w:w="1853" w:type="dxa"/>
            <w:vAlign w:val="center"/>
          </w:tcPr>
          <w:p w:rsidR="00E44F87" w:rsidRPr="002430F3" w:rsidRDefault="00E44F87">
            <w:pPr>
              <w:pStyle w:val="TableText"/>
              <w:jc w:val="center"/>
              <w:rPr>
                <w:rFonts w:ascii="Arial" w:hAnsi="Arial" w:cs="Arial"/>
                <w:b/>
                <w:bCs/>
                <w:sz w:val="18"/>
                <w:lang w:val="en-AU"/>
              </w:rPr>
            </w:pPr>
            <w:r w:rsidRPr="002430F3">
              <w:rPr>
                <w:rFonts w:ascii="Arial" w:hAnsi="Arial" w:cs="Arial"/>
                <w:b/>
                <w:bCs/>
                <w:sz w:val="18"/>
                <w:lang w:val="en-AU"/>
              </w:rPr>
              <w:t>N=172</w:t>
            </w:r>
          </w:p>
        </w:tc>
        <w:tc>
          <w:tcPr>
            <w:tcW w:w="1790" w:type="dxa"/>
            <w:vAlign w:val="center"/>
          </w:tcPr>
          <w:p w:rsidR="00E44F87" w:rsidRPr="002430F3" w:rsidRDefault="00E44F87">
            <w:pPr>
              <w:pStyle w:val="TableText"/>
              <w:jc w:val="center"/>
              <w:rPr>
                <w:rFonts w:ascii="Arial" w:hAnsi="Arial" w:cs="Arial"/>
                <w:b/>
                <w:bCs/>
                <w:sz w:val="18"/>
                <w:lang w:val="en-AU"/>
              </w:rPr>
            </w:pPr>
            <w:r w:rsidRPr="002430F3">
              <w:rPr>
                <w:rFonts w:ascii="Arial" w:hAnsi="Arial" w:cs="Arial"/>
                <w:b/>
                <w:bCs/>
                <w:sz w:val="18"/>
                <w:lang w:val="en-AU"/>
              </w:rPr>
              <w:t>N=157</w:t>
            </w:r>
          </w:p>
        </w:tc>
      </w:tr>
      <w:tr w:rsidR="00E44F87" w:rsidRPr="002430F3">
        <w:tc>
          <w:tcPr>
            <w:tcW w:w="3539" w:type="dxa"/>
          </w:tcPr>
          <w:p w:rsidR="00E44F87" w:rsidRPr="002430F3" w:rsidRDefault="00E44F87">
            <w:pPr>
              <w:pStyle w:val="TableText"/>
              <w:rPr>
                <w:rFonts w:ascii="Arial" w:hAnsi="Arial" w:cs="Arial"/>
                <w:sz w:val="18"/>
                <w:lang w:val="en-AU"/>
              </w:rPr>
            </w:pPr>
            <w:r w:rsidRPr="002430F3">
              <w:rPr>
                <w:rFonts w:ascii="Arial" w:hAnsi="Arial" w:cs="Arial"/>
                <w:sz w:val="18"/>
                <w:lang w:val="en-AU"/>
              </w:rPr>
              <w:t>Clinical remission</w:t>
            </w:r>
          </w:p>
        </w:tc>
        <w:tc>
          <w:tcPr>
            <w:tcW w:w="1674"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17%</w:t>
            </w:r>
          </w:p>
        </w:tc>
        <w:tc>
          <w:tcPr>
            <w:tcW w:w="1853"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40%</w:t>
            </w:r>
            <w:r w:rsidRPr="002430F3">
              <w:rPr>
                <w:rFonts w:ascii="Arial" w:hAnsi="Arial" w:cs="Arial"/>
                <w:sz w:val="18"/>
                <w:vertAlign w:val="superscript"/>
                <w:lang w:val="en-AU"/>
              </w:rPr>
              <w:t>*</w:t>
            </w:r>
          </w:p>
        </w:tc>
        <w:tc>
          <w:tcPr>
            <w:tcW w:w="1790"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47%</w:t>
            </w:r>
            <w:r w:rsidRPr="002430F3">
              <w:rPr>
                <w:rFonts w:ascii="Arial" w:hAnsi="Arial" w:cs="Arial"/>
                <w:sz w:val="18"/>
                <w:vertAlign w:val="superscript"/>
                <w:lang w:val="en-AU"/>
              </w:rPr>
              <w:t>*</w:t>
            </w:r>
          </w:p>
        </w:tc>
      </w:tr>
      <w:tr w:rsidR="00E44F87" w:rsidRPr="002430F3">
        <w:tc>
          <w:tcPr>
            <w:tcW w:w="3539" w:type="dxa"/>
          </w:tcPr>
          <w:p w:rsidR="00E44F87" w:rsidRPr="002430F3" w:rsidRDefault="00E44F87">
            <w:pPr>
              <w:pStyle w:val="TableText"/>
              <w:rPr>
                <w:rFonts w:ascii="Arial" w:hAnsi="Arial" w:cs="Arial"/>
                <w:sz w:val="18"/>
                <w:lang w:val="en-AU"/>
              </w:rPr>
            </w:pPr>
            <w:r w:rsidRPr="002430F3">
              <w:rPr>
                <w:rFonts w:ascii="Arial" w:hAnsi="Arial" w:cs="Arial"/>
                <w:sz w:val="18"/>
                <w:lang w:val="en-AU"/>
              </w:rPr>
              <w:t>Clinical response (CR-100)</w:t>
            </w:r>
          </w:p>
        </w:tc>
        <w:tc>
          <w:tcPr>
            <w:tcW w:w="1674"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27%</w:t>
            </w:r>
          </w:p>
        </w:tc>
        <w:tc>
          <w:tcPr>
            <w:tcW w:w="1853"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52%</w:t>
            </w:r>
            <w:r w:rsidRPr="002430F3">
              <w:rPr>
                <w:rFonts w:ascii="Arial" w:hAnsi="Arial" w:cs="Arial"/>
                <w:sz w:val="18"/>
                <w:vertAlign w:val="superscript"/>
                <w:lang w:val="en-AU"/>
              </w:rPr>
              <w:t>*</w:t>
            </w:r>
          </w:p>
        </w:tc>
        <w:tc>
          <w:tcPr>
            <w:tcW w:w="1790"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52%</w:t>
            </w:r>
            <w:r w:rsidRPr="002430F3">
              <w:rPr>
                <w:rFonts w:ascii="Arial" w:hAnsi="Arial" w:cs="Arial"/>
                <w:sz w:val="18"/>
                <w:vertAlign w:val="superscript"/>
                <w:lang w:val="en-AU"/>
              </w:rPr>
              <w:t>*</w:t>
            </w:r>
          </w:p>
        </w:tc>
      </w:tr>
      <w:tr w:rsidR="00E44F87" w:rsidRPr="002430F3">
        <w:tc>
          <w:tcPr>
            <w:tcW w:w="3539" w:type="dxa"/>
          </w:tcPr>
          <w:p w:rsidR="00E44F87" w:rsidRPr="002430F3" w:rsidRDefault="00E44F87">
            <w:pPr>
              <w:pStyle w:val="TableText"/>
              <w:rPr>
                <w:rFonts w:ascii="Arial" w:hAnsi="Arial" w:cs="Arial"/>
                <w:sz w:val="18"/>
                <w:lang w:val="en-AU"/>
              </w:rPr>
            </w:pPr>
            <w:r w:rsidRPr="002430F3">
              <w:rPr>
                <w:rFonts w:ascii="Arial" w:hAnsi="Arial" w:cs="Arial"/>
                <w:sz w:val="18"/>
                <w:lang w:val="en-AU"/>
              </w:rPr>
              <w:t>Clinical response (CR-70)</w:t>
            </w:r>
          </w:p>
        </w:tc>
        <w:tc>
          <w:tcPr>
            <w:tcW w:w="1674"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28%</w:t>
            </w:r>
          </w:p>
        </w:tc>
        <w:tc>
          <w:tcPr>
            <w:tcW w:w="1853"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54%</w:t>
            </w:r>
            <w:r w:rsidRPr="002430F3">
              <w:rPr>
                <w:rFonts w:ascii="Arial" w:hAnsi="Arial" w:cs="Arial"/>
                <w:sz w:val="18"/>
                <w:vertAlign w:val="superscript"/>
                <w:lang w:val="en-AU"/>
              </w:rPr>
              <w:t>*</w:t>
            </w:r>
          </w:p>
        </w:tc>
        <w:tc>
          <w:tcPr>
            <w:tcW w:w="1790"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56%</w:t>
            </w:r>
            <w:r w:rsidRPr="002430F3">
              <w:rPr>
                <w:rFonts w:ascii="Arial" w:hAnsi="Arial" w:cs="Arial"/>
                <w:sz w:val="18"/>
                <w:vertAlign w:val="superscript"/>
                <w:lang w:val="en-AU"/>
              </w:rPr>
              <w:t>*</w:t>
            </w:r>
          </w:p>
        </w:tc>
      </w:tr>
      <w:tr w:rsidR="00E44F87" w:rsidRPr="002430F3">
        <w:tc>
          <w:tcPr>
            <w:tcW w:w="3539" w:type="dxa"/>
          </w:tcPr>
          <w:p w:rsidR="00E44F87" w:rsidRPr="002430F3" w:rsidRDefault="00E44F87">
            <w:pPr>
              <w:pStyle w:val="TableText"/>
              <w:ind w:left="360"/>
              <w:rPr>
                <w:rFonts w:ascii="Arial" w:hAnsi="Arial" w:cs="Arial"/>
                <w:sz w:val="18"/>
                <w:lang w:val="en-AU"/>
              </w:rPr>
            </w:pPr>
            <w:r w:rsidRPr="002430F3">
              <w:rPr>
                <w:rFonts w:ascii="Arial" w:hAnsi="Arial" w:cs="Arial"/>
                <w:sz w:val="18"/>
                <w:lang w:val="en-AU"/>
              </w:rPr>
              <w:t xml:space="preserve">Patients in steroid-free remission </w:t>
            </w:r>
            <w:r w:rsidRPr="002430F3">
              <w:rPr>
                <w:rFonts w:ascii="Arial" w:hAnsi="Arial" w:cs="Arial"/>
                <w:sz w:val="18"/>
                <w:lang w:val="en-AU"/>
              </w:rPr>
              <w:br/>
              <w:t xml:space="preserve">for </w:t>
            </w:r>
            <w:r w:rsidRPr="002430F3">
              <w:rPr>
                <w:rFonts w:ascii="Arial" w:hAnsi="Arial" w:cs="Arial"/>
                <w:sz w:val="18"/>
                <w:lang w:val="en-AU"/>
              </w:rPr>
              <w:sym w:font="Symbol" w:char="F0B3"/>
            </w:r>
            <w:r w:rsidRPr="002430F3">
              <w:rPr>
                <w:rFonts w:ascii="Arial" w:hAnsi="Arial" w:cs="Arial"/>
                <w:sz w:val="18"/>
                <w:lang w:val="en-AU"/>
              </w:rPr>
              <w:t xml:space="preserve"> 90 days</w:t>
            </w:r>
            <w:r w:rsidRPr="002430F3">
              <w:rPr>
                <w:rFonts w:ascii="Arial" w:hAnsi="Arial" w:cs="Arial"/>
                <w:sz w:val="18"/>
                <w:vertAlign w:val="superscript"/>
                <w:lang w:val="en-AU"/>
              </w:rPr>
              <w:t>a</w:t>
            </w:r>
          </w:p>
        </w:tc>
        <w:tc>
          <w:tcPr>
            <w:tcW w:w="1674"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3% (2/66)</w:t>
            </w:r>
          </w:p>
        </w:tc>
        <w:tc>
          <w:tcPr>
            <w:tcW w:w="1853"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19% (11/58)</w:t>
            </w:r>
            <w:r w:rsidRPr="002430F3">
              <w:rPr>
                <w:rFonts w:ascii="Arial" w:hAnsi="Arial" w:cs="Arial"/>
                <w:sz w:val="18"/>
                <w:vertAlign w:val="superscript"/>
                <w:lang w:val="en-AU"/>
              </w:rPr>
              <w:t>**</w:t>
            </w:r>
          </w:p>
        </w:tc>
        <w:tc>
          <w:tcPr>
            <w:tcW w:w="1790"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15% (11/74</w:t>
            </w:r>
            <w:r w:rsidRPr="002430F3">
              <w:rPr>
                <w:rFonts w:ascii="Arial" w:hAnsi="Arial" w:cs="Arial"/>
                <w:sz w:val="18"/>
                <w:vertAlign w:val="superscript"/>
                <w:lang w:val="en-AU"/>
              </w:rPr>
              <w:t>)**</w:t>
            </w:r>
          </w:p>
        </w:tc>
      </w:tr>
      <w:tr w:rsidR="00E44F87" w:rsidRPr="002430F3">
        <w:tc>
          <w:tcPr>
            <w:tcW w:w="3539" w:type="dxa"/>
          </w:tcPr>
          <w:p w:rsidR="00E44F87" w:rsidRPr="002430F3" w:rsidRDefault="00E44F87">
            <w:pPr>
              <w:pStyle w:val="TableText"/>
              <w:rPr>
                <w:rFonts w:ascii="Arial" w:hAnsi="Arial" w:cs="Arial"/>
                <w:b/>
                <w:bCs/>
                <w:sz w:val="18"/>
                <w:lang w:val="en-AU"/>
              </w:rPr>
            </w:pPr>
            <w:r w:rsidRPr="002430F3">
              <w:rPr>
                <w:rFonts w:ascii="Arial" w:hAnsi="Arial" w:cs="Arial"/>
                <w:b/>
                <w:bCs/>
                <w:sz w:val="18"/>
                <w:lang w:val="en-AU"/>
              </w:rPr>
              <w:t>Week 56</w:t>
            </w:r>
          </w:p>
        </w:tc>
        <w:tc>
          <w:tcPr>
            <w:tcW w:w="1674" w:type="dxa"/>
            <w:vAlign w:val="center"/>
          </w:tcPr>
          <w:p w:rsidR="00E44F87" w:rsidRPr="002430F3" w:rsidRDefault="00E44F87">
            <w:pPr>
              <w:pStyle w:val="TableText"/>
              <w:jc w:val="center"/>
              <w:rPr>
                <w:rFonts w:ascii="Arial" w:hAnsi="Arial" w:cs="Arial"/>
                <w:b/>
                <w:bCs/>
                <w:sz w:val="18"/>
                <w:lang w:val="en-AU"/>
              </w:rPr>
            </w:pPr>
            <w:r w:rsidRPr="002430F3">
              <w:rPr>
                <w:rFonts w:ascii="Arial" w:hAnsi="Arial" w:cs="Arial"/>
                <w:b/>
                <w:bCs/>
                <w:sz w:val="18"/>
                <w:lang w:val="en-AU"/>
              </w:rPr>
              <w:t>N=170</w:t>
            </w:r>
          </w:p>
        </w:tc>
        <w:tc>
          <w:tcPr>
            <w:tcW w:w="1853" w:type="dxa"/>
            <w:vAlign w:val="center"/>
          </w:tcPr>
          <w:p w:rsidR="00E44F87" w:rsidRPr="002430F3" w:rsidRDefault="00E44F87">
            <w:pPr>
              <w:pStyle w:val="TableText"/>
              <w:jc w:val="center"/>
              <w:rPr>
                <w:rFonts w:ascii="Arial" w:hAnsi="Arial" w:cs="Arial"/>
                <w:b/>
                <w:bCs/>
                <w:sz w:val="18"/>
                <w:lang w:val="en-AU"/>
              </w:rPr>
            </w:pPr>
            <w:r w:rsidRPr="002430F3">
              <w:rPr>
                <w:rFonts w:ascii="Arial" w:hAnsi="Arial" w:cs="Arial"/>
                <w:b/>
                <w:bCs/>
                <w:sz w:val="18"/>
                <w:lang w:val="en-AU"/>
              </w:rPr>
              <w:t>N=172</w:t>
            </w:r>
          </w:p>
        </w:tc>
        <w:tc>
          <w:tcPr>
            <w:tcW w:w="1790" w:type="dxa"/>
            <w:vAlign w:val="center"/>
          </w:tcPr>
          <w:p w:rsidR="00E44F87" w:rsidRPr="002430F3" w:rsidRDefault="00E44F87">
            <w:pPr>
              <w:pStyle w:val="TableText"/>
              <w:jc w:val="center"/>
              <w:rPr>
                <w:rFonts w:ascii="Arial" w:hAnsi="Arial" w:cs="Arial"/>
                <w:b/>
                <w:bCs/>
                <w:sz w:val="18"/>
                <w:lang w:val="en-AU"/>
              </w:rPr>
            </w:pPr>
            <w:r w:rsidRPr="002430F3">
              <w:rPr>
                <w:rFonts w:ascii="Arial" w:hAnsi="Arial" w:cs="Arial"/>
                <w:b/>
                <w:bCs/>
                <w:sz w:val="18"/>
                <w:lang w:val="en-AU"/>
              </w:rPr>
              <w:t>N=157</w:t>
            </w:r>
          </w:p>
        </w:tc>
      </w:tr>
      <w:tr w:rsidR="00E44F87" w:rsidRPr="002430F3">
        <w:tc>
          <w:tcPr>
            <w:tcW w:w="3539" w:type="dxa"/>
          </w:tcPr>
          <w:p w:rsidR="00E44F87" w:rsidRPr="002430F3" w:rsidRDefault="00E44F87">
            <w:pPr>
              <w:pStyle w:val="TableText"/>
              <w:rPr>
                <w:rFonts w:ascii="Arial" w:hAnsi="Arial" w:cs="Arial"/>
                <w:sz w:val="18"/>
                <w:lang w:val="en-AU"/>
              </w:rPr>
            </w:pPr>
            <w:r w:rsidRPr="002430F3">
              <w:rPr>
                <w:rFonts w:ascii="Arial" w:hAnsi="Arial" w:cs="Arial"/>
                <w:sz w:val="18"/>
                <w:lang w:val="en-AU"/>
              </w:rPr>
              <w:t>Clinical remission</w:t>
            </w:r>
          </w:p>
        </w:tc>
        <w:tc>
          <w:tcPr>
            <w:tcW w:w="1674"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12%</w:t>
            </w:r>
          </w:p>
        </w:tc>
        <w:tc>
          <w:tcPr>
            <w:tcW w:w="1853"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36%</w:t>
            </w:r>
            <w:r w:rsidRPr="002430F3">
              <w:rPr>
                <w:rFonts w:ascii="Arial" w:hAnsi="Arial" w:cs="Arial"/>
                <w:sz w:val="18"/>
                <w:vertAlign w:val="superscript"/>
                <w:lang w:val="en-AU"/>
              </w:rPr>
              <w:t>*</w:t>
            </w:r>
          </w:p>
        </w:tc>
        <w:tc>
          <w:tcPr>
            <w:tcW w:w="1790"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41%</w:t>
            </w:r>
            <w:r w:rsidRPr="002430F3">
              <w:rPr>
                <w:rFonts w:ascii="Arial" w:hAnsi="Arial" w:cs="Arial"/>
                <w:sz w:val="18"/>
                <w:vertAlign w:val="superscript"/>
                <w:lang w:val="en-AU"/>
              </w:rPr>
              <w:t>*</w:t>
            </w:r>
          </w:p>
        </w:tc>
      </w:tr>
      <w:tr w:rsidR="00E44F87" w:rsidRPr="002430F3">
        <w:tc>
          <w:tcPr>
            <w:tcW w:w="3539" w:type="dxa"/>
          </w:tcPr>
          <w:p w:rsidR="00E44F87" w:rsidRPr="002430F3" w:rsidRDefault="00E44F87">
            <w:pPr>
              <w:pStyle w:val="TableText"/>
              <w:rPr>
                <w:rFonts w:ascii="Arial" w:hAnsi="Arial" w:cs="Arial"/>
                <w:sz w:val="18"/>
                <w:lang w:val="en-AU"/>
              </w:rPr>
            </w:pPr>
            <w:r w:rsidRPr="002430F3">
              <w:rPr>
                <w:rFonts w:ascii="Arial" w:hAnsi="Arial" w:cs="Arial"/>
                <w:sz w:val="18"/>
                <w:lang w:val="en-AU"/>
              </w:rPr>
              <w:t>Clinical response (CR-100)</w:t>
            </w:r>
          </w:p>
        </w:tc>
        <w:tc>
          <w:tcPr>
            <w:tcW w:w="1674"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17%</w:t>
            </w:r>
          </w:p>
        </w:tc>
        <w:tc>
          <w:tcPr>
            <w:tcW w:w="1853"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41%</w:t>
            </w:r>
            <w:r w:rsidRPr="002430F3">
              <w:rPr>
                <w:rFonts w:ascii="Arial" w:hAnsi="Arial" w:cs="Arial"/>
                <w:sz w:val="18"/>
                <w:vertAlign w:val="superscript"/>
                <w:lang w:val="en-AU"/>
              </w:rPr>
              <w:t>*</w:t>
            </w:r>
          </w:p>
        </w:tc>
        <w:tc>
          <w:tcPr>
            <w:tcW w:w="1790"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48%</w:t>
            </w:r>
            <w:r w:rsidRPr="002430F3">
              <w:rPr>
                <w:rFonts w:ascii="Arial" w:hAnsi="Arial" w:cs="Arial"/>
                <w:sz w:val="18"/>
                <w:vertAlign w:val="superscript"/>
                <w:lang w:val="en-AU"/>
              </w:rPr>
              <w:t>*</w:t>
            </w:r>
          </w:p>
        </w:tc>
      </w:tr>
      <w:tr w:rsidR="00E44F87" w:rsidRPr="002430F3">
        <w:tc>
          <w:tcPr>
            <w:tcW w:w="3539" w:type="dxa"/>
          </w:tcPr>
          <w:p w:rsidR="00E44F87" w:rsidRPr="002430F3" w:rsidRDefault="00E44F87">
            <w:pPr>
              <w:pStyle w:val="TableText"/>
              <w:rPr>
                <w:rFonts w:ascii="Arial" w:hAnsi="Arial" w:cs="Arial"/>
                <w:sz w:val="18"/>
                <w:lang w:val="en-AU"/>
              </w:rPr>
            </w:pPr>
            <w:r w:rsidRPr="002430F3">
              <w:rPr>
                <w:rFonts w:ascii="Arial" w:hAnsi="Arial" w:cs="Arial"/>
                <w:sz w:val="18"/>
                <w:lang w:val="en-AU"/>
              </w:rPr>
              <w:t>Clinical response (CR-70)</w:t>
            </w:r>
          </w:p>
        </w:tc>
        <w:tc>
          <w:tcPr>
            <w:tcW w:w="1674"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18%</w:t>
            </w:r>
          </w:p>
        </w:tc>
        <w:tc>
          <w:tcPr>
            <w:tcW w:w="1853"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43%</w:t>
            </w:r>
            <w:r w:rsidRPr="002430F3">
              <w:rPr>
                <w:rFonts w:ascii="Arial" w:hAnsi="Arial" w:cs="Arial"/>
                <w:sz w:val="18"/>
                <w:vertAlign w:val="superscript"/>
                <w:lang w:val="en-AU"/>
              </w:rPr>
              <w:t>*</w:t>
            </w:r>
          </w:p>
        </w:tc>
        <w:tc>
          <w:tcPr>
            <w:tcW w:w="1790"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49%</w:t>
            </w:r>
            <w:r w:rsidRPr="002430F3">
              <w:rPr>
                <w:rFonts w:ascii="Arial" w:hAnsi="Arial" w:cs="Arial"/>
                <w:sz w:val="18"/>
                <w:vertAlign w:val="superscript"/>
                <w:lang w:val="en-AU"/>
              </w:rPr>
              <w:t>*</w:t>
            </w:r>
          </w:p>
        </w:tc>
      </w:tr>
      <w:tr w:rsidR="00E44F87" w:rsidRPr="002430F3">
        <w:tc>
          <w:tcPr>
            <w:tcW w:w="3539" w:type="dxa"/>
          </w:tcPr>
          <w:p w:rsidR="00E44F87" w:rsidRPr="002430F3" w:rsidRDefault="00E44F87">
            <w:pPr>
              <w:pStyle w:val="TableText"/>
              <w:ind w:left="360"/>
              <w:rPr>
                <w:rFonts w:ascii="Arial" w:hAnsi="Arial" w:cs="Arial"/>
                <w:sz w:val="18"/>
                <w:lang w:val="en-AU"/>
              </w:rPr>
            </w:pPr>
            <w:r w:rsidRPr="002430F3">
              <w:rPr>
                <w:rFonts w:ascii="Arial" w:hAnsi="Arial" w:cs="Arial"/>
                <w:sz w:val="18"/>
                <w:lang w:val="en-AU"/>
              </w:rPr>
              <w:t xml:space="preserve">Patients in steroid-free remission </w:t>
            </w:r>
            <w:r w:rsidRPr="002430F3">
              <w:rPr>
                <w:rFonts w:ascii="Arial" w:hAnsi="Arial" w:cs="Arial"/>
                <w:sz w:val="18"/>
                <w:lang w:val="en-AU"/>
              </w:rPr>
              <w:br/>
              <w:t xml:space="preserve">for </w:t>
            </w:r>
            <w:r w:rsidRPr="002430F3">
              <w:rPr>
                <w:rFonts w:ascii="Arial" w:hAnsi="Arial" w:cs="Arial"/>
                <w:sz w:val="18"/>
                <w:lang w:val="en-AU"/>
              </w:rPr>
              <w:sym w:font="Symbol" w:char="F0B3"/>
            </w:r>
            <w:r w:rsidRPr="002430F3">
              <w:rPr>
                <w:rFonts w:ascii="Arial" w:hAnsi="Arial" w:cs="Arial"/>
                <w:sz w:val="18"/>
                <w:lang w:val="en-AU"/>
              </w:rPr>
              <w:t xml:space="preserve"> 90 days</w:t>
            </w:r>
            <w:r w:rsidRPr="002430F3">
              <w:rPr>
                <w:rFonts w:ascii="Arial" w:hAnsi="Arial" w:cs="Arial"/>
                <w:sz w:val="18"/>
                <w:vertAlign w:val="superscript"/>
                <w:lang w:val="en-AU"/>
              </w:rPr>
              <w:t>a</w:t>
            </w:r>
          </w:p>
        </w:tc>
        <w:tc>
          <w:tcPr>
            <w:tcW w:w="1674"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5% (3/66)</w:t>
            </w:r>
          </w:p>
        </w:tc>
        <w:tc>
          <w:tcPr>
            <w:tcW w:w="1853"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29% (17/58)</w:t>
            </w:r>
            <w:r w:rsidRPr="002430F3">
              <w:rPr>
                <w:rFonts w:ascii="Arial" w:hAnsi="Arial" w:cs="Arial"/>
                <w:sz w:val="18"/>
                <w:vertAlign w:val="superscript"/>
                <w:lang w:val="en-AU"/>
              </w:rPr>
              <w:t>*</w:t>
            </w:r>
          </w:p>
        </w:tc>
        <w:tc>
          <w:tcPr>
            <w:tcW w:w="1790" w:type="dxa"/>
            <w:vAlign w:val="center"/>
          </w:tcPr>
          <w:p w:rsidR="00E44F87" w:rsidRPr="002430F3" w:rsidRDefault="00E44F87">
            <w:pPr>
              <w:pStyle w:val="TableText"/>
              <w:jc w:val="center"/>
              <w:rPr>
                <w:rFonts w:ascii="Arial" w:hAnsi="Arial" w:cs="Arial"/>
                <w:sz w:val="18"/>
                <w:lang w:val="en-AU"/>
              </w:rPr>
            </w:pPr>
            <w:r w:rsidRPr="002430F3">
              <w:rPr>
                <w:rFonts w:ascii="Arial" w:hAnsi="Arial" w:cs="Arial"/>
                <w:sz w:val="18"/>
                <w:lang w:val="en-AU"/>
              </w:rPr>
              <w:t>20% (15/74)</w:t>
            </w:r>
            <w:r w:rsidRPr="002430F3">
              <w:rPr>
                <w:rFonts w:ascii="Arial" w:hAnsi="Arial" w:cs="Arial"/>
                <w:sz w:val="18"/>
                <w:vertAlign w:val="superscript"/>
                <w:lang w:val="en-AU"/>
              </w:rPr>
              <w:t>**</w:t>
            </w:r>
          </w:p>
        </w:tc>
      </w:tr>
      <w:tr w:rsidR="00E44F87" w:rsidRPr="002430F3">
        <w:trPr>
          <w:cantSplit/>
        </w:trPr>
        <w:tc>
          <w:tcPr>
            <w:tcW w:w="8856" w:type="dxa"/>
            <w:gridSpan w:val="4"/>
            <w:tcBorders>
              <w:left w:val="nil"/>
              <w:right w:val="nil"/>
            </w:tcBorders>
          </w:tcPr>
          <w:p w:rsidR="00E44F87" w:rsidRPr="002430F3" w:rsidRDefault="00E44F87">
            <w:pPr>
              <w:pStyle w:val="TableText"/>
              <w:spacing w:before="0" w:after="0" w:line="240" w:lineRule="auto"/>
              <w:ind w:left="357"/>
              <w:rPr>
                <w:rFonts w:ascii="Arial" w:hAnsi="Arial" w:cs="Arial"/>
                <w:sz w:val="18"/>
                <w:vertAlign w:val="superscript"/>
                <w:lang w:val="en-AU"/>
              </w:rPr>
            </w:pPr>
            <w:r w:rsidRPr="002430F3">
              <w:rPr>
                <w:rFonts w:ascii="Arial" w:hAnsi="Arial" w:cs="Arial"/>
                <w:sz w:val="18"/>
                <w:lang w:val="en-AU"/>
              </w:rPr>
              <w:t>Clinical remission is CDAI score &lt;150; clinical response (CR-100) is decrease in CDAI ≥ 100 points; clinical response (CR-70) is decrease in CDAI ≥ 70 points</w:t>
            </w:r>
            <w:r w:rsidRPr="002430F3">
              <w:rPr>
                <w:rFonts w:ascii="Arial" w:hAnsi="Arial" w:cs="Arial"/>
                <w:sz w:val="18"/>
                <w:vertAlign w:val="superscript"/>
                <w:lang w:val="en-AU"/>
              </w:rPr>
              <w:t xml:space="preserve"> </w:t>
            </w:r>
          </w:p>
          <w:p w:rsidR="00E44F87" w:rsidRPr="002430F3" w:rsidRDefault="00E44F87">
            <w:pPr>
              <w:pStyle w:val="TableText"/>
              <w:spacing w:before="0" w:after="0" w:line="240" w:lineRule="auto"/>
              <w:ind w:left="357"/>
              <w:rPr>
                <w:rFonts w:ascii="Arial" w:hAnsi="Arial" w:cs="Arial"/>
                <w:sz w:val="18"/>
                <w:lang w:val="en-AU"/>
              </w:rPr>
            </w:pPr>
            <w:r w:rsidRPr="002430F3">
              <w:rPr>
                <w:rFonts w:ascii="Arial" w:hAnsi="Arial" w:cs="Arial"/>
                <w:sz w:val="18"/>
                <w:vertAlign w:val="superscript"/>
                <w:lang w:val="en-AU"/>
              </w:rPr>
              <w:t>*</w:t>
            </w:r>
            <w:r w:rsidRPr="002430F3">
              <w:rPr>
                <w:rFonts w:ascii="Arial" w:hAnsi="Arial" w:cs="Arial"/>
                <w:sz w:val="18"/>
                <w:lang w:val="en-AU"/>
              </w:rPr>
              <w:tab/>
              <w:t xml:space="preserve">p&lt;0.001 for Humira </w:t>
            </w:r>
            <w:r w:rsidRPr="002430F3">
              <w:rPr>
                <w:rFonts w:ascii="Arial" w:hAnsi="Arial" w:cs="Arial"/>
                <w:i/>
                <w:iCs/>
                <w:sz w:val="18"/>
                <w:lang w:val="en-AU"/>
              </w:rPr>
              <w:t>vs</w:t>
            </w:r>
            <w:r w:rsidRPr="002430F3">
              <w:rPr>
                <w:rFonts w:ascii="Arial" w:hAnsi="Arial" w:cs="Arial"/>
                <w:sz w:val="18"/>
                <w:lang w:val="en-AU"/>
              </w:rPr>
              <w:t>. placebo pairwise comparisons of proportions</w:t>
            </w:r>
          </w:p>
          <w:p w:rsidR="00E44F87" w:rsidRPr="002430F3" w:rsidRDefault="00E44F87">
            <w:pPr>
              <w:pStyle w:val="TableText"/>
              <w:spacing w:before="0" w:after="0" w:line="240" w:lineRule="auto"/>
              <w:ind w:left="357"/>
              <w:rPr>
                <w:rFonts w:ascii="Arial" w:hAnsi="Arial" w:cs="Arial"/>
                <w:sz w:val="18"/>
                <w:lang w:val="en-AU"/>
              </w:rPr>
            </w:pPr>
            <w:r w:rsidRPr="002430F3">
              <w:rPr>
                <w:rFonts w:ascii="Arial" w:hAnsi="Arial" w:cs="Arial"/>
                <w:sz w:val="18"/>
                <w:vertAlign w:val="superscript"/>
                <w:lang w:val="en-AU"/>
              </w:rPr>
              <w:t>**</w:t>
            </w:r>
            <w:r w:rsidRPr="002430F3">
              <w:rPr>
                <w:rFonts w:ascii="Arial" w:hAnsi="Arial" w:cs="Arial"/>
                <w:sz w:val="18"/>
                <w:lang w:val="en-AU"/>
              </w:rPr>
              <w:tab/>
              <w:t xml:space="preserve">p&lt;0.02 for Humira </w:t>
            </w:r>
            <w:r w:rsidRPr="002430F3">
              <w:rPr>
                <w:rFonts w:ascii="Arial" w:hAnsi="Arial" w:cs="Arial"/>
                <w:i/>
                <w:iCs/>
                <w:sz w:val="18"/>
                <w:lang w:val="en-AU"/>
              </w:rPr>
              <w:t>vs</w:t>
            </w:r>
            <w:r w:rsidRPr="002430F3">
              <w:rPr>
                <w:rFonts w:ascii="Arial" w:hAnsi="Arial" w:cs="Arial"/>
                <w:sz w:val="18"/>
                <w:lang w:val="en-AU"/>
              </w:rPr>
              <w:t>. placebo pairwise comparisons of proportions</w:t>
            </w:r>
          </w:p>
          <w:p w:rsidR="00E44F87" w:rsidRPr="002430F3" w:rsidRDefault="00E44F87">
            <w:pPr>
              <w:pStyle w:val="TableText"/>
              <w:spacing w:before="0" w:after="0" w:line="240" w:lineRule="auto"/>
              <w:ind w:left="357"/>
              <w:rPr>
                <w:rFonts w:ascii="Arial" w:hAnsi="Arial" w:cs="Arial"/>
                <w:sz w:val="18"/>
                <w:lang w:val="en-AU"/>
              </w:rPr>
            </w:pPr>
            <w:r w:rsidRPr="002430F3">
              <w:rPr>
                <w:rFonts w:ascii="Arial" w:hAnsi="Arial" w:cs="Arial"/>
                <w:sz w:val="18"/>
                <w:vertAlign w:val="superscript"/>
                <w:lang w:val="en-AU"/>
              </w:rPr>
              <w:t>a</w:t>
            </w:r>
            <w:r w:rsidRPr="002430F3">
              <w:rPr>
                <w:rFonts w:ascii="Arial" w:hAnsi="Arial" w:cs="Arial"/>
                <w:sz w:val="18"/>
                <w:vertAlign w:val="superscript"/>
                <w:lang w:val="en-AU"/>
              </w:rPr>
              <w:tab/>
            </w:r>
            <w:r w:rsidRPr="002430F3">
              <w:rPr>
                <w:rFonts w:ascii="Arial" w:hAnsi="Arial" w:cs="Arial"/>
                <w:sz w:val="18"/>
                <w:lang w:val="en-AU"/>
              </w:rPr>
              <w:t>Of those receiving corticosteroids at baseline</w:t>
            </w:r>
          </w:p>
        </w:tc>
      </w:tr>
    </w:tbl>
    <w:p w:rsidR="00E44F87" w:rsidRDefault="00E44F87">
      <w:pPr>
        <w:autoSpaceDE w:val="0"/>
        <w:autoSpaceDN w:val="0"/>
        <w:adjustRightInd w:val="0"/>
        <w:jc w:val="both"/>
        <w:rPr>
          <w:rFonts w:ascii="Arial" w:hAnsi="Arial" w:cs="Arial"/>
          <w:sz w:val="16"/>
          <w:szCs w:val="22"/>
        </w:rPr>
      </w:pPr>
    </w:p>
    <w:p w:rsidR="00131BDA" w:rsidRDefault="00131BDA" w:rsidP="00131BDA">
      <w:pPr>
        <w:autoSpaceDE w:val="0"/>
        <w:autoSpaceDN w:val="0"/>
        <w:adjustRightInd w:val="0"/>
        <w:jc w:val="both"/>
        <w:rPr>
          <w:rFonts w:ascii="Arial" w:hAnsi="Arial" w:cs="Arial"/>
          <w:sz w:val="20"/>
        </w:rPr>
      </w:pPr>
    </w:p>
    <w:p w:rsidR="00131BDA" w:rsidRDefault="00131BDA" w:rsidP="00131BDA">
      <w:pPr>
        <w:autoSpaceDE w:val="0"/>
        <w:autoSpaceDN w:val="0"/>
        <w:adjustRightInd w:val="0"/>
        <w:jc w:val="both"/>
        <w:rPr>
          <w:rFonts w:ascii="Arial" w:hAnsi="Arial" w:cs="Arial"/>
          <w:sz w:val="16"/>
          <w:szCs w:val="22"/>
        </w:rPr>
      </w:pPr>
      <w:r w:rsidRPr="00A93BF7">
        <w:rPr>
          <w:rFonts w:ascii="Arial" w:hAnsi="Arial" w:cs="Arial"/>
          <w:sz w:val="20"/>
        </w:rPr>
        <w:t>117/854 patients had draining fistulas both at screening and at baseline.  For the assessment of fistula healing, the data for both doses of adalimumab used in the study were pooled. The proportion of subjects</w:t>
      </w:r>
      <w:r>
        <w:rPr>
          <w:rFonts w:ascii="Arial" w:hAnsi="Arial" w:cs="Arial"/>
          <w:sz w:val="20"/>
        </w:rPr>
        <w:t xml:space="preserve"> </w:t>
      </w:r>
      <w:r w:rsidRPr="00117C5A">
        <w:rPr>
          <w:rFonts w:ascii="Arial" w:hAnsi="Arial" w:cs="Arial"/>
          <w:sz w:val="20"/>
        </w:rPr>
        <w:t>(ITT population</w:t>
      </w:r>
      <w:r w:rsidR="00916155" w:rsidRPr="00117C5A">
        <w:rPr>
          <w:rFonts w:ascii="Arial" w:hAnsi="Arial" w:cs="Arial"/>
          <w:sz w:val="20"/>
        </w:rPr>
        <w:t xml:space="preserve">) </w:t>
      </w:r>
      <w:r w:rsidR="00916155" w:rsidRPr="00A93BF7">
        <w:rPr>
          <w:rFonts w:ascii="Arial" w:hAnsi="Arial" w:cs="Arial"/>
          <w:sz w:val="20"/>
        </w:rPr>
        <w:t>with</w:t>
      </w:r>
      <w:r w:rsidRPr="00A93BF7">
        <w:rPr>
          <w:rFonts w:ascii="Arial" w:hAnsi="Arial" w:cs="Arial"/>
          <w:sz w:val="20"/>
        </w:rPr>
        <w:t xml:space="preserve"> fistula healing at Week 26 was statistically significantly greater in patients treated with adalimumab [21/70 (30.0%)] compared to placebo [6/47 (12.8%)]. Complete fistula healing was maintained through Week 56 in 23/70 (32.9%) and 6/47 (12.8%) </w:t>
      </w:r>
      <w:r w:rsidRPr="00117C5A">
        <w:rPr>
          <w:rFonts w:ascii="Arial" w:hAnsi="Arial" w:cs="Arial"/>
          <w:sz w:val="20"/>
        </w:rPr>
        <w:t>patients (ITT population) in</w:t>
      </w:r>
      <w:r w:rsidRPr="00A93BF7">
        <w:rPr>
          <w:rFonts w:ascii="Arial" w:hAnsi="Arial" w:cs="Arial"/>
          <w:sz w:val="20"/>
        </w:rPr>
        <w:t xml:space="preserve"> the adalimumab and placebo groups, respectively</w:t>
      </w:r>
      <w:r w:rsidRPr="00726607" w:rsidDel="00A93BF7">
        <w:rPr>
          <w:rFonts w:ascii="Arial" w:hAnsi="Arial" w:cs="Arial"/>
          <w:sz w:val="20"/>
        </w:rPr>
        <w:t xml:space="preserve"> </w:t>
      </w:r>
    </w:p>
    <w:p w:rsidR="00131BDA" w:rsidRDefault="00131BDA" w:rsidP="00131BDA">
      <w:pPr>
        <w:autoSpaceDE w:val="0"/>
        <w:autoSpaceDN w:val="0"/>
        <w:adjustRightInd w:val="0"/>
        <w:jc w:val="both"/>
        <w:rPr>
          <w:rFonts w:ascii="Arial" w:hAnsi="Arial" w:cs="Arial"/>
          <w:sz w:val="16"/>
          <w:szCs w:val="22"/>
        </w:rPr>
      </w:pPr>
    </w:p>
    <w:p w:rsidR="00131BDA" w:rsidRPr="002D09C5" w:rsidRDefault="00131BDA" w:rsidP="00131BDA">
      <w:pPr>
        <w:autoSpaceDE w:val="0"/>
        <w:autoSpaceDN w:val="0"/>
        <w:adjustRightInd w:val="0"/>
        <w:jc w:val="both"/>
        <w:rPr>
          <w:rFonts w:ascii="Arial" w:hAnsi="Arial" w:cs="Arial"/>
          <w:sz w:val="20"/>
        </w:rPr>
      </w:pPr>
      <w:r w:rsidRPr="002D09C5">
        <w:rPr>
          <w:rFonts w:ascii="Arial" w:hAnsi="Arial" w:cs="Arial"/>
          <w:sz w:val="20"/>
        </w:rPr>
        <w:t>117/276 patients from CD study I and 272/777 patients from CD studies II and III were followed through at least 3 years of open-label adalimumab therapy.  88 (75.2%) and 189 (69.5%) patients, respectively, continued to be in clinical remission.  Clinical response (CR-100) was maintained in 102 (87.2%) and 233 (85.7%) patients, respectively.</w:t>
      </w:r>
    </w:p>
    <w:p w:rsidR="00131BDA" w:rsidRPr="002D09C5" w:rsidRDefault="00131BDA" w:rsidP="00131BDA">
      <w:pPr>
        <w:autoSpaceDE w:val="0"/>
        <w:autoSpaceDN w:val="0"/>
        <w:adjustRightInd w:val="0"/>
        <w:jc w:val="both"/>
        <w:rPr>
          <w:rFonts w:ascii="Arial" w:hAnsi="Arial" w:cs="Arial"/>
          <w:sz w:val="20"/>
        </w:rPr>
      </w:pPr>
      <w:r w:rsidRPr="002D09C5">
        <w:rPr>
          <w:rFonts w:ascii="Arial" w:hAnsi="Arial" w:cs="Arial"/>
          <w:sz w:val="20"/>
        </w:rPr>
        <w:t xml:space="preserve">  </w:t>
      </w:r>
    </w:p>
    <w:p w:rsidR="00131BDA" w:rsidRPr="00D61A8E" w:rsidRDefault="00131BDA" w:rsidP="00131BDA">
      <w:pPr>
        <w:autoSpaceDE w:val="0"/>
        <w:autoSpaceDN w:val="0"/>
        <w:adjustRightInd w:val="0"/>
        <w:jc w:val="both"/>
        <w:rPr>
          <w:rFonts w:ascii="Arial" w:hAnsi="Arial" w:cs="Arial"/>
          <w:bCs/>
          <w:iCs/>
          <w:sz w:val="20"/>
          <w:lang w:val="en-US"/>
        </w:rPr>
      </w:pPr>
      <w:r w:rsidRPr="00632166">
        <w:rPr>
          <w:rFonts w:ascii="Arial" w:hAnsi="Arial" w:cs="Arial"/>
          <w:sz w:val="20"/>
        </w:rPr>
        <w:t>An endoscopy study (n</w:t>
      </w:r>
      <w:r>
        <w:rPr>
          <w:rFonts w:ascii="Arial" w:hAnsi="Arial" w:cs="Arial"/>
          <w:sz w:val="20"/>
        </w:rPr>
        <w:t>=</w:t>
      </w:r>
      <w:r w:rsidRPr="00632166">
        <w:rPr>
          <w:rFonts w:ascii="Arial" w:hAnsi="Arial" w:cs="Arial"/>
          <w:sz w:val="20"/>
        </w:rPr>
        <w:t>135) assessed rates of</w:t>
      </w:r>
      <w:r>
        <w:rPr>
          <w:rFonts w:ascii="Arial" w:hAnsi="Arial" w:cs="Arial"/>
          <w:sz w:val="20"/>
        </w:rPr>
        <w:t xml:space="preserve"> </w:t>
      </w:r>
      <w:r w:rsidRPr="00632166">
        <w:rPr>
          <w:rFonts w:ascii="Arial" w:hAnsi="Arial" w:cs="Arial"/>
          <w:sz w:val="20"/>
        </w:rPr>
        <w:t>mucosal healing in patients with moderate to</w:t>
      </w:r>
      <w:r>
        <w:rPr>
          <w:rFonts w:ascii="Arial" w:hAnsi="Arial" w:cs="Arial"/>
          <w:sz w:val="20"/>
        </w:rPr>
        <w:t xml:space="preserve"> severe Crohn’s </w:t>
      </w:r>
      <w:r w:rsidRPr="00632166">
        <w:rPr>
          <w:rFonts w:ascii="Arial" w:hAnsi="Arial" w:cs="Arial"/>
          <w:sz w:val="20"/>
        </w:rPr>
        <w:t>Disease given either adalimumab or placebo. After 8 weeks of</w:t>
      </w:r>
      <w:r>
        <w:rPr>
          <w:rFonts w:ascii="Arial" w:hAnsi="Arial" w:cs="Arial"/>
          <w:sz w:val="20"/>
        </w:rPr>
        <w:t xml:space="preserve"> </w:t>
      </w:r>
      <w:r w:rsidRPr="00632166">
        <w:rPr>
          <w:rFonts w:ascii="Arial" w:hAnsi="Arial" w:cs="Arial"/>
          <w:sz w:val="20"/>
        </w:rPr>
        <w:t>randomised</w:t>
      </w:r>
      <w:r>
        <w:rPr>
          <w:rFonts w:ascii="Arial" w:hAnsi="Arial" w:cs="Arial"/>
          <w:sz w:val="20"/>
        </w:rPr>
        <w:t xml:space="preserve"> </w:t>
      </w:r>
      <w:r w:rsidRPr="00632166">
        <w:rPr>
          <w:rFonts w:ascii="Arial" w:hAnsi="Arial" w:cs="Arial"/>
          <w:sz w:val="20"/>
        </w:rPr>
        <w:t>treatment (Week 12 of</w:t>
      </w:r>
      <w:r>
        <w:rPr>
          <w:rFonts w:ascii="Arial" w:hAnsi="Arial" w:cs="Arial"/>
          <w:sz w:val="20"/>
        </w:rPr>
        <w:t xml:space="preserve"> </w:t>
      </w:r>
      <w:r w:rsidRPr="00632166">
        <w:rPr>
          <w:rFonts w:ascii="Arial" w:hAnsi="Arial" w:cs="Arial"/>
          <w:sz w:val="20"/>
        </w:rPr>
        <w:t>study) there was a trend towards higher levels of</w:t>
      </w:r>
      <w:r>
        <w:rPr>
          <w:rFonts w:ascii="Arial" w:hAnsi="Arial" w:cs="Arial"/>
          <w:sz w:val="20"/>
        </w:rPr>
        <w:t xml:space="preserve"> </w:t>
      </w:r>
      <w:r w:rsidRPr="00632166">
        <w:rPr>
          <w:rFonts w:ascii="Arial" w:hAnsi="Arial" w:cs="Arial"/>
          <w:sz w:val="20"/>
        </w:rPr>
        <w:t>mucosal healing in</w:t>
      </w:r>
      <w:r>
        <w:rPr>
          <w:rFonts w:ascii="Arial" w:hAnsi="Arial" w:cs="Arial"/>
          <w:sz w:val="20"/>
        </w:rPr>
        <w:t xml:space="preserve"> </w:t>
      </w:r>
      <w:r w:rsidRPr="00632166">
        <w:rPr>
          <w:rFonts w:ascii="Arial" w:hAnsi="Arial" w:cs="Arial"/>
          <w:sz w:val="20"/>
        </w:rPr>
        <w:t>subjects given adalimumab compared with subjects given placebo but the differences were not</w:t>
      </w:r>
      <w:r>
        <w:rPr>
          <w:rFonts w:ascii="Arial" w:hAnsi="Arial" w:cs="Arial"/>
          <w:sz w:val="20"/>
        </w:rPr>
        <w:t xml:space="preserve"> </w:t>
      </w:r>
      <w:r w:rsidRPr="00632166">
        <w:rPr>
          <w:rFonts w:ascii="Arial" w:hAnsi="Arial" w:cs="Arial"/>
          <w:sz w:val="20"/>
        </w:rPr>
        <w:t>statistically significant (healing in 27.4%</w:t>
      </w:r>
      <w:r>
        <w:rPr>
          <w:rFonts w:ascii="Arial" w:hAnsi="Arial" w:cs="Arial"/>
          <w:sz w:val="20"/>
        </w:rPr>
        <w:t xml:space="preserve"> </w:t>
      </w:r>
      <w:r w:rsidRPr="00117C5A">
        <w:rPr>
          <w:rFonts w:ascii="Arial" w:hAnsi="Arial" w:cs="Arial"/>
          <w:sz w:val="20"/>
        </w:rPr>
        <w:t>(17/62)</w:t>
      </w:r>
      <w:r>
        <w:rPr>
          <w:rFonts w:ascii="Arial" w:hAnsi="Arial" w:cs="Arial"/>
          <w:sz w:val="20"/>
        </w:rPr>
        <w:t xml:space="preserve"> </w:t>
      </w:r>
      <w:r w:rsidRPr="00632166">
        <w:rPr>
          <w:rFonts w:ascii="Arial" w:hAnsi="Arial" w:cs="Arial"/>
          <w:sz w:val="20"/>
        </w:rPr>
        <w:t xml:space="preserve">adalimumab </w:t>
      </w:r>
      <w:r>
        <w:rPr>
          <w:rFonts w:ascii="Arial" w:hAnsi="Arial" w:cs="Arial"/>
          <w:sz w:val="20"/>
        </w:rPr>
        <w:t>vs</w:t>
      </w:r>
      <w:r w:rsidRPr="00632166">
        <w:rPr>
          <w:rFonts w:ascii="Arial" w:hAnsi="Arial" w:cs="Arial"/>
          <w:sz w:val="20"/>
        </w:rPr>
        <w:t xml:space="preserve"> 13.1% </w:t>
      </w:r>
      <w:r w:rsidRPr="00117C5A">
        <w:rPr>
          <w:rFonts w:ascii="Arial" w:hAnsi="Arial" w:cs="Arial"/>
          <w:sz w:val="20"/>
        </w:rPr>
        <w:t>(8/61)</w:t>
      </w:r>
      <w:r>
        <w:rPr>
          <w:rFonts w:ascii="Arial" w:hAnsi="Arial" w:cs="Arial"/>
          <w:sz w:val="20"/>
        </w:rPr>
        <w:t xml:space="preserve"> </w:t>
      </w:r>
      <w:r w:rsidRPr="00632166">
        <w:rPr>
          <w:rFonts w:ascii="Arial" w:hAnsi="Arial" w:cs="Arial"/>
          <w:sz w:val="20"/>
        </w:rPr>
        <w:t>given placebo</w:t>
      </w:r>
      <w:r>
        <w:rPr>
          <w:rFonts w:ascii="Arial" w:hAnsi="Arial" w:cs="Arial"/>
          <w:sz w:val="20"/>
        </w:rPr>
        <w:t>; p = 0.056</w:t>
      </w:r>
      <w:r w:rsidRPr="00632166">
        <w:rPr>
          <w:rFonts w:ascii="Arial" w:hAnsi="Arial" w:cs="Arial"/>
          <w:sz w:val="20"/>
        </w:rPr>
        <w:t xml:space="preserve">). </w:t>
      </w:r>
      <w:r w:rsidRPr="00D61A8E">
        <w:rPr>
          <w:rFonts w:ascii="Arial" w:hAnsi="Arial" w:cs="Arial"/>
          <w:bCs/>
          <w:iCs/>
          <w:sz w:val="20"/>
          <w:lang w:val="en-US"/>
        </w:rPr>
        <w:t>Subjects who continued randomised adalimumab for 52 weeks</w:t>
      </w:r>
      <w:r>
        <w:rPr>
          <w:rFonts w:ascii="Arial" w:hAnsi="Arial" w:cs="Arial"/>
          <w:bCs/>
          <w:iCs/>
          <w:sz w:val="20"/>
          <w:lang w:val="en-US"/>
        </w:rPr>
        <w:t xml:space="preserve"> </w:t>
      </w:r>
      <w:r w:rsidRPr="00117C5A">
        <w:rPr>
          <w:rFonts w:ascii="Arial" w:hAnsi="Arial" w:cs="Arial"/>
          <w:sz w:val="20"/>
        </w:rPr>
        <w:t>(n=135)</w:t>
      </w:r>
      <w:r w:rsidRPr="00632166">
        <w:rPr>
          <w:rFonts w:ascii="Arial" w:hAnsi="Arial" w:cs="Arial"/>
          <w:sz w:val="20"/>
        </w:rPr>
        <w:t xml:space="preserve"> </w:t>
      </w:r>
      <w:r w:rsidRPr="00D61A8E">
        <w:rPr>
          <w:rFonts w:ascii="Arial" w:hAnsi="Arial" w:cs="Arial"/>
          <w:bCs/>
          <w:iCs/>
          <w:sz w:val="20"/>
          <w:lang w:val="en-US"/>
        </w:rPr>
        <w:t xml:space="preserve">were more likely to experience mucosal healing relative to placebo (healing in 24.2% </w:t>
      </w:r>
      <w:r w:rsidRPr="00117C5A">
        <w:rPr>
          <w:rFonts w:ascii="Arial" w:hAnsi="Arial" w:cs="Arial"/>
          <w:bCs/>
          <w:iCs/>
          <w:sz w:val="20"/>
          <w:lang w:val="en-US"/>
        </w:rPr>
        <w:t>[15/62]</w:t>
      </w:r>
      <w:r>
        <w:rPr>
          <w:rFonts w:ascii="Arial" w:hAnsi="Arial" w:cs="Arial"/>
          <w:bCs/>
          <w:iCs/>
          <w:sz w:val="20"/>
          <w:lang w:val="en-US"/>
        </w:rPr>
        <w:t xml:space="preserve"> </w:t>
      </w:r>
      <w:r w:rsidRPr="00D61A8E">
        <w:rPr>
          <w:rFonts w:ascii="Arial" w:hAnsi="Arial" w:cs="Arial"/>
          <w:bCs/>
          <w:iCs/>
          <w:sz w:val="20"/>
          <w:lang w:val="en-US"/>
        </w:rPr>
        <w:t>adalimumab vs 0%</w:t>
      </w:r>
      <w:r>
        <w:rPr>
          <w:rFonts w:ascii="Arial" w:hAnsi="Arial" w:cs="Arial"/>
          <w:bCs/>
          <w:iCs/>
          <w:sz w:val="20"/>
          <w:lang w:val="en-US"/>
        </w:rPr>
        <w:t xml:space="preserve"> </w:t>
      </w:r>
      <w:r w:rsidRPr="00117C5A">
        <w:rPr>
          <w:rFonts w:ascii="Arial" w:hAnsi="Arial" w:cs="Arial"/>
          <w:bCs/>
          <w:iCs/>
          <w:sz w:val="20"/>
          <w:lang w:val="en-US"/>
        </w:rPr>
        <w:t>[0/61]</w:t>
      </w:r>
      <w:r>
        <w:rPr>
          <w:rFonts w:ascii="Arial" w:hAnsi="Arial" w:cs="Arial"/>
          <w:bCs/>
          <w:iCs/>
          <w:sz w:val="20"/>
          <w:lang w:val="en-US"/>
        </w:rPr>
        <w:t xml:space="preserve"> </w:t>
      </w:r>
      <w:r w:rsidRPr="00D61A8E">
        <w:rPr>
          <w:rFonts w:ascii="Arial" w:hAnsi="Arial" w:cs="Arial"/>
          <w:bCs/>
          <w:iCs/>
          <w:sz w:val="20"/>
          <w:lang w:val="en-US"/>
        </w:rPr>
        <w:t>given placebo; p&lt;0.001)</w:t>
      </w:r>
      <w:r>
        <w:rPr>
          <w:rFonts w:ascii="Arial" w:hAnsi="Arial" w:cs="Arial"/>
          <w:bCs/>
          <w:iCs/>
          <w:sz w:val="20"/>
          <w:lang w:val="en-US"/>
        </w:rPr>
        <w:t>.</w:t>
      </w:r>
    </w:p>
    <w:p w:rsidR="00131BDA" w:rsidRPr="00D61A8E" w:rsidRDefault="00131BDA" w:rsidP="00131BDA">
      <w:pPr>
        <w:autoSpaceDE w:val="0"/>
        <w:autoSpaceDN w:val="0"/>
        <w:adjustRightInd w:val="0"/>
        <w:jc w:val="both"/>
        <w:rPr>
          <w:rFonts w:ascii="Arial" w:hAnsi="Arial" w:cs="Arial"/>
          <w:sz w:val="20"/>
          <w:lang w:val="en-US"/>
        </w:rPr>
      </w:pPr>
    </w:p>
    <w:p w:rsidR="00131BDA" w:rsidRPr="00131BDA" w:rsidRDefault="00131BDA">
      <w:pPr>
        <w:autoSpaceDE w:val="0"/>
        <w:autoSpaceDN w:val="0"/>
        <w:adjustRightInd w:val="0"/>
        <w:jc w:val="both"/>
        <w:rPr>
          <w:rFonts w:ascii="Arial" w:hAnsi="Arial" w:cs="Arial"/>
          <w:sz w:val="16"/>
          <w:szCs w:val="22"/>
          <w:lang w:val="en-US"/>
        </w:rPr>
      </w:pPr>
    </w:p>
    <w:p w:rsidR="00E44F87" w:rsidRDefault="00E44F87">
      <w:pPr>
        <w:pStyle w:val="Heading4"/>
      </w:pPr>
      <w:r>
        <w:lastRenderedPageBreak/>
        <w:t>Figure 5:  Days in Clinical Remission for Patients Who Achieved Clinical Remission in CD Study III</w:t>
      </w:r>
    </w:p>
    <w:p w:rsidR="00E44F87" w:rsidRDefault="00D671D6">
      <w:pPr>
        <w:autoSpaceDE w:val="0"/>
        <w:autoSpaceDN w:val="0"/>
        <w:adjustRightInd w:val="0"/>
        <w:jc w:val="center"/>
        <w:rPr>
          <w:rFonts w:ascii="Arial" w:hAnsi="Arial" w:cs="Arial"/>
          <w:b/>
          <w:bCs/>
          <w:sz w:val="20"/>
          <w:szCs w:val="22"/>
        </w:rPr>
      </w:pPr>
      <w:r>
        <w:rPr>
          <w:rFonts w:ascii="Arial" w:hAnsi="Arial" w:cs="Arial"/>
          <w:b/>
          <w:bCs/>
          <w:noProof/>
          <w:sz w:val="20"/>
          <w:szCs w:val="22"/>
          <w:lang w:eastAsia="en-AU"/>
        </w:rPr>
        <w:drawing>
          <wp:inline distT="0" distB="0" distL="0" distR="0">
            <wp:extent cx="4762500" cy="37274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727450"/>
                    </a:xfrm>
                    <a:prstGeom prst="rect">
                      <a:avLst/>
                    </a:prstGeom>
                    <a:noFill/>
                    <a:ln>
                      <a:noFill/>
                    </a:ln>
                  </pic:spPr>
                </pic:pic>
              </a:graphicData>
            </a:graphic>
          </wp:inline>
        </w:drawing>
      </w:r>
    </w:p>
    <w:p w:rsidR="00E44F87" w:rsidRDefault="00E44F87">
      <w:pPr>
        <w:autoSpaceDE w:val="0"/>
        <w:autoSpaceDN w:val="0"/>
        <w:adjustRightInd w:val="0"/>
        <w:rPr>
          <w:rFonts w:ascii="Arial" w:hAnsi="Arial" w:cs="Arial"/>
          <w:sz w:val="20"/>
          <w:szCs w:val="22"/>
        </w:rPr>
      </w:pPr>
    </w:p>
    <w:p w:rsidR="00E44F87" w:rsidRDefault="00E44F87">
      <w:pPr>
        <w:autoSpaceDE w:val="0"/>
        <w:autoSpaceDN w:val="0"/>
        <w:adjustRightInd w:val="0"/>
        <w:jc w:val="both"/>
        <w:rPr>
          <w:rFonts w:ascii="Arial" w:hAnsi="Arial" w:cs="Arial"/>
          <w:sz w:val="20"/>
          <w:szCs w:val="22"/>
        </w:rPr>
      </w:pPr>
      <w:r>
        <w:rPr>
          <w:rFonts w:ascii="Arial" w:hAnsi="Arial" w:cs="Arial"/>
          <w:sz w:val="20"/>
          <w:szCs w:val="22"/>
        </w:rPr>
        <w:t>Patient Reported Outcomes</w:t>
      </w:r>
    </w:p>
    <w:p w:rsidR="00E44F87" w:rsidRDefault="00E44F87">
      <w:pPr>
        <w:autoSpaceDE w:val="0"/>
        <w:autoSpaceDN w:val="0"/>
        <w:adjustRightInd w:val="0"/>
        <w:jc w:val="both"/>
        <w:rPr>
          <w:rFonts w:ascii="Arial" w:hAnsi="Arial" w:cs="Arial"/>
          <w:sz w:val="20"/>
          <w:szCs w:val="22"/>
        </w:rPr>
      </w:pPr>
    </w:p>
    <w:p w:rsidR="00E44F87" w:rsidRDefault="00E44F87">
      <w:pPr>
        <w:pStyle w:val="BodyText"/>
        <w:jc w:val="both"/>
      </w:pPr>
      <w:r>
        <w:t>In CD Study I and CD Study II, statistically significant improvement in disease-specific inflammatory bowel disease questionnaire (IBDQ) total score was achieved at Week 4 in patients randomised to Humira 160/80 mg compared to placebo. Statistically significant improvement from baseline in IBDQ scores was seen at Weeks 26 and 56 in CD Study III among the adalimumab treatment groups compared to the placebo group.</w:t>
      </w:r>
    </w:p>
    <w:p w:rsidR="00CE0E79" w:rsidRDefault="00CE0E79" w:rsidP="00CE0E79">
      <w:pPr>
        <w:pStyle w:val="Heading1"/>
        <w:jc w:val="both"/>
        <w:rPr>
          <w:rFonts w:ascii="Arial" w:hAnsi="Arial" w:cs="Arial"/>
          <w:sz w:val="20"/>
        </w:rPr>
      </w:pPr>
    </w:p>
    <w:p w:rsidR="00CE0E79" w:rsidRDefault="00CE0E79" w:rsidP="00CE0E79">
      <w:pPr>
        <w:pStyle w:val="Heading1"/>
        <w:jc w:val="both"/>
        <w:rPr>
          <w:rFonts w:ascii="Arial" w:hAnsi="Arial" w:cs="Arial"/>
          <w:sz w:val="20"/>
        </w:rPr>
      </w:pPr>
      <w:r>
        <w:rPr>
          <w:rFonts w:ascii="Arial" w:hAnsi="Arial" w:cs="Arial"/>
          <w:sz w:val="20"/>
        </w:rPr>
        <w:t xml:space="preserve">CLINICAL TRIALS FOR CROHN’S DISEASE IN CHILDREN ≥ 6 YEARS </w:t>
      </w:r>
    </w:p>
    <w:p w:rsidR="00CE0E79" w:rsidRDefault="00CE0E79" w:rsidP="00CE0E79">
      <w:pPr>
        <w:pStyle w:val="Heading1"/>
        <w:jc w:val="both"/>
        <w:rPr>
          <w:rFonts w:ascii="Arial" w:hAnsi="Arial" w:cs="Arial"/>
          <w:b w:val="0"/>
          <w:sz w:val="20"/>
        </w:rPr>
      </w:pPr>
    </w:p>
    <w:p w:rsidR="00CE0E79" w:rsidRPr="00327A60" w:rsidRDefault="00CE0E79" w:rsidP="00CE0E79">
      <w:pPr>
        <w:pStyle w:val="Heading1"/>
        <w:jc w:val="both"/>
        <w:rPr>
          <w:rFonts w:ascii="Arial" w:hAnsi="Arial" w:cs="Arial"/>
          <w:b w:val="0"/>
          <w:sz w:val="20"/>
        </w:rPr>
      </w:pPr>
      <w:r w:rsidRPr="00327A60">
        <w:rPr>
          <w:rFonts w:ascii="Arial" w:hAnsi="Arial" w:cs="Arial"/>
          <w:b w:val="0"/>
          <w:sz w:val="20"/>
        </w:rPr>
        <w:t>Humira was assessed in a multicenter, randomized, double</w:t>
      </w:r>
      <w:r>
        <w:rPr>
          <w:rFonts w:ascii="Arial" w:hAnsi="Arial" w:cs="Arial"/>
          <w:b w:val="0"/>
          <w:sz w:val="20"/>
        </w:rPr>
        <w:t>-</w:t>
      </w:r>
      <w:r w:rsidRPr="00327A60">
        <w:rPr>
          <w:rFonts w:ascii="Arial" w:hAnsi="Arial" w:cs="Arial"/>
          <w:b w:val="0"/>
          <w:sz w:val="20"/>
        </w:rPr>
        <w:t>blind</w:t>
      </w:r>
      <w:r>
        <w:rPr>
          <w:rFonts w:ascii="Arial" w:hAnsi="Arial" w:cs="Arial"/>
          <w:b w:val="0"/>
          <w:sz w:val="20"/>
        </w:rPr>
        <w:t xml:space="preserve"> </w:t>
      </w:r>
      <w:r w:rsidRPr="00327A60">
        <w:rPr>
          <w:rFonts w:ascii="Arial" w:hAnsi="Arial" w:cs="Arial"/>
          <w:b w:val="0"/>
          <w:sz w:val="20"/>
        </w:rPr>
        <w:t>clinical trial designed to evaluate the efficacy and</w:t>
      </w:r>
      <w:r>
        <w:rPr>
          <w:rFonts w:ascii="Arial" w:hAnsi="Arial" w:cs="Arial"/>
          <w:b w:val="0"/>
          <w:sz w:val="20"/>
        </w:rPr>
        <w:t xml:space="preserve"> </w:t>
      </w:r>
      <w:r w:rsidRPr="00327A60">
        <w:rPr>
          <w:rFonts w:ascii="Arial" w:hAnsi="Arial" w:cs="Arial"/>
          <w:b w:val="0"/>
          <w:sz w:val="20"/>
        </w:rPr>
        <w:t>safety of induction and maintenance treatment with doses</w:t>
      </w:r>
      <w:r>
        <w:rPr>
          <w:rFonts w:ascii="Arial" w:hAnsi="Arial" w:cs="Arial"/>
          <w:b w:val="0"/>
          <w:sz w:val="20"/>
        </w:rPr>
        <w:t xml:space="preserve"> </w:t>
      </w:r>
      <w:r w:rsidRPr="00327A60">
        <w:rPr>
          <w:rFonts w:ascii="Arial" w:hAnsi="Arial" w:cs="Arial"/>
          <w:b w:val="0"/>
          <w:sz w:val="20"/>
        </w:rPr>
        <w:t>dependent on body weight (&lt; 40 kg or ≥ 40 kg) in 192</w:t>
      </w:r>
      <w:r>
        <w:rPr>
          <w:rFonts w:ascii="Arial" w:hAnsi="Arial" w:cs="Arial"/>
          <w:b w:val="0"/>
          <w:sz w:val="20"/>
        </w:rPr>
        <w:t xml:space="preserve"> </w:t>
      </w:r>
      <w:r w:rsidRPr="00327A60">
        <w:rPr>
          <w:rFonts w:ascii="Arial" w:hAnsi="Arial" w:cs="Arial"/>
          <w:b w:val="0"/>
          <w:sz w:val="20"/>
        </w:rPr>
        <w:t>p</w:t>
      </w:r>
      <w:r>
        <w:rPr>
          <w:rFonts w:ascii="Arial" w:hAnsi="Arial" w:cs="Arial"/>
          <w:b w:val="0"/>
          <w:sz w:val="20"/>
        </w:rPr>
        <w:t>a</w:t>
      </w:r>
      <w:r w:rsidRPr="00327A60">
        <w:rPr>
          <w:rFonts w:ascii="Arial" w:hAnsi="Arial" w:cs="Arial"/>
          <w:b w:val="0"/>
          <w:sz w:val="20"/>
        </w:rPr>
        <w:t>ediatric subjects between the ages of 6 and 17 (inclusive)</w:t>
      </w:r>
      <w:r>
        <w:rPr>
          <w:rFonts w:ascii="Arial" w:hAnsi="Arial" w:cs="Arial"/>
          <w:b w:val="0"/>
          <w:sz w:val="20"/>
        </w:rPr>
        <w:t xml:space="preserve"> </w:t>
      </w:r>
      <w:r w:rsidRPr="00327A60">
        <w:rPr>
          <w:rFonts w:ascii="Arial" w:hAnsi="Arial" w:cs="Arial"/>
          <w:b w:val="0"/>
          <w:sz w:val="20"/>
        </w:rPr>
        <w:t>years, with moderate to severe Crohn´s disease (CD)</w:t>
      </w:r>
      <w:r>
        <w:rPr>
          <w:rFonts w:ascii="Arial" w:hAnsi="Arial" w:cs="Arial"/>
          <w:b w:val="0"/>
          <w:sz w:val="20"/>
        </w:rPr>
        <w:t xml:space="preserve"> </w:t>
      </w:r>
      <w:r w:rsidRPr="00327A60">
        <w:rPr>
          <w:rFonts w:ascii="Arial" w:hAnsi="Arial" w:cs="Arial"/>
          <w:b w:val="0"/>
          <w:sz w:val="20"/>
        </w:rPr>
        <w:t>defined as P</w:t>
      </w:r>
      <w:r>
        <w:rPr>
          <w:rFonts w:ascii="Arial" w:hAnsi="Arial" w:cs="Arial"/>
          <w:b w:val="0"/>
          <w:sz w:val="20"/>
        </w:rPr>
        <w:t>a</w:t>
      </w:r>
      <w:r w:rsidRPr="00327A60">
        <w:rPr>
          <w:rFonts w:ascii="Arial" w:hAnsi="Arial" w:cs="Arial"/>
          <w:b w:val="0"/>
          <w:sz w:val="20"/>
        </w:rPr>
        <w:t>ediatric Crohn's Disease Activity Index</w:t>
      </w:r>
      <w:r>
        <w:rPr>
          <w:rFonts w:ascii="Arial" w:hAnsi="Arial" w:cs="Arial"/>
          <w:b w:val="0"/>
          <w:sz w:val="20"/>
        </w:rPr>
        <w:t xml:space="preserve"> </w:t>
      </w:r>
      <w:r w:rsidRPr="00327A60">
        <w:rPr>
          <w:rFonts w:ascii="Arial" w:hAnsi="Arial" w:cs="Arial"/>
          <w:b w:val="0"/>
          <w:sz w:val="20"/>
        </w:rPr>
        <w:t>(PCDAI) score &gt; 30. Subjects had to have failed</w:t>
      </w:r>
      <w:r>
        <w:rPr>
          <w:rFonts w:ascii="Arial" w:hAnsi="Arial" w:cs="Arial"/>
          <w:b w:val="0"/>
          <w:sz w:val="20"/>
        </w:rPr>
        <w:t xml:space="preserve"> </w:t>
      </w:r>
      <w:r w:rsidRPr="00327A60">
        <w:rPr>
          <w:rFonts w:ascii="Arial" w:hAnsi="Arial" w:cs="Arial"/>
          <w:b w:val="0"/>
          <w:sz w:val="20"/>
        </w:rPr>
        <w:t>conventional therapy (including a corticosteroid and/or an</w:t>
      </w:r>
      <w:r>
        <w:rPr>
          <w:rFonts w:ascii="Arial" w:hAnsi="Arial" w:cs="Arial"/>
          <w:b w:val="0"/>
          <w:sz w:val="20"/>
        </w:rPr>
        <w:t xml:space="preserve"> </w:t>
      </w:r>
      <w:r w:rsidRPr="00327A60">
        <w:rPr>
          <w:rFonts w:ascii="Arial" w:hAnsi="Arial" w:cs="Arial"/>
          <w:b w:val="0"/>
          <w:sz w:val="20"/>
        </w:rPr>
        <w:t>immunomodulator) for CD. Subjects may also have</w:t>
      </w:r>
      <w:r>
        <w:rPr>
          <w:rFonts w:ascii="Arial" w:hAnsi="Arial" w:cs="Arial"/>
          <w:b w:val="0"/>
          <w:sz w:val="20"/>
        </w:rPr>
        <w:t xml:space="preserve"> </w:t>
      </w:r>
      <w:r w:rsidRPr="00327A60">
        <w:rPr>
          <w:rFonts w:ascii="Arial" w:hAnsi="Arial" w:cs="Arial"/>
          <w:b w:val="0"/>
          <w:sz w:val="20"/>
        </w:rPr>
        <w:t>previously lost response or been intolerant to infliximab.</w:t>
      </w:r>
    </w:p>
    <w:p w:rsidR="00CE0E79" w:rsidRDefault="00CE0E79" w:rsidP="00CE0E79">
      <w:pPr>
        <w:pStyle w:val="Heading1"/>
        <w:jc w:val="both"/>
        <w:rPr>
          <w:rFonts w:ascii="Arial" w:hAnsi="Arial" w:cs="Arial"/>
          <w:b w:val="0"/>
          <w:sz w:val="20"/>
        </w:rPr>
      </w:pPr>
      <w:r w:rsidRPr="00327A60">
        <w:rPr>
          <w:rFonts w:ascii="Arial" w:hAnsi="Arial" w:cs="Arial"/>
          <w:b w:val="0"/>
          <w:sz w:val="20"/>
        </w:rPr>
        <w:t>All subjects received open-label induction therapy at a dose</w:t>
      </w:r>
      <w:r>
        <w:rPr>
          <w:rFonts w:ascii="Arial" w:hAnsi="Arial" w:cs="Arial"/>
          <w:b w:val="0"/>
          <w:sz w:val="20"/>
        </w:rPr>
        <w:t xml:space="preserve"> </w:t>
      </w:r>
      <w:r w:rsidRPr="00327A60">
        <w:rPr>
          <w:rFonts w:ascii="Arial" w:hAnsi="Arial" w:cs="Arial"/>
          <w:b w:val="0"/>
          <w:sz w:val="20"/>
        </w:rPr>
        <w:t>based on their Baseline body weight: 160 mg at Week 0 and</w:t>
      </w:r>
      <w:r>
        <w:rPr>
          <w:rFonts w:ascii="Arial" w:hAnsi="Arial" w:cs="Arial"/>
          <w:b w:val="0"/>
          <w:sz w:val="20"/>
        </w:rPr>
        <w:t xml:space="preserve"> </w:t>
      </w:r>
      <w:r w:rsidRPr="00327A60">
        <w:rPr>
          <w:rFonts w:ascii="Arial" w:hAnsi="Arial" w:cs="Arial"/>
          <w:b w:val="0"/>
          <w:sz w:val="20"/>
        </w:rPr>
        <w:t>80 mg at Week 2 for subjects ≥ 40 kg, and 80 mg and 40</w:t>
      </w:r>
      <w:r w:rsidRPr="006D4CDB">
        <w:rPr>
          <w:rFonts w:ascii="Arial" w:hAnsi="Arial" w:cs="Arial"/>
          <w:b w:val="0"/>
          <w:sz w:val="20"/>
        </w:rPr>
        <w:t>mg, respectively, for subjects &lt; 40 kg.</w:t>
      </w:r>
    </w:p>
    <w:p w:rsidR="00CE0E79" w:rsidRPr="001E11F2" w:rsidRDefault="00CE0E79" w:rsidP="00CE0E79">
      <w:pPr>
        <w:rPr>
          <w:rFonts w:ascii="Arial" w:hAnsi="Arial" w:cs="Arial"/>
          <w:bCs/>
          <w:sz w:val="20"/>
          <w:szCs w:val="22"/>
        </w:rPr>
      </w:pPr>
      <w:r w:rsidRPr="00327A60">
        <w:rPr>
          <w:rFonts w:ascii="Arial" w:hAnsi="Arial" w:cs="Arial"/>
          <w:bCs/>
          <w:sz w:val="20"/>
          <w:szCs w:val="22"/>
        </w:rPr>
        <w:t>At Week 4, subjects were randomized 1:1 based on their</w:t>
      </w:r>
      <w:r>
        <w:rPr>
          <w:rFonts w:ascii="Arial" w:hAnsi="Arial" w:cs="Arial"/>
          <w:bCs/>
          <w:sz w:val="20"/>
          <w:szCs w:val="22"/>
        </w:rPr>
        <w:t xml:space="preserve"> </w:t>
      </w:r>
      <w:r w:rsidRPr="00327A60">
        <w:rPr>
          <w:rFonts w:ascii="Arial" w:hAnsi="Arial" w:cs="Arial"/>
          <w:bCs/>
          <w:sz w:val="20"/>
          <w:szCs w:val="22"/>
        </w:rPr>
        <w:t>body weight at the time to either the Low Dose or Standard</w:t>
      </w:r>
      <w:r>
        <w:rPr>
          <w:rFonts w:ascii="Arial" w:hAnsi="Arial" w:cs="Arial"/>
          <w:bCs/>
          <w:sz w:val="20"/>
          <w:szCs w:val="22"/>
        </w:rPr>
        <w:t xml:space="preserve"> </w:t>
      </w:r>
      <w:r w:rsidRPr="00327A60">
        <w:rPr>
          <w:rFonts w:ascii="Arial" w:hAnsi="Arial" w:cs="Arial"/>
          <w:bCs/>
          <w:sz w:val="20"/>
          <w:szCs w:val="22"/>
        </w:rPr>
        <w:t>Dose maintenance regimens as shown in Table 16.</w:t>
      </w:r>
    </w:p>
    <w:p w:rsidR="00CE0E79" w:rsidRDefault="00CE0E79" w:rsidP="00CE0E79">
      <w:pPr>
        <w:pStyle w:val="Heading1"/>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CE0E79" w:rsidRPr="00AB5AA8" w:rsidTr="00BF476E">
        <w:tc>
          <w:tcPr>
            <w:tcW w:w="9242" w:type="dxa"/>
            <w:gridSpan w:val="3"/>
            <w:shd w:val="clear" w:color="auto" w:fill="auto"/>
          </w:tcPr>
          <w:p w:rsidR="00CE0E79" w:rsidRPr="00327A60" w:rsidRDefault="00CE0E79" w:rsidP="00BF476E">
            <w:pPr>
              <w:spacing w:after="60"/>
              <w:jc w:val="center"/>
              <w:rPr>
                <w:rFonts w:ascii="Arial" w:hAnsi="Arial" w:cs="Arial"/>
                <w:b/>
                <w:bCs/>
                <w:sz w:val="20"/>
                <w:szCs w:val="22"/>
              </w:rPr>
            </w:pPr>
            <w:r w:rsidRPr="001E11F2">
              <w:rPr>
                <w:rFonts w:ascii="Arial" w:hAnsi="Arial" w:cs="Arial"/>
                <w:b/>
                <w:bCs/>
                <w:sz w:val="20"/>
                <w:szCs w:val="22"/>
              </w:rPr>
              <w:t>Table 16</w:t>
            </w:r>
            <w:r>
              <w:rPr>
                <w:rFonts w:ascii="Arial" w:hAnsi="Arial" w:cs="Arial"/>
                <w:b/>
                <w:bCs/>
                <w:sz w:val="20"/>
                <w:szCs w:val="22"/>
              </w:rPr>
              <w:t>:</w:t>
            </w:r>
            <w:r w:rsidRPr="00327A60">
              <w:rPr>
                <w:rFonts w:ascii="Arial" w:hAnsi="Arial" w:cs="Arial"/>
                <w:b/>
                <w:bCs/>
                <w:sz w:val="20"/>
                <w:szCs w:val="22"/>
              </w:rPr>
              <w:t xml:space="preserve"> Maintenance Regimen</w:t>
            </w:r>
          </w:p>
        </w:tc>
      </w:tr>
      <w:tr w:rsidR="00CE0E79" w:rsidRPr="00AB5AA8" w:rsidTr="00BF476E">
        <w:tc>
          <w:tcPr>
            <w:tcW w:w="3080" w:type="dxa"/>
            <w:shd w:val="clear" w:color="auto" w:fill="auto"/>
          </w:tcPr>
          <w:p w:rsidR="00CE0E79" w:rsidRPr="00327A60" w:rsidRDefault="00CE0E79" w:rsidP="00BF476E">
            <w:pPr>
              <w:jc w:val="center"/>
              <w:rPr>
                <w:rFonts w:ascii="Arial" w:hAnsi="Arial" w:cs="Arial"/>
                <w:b/>
                <w:bCs/>
                <w:sz w:val="20"/>
                <w:szCs w:val="22"/>
              </w:rPr>
            </w:pPr>
            <w:r w:rsidRPr="00327A60">
              <w:rPr>
                <w:rFonts w:ascii="Arial" w:hAnsi="Arial" w:cs="Arial"/>
                <w:b/>
                <w:bCs/>
                <w:sz w:val="20"/>
                <w:szCs w:val="22"/>
              </w:rPr>
              <w:t>Patient Weight</w:t>
            </w:r>
          </w:p>
        </w:tc>
        <w:tc>
          <w:tcPr>
            <w:tcW w:w="3081" w:type="dxa"/>
            <w:shd w:val="clear" w:color="auto" w:fill="auto"/>
          </w:tcPr>
          <w:p w:rsidR="00CE0E79" w:rsidRPr="00327A60" w:rsidRDefault="00CE0E79" w:rsidP="00BF476E">
            <w:pPr>
              <w:jc w:val="center"/>
              <w:rPr>
                <w:rFonts w:ascii="Arial" w:hAnsi="Arial" w:cs="Arial"/>
                <w:b/>
                <w:bCs/>
                <w:sz w:val="20"/>
                <w:szCs w:val="22"/>
              </w:rPr>
            </w:pPr>
            <w:r w:rsidRPr="00327A60">
              <w:rPr>
                <w:rFonts w:ascii="Arial" w:hAnsi="Arial" w:cs="Arial"/>
                <w:b/>
                <w:bCs/>
                <w:sz w:val="20"/>
                <w:szCs w:val="22"/>
              </w:rPr>
              <w:t>Low Dose</w:t>
            </w:r>
          </w:p>
        </w:tc>
        <w:tc>
          <w:tcPr>
            <w:tcW w:w="3081" w:type="dxa"/>
            <w:shd w:val="clear" w:color="auto" w:fill="auto"/>
          </w:tcPr>
          <w:p w:rsidR="00CE0E79" w:rsidRPr="00327A60" w:rsidRDefault="00CE0E79" w:rsidP="00BF476E">
            <w:pPr>
              <w:jc w:val="center"/>
              <w:rPr>
                <w:rFonts w:ascii="Arial" w:hAnsi="Arial" w:cs="Arial"/>
                <w:b/>
                <w:bCs/>
                <w:sz w:val="20"/>
                <w:szCs w:val="22"/>
              </w:rPr>
            </w:pPr>
            <w:r w:rsidRPr="00327A60">
              <w:rPr>
                <w:rFonts w:ascii="Arial" w:hAnsi="Arial" w:cs="Arial"/>
                <w:b/>
                <w:bCs/>
                <w:sz w:val="20"/>
                <w:szCs w:val="22"/>
              </w:rPr>
              <w:t>Standard Dose</w:t>
            </w:r>
          </w:p>
        </w:tc>
      </w:tr>
      <w:tr w:rsidR="00CE0E79" w:rsidRPr="00AB5AA8" w:rsidTr="00BF476E">
        <w:tc>
          <w:tcPr>
            <w:tcW w:w="3080" w:type="dxa"/>
            <w:shd w:val="clear" w:color="auto" w:fill="auto"/>
          </w:tcPr>
          <w:p w:rsidR="00CE0E79" w:rsidRPr="001E11F2" w:rsidRDefault="00CE0E79" w:rsidP="00BF476E">
            <w:pPr>
              <w:jc w:val="center"/>
              <w:rPr>
                <w:rFonts w:ascii="Arial" w:hAnsi="Arial" w:cs="Arial"/>
                <w:bCs/>
                <w:sz w:val="20"/>
                <w:szCs w:val="22"/>
              </w:rPr>
            </w:pPr>
            <w:r w:rsidRPr="004038C5">
              <w:rPr>
                <w:rFonts w:ascii="Arial" w:hAnsi="Arial" w:cs="Arial"/>
                <w:bCs/>
                <w:sz w:val="20"/>
                <w:szCs w:val="22"/>
              </w:rPr>
              <w:t>&lt;40kg</w:t>
            </w:r>
          </w:p>
        </w:tc>
        <w:tc>
          <w:tcPr>
            <w:tcW w:w="3081" w:type="dxa"/>
            <w:shd w:val="clear" w:color="auto" w:fill="auto"/>
          </w:tcPr>
          <w:p w:rsidR="00CE0E79" w:rsidRPr="001E11F2" w:rsidRDefault="00CE0E79" w:rsidP="00BF476E">
            <w:pPr>
              <w:jc w:val="center"/>
              <w:rPr>
                <w:rFonts w:ascii="Arial" w:hAnsi="Arial" w:cs="Arial"/>
                <w:bCs/>
                <w:sz w:val="20"/>
                <w:szCs w:val="22"/>
              </w:rPr>
            </w:pPr>
            <w:r w:rsidRPr="004038C5">
              <w:rPr>
                <w:rFonts w:ascii="Arial" w:hAnsi="Arial" w:cs="Arial"/>
                <w:bCs/>
                <w:sz w:val="20"/>
                <w:szCs w:val="22"/>
              </w:rPr>
              <w:t>10mg fortnightly</w:t>
            </w:r>
          </w:p>
        </w:tc>
        <w:tc>
          <w:tcPr>
            <w:tcW w:w="3081" w:type="dxa"/>
            <w:shd w:val="clear" w:color="auto" w:fill="auto"/>
          </w:tcPr>
          <w:p w:rsidR="00CE0E79" w:rsidRPr="001E11F2" w:rsidRDefault="00CE0E79" w:rsidP="00BF476E">
            <w:pPr>
              <w:jc w:val="center"/>
              <w:rPr>
                <w:rFonts w:ascii="Arial" w:hAnsi="Arial" w:cs="Arial"/>
                <w:bCs/>
                <w:sz w:val="20"/>
                <w:szCs w:val="22"/>
              </w:rPr>
            </w:pPr>
            <w:r w:rsidRPr="004038C5">
              <w:rPr>
                <w:rFonts w:ascii="Arial" w:hAnsi="Arial" w:cs="Arial"/>
                <w:bCs/>
                <w:sz w:val="20"/>
                <w:szCs w:val="22"/>
              </w:rPr>
              <w:t>20mg fortnightly</w:t>
            </w:r>
          </w:p>
        </w:tc>
      </w:tr>
      <w:tr w:rsidR="00CE0E79" w:rsidRPr="00AB5AA8" w:rsidTr="00BF476E">
        <w:tc>
          <w:tcPr>
            <w:tcW w:w="3080" w:type="dxa"/>
            <w:shd w:val="clear" w:color="auto" w:fill="auto"/>
          </w:tcPr>
          <w:p w:rsidR="00CE0E79" w:rsidRPr="001E11F2" w:rsidRDefault="00CE0E79" w:rsidP="00BF476E">
            <w:pPr>
              <w:jc w:val="center"/>
              <w:rPr>
                <w:rFonts w:ascii="Arial" w:hAnsi="Arial" w:cs="Arial"/>
                <w:bCs/>
                <w:sz w:val="20"/>
                <w:szCs w:val="22"/>
              </w:rPr>
            </w:pPr>
            <w:r>
              <w:rPr>
                <w:rFonts w:ascii="Arial" w:hAnsi="Arial" w:cs="Arial"/>
                <w:bCs/>
                <w:sz w:val="20"/>
                <w:szCs w:val="22"/>
                <w:u w:val="single"/>
              </w:rPr>
              <w:t>≥</w:t>
            </w:r>
            <w:r w:rsidRPr="004038C5">
              <w:rPr>
                <w:rFonts w:ascii="Arial" w:hAnsi="Arial" w:cs="Arial"/>
                <w:bCs/>
                <w:sz w:val="20"/>
                <w:szCs w:val="22"/>
              </w:rPr>
              <w:t>40kg</w:t>
            </w:r>
          </w:p>
        </w:tc>
        <w:tc>
          <w:tcPr>
            <w:tcW w:w="3081" w:type="dxa"/>
            <w:shd w:val="clear" w:color="auto" w:fill="auto"/>
          </w:tcPr>
          <w:p w:rsidR="00CE0E79" w:rsidRPr="001E11F2" w:rsidRDefault="00CE0E79" w:rsidP="00BF476E">
            <w:pPr>
              <w:jc w:val="center"/>
              <w:rPr>
                <w:rFonts w:ascii="Arial" w:hAnsi="Arial" w:cs="Arial"/>
                <w:bCs/>
                <w:sz w:val="20"/>
                <w:szCs w:val="22"/>
              </w:rPr>
            </w:pPr>
            <w:r w:rsidRPr="004038C5">
              <w:rPr>
                <w:rFonts w:ascii="Arial" w:hAnsi="Arial" w:cs="Arial"/>
                <w:bCs/>
                <w:sz w:val="20"/>
                <w:szCs w:val="22"/>
              </w:rPr>
              <w:t>20mg fortnightly</w:t>
            </w:r>
          </w:p>
        </w:tc>
        <w:tc>
          <w:tcPr>
            <w:tcW w:w="3081" w:type="dxa"/>
            <w:shd w:val="clear" w:color="auto" w:fill="auto"/>
          </w:tcPr>
          <w:p w:rsidR="00CE0E79" w:rsidRPr="001E11F2" w:rsidRDefault="00CE0E79" w:rsidP="00BF476E">
            <w:pPr>
              <w:jc w:val="center"/>
              <w:rPr>
                <w:rFonts w:ascii="Arial" w:hAnsi="Arial" w:cs="Arial"/>
                <w:bCs/>
                <w:sz w:val="20"/>
                <w:szCs w:val="22"/>
              </w:rPr>
            </w:pPr>
            <w:r w:rsidRPr="004038C5">
              <w:rPr>
                <w:rFonts w:ascii="Arial" w:hAnsi="Arial" w:cs="Arial"/>
                <w:bCs/>
                <w:sz w:val="20"/>
                <w:szCs w:val="22"/>
              </w:rPr>
              <w:t>40mg fortnightly</w:t>
            </w:r>
          </w:p>
        </w:tc>
      </w:tr>
    </w:tbl>
    <w:p w:rsidR="00CE0E79" w:rsidRPr="00327A60" w:rsidRDefault="00CE0E79" w:rsidP="00CE0E79"/>
    <w:p w:rsidR="00CE0E79" w:rsidRPr="00327A60" w:rsidRDefault="00CE0E79" w:rsidP="00CE0E79">
      <w:pPr>
        <w:pStyle w:val="Heading1"/>
        <w:jc w:val="both"/>
        <w:rPr>
          <w:rFonts w:ascii="Arial" w:hAnsi="Arial" w:cs="Arial"/>
          <w:b w:val="0"/>
          <w:sz w:val="20"/>
        </w:rPr>
      </w:pPr>
      <w:r w:rsidRPr="00327A60">
        <w:rPr>
          <w:rFonts w:ascii="Arial" w:hAnsi="Arial" w:cs="Arial"/>
          <w:b w:val="0"/>
          <w:sz w:val="20"/>
        </w:rPr>
        <w:t>Efficacy Results</w:t>
      </w:r>
    </w:p>
    <w:p w:rsidR="00CE0E79" w:rsidRPr="00327A60" w:rsidRDefault="00CE0E79" w:rsidP="00CE0E79">
      <w:pPr>
        <w:pStyle w:val="Heading1"/>
        <w:jc w:val="both"/>
        <w:rPr>
          <w:rFonts w:ascii="Arial" w:hAnsi="Arial" w:cs="Arial"/>
          <w:b w:val="0"/>
          <w:sz w:val="20"/>
        </w:rPr>
      </w:pPr>
      <w:r w:rsidRPr="00327A60">
        <w:rPr>
          <w:rFonts w:ascii="Arial" w:hAnsi="Arial" w:cs="Arial"/>
          <w:b w:val="0"/>
          <w:sz w:val="20"/>
        </w:rPr>
        <w:t>The primary endpoint of the study was clinical remission at</w:t>
      </w:r>
      <w:r>
        <w:rPr>
          <w:rFonts w:ascii="Arial" w:hAnsi="Arial" w:cs="Arial"/>
          <w:b w:val="0"/>
          <w:sz w:val="20"/>
        </w:rPr>
        <w:t xml:space="preserve"> </w:t>
      </w:r>
      <w:r w:rsidRPr="00327A60">
        <w:rPr>
          <w:rFonts w:ascii="Arial" w:hAnsi="Arial" w:cs="Arial"/>
          <w:b w:val="0"/>
          <w:sz w:val="20"/>
        </w:rPr>
        <w:t xml:space="preserve">Week 26, defined as PCDAI score </w:t>
      </w:r>
      <w:r>
        <w:rPr>
          <w:rFonts w:ascii="Arial" w:hAnsi="Arial" w:cs="Arial"/>
          <w:b w:val="0"/>
          <w:sz w:val="20"/>
          <w:u w:val="single"/>
        </w:rPr>
        <w:t>≤</w:t>
      </w:r>
      <w:r w:rsidRPr="00327A60">
        <w:rPr>
          <w:rFonts w:ascii="Arial" w:hAnsi="Arial" w:cs="Arial"/>
          <w:b w:val="0"/>
          <w:sz w:val="20"/>
        </w:rPr>
        <w:t>10.</w:t>
      </w:r>
    </w:p>
    <w:p w:rsidR="00CE0E79" w:rsidRDefault="00CE0E79" w:rsidP="00CE0E79">
      <w:pPr>
        <w:pStyle w:val="Heading1"/>
        <w:jc w:val="both"/>
        <w:rPr>
          <w:rFonts w:ascii="Arial" w:hAnsi="Arial" w:cs="Arial"/>
          <w:b w:val="0"/>
          <w:sz w:val="20"/>
        </w:rPr>
      </w:pPr>
    </w:p>
    <w:p w:rsidR="00CE0E79" w:rsidRDefault="00CE0E79" w:rsidP="00CE0E79">
      <w:pPr>
        <w:pStyle w:val="Heading1"/>
        <w:jc w:val="both"/>
        <w:rPr>
          <w:rFonts w:ascii="Arial" w:hAnsi="Arial" w:cs="Arial"/>
          <w:b w:val="0"/>
          <w:sz w:val="20"/>
        </w:rPr>
      </w:pPr>
      <w:r w:rsidRPr="00327A60">
        <w:rPr>
          <w:rFonts w:ascii="Arial" w:hAnsi="Arial" w:cs="Arial"/>
          <w:b w:val="0"/>
          <w:sz w:val="20"/>
        </w:rPr>
        <w:t>Clinical remission and clinical response (defined as</w:t>
      </w:r>
      <w:r>
        <w:rPr>
          <w:rFonts w:ascii="Arial" w:hAnsi="Arial" w:cs="Arial"/>
          <w:b w:val="0"/>
          <w:sz w:val="20"/>
        </w:rPr>
        <w:t xml:space="preserve"> </w:t>
      </w:r>
      <w:r w:rsidRPr="00327A60">
        <w:rPr>
          <w:rFonts w:ascii="Arial" w:hAnsi="Arial" w:cs="Arial"/>
          <w:b w:val="0"/>
          <w:sz w:val="20"/>
        </w:rPr>
        <w:t>reduction in PCDAI score of at least 15 points from</w:t>
      </w:r>
      <w:r w:rsidRPr="001E11F2">
        <w:rPr>
          <w:rFonts w:ascii="Arial" w:hAnsi="Arial" w:cs="Arial"/>
          <w:b w:val="0"/>
          <w:sz w:val="20"/>
        </w:rPr>
        <w:t xml:space="preserve"> </w:t>
      </w:r>
      <w:r w:rsidRPr="00327A60">
        <w:rPr>
          <w:rFonts w:ascii="Arial" w:hAnsi="Arial" w:cs="Arial"/>
          <w:b w:val="0"/>
          <w:sz w:val="20"/>
        </w:rPr>
        <w:t>Baseline)</w:t>
      </w:r>
      <w:r w:rsidRPr="001E11F2">
        <w:rPr>
          <w:rFonts w:ascii="Arial" w:hAnsi="Arial" w:cs="Arial"/>
          <w:b w:val="0"/>
          <w:sz w:val="20"/>
        </w:rPr>
        <w:t xml:space="preserve"> rates are presented in Table </w:t>
      </w:r>
      <w:r w:rsidRPr="00327A60">
        <w:rPr>
          <w:rFonts w:ascii="Arial" w:hAnsi="Arial" w:cs="Arial"/>
          <w:b w:val="0"/>
          <w:sz w:val="20"/>
        </w:rPr>
        <w:t>1</w:t>
      </w:r>
      <w:r w:rsidRPr="001E11F2">
        <w:rPr>
          <w:rFonts w:ascii="Arial" w:hAnsi="Arial" w:cs="Arial"/>
          <w:b w:val="0"/>
          <w:sz w:val="20"/>
        </w:rPr>
        <w:t>7</w:t>
      </w:r>
      <w:r w:rsidRPr="00327A60">
        <w:rPr>
          <w:rFonts w:ascii="Arial" w:hAnsi="Arial" w:cs="Arial"/>
          <w:b w:val="0"/>
          <w:sz w:val="20"/>
        </w:rPr>
        <w:t>. Rates of</w:t>
      </w:r>
      <w:r w:rsidRPr="001E11F2">
        <w:rPr>
          <w:rFonts w:ascii="Arial" w:hAnsi="Arial" w:cs="Arial"/>
          <w:b w:val="0"/>
          <w:sz w:val="20"/>
        </w:rPr>
        <w:t xml:space="preserve"> </w:t>
      </w:r>
      <w:r w:rsidRPr="00327A60">
        <w:rPr>
          <w:rFonts w:ascii="Arial" w:hAnsi="Arial" w:cs="Arial"/>
          <w:b w:val="0"/>
          <w:sz w:val="20"/>
        </w:rPr>
        <w:t>discontinuation of corticosteroids or immunomodulators</w:t>
      </w:r>
      <w:r>
        <w:rPr>
          <w:rFonts w:ascii="Arial" w:hAnsi="Arial" w:cs="Arial"/>
          <w:b w:val="0"/>
          <w:sz w:val="20"/>
        </w:rPr>
        <w:t xml:space="preserve"> </w:t>
      </w:r>
      <w:r w:rsidRPr="001E11F2">
        <w:rPr>
          <w:rFonts w:ascii="Arial" w:hAnsi="Arial" w:cs="Arial"/>
          <w:b w:val="0"/>
          <w:sz w:val="20"/>
        </w:rPr>
        <w:lastRenderedPageBreak/>
        <w:t xml:space="preserve">and fistula remission (defined </w:t>
      </w:r>
      <w:r w:rsidRPr="00AB5AA8">
        <w:rPr>
          <w:rFonts w:ascii="Arial" w:hAnsi="Arial" w:cs="Arial"/>
          <w:b w:val="0"/>
          <w:sz w:val="20"/>
        </w:rPr>
        <w:t>as a closure of all fistulas that were draining at Baseline for at least 2 consecutive post-Baseline visits)</w:t>
      </w:r>
      <w:r w:rsidRPr="00327A60">
        <w:rPr>
          <w:rFonts w:ascii="Arial" w:hAnsi="Arial" w:cs="Arial"/>
          <w:b w:val="0"/>
          <w:sz w:val="20"/>
        </w:rPr>
        <w:t xml:space="preserve"> are</w:t>
      </w:r>
      <w:r w:rsidRPr="001E11F2">
        <w:rPr>
          <w:rFonts w:ascii="Arial" w:hAnsi="Arial" w:cs="Arial"/>
          <w:b w:val="0"/>
          <w:sz w:val="20"/>
        </w:rPr>
        <w:t xml:space="preserve"> presented in Table </w:t>
      </w:r>
      <w:r w:rsidRPr="00327A60">
        <w:rPr>
          <w:rFonts w:ascii="Arial" w:hAnsi="Arial" w:cs="Arial"/>
          <w:b w:val="0"/>
          <w:sz w:val="20"/>
        </w:rPr>
        <w:t>19.</w:t>
      </w:r>
    </w:p>
    <w:p w:rsidR="00CE0E79" w:rsidRDefault="00CE0E79" w:rsidP="00A56260">
      <w:pPr>
        <w:autoSpaceDE w:val="0"/>
        <w:autoSpaceDN w:val="0"/>
        <w:adjustRightInd w:val="0"/>
        <w:jc w:val="both"/>
        <w:rPr>
          <w:rFonts w:ascii="Arial" w:hAnsi="Arial" w:cs="Arial"/>
          <w:b/>
          <w:bCs/>
          <w:sz w:val="2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901"/>
        <w:gridCol w:w="2552"/>
        <w:gridCol w:w="1479"/>
      </w:tblGrid>
      <w:tr w:rsidR="00CE0E79" w:rsidTr="00BF476E">
        <w:tc>
          <w:tcPr>
            <w:tcW w:w="9242" w:type="dxa"/>
            <w:gridSpan w:val="4"/>
            <w:shd w:val="clear" w:color="auto" w:fill="auto"/>
          </w:tcPr>
          <w:p w:rsidR="00CE0E79" w:rsidRPr="001E11F2" w:rsidRDefault="00CE0E79" w:rsidP="00BF476E">
            <w:pPr>
              <w:spacing w:after="60"/>
              <w:jc w:val="center"/>
              <w:rPr>
                <w:rFonts w:ascii="Arial" w:hAnsi="Arial" w:cs="Arial"/>
                <w:b/>
                <w:sz w:val="20"/>
                <w:szCs w:val="20"/>
              </w:rPr>
            </w:pPr>
            <w:r w:rsidRPr="001E11F2">
              <w:rPr>
                <w:rFonts w:ascii="Arial" w:hAnsi="Arial" w:cs="Arial"/>
                <w:b/>
                <w:sz w:val="20"/>
                <w:szCs w:val="20"/>
              </w:rPr>
              <w:t>Table 17: Paediatric CD Study PCDAI Clinical Remission and Response</w:t>
            </w:r>
          </w:p>
        </w:tc>
      </w:tr>
      <w:tr w:rsidR="00CE0E79" w:rsidTr="00BF476E">
        <w:tc>
          <w:tcPr>
            <w:tcW w:w="2310" w:type="dxa"/>
            <w:shd w:val="clear" w:color="auto" w:fill="auto"/>
          </w:tcPr>
          <w:p w:rsidR="00CE0E79" w:rsidRPr="001E11F2" w:rsidRDefault="00CE0E79" w:rsidP="00BF476E">
            <w:pPr>
              <w:rPr>
                <w:rFonts w:ascii="Arial" w:hAnsi="Arial" w:cs="Arial"/>
                <w:b/>
                <w:sz w:val="20"/>
                <w:szCs w:val="20"/>
              </w:rPr>
            </w:pPr>
          </w:p>
        </w:tc>
        <w:tc>
          <w:tcPr>
            <w:tcW w:w="2901" w:type="dxa"/>
            <w:shd w:val="clear" w:color="auto" w:fill="auto"/>
          </w:tcPr>
          <w:p w:rsidR="00CE0E79" w:rsidRPr="00AB5AA8" w:rsidRDefault="00CE0E79" w:rsidP="00BF476E">
            <w:pPr>
              <w:jc w:val="center"/>
              <w:rPr>
                <w:rFonts w:ascii="Arial" w:hAnsi="Arial" w:cs="Arial"/>
                <w:b/>
                <w:sz w:val="20"/>
                <w:szCs w:val="20"/>
              </w:rPr>
            </w:pPr>
            <w:r w:rsidRPr="001E11F2">
              <w:rPr>
                <w:rFonts w:ascii="Arial" w:hAnsi="Arial" w:cs="Arial"/>
                <w:b/>
                <w:sz w:val="20"/>
                <w:szCs w:val="20"/>
              </w:rPr>
              <w:t xml:space="preserve">Standard Dose 40/20mg </w:t>
            </w:r>
            <w:r w:rsidRPr="00AB5AA8">
              <w:rPr>
                <w:rFonts w:ascii="Arial" w:hAnsi="Arial" w:cs="Arial"/>
                <w:b/>
                <w:sz w:val="20"/>
                <w:szCs w:val="20"/>
              </w:rPr>
              <w:t>fortnightly</w:t>
            </w:r>
          </w:p>
          <w:p w:rsidR="00CE0E79" w:rsidRPr="00AB5AA8" w:rsidRDefault="00CE0E79" w:rsidP="00BF476E">
            <w:pPr>
              <w:jc w:val="center"/>
              <w:rPr>
                <w:rFonts w:ascii="Arial" w:hAnsi="Arial" w:cs="Arial"/>
                <w:b/>
                <w:sz w:val="20"/>
                <w:szCs w:val="20"/>
              </w:rPr>
            </w:pPr>
            <w:r w:rsidRPr="00AB5AA8">
              <w:rPr>
                <w:rFonts w:ascii="Arial" w:hAnsi="Arial" w:cs="Arial"/>
                <w:b/>
                <w:sz w:val="20"/>
                <w:szCs w:val="20"/>
              </w:rPr>
              <w:t>N =93</w:t>
            </w:r>
          </w:p>
        </w:tc>
        <w:tc>
          <w:tcPr>
            <w:tcW w:w="2552" w:type="dxa"/>
            <w:shd w:val="clear" w:color="auto" w:fill="auto"/>
          </w:tcPr>
          <w:p w:rsidR="00CE0E79" w:rsidRPr="00AB5AA8" w:rsidRDefault="00CE0E79" w:rsidP="00BF476E">
            <w:pPr>
              <w:jc w:val="center"/>
              <w:rPr>
                <w:rFonts w:ascii="Arial" w:hAnsi="Arial" w:cs="Arial"/>
                <w:b/>
                <w:sz w:val="20"/>
                <w:szCs w:val="20"/>
              </w:rPr>
            </w:pPr>
            <w:r w:rsidRPr="00AB5AA8">
              <w:rPr>
                <w:rFonts w:ascii="Arial" w:hAnsi="Arial" w:cs="Arial"/>
                <w:b/>
                <w:sz w:val="20"/>
                <w:szCs w:val="20"/>
              </w:rPr>
              <w:t>Low Dose 20/10mg fortnightly</w:t>
            </w:r>
          </w:p>
          <w:p w:rsidR="00CE0E79" w:rsidRPr="00AB5AA8" w:rsidRDefault="00CE0E79" w:rsidP="00BF476E">
            <w:pPr>
              <w:jc w:val="center"/>
              <w:rPr>
                <w:rFonts w:ascii="Arial" w:hAnsi="Arial" w:cs="Arial"/>
                <w:b/>
                <w:sz w:val="20"/>
                <w:szCs w:val="20"/>
              </w:rPr>
            </w:pPr>
            <w:r w:rsidRPr="00AB5AA8">
              <w:rPr>
                <w:rFonts w:ascii="Arial" w:hAnsi="Arial" w:cs="Arial"/>
                <w:b/>
                <w:sz w:val="20"/>
                <w:szCs w:val="20"/>
              </w:rPr>
              <w:t>N =95</w:t>
            </w:r>
          </w:p>
        </w:tc>
        <w:tc>
          <w:tcPr>
            <w:tcW w:w="1479" w:type="dxa"/>
            <w:shd w:val="clear" w:color="auto" w:fill="auto"/>
          </w:tcPr>
          <w:p w:rsidR="00CE0E79" w:rsidRPr="00AB5AA8" w:rsidRDefault="00CE0E79" w:rsidP="00BF476E">
            <w:pPr>
              <w:jc w:val="center"/>
              <w:rPr>
                <w:rFonts w:ascii="Arial" w:hAnsi="Arial" w:cs="Arial"/>
                <w:b/>
                <w:sz w:val="20"/>
                <w:szCs w:val="20"/>
              </w:rPr>
            </w:pPr>
            <w:r w:rsidRPr="00AB5AA8">
              <w:rPr>
                <w:rFonts w:ascii="Arial" w:hAnsi="Arial" w:cs="Arial"/>
                <w:b/>
                <w:sz w:val="20"/>
                <w:szCs w:val="20"/>
              </w:rPr>
              <w:t>P value*</w:t>
            </w:r>
          </w:p>
        </w:tc>
      </w:tr>
      <w:tr w:rsidR="00CE0E79" w:rsidTr="00BF476E">
        <w:tc>
          <w:tcPr>
            <w:tcW w:w="2310" w:type="dxa"/>
            <w:shd w:val="clear" w:color="auto" w:fill="auto"/>
          </w:tcPr>
          <w:p w:rsidR="00CE0E79" w:rsidRPr="001E11F2" w:rsidRDefault="00CE0E79" w:rsidP="00BF476E">
            <w:pPr>
              <w:rPr>
                <w:rFonts w:ascii="Arial" w:hAnsi="Arial" w:cs="Arial"/>
                <w:sz w:val="20"/>
                <w:szCs w:val="20"/>
              </w:rPr>
            </w:pPr>
            <w:r w:rsidRPr="002E70F6">
              <w:rPr>
                <w:rFonts w:ascii="Arial" w:hAnsi="Arial" w:cs="Arial"/>
                <w:sz w:val="20"/>
                <w:szCs w:val="20"/>
              </w:rPr>
              <w:t>Week 26</w:t>
            </w:r>
          </w:p>
        </w:tc>
        <w:tc>
          <w:tcPr>
            <w:tcW w:w="2901" w:type="dxa"/>
            <w:shd w:val="clear" w:color="auto" w:fill="auto"/>
          </w:tcPr>
          <w:p w:rsidR="00CE0E79" w:rsidRPr="001E11F2" w:rsidRDefault="00CE0E79" w:rsidP="00BF476E">
            <w:pPr>
              <w:rPr>
                <w:rFonts w:ascii="Arial" w:hAnsi="Arial" w:cs="Arial"/>
                <w:sz w:val="20"/>
                <w:szCs w:val="20"/>
              </w:rPr>
            </w:pPr>
          </w:p>
        </w:tc>
        <w:tc>
          <w:tcPr>
            <w:tcW w:w="2552" w:type="dxa"/>
            <w:shd w:val="clear" w:color="auto" w:fill="auto"/>
          </w:tcPr>
          <w:p w:rsidR="00CE0E79" w:rsidRPr="00AB5AA8" w:rsidRDefault="00CE0E79" w:rsidP="00BF476E">
            <w:pPr>
              <w:rPr>
                <w:rFonts w:ascii="Arial" w:hAnsi="Arial" w:cs="Arial"/>
                <w:sz w:val="20"/>
                <w:szCs w:val="20"/>
              </w:rPr>
            </w:pPr>
          </w:p>
        </w:tc>
        <w:tc>
          <w:tcPr>
            <w:tcW w:w="1479" w:type="dxa"/>
            <w:shd w:val="clear" w:color="auto" w:fill="auto"/>
          </w:tcPr>
          <w:p w:rsidR="00CE0E79" w:rsidRPr="00AB5AA8" w:rsidRDefault="00CE0E79" w:rsidP="00BF476E">
            <w:pPr>
              <w:rPr>
                <w:rFonts w:ascii="Arial" w:hAnsi="Arial" w:cs="Arial"/>
                <w:sz w:val="20"/>
                <w:szCs w:val="20"/>
              </w:rPr>
            </w:pPr>
          </w:p>
        </w:tc>
      </w:tr>
      <w:tr w:rsidR="00CE0E79" w:rsidTr="00BF476E">
        <w:tc>
          <w:tcPr>
            <w:tcW w:w="2310" w:type="dxa"/>
            <w:shd w:val="clear" w:color="auto" w:fill="auto"/>
          </w:tcPr>
          <w:p w:rsidR="00CE0E79" w:rsidRPr="001E11F2" w:rsidRDefault="00CE0E79" w:rsidP="00BF476E">
            <w:pPr>
              <w:ind w:left="284"/>
              <w:rPr>
                <w:rFonts w:ascii="Arial" w:hAnsi="Arial" w:cs="Arial"/>
                <w:sz w:val="20"/>
                <w:szCs w:val="20"/>
              </w:rPr>
            </w:pPr>
            <w:r w:rsidRPr="002E70F6">
              <w:rPr>
                <w:rFonts w:ascii="Arial" w:hAnsi="Arial" w:cs="Arial"/>
                <w:sz w:val="20"/>
                <w:szCs w:val="20"/>
              </w:rPr>
              <w:t>Clinical Remission</w:t>
            </w:r>
          </w:p>
        </w:tc>
        <w:tc>
          <w:tcPr>
            <w:tcW w:w="2901" w:type="dxa"/>
            <w:shd w:val="clear" w:color="auto" w:fill="auto"/>
          </w:tcPr>
          <w:p w:rsidR="00CE0E79" w:rsidRPr="001E11F2" w:rsidRDefault="00CE0E79" w:rsidP="00BF476E">
            <w:pPr>
              <w:jc w:val="center"/>
              <w:rPr>
                <w:rFonts w:ascii="Arial" w:hAnsi="Arial" w:cs="Arial"/>
                <w:sz w:val="20"/>
                <w:szCs w:val="20"/>
              </w:rPr>
            </w:pPr>
            <w:r w:rsidRPr="002E70F6">
              <w:rPr>
                <w:rFonts w:ascii="Arial" w:hAnsi="Arial" w:cs="Arial"/>
                <w:sz w:val="20"/>
                <w:szCs w:val="20"/>
              </w:rPr>
              <w:t>38.7%</w:t>
            </w:r>
          </w:p>
        </w:tc>
        <w:tc>
          <w:tcPr>
            <w:tcW w:w="2552" w:type="dxa"/>
            <w:shd w:val="clear" w:color="auto" w:fill="auto"/>
          </w:tcPr>
          <w:p w:rsidR="00CE0E79" w:rsidRPr="001E11F2" w:rsidRDefault="00CE0E79" w:rsidP="00BF476E">
            <w:pPr>
              <w:jc w:val="center"/>
              <w:rPr>
                <w:rFonts w:ascii="Arial" w:hAnsi="Arial" w:cs="Arial"/>
                <w:sz w:val="20"/>
                <w:szCs w:val="20"/>
              </w:rPr>
            </w:pPr>
            <w:r w:rsidRPr="002E70F6">
              <w:rPr>
                <w:rFonts w:ascii="Arial" w:hAnsi="Arial" w:cs="Arial"/>
                <w:sz w:val="20"/>
                <w:szCs w:val="20"/>
              </w:rPr>
              <w:t>28.4%</w:t>
            </w:r>
          </w:p>
        </w:tc>
        <w:tc>
          <w:tcPr>
            <w:tcW w:w="1479" w:type="dxa"/>
            <w:shd w:val="clear" w:color="auto" w:fill="auto"/>
          </w:tcPr>
          <w:p w:rsidR="00CE0E79" w:rsidRPr="001E11F2" w:rsidRDefault="00CE0E79" w:rsidP="00BF476E">
            <w:pPr>
              <w:jc w:val="center"/>
              <w:rPr>
                <w:rFonts w:ascii="Arial" w:hAnsi="Arial" w:cs="Arial"/>
                <w:sz w:val="20"/>
                <w:szCs w:val="20"/>
              </w:rPr>
            </w:pPr>
            <w:r>
              <w:rPr>
                <w:rFonts w:ascii="Arial" w:hAnsi="Arial" w:cs="Arial"/>
                <w:sz w:val="20"/>
                <w:szCs w:val="20"/>
              </w:rPr>
              <w:t>0.0</w:t>
            </w:r>
            <w:r w:rsidRPr="002E70F6">
              <w:rPr>
                <w:rFonts w:ascii="Arial" w:hAnsi="Arial" w:cs="Arial"/>
                <w:sz w:val="20"/>
                <w:szCs w:val="20"/>
              </w:rPr>
              <w:t>75</w:t>
            </w:r>
          </w:p>
        </w:tc>
      </w:tr>
      <w:tr w:rsidR="00CE0E79" w:rsidTr="00BF476E">
        <w:tc>
          <w:tcPr>
            <w:tcW w:w="2310" w:type="dxa"/>
            <w:shd w:val="clear" w:color="auto" w:fill="auto"/>
          </w:tcPr>
          <w:p w:rsidR="00CE0E79" w:rsidRPr="001E11F2" w:rsidRDefault="00CE0E79" w:rsidP="00BF476E">
            <w:pPr>
              <w:ind w:left="284"/>
              <w:rPr>
                <w:rFonts w:ascii="Arial" w:hAnsi="Arial" w:cs="Arial"/>
                <w:sz w:val="20"/>
                <w:szCs w:val="20"/>
              </w:rPr>
            </w:pPr>
            <w:r w:rsidRPr="002E70F6">
              <w:rPr>
                <w:rFonts w:ascii="Arial" w:hAnsi="Arial" w:cs="Arial"/>
                <w:sz w:val="20"/>
                <w:szCs w:val="20"/>
              </w:rPr>
              <w:t>Clinical Response</w:t>
            </w:r>
          </w:p>
        </w:tc>
        <w:tc>
          <w:tcPr>
            <w:tcW w:w="2901" w:type="dxa"/>
            <w:shd w:val="clear" w:color="auto" w:fill="auto"/>
          </w:tcPr>
          <w:p w:rsidR="00CE0E79" w:rsidRPr="001E11F2" w:rsidRDefault="00CE0E79" w:rsidP="00BF476E">
            <w:pPr>
              <w:jc w:val="center"/>
              <w:rPr>
                <w:rFonts w:ascii="Arial" w:hAnsi="Arial" w:cs="Arial"/>
                <w:sz w:val="20"/>
                <w:szCs w:val="20"/>
              </w:rPr>
            </w:pPr>
            <w:r w:rsidRPr="002E70F6">
              <w:rPr>
                <w:rFonts w:ascii="Arial" w:hAnsi="Arial" w:cs="Arial"/>
                <w:sz w:val="20"/>
                <w:szCs w:val="20"/>
              </w:rPr>
              <w:t>59.1%</w:t>
            </w:r>
          </w:p>
        </w:tc>
        <w:tc>
          <w:tcPr>
            <w:tcW w:w="2552" w:type="dxa"/>
            <w:shd w:val="clear" w:color="auto" w:fill="auto"/>
          </w:tcPr>
          <w:p w:rsidR="00CE0E79" w:rsidRPr="001E11F2" w:rsidRDefault="00CE0E79" w:rsidP="00BF476E">
            <w:pPr>
              <w:jc w:val="center"/>
              <w:rPr>
                <w:rFonts w:ascii="Arial" w:hAnsi="Arial" w:cs="Arial"/>
                <w:sz w:val="20"/>
                <w:szCs w:val="20"/>
              </w:rPr>
            </w:pPr>
            <w:r w:rsidRPr="002E70F6">
              <w:rPr>
                <w:rFonts w:ascii="Arial" w:hAnsi="Arial" w:cs="Arial"/>
                <w:sz w:val="20"/>
                <w:szCs w:val="20"/>
              </w:rPr>
              <w:t>48.4%</w:t>
            </w:r>
          </w:p>
        </w:tc>
        <w:tc>
          <w:tcPr>
            <w:tcW w:w="1479" w:type="dxa"/>
            <w:shd w:val="clear" w:color="auto" w:fill="auto"/>
          </w:tcPr>
          <w:p w:rsidR="00CE0E79" w:rsidRPr="001E11F2" w:rsidRDefault="00CE0E79" w:rsidP="00BF476E">
            <w:pPr>
              <w:jc w:val="center"/>
              <w:rPr>
                <w:rFonts w:ascii="Arial" w:hAnsi="Arial" w:cs="Arial"/>
                <w:sz w:val="20"/>
                <w:szCs w:val="20"/>
              </w:rPr>
            </w:pPr>
            <w:r w:rsidRPr="002E70F6">
              <w:rPr>
                <w:rFonts w:ascii="Arial" w:hAnsi="Arial" w:cs="Arial"/>
                <w:sz w:val="20"/>
                <w:szCs w:val="20"/>
              </w:rPr>
              <w:t>0.073</w:t>
            </w:r>
          </w:p>
        </w:tc>
      </w:tr>
      <w:tr w:rsidR="00CE0E79" w:rsidTr="00BF476E">
        <w:tc>
          <w:tcPr>
            <w:tcW w:w="2310" w:type="dxa"/>
            <w:shd w:val="clear" w:color="auto" w:fill="auto"/>
          </w:tcPr>
          <w:p w:rsidR="00CE0E79" w:rsidRPr="001E11F2" w:rsidRDefault="00CE0E79" w:rsidP="00BF476E">
            <w:pPr>
              <w:rPr>
                <w:rFonts w:ascii="Arial" w:hAnsi="Arial" w:cs="Arial"/>
                <w:sz w:val="20"/>
                <w:szCs w:val="20"/>
              </w:rPr>
            </w:pPr>
            <w:r w:rsidRPr="002E70F6">
              <w:rPr>
                <w:rFonts w:ascii="Arial" w:hAnsi="Arial" w:cs="Arial"/>
                <w:sz w:val="20"/>
                <w:szCs w:val="20"/>
              </w:rPr>
              <w:t>Week 52</w:t>
            </w:r>
          </w:p>
        </w:tc>
        <w:tc>
          <w:tcPr>
            <w:tcW w:w="2901" w:type="dxa"/>
            <w:shd w:val="clear" w:color="auto" w:fill="auto"/>
          </w:tcPr>
          <w:p w:rsidR="00CE0E79" w:rsidRPr="001E11F2" w:rsidRDefault="00CE0E79" w:rsidP="00BF476E">
            <w:pPr>
              <w:jc w:val="center"/>
              <w:rPr>
                <w:rFonts w:ascii="Arial" w:hAnsi="Arial" w:cs="Arial"/>
                <w:sz w:val="20"/>
                <w:szCs w:val="20"/>
              </w:rPr>
            </w:pPr>
          </w:p>
        </w:tc>
        <w:tc>
          <w:tcPr>
            <w:tcW w:w="2552" w:type="dxa"/>
            <w:shd w:val="clear" w:color="auto" w:fill="auto"/>
          </w:tcPr>
          <w:p w:rsidR="00CE0E79" w:rsidRPr="00AB5AA8" w:rsidRDefault="00CE0E79" w:rsidP="00BF476E">
            <w:pPr>
              <w:jc w:val="center"/>
              <w:rPr>
                <w:rFonts w:ascii="Arial" w:hAnsi="Arial" w:cs="Arial"/>
                <w:sz w:val="20"/>
                <w:szCs w:val="20"/>
              </w:rPr>
            </w:pPr>
          </w:p>
        </w:tc>
        <w:tc>
          <w:tcPr>
            <w:tcW w:w="1479" w:type="dxa"/>
            <w:shd w:val="clear" w:color="auto" w:fill="auto"/>
          </w:tcPr>
          <w:p w:rsidR="00CE0E79" w:rsidRPr="00AB5AA8" w:rsidRDefault="00CE0E79" w:rsidP="00BF476E">
            <w:pPr>
              <w:jc w:val="center"/>
              <w:rPr>
                <w:rFonts w:ascii="Arial" w:hAnsi="Arial" w:cs="Arial"/>
                <w:sz w:val="20"/>
                <w:szCs w:val="20"/>
              </w:rPr>
            </w:pPr>
          </w:p>
        </w:tc>
      </w:tr>
      <w:tr w:rsidR="00CE0E79" w:rsidTr="00BF476E">
        <w:tc>
          <w:tcPr>
            <w:tcW w:w="2310" w:type="dxa"/>
            <w:shd w:val="clear" w:color="auto" w:fill="auto"/>
          </w:tcPr>
          <w:p w:rsidR="00CE0E79" w:rsidRPr="001E11F2" w:rsidRDefault="00CE0E79" w:rsidP="00BF476E">
            <w:pPr>
              <w:ind w:left="284"/>
              <w:jc w:val="both"/>
              <w:rPr>
                <w:rFonts w:ascii="Arial" w:hAnsi="Arial" w:cs="Arial"/>
                <w:sz w:val="20"/>
                <w:szCs w:val="20"/>
              </w:rPr>
            </w:pPr>
            <w:r w:rsidRPr="002E70F6">
              <w:rPr>
                <w:rFonts w:ascii="Arial" w:hAnsi="Arial" w:cs="Arial"/>
                <w:sz w:val="20"/>
                <w:szCs w:val="20"/>
              </w:rPr>
              <w:t>Clinical Remission</w:t>
            </w:r>
          </w:p>
        </w:tc>
        <w:tc>
          <w:tcPr>
            <w:tcW w:w="2901" w:type="dxa"/>
            <w:shd w:val="clear" w:color="auto" w:fill="auto"/>
          </w:tcPr>
          <w:p w:rsidR="00CE0E79" w:rsidRPr="001E11F2" w:rsidRDefault="00CE0E79" w:rsidP="00BF476E">
            <w:pPr>
              <w:jc w:val="center"/>
              <w:rPr>
                <w:rFonts w:ascii="Arial" w:hAnsi="Arial" w:cs="Arial"/>
                <w:sz w:val="20"/>
                <w:szCs w:val="20"/>
              </w:rPr>
            </w:pPr>
            <w:r w:rsidRPr="002E70F6">
              <w:rPr>
                <w:rFonts w:ascii="Arial" w:hAnsi="Arial" w:cs="Arial"/>
                <w:sz w:val="20"/>
                <w:szCs w:val="20"/>
              </w:rPr>
              <w:t>33.3%</w:t>
            </w:r>
          </w:p>
        </w:tc>
        <w:tc>
          <w:tcPr>
            <w:tcW w:w="2552" w:type="dxa"/>
            <w:shd w:val="clear" w:color="auto" w:fill="auto"/>
          </w:tcPr>
          <w:p w:rsidR="00CE0E79" w:rsidRPr="001E11F2" w:rsidRDefault="00CE0E79" w:rsidP="00BF476E">
            <w:pPr>
              <w:jc w:val="center"/>
              <w:rPr>
                <w:rFonts w:ascii="Arial" w:hAnsi="Arial" w:cs="Arial"/>
                <w:sz w:val="20"/>
                <w:szCs w:val="20"/>
              </w:rPr>
            </w:pPr>
            <w:r w:rsidRPr="002E70F6">
              <w:rPr>
                <w:rFonts w:ascii="Arial" w:hAnsi="Arial" w:cs="Arial"/>
                <w:sz w:val="20"/>
                <w:szCs w:val="20"/>
              </w:rPr>
              <w:t>23.2%</w:t>
            </w:r>
          </w:p>
        </w:tc>
        <w:tc>
          <w:tcPr>
            <w:tcW w:w="1479" w:type="dxa"/>
            <w:shd w:val="clear" w:color="auto" w:fill="auto"/>
          </w:tcPr>
          <w:p w:rsidR="00CE0E79" w:rsidRPr="001E11F2" w:rsidRDefault="00CE0E79" w:rsidP="00BF476E">
            <w:pPr>
              <w:jc w:val="center"/>
              <w:rPr>
                <w:rFonts w:ascii="Arial" w:hAnsi="Arial" w:cs="Arial"/>
                <w:sz w:val="20"/>
                <w:szCs w:val="20"/>
              </w:rPr>
            </w:pPr>
            <w:r w:rsidRPr="002E70F6">
              <w:rPr>
                <w:rFonts w:ascii="Arial" w:hAnsi="Arial" w:cs="Arial"/>
                <w:sz w:val="20"/>
                <w:szCs w:val="20"/>
              </w:rPr>
              <w:t>0.100</w:t>
            </w:r>
          </w:p>
        </w:tc>
      </w:tr>
      <w:tr w:rsidR="00CE0E79" w:rsidTr="00BF476E">
        <w:tc>
          <w:tcPr>
            <w:tcW w:w="2310" w:type="dxa"/>
            <w:shd w:val="clear" w:color="auto" w:fill="auto"/>
          </w:tcPr>
          <w:p w:rsidR="00CE0E79" w:rsidRPr="001E11F2" w:rsidRDefault="00CE0E79" w:rsidP="00BF476E">
            <w:pPr>
              <w:ind w:left="284"/>
              <w:jc w:val="both"/>
              <w:rPr>
                <w:rFonts w:ascii="Arial" w:hAnsi="Arial" w:cs="Arial"/>
                <w:sz w:val="20"/>
                <w:szCs w:val="20"/>
              </w:rPr>
            </w:pPr>
            <w:r w:rsidRPr="002E70F6">
              <w:rPr>
                <w:rFonts w:ascii="Arial" w:hAnsi="Arial" w:cs="Arial"/>
                <w:sz w:val="20"/>
                <w:szCs w:val="20"/>
              </w:rPr>
              <w:t>Clinical Response</w:t>
            </w:r>
          </w:p>
        </w:tc>
        <w:tc>
          <w:tcPr>
            <w:tcW w:w="2901" w:type="dxa"/>
            <w:shd w:val="clear" w:color="auto" w:fill="auto"/>
          </w:tcPr>
          <w:p w:rsidR="00CE0E79" w:rsidRPr="001E11F2" w:rsidRDefault="00CE0E79" w:rsidP="00BF476E">
            <w:pPr>
              <w:jc w:val="center"/>
              <w:rPr>
                <w:rFonts w:ascii="Arial" w:hAnsi="Arial" w:cs="Arial"/>
                <w:sz w:val="20"/>
                <w:szCs w:val="20"/>
              </w:rPr>
            </w:pPr>
            <w:r w:rsidRPr="002E70F6">
              <w:rPr>
                <w:rFonts w:ascii="Arial" w:hAnsi="Arial" w:cs="Arial"/>
                <w:sz w:val="20"/>
                <w:szCs w:val="20"/>
              </w:rPr>
              <w:t>41.9%</w:t>
            </w:r>
          </w:p>
        </w:tc>
        <w:tc>
          <w:tcPr>
            <w:tcW w:w="2552" w:type="dxa"/>
            <w:shd w:val="clear" w:color="auto" w:fill="auto"/>
          </w:tcPr>
          <w:p w:rsidR="00CE0E79" w:rsidRPr="001E11F2" w:rsidRDefault="00CE0E79" w:rsidP="00BF476E">
            <w:pPr>
              <w:jc w:val="center"/>
              <w:rPr>
                <w:rFonts w:ascii="Arial" w:hAnsi="Arial" w:cs="Arial"/>
                <w:sz w:val="20"/>
                <w:szCs w:val="20"/>
              </w:rPr>
            </w:pPr>
            <w:r w:rsidRPr="002E70F6">
              <w:rPr>
                <w:rFonts w:ascii="Arial" w:hAnsi="Arial" w:cs="Arial"/>
                <w:sz w:val="20"/>
                <w:szCs w:val="20"/>
              </w:rPr>
              <w:t>28.4%</w:t>
            </w:r>
          </w:p>
        </w:tc>
        <w:tc>
          <w:tcPr>
            <w:tcW w:w="1479" w:type="dxa"/>
            <w:shd w:val="clear" w:color="auto" w:fill="auto"/>
          </w:tcPr>
          <w:p w:rsidR="00CE0E79" w:rsidRPr="001E11F2" w:rsidRDefault="00CE0E79" w:rsidP="00BF476E">
            <w:pPr>
              <w:jc w:val="center"/>
              <w:rPr>
                <w:rFonts w:ascii="Arial" w:hAnsi="Arial" w:cs="Arial"/>
                <w:sz w:val="20"/>
                <w:szCs w:val="20"/>
              </w:rPr>
            </w:pPr>
            <w:r w:rsidRPr="002E70F6">
              <w:rPr>
                <w:rFonts w:ascii="Arial" w:hAnsi="Arial" w:cs="Arial"/>
                <w:sz w:val="20"/>
                <w:szCs w:val="20"/>
              </w:rPr>
              <w:t>0.038</w:t>
            </w:r>
          </w:p>
        </w:tc>
      </w:tr>
      <w:tr w:rsidR="00CE0E79" w:rsidTr="00BF476E">
        <w:tc>
          <w:tcPr>
            <w:tcW w:w="9242" w:type="dxa"/>
            <w:gridSpan w:val="4"/>
            <w:shd w:val="clear" w:color="auto" w:fill="auto"/>
          </w:tcPr>
          <w:p w:rsidR="00CE0E79" w:rsidRPr="001E11F2" w:rsidRDefault="00CE0E79" w:rsidP="00BF476E">
            <w:pPr>
              <w:rPr>
                <w:rFonts w:ascii="Arial" w:hAnsi="Arial" w:cs="Arial"/>
                <w:sz w:val="20"/>
                <w:szCs w:val="20"/>
              </w:rPr>
            </w:pPr>
            <w:r w:rsidRPr="002E70F6">
              <w:rPr>
                <w:rFonts w:ascii="Arial" w:hAnsi="Arial" w:cs="Arial"/>
                <w:sz w:val="20"/>
                <w:szCs w:val="20"/>
              </w:rPr>
              <w:t>*p value for Standard Dose versus Low Dose comparison</w:t>
            </w:r>
          </w:p>
        </w:tc>
      </w:tr>
    </w:tbl>
    <w:p w:rsidR="00CE0E79" w:rsidRDefault="00CE0E79" w:rsidP="00CE0E79"/>
    <w:p w:rsidR="00CE0E79" w:rsidRDefault="00CE0E79" w:rsidP="00CE0E79">
      <w:pPr>
        <w:rPr>
          <w:rFonts w:ascii="Arial" w:hAnsi="Arial" w:cs="Arial"/>
          <w:bCs/>
          <w:sz w:val="20"/>
          <w:szCs w:val="22"/>
        </w:rPr>
      </w:pPr>
      <w:r w:rsidRPr="00327A60">
        <w:rPr>
          <w:rFonts w:ascii="Arial" w:hAnsi="Arial" w:cs="Arial"/>
          <w:bCs/>
          <w:sz w:val="20"/>
          <w:szCs w:val="22"/>
        </w:rPr>
        <w:t>The median PCDAI score of 40 observed in the study population at Baseline was chosen as the cut-off for differentiating moderate and severe disease. Subjects with Baseline PCDAI Scores &lt;40 were classified as having moderate disease and subjects with Baseline PCDAI Scores ≥ 40 were classified as having severe disease. For subjects with Baseline PCDAI Scores (Median) ≥ 40</w:t>
      </w:r>
      <w:r>
        <w:rPr>
          <w:rFonts w:ascii="Arial" w:hAnsi="Arial" w:cs="Arial"/>
          <w:bCs/>
          <w:sz w:val="20"/>
          <w:szCs w:val="22"/>
        </w:rPr>
        <w:t xml:space="preserve"> </w:t>
      </w:r>
      <w:r w:rsidRPr="00327A60">
        <w:rPr>
          <w:rFonts w:ascii="Arial" w:hAnsi="Arial" w:cs="Arial"/>
          <w:bCs/>
          <w:sz w:val="20"/>
          <w:szCs w:val="22"/>
        </w:rPr>
        <w:t>(severe CD subjects), Standard Dose was more effective</w:t>
      </w:r>
      <w:r>
        <w:rPr>
          <w:rFonts w:ascii="Arial" w:hAnsi="Arial" w:cs="Arial"/>
          <w:bCs/>
          <w:sz w:val="20"/>
          <w:szCs w:val="22"/>
        </w:rPr>
        <w:t xml:space="preserve"> </w:t>
      </w:r>
      <w:r w:rsidRPr="00327A60">
        <w:rPr>
          <w:rFonts w:ascii="Arial" w:hAnsi="Arial" w:cs="Arial"/>
          <w:bCs/>
          <w:sz w:val="20"/>
          <w:szCs w:val="22"/>
        </w:rPr>
        <w:t>than Low Dose at Week 52 for Clinical remission and</w:t>
      </w:r>
      <w:r>
        <w:rPr>
          <w:rFonts w:ascii="Arial" w:hAnsi="Arial" w:cs="Arial"/>
          <w:bCs/>
          <w:sz w:val="20"/>
          <w:szCs w:val="22"/>
        </w:rPr>
        <w:t xml:space="preserve"> </w:t>
      </w:r>
      <w:r w:rsidRPr="001E11F2">
        <w:rPr>
          <w:rFonts w:ascii="Arial" w:hAnsi="Arial" w:cs="Arial"/>
          <w:bCs/>
          <w:sz w:val="20"/>
          <w:szCs w:val="22"/>
        </w:rPr>
        <w:t xml:space="preserve">Clinical response (Table </w:t>
      </w:r>
      <w:r>
        <w:rPr>
          <w:rFonts w:ascii="Arial" w:hAnsi="Arial" w:cs="Arial"/>
          <w:bCs/>
          <w:sz w:val="20"/>
          <w:szCs w:val="22"/>
        </w:rPr>
        <w:t>18</w:t>
      </w:r>
      <w:r w:rsidRPr="00327A60">
        <w:rPr>
          <w:rFonts w:ascii="Arial" w:hAnsi="Arial" w:cs="Arial"/>
          <w:bCs/>
          <w:sz w:val="20"/>
          <w:szCs w:val="22"/>
        </w:rPr>
        <w:t>).</w:t>
      </w:r>
    </w:p>
    <w:p w:rsidR="00CE0E79" w:rsidRDefault="00CE0E79" w:rsidP="00CE0E79">
      <w:pPr>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482"/>
        <w:gridCol w:w="1417"/>
        <w:gridCol w:w="1061"/>
        <w:gridCol w:w="1491"/>
        <w:gridCol w:w="1417"/>
        <w:gridCol w:w="1054"/>
      </w:tblGrid>
      <w:tr w:rsidR="00CE0E79" w:rsidRPr="002E70F6" w:rsidTr="00BF476E">
        <w:tc>
          <w:tcPr>
            <w:tcW w:w="9242" w:type="dxa"/>
            <w:gridSpan w:val="7"/>
            <w:shd w:val="clear" w:color="auto" w:fill="auto"/>
          </w:tcPr>
          <w:p w:rsidR="00CE0E79" w:rsidRPr="001E11F2" w:rsidRDefault="00CE0E79" w:rsidP="00BF476E">
            <w:pPr>
              <w:spacing w:after="60"/>
              <w:jc w:val="center"/>
              <w:rPr>
                <w:rFonts w:ascii="Arial" w:hAnsi="Arial" w:cs="Arial"/>
                <w:b/>
                <w:bCs/>
                <w:sz w:val="20"/>
                <w:szCs w:val="22"/>
              </w:rPr>
            </w:pPr>
            <w:r w:rsidRPr="001E11F2">
              <w:rPr>
                <w:rFonts w:ascii="Arial" w:hAnsi="Arial" w:cs="Arial"/>
                <w:b/>
                <w:bCs/>
                <w:sz w:val="20"/>
                <w:szCs w:val="22"/>
              </w:rPr>
              <w:t>Table 18: Maintenance of Clinical Remission and Response by Baseline PCDAI Score at Week 52 in Paediatric CD Study</w:t>
            </w:r>
          </w:p>
        </w:tc>
      </w:tr>
      <w:tr w:rsidR="00CE0E79" w:rsidRPr="002E70F6" w:rsidTr="00BF476E">
        <w:tc>
          <w:tcPr>
            <w:tcW w:w="1320" w:type="dxa"/>
            <w:shd w:val="clear" w:color="auto" w:fill="auto"/>
          </w:tcPr>
          <w:p w:rsidR="00CE0E79" w:rsidRPr="001E11F2" w:rsidRDefault="00CE0E79" w:rsidP="00BF476E">
            <w:pPr>
              <w:rPr>
                <w:rFonts w:ascii="Arial" w:hAnsi="Arial" w:cs="Arial"/>
                <w:b/>
                <w:bCs/>
                <w:sz w:val="20"/>
                <w:szCs w:val="22"/>
              </w:rPr>
            </w:pPr>
          </w:p>
        </w:tc>
        <w:tc>
          <w:tcPr>
            <w:tcW w:w="3960" w:type="dxa"/>
            <w:gridSpan w:val="3"/>
            <w:shd w:val="clear" w:color="auto" w:fill="auto"/>
          </w:tcPr>
          <w:p w:rsidR="00CE0E79" w:rsidRPr="001E11F2" w:rsidRDefault="00CE0E79" w:rsidP="00BF476E">
            <w:pPr>
              <w:jc w:val="center"/>
              <w:rPr>
                <w:rFonts w:ascii="Arial" w:hAnsi="Arial" w:cs="Arial"/>
                <w:b/>
                <w:bCs/>
                <w:sz w:val="20"/>
                <w:szCs w:val="22"/>
              </w:rPr>
            </w:pPr>
            <w:r w:rsidRPr="001E11F2">
              <w:rPr>
                <w:rFonts w:ascii="Arial" w:hAnsi="Arial" w:cs="Arial"/>
                <w:b/>
                <w:bCs/>
                <w:sz w:val="20"/>
                <w:szCs w:val="22"/>
              </w:rPr>
              <w:t>Baseline PCDAI &lt;40</w:t>
            </w:r>
          </w:p>
          <w:p w:rsidR="00CE0E79" w:rsidRPr="00AB5AA8" w:rsidRDefault="00CE0E79" w:rsidP="00BF476E">
            <w:pPr>
              <w:jc w:val="center"/>
              <w:rPr>
                <w:rFonts w:ascii="Arial" w:hAnsi="Arial" w:cs="Arial"/>
                <w:b/>
                <w:bCs/>
                <w:sz w:val="20"/>
                <w:szCs w:val="22"/>
              </w:rPr>
            </w:pPr>
            <w:r w:rsidRPr="00AB5AA8">
              <w:rPr>
                <w:rFonts w:ascii="Arial" w:hAnsi="Arial" w:cs="Arial"/>
                <w:b/>
                <w:bCs/>
                <w:sz w:val="20"/>
                <w:szCs w:val="22"/>
              </w:rPr>
              <w:t>(Moderate CD)</w:t>
            </w:r>
          </w:p>
        </w:tc>
        <w:tc>
          <w:tcPr>
            <w:tcW w:w="3962" w:type="dxa"/>
            <w:gridSpan w:val="3"/>
            <w:shd w:val="clear" w:color="auto" w:fill="auto"/>
          </w:tcPr>
          <w:p w:rsidR="00CE0E79" w:rsidRPr="001E11F2" w:rsidRDefault="00CE0E79" w:rsidP="00BF476E">
            <w:pPr>
              <w:jc w:val="center"/>
              <w:rPr>
                <w:rFonts w:ascii="Arial" w:hAnsi="Arial" w:cs="Arial"/>
                <w:b/>
                <w:bCs/>
                <w:sz w:val="20"/>
                <w:szCs w:val="22"/>
              </w:rPr>
            </w:pPr>
            <w:r w:rsidRPr="00AB5AA8">
              <w:rPr>
                <w:rFonts w:ascii="Arial" w:hAnsi="Arial" w:cs="Arial"/>
                <w:b/>
                <w:bCs/>
                <w:sz w:val="20"/>
                <w:szCs w:val="22"/>
              </w:rPr>
              <w:t xml:space="preserve">Baseline PCDAI </w:t>
            </w:r>
            <w:r>
              <w:rPr>
                <w:rFonts w:ascii="Arial" w:hAnsi="Arial" w:cs="Arial"/>
                <w:b/>
                <w:bCs/>
                <w:sz w:val="20"/>
                <w:szCs w:val="22"/>
                <w:u w:val="single"/>
              </w:rPr>
              <w:t>≥</w:t>
            </w:r>
            <w:r w:rsidRPr="001E11F2">
              <w:rPr>
                <w:rFonts w:ascii="Arial" w:hAnsi="Arial" w:cs="Arial"/>
                <w:b/>
                <w:bCs/>
                <w:sz w:val="20"/>
                <w:szCs w:val="22"/>
              </w:rPr>
              <w:t>40</w:t>
            </w:r>
          </w:p>
          <w:p w:rsidR="00CE0E79" w:rsidRPr="00AB5AA8" w:rsidRDefault="00CE0E79" w:rsidP="00BF476E">
            <w:pPr>
              <w:jc w:val="center"/>
              <w:rPr>
                <w:rFonts w:ascii="Arial" w:hAnsi="Arial" w:cs="Arial"/>
                <w:b/>
                <w:bCs/>
                <w:sz w:val="20"/>
                <w:szCs w:val="22"/>
              </w:rPr>
            </w:pPr>
            <w:r w:rsidRPr="001E11F2">
              <w:rPr>
                <w:rFonts w:ascii="Arial" w:hAnsi="Arial" w:cs="Arial"/>
                <w:b/>
                <w:bCs/>
                <w:sz w:val="20"/>
                <w:szCs w:val="22"/>
              </w:rPr>
              <w:t>(Severe CD)</w:t>
            </w:r>
          </w:p>
        </w:tc>
      </w:tr>
      <w:tr w:rsidR="00CE0E79" w:rsidRPr="002E70F6" w:rsidTr="00BF476E">
        <w:tc>
          <w:tcPr>
            <w:tcW w:w="1320" w:type="dxa"/>
            <w:shd w:val="clear" w:color="auto" w:fill="auto"/>
          </w:tcPr>
          <w:p w:rsidR="00CE0E79" w:rsidRPr="001E11F2" w:rsidRDefault="00CE0E79" w:rsidP="00BF476E">
            <w:pPr>
              <w:rPr>
                <w:rFonts w:ascii="Arial" w:hAnsi="Arial" w:cs="Arial"/>
                <w:b/>
                <w:bCs/>
                <w:sz w:val="20"/>
                <w:szCs w:val="22"/>
              </w:rPr>
            </w:pPr>
          </w:p>
        </w:tc>
        <w:tc>
          <w:tcPr>
            <w:tcW w:w="1482" w:type="dxa"/>
            <w:shd w:val="clear" w:color="auto" w:fill="auto"/>
          </w:tcPr>
          <w:p w:rsidR="00CE0E79" w:rsidRPr="001E11F2" w:rsidRDefault="00CE0E79" w:rsidP="00BF476E">
            <w:pPr>
              <w:jc w:val="center"/>
              <w:rPr>
                <w:rFonts w:ascii="Arial" w:hAnsi="Arial" w:cs="Arial"/>
                <w:b/>
                <w:sz w:val="20"/>
                <w:szCs w:val="20"/>
              </w:rPr>
            </w:pPr>
            <w:r w:rsidRPr="001E11F2">
              <w:rPr>
                <w:rFonts w:ascii="Arial" w:hAnsi="Arial" w:cs="Arial"/>
                <w:b/>
                <w:sz w:val="20"/>
                <w:szCs w:val="20"/>
              </w:rPr>
              <w:t>Standard Dose 40/20mg fortnightly</w:t>
            </w:r>
          </w:p>
          <w:p w:rsidR="00CE0E79" w:rsidRPr="00AB5AA8" w:rsidRDefault="00CE0E79" w:rsidP="00BF476E">
            <w:pPr>
              <w:jc w:val="center"/>
              <w:rPr>
                <w:rFonts w:ascii="Arial" w:hAnsi="Arial" w:cs="Arial"/>
                <w:b/>
                <w:bCs/>
                <w:sz w:val="20"/>
                <w:szCs w:val="22"/>
              </w:rPr>
            </w:pPr>
            <w:r w:rsidRPr="00AB5AA8">
              <w:rPr>
                <w:rFonts w:ascii="Arial" w:hAnsi="Arial" w:cs="Arial"/>
                <w:b/>
                <w:bCs/>
                <w:sz w:val="20"/>
                <w:szCs w:val="22"/>
              </w:rPr>
              <w:t>N=39</w:t>
            </w:r>
          </w:p>
        </w:tc>
        <w:tc>
          <w:tcPr>
            <w:tcW w:w="1417" w:type="dxa"/>
            <w:shd w:val="clear" w:color="auto" w:fill="auto"/>
          </w:tcPr>
          <w:p w:rsidR="00CE0E79" w:rsidRPr="00AB5AA8" w:rsidRDefault="00CE0E79" w:rsidP="00BF476E">
            <w:pPr>
              <w:jc w:val="center"/>
              <w:rPr>
                <w:rFonts w:ascii="Arial" w:hAnsi="Arial" w:cs="Arial"/>
                <w:b/>
                <w:sz w:val="20"/>
                <w:szCs w:val="20"/>
              </w:rPr>
            </w:pPr>
            <w:r w:rsidRPr="00AB5AA8">
              <w:rPr>
                <w:rFonts w:ascii="Arial" w:hAnsi="Arial" w:cs="Arial"/>
                <w:b/>
                <w:sz w:val="20"/>
                <w:szCs w:val="20"/>
              </w:rPr>
              <w:t>Low Dose 20/10mg fortnightly</w:t>
            </w:r>
          </w:p>
          <w:p w:rsidR="00CE0E79" w:rsidRDefault="00CE0E79" w:rsidP="00BF476E">
            <w:pPr>
              <w:jc w:val="center"/>
              <w:rPr>
                <w:rFonts w:ascii="Arial" w:hAnsi="Arial" w:cs="Arial"/>
                <w:b/>
                <w:sz w:val="20"/>
                <w:szCs w:val="20"/>
              </w:rPr>
            </w:pPr>
          </w:p>
          <w:p w:rsidR="00CE0E79" w:rsidRPr="00AB5AA8" w:rsidRDefault="00CE0E79" w:rsidP="00BF476E">
            <w:pPr>
              <w:jc w:val="center"/>
              <w:rPr>
                <w:rFonts w:ascii="Arial" w:hAnsi="Arial" w:cs="Arial"/>
                <w:b/>
                <w:bCs/>
                <w:sz w:val="20"/>
                <w:szCs w:val="22"/>
              </w:rPr>
            </w:pPr>
            <w:r w:rsidRPr="001E11F2">
              <w:rPr>
                <w:rFonts w:ascii="Arial" w:hAnsi="Arial" w:cs="Arial"/>
                <w:b/>
                <w:sz w:val="20"/>
                <w:szCs w:val="20"/>
              </w:rPr>
              <w:t>N =41</w:t>
            </w:r>
          </w:p>
        </w:tc>
        <w:tc>
          <w:tcPr>
            <w:tcW w:w="1061" w:type="dxa"/>
            <w:shd w:val="clear" w:color="auto" w:fill="auto"/>
          </w:tcPr>
          <w:p w:rsidR="00CE0E79" w:rsidRPr="00AB5AA8" w:rsidRDefault="00CE0E79" w:rsidP="00BF476E">
            <w:pPr>
              <w:jc w:val="center"/>
              <w:rPr>
                <w:rFonts w:ascii="Arial" w:hAnsi="Arial" w:cs="Arial"/>
                <w:b/>
                <w:bCs/>
                <w:sz w:val="20"/>
                <w:szCs w:val="22"/>
              </w:rPr>
            </w:pPr>
            <w:r w:rsidRPr="00AB5AA8">
              <w:rPr>
                <w:rFonts w:ascii="Arial" w:hAnsi="Arial" w:cs="Arial"/>
                <w:b/>
                <w:sz w:val="20"/>
                <w:szCs w:val="20"/>
              </w:rPr>
              <w:t>P value*</w:t>
            </w:r>
          </w:p>
        </w:tc>
        <w:tc>
          <w:tcPr>
            <w:tcW w:w="1491" w:type="dxa"/>
            <w:shd w:val="clear" w:color="auto" w:fill="auto"/>
          </w:tcPr>
          <w:p w:rsidR="00CE0E79" w:rsidRPr="00AB5AA8" w:rsidRDefault="00CE0E79" w:rsidP="00BF476E">
            <w:pPr>
              <w:jc w:val="center"/>
              <w:rPr>
                <w:rFonts w:ascii="Arial" w:hAnsi="Arial" w:cs="Arial"/>
                <w:b/>
                <w:sz w:val="20"/>
                <w:szCs w:val="20"/>
              </w:rPr>
            </w:pPr>
            <w:r w:rsidRPr="00AB5AA8">
              <w:rPr>
                <w:rFonts w:ascii="Arial" w:hAnsi="Arial" w:cs="Arial"/>
                <w:b/>
                <w:sz w:val="20"/>
                <w:szCs w:val="20"/>
              </w:rPr>
              <w:t>Standard Dose 40/20mg fortnightly</w:t>
            </w:r>
          </w:p>
          <w:p w:rsidR="00CE0E79" w:rsidRPr="00AB5AA8" w:rsidRDefault="00CE0E79" w:rsidP="00BF476E">
            <w:pPr>
              <w:jc w:val="center"/>
              <w:rPr>
                <w:rFonts w:ascii="Arial" w:hAnsi="Arial" w:cs="Arial"/>
                <w:b/>
                <w:bCs/>
                <w:sz w:val="20"/>
                <w:szCs w:val="22"/>
              </w:rPr>
            </w:pPr>
            <w:r w:rsidRPr="00AB5AA8">
              <w:rPr>
                <w:rFonts w:ascii="Arial" w:hAnsi="Arial" w:cs="Arial"/>
                <w:b/>
                <w:bCs/>
                <w:sz w:val="20"/>
                <w:szCs w:val="22"/>
              </w:rPr>
              <w:t>N=54</w:t>
            </w:r>
          </w:p>
        </w:tc>
        <w:tc>
          <w:tcPr>
            <w:tcW w:w="1417" w:type="dxa"/>
            <w:shd w:val="clear" w:color="auto" w:fill="auto"/>
          </w:tcPr>
          <w:p w:rsidR="00CE0E79" w:rsidRPr="00AB5AA8" w:rsidRDefault="00CE0E79" w:rsidP="00BF476E">
            <w:pPr>
              <w:jc w:val="center"/>
              <w:rPr>
                <w:rFonts w:ascii="Arial" w:hAnsi="Arial" w:cs="Arial"/>
                <w:b/>
                <w:sz w:val="20"/>
                <w:szCs w:val="20"/>
              </w:rPr>
            </w:pPr>
            <w:r w:rsidRPr="00AB5AA8">
              <w:rPr>
                <w:rFonts w:ascii="Arial" w:hAnsi="Arial" w:cs="Arial"/>
                <w:b/>
                <w:sz w:val="20"/>
                <w:szCs w:val="20"/>
              </w:rPr>
              <w:t>Low Dose 20/10mg fortnightly</w:t>
            </w:r>
          </w:p>
          <w:p w:rsidR="00CE0E79" w:rsidRDefault="00CE0E79" w:rsidP="00BF476E">
            <w:pPr>
              <w:jc w:val="center"/>
              <w:rPr>
                <w:rFonts w:ascii="Arial" w:hAnsi="Arial" w:cs="Arial"/>
                <w:b/>
                <w:sz w:val="20"/>
                <w:szCs w:val="20"/>
              </w:rPr>
            </w:pPr>
          </w:p>
          <w:p w:rsidR="00CE0E79" w:rsidRPr="001E11F2" w:rsidRDefault="00CE0E79" w:rsidP="00BF476E">
            <w:pPr>
              <w:jc w:val="center"/>
              <w:rPr>
                <w:rFonts w:ascii="Arial" w:hAnsi="Arial" w:cs="Arial"/>
                <w:b/>
                <w:bCs/>
                <w:sz w:val="20"/>
                <w:szCs w:val="22"/>
              </w:rPr>
            </w:pPr>
            <w:r w:rsidRPr="001E11F2">
              <w:rPr>
                <w:rFonts w:ascii="Arial" w:hAnsi="Arial" w:cs="Arial"/>
                <w:b/>
                <w:sz w:val="20"/>
                <w:szCs w:val="20"/>
              </w:rPr>
              <w:t>N =54</w:t>
            </w:r>
          </w:p>
        </w:tc>
        <w:tc>
          <w:tcPr>
            <w:tcW w:w="1054" w:type="dxa"/>
            <w:shd w:val="clear" w:color="auto" w:fill="auto"/>
          </w:tcPr>
          <w:p w:rsidR="00CE0E79" w:rsidRPr="00AB5AA8" w:rsidRDefault="00CE0E79" w:rsidP="00BF476E">
            <w:pPr>
              <w:jc w:val="center"/>
              <w:rPr>
                <w:rFonts w:ascii="Arial" w:hAnsi="Arial" w:cs="Arial"/>
                <w:b/>
                <w:bCs/>
                <w:sz w:val="20"/>
                <w:szCs w:val="22"/>
              </w:rPr>
            </w:pPr>
            <w:r w:rsidRPr="00AB5AA8">
              <w:rPr>
                <w:rFonts w:ascii="Arial" w:hAnsi="Arial" w:cs="Arial"/>
                <w:b/>
                <w:sz w:val="20"/>
                <w:szCs w:val="20"/>
              </w:rPr>
              <w:t>P value*</w:t>
            </w:r>
          </w:p>
        </w:tc>
      </w:tr>
      <w:tr w:rsidR="00CE0E79" w:rsidRPr="002E70F6" w:rsidTr="00BF476E">
        <w:tc>
          <w:tcPr>
            <w:tcW w:w="1320" w:type="dxa"/>
            <w:shd w:val="clear" w:color="auto" w:fill="auto"/>
          </w:tcPr>
          <w:p w:rsidR="00CE0E79" w:rsidRPr="002E70F6" w:rsidRDefault="00CE0E79" w:rsidP="00BF476E">
            <w:pPr>
              <w:rPr>
                <w:rFonts w:ascii="Arial" w:hAnsi="Arial" w:cs="Arial"/>
                <w:bCs/>
                <w:sz w:val="20"/>
                <w:szCs w:val="22"/>
              </w:rPr>
            </w:pPr>
            <w:r w:rsidRPr="002E70F6">
              <w:rPr>
                <w:rFonts w:ascii="Arial" w:hAnsi="Arial" w:cs="Arial"/>
                <w:bCs/>
                <w:sz w:val="20"/>
                <w:szCs w:val="22"/>
              </w:rPr>
              <w:t>Clinical remission</w:t>
            </w:r>
          </w:p>
        </w:tc>
        <w:tc>
          <w:tcPr>
            <w:tcW w:w="1482"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35.9%</w:t>
            </w:r>
          </w:p>
        </w:tc>
        <w:tc>
          <w:tcPr>
            <w:tcW w:w="1417"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36.6%</w:t>
            </w:r>
          </w:p>
        </w:tc>
        <w:tc>
          <w:tcPr>
            <w:tcW w:w="1061"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0.949</w:t>
            </w:r>
          </w:p>
        </w:tc>
        <w:tc>
          <w:tcPr>
            <w:tcW w:w="1491"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31.5%</w:t>
            </w:r>
          </w:p>
        </w:tc>
        <w:tc>
          <w:tcPr>
            <w:tcW w:w="1417"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13.0%</w:t>
            </w:r>
          </w:p>
        </w:tc>
        <w:tc>
          <w:tcPr>
            <w:tcW w:w="1054"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0.021*</w:t>
            </w:r>
          </w:p>
        </w:tc>
      </w:tr>
      <w:tr w:rsidR="00CE0E79" w:rsidRPr="002E70F6" w:rsidTr="00BF476E">
        <w:tc>
          <w:tcPr>
            <w:tcW w:w="1320" w:type="dxa"/>
            <w:shd w:val="clear" w:color="auto" w:fill="auto"/>
          </w:tcPr>
          <w:p w:rsidR="00CE0E79" w:rsidRPr="002E70F6" w:rsidRDefault="00CE0E79" w:rsidP="00BF476E">
            <w:pPr>
              <w:rPr>
                <w:rFonts w:ascii="Arial" w:hAnsi="Arial" w:cs="Arial"/>
                <w:bCs/>
                <w:sz w:val="20"/>
                <w:szCs w:val="22"/>
              </w:rPr>
            </w:pPr>
            <w:r w:rsidRPr="002E70F6">
              <w:rPr>
                <w:rFonts w:ascii="Arial" w:hAnsi="Arial" w:cs="Arial"/>
                <w:bCs/>
                <w:sz w:val="20"/>
                <w:szCs w:val="22"/>
              </w:rPr>
              <w:t>Clinical response</w:t>
            </w:r>
          </w:p>
        </w:tc>
        <w:tc>
          <w:tcPr>
            <w:tcW w:w="1482"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46.2%</w:t>
            </w:r>
          </w:p>
        </w:tc>
        <w:tc>
          <w:tcPr>
            <w:tcW w:w="1417"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41.5%</w:t>
            </w:r>
          </w:p>
        </w:tc>
        <w:tc>
          <w:tcPr>
            <w:tcW w:w="1061"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0.673</w:t>
            </w:r>
          </w:p>
        </w:tc>
        <w:tc>
          <w:tcPr>
            <w:tcW w:w="1491"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38.9%</w:t>
            </w:r>
          </w:p>
        </w:tc>
        <w:tc>
          <w:tcPr>
            <w:tcW w:w="1417"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18.5%</w:t>
            </w:r>
          </w:p>
        </w:tc>
        <w:tc>
          <w:tcPr>
            <w:tcW w:w="1054"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0.019</w:t>
            </w:r>
            <w:r>
              <w:rPr>
                <w:rFonts w:ascii="Arial" w:hAnsi="Arial" w:cs="Arial"/>
                <w:bCs/>
                <w:sz w:val="20"/>
                <w:szCs w:val="22"/>
              </w:rPr>
              <w:t>*</w:t>
            </w:r>
          </w:p>
        </w:tc>
      </w:tr>
      <w:tr w:rsidR="00CE0E79" w:rsidRPr="002E70F6" w:rsidTr="00BF476E">
        <w:tc>
          <w:tcPr>
            <w:tcW w:w="9242" w:type="dxa"/>
            <w:gridSpan w:val="7"/>
            <w:shd w:val="clear" w:color="auto" w:fill="auto"/>
          </w:tcPr>
          <w:p w:rsidR="00CE0E79" w:rsidRPr="002E70F6" w:rsidRDefault="00CE0E79" w:rsidP="00BF476E">
            <w:pPr>
              <w:rPr>
                <w:rFonts w:ascii="Arial" w:hAnsi="Arial" w:cs="Arial"/>
                <w:bCs/>
                <w:sz w:val="20"/>
                <w:szCs w:val="22"/>
              </w:rPr>
            </w:pPr>
            <w:r w:rsidRPr="002E70F6">
              <w:rPr>
                <w:rFonts w:ascii="Arial" w:hAnsi="Arial" w:cs="Arial"/>
                <w:sz w:val="20"/>
                <w:szCs w:val="20"/>
              </w:rPr>
              <w:t>*p value for Standard Dose versus Low Dose from Chi-Square Test</w:t>
            </w:r>
          </w:p>
        </w:tc>
      </w:tr>
    </w:tbl>
    <w:p w:rsidR="00CE0E79" w:rsidRDefault="00CE0E79" w:rsidP="00CE0E79">
      <w:pPr>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2268"/>
        <w:gridCol w:w="1337"/>
      </w:tblGrid>
      <w:tr w:rsidR="00CE0E79" w:rsidRPr="002E70F6" w:rsidTr="00BF476E">
        <w:tc>
          <w:tcPr>
            <w:tcW w:w="9242" w:type="dxa"/>
            <w:gridSpan w:val="4"/>
            <w:shd w:val="clear" w:color="auto" w:fill="auto"/>
          </w:tcPr>
          <w:p w:rsidR="00CE0E79" w:rsidRPr="00AB5AA8" w:rsidRDefault="00CE0E79" w:rsidP="00BF476E">
            <w:pPr>
              <w:spacing w:after="60"/>
              <w:jc w:val="center"/>
              <w:rPr>
                <w:rFonts w:ascii="Arial" w:hAnsi="Arial" w:cs="Arial"/>
                <w:b/>
                <w:bCs/>
                <w:sz w:val="20"/>
                <w:szCs w:val="22"/>
              </w:rPr>
            </w:pPr>
            <w:r w:rsidRPr="001E11F2">
              <w:rPr>
                <w:rFonts w:ascii="Arial" w:hAnsi="Arial" w:cs="Arial"/>
                <w:b/>
                <w:bCs/>
                <w:sz w:val="20"/>
                <w:szCs w:val="22"/>
              </w:rPr>
              <w:t xml:space="preserve">Table </w:t>
            </w:r>
            <w:r>
              <w:rPr>
                <w:rFonts w:ascii="Arial" w:hAnsi="Arial" w:cs="Arial"/>
                <w:b/>
                <w:bCs/>
                <w:sz w:val="20"/>
                <w:szCs w:val="22"/>
              </w:rPr>
              <w:t>19</w:t>
            </w:r>
            <w:r w:rsidRPr="001E11F2">
              <w:rPr>
                <w:rFonts w:ascii="Arial" w:hAnsi="Arial" w:cs="Arial"/>
                <w:b/>
                <w:bCs/>
                <w:sz w:val="20"/>
                <w:szCs w:val="22"/>
              </w:rPr>
              <w:t>: Paediatric CD Study Discontinuation of Corticosteroids or Immunomodulators and</w:t>
            </w:r>
            <w:r w:rsidRPr="00AB5AA8">
              <w:rPr>
                <w:rFonts w:ascii="Arial" w:hAnsi="Arial" w:cs="Arial"/>
                <w:b/>
                <w:bCs/>
                <w:sz w:val="20"/>
                <w:szCs w:val="22"/>
              </w:rPr>
              <w:t xml:space="preserve"> Fistula Remission</w:t>
            </w:r>
          </w:p>
        </w:tc>
      </w:tr>
      <w:tr w:rsidR="00CE0E79" w:rsidRPr="002E70F6" w:rsidTr="00BF476E">
        <w:tc>
          <w:tcPr>
            <w:tcW w:w="2943" w:type="dxa"/>
            <w:shd w:val="clear" w:color="auto" w:fill="auto"/>
          </w:tcPr>
          <w:p w:rsidR="00CE0E79" w:rsidRPr="001E11F2" w:rsidRDefault="00CE0E79" w:rsidP="00BF476E">
            <w:pPr>
              <w:rPr>
                <w:rFonts w:ascii="Arial" w:hAnsi="Arial" w:cs="Arial"/>
                <w:b/>
                <w:bCs/>
                <w:sz w:val="20"/>
                <w:szCs w:val="22"/>
              </w:rPr>
            </w:pPr>
          </w:p>
        </w:tc>
        <w:tc>
          <w:tcPr>
            <w:tcW w:w="2694" w:type="dxa"/>
            <w:shd w:val="clear" w:color="auto" w:fill="auto"/>
          </w:tcPr>
          <w:p w:rsidR="00CE0E79" w:rsidRPr="001E11F2" w:rsidRDefault="00CE0E79" w:rsidP="00BF476E">
            <w:pPr>
              <w:jc w:val="center"/>
              <w:rPr>
                <w:rFonts w:ascii="Arial" w:hAnsi="Arial" w:cs="Arial"/>
                <w:b/>
                <w:sz w:val="20"/>
                <w:szCs w:val="20"/>
              </w:rPr>
            </w:pPr>
            <w:r w:rsidRPr="001E11F2">
              <w:rPr>
                <w:rFonts w:ascii="Arial" w:hAnsi="Arial" w:cs="Arial"/>
                <w:b/>
                <w:sz w:val="20"/>
                <w:szCs w:val="20"/>
              </w:rPr>
              <w:t>Standard Dose 40/20mg fortnightly</w:t>
            </w:r>
          </w:p>
          <w:p w:rsidR="00CE0E79" w:rsidRPr="00AB5AA8" w:rsidRDefault="00CE0E79" w:rsidP="00BF476E">
            <w:pPr>
              <w:rPr>
                <w:rFonts w:ascii="Arial" w:hAnsi="Arial" w:cs="Arial"/>
                <w:b/>
                <w:bCs/>
                <w:sz w:val="20"/>
                <w:szCs w:val="22"/>
              </w:rPr>
            </w:pPr>
          </w:p>
        </w:tc>
        <w:tc>
          <w:tcPr>
            <w:tcW w:w="2268" w:type="dxa"/>
            <w:shd w:val="clear" w:color="auto" w:fill="auto"/>
          </w:tcPr>
          <w:p w:rsidR="00CE0E79" w:rsidRPr="00AB5AA8" w:rsidRDefault="00CE0E79" w:rsidP="00BF476E">
            <w:pPr>
              <w:jc w:val="center"/>
              <w:rPr>
                <w:rFonts w:ascii="Arial" w:hAnsi="Arial" w:cs="Arial"/>
                <w:b/>
                <w:sz w:val="20"/>
                <w:szCs w:val="20"/>
              </w:rPr>
            </w:pPr>
            <w:r w:rsidRPr="00AB5AA8">
              <w:rPr>
                <w:rFonts w:ascii="Arial" w:hAnsi="Arial" w:cs="Arial"/>
                <w:b/>
                <w:sz w:val="20"/>
                <w:szCs w:val="20"/>
              </w:rPr>
              <w:t>Low Dose 20/10mg fortnightly</w:t>
            </w:r>
          </w:p>
          <w:p w:rsidR="00CE0E79" w:rsidRPr="00AB5AA8" w:rsidRDefault="00CE0E79" w:rsidP="00BF476E">
            <w:pPr>
              <w:rPr>
                <w:rFonts w:ascii="Arial" w:hAnsi="Arial" w:cs="Arial"/>
                <w:b/>
                <w:bCs/>
                <w:sz w:val="20"/>
                <w:szCs w:val="22"/>
              </w:rPr>
            </w:pPr>
          </w:p>
        </w:tc>
        <w:tc>
          <w:tcPr>
            <w:tcW w:w="1337" w:type="dxa"/>
            <w:shd w:val="clear" w:color="auto" w:fill="auto"/>
          </w:tcPr>
          <w:p w:rsidR="00CE0E79" w:rsidRPr="00AB5AA8" w:rsidRDefault="00CE0E79" w:rsidP="00BF476E">
            <w:pPr>
              <w:jc w:val="center"/>
              <w:rPr>
                <w:rFonts w:ascii="Arial" w:hAnsi="Arial" w:cs="Arial"/>
                <w:b/>
                <w:bCs/>
                <w:sz w:val="20"/>
                <w:szCs w:val="22"/>
              </w:rPr>
            </w:pPr>
            <w:r w:rsidRPr="00AB5AA8">
              <w:rPr>
                <w:rFonts w:ascii="Arial" w:hAnsi="Arial" w:cs="Arial"/>
                <w:b/>
                <w:sz w:val="20"/>
                <w:szCs w:val="20"/>
              </w:rPr>
              <w:t>P value</w:t>
            </w:r>
            <w:r w:rsidRPr="00AB5AA8">
              <w:rPr>
                <w:rFonts w:ascii="Arial" w:hAnsi="Arial" w:cs="Arial"/>
                <w:b/>
                <w:sz w:val="20"/>
                <w:szCs w:val="20"/>
                <w:vertAlign w:val="superscript"/>
              </w:rPr>
              <w:t>1</w:t>
            </w:r>
          </w:p>
        </w:tc>
      </w:tr>
      <w:tr w:rsidR="00CE0E79" w:rsidRPr="002E70F6" w:rsidTr="00BF476E">
        <w:tc>
          <w:tcPr>
            <w:tcW w:w="2943" w:type="dxa"/>
            <w:shd w:val="clear" w:color="auto" w:fill="auto"/>
          </w:tcPr>
          <w:p w:rsidR="00CE0E79" w:rsidRPr="001E11F2" w:rsidRDefault="00CE0E79" w:rsidP="00BF476E">
            <w:pPr>
              <w:rPr>
                <w:rFonts w:ascii="Arial" w:hAnsi="Arial" w:cs="Arial"/>
                <w:b/>
                <w:bCs/>
                <w:sz w:val="20"/>
                <w:szCs w:val="22"/>
              </w:rPr>
            </w:pPr>
            <w:r w:rsidRPr="001E11F2">
              <w:rPr>
                <w:rFonts w:ascii="Arial" w:hAnsi="Arial" w:cs="Arial"/>
                <w:b/>
                <w:bCs/>
                <w:sz w:val="20"/>
                <w:szCs w:val="22"/>
              </w:rPr>
              <w:t>Discontinued corticosteroids</w:t>
            </w:r>
          </w:p>
        </w:tc>
        <w:tc>
          <w:tcPr>
            <w:tcW w:w="2694" w:type="dxa"/>
            <w:shd w:val="clear" w:color="auto" w:fill="auto"/>
          </w:tcPr>
          <w:p w:rsidR="00CE0E79" w:rsidRPr="00327A60" w:rsidRDefault="00CE0E79" w:rsidP="00BF476E">
            <w:pPr>
              <w:jc w:val="center"/>
              <w:rPr>
                <w:rFonts w:ascii="Arial" w:hAnsi="Arial" w:cs="Arial"/>
                <w:b/>
                <w:bCs/>
                <w:sz w:val="20"/>
                <w:szCs w:val="22"/>
              </w:rPr>
            </w:pPr>
            <w:r w:rsidRPr="00327A60">
              <w:rPr>
                <w:rFonts w:ascii="Arial" w:hAnsi="Arial" w:cs="Arial"/>
                <w:b/>
                <w:bCs/>
                <w:sz w:val="20"/>
                <w:szCs w:val="22"/>
              </w:rPr>
              <w:t>N=33</w:t>
            </w:r>
          </w:p>
        </w:tc>
        <w:tc>
          <w:tcPr>
            <w:tcW w:w="2268" w:type="dxa"/>
            <w:shd w:val="clear" w:color="auto" w:fill="auto"/>
          </w:tcPr>
          <w:p w:rsidR="00CE0E79" w:rsidRPr="00327A60" w:rsidRDefault="00CE0E79" w:rsidP="00BF476E">
            <w:pPr>
              <w:jc w:val="center"/>
              <w:rPr>
                <w:rFonts w:ascii="Arial" w:hAnsi="Arial" w:cs="Arial"/>
                <w:b/>
                <w:bCs/>
                <w:sz w:val="20"/>
                <w:szCs w:val="22"/>
              </w:rPr>
            </w:pPr>
            <w:r w:rsidRPr="00327A60">
              <w:rPr>
                <w:rFonts w:ascii="Arial" w:hAnsi="Arial" w:cs="Arial"/>
                <w:b/>
                <w:bCs/>
                <w:sz w:val="20"/>
                <w:szCs w:val="22"/>
              </w:rPr>
              <w:t>N=38</w:t>
            </w:r>
          </w:p>
        </w:tc>
        <w:tc>
          <w:tcPr>
            <w:tcW w:w="1337" w:type="dxa"/>
            <w:shd w:val="clear" w:color="auto" w:fill="auto"/>
          </w:tcPr>
          <w:p w:rsidR="00CE0E79" w:rsidRPr="002E70F6" w:rsidRDefault="00CE0E79" w:rsidP="00BF476E">
            <w:pPr>
              <w:rPr>
                <w:rFonts w:ascii="Arial" w:hAnsi="Arial" w:cs="Arial"/>
                <w:bCs/>
                <w:sz w:val="20"/>
                <w:szCs w:val="22"/>
              </w:rPr>
            </w:pPr>
          </w:p>
        </w:tc>
      </w:tr>
      <w:tr w:rsidR="00CE0E79" w:rsidRPr="002E70F6" w:rsidTr="00BF476E">
        <w:tc>
          <w:tcPr>
            <w:tcW w:w="2943" w:type="dxa"/>
            <w:shd w:val="clear" w:color="auto" w:fill="auto"/>
          </w:tcPr>
          <w:p w:rsidR="00CE0E79" w:rsidRPr="001E11F2" w:rsidRDefault="00CE0E79" w:rsidP="00BF476E">
            <w:pPr>
              <w:ind w:left="284"/>
              <w:rPr>
                <w:rFonts w:ascii="Arial" w:hAnsi="Arial" w:cs="Arial"/>
                <w:sz w:val="20"/>
                <w:szCs w:val="20"/>
              </w:rPr>
            </w:pPr>
            <w:r w:rsidRPr="002E70F6">
              <w:rPr>
                <w:rFonts w:ascii="Arial" w:hAnsi="Arial" w:cs="Arial"/>
                <w:sz w:val="20"/>
                <w:szCs w:val="20"/>
              </w:rPr>
              <w:t>Week 26</w:t>
            </w:r>
          </w:p>
        </w:tc>
        <w:tc>
          <w:tcPr>
            <w:tcW w:w="2694"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84.8%</w:t>
            </w:r>
          </w:p>
        </w:tc>
        <w:tc>
          <w:tcPr>
            <w:tcW w:w="2268"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65.8%</w:t>
            </w:r>
          </w:p>
        </w:tc>
        <w:tc>
          <w:tcPr>
            <w:tcW w:w="1337"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0.066</w:t>
            </w:r>
          </w:p>
        </w:tc>
      </w:tr>
      <w:tr w:rsidR="00CE0E79" w:rsidRPr="002E70F6" w:rsidTr="00BF476E">
        <w:tc>
          <w:tcPr>
            <w:tcW w:w="2943" w:type="dxa"/>
            <w:shd w:val="clear" w:color="auto" w:fill="auto"/>
          </w:tcPr>
          <w:p w:rsidR="00CE0E79" w:rsidRPr="001E11F2" w:rsidRDefault="00CE0E79" w:rsidP="00BF476E">
            <w:pPr>
              <w:ind w:left="284"/>
              <w:rPr>
                <w:rFonts w:ascii="Arial" w:hAnsi="Arial" w:cs="Arial"/>
                <w:sz w:val="20"/>
                <w:szCs w:val="20"/>
              </w:rPr>
            </w:pPr>
            <w:r w:rsidRPr="002E70F6">
              <w:rPr>
                <w:rFonts w:ascii="Arial" w:hAnsi="Arial" w:cs="Arial"/>
                <w:sz w:val="20"/>
                <w:szCs w:val="20"/>
              </w:rPr>
              <w:t>Week 52</w:t>
            </w:r>
          </w:p>
        </w:tc>
        <w:tc>
          <w:tcPr>
            <w:tcW w:w="2694"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69.7%</w:t>
            </w:r>
          </w:p>
        </w:tc>
        <w:tc>
          <w:tcPr>
            <w:tcW w:w="2268"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60.5%</w:t>
            </w:r>
          </w:p>
        </w:tc>
        <w:tc>
          <w:tcPr>
            <w:tcW w:w="1337"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0.420</w:t>
            </w:r>
          </w:p>
        </w:tc>
      </w:tr>
      <w:tr w:rsidR="00CE0E79" w:rsidRPr="002E70F6" w:rsidTr="00BF476E">
        <w:tc>
          <w:tcPr>
            <w:tcW w:w="2943" w:type="dxa"/>
            <w:shd w:val="clear" w:color="auto" w:fill="auto"/>
          </w:tcPr>
          <w:p w:rsidR="00CE0E79" w:rsidRPr="00AB5AA8" w:rsidRDefault="00CE0E79" w:rsidP="00BF476E">
            <w:pPr>
              <w:rPr>
                <w:rFonts w:ascii="Arial" w:hAnsi="Arial" w:cs="Arial"/>
                <w:b/>
                <w:bCs/>
                <w:sz w:val="20"/>
                <w:szCs w:val="22"/>
              </w:rPr>
            </w:pPr>
            <w:r w:rsidRPr="001E11F2">
              <w:rPr>
                <w:rFonts w:ascii="Arial" w:hAnsi="Arial" w:cs="Arial"/>
                <w:b/>
                <w:bCs/>
                <w:sz w:val="20"/>
                <w:szCs w:val="22"/>
              </w:rPr>
              <w:t>Discontinuation of Immunomodulators</w:t>
            </w:r>
            <w:r w:rsidRPr="00AB5AA8">
              <w:rPr>
                <w:rFonts w:ascii="Arial" w:hAnsi="Arial" w:cs="Arial"/>
                <w:b/>
                <w:bCs/>
                <w:sz w:val="20"/>
                <w:szCs w:val="22"/>
                <w:vertAlign w:val="superscript"/>
              </w:rPr>
              <w:t>2</w:t>
            </w:r>
          </w:p>
        </w:tc>
        <w:tc>
          <w:tcPr>
            <w:tcW w:w="2694" w:type="dxa"/>
            <w:shd w:val="clear" w:color="auto" w:fill="auto"/>
            <w:vAlign w:val="bottom"/>
          </w:tcPr>
          <w:p w:rsidR="00CE0E79" w:rsidRPr="00327A60" w:rsidRDefault="00CE0E79" w:rsidP="00BF476E">
            <w:pPr>
              <w:jc w:val="center"/>
              <w:rPr>
                <w:rFonts w:ascii="Arial" w:hAnsi="Arial" w:cs="Arial"/>
                <w:b/>
                <w:bCs/>
                <w:sz w:val="20"/>
                <w:szCs w:val="22"/>
              </w:rPr>
            </w:pPr>
            <w:r w:rsidRPr="00327A60">
              <w:rPr>
                <w:rFonts w:ascii="Arial" w:hAnsi="Arial" w:cs="Arial"/>
                <w:b/>
                <w:bCs/>
                <w:sz w:val="20"/>
                <w:szCs w:val="22"/>
              </w:rPr>
              <w:t>N=60</w:t>
            </w:r>
          </w:p>
        </w:tc>
        <w:tc>
          <w:tcPr>
            <w:tcW w:w="2268" w:type="dxa"/>
            <w:shd w:val="clear" w:color="auto" w:fill="auto"/>
            <w:vAlign w:val="bottom"/>
          </w:tcPr>
          <w:p w:rsidR="00CE0E79" w:rsidRPr="00327A60" w:rsidRDefault="00CE0E79" w:rsidP="00BF476E">
            <w:pPr>
              <w:jc w:val="center"/>
              <w:rPr>
                <w:rFonts w:ascii="Arial" w:hAnsi="Arial" w:cs="Arial"/>
                <w:b/>
                <w:bCs/>
                <w:sz w:val="20"/>
                <w:szCs w:val="22"/>
              </w:rPr>
            </w:pPr>
            <w:r w:rsidRPr="00327A60">
              <w:rPr>
                <w:rFonts w:ascii="Arial" w:hAnsi="Arial" w:cs="Arial"/>
                <w:b/>
                <w:bCs/>
                <w:sz w:val="20"/>
                <w:szCs w:val="22"/>
              </w:rPr>
              <w:t>N=57</w:t>
            </w:r>
          </w:p>
        </w:tc>
        <w:tc>
          <w:tcPr>
            <w:tcW w:w="1337" w:type="dxa"/>
            <w:shd w:val="clear" w:color="auto" w:fill="auto"/>
          </w:tcPr>
          <w:p w:rsidR="00CE0E79" w:rsidRPr="002E70F6" w:rsidRDefault="00CE0E79" w:rsidP="00BF476E">
            <w:pPr>
              <w:jc w:val="center"/>
              <w:rPr>
                <w:rFonts w:ascii="Arial" w:hAnsi="Arial" w:cs="Arial"/>
                <w:bCs/>
                <w:sz w:val="20"/>
                <w:szCs w:val="22"/>
              </w:rPr>
            </w:pPr>
          </w:p>
        </w:tc>
      </w:tr>
      <w:tr w:rsidR="00CE0E79" w:rsidRPr="002E70F6" w:rsidTr="00BF476E">
        <w:tc>
          <w:tcPr>
            <w:tcW w:w="2943" w:type="dxa"/>
            <w:shd w:val="clear" w:color="auto" w:fill="auto"/>
          </w:tcPr>
          <w:p w:rsidR="00CE0E79" w:rsidRPr="001E11F2" w:rsidRDefault="00CE0E79" w:rsidP="00BF476E">
            <w:pPr>
              <w:ind w:left="284"/>
              <w:rPr>
                <w:rFonts w:ascii="Arial" w:hAnsi="Arial" w:cs="Arial"/>
                <w:sz w:val="20"/>
                <w:szCs w:val="20"/>
              </w:rPr>
            </w:pPr>
            <w:r w:rsidRPr="002E70F6">
              <w:rPr>
                <w:rFonts w:ascii="Arial" w:hAnsi="Arial" w:cs="Arial"/>
                <w:sz w:val="20"/>
                <w:szCs w:val="20"/>
              </w:rPr>
              <w:t>Week 52</w:t>
            </w:r>
          </w:p>
        </w:tc>
        <w:tc>
          <w:tcPr>
            <w:tcW w:w="2694"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30.0%</w:t>
            </w:r>
          </w:p>
        </w:tc>
        <w:tc>
          <w:tcPr>
            <w:tcW w:w="2268"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29.8%</w:t>
            </w:r>
          </w:p>
        </w:tc>
        <w:tc>
          <w:tcPr>
            <w:tcW w:w="1337"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0.983</w:t>
            </w:r>
          </w:p>
        </w:tc>
      </w:tr>
      <w:tr w:rsidR="00CE0E79" w:rsidRPr="002E70F6" w:rsidTr="00BF476E">
        <w:tc>
          <w:tcPr>
            <w:tcW w:w="2943" w:type="dxa"/>
            <w:shd w:val="clear" w:color="auto" w:fill="auto"/>
          </w:tcPr>
          <w:p w:rsidR="00CE0E79" w:rsidRPr="00AB5AA8" w:rsidRDefault="00CE0E79" w:rsidP="00BF476E">
            <w:pPr>
              <w:rPr>
                <w:rFonts w:ascii="Arial" w:hAnsi="Arial" w:cs="Arial"/>
                <w:b/>
                <w:bCs/>
                <w:sz w:val="20"/>
                <w:szCs w:val="22"/>
              </w:rPr>
            </w:pPr>
            <w:r w:rsidRPr="001E11F2">
              <w:rPr>
                <w:rFonts w:ascii="Arial" w:hAnsi="Arial" w:cs="Arial"/>
                <w:b/>
                <w:bCs/>
                <w:sz w:val="20"/>
                <w:szCs w:val="22"/>
              </w:rPr>
              <w:t>Fistula remission</w:t>
            </w:r>
            <w:r w:rsidRPr="001E11F2">
              <w:rPr>
                <w:rFonts w:ascii="Arial" w:hAnsi="Arial" w:cs="Arial"/>
                <w:b/>
                <w:bCs/>
                <w:sz w:val="20"/>
                <w:szCs w:val="22"/>
                <w:vertAlign w:val="superscript"/>
              </w:rPr>
              <w:t>3</w:t>
            </w:r>
          </w:p>
        </w:tc>
        <w:tc>
          <w:tcPr>
            <w:tcW w:w="2694" w:type="dxa"/>
            <w:shd w:val="clear" w:color="auto" w:fill="auto"/>
          </w:tcPr>
          <w:p w:rsidR="00CE0E79" w:rsidRPr="00327A60" w:rsidRDefault="00CE0E79" w:rsidP="00BF476E">
            <w:pPr>
              <w:jc w:val="center"/>
              <w:rPr>
                <w:rFonts w:ascii="Arial" w:hAnsi="Arial" w:cs="Arial"/>
                <w:b/>
                <w:bCs/>
                <w:sz w:val="20"/>
                <w:szCs w:val="22"/>
              </w:rPr>
            </w:pPr>
            <w:r w:rsidRPr="00327A60">
              <w:rPr>
                <w:rFonts w:ascii="Arial" w:hAnsi="Arial" w:cs="Arial"/>
                <w:b/>
                <w:bCs/>
                <w:sz w:val="20"/>
                <w:szCs w:val="22"/>
              </w:rPr>
              <w:t>N=15</w:t>
            </w:r>
          </w:p>
        </w:tc>
        <w:tc>
          <w:tcPr>
            <w:tcW w:w="2268" w:type="dxa"/>
            <w:shd w:val="clear" w:color="auto" w:fill="auto"/>
          </w:tcPr>
          <w:p w:rsidR="00CE0E79" w:rsidRPr="00327A60" w:rsidRDefault="00CE0E79" w:rsidP="00BF476E">
            <w:pPr>
              <w:jc w:val="center"/>
              <w:rPr>
                <w:rFonts w:ascii="Arial" w:hAnsi="Arial" w:cs="Arial"/>
                <w:b/>
                <w:bCs/>
                <w:sz w:val="20"/>
                <w:szCs w:val="22"/>
              </w:rPr>
            </w:pPr>
            <w:r w:rsidRPr="00327A60">
              <w:rPr>
                <w:rFonts w:ascii="Arial" w:hAnsi="Arial" w:cs="Arial"/>
                <w:b/>
                <w:bCs/>
                <w:sz w:val="20"/>
                <w:szCs w:val="22"/>
              </w:rPr>
              <w:t>N=21</w:t>
            </w:r>
          </w:p>
        </w:tc>
        <w:tc>
          <w:tcPr>
            <w:tcW w:w="1337" w:type="dxa"/>
            <w:shd w:val="clear" w:color="auto" w:fill="auto"/>
          </w:tcPr>
          <w:p w:rsidR="00CE0E79" w:rsidRPr="002E70F6" w:rsidRDefault="00CE0E79" w:rsidP="00BF476E">
            <w:pPr>
              <w:jc w:val="center"/>
              <w:rPr>
                <w:rFonts w:ascii="Arial" w:hAnsi="Arial" w:cs="Arial"/>
                <w:bCs/>
                <w:sz w:val="20"/>
                <w:szCs w:val="22"/>
              </w:rPr>
            </w:pPr>
          </w:p>
        </w:tc>
      </w:tr>
      <w:tr w:rsidR="00CE0E79" w:rsidRPr="002E70F6" w:rsidTr="00BF476E">
        <w:tc>
          <w:tcPr>
            <w:tcW w:w="2943" w:type="dxa"/>
            <w:shd w:val="clear" w:color="auto" w:fill="auto"/>
          </w:tcPr>
          <w:p w:rsidR="00CE0E79" w:rsidRPr="002E70F6" w:rsidRDefault="00CE0E79" w:rsidP="00BF476E">
            <w:pPr>
              <w:ind w:left="284"/>
              <w:rPr>
                <w:rFonts w:ascii="Arial" w:hAnsi="Arial" w:cs="Arial"/>
                <w:bCs/>
                <w:sz w:val="20"/>
                <w:szCs w:val="22"/>
              </w:rPr>
            </w:pPr>
            <w:r w:rsidRPr="002E70F6">
              <w:rPr>
                <w:rFonts w:ascii="Arial" w:hAnsi="Arial" w:cs="Arial"/>
                <w:sz w:val="20"/>
                <w:szCs w:val="20"/>
              </w:rPr>
              <w:t>Week 26</w:t>
            </w:r>
          </w:p>
        </w:tc>
        <w:tc>
          <w:tcPr>
            <w:tcW w:w="2694"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46.7%</w:t>
            </w:r>
          </w:p>
        </w:tc>
        <w:tc>
          <w:tcPr>
            <w:tcW w:w="2268"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38.1%</w:t>
            </w:r>
          </w:p>
        </w:tc>
        <w:tc>
          <w:tcPr>
            <w:tcW w:w="1337"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0.608</w:t>
            </w:r>
          </w:p>
        </w:tc>
      </w:tr>
      <w:tr w:rsidR="00CE0E79" w:rsidRPr="002E70F6" w:rsidTr="00BF476E">
        <w:tc>
          <w:tcPr>
            <w:tcW w:w="2943" w:type="dxa"/>
            <w:shd w:val="clear" w:color="auto" w:fill="auto"/>
          </w:tcPr>
          <w:p w:rsidR="00CE0E79" w:rsidRPr="002E70F6" w:rsidRDefault="00CE0E79" w:rsidP="00BF476E">
            <w:pPr>
              <w:ind w:left="284"/>
              <w:rPr>
                <w:rFonts w:ascii="Arial" w:hAnsi="Arial" w:cs="Arial"/>
                <w:bCs/>
                <w:sz w:val="20"/>
                <w:szCs w:val="22"/>
              </w:rPr>
            </w:pPr>
            <w:r w:rsidRPr="002E70F6">
              <w:rPr>
                <w:rFonts w:ascii="Arial" w:hAnsi="Arial" w:cs="Arial"/>
                <w:sz w:val="20"/>
                <w:szCs w:val="20"/>
              </w:rPr>
              <w:t>Week 52</w:t>
            </w:r>
          </w:p>
        </w:tc>
        <w:tc>
          <w:tcPr>
            <w:tcW w:w="2694"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40.0%</w:t>
            </w:r>
          </w:p>
        </w:tc>
        <w:tc>
          <w:tcPr>
            <w:tcW w:w="2268"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23.8%</w:t>
            </w:r>
          </w:p>
        </w:tc>
        <w:tc>
          <w:tcPr>
            <w:tcW w:w="1337" w:type="dxa"/>
            <w:shd w:val="clear" w:color="auto" w:fill="auto"/>
          </w:tcPr>
          <w:p w:rsidR="00CE0E79" w:rsidRPr="002E70F6" w:rsidRDefault="00CE0E79" w:rsidP="00BF476E">
            <w:pPr>
              <w:jc w:val="center"/>
              <w:rPr>
                <w:rFonts w:ascii="Arial" w:hAnsi="Arial" w:cs="Arial"/>
                <w:bCs/>
                <w:sz w:val="20"/>
                <w:szCs w:val="22"/>
              </w:rPr>
            </w:pPr>
            <w:r w:rsidRPr="002E70F6">
              <w:rPr>
                <w:rFonts w:ascii="Arial" w:hAnsi="Arial" w:cs="Arial"/>
                <w:bCs/>
                <w:sz w:val="20"/>
                <w:szCs w:val="22"/>
              </w:rPr>
              <w:t>0.303</w:t>
            </w:r>
          </w:p>
        </w:tc>
      </w:tr>
    </w:tbl>
    <w:p w:rsidR="00D23C53" w:rsidRDefault="00D23C53" w:rsidP="00CE0E79">
      <w:pPr>
        <w:rPr>
          <w:rFonts w:ascii="Arial" w:hAnsi="Arial" w:cs="Arial"/>
          <w:bCs/>
          <w:sz w:val="20"/>
          <w:szCs w:val="22"/>
          <w:vertAlign w:val="superscript"/>
        </w:rPr>
      </w:pPr>
    </w:p>
    <w:p w:rsidR="00CE0E79" w:rsidRPr="000B2FC7" w:rsidRDefault="00CE0E79" w:rsidP="00CE0E79">
      <w:pPr>
        <w:rPr>
          <w:rFonts w:ascii="Arial" w:hAnsi="Arial" w:cs="Arial"/>
          <w:bCs/>
          <w:sz w:val="20"/>
          <w:szCs w:val="22"/>
        </w:rPr>
      </w:pPr>
      <w:r w:rsidRPr="00327A60">
        <w:rPr>
          <w:rFonts w:ascii="Arial" w:hAnsi="Arial" w:cs="Arial"/>
          <w:bCs/>
          <w:sz w:val="20"/>
          <w:szCs w:val="22"/>
          <w:vertAlign w:val="superscript"/>
        </w:rPr>
        <w:t>1</w:t>
      </w:r>
      <w:r w:rsidRPr="000B2FC7">
        <w:rPr>
          <w:rFonts w:ascii="Arial" w:hAnsi="Arial" w:cs="Arial"/>
          <w:bCs/>
          <w:sz w:val="20"/>
          <w:szCs w:val="22"/>
        </w:rPr>
        <w:t xml:space="preserve"> p value for Standard Dose versus Low Dose comparison.</w:t>
      </w:r>
    </w:p>
    <w:p w:rsidR="00CE0E79" w:rsidRPr="000B2FC7" w:rsidRDefault="00CE0E79" w:rsidP="00CE0E79">
      <w:pPr>
        <w:rPr>
          <w:rFonts w:ascii="Arial" w:hAnsi="Arial" w:cs="Arial"/>
          <w:bCs/>
          <w:sz w:val="20"/>
          <w:szCs w:val="22"/>
        </w:rPr>
      </w:pPr>
      <w:r w:rsidRPr="00327A60">
        <w:rPr>
          <w:rFonts w:ascii="Arial" w:hAnsi="Arial" w:cs="Arial"/>
          <w:bCs/>
          <w:sz w:val="20"/>
          <w:szCs w:val="22"/>
          <w:vertAlign w:val="superscript"/>
        </w:rPr>
        <w:t>2</w:t>
      </w:r>
      <w:r w:rsidRPr="000B2FC7">
        <w:rPr>
          <w:rFonts w:ascii="Arial" w:hAnsi="Arial" w:cs="Arial"/>
          <w:bCs/>
          <w:sz w:val="20"/>
          <w:szCs w:val="22"/>
        </w:rPr>
        <w:t xml:space="preserve"> Immunosuppressant therapy could only be discontinued at or after</w:t>
      </w:r>
      <w:r>
        <w:rPr>
          <w:rFonts w:ascii="Arial" w:hAnsi="Arial" w:cs="Arial"/>
          <w:bCs/>
          <w:sz w:val="20"/>
          <w:szCs w:val="22"/>
        </w:rPr>
        <w:t xml:space="preserve"> </w:t>
      </w:r>
      <w:r w:rsidRPr="000B2FC7">
        <w:rPr>
          <w:rFonts w:ascii="Arial" w:hAnsi="Arial" w:cs="Arial"/>
          <w:bCs/>
          <w:sz w:val="20"/>
          <w:szCs w:val="22"/>
        </w:rPr>
        <w:t xml:space="preserve">Week 26 at the investigator's </w:t>
      </w:r>
      <w:r>
        <w:rPr>
          <w:rFonts w:ascii="Arial" w:hAnsi="Arial" w:cs="Arial"/>
          <w:bCs/>
          <w:sz w:val="20"/>
          <w:szCs w:val="22"/>
        </w:rPr>
        <w:t>d</w:t>
      </w:r>
      <w:r w:rsidRPr="000B2FC7">
        <w:rPr>
          <w:rFonts w:ascii="Arial" w:hAnsi="Arial" w:cs="Arial"/>
          <w:bCs/>
          <w:sz w:val="20"/>
          <w:szCs w:val="22"/>
        </w:rPr>
        <w:t>iscretion if the subject met the clinical</w:t>
      </w:r>
      <w:r>
        <w:rPr>
          <w:rFonts w:ascii="Arial" w:hAnsi="Arial" w:cs="Arial"/>
          <w:bCs/>
          <w:sz w:val="20"/>
          <w:szCs w:val="22"/>
        </w:rPr>
        <w:t xml:space="preserve"> </w:t>
      </w:r>
      <w:r w:rsidRPr="000B2FC7">
        <w:rPr>
          <w:rFonts w:ascii="Arial" w:hAnsi="Arial" w:cs="Arial"/>
          <w:bCs/>
          <w:sz w:val="20"/>
          <w:szCs w:val="22"/>
        </w:rPr>
        <w:t>response criterion</w:t>
      </w:r>
    </w:p>
    <w:p w:rsidR="00CE0E79" w:rsidRPr="00327A60" w:rsidRDefault="00CE0E79" w:rsidP="00CE0E79">
      <w:pPr>
        <w:rPr>
          <w:rFonts w:ascii="Arial" w:hAnsi="Arial" w:cs="Arial"/>
          <w:bCs/>
          <w:sz w:val="20"/>
          <w:szCs w:val="22"/>
        </w:rPr>
      </w:pPr>
      <w:r w:rsidRPr="00327A60">
        <w:rPr>
          <w:rFonts w:ascii="Arial" w:hAnsi="Arial" w:cs="Arial"/>
          <w:bCs/>
          <w:sz w:val="20"/>
          <w:szCs w:val="22"/>
          <w:vertAlign w:val="superscript"/>
        </w:rPr>
        <w:t>3</w:t>
      </w:r>
      <w:r w:rsidRPr="000B2FC7">
        <w:rPr>
          <w:rFonts w:ascii="Arial" w:hAnsi="Arial" w:cs="Arial"/>
          <w:bCs/>
          <w:sz w:val="20"/>
          <w:szCs w:val="22"/>
        </w:rPr>
        <w:t xml:space="preserve"> defined as a closure of all fistulas that were draining at Baseline for at</w:t>
      </w:r>
      <w:r>
        <w:rPr>
          <w:rFonts w:ascii="Arial" w:hAnsi="Arial" w:cs="Arial"/>
          <w:bCs/>
          <w:sz w:val="20"/>
          <w:szCs w:val="22"/>
        </w:rPr>
        <w:t xml:space="preserve"> </w:t>
      </w:r>
      <w:r w:rsidRPr="000B2FC7">
        <w:rPr>
          <w:rFonts w:ascii="Arial" w:hAnsi="Arial" w:cs="Arial"/>
          <w:bCs/>
          <w:sz w:val="20"/>
          <w:szCs w:val="22"/>
        </w:rPr>
        <w:t>least 2 consecutive post-Baseline visits</w:t>
      </w:r>
    </w:p>
    <w:p w:rsidR="00CE0E79" w:rsidRPr="00327A60" w:rsidRDefault="00CE0E79" w:rsidP="00CE0E79">
      <w:pPr>
        <w:rPr>
          <w:rFonts w:ascii="Arial" w:hAnsi="Arial" w:cs="Arial"/>
          <w:bCs/>
          <w:sz w:val="20"/>
          <w:szCs w:val="22"/>
        </w:rPr>
      </w:pPr>
    </w:p>
    <w:p w:rsidR="00CE0E79" w:rsidRDefault="00CE0E79" w:rsidP="00CE0E79">
      <w:pPr>
        <w:rPr>
          <w:rFonts w:ascii="Arial" w:hAnsi="Arial" w:cs="Arial"/>
          <w:bCs/>
          <w:sz w:val="20"/>
          <w:szCs w:val="22"/>
        </w:rPr>
      </w:pPr>
      <w:r w:rsidRPr="00327A60">
        <w:rPr>
          <w:rFonts w:ascii="Arial" w:hAnsi="Arial" w:cs="Arial"/>
          <w:bCs/>
          <w:sz w:val="20"/>
          <w:szCs w:val="22"/>
        </w:rPr>
        <w:t>Statistically significant increases (improvement) from</w:t>
      </w:r>
      <w:r>
        <w:rPr>
          <w:rFonts w:ascii="Arial" w:hAnsi="Arial" w:cs="Arial"/>
          <w:bCs/>
          <w:sz w:val="20"/>
          <w:szCs w:val="22"/>
        </w:rPr>
        <w:t xml:space="preserve"> </w:t>
      </w:r>
      <w:r w:rsidRPr="00327A60">
        <w:rPr>
          <w:rFonts w:ascii="Arial" w:hAnsi="Arial" w:cs="Arial"/>
          <w:bCs/>
          <w:sz w:val="20"/>
          <w:szCs w:val="22"/>
        </w:rPr>
        <w:t>Baseline to Week 26 and 52 in Body Mass Index and height</w:t>
      </w:r>
      <w:r>
        <w:rPr>
          <w:rFonts w:ascii="Arial" w:hAnsi="Arial" w:cs="Arial"/>
          <w:bCs/>
          <w:sz w:val="20"/>
          <w:szCs w:val="22"/>
        </w:rPr>
        <w:t xml:space="preserve"> </w:t>
      </w:r>
      <w:r w:rsidRPr="00327A60">
        <w:rPr>
          <w:rFonts w:ascii="Arial" w:hAnsi="Arial" w:cs="Arial"/>
          <w:bCs/>
          <w:sz w:val="20"/>
          <w:szCs w:val="22"/>
        </w:rPr>
        <w:t>velocity were observed for both treatment groups.</w:t>
      </w:r>
      <w:r>
        <w:rPr>
          <w:rFonts w:ascii="Arial" w:hAnsi="Arial" w:cs="Arial"/>
          <w:bCs/>
          <w:sz w:val="20"/>
          <w:szCs w:val="22"/>
        </w:rPr>
        <w:t xml:space="preserve"> </w:t>
      </w:r>
      <w:r w:rsidRPr="00327A60">
        <w:rPr>
          <w:rFonts w:ascii="Arial" w:hAnsi="Arial" w:cs="Arial"/>
          <w:bCs/>
          <w:sz w:val="20"/>
          <w:szCs w:val="22"/>
        </w:rPr>
        <w:t>Statistically and clinically significant improvements from</w:t>
      </w:r>
      <w:r>
        <w:rPr>
          <w:rFonts w:ascii="Arial" w:hAnsi="Arial" w:cs="Arial"/>
          <w:bCs/>
          <w:sz w:val="20"/>
          <w:szCs w:val="22"/>
        </w:rPr>
        <w:t xml:space="preserve"> </w:t>
      </w:r>
      <w:r w:rsidRPr="00327A60">
        <w:rPr>
          <w:rFonts w:ascii="Arial" w:hAnsi="Arial" w:cs="Arial"/>
          <w:bCs/>
          <w:sz w:val="20"/>
          <w:szCs w:val="22"/>
        </w:rPr>
        <w:t>Baseline were also observed in both treatment groups for</w:t>
      </w:r>
      <w:r>
        <w:rPr>
          <w:rFonts w:ascii="Arial" w:hAnsi="Arial" w:cs="Arial"/>
          <w:bCs/>
          <w:sz w:val="20"/>
          <w:szCs w:val="22"/>
        </w:rPr>
        <w:t xml:space="preserve"> </w:t>
      </w:r>
      <w:r w:rsidRPr="00327A60">
        <w:rPr>
          <w:rFonts w:ascii="Arial" w:hAnsi="Arial" w:cs="Arial"/>
          <w:bCs/>
          <w:sz w:val="20"/>
          <w:szCs w:val="22"/>
        </w:rPr>
        <w:t xml:space="preserve">quality of life </w:t>
      </w:r>
      <w:r>
        <w:rPr>
          <w:rFonts w:ascii="Arial" w:hAnsi="Arial" w:cs="Arial"/>
          <w:bCs/>
          <w:sz w:val="20"/>
          <w:szCs w:val="22"/>
        </w:rPr>
        <w:t>p</w:t>
      </w:r>
      <w:r w:rsidRPr="00327A60">
        <w:rPr>
          <w:rFonts w:ascii="Arial" w:hAnsi="Arial" w:cs="Arial"/>
          <w:bCs/>
          <w:sz w:val="20"/>
          <w:szCs w:val="22"/>
        </w:rPr>
        <w:t>arameters (including IMPACT III).</w:t>
      </w:r>
    </w:p>
    <w:p w:rsidR="00CE0E79" w:rsidRDefault="00CE0E79" w:rsidP="00CE0E79">
      <w:pPr>
        <w:rPr>
          <w:rFonts w:ascii="Arial" w:hAnsi="Arial" w:cs="Arial"/>
          <w:bCs/>
          <w:sz w:val="20"/>
          <w:szCs w:val="22"/>
        </w:rPr>
      </w:pPr>
    </w:p>
    <w:p w:rsidR="00A56260" w:rsidRDefault="00A56260" w:rsidP="00A56260">
      <w:pPr>
        <w:autoSpaceDE w:val="0"/>
        <w:autoSpaceDN w:val="0"/>
        <w:adjustRightInd w:val="0"/>
        <w:jc w:val="both"/>
        <w:rPr>
          <w:rFonts w:ascii="Arial" w:hAnsi="Arial" w:cs="Arial"/>
          <w:b/>
          <w:bCs/>
          <w:sz w:val="20"/>
          <w:szCs w:val="22"/>
          <w:u w:val="single"/>
        </w:rPr>
      </w:pPr>
      <w:r>
        <w:rPr>
          <w:rFonts w:ascii="Arial" w:hAnsi="Arial" w:cs="Arial"/>
          <w:b/>
          <w:bCs/>
          <w:sz w:val="20"/>
          <w:szCs w:val="22"/>
          <w:u w:val="single"/>
        </w:rPr>
        <w:t>CLINICAL TRIALS FOR ULCERATIVE COLITIS</w:t>
      </w:r>
    </w:p>
    <w:p w:rsidR="00A56260" w:rsidRPr="00E7238F" w:rsidRDefault="00A56260" w:rsidP="00A56260">
      <w:pPr>
        <w:pStyle w:val="BodyText"/>
        <w:jc w:val="both"/>
        <w:rPr>
          <w:bCs/>
          <w:u w:val="single"/>
          <w:lang w:val="en-GB"/>
        </w:rPr>
      </w:pPr>
    </w:p>
    <w:p w:rsidR="00B45B76" w:rsidRPr="002430F3" w:rsidRDefault="00A56260" w:rsidP="00B45B76">
      <w:pPr>
        <w:pStyle w:val="BodyText"/>
        <w:jc w:val="both"/>
        <w:rPr>
          <w:u w:val="single"/>
          <w:lang w:val="en-US"/>
        </w:rPr>
      </w:pPr>
      <w:r w:rsidRPr="00FF6FAE">
        <w:rPr>
          <w:lang w:val="en-GB"/>
        </w:rPr>
        <w:t>The sa</w:t>
      </w:r>
      <w:r w:rsidR="009E1908">
        <w:rPr>
          <w:lang w:val="en-GB"/>
        </w:rPr>
        <w:t>fety and efficacy of Humira was</w:t>
      </w:r>
      <w:r w:rsidRPr="00FF6FAE">
        <w:rPr>
          <w:lang w:val="en-GB"/>
        </w:rPr>
        <w:t xml:space="preserve"> assessed in adult patients with moderately to severely active ulcerative colitis (Mayo score 6 to 12 with endoscopy subscore of 2 to 3) in randomised, double-blind, placebo-controlled studies. </w:t>
      </w:r>
      <w:r w:rsidR="00B45B76" w:rsidRPr="002430F3">
        <w:rPr>
          <w:lang w:val="en-US"/>
        </w:rPr>
        <w:t>Enrolled patients received concurrent or prior treatment with immunosuppressants such as corticosteroids, azathioprine, or 6-MP.</w:t>
      </w:r>
    </w:p>
    <w:p w:rsidR="00A56260" w:rsidRPr="002430F3" w:rsidRDefault="00A56260" w:rsidP="00A56260">
      <w:pPr>
        <w:pStyle w:val="BodyText"/>
        <w:jc w:val="both"/>
        <w:rPr>
          <w:lang w:val="en-GB"/>
        </w:rPr>
      </w:pPr>
    </w:p>
    <w:p w:rsidR="00A56260" w:rsidRPr="002430F3" w:rsidRDefault="00A56260" w:rsidP="00A56260">
      <w:pPr>
        <w:pStyle w:val="BodyText"/>
        <w:jc w:val="both"/>
        <w:rPr>
          <w:lang w:val="en-GB"/>
        </w:rPr>
      </w:pPr>
      <w:r w:rsidRPr="002430F3">
        <w:rPr>
          <w:lang w:val="en-GB"/>
        </w:rPr>
        <w:t xml:space="preserve">In Study UC-I, </w:t>
      </w:r>
      <w:r w:rsidR="006343EB" w:rsidRPr="002430F3">
        <w:rPr>
          <w:lang w:val="en-GB"/>
        </w:rPr>
        <w:t>576</w:t>
      </w:r>
      <w:r w:rsidRPr="002430F3">
        <w:rPr>
          <w:lang w:val="en-GB"/>
        </w:rPr>
        <w:t xml:space="preserve"> TNF-antagonist naïve patients were randomised to receive either placebo at Weeks 0 and 2, 160 mg Humira at Week 0  followed by 80 mg at Week 2,  or 80 mg Humira at Week 0  followed by 40 mg at Week 2.  After Week 2, patients in both adalimumab arms received 40 mg fortnightly.  </w:t>
      </w:r>
      <w:r w:rsidR="00EB2366" w:rsidRPr="002430F3">
        <w:rPr>
          <w:lang w:val="en-GB"/>
        </w:rPr>
        <w:t>R</w:t>
      </w:r>
      <w:r w:rsidRPr="002430F3">
        <w:rPr>
          <w:lang w:val="en-GB"/>
        </w:rPr>
        <w:t xml:space="preserve">emission (defined as Mayo score ≤ 2 with no subscore &gt; 1) was assessed at Week 8. </w:t>
      </w:r>
      <w:r w:rsidR="006343EB" w:rsidRPr="002430F3">
        <w:rPr>
          <w:lang w:val="en-GB"/>
        </w:rPr>
        <w:t>The primary endpoint was evaluated based on the 390 patients recruited after the 80/40 induction group was added by protocol amendment.</w:t>
      </w:r>
    </w:p>
    <w:p w:rsidR="00A56260" w:rsidRPr="002430F3" w:rsidRDefault="00A56260" w:rsidP="00A56260">
      <w:pPr>
        <w:pStyle w:val="BodyText"/>
        <w:jc w:val="both"/>
        <w:rPr>
          <w:u w:val="single"/>
          <w:lang w:val="en-US"/>
        </w:rPr>
      </w:pPr>
    </w:p>
    <w:p w:rsidR="00A56260" w:rsidRDefault="00A56260" w:rsidP="00A56260">
      <w:pPr>
        <w:pStyle w:val="BodyText"/>
        <w:jc w:val="both"/>
        <w:rPr>
          <w:lang w:val="en-US"/>
        </w:rPr>
      </w:pPr>
      <w:r w:rsidRPr="00FF6FAE">
        <w:rPr>
          <w:lang w:val="en-US"/>
        </w:rPr>
        <w:t xml:space="preserve">In </w:t>
      </w:r>
      <w:r w:rsidR="00B45B76">
        <w:rPr>
          <w:lang w:val="en-US"/>
        </w:rPr>
        <w:t>S</w:t>
      </w:r>
      <w:r w:rsidRPr="00FF6FAE">
        <w:rPr>
          <w:lang w:val="en-US"/>
        </w:rPr>
        <w:t xml:space="preserve">tudy UC-II, 248 patients received 160 mg of Humira at Week 0, 80 mg at Week 2 and 40 mg </w:t>
      </w:r>
      <w:r>
        <w:rPr>
          <w:lang w:val="en-US"/>
        </w:rPr>
        <w:t>fortnightly</w:t>
      </w:r>
      <w:r w:rsidRPr="00FF6FAE">
        <w:rPr>
          <w:lang w:val="en-US"/>
        </w:rPr>
        <w:t xml:space="preserve"> thereafter, and 246 patients received placebo. Clinical results were assessed for induction of remission at Week 8 and for maintenance of remission at Week 52. </w:t>
      </w:r>
    </w:p>
    <w:p w:rsidR="00A56260" w:rsidRPr="00FF6FAE" w:rsidRDefault="00A56260" w:rsidP="00A56260">
      <w:pPr>
        <w:pStyle w:val="BodyText"/>
        <w:jc w:val="both"/>
        <w:rPr>
          <w:lang w:val="en-US"/>
        </w:rPr>
      </w:pPr>
    </w:p>
    <w:p w:rsidR="00A56260" w:rsidRPr="002430F3" w:rsidRDefault="00A56260" w:rsidP="00A56260">
      <w:pPr>
        <w:pStyle w:val="BodyText"/>
        <w:jc w:val="both"/>
        <w:rPr>
          <w:u w:val="single"/>
          <w:lang w:val="en-US"/>
        </w:rPr>
      </w:pPr>
      <w:r w:rsidRPr="00FF6FAE">
        <w:rPr>
          <w:lang w:val="en-US"/>
        </w:rPr>
        <w:t xml:space="preserve">Subjects induced with 160/80 mg Humira achieved clinical remission versus placebo at Week 8 in statistically significantly greater percentages in </w:t>
      </w:r>
      <w:r w:rsidR="00EB2366">
        <w:rPr>
          <w:lang w:val="en-US"/>
        </w:rPr>
        <w:t>S</w:t>
      </w:r>
      <w:r w:rsidRPr="00FF6FAE">
        <w:rPr>
          <w:lang w:val="en-US"/>
        </w:rPr>
        <w:t xml:space="preserve">tudy UC-I (18% vs. 9% respectively, p=0.031) and </w:t>
      </w:r>
      <w:r w:rsidR="00EB2366">
        <w:rPr>
          <w:lang w:val="en-US"/>
        </w:rPr>
        <w:t>S</w:t>
      </w:r>
      <w:r w:rsidRPr="00FF6FAE">
        <w:rPr>
          <w:lang w:val="en-US"/>
        </w:rPr>
        <w:t xml:space="preserve">tudy UC-II (17% vs. 9% respectively, p=0.019). </w:t>
      </w:r>
      <w:r w:rsidR="009E2528" w:rsidRPr="00FF6FAE">
        <w:rPr>
          <w:lang w:val="en-US"/>
        </w:rPr>
        <w:t xml:space="preserve">In </w:t>
      </w:r>
      <w:r w:rsidR="00EB2366">
        <w:rPr>
          <w:lang w:val="en-US"/>
        </w:rPr>
        <w:t>S</w:t>
      </w:r>
      <w:r w:rsidR="009E2528" w:rsidRPr="00FF6FAE">
        <w:rPr>
          <w:lang w:val="en-US"/>
        </w:rPr>
        <w:t xml:space="preserve">tudy UC-II, among those treated with Humira who were in </w:t>
      </w:r>
      <w:r w:rsidR="009E19BB">
        <w:rPr>
          <w:lang w:val="en-US"/>
        </w:rPr>
        <w:t xml:space="preserve">clinical </w:t>
      </w:r>
      <w:r w:rsidR="009E2528" w:rsidRPr="002430F3">
        <w:rPr>
          <w:lang w:val="en-US"/>
        </w:rPr>
        <w:t xml:space="preserve">remission at Week 8, 21/41 (51%) were in </w:t>
      </w:r>
      <w:r w:rsidR="009E19BB">
        <w:rPr>
          <w:lang w:val="en-US"/>
        </w:rPr>
        <w:t xml:space="preserve">clinical </w:t>
      </w:r>
      <w:r w:rsidR="009E2528" w:rsidRPr="002430F3">
        <w:rPr>
          <w:lang w:val="en-US"/>
        </w:rPr>
        <w:t>remission at Week 52.</w:t>
      </w:r>
      <w:r w:rsidR="00BD13AB" w:rsidRPr="002430F3">
        <w:t xml:space="preserve"> </w:t>
      </w:r>
      <w:r w:rsidR="00BD13AB" w:rsidRPr="002430F3">
        <w:rPr>
          <w:lang w:val="en-US"/>
        </w:rPr>
        <w:t xml:space="preserve">The percentage of subjects induced with 80/40 mg Humira in </w:t>
      </w:r>
      <w:r w:rsidR="00EB2366" w:rsidRPr="002430F3">
        <w:rPr>
          <w:lang w:val="en-US"/>
        </w:rPr>
        <w:t>S</w:t>
      </w:r>
      <w:r w:rsidR="00BD13AB" w:rsidRPr="002430F3">
        <w:rPr>
          <w:lang w:val="en-US"/>
        </w:rPr>
        <w:t xml:space="preserve">tudy UC-I who achieved clinical remission at Week 8 was not statistically </w:t>
      </w:r>
      <w:r w:rsidR="00C717C7" w:rsidRPr="002430F3">
        <w:rPr>
          <w:lang w:val="en-US"/>
        </w:rPr>
        <w:t xml:space="preserve">significantly </w:t>
      </w:r>
      <w:r w:rsidR="00BD13AB" w:rsidRPr="002430F3">
        <w:rPr>
          <w:lang w:val="en-US"/>
        </w:rPr>
        <w:t>different versus placebo.</w:t>
      </w:r>
      <w:r w:rsidR="00781CBE">
        <w:rPr>
          <w:lang w:val="en-US"/>
        </w:rPr>
        <w:t xml:space="preserve"> </w:t>
      </w:r>
    </w:p>
    <w:p w:rsidR="009E2528" w:rsidRPr="00FF6FAE" w:rsidRDefault="009E2528" w:rsidP="00A56260">
      <w:pPr>
        <w:pStyle w:val="BodyText"/>
        <w:jc w:val="both"/>
        <w:rPr>
          <w:lang w:val="en-US"/>
        </w:rPr>
      </w:pPr>
    </w:p>
    <w:p w:rsidR="00A56260" w:rsidRDefault="00A56260">
      <w:pPr>
        <w:pStyle w:val="BodyText"/>
        <w:jc w:val="both"/>
        <w:rPr>
          <w:lang w:val="en-GB"/>
        </w:rPr>
      </w:pPr>
      <w:r w:rsidRPr="00FF6FAE">
        <w:rPr>
          <w:lang w:val="en-GB"/>
        </w:rPr>
        <w:t>Results from the overall UC-II study</w:t>
      </w:r>
      <w:r w:rsidR="00D23C53">
        <w:rPr>
          <w:lang w:val="en-GB"/>
        </w:rPr>
        <w:t xml:space="preserve"> population are shown in Table 20</w:t>
      </w:r>
      <w:r w:rsidRPr="00FF6FAE">
        <w:rPr>
          <w:lang w:val="en-GB"/>
        </w:rPr>
        <w:t>.</w:t>
      </w:r>
    </w:p>
    <w:p w:rsidR="00A56260" w:rsidRDefault="00A56260">
      <w:pPr>
        <w:pStyle w:val="BodyText"/>
        <w:jc w:val="both"/>
        <w:rPr>
          <w:lang w:val="en-GB"/>
        </w:rPr>
      </w:pPr>
    </w:p>
    <w:p w:rsidR="00A56260" w:rsidRPr="00FF6FAE" w:rsidRDefault="00D23C53" w:rsidP="00A56260">
      <w:pPr>
        <w:pStyle w:val="BodyText"/>
        <w:jc w:val="both"/>
        <w:rPr>
          <w:b/>
          <w:bCs/>
          <w:lang w:val="en-GB"/>
        </w:rPr>
      </w:pPr>
      <w:r>
        <w:rPr>
          <w:b/>
          <w:bCs/>
          <w:lang w:val="en-GB"/>
        </w:rPr>
        <w:t>Table 20</w:t>
      </w:r>
    </w:p>
    <w:p w:rsidR="00A56260" w:rsidRPr="002430F3" w:rsidRDefault="009E19BB" w:rsidP="00A56260">
      <w:pPr>
        <w:pStyle w:val="BodyText"/>
        <w:jc w:val="both"/>
        <w:rPr>
          <w:b/>
          <w:bCs/>
          <w:lang w:val="en-GB"/>
        </w:rPr>
      </w:pPr>
      <w:r>
        <w:rPr>
          <w:b/>
          <w:bCs/>
          <w:lang w:val="en-GB"/>
        </w:rPr>
        <w:t xml:space="preserve">Clinical </w:t>
      </w:r>
      <w:r w:rsidR="002430F3" w:rsidRPr="002430F3">
        <w:rPr>
          <w:b/>
          <w:bCs/>
          <w:lang w:val="en-GB"/>
        </w:rPr>
        <w:t>Remission</w:t>
      </w:r>
      <w:r w:rsidR="00C757AB" w:rsidRPr="002430F3">
        <w:rPr>
          <w:b/>
          <w:bCs/>
          <w:lang w:val="en-GB"/>
        </w:rPr>
        <w:t xml:space="preserve">, </w:t>
      </w:r>
      <w:r>
        <w:rPr>
          <w:b/>
          <w:bCs/>
          <w:lang w:val="en-GB"/>
        </w:rPr>
        <w:t xml:space="preserve">Clinical </w:t>
      </w:r>
      <w:r w:rsidR="00A56260" w:rsidRPr="002430F3">
        <w:rPr>
          <w:b/>
          <w:bCs/>
          <w:lang w:val="en-GB"/>
        </w:rPr>
        <w:t>Response and Mucosal Healing in Study UC-II</w:t>
      </w:r>
    </w:p>
    <w:p w:rsidR="00A56260" w:rsidRPr="00FF6FAE" w:rsidRDefault="00A56260" w:rsidP="00A56260">
      <w:pPr>
        <w:pStyle w:val="BodyText"/>
        <w:jc w:val="both"/>
        <w:rPr>
          <w:b/>
          <w:bCs/>
          <w:lang w:val="en-GB"/>
        </w:rPr>
      </w:pPr>
      <w:r w:rsidRPr="00D84EBB">
        <w:rPr>
          <w:b/>
          <w:bCs/>
          <w:lang w:val="en-GB"/>
        </w:rPr>
        <w:t>(Percent of Patients)</w:t>
      </w:r>
    </w:p>
    <w:tbl>
      <w:tblPr>
        <w:tblW w:w="4375" w:type="pct"/>
        <w:tblInd w:w="-105" w:type="dxa"/>
        <w:tblCellMar>
          <w:top w:w="15" w:type="dxa"/>
          <w:left w:w="15" w:type="dxa"/>
          <w:bottom w:w="15" w:type="dxa"/>
          <w:right w:w="15" w:type="dxa"/>
        </w:tblCellMar>
        <w:tblLook w:val="0000" w:firstRow="0" w:lastRow="0" w:firstColumn="0" w:lastColumn="0" w:noHBand="0" w:noVBand="0"/>
      </w:tblPr>
      <w:tblGrid>
        <w:gridCol w:w="5095"/>
        <w:gridCol w:w="1085"/>
        <w:gridCol w:w="2380"/>
      </w:tblGrid>
      <w:tr w:rsidR="00A56260" w:rsidRPr="00FF6FAE" w:rsidTr="00C757AB">
        <w:tc>
          <w:tcPr>
            <w:tcW w:w="2976" w:type="pct"/>
            <w:tcBorders>
              <w:top w:val="single" w:sz="6" w:space="0" w:color="000000"/>
              <w:left w:val="nil"/>
              <w:bottom w:val="single" w:sz="6" w:space="0" w:color="000000"/>
              <w:right w:val="nil"/>
            </w:tcBorders>
            <w:shd w:val="clear" w:color="auto" w:fill="auto"/>
          </w:tcPr>
          <w:p w:rsidR="00A56260" w:rsidRPr="002430F3" w:rsidRDefault="00A56260" w:rsidP="00061E95">
            <w:pPr>
              <w:pStyle w:val="BodyText"/>
              <w:jc w:val="both"/>
              <w:rPr>
                <w:lang w:val="en-GB"/>
              </w:rPr>
            </w:pPr>
          </w:p>
        </w:tc>
        <w:tc>
          <w:tcPr>
            <w:tcW w:w="634" w:type="pct"/>
            <w:tcBorders>
              <w:top w:val="single" w:sz="6" w:space="0" w:color="000000"/>
              <w:left w:val="nil"/>
              <w:bottom w:val="single" w:sz="6" w:space="0" w:color="000000"/>
              <w:right w:val="nil"/>
            </w:tcBorders>
            <w:shd w:val="clear" w:color="auto" w:fill="auto"/>
          </w:tcPr>
          <w:p w:rsidR="00A56260" w:rsidRPr="00FF6FAE" w:rsidRDefault="00A56260" w:rsidP="00061E95">
            <w:pPr>
              <w:pStyle w:val="BodyText"/>
              <w:jc w:val="both"/>
              <w:rPr>
                <w:lang w:val="en-GB"/>
              </w:rPr>
            </w:pPr>
            <w:r w:rsidRPr="00FF6FAE">
              <w:rPr>
                <w:b/>
                <w:bCs/>
                <w:lang w:val="en-GB"/>
              </w:rPr>
              <w:t>Placebo</w:t>
            </w:r>
            <w:r w:rsidRPr="00FF6FAE">
              <w:rPr>
                <w:lang w:val="en-GB"/>
              </w:rPr>
              <w:br/>
            </w:r>
          </w:p>
        </w:tc>
        <w:tc>
          <w:tcPr>
            <w:tcW w:w="1390" w:type="pct"/>
            <w:tcBorders>
              <w:top w:val="single" w:sz="6" w:space="0" w:color="000000"/>
              <w:left w:val="nil"/>
              <w:bottom w:val="single" w:sz="6" w:space="0" w:color="000000"/>
              <w:right w:val="nil"/>
            </w:tcBorders>
            <w:shd w:val="clear" w:color="auto" w:fill="auto"/>
          </w:tcPr>
          <w:p w:rsidR="00A56260" w:rsidRPr="00FF6FAE" w:rsidRDefault="00A56260" w:rsidP="00061E95">
            <w:pPr>
              <w:pStyle w:val="BodyText"/>
              <w:jc w:val="both"/>
              <w:rPr>
                <w:b/>
                <w:bCs/>
                <w:lang w:val="en-GB"/>
              </w:rPr>
            </w:pPr>
            <w:r w:rsidRPr="00FF6FAE">
              <w:rPr>
                <w:b/>
                <w:bCs/>
                <w:lang w:val="en-GB"/>
              </w:rPr>
              <w:t xml:space="preserve">HUMIRA 40 mg </w:t>
            </w:r>
          </w:p>
          <w:p w:rsidR="00A56260" w:rsidRPr="00FF6FAE" w:rsidRDefault="00A56260" w:rsidP="00061E95">
            <w:pPr>
              <w:pStyle w:val="BodyText"/>
              <w:jc w:val="both"/>
              <w:rPr>
                <w:lang w:val="en-GB"/>
              </w:rPr>
            </w:pPr>
            <w:r>
              <w:rPr>
                <w:b/>
                <w:bCs/>
                <w:lang w:val="en-GB"/>
              </w:rPr>
              <w:t>fortnightly</w:t>
            </w:r>
            <w:r w:rsidRPr="00FF6FAE">
              <w:rPr>
                <w:lang w:val="en-GB"/>
              </w:rPr>
              <w:br/>
            </w:r>
          </w:p>
        </w:tc>
      </w:tr>
      <w:tr w:rsidR="00337D96" w:rsidRPr="00FF6FAE" w:rsidTr="002430F3">
        <w:tc>
          <w:tcPr>
            <w:tcW w:w="2976" w:type="pct"/>
            <w:tcBorders>
              <w:top w:val="single" w:sz="6" w:space="0" w:color="000000"/>
              <w:left w:val="nil"/>
              <w:bottom w:val="single" w:sz="6" w:space="0" w:color="000000"/>
              <w:right w:val="nil"/>
            </w:tcBorders>
            <w:shd w:val="clear" w:color="auto" w:fill="auto"/>
          </w:tcPr>
          <w:p w:rsidR="00337D96" w:rsidRPr="002430F3" w:rsidRDefault="00337D96" w:rsidP="00061E95">
            <w:pPr>
              <w:pStyle w:val="BodyText"/>
              <w:jc w:val="both"/>
              <w:rPr>
                <w:b/>
                <w:lang w:val="en-GB"/>
              </w:rPr>
            </w:pPr>
            <w:r w:rsidRPr="002430F3">
              <w:rPr>
                <w:b/>
                <w:lang w:val="en-GB"/>
              </w:rPr>
              <w:t>Week 8</w:t>
            </w:r>
          </w:p>
        </w:tc>
        <w:tc>
          <w:tcPr>
            <w:tcW w:w="634" w:type="pct"/>
            <w:tcBorders>
              <w:top w:val="single" w:sz="6" w:space="0" w:color="000000"/>
              <w:left w:val="nil"/>
              <w:bottom w:val="single" w:sz="6" w:space="0" w:color="000000"/>
              <w:right w:val="nil"/>
            </w:tcBorders>
            <w:shd w:val="clear" w:color="auto" w:fill="auto"/>
          </w:tcPr>
          <w:p w:rsidR="00337D96" w:rsidRPr="002430F3" w:rsidRDefault="00337D96" w:rsidP="00061E95">
            <w:pPr>
              <w:pStyle w:val="BodyText"/>
              <w:jc w:val="both"/>
              <w:rPr>
                <w:b/>
                <w:bCs/>
                <w:u w:val="single"/>
                <w:lang w:val="en-GB"/>
              </w:rPr>
            </w:pPr>
            <w:r w:rsidRPr="002430F3">
              <w:rPr>
                <w:b/>
                <w:bCs/>
                <w:u w:val="single"/>
                <w:lang w:val="en-GB"/>
              </w:rPr>
              <w:t>N=246</w:t>
            </w:r>
          </w:p>
        </w:tc>
        <w:tc>
          <w:tcPr>
            <w:tcW w:w="1390" w:type="pct"/>
            <w:tcBorders>
              <w:top w:val="single" w:sz="6" w:space="0" w:color="000000"/>
              <w:left w:val="nil"/>
              <w:bottom w:val="single" w:sz="6" w:space="0" w:color="000000"/>
              <w:right w:val="nil"/>
            </w:tcBorders>
            <w:shd w:val="clear" w:color="auto" w:fill="auto"/>
          </w:tcPr>
          <w:p w:rsidR="00337D96" w:rsidRPr="002430F3" w:rsidRDefault="00337D96" w:rsidP="00061E95">
            <w:pPr>
              <w:pStyle w:val="BodyText"/>
              <w:jc w:val="both"/>
              <w:rPr>
                <w:b/>
                <w:bCs/>
                <w:u w:val="single"/>
                <w:lang w:val="en-GB"/>
              </w:rPr>
            </w:pPr>
            <w:r w:rsidRPr="002430F3">
              <w:rPr>
                <w:b/>
                <w:bCs/>
                <w:u w:val="single"/>
                <w:lang w:val="en-GB"/>
              </w:rPr>
              <w:t>N=248</w:t>
            </w:r>
          </w:p>
        </w:tc>
      </w:tr>
      <w:tr w:rsidR="00337D96" w:rsidRPr="00FF6FAE" w:rsidTr="002430F3">
        <w:tc>
          <w:tcPr>
            <w:tcW w:w="2976" w:type="pct"/>
            <w:tcBorders>
              <w:top w:val="single" w:sz="6" w:space="0" w:color="000000"/>
              <w:left w:val="nil"/>
              <w:right w:val="nil"/>
            </w:tcBorders>
            <w:shd w:val="clear" w:color="auto" w:fill="auto"/>
          </w:tcPr>
          <w:p w:rsidR="00337D96" w:rsidRPr="002430F3" w:rsidRDefault="00337D96" w:rsidP="00337D96">
            <w:pPr>
              <w:pStyle w:val="BodyText"/>
              <w:jc w:val="both"/>
              <w:rPr>
                <w:lang w:val="en-GB"/>
              </w:rPr>
            </w:pPr>
            <w:r w:rsidRPr="002430F3">
              <w:rPr>
                <w:lang w:val="en-GB"/>
              </w:rPr>
              <w:t xml:space="preserve">  </w:t>
            </w:r>
            <w:r w:rsidR="009E19BB">
              <w:rPr>
                <w:lang w:val="en-GB"/>
              </w:rPr>
              <w:t xml:space="preserve">Clinical </w:t>
            </w:r>
            <w:r w:rsidRPr="002430F3">
              <w:rPr>
                <w:lang w:val="en-GB"/>
              </w:rPr>
              <w:t>Remission</w:t>
            </w:r>
          </w:p>
        </w:tc>
        <w:tc>
          <w:tcPr>
            <w:tcW w:w="634" w:type="pct"/>
            <w:tcBorders>
              <w:top w:val="single" w:sz="6" w:space="0" w:color="000000"/>
              <w:left w:val="nil"/>
              <w:right w:val="nil"/>
            </w:tcBorders>
            <w:shd w:val="clear" w:color="auto" w:fill="auto"/>
          </w:tcPr>
          <w:p w:rsidR="00337D96" w:rsidRPr="002430F3" w:rsidRDefault="00337D96" w:rsidP="00061E95">
            <w:pPr>
              <w:pStyle w:val="BodyText"/>
              <w:jc w:val="both"/>
              <w:rPr>
                <w:b/>
                <w:bCs/>
                <w:u w:val="single"/>
                <w:lang w:val="en-GB"/>
              </w:rPr>
            </w:pPr>
            <w:r w:rsidRPr="002430F3">
              <w:rPr>
                <w:u w:val="single"/>
                <w:lang w:val="en-GB"/>
              </w:rPr>
              <w:t>9%</w:t>
            </w:r>
          </w:p>
        </w:tc>
        <w:tc>
          <w:tcPr>
            <w:tcW w:w="1390" w:type="pct"/>
            <w:tcBorders>
              <w:top w:val="single" w:sz="6" w:space="0" w:color="000000"/>
              <w:left w:val="nil"/>
              <w:right w:val="nil"/>
            </w:tcBorders>
            <w:shd w:val="clear" w:color="auto" w:fill="auto"/>
          </w:tcPr>
          <w:p w:rsidR="00337D96" w:rsidRPr="002430F3" w:rsidRDefault="00337D96" w:rsidP="00061E95">
            <w:pPr>
              <w:pStyle w:val="BodyText"/>
              <w:jc w:val="both"/>
              <w:rPr>
                <w:b/>
                <w:bCs/>
                <w:u w:val="single"/>
                <w:lang w:val="en-GB"/>
              </w:rPr>
            </w:pPr>
            <w:r w:rsidRPr="002430F3">
              <w:rPr>
                <w:u w:val="single"/>
                <w:lang w:val="en-GB"/>
              </w:rPr>
              <w:t xml:space="preserve">   17%*</w:t>
            </w:r>
          </w:p>
        </w:tc>
      </w:tr>
      <w:tr w:rsidR="00337D96" w:rsidRPr="00FF6FAE" w:rsidTr="002430F3">
        <w:tc>
          <w:tcPr>
            <w:tcW w:w="2976" w:type="pct"/>
            <w:tcBorders>
              <w:left w:val="nil"/>
              <w:right w:val="nil"/>
            </w:tcBorders>
            <w:shd w:val="clear" w:color="auto" w:fill="auto"/>
          </w:tcPr>
          <w:p w:rsidR="00337D96" w:rsidRPr="002430F3" w:rsidRDefault="00337D96" w:rsidP="00337D96">
            <w:pPr>
              <w:pStyle w:val="BodyText"/>
              <w:jc w:val="both"/>
              <w:rPr>
                <w:lang w:val="en-GB"/>
              </w:rPr>
            </w:pPr>
            <w:r w:rsidRPr="002430F3">
              <w:rPr>
                <w:lang w:val="en-GB"/>
              </w:rPr>
              <w:t xml:space="preserve">  </w:t>
            </w:r>
            <w:r w:rsidR="009E19BB">
              <w:rPr>
                <w:lang w:val="en-GB"/>
              </w:rPr>
              <w:t xml:space="preserve">Clinical </w:t>
            </w:r>
            <w:r w:rsidRPr="002430F3">
              <w:rPr>
                <w:lang w:val="en-GB"/>
              </w:rPr>
              <w:t xml:space="preserve">Response </w:t>
            </w:r>
          </w:p>
        </w:tc>
        <w:tc>
          <w:tcPr>
            <w:tcW w:w="634" w:type="pct"/>
            <w:tcBorders>
              <w:left w:val="nil"/>
              <w:right w:val="nil"/>
            </w:tcBorders>
            <w:shd w:val="clear" w:color="auto" w:fill="auto"/>
          </w:tcPr>
          <w:p w:rsidR="00337D96" w:rsidRPr="002430F3" w:rsidRDefault="00337D96" w:rsidP="00061E95">
            <w:pPr>
              <w:pStyle w:val="BodyText"/>
              <w:jc w:val="both"/>
              <w:rPr>
                <w:b/>
                <w:bCs/>
                <w:u w:val="single"/>
                <w:lang w:val="en-GB"/>
              </w:rPr>
            </w:pPr>
            <w:r w:rsidRPr="002430F3">
              <w:rPr>
                <w:u w:val="single"/>
                <w:lang w:val="en-GB"/>
              </w:rPr>
              <w:t xml:space="preserve">35% </w:t>
            </w:r>
          </w:p>
        </w:tc>
        <w:tc>
          <w:tcPr>
            <w:tcW w:w="1390" w:type="pct"/>
            <w:tcBorders>
              <w:left w:val="nil"/>
              <w:right w:val="nil"/>
            </w:tcBorders>
            <w:shd w:val="clear" w:color="auto" w:fill="auto"/>
          </w:tcPr>
          <w:p w:rsidR="00337D96" w:rsidRPr="002430F3" w:rsidRDefault="00337D96" w:rsidP="00061E95">
            <w:pPr>
              <w:pStyle w:val="BodyText"/>
              <w:jc w:val="both"/>
              <w:rPr>
                <w:b/>
                <w:bCs/>
                <w:u w:val="single"/>
                <w:lang w:val="en-GB"/>
              </w:rPr>
            </w:pPr>
            <w:r w:rsidRPr="002430F3">
              <w:rPr>
                <w:u w:val="single"/>
                <w:lang w:val="en-GB"/>
              </w:rPr>
              <w:t xml:space="preserve">   50%**</w:t>
            </w:r>
          </w:p>
        </w:tc>
      </w:tr>
      <w:tr w:rsidR="00337D96" w:rsidRPr="00FF6FAE" w:rsidTr="002430F3">
        <w:tc>
          <w:tcPr>
            <w:tcW w:w="2976" w:type="pct"/>
            <w:tcBorders>
              <w:left w:val="nil"/>
              <w:right w:val="nil"/>
            </w:tcBorders>
            <w:shd w:val="clear" w:color="auto" w:fill="auto"/>
          </w:tcPr>
          <w:p w:rsidR="00337D96" w:rsidRPr="002430F3" w:rsidRDefault="00337D96" w:rsidP="00061E95">
            <w:pPr>
              <w:pStyle w:val="BodyText"/>
              <w:jc w:val="both"/>
              <w:rPr>
                <w:lang w:val="en-GB"/>
              </w:rPr>
            </w:pPr>
            <w:r w:rsidRPr="002430F3">
              <w:rPr>
                <w:lang w:val="en-GB"/>
              </w:rPr>
              <w:t xml:space="preserve">  Mucosal Healing </w:t>
            </w:r>
          </w:p>
        </w:tc>
        <w:tc>
          <w:tcPr>
            <w:tcW w:w="634" w:type="pct"/>
            <w:tcBorders>
              <w:left w:val="nil"/>
              <w:right w:val="nil"/>
            </w:tcBorders>
            <w:shd w:val="clear" w:color="auto" w:fill="auto"/>
          </w:tcPr>
          <w:p w:rsidR="00337D96" w:rsidRPr="002430F3" w:rsidRDefault="00337D96" w:rsidP="00061E95">
            <w:pPr>
              <w:pStyle w:val="BodyText"/>
              <w:jc w:val="both"/>
              <w:rPr>
                <w:b/>
                <w:bCs/>
                <w:u w:val="single"/>
                <w:lang w:val="en-GB"/>
              </w:rPr>
            </w:pPr>
            <w:r w:rsidRPr="002430F3">
              <w:rPr>
                <w:u w:val="single"/>
                <w:lang w:val="en-GB"/>
              </w:rPr>
              <w:t>32%</w:t>
            </w:r>
          </w:p>
        </w:tc>
        <w:tc>
          <w:tcPr>
            <w:tcW w:w="1390" w:type="pct"/>
            <w:tcBorders>
              <w:left w:val="nil"/>
              <w:right w:val="nil"/>
            </w:tcBorders>
            <w:shd w:val="clear" w:color="auto" w:fill="auto"/>
          </w:tcPr>
          <w:p w:rsidR="00337D96" w:rsidRPr="002430F3" w:rsidRDefault="00337D96" w:rsidP="00061E95">
            <w:pPr>
              <w:pStyle w:val="BodyText"/>
              <w:jc w:val="both"/>
              <w:rPr>
                <w:b/>
                <w:bCs/>
                <w:u w:val="single"/>
                <w:lang w:val="en-GB"/>
              </w:rPr>
            </w:pPr>
            <w:r w:rsidRPr="002430F3">
              <w:rPr>
                <w:u w:val="single"/>
                <w:lang w:val="en-GB"/>
              </w:rPr>
              <w:t xml:space="preserve">   41%*</w:t>
            </w:r>
          </w:p>
        </w:tc>
      </w:tr>
      <w:tr w:rsidR="00337D96" w:rsidRPr="00FF6FAE" w:rsidTr="002430F3">
        <w:tc>
          <w:tcPr>
            <w:tcW w:w="2976" w:type="pct"/>
            <w:tcBorders>
              <w:left w:val="nil"/>
              <w:bottom w:val="single" w:sz="6" w:space="0" w:color="000000"/>
              <w:right w:val="nil"/>
            </w:tcBorders>
            <w:shd w:val="clear" w:color="auto" w:fill="auto"/>
          </w:tcPr>
          <w:p w:rsidR="00337D96" w:rsidRPr="002430F3" w:rsidRDefault="00337D96" w:rsidP="00061E95">
            <w:pPr>
              <w:pStyle w:val="BodyText"/>
              <w:jc w:val="both"/>
              <w:rPr>
                <w:lang w:val="en-GB"/>
              </w:rPr>
            </w:pPr>
          </w:p>
        </w:tc>
        <w:tc>
          <w:tcPr>
            <w:tcW w:w="634" w:type="pct"/>
            <w:tcBorders>
              <w:left w:val="nil"/>
              <w:bottom w:val="single" w:sz="6" w:space="0" w:color="000000"/>
              <w:right w:val="nil"/>
            </w:tcBorders>
            <w:shd w:val="clear" w:color="auto" w:fill="auto"/>
          </w:tcPr>
          <w:p w:rsidR="00337D96" w:rsidRPr="00FF6FAE" w:rsidRDefault="00337D96" w:rsidP="00061E95">
            <w:pPr>
              <w:pStyle w:val="BodyText"/>
              <w:jc w:val="both"/>
              <w:rPr>
                <w:b/>
                <w:bCs/>
                <w:lang w:val="en-GB"/>
              </w:rPr>
            </w:pPr>
          </w:p>
        </w:tc>
        <w:tc>
          <w:tcPr>
            <w:tcW w:w="1390" w:type="pct"/>
            <w:tcBorders>
              <w:left w:val="nil"/>
              <w:bottom w:val="single" w:sz="6" w:space="0" w:color="000000"/>
              <w:right w:val="nil"/>
            </w:tcBorders>
            <w:shd w:val="clear" w:color="auto" w:fill="auto"/>
          </w:tcPr>
          <w:p w:rsidR="00337D96" w:rsidRPr="00FF6FAE" w:rsidRDefault="00337D96" w:rsidP="00061E95">
            <w:pPr>
              <w:pStyle w:val="BodyText"/>
              <w:jc w:val="both"/>
              <w:rPr>
                <w:b/>
                <w:bCs/>
                <w:lang w:val="en-GB"/>
              </w:rPr>
            </w:pPr>
          </w:p>
        </w:tc>
      </w:tr>
      <w:tr w:rsidR="00A56260" w:rsidRPr="00FF6FAE" w:rsidTr="00C757AB">
        <w:tc>
          <w:tcPr>
            <w:tcW w:w="2976" w:type="pct"/>
            <w:tcBorders>
              <w:top w:val="single" w:sz="6" w:space="0" w:color="000000"/>
              <w:left w:val="nil"/>
              <w:bottom w:val="single" w:sz="6" w:space="0" w:color="000000"/>
              <w:right w:val="nil"/>
            </w:tcBorders>
            <w:shd w:val="clear" w:color="auto" w:fill="auto"/>
          </w:tcPr>
          <w:p w:rsidR="00A56260" w:rsidRPr="002430F3" w:rsidRDefault="00A56260" w:rsidP="00061E95">
            <w:pPr>
              <w:pStyle w:val="BodyText"/>
              <w:jc w:val="both"/>
              <w:rPr>
                <w:b/>
                <w:lang w:val="en-GB"/>
              </w:rPr>
            </w:pPr>
            <w:r w:rsidRPr="002430F3">
              <w:rPr>
                <w:b/>
                <w:lang w:val="en-GB"/>
              </w:rPr>
              <w:t>Week 52</w:t>
            </w:r>
          </w:p>
        </w:tc>
        <w:tc>
          <w:tcPr>
            <w:tcW w:w="634" w:type="pct"/>
            <w:tcBorders>
              <w:top w:val="single" w:sz="6" w:space="0" w:color="000000"/>
              <w:left w:val="nil"/>
              <w:bottom w:val="single" w:sz="6" w:space="0" w:color="000000"/>
              <w:right w:val="nil"/>
            </w:tcBorders>
            <w:shd w:val="clear" w:color="auto" w:fill="auto"/>
          </w:tcPr>
          <w:p w:rsidR="00A56260" w:rsidRPr="00FF6FAE" w:rsidRDefault="00A56260" w:rsidP="00061E95">
            <w:pPr>
              <w:pStyle w:val="BodyText"/>
              <w:jc w:val="both"/>
              <w:rPr>
                <w:b/>
                <w:bCs/>
                <w:lang w:val="en-GB"/>
              </w:rPr>
            </w:pPr>
            <w:r w:rsidRPr="00FF6FAE">
              <w:rPr>
                <w:b/>
                <w:bCs/>
                <w:lang w:val="en-GB"/>
              </w:rPr>
              <w:t>N=246</w:t>
            </w:r>
          </w:p>
        </w:tc>
        <w:tc>
          <w:tcPr>
            <w:tcW w:w="1390" w:type="pct"/>
            <w:tcBorders>
              <w:top w:val="single" w:sz="6" w:space="0" w:color="000000"/>
              <w:left w:val="nil"/>
              <w:bottom w:val="single" w:sz="6" w:space="0" w:color="000000"/>
              <w:right w:val="nil"/>
            </w:tcBorders>
            <w:shd w:val="clear" w:color="auto" w:fill="auto"/>
          </w:tcPr>
          <w:p w:rsidR="00A56260" w:rsidRPr="00FF6FAE" w:rsidRDefault="00A56260" w:rsidP="00061E95">
            <w:pPr>
              <w:pStyle w:val="BodyText"/>
              <w:jc w:val="both"/>
              <w:rPr>
                <w:b/>
                <w:bCs/>
                <w:lang w:val="en-GB"/>
              </w:rPr>
            </w:pPr>
            <w:r w:rsidRPr="00FF6FAE">
              <w:rPr>
                <w:b/>
                <w:bCs/>
                <w:lang w:val="en-GB"/>
              </w:rPr>
              <w:t>N=248</w:t>
            </w:r>
          </w:p>
        </w:tc>
      </w:tr>
      <w:tr w:rsidR="00C757AB" w:rsidRPr="00FF6FAE" w:rsidTr="00C757AB">
        <w:tc>
          <w:tcPr>
            <w:tcW w:w="2976" w:type="pct"/>
            <w:tcBorders>
              <w:top w:val="nil"/>
              <w:left w:val="nil"/>
              <w:right w:val="nil"/>
            </w:tcBorders>
          </w:tcPr>
          <w:p w:rsidR="00C757AB" w:rsidRPr="002430F3" w:rsidRDefault="00337D96" w:rsidP="00337D96">
            <w:pPr>
              <w:pStyle w:val="BodyText"/>
              <w:jc w:val="both"/>
              <w:rPr>
                <w:lang w:val="en-GB"/>
              </w:rPr>
            </w:pPr>
            <w:r w:rsidRPr="002430F3">
              <w:rPr>
                <w:lang w:val="en-GB"/>
              </w:rPr>
              <w:t xml:space="preserve">  </w:t>
            </w:r>
            <w:r w:rsidR="009E19BB">
              <w:rPr>
                <w:lang w:val="en-GB"/>
              </w:rPr>
              <w:t xml:space="preserve">Clinical </w:t>
            </w:r>
            <w:r w:rsidRPr="002430F3">
              <w:rPr>
                <w:lang w:val="en-GB"/>
              </w:rPr>
              <w:t>Remission</w:t>
            </w:r>
          </w:p>
        </w:tc>
        <w:tc>
          <w:tcPr>
            <w:tcW w:w="634" w:type="pct"/>
            <w:tcBorders>
              <w:top w:val="nil"/>
              <w:left w:val="nil"/>
              <w:right w:val="nil"/>
            </w:tcBorders>
          </w:tcPr>
          <w:p w:rsidR="00C757AB" w:rsidRPr="00D84EBB" w:rsidRDefault="00C757AB" w:rsidP="00061E95">
            <w:pPr>
              <w:pStyle w:val="BodyText"/>
              <w:jc w:val="both"/>
              <w:rPr>
                <w:lang w:val="en-GB"/>
              </w:rPr>
            </w:pPr>
            <w:r w:rsidRPr="00D84EBB">
              <w:rPr>
                <w:lang w:val="en-GB"/>
              </w:rPr>
              <w:t>9%</w:t>
            </w:r>
          </w:p>
        </w:tc>
        <w:tc>
          <w:tcPr>
            <w:tcW w:w="1390" w:type="pct"/>
            <w:tcBorders>
              <w:top w:val="nil"/>
              <w:left w:val="nil"/>
              <w:right w:val="nil"/>
            </w:tcBorders>
          </w:tcPr>
          <w:p w:rsidR="00C757AB" w:rsidRPr="00D84EBB" w:rsidRDefault="00C757AB" w:rsidP="00061E95">
            <w:pPr>
              <w:pStyle w:val="BodyText"/>
              <w:jc w:val="both"/>
              <w:rPr>
                <w:lang w:val="en-GB"/>
              </w:rPr>
            </w:pPr>
            <w:r w:rsidRPr="00D84EBB">
              <w:rPr>
                <w:lang w:val="en-GB"/>
              </w:rPr>
              <w:t xml:space="preserve">   17%*</w:t>
            </w:r>
          </w:p>
        </w:tc>
      </w:tr>
      <w:tr w:rsidR="00A56260" w:rsidRPr="00FF6FAE" w:rsidTr="00C757AB">
        <w:tc>
          <w:tcPr>
            <w:tcW w:w="2976" w:type="pct"/>
            <w:tcBorders>
              <w:top w:val="nil"/>
              <w:left w:val="nil"/>
              <w:right w:val="nil"/>
            </w:tcBorders>
          </w:tcPr>
          <w:p w:rsidR="00A56260" w:rsidRPr="002430F3" w:rsidRDefault="00A56260" w:rsidP="00061E95">
            <w:pPr>
              <w:pStyle w:val="BodyText"/>
              <w:jc w:val="both"/>
              <w:rPr>
                <w:lang w:val="en-GB"/>
              </w:rPr>
            </w:pPr>
            <w:r w:rsidRPr="002430F3">
              <w:rPr>
                <w:lang w:val="en-GB"/>
              </w:rPr>
              <w:t xml:space="preserve">  </w:t>
            </w:r>
            <w:r w:rsidR="009E19BB">
              <w:rPr>
                <w:lang w:val="en-GB"/>
              </w:rPr>
              <w:t>Clinical</w:t>
            </w:r>
            <w:r w:rsidR="00F41583">
              <w:rPr>
                <w:lang w:val="en-GB"/>
              </w:rPr>
              <w:t xml:space="preserve"> </w:t>
            </w:r>
            <w:r w:rsidRPr="002430F3">
              <w:rPr>
                <w:lang w:val="en-GB"/>
              </w:rPr>
              <w:t xml:space="preserve">Response </w:t>
            </w:r>
          </w:p>
        </w:tc>
        <w:tc>
          <w:tcPr>
            <w:tcW w:w="634" w:type="pct"/>
            <w:tcBorders>
              <w:top w:val="nil"/>
              <w:left w:val="nil"/>
              <w:right w:val="nil"/>
            </w:tcBorders>
          </w:tcPr>
          <w:p w:rsidR="00A56260" w:rsidRPr="00D84EBB" w:rsidRDefault="00A56260" w:rsidP="00061E95">
            <w:pPr>
              <w:pStyle w:val="BodyText"/>
              <w:jc w:val="both"/>
              <w:rPr>
                <w:lang w:val="en-GB"/>
              </w:rPr>
            </w:pPr>
            <w:r w:rsidRPr="00D84EBB">
              <w:rPr>
                <w:lang w:val="en-GB"/>
              </w:rPr>
              <w:t xml:space="preserve">18% </w:t>
            </w:r>
          </w:p>
        </w:tc>
        <w:tc>
          <w:tcPr>
            <w:tcW w:w="1390" w:type="pct"/>
            <w:tcBorders>
              <w:top w:val="nil"/>
              <w:left w:val="nil"/>
              <w:right w:val="nil"/>
            </w:tcBorders>
          </w:tcPr>
          <w:p w:rsidR="00A56260" w:rsidRPr="00D84EBB" w:rsidRDefault="00A56260" w:rsidP="00061E95">
            <w:pPr>
              <w:pStyle w:val="BodyText"/>
              <w:jc w:val="both"/>
              <w:rPr>
                <w:lang w:val="en-GB"/>
              </w:rPr>
            </w:pPr>
            <w:r w:rsidRPr="00D84EBB">
              <w:rPr>
                <w:lang w:val="en-GB"/>
              </w:rPr>
              <w:t xml:space="preserve">   30%*</w:t>
            </w:r>
          </w:p>
        </w:tc>
      </w:tr>
      <w:tr w:rsidR="00A56260" w:rsidRPr="00FF6FAE" w:rsidTr="00C757AB">
        <w:tc>
          <w:tcPr>
            <w:tcW w:w="2976" w:type="pct"/>
            <w:tcBorders>
              <w:top w:val="nil"/>
              <w:left w:val="nil"/>
              <w:right w:val="nil"/>
            </w:tcBorders>
          </w:tcPr>
          <w:p w:rsidR="00A56260" w:rsidRPr="002430F3" w:rsidRDefault="00A56260" w:rsidP="00061E95">
            <w:pPr>
              <w:pStyle w:val="BodyText"/>
              <w:jc w:val="both"/>
              <w:rPr>
                <w:lang w:val="en-GB"/>
              </w:rPr>
            </w:pPr>
          </w:p>
        </w:tc>
        <w:tc>
          <w:tcPr>
            <w:tcW w:w="634" w:type="pct"/>
            <w:tcBorders>
              <w:top w:val="nil"/>
              <w:left w:val="nil"/>
              <w:right w:val="nil"/>
            </w:tcBorders>
          </w:tcPr>
          <w:p w:rsidR="00A56260" w:rsidRPr="00CD2DF8" w:rsidRDefault="00A56260" w:rsidP="00061E95">
            <w:pPr>
              <w:pStyle w:val="BodyText"/>
              <w:jc w:val="both"/>
              <w:rPr>
                <w:lang w:val="en-GB"/>
              </w:rPr>
            </w:pPr>
          </w:p>
        </w:tc>
        <w:tc>
          <w:tcPr>
            <w:tcW w:w="1390" w:type="pct"/>
            <w:tcBorders>
              <w:top w:val="nil"/>
              <w:left w:val="nil"/>
              <w:right w:val="nil"/>
            </w:tcBorders>
          </w:tcPr>
          <w:p w:rsidR="00A56260" w:rsidRPr="00CD2DF8" w:rsidRDefault="00A56260" w:rsidP="00061E95">
            <w:pPr>
              <w:pStyle w:val="BodyText"/>
              <w:jc w:val="both"/>
              <w:rPr>
                <w:lang w:val="en-GB"/>
              </w:rPr>
            </w:pPr>
          </w:p>
        </w:tc>
      </w:tr>
      <w:tr w:rsidR="00A56260" w:rsidRPr="00FF6FAE" w:rsidTr="00C757AB">
        <w:tc>
          <w:tcPr>
            <w:tcW w:w="2976" w:type="pct"/>
            <w:tcBorders>
              <w:top w:val="nil"/>
              <w:left w:val="nil"/>
              <w:right w:val="nil"/>
            </w:tcBorders>
          </w:tcPr>
          <w:p w:rsidR="00A56260" w:rsidRPr="002430F3" w:rsidRDefault="00A56260" w:rsidP="00061E95">
            <w:pPr>
              <w:pStyle w:val="BodyText"/>
              <w:jc w:val="both"/>
              <w:rPr>
                <w:lang w:val="en-GB"/>
              </w:rPr>
            </w:pPr>
            <w:r w:rsidRPr="002430F3">
              <w:rPr>
                <w:lang w:val="en-GB"/>
              </w:rPr>
              <w:t xml:space="preserve">  Mucosal Healing </w:t>
            </w:r>
          </w:p>
        </w:tc>
        <w:tc>
          <w:tcPr>
            <w:tcW w:w="634" w:type="pct"/>
            <w:tcBorders>
              <w:top w:val="nil"/>
              <w:left w:val="nil"/>
              <w:right w:val="nil"/>
            </w:tcBorders>
          </w:tcPr>
          <w:p w:rsidR="00A56260" w:rsidRPr="00D84EBB" w:rsidRDefault="00A56260" w:rsidP="00061E95">
            <w:pPr>
              <w:pStyle w:val="BodyText"/>
              <w:jc w:val="both"/>
              <w:rPr>
                <w:lang w:val="en-GB"/>
              </w:rPr>
            </w:pPr>
            <w:r w:rsidRPr="00D84EBB">
              <w:rPr>
                <w:lang w:val="en-GB"/>
              </w:rPr>
              <w:t>15%</w:t>
            </w:r>
          </w:p>
        </w:tc>
        <w:tc>
          <w:tcPr>
            <w:tcW w:w="1390" w:type="pct"/>
            <w:tcBorders>
              <w:top w:val="nil"/>
              <w:left w:val="nil"/>
              <w:right w:val="nil"/>
            </w:tcBorders>
          </w:tcPr>
          <w:p w:rsidR="00A56260" w:rsidRPr="00D84EBB" w:rsidRDefault="00A56260" w:rsidP="00061E95">
            <w:pPr>
              <w:pStyle w:val="BodyText"/>
              <w:jc w:val="both"/>
              <w:rPr>
                <w:lang w:val="en-GB"/>
              </w:rPr>
            </w:pPr>
            <w:r w:rsidRPr="00D84EBB">
              <w:rPr>
                <w:lang w:val="en-GB"/>
              </w:rPr>
              <w:t xml:space="preserve">   25%*</w:t>
            </w:r>
          </w:p>
        </w:tc>
      </w:tr>
      <w:tr w:rsidR="00A56260" w:rsidRPr="00FF6FAE" w:rsidTr="002430F3">
        <w:tc>
          <w:tcPr>
            <w:tcW w:w="2976" w:type="pct"/>
            <w:tcBorders>
              <w:top w:val="nil"/>
              <w:left w:val="nil"/>
              <w:bottom w:val="single" w:sz="4" w:space="0" w:color="auto"/>
              <w:right w:val="nil"/>
            </w:tcBorders>
          </w:tcPr>
          <w:p w:rsidR="00A56260" w:rsidRPr="002430F3" w:rsidRDefault="00A56260" w:rsidP="00C757AB">
            <w:pPr>
              <w:pStyle w:val="BodyText"/>
              <w:jc w:val="both"/>
              <w:rPr>
                <w:lang w:val="en-GB"/>
              </w:rPr>
            </w:pPr>
            <w:r w:rsidRPr="002430F3">
              <w:rPr>
                <w:lang w:val="en-GB"/>
              </w:rPr>
              <w:t xml:space="preserve">  Steroid-free remission </w:t>
            </w:r>
            <w:r w:rsidRPr="002430F3">
              <w:rPr>
                <w:vertAlign w:val="superscript"/>
                <w:lang w:val="en-GB"/>
              </w:rPr>
              <w:t>a</w:t>
            </w:r>
            <w:r w:rsidRPr="002430F3">
              <w:rPr>
                <w:lang w:val="en-GB"/>
              </w:rPr>
              <w:t xml:space="preserve"> </w:t>
            </w:r>
          </w:p>
        </w:tc>
        <w:tc>
          <w:tcPr>
            <w:tcW w:w="634" w:type="pct"/>
            <w:tcBorders>
              <w:top w:val="nil"/>
              <w:left w:val="nil"/>
              <w:bottom w:val="single" w:sz="4" w:space="0" w:color="auto"/>
              <w:right w:val="nil"/>
            </w:tcBorders>
          </w:tcPr>
          <w:p w:rsidR="00A56260" w:rsidRPr="00D84EBB" w:rsidRDefault="00A56260" w:rsidP="00061E95">
            <w:pPr>
              <w:pStyle w:val="BodyText"/>
              <w:jc w:val="both"/>
              <w:rPr>
                <w:lang w:val="en-GB"/>
              </w:rPr>
            </w:pPr>
            <w:r w:rsidRPr="00D84EBB">
              <w:rPr>
                <w:lang w:val="en-GB"/>
              </w:rPr>
              <w:t xml:space="preserve">6% </w:t>
            </w:r>
          </w:p>
          <w:p w:rsidR="00A56260" w:rsidRPr="00D84EBB" w:rsidRDefault="00A56260" w:rsidP="00061E95">
            <w:pPr>
              <w:pStyle w:val="BodyText"/>
              <w:jc w:val="both"/>
              <w:rPr>
                <w:lang w:val="en-GB"/>
              </w:rPr>
            </w:pPr>
            <w:r w:rsidRPr="00D84EBB">
              <w:rPr>
                <w:lang w:val="en-GB"/>
              </w:rPr>
              <w:t>(N=140)</w:t>
            </w:r>
          </w:p>
        </w:tc>
        <w:tc>
          <w:tcPr>
            <w:tcW w:w="1390" w:type="pct"/>
            <w:tcBorders>
              <w:top w:val="nil"/>
              <w:left w:val="nil"/>
              <w:bottom w:val="single" w:sz="4" w:space="0" w:color="auto"/>
              <w:right w:val="nil"/>
            </w:tcBorders>
          </w:tcPr>
          <w:p w:rsidR="00A56260" w:rsidRPr="002430F3" w:rsidRDefault="00A56260" w:rsidP="00061E95">
            <w:pPr>
              <w:pStyle w:val="BodyText"/>
              <w:jc w:val="both"/>
              <w:rPr>
                <w:lang w:val="en-GB"/>
              </w:rPr>
            </w:pPr>
            <w:r w:rsidRPr="002430F3">
              <w:rPr>
                <w:lang w:val="en-GB"/>
              </w:rPr>
              <w:t xml:space="preserve">     13% *</w:t>
            </w:r>
          </w:p>
          <w:p w:rsidR="00A56260" w:rsidRPr="002430F3" w:rsidRDefault="00A56260" w:rsidP="00061E95">
            <w:pPr>
              <w:pStyle w:val="BodyText"/>
              <w:jc w:val="both"/>
              <w:rPr>
                <w:lang w:val="en-GB"/>
              </w:rPr>
            </w:pPr>
            <w:r w:rsidRPr="002430F3">
              <w:rPr>
                <w:lang w:val="en-GB"/>
              </w:rPr>
              <w:t>(N=150)</w:t>
            </w:r>
          </w:p>
          <w:p w:rsidR="00A56260" w:rsidRPr="002430F3" w:rsidRDefault="00A56260" w:rsidP="00061E95">
            <w:pPr>
              <w:pStyle w:val="BodyText"/>
              <w:jc w:val="both"/>
              <w:rPr>
                <w:lang w:val="en-GB"/>
              </w:rPr>
            </w:pPr>
          </w:p>
        </w:tc>
      </w:tr>
      <w:tr w:rsidR="00A56260" w:rsidRPr="00FF6FAE" w:rsidTr="002430F3">
        <w:tc>
          <w:tcPr>
            <w:tcW w:w="2976" w:type="pct"/>
            <w:tcBorders>
              <w:top w:val="single" w:sz="4" w:space="0" w:color="auto"/>
              <w:left w:val="nil"/>
              <w:bottom w:val="single" w:sz="4" w:space="0" w:color="auto"/>
              <w:right w:val="nil"/>
            </w:tcBorders>
          </w:tcPr>
          <w:p w:rsidR="00A56260" w:rsidRPr="002430F3" w:rsidRDefault="00A56260" w:rsidP="00061E95">
            <w:pPr>
              <w:pStyle w:val="BodyText"/>
              <w:jc w:val="both"/>
              <w:rPr>
                <w:b/>
                <w:lang w:val="en-GB"/>
              </w:rPr>
            </w:pPr>
            <w:r w:rsidRPr="002430F3">
              <w:rPr>
                <w:b/>
                <w:lang w:val="en-GB"/>
              </w:rPr>
              <w:t>Week 8 and 52</w:t>
            </w:r>
          </w:p>
        </w:tc>
        <w:tc>
          <w:tcPr>
            <w:tcW w:w="634" w:type="pct"/>
            <w:tcBorders>
              <w:top w:val="single" w:sz="4" w:space="0" w:color="auto"/>
              <w:left w:val="nil"/>
              <w:bottom w:val="single" w:sz="4" w:space="0" w:color="auto"/>
              <w:right w:val="nil"/>
            </w:tcBorders>
          </w:tcPr>
          <w:p w:rsidR="00A56260" w:rsidRPr="002430F3" w:rsidRDefault="00B25842" w:rsidP="00061E95">
            <w:pPr>
              <w:pStyle w:val="BodyText"/>
              <w:jc w:val="both"/>
              <w:rPr>
                <w:b/>
                <w:lang w:val="en-GB"/>
              </w:rPr>
            </w:pPr>
            <w:r w:rsidRPr="002430F3">
              <w:rPr>
                <w:b/>
                <w:lang w:val="en-GB"/>
              </w:rPr>
              <w:t>N=246</w:t>
            </w:r>
          </w:p>
        </w:tc>
        <w:tc>
          <w:tcPr>
            <w:tcW w:w="1390" w:type="pct"/>
            <w:tcBorders>
              <w:top w:val="single" w:sz="4" w:space="0" w:color="auto"/>
              <w:left w:val="nil"/>
              <w:bottom w:val="single" w:sz="4" w:space="0" w:color="auto"/>
              <w:right w:val="nil"/>
            </w:tcBorders>
          </w:tcPr>
          <w:p w:rsidR="00A56260" w:rsidRPr="002430F3" w:rsidRDefault="00B25842" w:rsidP="00061E95">
            <w:pPr>
              <w:pStyle w:val="BodyText"/>
              <w:jc w:val="both"/>
              <w:rPr>
                <w:b/>
                <w:lang w:val="en-GB"/>
              </w:rPr>
            </w:pPr>
            <w:r w:rsidRPr="002430F3">
              <w:rPr>
                <w:b/>
                <w:lang w:val="en-GB"/>
              </w:rPr>
              <w:t>N=248</w:t>
            </w:r>
          </w:p>
        </w:tc>
      </w:tr>
      <w:tr w:rsidR="00C757AB" w:rsidRPr="00FF6FAE" w:rsidTr="002430F3">
        <w:tc>
          <w:tcPr>
            <w:tcW w:w="2976" w:type="pct"/>
            <w:tcBorders>
              <w:top w:val="single" w:sz="4" w:space="0" w:color="auto"/>
              <w:left w:val="nil"/>
              <w:right w:val="nil"/>
            </w:tcBorders>
          </w:tcPr>
          <w:p w:rsidR="00C757AB" w:rsidRPr="002430F3" w:rsidRDefault="00C757AB" w:rsidP="00061E95">
            <w:pPr>
              <w:pStyle w:val="BodyText"/>
              <w:jc w:val="both"/>
              <w:rPr>
                <w:lang w:val="en-GB"/>
              </w:rPr>
            </w:pPr>
            <w:r w:rsidRPr="002430F3">
              <w:rPr>
                <w:lang w:val="en-GB"/>
              </w:rPr>
              <w:t xml:space="preserve">  Sustained </w:t>
            </w:r>
            <w:r w:rsidR="009E19BB">
              <w:rPr>
                <w:lang w:val="en-GB"/>
              </w:rPr>
              <w:t xml:space="preserve">Clinical </w:t>
            </w:r>
            <w:r w:rsidRPr="002430F3">
              <w:rPr>
                <w:lang w:val="en-GB"/>
              </w:rPr>
              <w:t xml:space="preserve">Remission </w:t>
            </w:r>
          </w:p>
        </w:tc>
        <w:tc>
          <w:tcPr>
            <w:tcW w:w="634" w:type="pct"/>
            <w:tcBorders>
              <w:top w:val="single" w:sz="4" w:space="0" w:color="auto"/>
              <w:left w:val="nil"/>
              <w:right w:val="nil"/>
            </w:tcBorders>
          </w:tcPr>
          <w:p w:rsidR="00C757AB" w:rsidRPr="00D84EBB" w:rsidRDefault="00C757AB" w:rsidP="00061E95">
            <w:pPr>
              <w:pStyle w:val="BodyText"/>
              <w:jc w:val="both"/>
              <w:rPr>
                <w:lang w:val="en-GB"/>
              </w:rPr>
            </w:pPr>
            <w:r w:rsidRPr="00D84EBB">
              <w:rPr>
                <w:lang w:val="en-GB"/>
              </w:rPr>
              <w:t>4%</w:t>
            </w:r>
          </w:p>
        </w:tc>
        <w:tc>
          <w:tcPr>
            <w:tcW w:w="1390" w:type="pct"/>
            <w:tcBorders>
              <w:top w:val="single" w:sz="4" w:space="0" w:color="auto"/>
              <w:left w:val="nil"/>
              <w:right w:val="nil"/>
            </w:tcBorders>
          </w:tcPr>
          <w:p w:rsidR="00C757AB" w:rsidRPr="002430F3" w:rsidRDefault="00C757AB" w:rsidP="00061E95">
            <w:pPr>
              <w:pStyle w:val="BodyText"/>
              <w:jc w:val="both"/>
              <w:rPr>
                <w:lang w:val="en-GB"/>
              </w:rPr>
            </w:pPr>
            <w:r w:rsidRPr="00D84EBB">
              <w:rPr>
                <w:lang w:val="en-GB"/>
              </w:rPr>
              <w:t xml:space="preserve">   8%*</w:t>
            </w:r>
          </w:p>
        </w:tc>
      </w:tr>
      <w:tr w:rsidR="00A56260" w:rsidRPr="00FF6FAE" w:rsidTr="00C757AB">
        <w:tc>
          <w:tcPr>
            <w:tcW w:w="2976" w:type="pct"/>
            <w:tcBorders>
              <w:top w:val="nil"/>
              <w:left w:val="nil"/>
              <w:right w:val="nil"/>
            </w:tcBorders>
          </w:tcPr>
          <w:p w:rsidR="00A56260" w:rsidRPr="002430F3" w:rsidRDefault="00A56260" w:rsidP="00061E95">
            <w:pPr>
              <w:pStyle w:val="BodyText"/>
              <w:jc w:val="both"/>
              <w:rPr>
                <w:lang w:val="en-GB"/>
              </w:rPr>
            </w:pPr>
            <w:r w:rsidRPr="002430F3">
              <w:rPr>
                <w:lang w:val="en-GB"/>
              </w:rPr>
              <w:t xml:space="preserve">  Sustained </w:t>
            </w:r>
            <w:r w:rsidR="009E19BB">
              <w:rPr>
                <w:lang w:val="en-GB"/>
              </w:rPr>
              <w:t>Clinical</w:t>
            </w:r>
            <w:r w:rsidR="00F41583">
              <w:rPr>
                <w:lang w:val="en-GB"/>
              </w:rPr>
              <w:t xml:space="preserve"> </w:t>
            </w:r>
            <w:r w:rsidRPr="002430F3">
              <w:rPr>
                <w:lang w:val="en-GB"/>
              </w:rPr>
              <w:t xml:space="preserve">Response </w:t>
            </w:r>
          </w:p>
        </w:tc>
        <w:tc>
          <w:tcPr>
            <w:tcW w:w="634" w:type="pct"/>
            <w:tcBorders>
              <w:top w:val="nil"/>
              <w:left w:val="nil"/>
              <w:right w:val="nil"/>
            </w:tcBorders>
          </w:tcPr>
          <w:p w:rsidR="00A56260" w:rsidRPr="00D84EBB" w:rsidRDefault="00A56260" w:rsidP="00061E95">
            <w:pPr>
              <w:pStyle w:val="BodyText"/>
              <w:jc w:val="both"/>
              <w:rPr>
                <w:lang w:val="en-GB"/>
              </w:rPr>
            </w:pPr>
            <w:r w:rsidRPr="00D84EBB">
              <w:rPr>
                <w:lang w:val="en-GB"/>
              </w:rPr>
              <w:t>12%</w:t>
            </w:r>
          </w:p>
        </w:tc>
        <w:tc>
          <w:tcPr>
            <w:tcW w:w="1390" w:type="pct"/>
            <w:tcBorders>
              <w:top w:val="nil"/>
              <w:left w:val="nil"/>
              <w:right w:val="nil"/>
            </w:tcBorders>
          </w:tcPr>
          <w:p w:rsidR="00A56260" w:rsidRPr="00D84EBB" w:rsidRDefault="00A56260" w:rsidP="00061E95">
            <w:pPr>
              <w:pStyle w:val="BodyText"/>
              <w:jc w:val="both"/>
              <w:rPr>
                <w:lang w:val="en-GB"/>
              </w:rPr>
            </w:pPr>
            <w:r w:rsidRPr="00D84EBB">
              <w:rPr>
                <w:lang w:val="en-GB"/>
              </w:rPr>
              <w:t xml:space="preserve">   24%**</w:t>
            </w:r>
          </w:p>
        </w:tc>
      </w:tr>
      <w:tr w:rsidR="00A56260" w:rsidRPr="00FF6FAE" w:rsidTr="00C757AB">
        <w:tc>
          <w:tcPr>
            <w:tcW w:w="2976" w:type="pct"/>
            <w:tcBorders>
              <w:top w:val="nil"/>
              <w:left w:val="nil"/>
              <w:right w:val="nil"/>
            </w:tcBorders>
            <w:shd w:val="clear" w:color="auto" w:fill="auto"/>
          </w:tcPr>
          <w:p w:rsidR="00A56260" w:rsidRPr="002430F3" w:rsidRDefault="00A56260" w:rsidP="00061E95">
            <w:pPr>
              <w:pStyle w:val="BodyText"/>
              <w:jc w:val="both"/>
              <w:rPr>
                <w:lang w:val="en-GB"/>
              </w:rPr>
            </w:pPr>
          </w:p>
        </w:tc>
        <w:tc>
          <w:tcPr>
            <w:tcW w:w="634" w:type="pct"/>
            <w:tcBorders>
              <w:top w:val="nil"/>
              <w:left w:val="nil"/>
              <w:right w:val="nil"/>
            </w:tcBorders>
            <w:shd w:val="clear" w:color="auto" w:fill="auto"/>
          </w:tcPr>
          <w:p w:rsidR="00A56260" w:rsidRPr="00CD2DF8" w:rsidRDefault="00A56260" w:rsidP="00061E95">
            <w:pPr>
              <w:pStyle w:val="BodyText"/>
              <w:jc w:val="both"/>
              <w:rPr>
                <w:lang w:val="en-GB"/>
              </w:rPr>
            </w:pPr>
          </w:p>
        </w:tc>
        <w:tc>
          <w:tcPr>
            <w:tcW w:w="1390" w:type="pct"/>
            <w:tcBorders>
              <w:top w:val="nil"/>
              <w:left w:val="nil"/>
              <w:right w:val="nil"/>
            </w:tcBorders>
            <w:shd w:val="clear" w:color="auto" w:fill="auto"/>
          </w:tcPr>
          <w:p w:rsidR="00A56260" w:rsidRPr="00CD2DF8" w:rsidRDefault="00A56260" w:rsidP="00061E95">
            <w:pPr>
              <w:pStyle w:val="BodyText"/>
              <w:jc w:val="both"/>
              <w:rPr>
                <w:lang w:val="en-GB"/>
              </w:rPr>
            </w:pPr>
          </w:p>
        </w:tc>
      </w:tr>
      <w:tr w:rsidR="00A56260" w:rsidRPr="00FF6FAE" w:rsidTr="00C757AB">
        <w:tc>
          <w:tcPr>
            <w:tcW w:w="2976" w:type="pct"/>
            <w:tcBorders>
              <w:top w:val="nil"/>
              <w:left w:val="nil"/>
              <w:bottom w:val="single" w:sz="6" w:space="0" w:color="000000"/>
              <w:right w:val="nil"/>
            </w:tcBorders>
            <w:shd w:val="clear" w:color="auto" w:fill="auto"/>
          </w:tcPr>
          <w:p w:rsidR="00A56260" w:rsidRPr="002430F3" w:rsidRDefault="00A56260" w:rsidP="00061E95">
            <w:pPr>
              <w:pStyle w:val="BodyText"/>
              <w:jc w:val="both"/>
              <w:rPr>
                <w:lang w:val="en-GB"/>
              </w:rPr>
            </w:pPr>
            <w:r w:rsidRPr="002430F3">
              <w:rPr>
                <w:lang w:val="en-GB"/>
              </w:rPr>
              <w:t xml:space="preserve">  Sustained Mucosal Healing </w:t>
            </w:r>
          </w:p>
        </w:tc>
        <w:tc>
          <w:tcPr>
            <w:tcW w:w="634" w:type="pct"/>
            <w:tcBorders>
              <w:top w:val="nil"/>
              <w:left w:val="nil"/>
              <w:bottom w:val="single" w:sz="6" w:space="0" w:color="000000"/>
              <w:right w:val="nil"/>
            </w:tcBorders>
            <w:shd w:val="clear" w:color="auto" w:fill="auto"/>
          </w:tcPr>
          <w:p w:rsidR="00A56260" w:rsidRPr="00FF6FAE" w:rsidRDefault="00A56260" w:rsidP="00061E95">
            <w:pPr>
              <w:pStyle w:val="BodyText"/>
              <w:jc w:val="both"/>
              <w:rPr>
                <w:lang w:val="en-GB"/>
              </w:rPr>
            </w:pPr>
            <w:r w:rsidRPr="00FF6FAE">
              <w:rPr>
                <w:lang w:val="en-GB"/>
              </w:rPr>
              <w:t>11%</w:t>
            </w:r>
          </w:p>
        </w:tc>
        <w:tc>
          <w:tcPr>
            <w:tcW w:w="1390" w:type="pct"/>
            <w:tcBorders>
              <w:top w:val="nil"/>
              <w:left w:val="nil"/>
              <w:bottom w:val="single" w:sz="6" w:space="0" w:color="000000"/>
              <w:right w:val="nil"/>
            </w:tcBorders>
            <w:shd w:val="clear" w:color="auto" w:fill="auto"/>
          </w:tcPr>
          <w:p w:rsidR="00A56260" w:rsidRPr="00FF6FAE" w:rsidRDefault="00A56260" w:rsidP="00061E95">
            <w:pPr>
              <w:pStyle w:val="BodyText"/>
              <w:jc w:val="both"/>
              <w:rPr>
                <w:lang w:val="en-GB"/>
              </w:rPr>
            </w:pPr>
            <w:r w:rsidRPr="00FF6FAE">
              <w:rPr>
                <w:lang w:val="en-GB"/>
              </w:rPr>
              <w:t xml:space="preserve">  19%*</w:t>
            </w:r>
          </w:p>
        </w:tc>
      </w:tr>
      <w:tr w:rsidR="00A56260" w:rsidRPr="00FF6FAE" w:rsidTr="00061E95">
        <w:tc>
          <w:tcPr>
            <w:tcW w:w="5000" w:type="pct"/>
            <w:gridSpan w:val="3"/>
            <w:tcBorders>
              <w:top w:val="nil"/>
              <w:left w:val="nil"/>
              <w:bottom w:val="nil"/>
              <w:right w:val="nil"/>
            </w:tcBorders>
          </w:tcPr>
          <w:p w:rsidR="00D23C53" w:rsidRDefault="00D23C53" w:rsidP="00C757AB">
            <w:pPr>
              <w:pStyle w:val="BodyText"/>
              <w:jc w:val="both"/>
              <w:rPr>
                <w:lang w:val="en-GB"/>
              </w:rPr>
            </w:pPr>
          </w:p>
          <w:p w:rsidR="00C757AB" w:rsidRPr="002430F3" w:rsidRDefault="009E19BB" w:rsidP="00C757AB">
            <w:pPr>
              <w:pStyle w:val="BodyText"/>
              <w:jc w:val="both"/>
              <w:rPr>
                <w:lang w:val="en-GB"/>
              </w:rPr>
            </w:pPr>
            <w:r>
              <w:rPr>
                <w:lang w:val="en-GB"/>
              </w:rPr>
              <w:lastRenderedPageBreak/>
              <w:t xml:space="preserve">Clinical </w:t>
            </w:r>
            <w:r w:rsidR="00C757AB" w:rsidRPr="002430F3">
              <w:rPr>
                <w:lang w:val="en-GB"/>
              </w:rPr>
              <w:t>Remission is Mayo score ≤ 2 with no subscore &gt; 1;</w:t>
            </w:r>
          </w:p>
          <w:p w:rsidR="003E6F82" w:rsidRPr="002430F3" w:rsidRDefault="009E19BB" w:rsidP="003E6F82">
            <w:pPr>
              <w:pStyle w:val="BodyText"/>
              <w:jc w:val="both"/>
              <w:rPr>
                <w:lang w:val="en-GB"/>
              </w:rPr>
            </w:pPr>
            <w:r>
              <w:rPr>
                <w:lang w:val="en-GB"/>
              </w:rPr>
              <w:t xml:space="preserve">Clinical </w:t>
            </w:r>
            <w:r w:rsidR="00EB2366" w:rsidRPr="002430F3">
              <w:rPr>
                <w:lang w:val="en-GB"/>
              </w:rPr>
              <w:t>R</w:t>
            </w:r>
            <w:r w:rsidR="003E6F82" w:rsidRPr="002430F3">
              <w:rPr>
                <w:lang w:val="en-GB"/>
              </w:rPr>
              <w:t xml:space="preserve">esponse is decrease from baseline in Mayo score ≥ 3 points and ≥ 30%, and rectal bleeding subscore of 0 or 1 or its decrease from baseline ≥ 1 point.  </w:t>
            </w:r>
          </w:p>
          <w:p w:rsidR="00337D96" w:rsidRPr="002430F3" w:rsidRDefault="00337D96" w:rsidP="003E6F82">
            <w:pPr>
              <w:pStyle w:val="BodyText"/>
              <w:jc w:val="both"/>
              <w:rPr>
                <w:lang w:val="en-GB"/>
              </w:rPr>
            </w:pPr>
            <w:r w:rsidRPr="002430F3">
              <w:rPr>
                <w:lang w:val="en-GB"/>
              </w:rPr>
              <w:t>Mucosal healing is defined as endoscopy subscore ≤ 1</w:t>
            </w:r>
          </w:p>
          <w:p w:rsidR="00A56260" w:rsidRPr="002430F3" w:rsidRDefault="00A56260" w:rsidP="00061E95">
            <w:pPr>
              <w:pStyle w:val="BodyText"/>
              <w:jc w:val="both"/>
              <w:rPr>
                <w:lang w:val="en-GB"/>
              </w:rPr>
            </w:pPr>
            <w:r w:rsidRPr="002430F3">
              <w:rPr>
                <w:vertAlign w:val="superscript"/>
                <w:lang w:val="en-GB"/>
              </w:rPr>
              <w:t>*</w:t>
            </w:r>
            <w:r w:rsidRPr="002430F3">
              <w:rPr>
                <w:lang w:val="en-GB"/>
              </w:rPr>
              <w:t xml:space="preserve">p&lt;0.05 for HUMIRA </w:t>
            </w:r>
            <w:r w:rsidRPr="002430F3">
              <w:rPr>
                <w:i/>
                <w:iCs/>
                <w:lang w:val="en-GB"/>
              </w:rPr>
              <w:t>vs.</w:t>
            </w:r>
            <w:r w:rsidRPr="002430F3">
              <w:rPr>
                <w:lang w:val="en-GB"/>
              </w:rPr>
              <w:t xml:space="preserve"> placebo pairwise comparison of proportions </w:t>
            </w:r>
          </w:p>
          <w:p w:rsidR="00A56260" w:rsidRPr="002430F3" w:rsidRDefault="00A56260" w:rsidP="00061E95">
            <w:pPr>
              <w:pStyle w:val="BodyText"/>
              <w:jc w:val="both"/>
              <w:rPr>
                <w:lang w:val="en-GB"/>
              </w:rPr>
            </w:pPr>
            <w:r w:rsidRPr="002430F3">
              <w:rPr>
                <w:lang w:val="en-GB"/>
              </w:rPr>
              <w:t xml:space="preserve">**p&lt;0.001 for HUMIRA </w:t>
            </w:r>
            <w:r w:rsidRPr="002430F3">
              <w:rPr>
                <w:i/>
                <w:lang w:val="en-GB"/>
              </w:rPr>
              <w:t>vs.</w:t>
            </w:r>
            <w:r w:rsidRPr="002430F3">
              <w:rPr>
                <w:lang w:val="en-GB"/>
              </w:rPr>
              <w:t xml:space="preserve"> placebo pairwise comparison of proportions</w:t>
            </w:r>
          </w:p>
          <w:p w:rsidR="00A56260" w:rsidRPr="002430F3" w:rsidRDefault="00A56260" w:rsidP="00061E95">
            <w:pPr>
              <w:pStyle w:val="BodyText"/>
              <w:jc w:val="both"/>
              <w:rPr>
                <w:b/>
                <w:lang w:val="en-GB"/>
              </w:rPr>
            </w:pPr>
            <w:r w:rsidRPr="002430F3">
              <w:rPr>
                <w:vertAlign w:val="superscript"/>
                <w:lang w:val="en-GB"/>
              </w:rPr>
              <w:t xml:space="preserve">a </w:t>
            </w:r>
            <w:r w:rsidRPr="002430F3">
              <w:rPr>
                <w:lang w:val="en-GB"/>
              </w:rPr>
              <w:t xml:space="preserve">  Of those receiving corticosteroids at baseline</w:t>
            </w:r>
          </w:p>
        </w:tc>
      </w:tr>
    </w:tbl>
    <w:p w:rsidR="00A56260" w:rsidRPr="00FF6FAE" w:rsidRDefault="00A56260" w:rsidP="00A56260">
      <w:pPr>
        <w:pStyle w:val="BodyText"/>
        <w:jc w:val="both"/>
        <w:rPr>
          <w:iCs/>
          <w:lang w:val="en-US"/>
        </w:rPr>
      </w:pPr>
    </w:p>
    <w:p w:rsidR="006855E4" w:rsidRDefault="00781CBE" w:rsidP="006855E4">
      <w:pPr>
        <w:pStyle w:val="BodyText"/>
        <w:jc w:val="both"/>
      </w:pPr>
      <w:r w:rsidRPr="00781CBE">
        <w:t xml:space="preserve">Humira should be discontinued in patients who do not </w:t>
      </w:r>
      <w:r w:rsidR="009E19BB">
        <w:t xml:space="preserve">achieve a clinical </w:t>
      </w:r>
      <w:r w:rsidRPr="00781CBE">
        <w:t>respon</w:t>
      </w:r>
      <w:r w:rsidR="009E19BB">
        <w:t>se</w:t>
      </w:r>
      <w:r w:rsidRPr="00781CBE">
        <w:t xml:space="preserve"> during the first 8 weeks of therapy because </w:t>
      </w:r>
      <w:r w:rsidR="00135871">
        <w:t xml:space="preserve">very few patients will </w:t>
      </w:r>
      <w:r w:rsidR="00135871" w:rsidRPr="00D57C80">
        <w:t xml:space="preserve">achieve </w:t>
      </w:r>
      <w:r w:rsidR="00F41583" w:rsidRPr="00D57C80">
        <w:t xml:space="preserve">clinical </w:t>
      </w:r>
      <w:r w:rsidR="00135871" w:rsidRPr="00D57C80">
        <w:t xml:space="preserve">remission </w:t>
      </w:r>
      <w:r w:rsidRPr="00D57C80">
        <w:t xml:space="preserve">with continuing treatment. </w:t>
      </w:r>
      <w:r w:rsidR="00146993" w:rsidRPr="00D57C80">
        <w:t>In UC-1 and UC-2, of patients given Humira 160/80 mg</w:t>
      </w:r>
      <w:r w:rsidR="008C2480" w:rsidRPr="00D57C80">
        <w:t xml:space="preserve"> at baseline</w:t>
      </w:r>
      <w:r w:rsidR="00146993" w:rsidRPr="00D57C80">
        <w:t xml:space="preserve"> who did not achieve a clinical response at Week 8, 5.2%, and 17.0% went on to be in remission and response, respectively at Week 52.</w:t>
      </w:r>
    </w:p>
    <w:p w:rsidR="002167C2" w:rsidRPr="002430F3" w:rsidRDefault="002167C2" w:rsidP="006855E4">
      <w:pPr>
        <w:pStyle w:val="BodyText"/>
        <w:jc w:val="both"/>
        <w:rPr>
          <w:lang w:val="en-US"/>
        </w:rPr>
      </w:pPr>
    </w:p>
    <w:p w:rsidR="006855E4" w:rsidRPr="002430F3" w:rsidRDefault="002167C2" w:rsidP="006855E4">
      <w:pPr>
        <w:pStyle w:val="Paragraph"/>
        <w:rPr>
          <w:rFonts w:ascii="Arial" w:hAnsi="Arial" w:cs="Arial"/>
          <w:b/>
          <w:sz w:val="20"/>
          <w:szCs w:val="20"/>
        </w:rPr>
      </w:pPr>
      <w:r>
        <w:rPr>
          <w:rFonts w:ascii="Arial" w:hAnsi="Arial" w:cs="Arial"/>
          <w:b/>
          <w:sz w:val="20"/>
          <w:szCs w:val="20"/>
        </w:rPr>
        <w:t>Table 21</w:t>
      </w:r>
      <w:r w:rsidR="006855E4" w:rsidRPr="002430F3">
        <w:rPr>
          <w:rFonts w:ascii="Arial" w:hAnsi="Arial" w:cs="Arial"/>
          <w:b/>
          <w:sz w:val="20"/>
          <w:szCs w:val="20"/>
        </w:rPr>
        <w:t xml:space="preserve">.  </w:t>
      </w:r>
      <w:r w:rsidR="00B82C77" w:rsidRPr="002430F3">
        <w:rPr>
          <w:rFonts w:ascii="Arial" w:hAnsi="Arial" w:cs="Arial"/>
          <w:b/>
          <w:sz w:val="20"/>
          <w:szCs w:val="20"/>
        </w:rPr>
        <w:t xml:space="preserve">Remission, Response </w:t>
      </w:r>
      <w:r w:rsidR="006855E4" w:rsidRPr="002430F3">
        <w:rPr>
          <w:rFonts w:ascii="Arial" w:hAnsi="Arial" w:cs="Arial"/>
          <w:b/>
          <w:sz w:val="20"/>
          <w:szCs w:val="20"/>
        </w:rPr>
        <w:t>and Mucosal Healing at Week 52 Among Week 8 Responde</w:t>
      </w:r>
      <w:r w:rsidR="00B76D2A" w:rsidRPr="002430F3">
        <w:rPr>
          <w:rFonts w:ascii="Arial" w:hAnsi="Arial" w:cs="Arial"/>
          <w:b/>
          <w:sz w:val="20"/>
          <w:szCs w:val="20"/>
        </w:rPr>
        <w:t>rs in Study UC-II (Percent of</w:t>
      </w:r>
      <w:r w:rsidR="006855E4" w:rsidRPr="002430F3">
        <w:rPr>
          <w:rFonts w:ascii="Arial" w:hAnsi="Arial" w:cs="Arial"/>
          <w:b/>
          <w:sz w:val="20"/>
          <w:szCs w:val="20"/>
        </w:rPr>
        <w:t xml:space="preserve"> Patients)</w:t>
      </w:r>
    </w:p>
    <w:tbl>
      <w:tblPr>
        <w:tblW w:w="9688" w:type="dxa"/>
        <w:jc w:val="center"/>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1959"/>
        <w:gridCol w:w="1842"/>
        <w:gridCol w:w="1985"/>
        <w:gridCol w:w="2435"/>
      </w:tblGrid>
      <w:tr w:rsidR="00F36B49" w:rsidRPr="002430F3" w:rsidTr="002430F3">
        <w:trPr>
          <w:jc w:val="center"/>
        </w:trPr>
        <w:tc>
          <w:tcPr>
            <w:tcW w:w="1467" w:type="dxa"/>
            <w:vAlign w:val="bottom"/>
          </w:tcPr>
          <w:p w:rsidR="00F36B49" w:rsidRPr="002430F3" w:rsidRDefault="00F36B49" w:rsidP="002430F3">
            <w:pPr>
              <w:pStyle w:val="TableHead"/>
              <w:rPr>
                <w:rFonts w:ascii="Arial" w:hAnsi="Arial" w:cs="Arial"/>
              </w:rPr>
            </w:pPr>
          </w:p>
        </w:tc>
        <w:tc>
          <w:tcPr>
            <w:tcW w:w="3801" w:type="dxa"/>
            <w:gridSpan w:val="2"/>
          </w:tcPr>
          <w:p w:rsidR="00264EDB" w:rsidRPr="002430F3" w:rsidRDefault="00264EDB" w:rsidP="002430F3">
            <w:pPr>
              <w:pStyle w:val="TableHead"/>
              <w:jc w:val="center"/>
              <w:rPr>
                <w:rFonts w:ascii="Arial" w:hAnsi="Arial" w:cs="Arial"/>
              </w:rPr>
            </w:pPr>
            <w:r w:rsidRPr="002430F3">
              <w:rPr>
                <w:rFonts w:ascii="Arial" w:hAnsi="Arial" w:cs="Arial"/>
              </w:rPr>
              <w:t>ITT Population</w:t>
            </w:r>
          </w:p>
          <w:p w:rsidR="00F36B49" w:rsidRPr="002430F3" w:rsidRDefault="00F36B49" w:rsidP="002430F3">
            <w:pPr>
              <w:pStyle w:val="TableHead"/>
              <w:jc w:val="center"/>
              <w:rPr>
                <w:rFonts w:ascii="Arial" w:hAnsi="Arial" w:cs="Arial"/>
              </w:rPr>
            </w:pPr>
          </w:p>
        </w:tc>
        <w:tc>
          <w:tcPr>
            <w:tcW w:w="4420" w:type="dxa"/>
            <w:gridSpan w:val="2"/>
          </w:tcPr>
          <w:p w:rsidR="00F36B49" w:rsidRPr="002430F3" w:rsidRDefault="00B76D2A" w:rsidP="002430F3">
            <w:pPr>
              <w:pStyle w:val="TableHead"/>
              <w:jc w:val="center"/>
              <w:rPr>
                <w:rFonts w:ascii="Arial" w:hAnsi="Arial" w:cs="Arial"/>
              </w:rPr>
            </w:pPr>
            <w:r w:rsidRPr="002430F3">
              <w:rPr>
                <w:rFonts w:ascii="Arial" w:hAnsi="Arial" w:cs="Arial"/>
              </w:rPr>
              <w:t>HUMIRA</w:t>
            </w:r>
            <w:r w:rsidR="00F36B49" w:rsidRPr="002430F3">
              <w:rPr>
                <w:rFonts w:ascii="Arial" w:hAnsi="Arial" w:cs="Arial"/>
              </w:rPr>
              <w:t>-Treated Patients</w:t>
            </w:r>
          </w:p>
        </w:tc>
      </w:tr>
      <w:tr w:rsidR="00F36B49" w:rsidRPr="002430F3" w:rsidTr="002430F3">
        <w:trPr>
          <w:jc w:val="center"/>
        </w:trPr>
        <w:tc>
          <w:tcPr>
            <w:tcW w:w="1467" w:type="dxa"/>
            <w:vAlign w:val="bottom"/>
          </w:tcPr>
          <w:p w:rsidR="00F36B49" w:rsidRPr="002430F3" w:rsidRDefault="00F36B49" w:rsidP="002430F3">
            <w:pPr>
              <w:pStyle w:val="TableHead"/>
              <w:rPr>
                <w:rFonts w:ascii="Arial" w:hAnsi="Arial" w:cs="Arial"/>
              </w:rPr>
            </w:pPr>
            <w:r w:rsidRPr="002430F3">
              <w:rPr>
                <w:rFonts w:ascii="Arial" w:hAnsi="Arial" w:cs="Arial"/>
              </w:rPr>
              <w:t>Week 52 Outcome</w:t>
            </w:r>
          </w:p>
        </w:tc>
        <w:tc>
          <w:tcPr>
            <w:tcW w:w="1959" w:type="dxa"/>
            <w:vAlign w:val="center"/>
          </w:tcPr>
          <w:p w:rsidR="00264EDB" w:rsidRPr="002430F3" w:rsidRDefault="00B76D2A" w:rsidP="002430F3">
            <w:pPr>
              <w:pStyle w:val="BodyText"/>
              <w:jc w:val="center"/>
              <w:rPr>
                <w:b/>
                <w:bCs/>
                <w:lang w:val="en-GB"/>
              </w:rPr>
            </w:pPr>
            <w:r w:rsidRPr="002430F3">
              <w:rPr>
                <w:b/>
                <w:bCs/>
                <w:lang w:val="en-GB"/>
              </w:rPr>
              <w:t>HUMIRA</w:t>
            </w:r>
          </w:p>
          <w:p w:rsidR="00C717C7" w:rsidRPr="002430F3" w:rsidRDefault="00C717C7" w:rsidP="002430F3">
            <w:pPr>
              <w:pStyle w:val="BodyText"/>
              <w:jc w:val="center"/>
              <w:rPr>
                <w:b/>
                <w:bCs/>
                <w:lang w:val="en-GB"/>
              </w:rPr>
            </w:pPr>
            <w:r w:rsidRPr="002430F3">
              <w:rPr>
                <w:b/>
                <w:bCs/>
                <w:lang w:val="en-GB"/>
              </w:rPr>
              <w:t>40 mg</w:t>
            </w:r>
          </w:p>
          <w:p w:rsidR="00F36B49" w:rsidRPr="002430F3" w:rsidRDefault="00C717C7" w:rsidP="002430F3">
            <w:pPr>
              <w:pStyle w:val="TableHead"/>
              <w:jc w:val="center"/>
              <w:rPr>
                <w:rFonts w:ascii="Arial" w:hAnsi="Arial" w:cs="Arial"/>
              </w:rPr>
            </w:pPr>
            <w:r w:rsidRPr="002430F3">
              <w:rPr>
                <w:rFonts w:ascii="Arial" w:hAnsi="Arial" w:cs="Arial"/>
                <w:bCs w:val="0"/>
                <w:lang w:val="en-GB"/>
              </w:rPr>
              <w:t>fortnightly</w:t>
            </w:r>
            <w:r w:rsidR="00F36B49" w:rsidRPr="002430F3">
              <w:rPr>
                <w:rFonts w:ascii="Arial" w:hAnsi="Arial" w:cs="Arial"/>
              </w:rPr>
              <w:br/>
              <w:t>N = 248</w:t>
            </w:r>
          </w:p>
        </w:tc>
        <w:tc>
          <w:tcPr>
            <w:tcW w:w="1842" w:type="dxa"/>
            <w:vAlign w:val="center"/>
          </w:tcPr>
          <w:p w:rsidR="00F36B49" w:rsidRPr="002430F3" w:rsidRDefault="00587724" w:rsidP="002430F3">
            <w:pPr>
              <w:pStyle w:val="TableHead"/>
              <w:jc w:val="center"/>
              <w:rPr>
                <w:rFonts w:ascii="Arial" w:hAnsi="Arial" w:cs="Arial"/>
              </w:rPr>
            </w:pPr>
            <w:r w:rsidRPr="002430F3">
              <w:rPr>
                <w:rFonts w:ascii="Arial" w:hAnsi="Arial" w:cs="Arial"/>
              </w:rPr>
              <w:t>Placebo</w:t>
            </w:r>
          </w:p>
          <w:p w:rsidR="00C717C7" w:rsidRPr="002430F3" w:rsidRDefault="00C717C7" w:rsidP="002430F3">
            <w:pPr>
              <w:pStyle w:val="TableHead"/>
              <w:jc w:val="center"/>
              <w:rPr>
                <w:rFonts w:ascii="Arial" w:hAnsi="Arial" w:cs="Arial"/>
                <w:highlight w:val="yellow"/>
              </w:rPr>
            </w:pPr>
            <w:r w:rsidRPr="002430F3">
              <w:rPr>
                <w:rFonts w:ascii="Arial" w:hAnsi="Arial" w:cs="Arial"/>
              </w:rPr>
              <w:t>N=246</w:t>
            </w:r>
          </w:p>
        </w:tc>
        <w:tc>
          <w:tcPr>
            <w:tcW w:w="1985" w:type="dxa"/>
            <w:vAlign w:val="center"/>
          </w:tcPr>
          <w:p w:rsidR="00F36B49" w:rsidRPr="002430F3" w:rsidRDefault="00F36B49" w:rsidP="002430F3">
            <w:pPr>
              <w:pStyle w:val="TableHead"/>
              <w:jc w:val="center"/>
              <w:rPr>
                <w:rFonts w:ascii="Arial" w:hAnsi="Arial" w:cs="Arial"/>
              </w:rPr>
            </w:pPr>
            <w:r w:rsidRPr="002430F3">
              <w:rPr>
                <w:rFonts w:ascii="Arial" w:hAnsi="Arial" w:cs="Arial"/>
              </w:rPr>
              <w:t>Week 8 Responders</w:t>
            </w:r>
            <w:r w:rsidRPr="002430F3">
              <w:rPr>
                <w:rFonts w:ascii="Arial" w:hAnsi="Arial" w:cs="Arial"/>
              </w:rPr>
              <w:br/>
              <w:t>per Full Mayo Score</w:t>
            </w:r>
            <w:r w:rsidRPr="002430F3">
              <w:rPr>
                <w:rFonts w:ascii="Arial" w:hAnsi="Arial" w:cs="Arial"/>
              </w:rPr>
              <w:br/>
              <w:t>N = 125</w:t>
            </w:r>
          </w:p>
        </w:tc>
        <w:tc>
          <w:tcPr>
            <w:tcW w:w="2435" w:type="dxa"/>
            <w:vAlign w:val="center"/>
          </w:tcPr>
          <w:p w:rsidR="00F36B49" w:rsidRPr="002430F3" w:rsidRDefault="00F36B49" w:rsidP="002430F3">
            <w:pPr>
              <w:pStyle w:val="TableHead"/>
              <w:jc w:val="center"/>
              <w:rPr>
                <w:rFonts w:ascii="Arial" w:hAnsi="Arial" w:cs="Arial"/>
              </w:rPr>
            </w:pPr>
            <w:r w:rsidRPr="002430F3">
              <w:rPr>
                <w:rFonts w:ascii="Arial" w:hAnsi="Arial" w:cs="Arial"/>
              </w:rPr>
              <w:t>Week 8 Responders</w:t>
            </w:r>
            <w:r w:rsidRPr="002430F3">
              <w:rPr>
                <w:rFonts w:ascii="Arial" w:hAnsi="Arial" w:cs="Arial"/>
              </w:rPr>
              <w:br/>
              <w:t>per Partial Mayo Score</w:t>
            </w:r>
            <w:r w:rsidRPr="002430F3">
              <w:rPr>
                <w:rFonts w:ascii="Arial" w:hAnsi="Arial" w:cs="Arial"/>
              </w:rPr>
              <w:br/>
              <w:t>N = 123</w:t>
            </w:r>
          </w:p>
        </w:tc>
      </w:tr>
      <w:tr w:rsidR="00F36B49" w:rsidRPr="002430F3" w:rsidTr="002430F3">
        <w:trPr>
          <w:jc w:val="center"/>
        </w:trPr>
        <w:tc>
          <w:tcPr>
            <w:tcW w:w="1467" w:type="dxa"/>
          </w:tcPr>
          <w:p w:rsidR="00F36B49" w:rsidRPr="002430F3" w:rsidRDefault="009E19BB" w:rsidP="00D926A6">
            <w:pPr>
              <w:pStyle w:val="TableLeft"/>
              <w:rPr>
                <w:rFonts w:ascii="Arial" w:hAnsi="Arial" w:cs="Arial"/>
              </w:rPr>
            </w:pPr>
            <w:r>
              <w:rPr>
                <w:rFonts w:ascii="Arial" w:hAnsi="Arial" w:cs="Arial"/>
              </w:rPr>
              <w:t xml:space="preserve">Clinical </w:t>
            </w:r>
            <w:r w:rsidR="00F36B49" w:rsidRPr="002430F3">
              <w:rPr>
                <w:rFonts w:ascii="Arial" w:hAnsi="Arial" w:cs="Arial"/>
              </w:rPr>
              <w:t>Remission</w:t>
            </w:r>
          </w:p>
        </w:tc>
        <w:tc>
          <w:tcPr>
            <w:tcW w:w="1959" w:type="dxa"/>
          </w:tcPr>
          <w:p w:rsidR="00F36B49" w:rsidRPr="002430F3" w:rsidRDefault="00BE26BE" w:rsidP="00D926A6">
            <w:pPr>
              <w:pStyle w:val="TableCenter"/>
              <w:rPr>
                <w:rFonts w:ascii="Arial" w:hAnsi="Arial" w:cs="Arial"/>
              </w:rPr>
            </w:pPr>
            <w:r w:rsidRPr="002430F3">
              <w:rPr>
                <w:rFonts w:ascii="Arial" w:hAnsi="Arial" w:cs="Arial"/>
              </w:rPr>
              <w:t>43 (17</w:t>
            </w:r>
            <w:r w:rsidR="00F36B49" w:rsidRPr="002430F3">
              <w:rPr>
                <w:rFonts w:ascii="Arial" w:hAnsi="Arial" w:cs="Arial"/>
              </w:rPr>
              <w:t>)</w:t>
            </w:r>
          </w:p>
        </w:tc>
        <w:tc>
          <w:tcPr>
            <w:tcW w:w="1842" w:type="dxa"/>
          </w:tcPr>
          <w:p w:rsidR="00F36B49" w:rsidRPr="002430F3" w:rsidRDefault="00690BB9" w:rsidP="00D926A6">
            <w:pPr>
              <w:pStyle w:val="TableCenter"/>
              <w:rPr>
                <w:rFonts w:ascii="Arial" w:hAnsi="Arial" w:cs="Arial"/>
                <w:highlight w:val="yellow"/>
              </w:rPr>
            </w:pPr>
            <w:r w:rsidRPr="002430F3">
              <w:rPr>
                <w:rFonts w:ascii="Arial" w:hAnsi="Arial" w:cs="Arial"/>
              </w:rPr>
              <w:t>21 (</w:t>
            </w:r>
            <w:r w:rsidR="00BE26BE" w:rsidRPr="002430F3">
              <w:rPr>
                <w:rFonts w:ascii="Arial" w:hAnsi="Arial" w:cs="Arial"/>
              </w:rPr>
              <w:t>9</w:t>
            </w:r>
            <w:r w:rsidRPr="002430F3">
              <w:rPr>
                <w:rFonts w:ascii="Arial" w:hAnsi="Arial" w:cs="Arial"/>
              </w:rPr>
              <w:t>)</w:t>
            </w:r>
          </w:p>
        </w:tc>
        <w:tc>
          <w:tcPr>
            <w:tcW w:w="1985" w:type="dxa"/>
          </w:tcPr>
          <w:p w:rsidR="00F36B49" w:rsidRPr="002430F3" w:rsidRDefault="00F36B49" w:rsidP="002430F3">
            <w:pPr>
              <w:pStyle w:val="TableCenter"/>
              <w:rPr>
                <w:rFonts w:ascii="Arial" w:hAnsi="Arial" w:cs="Arial"/>
              </w:rPr>
            </w:pPr>
            <w:r w:rsidRPr="002430F3">
              <w:rPr>
                <w:rFonts w:ascii="Arial" w:hAnsi="Arial" w:cs="Arial"/>
              </w:rPr>
              <w:t>36 (</w:t>
            </w:r>
            <w:r w:rsidR="00BE26BE" w:rsidRPr="002430F3">
              <w:rPr>
                <w:rFonts w:ascii="Arial" w:hAnsi="Arial" w:cs="Arial"/>
              </w:rPr>
              <w:t>29</w:t>
            </w:r>
            <w:r w:rsidRPr="002430F3">
              <w:rPr>
                <w:rFonts w:ascii="Arial" w:hAnsi="Arial" w:cs="Arial"/>
              </w:rPr>
              <w:t>)</w:t>
            </w:r>
          </w:p>
        </w:tc>
        <w:tc>
          <w:tcPr>
            <w:tcW w:w="2435" w:type="dxa"/>
          </w:tcPr>
          <w:p w:rsidR="00F36B49" w:rsidRPr="002430F3" w:rsidRDefault="00BE26BE" w:rsidP="00D926A6">
            <w:pPr>
              <w:pStyle w:val="TableCenter"/>
              <w:rPr>
                <w:rFonts w:ascii="Arial" w:hAnsi="Arial" w:cs="Arial"/>
              </w:rPr>
            </w:pPr>
            <w:r w:rsidRPr="002430F3">
              <w:rPr>
                <w:rFonts w:ascii="Arial" w:hAnsi="Arial" w:cs="Arial"/>
              </w:rPr>
              <w:t>38 (31</w:t>
            </w:r>
            <w:r w:rsidR="00F36B49" w:rsidRPr="002430F3">
              <w:rPr>
                <w:rFonts w:ascii="Arial" w:hAnsi="Arial" w:cs="Arial"/>
              </w:rPr>
              <w:t>)</w:t>
            </w:r>
          </w:p>
        </w:tc>
      </w:tr>
      <w:tr w:rsidR="00F36B49" w:rsidRPr="002430F3" w:rsidTr="002430F3">
        <w:trPr>
          <w:jc w:val="center"/>
        </w:trPr>
        <w:tc>
          <w:tcPr>
            <w:tcW w:w="1467" w:type="dxa"/>
          </w:tcPr>
          <w:p w:rsidR="00F36B49" w:rsidRPr="002430F3" w:rsidRDefault="009E19BB" w:rsidP="00D926A6">
            <w:pPr>
              <w:pStyle w:val="TableLeft"/>
              <w:rPr>
                <w:rFonts w:ascii="Arial" w:hAnsi="Arial" w:cs="Arial"/>
              </w:rPr>
            </w:pPr>
            <w:r>
              <w:rPr>
                <w:rFonts w:ascii="Arial" w:hAnsi="Arial" w:cs="Arial"/>
              </w:rPr>
              <w:t xml:space="preserve">Clinical </w:t>
            </w:r>
            <w:r w:rsidR="00F36B49" w:rsidRPr="002430F3">
              <w:rPr>
                <w:rFonts w:ascii="Arial" w:hAnsi="Arial" w:cs="Arial"/>
              </w:rPr>
              <w:t>Response</w:t>
            </w:r>
          </w:p>
        </w:tc>
        <w:tc>
          <w:tcPr>
            <w:tcW w:w="1959" w:type="dxa"/>
          </w:tcPr>
          <w:p w:rsidR="00F36B49" w:rsidRPr="002430F3" w:rsidRDefault="00BE26BE" w:rsidP="002430F3">
            <w:pPr>
              <w:pStyle w:val="TableCenter"/>
              <w:rPr>
                <w:rFonts w:ascii="Arial" w:hAnsi="Arial" w:cs="Arial"/>
              </w:rPr>
            </w:pPr>
            <w:r w:rsidRPr="002430F3">
              <w:rPr>
                <w:rFonts w:ascii="Arial" w:hAnsi="Arial" w:cs="Arial"/>
              </w:rPr>
              <w:t>75 (30</w:t>
            </w:r>
            <w:r w:rsidR="00F36B49" w:rsidRPr="002430F3">
              <w:rPr>
                <w:rFonts w:ascii="Arial" w:hAnsi="Arial" w:cs="Arial"/>
              </w:rPr>
              <w:t>)</w:t>
            </w:r>
          </w:p>
        </w:tc>
        <w:tc>
          <w:tcPr>
            <w:tcW w:w="1842" w:type="dxa"/>
          </w:tcPr>
          <w:p w:rsidR="00F36B49" w:rsidRPr="002430F3" w:rsidRDefault="00690BB9" w:rsidP="00D926A6">
            <w:pPr>
              <w:pStyle w:val="TableCenter"/>
              <w:rPr>
                <w:rFonts w:ascii="Arial" w:hAnsi="Arial" w:cs="Arial"/>
                <w:highlight w:val="yellow"/>
              </w:rPr>
            </w:pPr>
            <w:r w:rsidRPr="002430F3">
              <w:rPr>
                <w:rFonts w:ascii="Arial" w:hAnsi="Arial" w:cs="Arial"/>
              </w:rPr>
              <w:t>45 (18)</w:t>
            </w:r>
          </w:p>
        </w:tc>
        <w:tc>
          <w:tcPr>
            <w:tcW w:w="1985" w:type="dxa"/>
          </w:tcPr>
          <w:p w:rsidR="00F36B49" w:rsidRPr="002430F3" w:rsidRDefault="00BE26BE" w:rsidP="00D926A6">
            <w:pPr>
              <w:pStyle w:val="TableCenter"/>
              <w:rPr>
                <w:rFonts w:ascii="Arial" w:hAnsi="Arial" w:cs="Arial"/>
              </w:rPr>
            </w:pPr>
            <w:r w:rsidRPr="002430F3">
              <w:rPr>
                <w:rFonts w:ascii="Arial" w:hAnsi="Arial" w:cs="Arial"/>
              </w:rPr>
              <w:t>59 (47</w:t>
            </w:r>
            <w:r w:rsidR="00F36B49" w:rsidRPr="002430F3">
              <w:rPr>
                <w:rFonts w:ascii="Arial" w:hAnsi="Arial" w:cs="Arial"/>
              </w:rPr>
              <w:t>)</w:t>
            </w:r>
          </w:p>
        </w:tc>
        <w:tc>
          <w:tcPr>
            <w:tcW w:w="2435" w:type="dxa"/>
          </w:tcPr>
          <w:p w:rsidR="00F36B49" w:rsidRPr="002430F3" w:rsidRDefault="00BE26BE" w:rsidP="00D926A6">
            <w:pPr>
              <w:pStyle w:val="TableCenter"/>
              <w:rPr>
                <w:rFonts w:ascii="Arial" w:hAnsi="Arial" w:cs="Arial"/>
              </w:rPr>
            </w:pPr>
            <w:r w:rsidRPr="002430F3">
              <w:rPr>
                <w:rFonts w:ascii="Arial" w:hAnsi="Arial" w:cs="Arial"/>
              </w:rPr>
              <w:t>61 (50</w:t>
            </w:r>
            <w:r w:rsidR="00F36B49" w:rsidRPr="002430F3">
              <w:rPr>
                <w:rFonts w:ascii="Arial" w:hAnsi="Arial" w:cs="Arial"/>
              </w:rPr>
              <w:t>)</w:t>
            </w:r>
          </w:p>
        </w:tc>
      </w:tr>
      <w:tr w:rsidR="00F36B49" w:rsidRPr="002430F3" w:rsidTr="002430F3">
        <w:trPr>
          <w:jc w:val="center"/>
        </w:trPr>
        <w:tc>
          <w:tcPr>
            <w:tcW w:w="1467" w:type="dxa"/>
          </w:tcPr>
          <w:p w:rsidR="00F36B49" w:rsidRPr="002430F3" w:rsidRDefault="00F36B49" w:rsidP="00D926A6">
            <w:pPr>
              <w:pStyle w:val="TableLeft"/>
              <w:rPr>
                <w:rFonts w:ascii="Arial" w:hAnsi="Arial" w:cs="Arial"/>
              </w:rPr>
            </w:pPr>
            <w:r w:rsidRPr="002430F3">
              <w:rPr>
                <w:rFonts w:ascii="Arial" w:hAnsi="Arial" w:cs="Arial"/>
              </w:rPr>
              <w:t>Mucosal healing</w:t>
            </w:r>
          </w:p>
        </w:tc>
        <w:tc>
          <w:tcPr>
            <w:tcW w:w="1959" w:type="dxa"/>
          </w:tcPr>
          <w:p w:rsidR="00F36B49" w:rsidRPr="002430F3" w:rsidRDefault="00BE26BE" w:rsidP="00D926A6">
            <w:pPr>
              <w:pStyle w:val="TableCenter"/>
              <w:rPr>
                <w:rFonts w:ascii="Arial" w:hAnsi="Arial" w:cs="Arial"/>
              </w:rPr>
            </w:pPr>
            <w:r w:rsidRPr="002430F3">
              <w:rPr>
                <w:rFonts w:ascii="Arial" w:hAnsi="Arial" w:cs="Arial"/>
              </w:rPr>
              <w:t>62 (25</w:t>
            </w:r>
            <w:r w:rsidR="00F36B49" w:rsidRPr="002430F3">
              <w:rPr>
                <w:rFonts w:ascii="Arial" w:hAnsi="Arial" w:cs="Arial"/>
              </w:rPr>
              <w:t>)</w:t>
            </w:r>
          </w:p>
        </w:tc>
        <w:tc>
          <w:tcPr>
            <w:tcW w:w="1842" w:type="dxa"/>
          </w:tcPr>
          <w:p w:rsidR="00F36B49" w:rsidRPr="002430F3" w:rsidRDefault="00690BB9" w:rsidP="00D926A6">
            <w:pPr>
              <w:pStyle w:val="TableCenter"/>
              <w:rPr>
                <w:rFonts w:ascii="Arial" w:hAnsi="Arial" w:cs="Arial"/>
              </w:rPr>
            </w:pPr>
            <w:r w:rsidRPr="002430F3">
              <w:rPr>
                <w:rFonts w:ascii="Arial" w:hAnsi="Arial" w:cs="Arial"/>
              </w:rPr>
              <w:t>38 (15)</w:t>
            </w:r>
          </w:p>
        </w:tc>
        <w:tc>
          <w:tcPr>
            <w:tcW w:w="1985" w:type="dxa"/>
          </w:tcPr>
          <w:p w:rsidR="00F36B49" w:rsidRPr="002430F3" w:rsidRDefault="00BE26BE" w:rsidP="00D926A6">
            <w:pPr>
              <w:pStyle w:val="TableCenter"/>
              <w:rPr>
                <w:rFonts w:ascii="Arial" w:hAnsi="Arial" w:cs="Arial"/>
              </w:rPr>
            </w:pPr>
            <w:r w:rsidRPr="002430F3">
              <w:rPr>
                <w:rFonts w:ascii="Arial" w:hAnsi="Arial" w:cs="Arial"/>
              </w:rPr>
              <w:t>51 (41</w:t>
            </w:r>
            <w:r w:rsidR="00F36B49" w:rsidRPr="002430F3">
              <w:rPr>
                <w:rFonts w:ascii="Arial" w:hAnsi="Arial" w:cs="Arial"/>
              </w:rPr>
              <w:t>)</w:t>
            </w:r>
          </w:p>
        </w:tc>
        <w:tc>
          <w:tcPr>
            <w:tcW w:w="2435" w:type="dxa"/>
          </w:tcPr>
          <w:p w:rsidR="00F36B49" w:rsidRPr="002430F3" w:rsidRDefault="00BE26BE" w:rsidP="00D926A6">
            <w:pPr>
              <w:pStyle w:val="TableCenter"/>
              <w:rPr>
                <w:rFonts w:ascii="Arial" w:hAnsi="Arial" w:cs="Arial"/>
              </w:rPr>
            </w:pPr>
            <w:r w:rsidRPr="002430F3">
              <w:rPr>
                <w:rFonts w:ascii="Arial" w:hAnsi="Arial" w:cs="Arial"/>
              </w:rPr>
              <w:t>53 (43</w:t>
            </w:r>
            <w:r w:rsidR="00F36B49" w:rsidRPr="002430F3">
              <w:rPr>
                <w:rFonts w:ascii="Arial" w:hAnsi="Arial" w:cs="Arial"/>
              </w:rPr>
              <w:t>)</w:t>
            </w:r>
          </w:p>
        </w:tc>
      </w:tr>
    </w:tbl>
    <w:p w:rsidR="006855E4" w:rsidRDefault="006855E4" w:rsidP="00A56260">
      <w:pPr>
        <w:pStyle w:val="BodyText"/>
        <w:jc w:val="both"/>
        <w:rPr>
          <w:color w:val="FF0000"/>
          <w:lang w:val="en-US" w:eastAsia="de-DE"/>
        </w:rPr>
      </w:pPr>
    </w:p>
    <w:p w:rsidR="00F36B49" w:rsidRDefault="00F36B49" w:rsidP="00A56260">
      <w:pPr>
        <w:pStyle w:val="BodyText"/>
        <w:jc w:val="both"/>
        <w:rPr>
          <w:color w:val="FF0000"/>
          <w:lang w:val="en-US" w:eastAsia="de-DE"/>
        </w:rPr>
      </w:pPr>
    </w:p>
    <w:p w:rsidR="00EA69C3" w:rsidRPr="002430F3" w:rsidRDefault="00EA69C3" w:rsidP="00A56260">
      <w:pPr>
        <w:pStyle w:val="BodyText"/>
        <w:jc w:val="both"/>
        <w:rPr>
          <w:lang w:val="en-US" w:eastAsia="de-DE"/>
        </w:rPr>
      </w:pPr>
      <w:r w:rsidRPr="002430F3">
        <w:rPr>
          <w:lang w:val="en-US" w:eastAsia="de-DE"/>
        </w:rPr>
        <w:t xml:space="preserve">Statistically significant reductions of both all-cause and UC-related rates of hospitalisation were observed in a pooled analysis of </w:t>
      </w:r>
      <w:r w:rsidR="009E779A" w:rsidRPr="002430F3">
        <w:rPr>
          <w:lang w:val="en-US" w:eastAsia="de-DE"/>
        </w:rPr>
        <w:t>S</w:t>
      </w:r>
      <w:r w:rsidRPr="002430F3">
        <w:rPr>
          <w:lang w:val="en-US" w:eastAsia="de-DE"/>
        </w:rPr>
        <w:t>tudies UC I and II.</w:t>
      </w:r>
    </w:p>
    <w:p w:rsidR="00EA69C3" w:rsidRPr="002430F3" w:rsidRDefault="00EA69C3" w:rsidP="00A56260">
      <w:pPr>
        <w:pStyle w:val="BodyText"/>
        <w:jc w:val="both"/>
        <w:rPr>
          <w:i/>
          <w:lang w:val="en-US" w:eastAsia="de-DE"/>
        </w:rPr>
      </w:pPr>
    </w:p>
    <w:p w:rsidR="00C67CE5" w:rsidRPr="002430F3" w:rsidRDefault="00A56260" w:rsidP="00A56260">
      <w:pPr>
        <w:pStyle w:val="BodyText"/>
        <w:jc w:val="both"/>
        <w:rPr>
          <w:iCs/>
          <w:lang w:val="en-US"/>
        </w:rPr>
      </w:pPr>
      <w:r w:rsidRPr="002430F3">
        <w:rPr>
          <w:iCs/>
          <w:lang w:val="en-US"/>
        </w:rPr>
        <w:t xml:space="preserve">Approximately 40% of patients in </w:t>
      </w:r>
      <w:r w:rsidR="009E779A" w:rsidRPr="002430F3">
        <w:rPr>
          <w:iCs/>
          <w:lang w:val="en-US"/>
        </w:rPr>
        <w:t>S</w:t>
      </w:r>
      <w:r w:rsidRPr="002430F3">
        <w:rPr>
          <w:iCs/>
          <w:lang w:val="en-US"/>
        </w:rPr>
        <w:t>tudy UC-II had failed prior anti-TNF treatment with infliximab. The efficacy of adalimumab in those patients was reduced compared to th</w:t>
      </w:r>
      <w:r w:rsidR="00F41583">
        <w:rPr>
          <w:iCs/>
          <w:lang w:val="en-US"/>
        </w:rPr>
        <w:t xml:space="preserve">at in anti-TNF naïve patients. </w:t>
      </w:r>
      <w:r w:rsidR="00C67CE5" w:rsidRPr="002430F3">
        <w:rPr>
          <w:lang w:val="en-US"/>
        </w:rPr>
        <w:t xml:space="preserve">The effectiveness of adalimumab in patients who have lost response to infliximab has not been established, statistically significant differences for Week 8 </w:t>
      </w:r>
      <w:r w:rsidR="009E19BB">
        <w:rPr>
          <w:lang w:val="en-US"/>
        </w:rPr>
        <w:t xml:space="preserve">clinical </w:t>
      </w:r>
      <w:r w:rsidR="00C67CE5" w:rsidRPr="002430F3">
        <w:rPr>
          <w:lang w:val="en-US"/>
        </w:rPr>
        <w:t xml:space="preserve">remission and Week 8 </w:t>
      </w:r>
      <w:r w:rsidR="009E19BB">
        <w:rPr>
          <w:lang w:val="en-US"/>
        </w:rPr>
        <w:t xml:space="preserve">clinical </w:t>
      </w:r>
      <w:r w:rsidR="00C67CE5" w:rsidRPr="002430F3">
        <w:rPr>
          <w:lang w:val="en-US"/>
        </w:rPr>
        <w:t xml:space="preserve">response were not observed for adalimumab versus placebo in those patients. However, at Week 52, </w:t>
      </w:r>
      <w:r w:rsidR="009E19BB">
        <w:rPr>
          <w:lang w:val="en-US"/>
        </w:rPr>
        <w:t xml:space="preserve">clinical </w:t>
      </w:r>
      <w:r w:rsidR="00C67CE5" w:rsidRPr="002430F3">
        <w:rPr>
          <w:lang w:val="en-US"/>
        </w:rPr>
        <w:t xml:space="preserve">remission and </w:t>
      </w:r>
      <w:r w:rsidR="009E19BB">
        <w:rPr>
          <w:lang w:val="en-US"/>
        </w:rPr>
        <w:t xml:space="preserve">clinical </w:t>
      </w:r>
      <w:r w:rsidR="00C67CE5" w:rsidRPr="002430F3">
        <w:rPr>
          <w:lang w:val="en-US"/>
        </w:rPr>
        <w:t xml:space="preserve">response were achieved in a statistically significantly greater number of patients on adalimumab versus placebo in patients who had failed prior anti-TNF treatment </w:t>
      </w:r>
      <w:r w:rsidR="00C67CE5" w:rsidRPr="002430F3">
        <w:rPr>
          <w:iCs/>
          <w:lang w:val="en-US"/>
        </w:rPr>
        <w:t>(i.e. remission: 3% on placebo versus 10% on adalimumab, and response: 10% on placebo versus 20% on adalimumab).</w:t>
      </w:r>
    </w:p>
    <w:p w:rsidR="00A56260" w:rsidRPr="002430F3" w:rsidRDefault="00A56260" w:rsidP="00A56260">
      <w:pPr>
        <w:pStyle w:val="BodyText"/>
        <w:jc w:val="both"/>
        <w:rPr>
          <w:i/>
          <w:lang w:val="en-US"/>
        </w:rPr>
      </w:pPr>
    </w:p>
    <w:p w:rsidR="0027334B" w:rsidRPr="002430F3" w:rsidRDefault="00A56260" w:rsidP="00A56260">
      <w:pPr>
        <w:pStyle w:val="BodyText"/>
        <w:jc w:val="both"/>
        <w:rPr>
          <w:lang w:val="en-US"/>
        </w:rPr>
      </w:pPr>
      <w:r w:rsidRPr="002430F3">
        <w:rPr>
          <w:lang w:val="en-US"/>
        </w:rPr>
        <w:t xml:space="preserve">Patients from UC </w:t>
      </w:r>
      <w:r w:rsidR="009E779A" w:rsidRPr="002430F3">
        <w:rPr>
          <w:lang w:val="en-US"/>
        </w:rPr>
        <w:t>S</w:t>
      </w:r>
      <w:r w:rsidRPr="002430F3">
        <w:rPr>
          <w:lang w:val="en-US"/>
        </w:rPr>
        <w:t>tudies I and II had the option to roll over into an open-label long-term extension study.</w:t>
      </w:r>
      <w:r w:rsidR="007D7D02" w:rsidRPr="002430F3">
        <w:rPr>
          <w:lang w:val="en-US"/>
        </w:rPr>
        <w:t xml:space="preserve"> </w:t>
      </w:r>
    </w:p>
    <w:p w:rsidR="0027334B" w:rsidRPr="002430F3" w:rsidRDefault="0027334B" w:rsidP="00A56260">
      <w:pPr>
        <w:pStyle w:val="BodyText"/>
        <w:jc w:val="both"/>
        <w:rPr>
          <w:lang w:val="en-US"/>
        </w:rPr>
      </w:pPr>
    </w:p>
    <w:p w:rsidR="00A56260" w:rsidRPr="002430F3" w:rsidRDefault="003573BC" w:rsidP="00A56260">
      <w:pPr>
        <w:pStyle w:val="BodyText"/>
        <w:jc w:val="both"/>
        <w:rPr>
          <w:lang w:val="en-US"/>
        </w:rPr>
      </w:pPr>
      <w:r>
        <w:rPr>
          <w:lang w:val="en-US"/>
        </w:rPr>
        <w:t>Patients</w:t>
      </w:r>
      <w:r w:rsidR="0027334B" w:rsidRPr="002430F3">
        <w:rPr>
          <w:lang w:val="en-US"/>
        </w:rPr>
        <w:t xml:space="preserve"> who lose response may benefit from an increase of dosing frequency to 40 mg weekly.  17</w:t>
      </w:r>
      <w:r w:rsidR="007D7D02" w:rsidRPr="002430F3">
        <w:rPr>
          <w:lang w:val="en-US"/>
        </w:rPr>
        <w:t>% of patients initially res</w:t>
      </w:r>
      <w:r w:rsidR="0027334B" w:rsidRPr="002430F3">
        <w:rPr>
          <w:lang w:val="en-US"/>
        </w:rPr>
        <w:t>ponding to treatment with adalimumab</w:t>
      </w:r>
      <w:r w:rsidR="007D7D02" w:rsidRPr="002430F3">
        <w:rPr>
          <w:lang w:val="en-US"/>
        </w:rPr>
        <w:t xml:space="preserve"> required an increase in </w:t>
      </w:r>
      <w:r w:rsidR="0027334B" w:rsidRPr="002430F3">
        <w:rPr>
          <w:lang w:val="en-US"/>
        </w:rPr>
        <w:t xml:space="preserve">dosing frequency to </w:t>
      </w:r>
      <w:r w:rsidR="00D57C80">
        <w:rPr>
          <w:lang w:val="en-US"/>
        </w:rPr>
        <w:t>40</w:t>
      </w:r>
      <w:r w:rsidR="0027334B" w:rsidRPr="002430F3">
        <w:rPr>
          <w:lang w:val="en-US"/>
        </w:rPr>
        <w:t>mg adalimumab</w:t>
      </w:r>
      <w:r w:rsidR="007D7D02" w:rsidRPr="002430F3">
        <w:rPr>
          <w:lang w:val="en-US"/>
        </w:rPr>
        <w:t xml:space="preserve"> every week.</w:t>
      </w:r>
      <w:r w:rsidR="00A56260" w:rsidRPr="002430F3">
        <w:rPr>
          <w:lang w:val="en-US"/>
        </w:rPr>
        <w:t xml:space="preserve"> </w:t>
      </w:r>
    </w:p>
    <w:p w:rsidR="0027334B" w:rsidRDefault="0027334B" w:rsidP="00A56260">
      <w:pPr>
        <w:pStyle w:val="BodyText"/>
        <w:jc w:val="both"/>
        <w:rPr>
          <w:lang w:val="en-US"/>
        </w:rPr>
      </w:pPr>
    </w:p>
    <w:p w:rsidR="009E2528" w:rsidRDefault="009E2528" w:rsidP="009E2528">
      <w:pPr>
        <w:pStyle w:val="BodyText"/>
        <w:jc w:val="both"/>
        <w:rPr>
          <w:u w:val="single"/>
          <w:lang w:val="en-GB"/>
        </w:rPr>
      </w:pPr>
      <w:r w:rsidRPr="00E7238F">
        <w:rPr>
          <w:u w:val="single"/>
          <w:lang w:val="en-GB"/>
        </w:rPr>
        <w:t>Quality of Life</w:t>
      </w:r>
    </w:p>
    <w:p w:rsidR="00A56260" w:rsidRPr="00C03505" w:rsidRDefault="00A56260" w:rsidP="00A56260">
      <w:pPr>
        <w:pStyle w:val="BodyText"/>
        <w:jc w:val="both"/>
        <w:rPr>
          <w:u w:val="single"/>
          <w:lang w:val="en-US"/>
        </w:rPr>
      </w:pPr>
    </w:p>
    <w:p w:rsidR="00A56260" w:rsidRDefault="00A56260" w:rsidP="00A56260">
      <w:pPr>
        <w:pStyle w:val="BodyText"/>
        <w:jc w:val="both"/>
        <w:rPr>
          <w:lang w:val="en-US"/>
        </w:rPr>
      </w:pPr>
      <w:r w:rsidRPr="00E7238F">
        <w:rPr>
          <w:lang w:val="en-GB"/>
        </w:rPr>
        <w:t>In UC Study I</w:t>
      </w:r>
      <w:r>
        <w:rPr>
          <w:lang w:val="en-GB"/>
        </w:rPr>
        <w:t>I</w:t>
      </w:r>
      <w:r w:rsidRPr="00E7238F">
        <w:rPr>
          <w:lang w:val="en-GB"/>
        </w:rPr>
        <w:t xml:space="preserve">, improvement in the disease-specific inflammatory bowel disease questionnaire (IBDQ) total score was achieved at Week </w:t>
      </w:r>
      <w:r>
        <w:rPr>
          <w:lang w:val="en-GB"/>
        </w:rPr>
        <w:t>52</w:t>
      </w:r>
      <w:r w:rsidRPr="00E7238F">
        <w:rPr>
          <w:lang w:val="en-GB"/>
        </w:rPr>
        <w:t xml:space="preserve"> in patients randomised to Humira 160/80 mg compared to placebo</w:t>
      </w:r>
      <w:r>
        <w:rPr>
          <w:lang w:val="en-GB"/>
        </w:rPr>
        <w:t xml:space="preserve"> (p=0.007)</w:t>
      </w:r>
      <w:r w:rsidRPr="00E7238F">
        <w:rPr>
          <w:lang w:val="en-GB"/>
        </w:rPr>
        <w:t>.</w:t>
      </w:r>
    </w:p>
    <w:p w:rsidR="00A56260" w:rsidRDefault="00A56260">
      <w:pPr>
        <w:pStyle w:val="BodyText"/>
        <w:jc w:val="both"/>
      </w:pPr>
    </w:p>
    <w:p w:rsidR="00E44F87" w:rsidRDefault="00E44F87">
      <w:pPr>
        <w:pStyle w:val="Heading1"/>
        <w:jc w:val="both"/>
        <w:rPr>
          <w:rFonts w:ascii="Arial" w:hAnsi="Arial" w:cs="Arial"/>
          <w:sz w:val="20"/>
        </w:rPr>
      </w:pPr>
      <w:r>
        <w:rPr>
          <w:rFonts w:ascii="Arial" w:hAnsi="Arial" w:cs="Arial"/>
          <w:sz w:val="20"/>
        </w:rPr>
        <w:t>CLINICAL TRIALS FOR PSORIASIS</w:t>
      </w:r>
    </w:p>
    <w:p w:rsidR="00E44F87" w:rsidRDefault="00E44F87">
      <w:pPr>
        <w:jc w:val="both"/>
        <w:rPr>
          <w:rFonts w:ascii="Arial" w:hAnsi="Arial" w:cs="Arial"/>
          <w:sz w:val="20"/>
        </w:rPr>
      </w:pPr>
    </w:p>
    <w:p w:rsidR="00E44F87" w:rsidRDefault="00E44F87">
      <w:pPr>
        <w:pStyle w:val="DefaultText"/>
        <w:jc w:val="both"/>
        <w:rPr>
          <w:rFonts w:cs="Arial"/>
          <w:bCs w:val="0"/>
          <w:sz w:val="20"/>
        </w:rPr>
      </w:pPr>
      <w:r>
        <w:rPr>
          <w:rFonts w:cs="Arial"/>
          <w:bCs w:val="0"/>
          <w:sz w:val="20"/>
        </w:rPr>
        <w:lastRenderedPageBreak/>
        <w:t>The safety and efficacy of Humira were assessed in over 1,600 patients 18 years of age or older with moderate to severe chronic plaque psoriasis who were candidates for systemic therapy or phototherapy in randomized, double-blind, well-controlled studies.</w:t>
      </w:r>
    </w:p>
    <w:p w:rsidR="00E44F87" w:rsidRDefault="00E44F87">
      <w:pPr>
        <w:pStyle w:val="DefaultText"/>
        <w:jc w:val="both"/>
        <w:rPr>
          <w:rFonts w:cs="Arial"/>
          <w:bCs w:val="0"/>
          <w:sz w:val="20"/>
        </w:rPr>
      </w:pPr>
    </w:p>
    <w:p w:rsidR="00E44F87" w:rsidRDefault="00E44F87">
      <w:pPr>
        <w:pStyle w:val="DefaultText"/>
        <w:jc w:val="both"/>
        <w:rPr>
          <w:rFonts w:cs="Arial"/>
          <w:strike/>
          <w:color w:val="FF0000"/>
          <w:sz w:val="20"/>
        </w:rPr>
      </w:pPr>
      <w:r>
        <w:rPr>
          <w:rFonts w:cs="Arial"/>
          <w:bCs w:val="0"/>
          <w:sz w:val="20"/>
        </w:rPr>
        <w:t xml:space="preserve">Ps Study I  (M03-656) evaluated 1212 patients with chronic plaque psoriasis with </w:t>
      </w:r>
      <w:r>
        <w:rPr>
          <w:rFonts w:cs="Arial"/>
          <w:bCs w:val="0"/>
          <w:sz w:val="20"/>
        </w:rPr>
        <w:sym w:font="Symbol" w:char="F0B3"/>
      </w:r>
      <w:r>
        <w:rPr>
          <w:rFonts w:cs="Arial"/>
          <w:bCs w:val="0"/>
          <w:sz w:val="20"/>
        </w:rPr>
        <w:t xml:space="preserve"> 10% BSA involvement and Psoriasis Area and Severity Index (PASI) </w:t>
      </w:r>
      <w:r>
        <w:rPr>
          <w:rFonts w:cs="Arial"/>
          <w:bCs w:val="0"/>
          <w:sz w:val="20"/>
        </w:rPr>
        <w:sym w:font="Symbol" w:char="F0B3"/>
      </w:r>
      <w:r>
        <w:rPr>
          <w:rFonts w:cs="Arial"/>
          <w:bCs w:val="0"/>
          <w:sz w:val="20"/>
        </w:rPr>
        <w:t xml:space="preserve"> 12 within three treatment periods.  In period A, patients received placebo or Humira </w:t>
      </w:r>
      <w:r>
        <w:rPr>
          <w:rFonts w:cs="Arial"/>
          <w:bCs w:val="0"/>
          <w:iCs w:val="0"/>
          <w:sz w:val="20"/>
          <w:szCs w:val="24"/>
        </w:rPr>
        <w:t xml:space="preserve">subcutaneously </w:t>
      </w:r>
      <w:r>
        <w:rPr>
          <w:rFonts w:cs="Arial"/>
          <w:bCs w:val="0"/>
          <w:sz w:val="20"/>
        </w:rPr>
        <w:t>at an initial dose of 80 mg at Week 0 followed by a dose of 40 mg fortnightly starting at Week 1.  After 16 weeks of therapy, patients who achieved at least a PASI 75 response at Week 16, defined as a PASI score improvement of at least 75% relative to baseline, entered period B and received open label 40 mg Humira fortnightly. After 17 weeks of open label therapy, patients who maintained at least a PASI 75 response at Week 33 and were originally randomized to active therapy in Period A were re-randomized in period C to receive 40 mg Humira fortnightly or placebo for an</w:t>
      </w:r>
      <w:r>
        <w:rPr>
          <w:rFonts w:cs="Arial"/>
          <w:bCs w:val="0"/>
          <w:sz w:val="24"/>
        </w:rPr>
        <w:t xml:space="preserve"> </w:t>
      </w:r>
      <w:r>
        <w:rPr>
          <w:rFonts w:cs="Arial"/>
          <w:bCs w:val="0"/>
          <w:sz w:val="20"/>
        </w:rPr>
        <w:t xml:space="preserve">additional 19 weeks.  Across all treatment groups the mean baseline </w:t>
      </w:r>
      <w:r>
        <w:rPr>
          <w:rFonts w:cs="Arial"/>
          <w:bCs w:val="0"/>
          <w:caps/>
          <w:sz w:val="20"/>
        </w:rPr>
        <w:t>Pasi</w:t>
      </w:r>
      <w:r>
        <w:rPr>
          <w:rFonts w:cs="Arial"/>
          <w:bCs w:val="0"/>
          <w:sz w:val="20"/>
        </w:rPr>
        <w:t xml:space="preserve"> score was 18.9 and the baseline Physician’s Global Assessment (PGA) score ranged from “moderate” (52.6%) to “severe” (41.3%) to “very severe” (6.1%).  </w:t>
      </w:r>
    </w:p>
    <w:p w:rsidR="00E44F87" w:rsidRDefault="00E44F87">
      <w:pPr>
        <w:pStyle w:val="DefaultText"/>
        <w:rPr>
          <w:rFonts w:cs="Arial"/>
          <w:strike/>
          <w:color w:val="FF6600"/>
          <w:sz w:val="20"/>
        </w:rPr>
      </w:pPr>
    </w:p>
    <w:p w:rsidR="00E44F87" w:rsidRDefault="00E44F87">
      <w:pPr>
        <w:pStyle w:val="DefaultText"/>
        <w:jc w:val="both"/>
        <w:rPr>
          <w:rFonts w:cs="Arial"/>
          <w:bCs w:val="0"/>
          <w:strike/>
          <w:sz w:val="20"/>
        </w:rPr>
      </w:pPr>
      <w:r>
        <w:rPr>
          <w:rFonts w:cs="Arial"/>
          <w:sz w:val="20"/>
          <w:szCs w:val="22"/>
        </w:rPr>
        <w:t>Ps Study II (M04-716) compared the efficacy and safety of Humira versus methotrexate and placebo in 271 patients</w:t>
      </w:r>
      <w:r>
        <w:rPr>
          <w:rFonts w:cs="Arial"/>
          <w:sz w:val="20"/>
          <w:lang w:eastAsia="de-DE"/>
        </w:rPr>
        <w:t xml:space="preserve"> with 10% BSA involvement and PASI ≥ 10</w:t>
      </w:r>
      <w:r>
        <w:rPr>
          <w:rFonts w:cs="Arial"/>
          <w:sz w:val="20"/>
          <w:szCs w:val="22"/>
        </w:rPr>
        <w:t xml:space="preserve">.  Patients received placebo, an initial dose of MTX 7.5 mg and thereafter dose increases up to Week 12, with a maximum dose of 25 mg or an initial dose of 80 mg Humira followed by 40 mg </w:t>
      </w:r>
      <w:r>
        <w:rPr>
          <w:rFonts w:cs="Arial"/>
          <w:bCs w:val="0"/>
          <w:sz w:val="20"/>
        </w:rPr>
        <w:t xml:space="preserve">fortnightly </w:t>
      </w:r>
      <w:r>
        <w:rPr>
          <w:rFonts w:cs="Arial"/>
          <w:sz w:val="20"/>
          <w:szCs w:val="22"/>
        </w:rPr>
        <w:t xml:space="preserve">(starting one week after the initial dose) for 16 weeks. There are no data available comparing Humira and MTX beyond 16 weeks of therapy. Patients receiving MTX who achieved a </w:t>
      </w:r>
      <w:r>
        <w:rPr>
          <w:rFonts w:cs="Arial"/>
          <w:sz w:val="20"/>
          <w:szCs w:val="22"/>
        </w:rPr>
        <w:sym w:font="Symbol" w:char="F0B3"/>
      </w:r>
      <w:r>
        <w:rPr>
          <w:rFonts w:cs="Arial"/>
          <w:sz w:val="20"/>
          <w:szCs w:val="22"/>
        </w:rPr>
        <w:t>PASI 50 response at Week 8 and/or 12 did not receive further dose increases. Across all treatment groups, the mean baseline PASI score was 19.7 and the baseline PGA score ranged from “mild” (&lt;1%) to “moderate” (48%) to “severe” (46%) to “very severe” (6%).</w:t>
      </w:r>
    </w:p>
    <w:p w:rsidR="00E44F87" w:rsidRDefault="00E44F87">
      <w:pPr>
        <w:autoSpaceDE w:val="0"/>
        <w:autoSpaceDN w:val="0"/>
        <w:adjustRightInd w:val="0"/>
        <w:spacing w:line="240" w:lineRule="atLeast"/>
        <w:jc w:val="both"/>
        <w:rPr>
          <w:rFonts w:ascii="Arial" w:hAnsi="Arial" w:cs="Arial"/>
          <w:bCs/>
          <w:sz w:val="20"/>
        </w:rPr>
      </w:pPr>
      <w:r>
        <w:rPr>
          <w:rFonts w:ascii="Arial" w:hAnsi="Arial" w:cs="Arial"/>
          <w:bCs/>
          <w:sz w:val="20"/>
        </w:rPr>
        <w:t xml:space="preserve">Ps Study III (M02-528) evaluated 148 patients with chronic plaque psoriasis with </w:t>
      </w:r>
      <w:r>
        <w:rPr>
          <w:rFonts w:ascii="Arial" w:hAnsi="Arial" w:cs="Arial"/>
          <w:bCs/>
          <w:sz w:val="20"/>
        </w:rPr>
        <w:sym w:font="Symbol" w:char="F0B3"/>
      </w:r>
      <w:r>
        <w:rPr>
          <w:rFonts w:ascii="Arial" w:hAnsi="Arial" w:cs="Arial"/>
          <w:bCs/>
          <w:sz w:val="20"/>
        </w:rPr>
        <w:t xml:space="preserve"> 5% BSA involvement for at least 1 year.  Patients received placebo or Humira </w:t>
      </w:r>
      <w:r>
        <w:rPr>
          <w:rFonts w:ascii="Arial" w:hAnsi="Arial" w:cs="Arial"/>
          <w:bCs/>
          <w:iCs/>
          <w:sz w:val="20"/>
        </w:rPr>
        <w:t xml:space="preserve">subcutaneously </w:t>
      </w:r>
      <w:r>
        <w:rPr>
          <w:rFonts w:ascii="Arial" w:hAnsi="Arial" w:cs="Arial"/>
          <w:bCs/>
          <w:sz w:val="20"/>
        </w:rPr>
        <w:t xml:space="preserve">at a dose of 40 mg fortnightly starting at Week 1 after an initial dose of 80 mg at Week 0 or Humira at an initial dose of 80 mg at Week 0 followed by a dose of 40 mg weekly.  </w:t>
      </w:r>
    </w:p>
    <w:p w:rsidR="00E44F87" w:rsidRDefault="00E44F87">
      <w:pPr>
        <w:autoSpaceDE w:val="0"/>
        <w:autoSpaceDN w:val="0"/>
        <w:adjustRightInd w:val="0"/>
        <w:spacing w:line="240" w:lineRule="atLeast"/>
        <w:jc w:val="both"/>
        <w:rPr>
          <w:rFonts w:ascii="Arial" w:hAnsi="Arial" w:cs="Arial"/>
          <w:bCs/>
          <w:color w:val="FF0000"/>
          <w:sz w:val="20"/>
          <w:u w:val="double"/>
        </w:rPr>
      </w:pPr>
    </w:p>
    <w:p w:rsidR="00863EFB" w:rsidRPr="00863EFB" w:rsidRDefault="00863EFB" w:rsidP="00863EFB">
      <w:pPr>
        <w:autoSpaceDE w:val="0"/>
        <w:autoSpaceDN w:val="0"/>
        <w:adjustRightInd w:val="0"/>
        <w:spacing w:line="240" w:lineRule="atLeast"/>
        <w:jc w:val="both"/>
        <w:rPr>
          <w:rFonts w:ascii="Arial" w:hAnsi="Arial" w:cs="Arial"/>
          <w:bCs/>
          <w:sz w:val="20"/>
        </w:rPr>
      </w:pPr>
      <w:r w:rsidRPr="00863EFB">
        <w:rPr>
          <w:rFonts w:ascii="Arial" w:hAnsi="Arial" w:cs="Arial"/>
          <w:bCs/>
          <w:sz w:val="20"/>
        </w:rPr>
        <w:t>Patients participating in all Phase 2 and Phase 3 psoriasis studies were eligible to enrol into an open-label extension trial (M03-658) where Humira was given for at least an additional 108 weeks</w:t>
      </w:r>
      <w:r w:rsidR="003410AE">
        <w:rPr>
          <w:rFonts w:ascii="Arial" w:hAnsi="Arial" w:cs="Arial"/>
          <w:bCs/>
          <w:sz w:val="20"/>
        </w:rPr>
        <w:t xml:space="preserve"> at 40mg fortnightly</w:t>
      </w:r>
      <w:r w:rsidR="008A3715" w:rsidRPr="00715256">
        <w:rPr>
          <w:rFonts w:ascii="Arial" w:hAnsi="Arial" w:cs="Arial"/>
          <w:bCs/>
          <w:color w:val="0000FF"/>
          <w:sz w:val="20"/>
        </w:rPr>
        <w:t xml:space="preserve">, </w:t>
      </w:r>
      <w:r w:rsidR="008A3715" w:rsidRPr="006D0426">
        <w:rPr>
          <w:rFonts w:ascii="Arial" w:hAnsi="Arial" w:cs="Arial"/>
          <w:bCs/>
          <w:sz w:val="20"/>
        </w:rPr>
        <w:t>with the option to dose-escalate to 40 mg weekly if response was sub-optimal</w:t>
      </w:r>
      <w:r w:rsidRPr="006D0426">
        <w:rPr>
          <w:rFonts w:ascii="Arial" w:hAnsi="Arial" w:cs="Arial"/>
          <w:bCs/>
          <w:sz w:val="20"/>
        </w:rPr>
        <w:t>.</w:t>
      </w:r>
    </w:p>
    <w:p w:rsidR="00863EFB" w:rsidRDefault="00863EFB">
      <w:pPr>
        <w:autoSpaceDE w:val="0"/>
        <w:autoSpaceDN w:val="0"/>
        <w:adjustRightInd w:val="0"/>
        <w:spacing w:line="240" w:lineRule="atLeast"/>
        <w:jc w:val="both"/>
        <w:rPr>
          <w:rFonts w:ascii="Arial" w:hAnsi="Arial" w:cs="Arial"/>
          <w:bCs/>
          <w:color w:val="FF0000"/>
          <w:sz w:val="20"/>
          <w:u w:val="double"/>
        </w:rPr>
      </w:pPr>
    </w:p>
    <w:p w:rsidR="00E44F87" w:rsidRDefault="00E44F87">
      <w:pPr>
        <w:pStyle w:val="DefaultText"/>
        <w:jc w:val="both"/>
        <w:rPr>
          <w:rFonts w:cs="Arial"/>
          <w:b/>
          <w:bCs w:val="0"/>
          <w:sz w:val="20"/>
        </w:rPr>
      </w:pPr>
      <w:r>
        <w:rPr>
          <w:rFonts w:cs="Arial"/>
          <w:b/>
          <w:bCs w:val="0"/>
          <w:iCs w:val="0"/>
          <w:sz w:val="20"/>
        </w:rPr>
        <w:t>Clinical Results</w:t>
      </w:r>
    </w:p>
    <w:p w:rsidR="00E44F87" w:rsidRDefault="00E44F87">
      <w:pPr>
        <w:pStyle w:val="DefaultText"/>
        <w:jc w:val="both"/>
        <w:rPr>
          <w:rFonts w:cs="Arial"/>
          <w:sz w:val="20"/>
        </w:rPr>
      </w:pPr>
    </w:p>
    <w:p w:rsidR="00E44F87" w:rsidRDefault="00E44F87">
      <w:pPr>
        <w:autoSpaceDE w:val="0"/>
        <w:autoSpaceDN w:val="0"/>
        <w:adjustRightInd w:val="0"/>
        <w:spacing w:line="240" w:lineRule="atLeast"/>
        <w:jc w:val="both"/>
        <w:rPr>
          <w:rFonts w:ascii="Arial" w:hAnsi="Arial" w:cs="Arial"/>
          <w:sz w:val="20"/>
          <w:szCs w:val="22"/>
        </w:rPr>
      </w:pPr>
      <w:r>
        <w:rPr>
          <w:rFonts w:ascii="Arial" w:hAnsi="Arial" w:cs="Arial"/>
          <w:bCs/>
          <w:iCs/>
          <w:sz w:val="20"/>
        </w:rPr>
        <w:t xml:space="preserve">In Ps Studies I, II and III, the primary endpoint was the proportion of patients who achieved a reduction in PASI score of at least 75% (PASI 75) from baseline at Week 16 for Ps Studies I and II and Week 12 for Ps Study III. Other evaluated outcomes in Ps Studies I, II, and III included the PGA and other PASI measures.  Ps Study I had an additional primary endpoint of loss of adequate response after Week 33 and on or before Week 52. Loss of adequate response is defined as a PASI score after Week 33 and on or before Week 52 that resulted in a &lt;PASI 50 response relative to baseline with a minimum of a 6-point increase in PASI score relative to Week 33.  </w:t>
      </w:r>
      <w:r>
        <w:rPr>
          <w:rFonts w:ascii="Arial" w:hAnsi="Arial" w:cs="Arial"/>
          <w:sz w:val="20"/>
          <w:szCs w:val="22"/>
        </w:rPr>
        <w:t xml:space="preserve">In Ps Studies I and II, more patients randomized to Humira than to placebo achieved at least a 75% reduction from baseline of PASI score at Week 16. Other relevant clinical parameters including PASI 100 (i.e. complete clearance of psoriasis skin signs) and PGA of “clear or minimal” were also improved over placebo. </w:t>
      </w:r>
      <w:r w:rsidR="008A3715">
        <w:rPr>
          <w:rFonts w:ascii="Arial" w:hAnsi="Arial" w:cs="Arial"/>
          <w:sz w:val="20"/>
          <w:szCs w:val="22"/>
        </w:rPr>
        <w:t>Patients</w:t>
      </w:r>
      <w:r w:rsidR="00CC6770">
        <w:rPr>
          <w:rFonts w:ascii="Arial" w:hAnsi="Arial" w:cs="Arial"/>
          <w:sz w:val="20"/>
          <w:szCs w:val="22"/>
        </w:rPr>
        <w:t xml:space="preserve"> with</w:t>
      </w:r>
      <w:r w:rsidR="00B57035">
        <w:rPr>
          <w:rFonts w:ascii="Arial" w:hAnsi="Arial" w:cs="Arial"/>
          <w:sz w:val="20"/>
          <w:szCs w:val="22"/>
        </w:rPr>
        <w:t xml:space="preserve"> </w:t>
      </w:r>
      <w:r w:rsidR="008A3715">
        <w:rPr>
          <w:rFonts w:ascii="Arial" w:hAnsi="Arial" w:cs="Arial"/>
          <w:sz w:val="20"/>
          <w:szCs w:val="22"/>
        </w:rPr>
        <w:t>≥PASI 75 response continued to Week 33.</w:t>
      </w:r>
      <w:r w:rsidR="00715256">
        <w:rPr>
          <w:rFonts w:ascii="Arial" w:hAnsi="Arial" w:cs="Arial"/>
          <w:sz w:val="20"/>
          <w:szCs w:val="22"/>
        </w:rPr>
        <w:t xml:space="preserve">  In Ps Study I, patients who were PASI 75 responders and were re-randomised to continue Humira therapy at Week 33 were less likely to experience a loss of adequate response on or before Week 52 than the PASI 75 responders who were re-randomised to placebo at Week 33 (4.9% versus 28.4%, p&lt;0.001).  </w:t>
      </w:r>
      <w:r>
        <w:rPr>
          <w:rFonts w:ascii="Arial" w:hAnsi="Arial" w:cs="Arial"/>
          <w:sz w:val="20"/>
          <w:szCs w:val="22"/>
        </w:rPr>
        <w:t xml:space="preserve">In Ps Study II, superior results were achieved for PASI 75, PASI 100 and PGA of "clear or minimal" in patients randomized to the Humira treatment group versus those randomized to receive methotrexate (see Tables </w:t>
      </w:r>
      <w:r w:rsidR="00305845">
        <w:rPr>
          <w:rFonts w:ascii="Arial" w:hAnsi="Arial" w:cs="Arial"/>
          <w:sz w:val="20"/>
          <w:szCs w:val="22"/>
        </w:rPr>
        <w:t>22</w:t>
      </w:r>
      <w:r w:rsidR="0075045A">
        <w:rPr>
          <w:rFonts w:ascii="Arial" w:hAnsi="Arial" w:cs="Arial"/>
          <w:sz w:val="20"/>
          <w:szCs w:val="22"/>
        </w:rPr>
        <w:t xml:space="preserve"> </w:t>
      </w:r>
      <w:r>
        <w:rPr>
          <w:rFonts w:ascii="Arial" w:hAnsi="Arial" w:cs="Arial"/>
          <w:sz w:val="20"/>
          <w:szCs w:val="22"/>
        </w:rPr>
        <w:t xml:space="preserve">and </w:t>
      </w:r>
      <w:r w:rsidR="00305845">
        <w:rPr>
          <w:rFonts w:ascii="Arial" w:hAnsi="Arial" w:cs="Arial"/>
          <w:sz w:val="20"/>
          <w:szCs w:val="22"/>
        </w:rPr>
        <w:t>23</w:t>
      </w:r>
      <w:r>
        <w:rPr>
          <w:rFonts w:ascii="Arial" w:hAnsi="Arial" w:cs="Arial"/>
          <w:sz w:val="20"/>
          <w:szCs w:val="22"/>
        </w:rPr>
        <w:t>).</w:t>
      </w:r>
      <w:r w:rsidR="000909CD">
        <w:rPr>
          <w:rFonts w:ascii="Arial" w:hAnsi="Arial" w:cs="Arial"/>
          <w:sz w:val="20"/>
          <w:szCs w:val="22"/>
        </w:rPr>
        <w:t xml:space="preserve"> </w:t>
      </w:r>
    </w:p>
    <w:p w:rsidR="00916155" w:rsidRDefault="00916155">
      <w:pPr>
        <w:autoSpaceDE w:val="0"/>
        <w:autoSpaceDN w:val="0"/>
        <w:adjustRightInd w:val="0"/>
        <w:spacing w:line="240" w:lineRule="atLeast"/>
        <w:jc w:val="both"/>
        <w:rPr>
          <w:rFonts w:ascii="Arial" w:hAnsi="Arial" w:cs="Arial"/>
          <w:sz w:val="20"/>
          <w:szCs w:val="22"/>
        </w:rPr>
      </w:pPr>
    </w:p>
    <w:tbl>
      <w:tblPr>
        <w:tblW w:w="8499" w:type="dxa"/>
        <w:jc w:val="center"/>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2"/>
        <w:gridCol w:w="907"/>
        <w:gridCol w:w="1456"/>
        <w:gridCol w:w="1826"/>
        <w:gridCol w:w="907"/>
        <w:gridCol w:w="1501"/>
      </w:tblGrid>
      <w:tr w:rsidR="00E44F87" w:rsidTr="00E15C39">
        <w:trPr>
          <w:cantSplit/>
          <w:jc w:val="center"/>
        </w:trPr>
        <w:tc>
          <w:tcPr>
            <w:tcW w:w="8499" w:type="dxa"/>
            <w:gridSpan w:val="6"/>
            <w:tcBorders>
              <w:top w:val="nil"/>
              <w:left w:val="nil"/>
              <w:bottom w:val="single" w:sz="4" w:space="0" w:color="auto"/>
              <w:right w:val="nil"/>
            </w:tcBorders>
          </w:tcPr>
          <w:p w:rsidR="00E44F87" w:rsidRDefault="00E44F87" w:rsidP="00D671D6">
            <w:pPr>
              <w:pStyle w:val="DefaultText"/>
              <w:keepNext/>
              <w:jc w:val="center"/>
              <w:rPr>
                <w:b/>
                <w:bCs w:val="0"/>
                <w:sz w:val="20"/>
              </w:rPr>
            </w:pPr>
            <w:r>
              <w:rPr>
                <w:b/>
                <w:bCs w:val="0"/>
                <w:sz w:val="20"/>
              </w:rPr>
              <w:lastRenderedPageBreak/>
              <w:t xml:space="preserve">Table </w:t>
            </w:r>
            <w:r w:rsidR="00305845">
              <w:rPr>
                <w:b/>
                <w:bCs w:val="0"/>
                <w:sz w:val="20"/>
              </w:rPr>
              <w:t>22</w:t>
            </w:r>
            <w:r>
              <w:rPr>
                <w:b/>
                <w:bCs w:val="0"/>
                <w:sz w:val="20"/>
              </w:rPr>
              <w:t>: Ps Study I (M03-656)</w:t>
            </w:r>
          </w:p>
        </w:tc>
      </w:tr>
      <w:tr w:rsidR="00E15C39" w:rsidTr="00A20410">
        <w:trPr>
          <w:cantSplit/>
          <w:jc w:val="center"/>
        </w:trPr>
        <w:tc>
          <w:tcPr>
            <w:tcW w:w="1902" w:type="dxa"/>
            <w:tcBorders>
              <w:top w:val="single" w:sz="4" w:space="0" w:color="auto"/>
            </w:tcBorders>
            <w:vAlign w:val="center"/>
          </w:tcPr>
          <w:p w:rsidR="00F47D7B" w:rsidRDefault="00F47D7B" w:rsidP="00D671D6">
            <w:pPr>
              <w:pStyle w:val="DefaultText"/>
              <w:keepNext/>
              <w:rPr>
                <w:b/>
                <w:bCs w:val="0"/>
                <w:sz w:val="18"/>
              </w:rPr>
            </w:pPr>
          </w:p>
        </w:tc>
        <w:tc>
          <w:tcPr>
            <w:tcW w:w="2363" w:type="dxa"/>
            <w:gridSpan w:val="2"/>
            <w:tcBorders>
              <w:top w:val="single" w:sz="4" w:space="0" w:color="auto"/>
            </w:tcBorders>
            <w:vAlign w:val="center"/>
          </w:tcPr>
          <w:p w:rsidR="00F47D7B" w:rsidRDefault="00F47D7B" w:rsidP="00D671D6">
            <w:pPr>
              <w:pStyle w:val="DefaultText"/>
              <w:keepNext/>
              <w:jc w:val="center"/>
              <w:rPr>
                <w:b/>
                <w:bCs w:val="0"/>
                <w:sz w:val="18"/>
              </w:rPr>
            </w:pPr>
            <w:r>
              <w:rPr>
                <w:b/>
                <w:bCs w:val="0"/>
                <w:sz w:val="18"/>
              </w:rPr>
              <w:t>Period A</w:t>
            </w:r>
          </w:p>
        </w:tc>
        <w:tc>
          <w:tcPr>
            <w:tcW w:w="1826" w:type="dxa"/>
            <w:tcBorders>
              <w:top w:val="single" w:sz="4" w:space="0" w:color="auto"/>
            </w:tcBorders>
            <w:shd w:val="clear" w:color="auto" w:fill="auto"/>
            <w:vAlign w:val="center"/>
          </w:tcPr>
          <w:p w:rsidR="00F47D7B" w:rsidRDefault="00F47D7B" w:rsidP="00D671D6">
            <w:pPr>
              <w:pStyle w:val="DefaultText"/>
              <w:keepNext/>
              <w:jc w:val="center"/>
              <w:rPr>
                <w:b/>
                <w:bCs w:val="0"/>
                <w:sz w:val="18"/>
              </w:rPr>
            </w:pPr>
          </w:p>
          <w:p w:rsidR="00F47D7B" w:rsidRDefault="00F47D7B" w:rsidP="00D671D6">
            <w:pPr>
              <w:pStyle w:val="DefaultText"/>
              <w:keepNext/>
              <w:jc w:val="center"/>
              <w:rPr>
                <w:b/>
                <w:bCs w:val="0"/>
                <w:sz w:val="18"/>
              </w:rPr>
            </w:pPr>
            <w:r>
              <w:rPr>
                <w:b/>
                <w:bCs w:val="0"/>
                <w:sz w:val="18"/>
              </w:rPr>
              <w:t>Period B</w:t>
            </w:r>
          </w:p>
          <w:p w:rsidR="00F47D7B" w:rsidRDefault="00F47D7B" w:rsidP="00D671D6">
            <w:pPr>
              <w:pStyle w:val="DefaultText"/>
              <w:keepNext/>
              <w:jc w:val="center"/>
              <w:rPr>
                <w:b/>
                <w:bCs w:val="0"/>
                <w:sz w:val="18"/>
              </w:rPr>
            </w:pPr>
          </w:p>
        </w:tc>
        <w:tc>
          <w:tcPr>
            <w:tcW w:w="2408" w:type="dxa"/>
            <w:gridSpan w:val="2"/>
            <w:tcBorders>
              <w:top w:val="single" w:sz="4" w:space="0" w:color="auto"/>
            </w:tcBorders>
            <w:shd w:val="clear" w:color="auto" w:fill="auto"/>
            <w:vAlign w:val="center"/>
          </w:tcPr>
          <w:p w:rsidR="00F47D7B" w:rsidRDefault="00F47D7B" w:rsidP="00D671D6">
            <w:pPr>
              <w:pStyle w:val="DefaultText"/>
              <w:keepNext/>
              <w:jc w:val="center"/>
              <w:rPr>
                <w:b/>
                <w:bCs w:val="0"/>
                <w:sz w:val="18"/>
              </w:rPr>
            </w:pPr>
            <w:r>
              <w:rPr>
                <w:b/>
                <w:bCs w:val="0"/>
                <w:sz w:val="18"/>
              </w:rPr>
              <w:t>Period C</w:t>
            </w:r>
          </w:p>
        </w:tc>
      </w:tr>
      <w:tr w:rsidR="00E15C39" w:rsidTr="00A20410">
        <w:trPr>
          <w:cantSplit/>
          <w:jc w:val="center"/>
        </w:trPr>
        <w:tc>
          <w:tcPr>
            <w:tcW w:w="1902" w:type="dxa"/>
            <w:tcBorders>
              <w:top w:val="single" w:sz="4" w:space="0" w:color="auto"/>
            </w:tcBorders>
            <w:vAlign w:val="center"/>
          </w:tcPr>
          <w:p w:rsidR="00F47D7B" w:rsidRDefault="00F47D7B" w:rsidP="00D671D6">
            <w:pPr>
              <w:pStyle w:val="DefaultText"/>
              <w:keepNext/>
              <w:rPr>
                <w:b/>
                <w:bCs w:val="0"/>
                <w:sz w:val="18"/>
              </w:rPr>
            </w:pPr>
          </w:p>
        </w:tc>
        <w:tc>
          <w:tcPr>
            <w:tcW w:w="2363" w:type="dxa"/>
            <w:gridSpan w:val="2"/>
            <w:tcBorders>
              <w:top w:val="single" w:sz="4" w:space="0" w:color="auto"/>
            </w:tcBorders>
            <w:vAlign w:val="center"/>
          </w:tcPr>
          <w:p w:rsidR="00F47D7B" w:rsidRDefault="00EE19B8" w:rsidP="00D671D6">
            <w:pPr>
              <w:pStyle w:val="DefaultText"/>
              <w:keepNext/>
              <w:jc w:val="center"/>
              <w:rPr>
                <w:b/>
                <w:bCs w:val="0"/>
                <w:sz w:val="18"/>
              </w:rPr>
            </w:pPr>
            <w:r>
              <w:rPr>
                <w:b/>
                <w:bCs w:val="0"/>
                <w:sz w:val="18"/>
              </w:rPr>
              <w:t>Efficacy Results at 16 Weeks (Percent of Patients)</w:t>
            </w:r>
          </w:p>
        </w:tc>
        <w:tc>
          <w:tcPr>
            <w:tcW w:w="1826" w:type="dxa"/>
            <w:shd w:val="clear" w:color="auto" w:fill="auto"/>
            <w:vAlign w:val="center"/>
          </w:tcPr>
          <w:p w:rsidR="00F47D7B" w:rsidRDefault="00F47D7B" w:rsidP="00D671D6">
            <w:pPr>
              <w:pStyle w:val="DefaultText"/>
              <w:keepNext/>
              <w:jc w:val="center"/>
              <w:rPr>
                <w:b/>
                <w:bCs w:val="0"/>
                <w:sz w:val="18"/>
              </w:rPr>
            </w:pPr>
            <w:r>
              <w:rPr>
                <w:b/>
                <w:bCs w:val="0"/>
                <w:sz w:val="18"/>
              </w:rPr>
              <w:t xml:space="preserve">Efficacy Results at 33 Weeks </w:t>
            </w:r>
            <w:r w:rsidR="00342F71">
              <w:rPr>
                <w:b/>
                <w:bCs w:val="0"/>
                <w:sz w:val="18"/>
              </w:rPr>
              <w:t>(</w:t>
            </w:r>
            <w:r>
              <w:rPr>
                <w:b/>
                <w:bCs w:val="0"/>
                <w:sz w:val="18"/>
              </w:rPr>
              <w:t>Percent of Patients)</w:t>
            </w:r>
          </w:p>
          <w:p w:rsidR="00F47D7B" w:rsidRDefault="00F47D7B" w:rsidP="00D671D6">
            <w:pPr>
              <w:pStyle w:val="DefaultText"/>
              <w:keepNext/>
              <w:jc w:val="center"/>
              <w:rPr>
                <w:b/>
                <w:bCs w:val="0"/>
                <w:sz w:val="18"/>
              </w:rPr>
            </w:pPr>
          </w:p>
        </w:tc>
        <w:tc>
          <w:tcPr>
            <w:tcW w:w="2408" w:type="dxa"/>
            <w:gridSpan w:val="2"/>
            <w:shd w:val="clear" w:color="auto" w:fill="auto"/>
            <w:vAlign w:val="center"/>
          </w:tcPr>
          <w:p w:rsidR="00F47D7B" w:rsidRDefault="0054048E" w:rsidP="00D671D6">
            <w:pPr>
              <w:pStyle w:val="DefaultText"/>
              <w:keepNext/>
              <w:jc w:val="center"/>
              <w:rPr>
                <w:b/>
                <w:bCs w:val="0"/>
                <w:sz w:val="18"/>
              </w:rPr>
            </w:pPr>
            <w:r>
              <w:rPr>
                <w:b/>
                <w:bCs w:val="0"/>
                <w:sz w:val="18"/>
              </w:rPr>
              <w:t xml:space="preserve">Among PASI 75 Responders at Week 33, </w:t>
            </w:r>
            <w:r w:rsidR="00F47D7B">
              <w:rPr>
                <w:b/>
                <w:bCs w:val="0"/>
                <w:sz w:val="18"/>
              </w:rPr>
              <w:t>Efficacy Results at 52 Weeks (Percent of Patients)</w:t>
            </w:r>
          </w:p>
        </w:tc>
      </w:tr>
      <w:tr w:rsidR="00E15C39" w:rsidTr="00A20410">
        <w:trPr>
          <w:cantSplit/>
          <w:jc w:val="center"/>
        </w:trPr>
        <w:tc>
          <w:tcPr>
            <w:tcW w:w="1902" w:type="dxa"/>
            <w:tcBorders>
              <w:top w:val="single" w:sz="4" w:space="0" w:color="auto"/>
            </w:tcBorders>
            <w:vAlign w:val="center"/>
          </w:tcPr>
          <w:p w:rsidR="00F47D7B" w:rsidRDefault="00F47D7B" w:rsidP="00D671D6">
            <w:pPr>
              <w:pStyle w:val="DefaultText"/>
              <w:keepNext/>
              <w:rPr>
                <w:b/>
                <w:bCs w:val="0"/>
                <w:sz w:val="18"/>
              </w:rPr>
            </w:pPr>
          </w:p>
        </w:tc>
        <w:tc>
          <w:tcPr>
            <w:tcW w:w="907" w:type="dxa"/>
            <w:tcBorders>
              <w:top w:val="single" w:sz="4" w:space="0" w:color="auto"/>
            </w:tcBorders>
            <w:shd w:val="clear" w:color="auto" w:fill="auto"/>
            <w:vAlign w:val="center"/>
          </w:tcPr>
          <w:p w:rsidR="00F47D7B" w:rsidRDefault="00F47D7B" w:rsidP="00D671D6">
            <w:pPr>
              <w:pStyle w:val="DefaultText"/>
              <w:keepNext/>
              <w:jc w:val="center"/>
              <w:rPr>
                <w:b/>
                <w:bCs w:val="0"/>
                <w:sz w:val="18"/>
              </w:rPr>
            </w:pPr>
            <w:r>
              <w:rPr>
                <w:b/>
                <w:bCs w:val="0"/>
                <w:sz w:val="18"/>
              </w:rPr>
              <w:t>Placebo</w:t>
            </w:r>
          </w:p>
          <w:p w:rsidR="00F47D7B" w:rsidRDefault="00F47D7B" w:rsidP="00D671D6">
            <w:pPr>
              <w:pStyle w:val="DefaultText"/>
              <w:keepNext/>
              <w:jc w:val="center"/>
              <w:rPr>
                <w:b/>
                <w:bCs w:val="0"/>
                <w:sz w:val="18"/>
              </w:rPr>
            </w:pPr>
            <w:r>
              <w:rPr>
                <w:b/>
                <w:bCs w:val="0"/>
                <w:sz w:val="18"/>
              </w:rPr>
              <w:t>N=398</w:t>
            </w:r>
          </w:p>
          <w:p w:rsidR="00F47D7B" w:rsidRDefault="00F47D7B" w:rsidP="00D671D6">
            <w:pPr>
              <w:pStyle w:val="DefaultText"/>
              <w:keepNext/>
              <w:jc w:val="center"/>
              <w:rPr>
                <w:sz w:val="18"/>
              </w:rPr>
            </w:pPr>
          </w:p>
        </w:tc>
        <w:tc>
          <w:tcPr>
            <w:tcW w:w="1456" w:type="dxa"/>
            <w:tcBorders>
              <w:top w:val="single" w:sz="4" w:space="0" w:color="auto"/>
            </w:tcBorders>
            <w:shd w:val="clear" w:color="auto" w:fill="auto"/>
            <w:vAlign w:val="center"/>
          </w:tcPr>
          <w:p w:rsidR="00F47D7B" w:rsidRDefault="00F47D7B" w:rsidP="00D671D6">
            <w:pPr>
              <w:pStyle w:val="DefaultText"/>
              <w:keepNext/>
              <w:jc w:val="center"/>
              <w:rPr>
                <w:b/>
                <w:bCs w:val="0"/>
                <w:sz w:val="18"/>
              </w:rPr>
            </w:pPr>
            <w:r>
              <w:rPr>
                <w:b/>
                <w:bCs w:val="0"/>
                <w:sz w:val="18"/>
              </w:rPr>
              <w:t xml:space="preserve">Humira 40 mg </w:t>
            </w:r>
            <w:r w:rsidR="004961DF">
              <w:rPr>
                <w:b/>
                <w:bCs w:val="0"/>
                <w:sz w:val="18"/>
              </w:rPr>
              <w:t>fortnightly</w:t>
            </w:r>
          </w:p>
          <w:p w:rsidR="00F47D7B" w:rsidRDefault="00F47D7B" w:rsidP="00D671D6">
            <w:pPr>
              <w:pStyle w:val="DefaultText"/>
              <w:keepNext/>
              <w:jc w:val="center"/>
              <w:rPr>
                <w:b/>
                <w:bCs w:val="0"/>
                <w:sz w:val="18"/>
              </w:rPr>
            </w:pPr>
            <w:r>
              <w:rPr>
                <w:b/>
                <w:bCs w:val="0"/>
                <w:sz w:val="18"/>
              </w:rPr>
              <w:t>N=814</w:t>
            </w:r>
          </w:p>
        </w:tc>
        <w:tc>
          <w:tcPr>
            <w:tcW w:w="1826" w:type="dxa"/>
            <w:shd w:val="clear" w:color="auto" w:fill="auto"/>
            <w:vAlign w:val="center"/>
          </w:tcPr>
          <w:p w:rsidR="00F47D7B" w:rsidRDefault="00F47D7B" w:rsidP="00D671D6">
            <w:pPr>
              <w:pStyle w:val="DefaultText"/>
              <w:keepNext/>
              <w:jc w:val="center"/>
              <w:rPr>
                <w:b/>
                <w:bCs w:val="0"/>
                <w:sz w:val="18"/>
              </w:rPr>
            </w:pPr>
            <w:r>
              <w:rPr>
                <w:b/>
                <w:bCs w:val="0"/>
                <w:sz w:val="18"/>
              </w:rPr>
              <w:t xml:space="preserve">Humira 40 mg </w:t>
            </w:r>
            <w:r w:rsidR="004961DF">
              <w:rPr>
                <w:b/>
                <w:bCs w:val="0"/>
                <w:sz w:val="18"/>
              </w:rPr>
              <w:t>fortnightly</w:t>
            </w:r>
          </w:p>
          <w:p w:rsidR="00F47D7B" w:rsidRDefault="00F47D7B" w:rsidP="00D671D6">
            <w:pPr>
              <w:pStyle w:val="DefaultText"/>
              <w:keepNext/>
              <w:jc w:val="center"/>
              <w:rPr>
                <w:b/>
                <w:bCs w:val="0"/>
                <w:sz w:val="18"/>
              </w:rPr>
            </w:pPr>
            <w:r>
              <w:rPr>
                <w:b/>
                <w:bCs w:val="0"/>
                <w:sz w:val="18"/>
              </w:rPr>
              <w:t>N=580</w:t>
            </w:r>
          </w:p>
        </w:tc>
        <w:tc>
          <w:tcPr>
            <w:tcW w:w="907" w:type="dxa"/>
            <w:shd w:val="clear" w:color="auto" w:fill="auto"/>
            <w:vAlign w:val="center"/>
          </w:tcPr>
          <w:p w:rsidR="00F47D7B" w:rsidRDefault="00F47D7B" w:rsidP="00D671D6">
            <w:pPr>
              <w:pStyle w:val="DefaultText"/>
              <w:keepNext/>
              <w:jc w:val="center"/>
              <w:rPr>
                <w:b/>
                <w:bCs w:val="0"/>
                <w:sz w:val="18"/>
              </w:rPr>
            </w:pPr>
            <w:r>
              <w:rPr>
                <w:b/>
                <w:bCs w:val="0"/>
                <w:sz w:val="18"/>
              </w:rPr>
              <w:t>Placebo</w:t>
            </w:r>
          </w:p>
          <w:p w:rsidR="00F47D7B" w:rsidRDefault="00F47D7B" w:rsidP="00D671D6">
            <w:pPr>
              <w:pStyle w:val="DefaultText"/>
              <w:keepNext/>
              <w:jc w:val="center"/>
              <w:rPr>
                <w:b/>
                <w:bCs w:val="0"/>
                <w:sz w:val="18"/>
              </w:rPr>
            </w:pPr>
            <w:r>
              <w:rPr>
                <w:b/>
                <w:bCs w:val="0"/>
                <w:sz w:val="18"/>
              </w:rPr>
              <w:t>N=240</w:t>
            </w:r>
          </w:p>
        </w:tc>
        <w:tc>
          <w:tcPr>
            <w:tcW w:w="1501" w:type="dxa"/>
            <w:shd w:val="clear" w:color="auto" w:fill="auto"/>
            <w:vAlign w:val="center"/>
          </w:tcPr>
          <w:p w:rsidR="00F47D7B" w:rsidRDefault="00F47D7B" w:rsidP="00D671D6">
            <w:pPr>
              <w:pStyle w:val="DefaultText"/>
              <w:keepNext/>
              <w:jc w:val="center"/>
              <w:rPr>
                <w:b/>
                <w:bCs w:val="0"/>
                <w:sz w:val="18"/>
              </w:rPr>
            </w:pPr>
            <w:r>
              <w:rPr>
                <w:b/>
                <w:bCs w:val="0"/>
                <w:sz w:val="18"/>
              </w:rPr>
              <w:t xml:space="preserve">Humira 40 mg </w:t>
            </w:r>
            <w:r w:rsidR="004961DF">
              <w:rPr>
                <w:b/>
                <w:bCs w:val="0"/>
                <w:sz w:val="18"/>
              </w:rPr>
              <w:t>fortnightly</w:t>
            </w:r>
          </w:p>
          <w:p w:rsidR="00F47D7B" w:rsidRDefault="00F47D7B" w:rsidP="00D671D6">
            <w:pPr>
              <w:pStyle w:val="DefaultText"/>
              <w:keepNext/>
              <w:jc w:val="center"/>
              <w:rPr>
                <w:b/>
                <w:bCs w:val="0"/>
                <w:sz w:val="18"/>
              </w:rPr>
            </w:pPr>
            <w:r>
              <w:rPr>
                <w:b/>
                <w:bCs w:val="0"/>
                <w:sz w:val="18"/>
              </w:rPr>
              <w:t>N=250</w:t>
            </w:r>
          </w:p>
        </w:tc>
      </w:tr>
      <w:tr w:rsidR="00E15C39" w:rsidTr="00A20410">
        <w:trPr>
          <w:cantSplit/>
          <w:jc w:val="center"/>
        </w:trPr>
        <w:tc>
          <w:tcPr>
            <w:tcW w:w="1902" w:type="dxa"/>
          </w:tcPr>
          <w:p w:rsidR="00F47D7B" w:rsidRDefault="00F47D7B" w:rsidP="00D671D6">
            <w:pPr>
              <w:pStyle w:val="DefaultText"/>
              <w:keepNext/>
              <w:rPr>
                <w:b/>
                <w:bCs w:val="0"/>
                <w:sz w:val="18"/>
              </w:rPr>
            </w:pPr>
            <w:r>
              <w:rPr>
                <w:b/>
                <w:bCs w:val="0"/>
                <w:sz w:val="18"/>
              </w:rPr>
              <w:t xml:space="preserve">    </w:t>
            </w:r>
            <w:r>
              <w:rPr>
                <w:b/>
                <w:bCs w:val="0"/>
                <w:sz w:val="18"/>
              </w:rPr>
              <w:sym w:font="Symbol" w:char="F0B3"/>
            </w:r>
            <w:r>
              <w:rPr>
                <w:b/>
                <w:bCs w:val="0"/>
                <w:sz w:val="18"/>
              </w:rPr>
              <w:t>PASI 75</w:t>
            </w:r>
          </w:p>
        </w:tc>
        <w:tc>
          <w:tcPr>
            <w:tcW w:w="907" w:type="dxa"/>
            <w:shd w:val="clear" w:color="auto" w:fill="auto"/>
          </w:tcPr>
          <w:p w:rsidR="00F47D7B" w:rsidRPr="00F47D7B" w:rsidRDefault="00F47D7B" w:rsidP="00D671D6">
            <w:pPr>
              <w:pStyle w:val="DefaultText"/>
              <w:keepNext/>
              <w:jc w:val="center"/>
              <w:rPr>
                <w:sz w:val="18"/>
              </w:rPr>
            </w:pPr>
            <w:r w:rsidRPr="00F47D7B">
              <w:rPr>
                <w:sz w:val="18"/>
              </w:rPr>
              <w:t>6.5</w:t>
            </w:r>
          </w:p>
        </w:tc>
        <w:tc>
          <w:tcPr>
            <w:tcW w:w="1456" w:type="dxa"/>
            <w:shd w:val="clear" w:color="auto" w:fill="auto"/>
          </w:tcPr>
          <w:p w:rsidR="00F47D7B" w:rsidRPr="00F47D7B" w:rsidRDefault="00F47D7B" w:rsidP="00D671D6">
            <w:pPr>
              <w:pStyle w:val="DefaultText"/>
              <w:keepNext/>
              <w:jc w:val="center"/>
              <w:rPr>
                <w:sz w:val="18"/>
              </w:rPr>
            </w:pPr>
            <w:r w:rsidRPr="00F47D7B">
              <w:rPr>
                <w:sz w:val="18"/>
              </w:rPr>
              <w:t>70.9</w:t>
            </w:r>
            <w:r w:rsidRPr="00F47D7B">
              <w:rPr>
                <w:sz w:val="18"/>
                <w:vertAlign w:val="superscript"/>
              </w:rPr>
              <w:t>a</w:t>
            </w:r>
          </w:p>
        </w:tc>
        <w:tc>
          <w:tcPr>
            <w:tcW w:w="1826" w:type="dxa"/>
            <w:shd w:val="clear" w:color="auto" w:fill="auto"/>
          </w:tcPr>
          <w:p w:rsidR="00F47D7B" w:rsidRPr="008C7193" w:rsidRDefault="00F47D7B" w:rsidP="00D671D6">
            <w:pPr>
              <w:pStyle w:val="DefaultText"/>
              <w:keepNext/>
              <w:jc w:val="center"/>
              <w:rPr>
                <w:sz w:val="18"/>
              </w:rPr>
            </w:pPr>
            <w:r w:rsidRPr="008C7193">
              <w:rPr>
                <w:sz w:val="18"/>
              </w:rPr>
              <w:t>84.5</w:t>
            </w:r>
          </w:p>
        </w:tc>
        <w:tc>
          <w:tcPr>
            <w:tcW w:w="907" w:type="dxa"/>
            <w:shd w:val="clear" w:color="auto" w:fill="auto"/>
          </w:tcPr>
          <w:p w:rsidR="00F47D7B" w:rsidRDefault="00F47D7B" w:rsidP="00D671D6">
            <w:pPr>
              <w:pStyle w:val="DefaultText"/>
              <w:keepNext/>
              <w:jc w:val="center"/>
              <w:rPr>
                <w:sz w:val="18"/>
              </w:rPr>
            </w:pPr>
            <w:r>
              <w:rPr>
                <w:sz w:val="18"/>
              </w:rPr>
              <w:t>42.5</w:t>
            </w:r>
          </w:p>
        </w:tc>
        <w:tc>
          <w:tcPr>
            <w:tcW w:w="1501" w:type="dxa"/>
            <w:shd w:val="clear" w:color="auto" w:fill="auto"/>
          </w:tcPr>
          <w:p w:rsidR="00F47D7B" w:rsidRDefault="00F47D7B" w:rsidP="00D671D6">
            <w:pPr>
              <w:pStyle w:val="DefaultText"/>
              <w:keepNext/>
              <w:jc w:val="center"/>
              <w:rPr>
                <w:sz w:val="18"/>
              </w:rPr>
            </w:pPr>
            <w:r>
              <w:rPr>
                <w:sz w:val="18"/>
              </w:rPr>
              <w:t>79.2</w:t>
            </w:r>
          </w:p>
        </w:tc>
      </w:tr>
      <w:tr w:rsidR="00E15C39" w:rsidTr="00A20410">
        <w:trPr>
          <w:cantSplit/>
          <w:trHeight w:val="70"/>
          <w:jc w:val="center"/>
        </w:trPr>
        <w:tc>
          <w:tcPr>
            <w:tcW w:w="1902" w:type="dxa"/>
          </w:tcPr>
          <w:p w:rsidR="00F47D7B" w:rsidRDefault="00F47D7B" w:rsidP="00D671D6">
            <w:pPr>
              <w:pStyle w:val="DefaultText"/>
              <w:keepNext/>
              <w:rPr>
                <w:b/>
                <w:bCs w:val="0"/>
                <w:sz w:val="18"/>
              </w:rPr>
            </w:pPr>
            <w:r>
              <w:rPr>
                <w:b/>
                <w:bCs w:val="0"/>
                <w:sz w:val="18"/>
              </w:rPr>
              <w:t xml:space="preserve">    PASI 100</w:t>
            </w:r>
          </w:p>
        </w:tc>
        <w:tc>
          <w:tcPr>
            <w:tcW w:w="907" w:type="dxa"/>
            <w:shd w:val="clear" w:color="auto" w:fill="auto"/>
          </w:tcPr>
          <w:p w:rsidR="00F47D7B" w:rsidRPr="00F47D7B" w:rsidRDefault="00F47D7B" w:rsidP="00D671D6">
            <w:pPr>
              <w:pStyle w:val="DefaultText"/>
              <w:keepNext/>
              <w:jc w:val="center"/>
              <w:rPr>
                <w:sz w:val="18"/>
              </w:rPr>
            </w:pPr>
            <w:r w:rsidRPr="00F47D7B">
              <w:rPr>
                <w:sz w:val="18"/>
              </w:rPr>
              <w:t>0.8</w:t>
            </w:r>
          </w:p>
        </w:tc>
        <w:tc>
          <w:tcPr>
            <w:tcW w:w="1456" w:type="dxa"/>
            <w:shd w:val="clear" w:color="auto" w:fill="auto"/>
          </w:tcPr>
          <w:p w:rsidR="00F47D7B" w:rsidRPr="00F47D7B" w:rsidRDefault="00F47D7B" w:rsidP="00D671D6">
            <w:pPr>
              <w:pStyle w:val="DefaultText"/>
              <w:keepNext/>
              <w:jc w:val="center"/>
              <w:rPr>
                <w:sz w:val="18"/>
              </w:rPr>
            </w:pPr>
            <w:r w:rsidRPr="00F47D7B">
              <w:rPr>
                <w:sz w:val="18"/>
              </w:rPr>
              <w:t>20.0</w:t>
            </w:r>
            <w:r w:rsidRPr="00F47D7B">
              <w:rPr>
                <w:sz w:val="18"/>
                <w:vertAlign w:val="superscript"/>
              </w:rPr>
              <w:t>a</w:t>
            </w:r>
          </w:p>
        </w:tc>
        <w:tc>
          <w:tcPr>
            <w:tcW w:w="1826" w:type="dxa"/>
            <w:shd w:val="clear" w:color="auto" w:fill="auto"/>
          </w:tcPr>
          <w:p w:rsidR="00F47D7B" w:rsidRPr="008C7193" w:rsidRDefault="00F47D7B" w:rsidP="00D671D6">
            <w:pPr>
              <w:pStyle w:val="DefaultText"/>
              <w:keepNext/>
              <w:jc w:val="center"/>
              <w:rPr>
                <w:sz w:val="18"/>
              </w:rPr>
            </w:pPr>
            <w:r w:rsidRPr="008C7193">
              <w:rPr>
                <w:sz w:val="18"/>
              </w:rPr>
              <w:t>30.3</w:t>
            </w:r>
          </w:p>
        </w:tc>
        <w:tc>
          <w:tcPr>
            <w:tcW w:w="907" w:type="dxa"/>
            <w:shd w:val="clear" w:color="auto" w:fill="auto"/>
          </w:tcPr>
          <w:p w:rsidR="00F47D7B" w:rsidRDefault="00F47D7B" w:rsidP="00D671D6">
            <w:pPr>
              <w:pStyle w:val="DefaultText"/>
              <w:keepNext/>
              <w:jc w:val="center"/>
              <w:rPr>
                <w:sz w:val="18"/>
              </w:rPr>
            </w:pPr>
            <w:r>
              <w:rPr>
                <w:sz w:val="18"/>
              </w:rPr>
              <w:t>7.5</w:t>
            </w:r>
          </w:p>
        </w:tc>
        <w:tc>
          <w:tcPr>
            <w:tcW w:w="1501" w:type="dxa"/>
            <w:shd w:val="clear" w:color="auto" w:fill="auto"/>
          </w:tcPr>
          <w:p w:rsidR="00F47D7B" w:rsidRDefault="00F47D7B" w:rsidP="00D671D6">
            <w:pPr>
              <w:pStyle w:val="DefaultText"/>
              <w:keepNext/>
              <w:jc w:val="center"/>
              <w:rPr>
                <w:sz w:val="18"/>
              </w:rPr>
            </w:pPr>
            <w:r>
              <w:rPr>
                <w:sz w:val="18"/>
              </w:rPr>
              <w:t>32.0</w:t>
            </w:r>
          </w:p>
        </w:tc>
      </w:tr>
      <w:tr w:rsidR="00E15C39" w:rsidTr="00A20410">
        <w:trPr>
          <w:cantSplit/>
          <w:jc w:val="center"/>
        </w:trPr>
        <w:tc>
          <w:tcPr>
            <w:tcW w:w="1902" w:type="dxa"/>
          </w:tcPr>
          <w:p w:rsidR="00F47D7B" w:rsidRDefault="00F47D7B" w:rsidP="00D671D6">
            <w:pPr>
              <w:pStyle w:val="DefaultText"/>
              <w:keepNext/>
              <w:rPr>
                <w:b/>
                <w:bCs w:val="0"/>
                <w:sz w:val="18"/>
              </w:rPr>
            </w:pPr>
            <w:r>
              <w:rPr>
                <w:b/>
                <w:bCs w:val="0"/>
                <w:sz w:val="18"/>
              </w:rPr>
              <w:t xml:space="preserve">    PGA</w:t>
            </w:r>
            <w:r>
              <w:rPr>
                <w:b/>
                <w:bCs w:val="0"/>
                <w:sz w:val="16"/>
              </w:rPr>
              <w:t xml:space="preserve">: </w:t>
            </w:r>
            <w:r>
              <w:rPr>
                <w:b/>
                <w:bCs w:val="0"/>
                <w:sz w:val="18"/>
              </w:rPr>
              <w:t>Clear/minimal</w:t>
            </w:r>
          </w:p>
        </w:tc>
        <w:tc>
          <w:tcPr>
            <w:tcW w:w="907" w:type="dxa"/>
            <w:shd w:val="clear" w:color="auto" w:fill="auto"/>
          </w:tcPr>
          <w:p w:rsidR="00F47D7B" w:rsidRPr="00F47D7B" w:rsidRDefault="00F47D7B" w:rsidP="00D671D6">
            <w:pPr>
              <w:keepNext/>
              <w:jc w:val="center"/>
              <w:rPr>
                <w:rFonts w:ascii="Arial" w:hAnsi="Arial" w:cs="Arial"/>
              </w:rPr>
            </w:pPr>
            <w:r w:rsidRPr="00F47D7B">
              <w:rPr>
                <w:rFonts w:ascii="Arial" w:hAnsi="Arial" w:cs="Arial"/>
                <w:sz w:val="18"/>
              </w:rPr>
              <w:t>4.3</w:t>
            </w:r>
          </w:p>
        </w:tc>
        <w:tc>
          <w:tcPr>
            <w:tcW w:w="1456" w:type="dxa"/>
            <w:shd w:val="clear" w:color="auto" w:fill="auto"/>
          </w:tcPr>
          <w:p w:rsidR="00F47D7B" w:rsidRPr="00F47D7B" w:rsidRDefault="00F47D7B" w:rsidP="00D671D6">
            <w:pPr>
              <w:pStyle w:val="DefaultText"/>
              <w:keepNext/>
              <w:jc w:val="center"/>
              <w:rPr>
                <w:sz w:val="18"/>
              </w:rPr>
            </w:pPr>
            <w:r w:rsidRPr="00F47D7B">
              <w:rPr>
                <w:sz w:val="18"/>
              </w:rPr>
              <w:t>62.2</w:t>
            </w:r>
            <w:r w:rsidRPr="00F47D7B">
              <w:rPr>
                <w:sz w:val="18"/>
                <w:vertAlign w:val="superscript"/>
              </w:rPr>
              <w:t>a</w:t>
            </w:r>
          </w:p>
        </w:tc>
        <w:tc>
          <w:tcPr>
            <w:tcW w:w="1826" w:type="dxa"/>
            <w:shd w:val="clear" w:color="auto" w:fill="auto"/>
          </w:tcPr>
          <w:p w:rsidR="00F47D7B" w:rsidRPr="00F47D7B" w:rsidRDefault="00F47D7B" w:rsidP="00D671D6">
            <w:pPr>
              <w:keepNext/>
              <w:jc w:val="center"/>
              <w:rPr>
                <w:rFonts w:ascii="Arial" w:hAnsi="Arial" w:cs="Arial"/>
              </w:rPr>
            </w:pPr>
            <w:r w:rsidRPr="00F47D7B">
              <w:rPr>
                <w:rFonts w:ascii="Arial" w:hAnsi="Arial" w:cs="Arial"/>
                <w:sz w:val="18"/>
              </w:rPr>
              <w:t>73.3</w:t>
            </w:r>
          </w:p>
        </w:tc>
        <w:tc>
          <w:tcPr>
            <w:tcW w:w="907" w:type="dxa"/>
            <w:shd w:val="clear" w:color="auto" w:fill="auto"/>
          </w:tcPr>
          <w:p w:rsidR="00F47D7B" w:rsidRDefault="00F47D7B" w:rsidP="00D671D6">
            <w:pPr>
              <w:pStyle w:val="DefaultText"/>
              <w:keepNext/>
              <w:jc w:val="center"/>
              <w:rPr>
                <w:sz w:val="18"/>
              </w:rPr>
            </w:pPr>
            <w:r>
              <w:rPr>
                <w:sz w:val="18"/>
              </w:rPr>
              <w:t>27.9</w:t>
            </w:r>
          </w:p>
        </w:tc>
        <w:tc>
          <w:tcPr>
            <w:tcW w:w="1501" w:type="dxa"/>
            <w:shd w:val="clear" w:color="auto" w:fill="auto"/>
          </w:tcPr>
          <w:p w:rsidR="00F47D7B" w:rsidRDefault="00F47D7B" w:rsidP="00D671D6">
            <w:pPr>
              <w:pStyle w:val="DefaultText"/>
              <w:keepNext/>
              <w:jc w:val="center"/>
              <w:rPr>
                <w:sz w:val="18"/>
              </w:rPr>
            </w:pPr>
            <w:r>
              <w:rPr>
                <w:sz w:val="18"/>
              </w:rPr>
              <w:t>68.0</w:t>
            </w:r>
          </w:p>
        </w:tc>
      </w:tr>
      <w:tr w:rsidR="00E44F87" w:rsidTr="00E15C39">
        <w:trPr>
          <w:cantSplit/>
          <w:jc w:val="center"/>
        </w:trPr>
        <w:tc>
          <w:tcPr>
            <w:tcW w:w="8499" w:type="dxa"/>
            <w:gridSpan w:val="6"/>
          </w:tcPr>
          <w:p w:rsidR="00E44F87" w:rsidRDefault="00E44F87" w:rsidP="00D671D6">
            <w:pPr>
              <w:pStyle w:val="DefaultText"/>
              <w:keepNext/>
              <w:rPr>
                <w:sz w:val="16"/>
              </w:rPr>
            </w:pPr>
            <w:r>
              <w:rPr>
                <w:rFonts w:cs="Arial"/>
                <w:sz w:val="16"/>
                <w:vertAlign w:val="superscript"/>
              </w:rPr>
              <w:t>a</w:t>
            </w:r>
            <w:r>
              <w:rPr>
                <w:rFonts w:cs="Arial"/>
                <w:sz w:val="16"/>
              </w:rPr>
              <w:t xml:space="preserve"> p&lt;0.001, Humira vs. placebo</w:t>
            </w:r>
          </w:p>
        </w:tc>
      </w:tr>
    </w:tbl>
    <w:p w:rsidR="00E44F87" w:rsidRDefault="00E44F87">
      <w:pPr>
        <w:rPr>
          <w:rFonts w:ascii="Arial" w:hAnsi="Arial" w:cs="Arial"/>
          <w:sz w:val="18"/>
        </w:rPr>
      </w:pPr>
    </w:p>
    <w:p w:rsidR="00E44F87" w:rsidRDefault="00E44F87">
      <w:pPr>
        <w:rPr>
          <w:rFonts w:ascii="Arial" w:hAnsi="Arial" w:cs="Arial"/>
          <w:sz w:val="18"/>
        </w:rPr>
      </w:pPr>
    </w:p>
    <w:p w:rsidR="00305845" w:rsidRDefault="00305845">
      <w:pPr>
        <w:rPr>
          <w:rFonts w:ascii="Arial" w:hAnsi="Arial" w:cs="Arial"/>
          <w:sz w:val="18"/>
        </w:rPr>
      </w:pPr>
    </w:p>
    <w:tbl>
      <w:tblPr>
        <w:tblW w:w="7046" w:type="dxa"/>
        <w:jc w:val="center"/>
        <w:tblInd w:w="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1668"/>
        <w:gridCol w:w="1347"/>
        <w:gridCol w:w="2392"/>
      </w:tblGrid>
      <w:tr w:rsidR="00E44F87">
        <w:trPr>
          <w:cantSplit/>
          <w:jc w:val="center"/>
        </w:trPr>
        <w:tc>
          <w:tcPr>
            <w:tcW w:w="7046" w:type="dxa"/>
            <w:gridSpan w:val="4"/>
            <w:tcBorders>
              <w:top w:val="nil"/>
              <w:left w:val="nil"/>
              <w:bottom w:val="single" w:sz="4" w:space="0" w:color="auto"/>
              <w:right w:val="nil"/>
            </w:tcBorders>
          </w:tcPr>
          <w:p w:rsidR="00305845" w:rsidRDefault="00305845" w:rsidP="00305845">
            <w:pPr>
              <w:pStyle w:val="DefaultText"/>
              <w:rPr>
                <w:b/>
                <w:bCs w:val="0"/>
                <w:sz w:val="20"/>
              </w:rPr>
            </w:pPr>
          </w:p>
          <w:p w:rsidR="00E44F87" w:rsidRDefault="00E44F87">
            <w:pPr>
              <w:pStyle w:val="DefaultText"/>
              <w:jc w:val="center"/>
              <w:rPr>
                <w:b/>
                <w:bCs w:val="0"/>
                <w:sz w:val="20"/>
              </w:rPr>
            </w:pPr>
            <w:r>
              <w:rPr>
                <w:b/>
                <w:bCs w:val="0"/>
                <w:sz w:val="20"/>
              </w:rPr>
              <w:t>Table</w:t>
            </w:r>
            <w:r>
              <w:rPr>
                <w:b/>
                <w:bCs w:val="0"/>
                <w:color w:val="FF0000"/>
                <w:sz w:val="20"/>
              </w:rPr>
              <w:t xml:space="preserve"> </w:t>
            </w:r>
            <w:r w:rsidR="00305845">
              <w:rPr>
                <w:b/>
                <w:bCs w:val="0"/>
                <w:sz w:val="20"/>
              </w:rPr>
              <w:t>23</w:t>
            </w:r>
            <w:r>
              <w:rPr>
                <w:b/>
                <w:bCs w:val="0"/>
                <w:sz w:val="20"/>
              </w:rPr>
              <w:t>: Ps Study II (M04-716)</w:t>
            </w:r>
          </w:p>
          <w:p w:rsidR="00E44F87" w:rsidRDefault="00E44F87">
            <w:pPr>
              <w:pStyle w:val="DefaultText"/>
              <w:jc w:val="center"/>
            </w:pPr>
            <w:r>
              <w:rPr>
                <w:b/>
                <w:bCs w:val="0"/>
                <w:sz w:val="20"/>
              </w:rPr>
              <w:t>Efficacy Results at 16 Weeks (Percent of Patients)</w:t>
            </w:r>
          </w:p>
        </w:tc>
      </w:tr>
      <w:tr w:rsidR="00E44F87">
        <w:trPr>
          <w:cantSplit/>
          <w:jc w:val="center"/>
        </w:trPr>
        <w:tc>
          <w:tcPr>
            <w:tcW w:w="1639" w:type="dxa"/>
            <w:tcBorders>
              <w:top w:val="single" w:sz="4" w:space="0" w:color="auto"/>
            </w:tcBorders>
          </w:tcPr>
          <w:p w:rsidR="00E44F87" w:rsidRDefault="00E44F87">
            <w:pPr>
              <w:pStyle w:val="DefaultText"/>
              <w:jc w:val="center"/>
              <w:rPr>
                <w:b/>
                <w:bCs w:val="0"/>
                <w:sz w:val="18"/>
              </w:rPr>
            </w:pPr>
          </w:p>
        </w:tc>
        <w:tc>
          <w:tcPr>
            <w:tcW w:w="1668" w:type="dxa"/>
            <w:tcBorders>
              <w:top w:val="single" w:sz="4" w:space="0" w:color="auto"/>
            </w:tcBorders>
            <w:vAlign w:val="center"/>
          </w:tcPr>
          <w:p w:rsidR="00E44F87" w:rsidRDefault="00E44F87">
            <w:pPr>
              <w:pStyle w:val="DefaultText"/>
              <w:jc w:val="center"/>
              <w:rPr>
                <w:b/>
                <w:bCs w:val="0"/>
                <w:sz w:val="18"/>
              </w:rPr>
            </w:pPr>
            <w:r>
              <w:rPr>
                <w:b/>
                <w:bCs w:val="0"/>
                <w:sz w:val="18"/>
              </w:rPr>
              <w:t>Placebo</w:t>
            </w:r>
          </w:p>
          <w:p w:rsidR="00E44F87" w:rsidRDefault="00E44F87">
            <w:pPr>
              <w:pStyle w:val="DefaultText"/>
              <w:jc w:val="center"/>
              <w:rPr>
                <w:b/>
                <w:bCs w:val="0"/>
                <w:sz w:val="18"/>
              </w:rPr>
            </w:pPr>
            <w:r>
              <w:rPr>
                <w:b/>
                <w:bCs w:val="0"/>
                <w:sz w:val="18"/>
              </w:rPr>
              <w:t>N=53</w:t>
            </w:r>
          </w:p>
        </w:tc>
        <w:tc>
          <w:tcPr>
            <w:tcW w:w="1347" w:type="dxa"/>
            <w:tcBorders>
              <w:top w:val="single" w:sz="4" w:space="0" w:color="auto"/>
            </w:tcBorders>
            <w:vAlign w:val="center"/>
          </w:tcPr>
          <w:p w:rsidR="00E44F87" w:rsidRDefault="00E44F87">
            <w:pPr>
              <w:pStyle w:val="DefaultText"/>
              <w:jc w:val="center"/>
              <w:rPr>
                <w:b/>
                <w:bCs w:val="0"/>
                <w:sz w:val="18"/>
              </w:rPr>
            </w:pPr>
            <w:r>
              <w:rPr>
                <w:b/>
                <w:bCs w:val="0"/>
                <w:sz w:val="18"/>
              </w:rPr>
              <w:t>MTX</w:t>
            </w:r>
          </w:p>
          <w:p w:rsidR="00E44F87" w:rsidRDefault="00E44F87">
            <w:pPr>
              <w:pStyle w:val="DefaultText"/>
              <w:jc w:val="center"/>
              <w:rPr>
                <w:b/>
                <w:bCs w:val="0"/>
                <w:sz w:val="18"/>
              </w:rPr>
            </w:pPr>
            <w:r>
              <w:rPr>
                <w:b/>
                <w:bCs w:val="0"/>
                <w:sz w:val="18"/>
              </w:rPr>
              <w:t>N=110</w:t>
            </w:r>
          </w:p>
        </w:tc>
        <w:tc>
          <w:tcPr>
            <w:tcW w:w="2392" w:type="dxa"/>
            <w:tcBorders>
              <w:top w:val="single" w:sz="4" w:space="0" w:color="auto"/>
            </w:tcBorders>
            <w:vAlign w:val="center"/>
          </w:tcPr>
          <w:p w:rsidR="00E44F87" w:rsidRDefault="00E44F87">
            <w:pPr>
              <w:pStyle w:val="DefaultText"/>
              <w:jc w:val="center"/>
              <w:rPr>
                <w:b/>
                <w:bCs w:val="0"/>
                <w:sz w:val="18"/>
              </w:rPr>
            </w:pPr>
            <w:r>
              <w:rPr>
                <w:b/>
                <w:bCs w:val="0"/>
                <w:sz w:val="18"/>
              </w:rPr>
              <w:t xml:space="preserve">Humira 40 mg </w:t>
            </w:r>
            <w:r w:rsidR="004961DF">
              <w:rPr>
                <w:b/>
                <w:bCs w:val="0"/>
                <w:sz w:val="18"/>
              </w:rPr>
              <w:t>fortnightly</w:t>
            </w:r>
          </w:p>
          <w:p w:rsidR="00E44F87" w:rsidRDefault="00E44F87">
            <w:pPr>
              <w:pStyle w:val="DefaultText"/>
              <w:jc w:val="center"/>
              <w:rPr>
                <w:b/>
                <w:bCs w:val="0"/>
                <w:sz w:val="18"/>
              </w:rPr>
            </w:pPr>
            <w:r>
              <w:rPr>
                <w:b/>
                <w:bCs w:val="0"/>
                <w:sz w:val="18"/>
              </w:rPr>
              <w:t>N=108</w:t>
            </w:r>
          </w:p>
        </w:tc>
      </w:tr>
      <w:tr w:rsidR="00E44F87">
        <w:trPr>
          <w:cantSplit/>
          <w:jc w:val="center"/>
        </w:trPr>
        <w:tc>
          <w:tcPr>
            <w:tcW w:w="1639" w:type="dxa"/>
          </w:tcPr>
          <w:p w:rsidR="00E44F87" w:rsidRDefault="00E44F87">
            <w:pPr>
              <w:pStyle w:val="DefaultText"/>
              <w:rPr>
                <w:b/>
                <w:bCs w:val="0"/>
                <w:sz w:val="18"/>
              </w:rPr>
            </w:pPr>
            <w:r>
              <w:rPr>
                <w:b/>
                <w:bCs w:val="0"/>
                <w:sz w:val="18"/>
              </w:rPr>
              <w:t xml:space="preserve">    </w:t>
            </w:r>
            <w:r>
              <w:rPr>
                <w:b/>
                <w:bCs w:val="0"/>
                <w:sz w:val="18"/>
              </w:rPr>
              <w:sym w:font="Symbol" w:char="F0B3"/>
            </w:r>
            <w:r>
              <w:rPr>
                <w:b/>
                <w:bCs w:val="0"/>
                <w:sz w:val="18"/>
              </w:rPr>
              <w:t>PASI 75</w:t>
            </w:r>
          </w:p>
        </w:tc>
        <w:tc>
          <w:tcPr>
            <w:tcW w:w="1668" w:type="dxa"/>
          </w:tcPr>
          <w:p w:rsidR="00E44F87" w:rsidRDefault="00E44F87">
            <w:pPr>
              <w:pStyle w:val="DefaultText"/>
              <w:jc w:val="center"/>
              <w:rPr>
                <w:sz w:val="18"/>
              </w:rPr>
            </w:pPr>
            <w:r>
              <w:rPr>
                <w:sz w:val="18"/>
              </w:rPr>
              <w:t>18.9</w:t>
            </w:r>
          </w:p>
        </w:tc>
        <w:tc>
          <w:tcPr>
            <w:tcW w:w="1347" w:type="dxa"/>
          </w:tcPr>
          <w:p w:rsidR="00E44F87" w:rsidRDefault="00E44F87">
            <w:pPr>
              <w:pStyle w:val="DefaultText"/>
              <w:jc w:val="center"/>
              <w:rPr>
                <w:sz w:val="18"/>
              </w:rPr>
            </w:pPr>
            <w:r>
              <w:rPr>
                <w:sz w:val="18"/>
              </w:rPr>
              <w:t>35.5</w:t>
            </w:r>
          </w:p>
        </w:tc>
        <w:tc>
          <w:tcPr>
            <w:tcW w:w="2392" w:type="dxa"/>
          </w:tcPr>
          <w:p w:rsidR="00E44F87" w:rsidRDefault="00E44F87">
            <w:pPr>
              <w:pStyle w:val="DefaultText"/>
              <w:jc w:val="center"/>
              <w:rPr>
                <w:sz w:val="18"/>
              </w:rPr>
            </w:pPr>
            <w:r>
              <w:rPr>
                <w:sz w:val="18"/>
              </w:rPr>
              <w:t>79.6</w:t>
            </w:r>
            <w:r>
              <w:rPr>
                <w:sz w:val="18"/>
                <w:vertAlign w:val="superscript"/>
              </w:rPr>
              <w:t xml:space="preserve"> a, b</w:t>
            </w:r>
          </w:p>
        </w:tc>
      </w:tr>
      <w:tr w:rsidR="00E44F87">
        <w:trPr>
          <w:cantSplit/>
          <w:jc w:val="center"/>
        </w:trPr>
        <w:tc>
          <w:tcPr>
            <w:tcW w:w="1639" w:type="dxa"/>
          </w:tcPr>
          <w:p w:rsidR="00E44F87" w:rsidRDefault="00E44F87">
            <w:pPr>
              <w:pStyle w:val="DefaultText"/>
              <w:rPr>
                <w:b/>
                <w:bCs w:val="0"/>
                <w:sz w:val="18"/>
              </w:rPr>
            </w:pPr>
            <w:r>
              <w:rPr>
                <w:b/>
                <w:bCs w:val="0"/>
                <w:sz w:val="18"/>
              </w:rPr>
              <w:t xml:space="preserve">    PASI 100</w:t>
            </w:r>
          </w:p>
        </w:tc>
        <w:tc>
          <w:tcPr>
            <w:tcW w:w="1668" w:type="dxa"/>
          </w:tcPr>
          <w:p w:rsidR="00E44F87" w:rsidRDefault="00E44F87">
            <w:pPr>
              <w:pStyle w:val="DefaultText"/>
              <w:jc w:val="center"/>
              <w:rPr>
                <w:sz w:val="18"/>
              </w:rPr>
            </w:pPr>
            <w:r>
              <w:rPr>
                <w:sz w:val="18"/>
              </w:rPr>
              <w:t>1.9</w:t>
            </w:r>
          </w:p>
        </w:tc>
        <w:tc>
          <w:tcPr>
            <w:tcW w:w="1347" w:type="dxa"/>
          </w:tcPr>
          <w:p w:rsidR="00E44F87" w:rsidRDefault="00E44F87">
            <w:pPr>
              <w:pStyle w:val="DefaultText"/>
              <w:jc w:val="center"/>
              <w:rPr>
                <w:sz w:val="18"/>
              </w:rPr>
            </w:pPr>
            <w:r>
              <w:rPr>
                <w:sz w:val="18"/>
              </w:rPr>
              <w:t>7.3</w:t>
            </w:r>
          </w:p>
        </w:tc>
        <w:tc>
          <w:tcPr>
            <w:tcW w:w="2392" w:type="dxa"/>
          </w:tcPr>
          <w:p w:rsidR="00E44F87" w:rsidRDefault="00E44F87">
            <w:pPr>
              <w:pStyle w:val="DefaultText"/>
              <w:jc w:val="center"/>
              <w:rPr>
                <w:sz w:val="18"/>
              </w:rPr>
            </w:pPr>
            <w:r>
              <w:rPr>
                <w:sz w:val="18"/>
              </w:rPr>
              <w:t xml:space="preserve">16.7 </w:t>
            </w:r>
            <w:r>
              <w:rPr>
                <w:sz w:val="18"/>
                <w:vertAlign w:val="superscript"/>
              </w:rPr>
              <w:t>c,d</w:t>
            </w:r>
          </w:p>
        </w:tc>
      </w:tr>
      <w:tr w:rsidR="00E44F87">
        <w:trPr>
          <w:cantSplit/>
          <w:jc w:val="center"/>
        </w:trPr>
        <w:tc>
          <w:tcPr>
            <w:tcW w:w="1639" w:type="dxa"/>
          </w:tcPr>
          <w:p w:rsidR="00E44F87" w:rsidRDefault="00E44F87">
            <w:pPr>
              <w:pStyle w:val="DefaultText"/>
              <w:rPr>
                <w:b/>
                <w:bCs w:val="0"/>
                <w:sz w:val="18"/>
              </w:rPr>
            </w:pPr>
            <w:r>
              <w:rPr>
                <w:b/>
                <w:bCs w:val="0"/>
                <w:sz w:val="18"/>
              </w:rPr>
              <w:t xml:space="preserve">    PGA</w:t>
            </w:r>
            <w:r>
              <w:rPr>
                <w:b/>
                <w:bCs w:val="0"/>
                <w:sz w:val="16"/>
              </w:rPr>
              <w:t xml:space="preserve">: </w:t>
            </w:r>
            <w:r>
              <w:rPr>
                <w:b/>
                <w:bCs w:val="0"/>
                <w:sz w:val="18"/>
              </w:rPr>
              <w:t>Clear/minimal</w:t>
            </w:r>
          </w:p>
        </w:tc>
        <w:tc>
          <w:tcPr>
            <w:tcW w:w="1668" w:type="dxa"/>
          </w:tcPr>
          <w:p w:rsidR="00E44F87" w:rsidRDefault="00E44F87">
            <w:pPr>
              <w:pStyle w:val="DefaultText"/>
              <w:jc w:val="center"/>
              <w:rPr>
                <w:sz w:val="18"/>
              </w:rPr>
            </w:pPr>
            <w:r>
              <w:rPr>
                <w:sz w:val="18"/>
              </w:rPr>
              <w:t>11.3</w:t>
            </w:r>
          </w:p>
        </w:tc>
        <w:tc>
          <w:tcPr>
            <w:tcW w:w="1347" w:type="dxa"/>
          </w:tcPr>
          <w:p w:rsidR="00E44F87" w:rsidRDefault="00E44F87">
            <w:pPr>
              <w:pStyle w:val="DefaultText"/>
              <w:jc w:val="center"/>
              <w:rPr>
                <w:sz w:val="18"/>
              </w:rPr>
            </w:pPr>
            <w:r>
              <w:rPr>
                <w:sz w:val="18"/>
              </w:rPr>
              <w:t>30.0</w:t>
            </w:r>
          </w:p>
        </w:tc>
        <w:tc>
          <w:tcPr>
            <w:tcW w:w="2392" w:type="dxa"/>
          </w:tcPr>
          <w:p w:rsidR="00E44F87" w:rsidRDefault="00E44F87">
            <w:pPr>
              <w:pStyle w:val="DefaultText"/>
              <w:jc w:val="center"/>
              <w:rPr>
                <w:sz w:val="18"/>
              </w:rPr>
            </w:pPr>
            <w:r>
              <w:rPr>
                <w:sz w:val="18"/>
              </w:rPr>
              <w:t>73.1</w:t>
            </w:r>
            <w:r>
              <w:rPr>
                <w:sz w:val="18"/>
                <w:vertAlign w:val="superscript"/>
              </w:rPr>
              <w:t xml:space="preserve"> a, b</w:t>
            </w:r>
          </w:p>
        </w:tc>
      </w:tr>
      <w:tr w:rsidR="00E44F87">
        <w:trPr>
          <w:cantSplit/>
          <w:jc w:val="center"/>
        </w:trPr>
        <w:tc>
          <w:tcPr>
            <w:tcW w:w="7046" w:type="dxa"/>
            <w:gridSpan w:val="4"/>
          </w:tcPr>
          <w:p w:rsidR="00E44F87" w:rsidRDefault="00E44F87">
            <w:pPr>
              <w:pStyle w:val="DefaultText"/>
              <w:rPr>
                <w:rFonts w:cs="Arial"/>
                <w:sz w:val="16"/>
              </w:rPr>
            </w:pPr>
            <w:r>
              <w:rPr>
                <w:rFonts w:cs="Arial"/>
                <w:sz w:val="20"/>
                <w:vertAlign w:val="superscript"/>
              </w:rPr>
              <w:t>a</w:t>
            </w:r>
            <w:r>
              <w:rPr>
                <w:rFonts w:cs="Arial"/>
                <w:sz w:val="20"/>
              </w:rPr>
              <w:t xml:space="preserve"> </w:t>
            </w:r>
            <w:r>
              <w:rPr>
                <w:rFonts w:cs="Arial"/>
                <w:sz w:val="16"/>
              </w:rPr>
              <w:t>p&lt;0.001, Humira vs. placebo</w:t>
            </w:r>
          </w:p>
          <w:p w:rsidR="00E44F87" w:rsidRDefault="00E44F87">
            <w:pPr>
              <w:pStyle w:val="DefaultText"/>
              <w:rPr>
                <w:rFonts w:cs="Arial"/>
                <w:sz w:val="16"/>
              </w:rPr>
            </w:pPr>
            <w:r>
              <w:rPr>
                <w:rFonts w:cs="Arial"/>
                <w:sz w:val="20"/>
                <w:vertAlign w:val="superscript"/>
              </w:rPr>
              <w:t>b</w:t>
            </w:r>
            <w:r>
              <w:rPr>
                <w:rFonts w:cs="Arial"/>
                <w:sz w:val="16"/>
              </w:rPr>
              <w:t xml:space="preserve"> p&lt;0.001 Humira vs. methotrexate</w:t>
            </w:r>
          </w:p>
          <w:p w:rsidR="00E44F87" w:rsidRDefault="00E44F87">
            <w:pPr>
              <w:pStyle w:val="DefaultText"/>
              <w:rPr>
                <w:rFonts w:cs="Arial"/>
                <w:sz w:val="16"/>
              </w:rPr>
            </w:pPr>
            <w:r>
              <w:rPr>
                <w:rFonts w:cs="Arial"/>
                <w:sz w:val="16"/>
                <w:vertAlign w:val="superscript"/>
              </w:rPr>
              <w:t>c</w:t>
            </w:r>
            <w:r>
              <w:rPr>
                <w:rFonts w:cs="Arial"/>
                <w:sz w:val="16"/>
              </w:rPr>
              <w:t xml:space="preserve"> p&lt; 0.01 Humira vs. placebo</w:t>
            </w:r>
          </w:p>
          <w:p w:rsidR="00E44F87" w:rsidRDefault="00E44F87">
            <w:pPr>
              <w:pStyle w:val="DefaultText"/>
              <w:rPr>
                <w:sz w:val="18"/>
              </w:rPr>
            </w:pPr>
            <w:r>
              <w:rPr>
                <w:rFonts w:cs="Arial"/>
                <w:sz w:val="16"/>
                <w:vertAlign w:val="superscript"/>
              </w:rPr>
              <w:t>d</w:t>
            </w:r>
            <w:r>
              <w:rPr>
                <w:rFonts w:cs="Arial"/>
                <w:sz w:val="16"/>
              </w:rPr>
              <w:t xml:space="preserve"> p&lt; 0.05 Humira vs. methotrexate</w:t>
            </w:r>
          </w:p>
        </w:tc>
      </w:tr>
    </w:tbl>
    <w:p w:rsidR="00E44F87" w:rsidRDefault="00E44F87">
      <w:pPr>
        <w:rPr>
          <w:rFonts w:cs="Arial"/>
          <w:b/>
          <w:bCs/>
          <w:szCs w:val="22"/>
          <w:u w:val="double"/>
        </w:rPr>
      </w:pPr>
    </w:p>
    <w:p w:rsidR="002B22BD" w:rsidRDefault="001D4C44">
      <w:pPr>
        <w:jc w:val="both"/>
        <w:rPr>
          <w:rFonts w:ascii="Arial" w:hAnsi="Arial" w:cs="Arial"/>
          <w:bCs/>
          <w:sz w:val="20"/>
          <w:szCs w:val="22"/>
        </w:rPr>
      </w:pPr>
      <w:r>
        <w:rPr>
          <w:rFonts w:ascii="Arial" w:hAnsi="Arial" w:cs="Arial"/>
          <w:bCs/>
          <w:sz w:val="20"/>
          <w:szCs w:val="22"/>
        </w:rPr>
        <w:t>T</w:t>
      </w:r>
      <w:r w:rsidR="002B22BD">
        <w:rPr>
          <w:rFonts w:ascii="Arial" w:hAnsi="Arial" w:cs="Arial"/>
          <w:bCs/>
          <w:sz w:val="20"/>
          <w:szCs w:val="22"/>
        </w:rPr>
        <w:t xml:space="preserve">wo </w:t>
      </w:r>
      <w:r>
        <w:rPr>
          <w:rFonts w:ascii="Arial" w:hAnsi="Arial" w:cs="Arial"/>
          <w:bCs/>
          <w:sz w:val="20"/>
          <w:szCs w:val="22"/>
        </w:rPr>
        <w:t xml:space="preserve">of the </w:t>
      </w:r>
      <w:r w:rsidR="002B22BD">
        <w:rPr>
          <w:rFonts w:ascii="Arial" w:hAnsi="Arial" w:cs="Arial"/>
          <w:bCs/>
          <w:sz w:val="20"/>
          <w:szCs w:val="22"/>
        </w:rPr>
        <w:t xml:space="preserve">continuous treatment populations entering trial M03-658 </w:t>
      </w:r>
      <w:r>
        <w:rPr>
          <w:rFonts w:ascii="Arial" w:hAnsi="Arial" w:cs="Arial"/>
          <w:bCs/>
          <w:sz w:val="20"/>
          <w:szCs w:val="22"/>
        </w:rPr>
        <w:t xml:space="preserve">were </w:t>
      </w:r>
      <w:r w:rsidR="002B22BD">
        <w:rPr>
          <w:rFonts w:ascii="Arial" w:hAnsi="Arial" w:cs="Arial"/>
          <w:bCs/>
          <w:sz w:val="20"/>
          <w:szCs w:val="22"/>
        </w:rPr>
        <w:t>those from Period C of Study I and those from Study II.</w:t>
      </w:r>
    </w:p>
    <w:p w:rsidR="002B22BD" w:rsidRDefault="002B22BD">
      <w:pPr>
        <w:jc w:val="both"/>
        <w:rPr>
          <w:rFonts w:ascii="Arial" w:hAnsi="Arial" w:cs="Arial"/>
          <w:bCs/>
          <w:sz w:val="20"/>
          <w:szCs w:val="22"/>
        </w:rPr>
      </w:pPr>
    </w:p>
    <w:p w:rsidR="002B22BD" w:rsidRDefault="002B22BD">
      <w:pPr>
        <w:jc w:val="both"/>
        <w:rPr>
          <w:rFonts w:ascii="Arial" w:hAnsi="Arial" w:cs="Arial"/>
          <w:bCs/>
          <w:sz w:val="20"/>
          <w:szCs w:val="22"/>
        </w:rPr>
      </w:pPr>
      <w:r>
        <w:rPr>
          <w:rFonts w:ascii="Arial" w:hAnsi="Arial" w:cs="Arial"/>
          <w:bCs/>
          <w:sz w:val="20"/>
          <w:szCs w:val="22"/>
        </w:rPr>
        <w:t xml:space="preserve">250 subjects in the Humira group in Period C of Study I achieved PASI 75 at Weeks 16 and 33 and received continuous Humira therapy at 40 mg fortnightly for </w:t>
      </w:r>
      <w:r w:rsidR="001A5A56">
        <w:rPr>
          <w:rFonts w:ascii="Arial" w:hAnsi="Arial" w:cs="Arial"/>
          <w:bCs/>
          <w:sz w:val="20"/>
          <w:szCs w:val="22"/>
        </w:rPr>
        <w:t xml:space="preserve">up to </w:t>
      </w:r>
      <w:r>
        <w:rPr>
          <w:rFonts w:ascii="Arial" w:hAnsi="Arial" w:cs="Arial"/>
          <w:bCs/>
          <w:sz w:val="20"/>
          <w:szCs w:val="22"/>
        </w:rPr>
        <w:t>52 weeks. Of these, 233 entered the extension trial M03-658</w:t>
      </w:r>
      <w:r w:rsidR="001A5A56">
        <w:rPr>
          <w:rFonts w:ascii="Arial" w:hAnsi="Arial" w:cs="Arial"/>
          <w:bCs/>
          <w:sz w:val="20"/>
          <w:szCs w:val="22"/>
        </w:rPr>
        <w:t xml:space="preserve"> and the proportion of patients with PGA of </w:t>
      </w:r>
      <w:r w:rsidR="00B66E19">
        <w:rPr>
          <w:rFonts w:ascii="Arial" w:hAnsi="Arial" w:cs="Arial"/>
          <w:bCs/>
          <w:sz w:val="20"/>
          <w:szCs w:val="22"/>
        </w:rPr>
        <w:t>“</w:t>
      </w:r>
      <w:r w:rsidR="001A5A56">
        <w:rPr>
          <w:rFonts w:ascii="Arial" w:hAnsi="Arial" w:cs="Arial"/>
          <w:bCs/>
          <w:sz w:val="20"/>
          <w:szCs w:val="22"/>
        </w:rPr>
        <w:t>clear or minimal</w:t>
      </w:r>
      <w:r w:rsidR="00B66E19">
        <w:rPr>
          <w:rFonts w:ascii="Arial" w:hAnsi="Arial" w:cs="Arial"/>
          <w:bCs/>
          <w:sz w:val="20"/>
          <w:szCs w:val="22"/>
        </w:rPr>
        <w:t>”</w:t>
      </w:r>
      <w:r w:rsidR="001A5A56">
        <w:rPr>
          <w:rFonts w:ascii="Arial" w:hAnsi="Arial" w:cs="Arial"/>
          <w:bCs/>
          <w:sz w:val="20"/>
          <w:szCs w:val="22"/>
        </w:rPr>
        <w:t xml:space="preserve"> response was 70.0%</w:t>
      </w:r>
      <w:r>
        <w:rPr>
          <w:rFonts w:ascii="Arial" w:hAnsi="Arial" w:cs="Arial"/>
          <w:bCs/>
          <w:sz w:val="20"/>
          <w:szCs w:val="22"/>
        </w:rPr>
        <w:t xml:space="preserve"> </w:t>
      </w:r>
      <w:r w:rsidR="005D0D53">
        <w:rPr>
          <w:rFonts w:ascii="Arial" w:hAnsi="Arial" w:cs="Arial"/>
          <w:bCs/>
          <w:sz w:val="20"/>
          <w:szCs w:val="22"/>
        </w:rPr>
        <w:t>a</w:t>
      </w:r>
      <w:r>
        <w:rPr>
          <w:rFonts w:ascii="Arial" w:hAnsi="Arial" w:cs="Arial"/>
          <w:bCs/>
          <w:sz w:val="20"/>
          <w:szCs w:val="22"/>
        </w:rPr>
        <w:t>t entry to the extension trial (52 weeks Humira treatment), 73.4% after 76 weeks treatment</w:t>
      </w:r>
      <w:r w:rsidR="004E079B">
        <w:rPr>
          <w:rFonts w:ascii="Arial" w:hAnsi="Arial" w:cs="Arial"/>
          <w:bCs/>
          <w:sz w:val="20"/>
          <w:szCs w:val="22"/>
        </w:rPr>
        <w:t>,</w:t>
      </w:r>
      <w:r>
        <w:rPr>
          <w:rFonts w:ascii="Arial" w:hAnsi="Arial" w:cs="Arial"/>
          <w:bCs/>
          <w:sz w:val="20"/>
          <w:szCs w:val="22"/>
        </w:rPr>
        <w:t xml:space="preserve"> and 59</w:t>
      </w:r>
      <w:r w:rsidR="00B66E19">
        <w:rPr>
          <w:rFonts w:ascii="Arial" w:hAnsi="Arial" w:cs="Arial"/>
          <w:bCs/>
          <w:sz w:val="20"/>
          <w:szCs w:val="22"/>
        </w:rPr>
        <w:t>.0</w:t>
      </w:r>
      <w:r>
        <w:rPr>
          <w:rFonts w:ascii="Arial" w:hAnsi="Arial" w:cs="Arial"/>
          <w:bCs/>
          <w:sz w:val="20"/>
          <w:szCs w:val="22"/>
        </w:rPr>
        <w:t>% after 160 weeks treatment</w:t>
      </w:r>
      <w:r w:rsidR="007D2A32">
        <w:rPr>
          <w:rFonts w:ascii="Arial" w:hAnsi="Arial" w:cs="Arial"/>
          <w:bCs/>
          <w:sz w:val="20"/>
          <w:szCs w:val="22"/>
        </w:rPr>
        <w:t>. The corresponding percentages for PASI 75 were 83.7% at entry, 86.5% after 76 weeks treatment</w:t>
      </w:r>
      <w:r w:rsidR="004E079B">
        <w:rPr>
          <w:rFonts w:ascii="Arial" w:hAnsi="Arial" w:cs="Arial"/>
          <w:bCs/>
          <w:sz w:val="20"/>
          <w:szCs w:val="22"/>
        </w:rPr>
        <w:t>,</w:t>
      </w:r>
      <w:r w:rsidR="007D2A32">
        <w:rPr>
          <w:rFonts w:ascii="Arial" w:hAnsi="Arial" w:cs="Arial"/>
          <w:bCs/>
          <w:sz w:val="20"/>
          <w:szCs w:val="22"/>
        </w:rPr>
        <w:t xml:space="preserve"> and 74.</w:t>
      </w:r>
      <w:r w:rsidR="004E079B">
        <w:rPr>
          <w:rFonts w:ascii="Arial" w:hAnsi="Arial" w:cs="Arial"/>
          <w:bCs/>
          <w:sz w:val="20"/>
          <w:szCs w:val="22"/>
        </w:rPr>
        <w:t>7</w:t>
      </w:r>
      <w:r w:rsidR="007D2A32">
        <w:rPr>
          <w:rFonts w:ascii="Arial" w:hAnsi="Arial" w:cs="Arial"/>
          <w:bCs/>
          <w:sz w:val="20"/>
          <w:szCs w:val="22"/>
        </w:rPr>
        <w:t>% after 160 weeks treatment.</w:t>
      </w:r>
    </w:p>
    <w:p w:rsidR="007D2A32" w:rsidRDefault="007D2A32">
      <w:pPr>
        <w:jc w:val="both"/>
        <w:rPr>
          <w:rFonts w:ascii="Arial" w:hAnsi="Arial" w:cs="Arial"/>
          <w:bCs/>
          <w:sz w:val="20"/>
          <w:szCs w:val="22"/>
        </w:rPr>
      </w:pPr>
    </w:p>
    <w:p w:rsidR="007D2A32" w:rsidRDefault="007D2A32">
      <w:pPr>
        <w:jc w:val="both"/>
        <w:rPr>
          <w:rFonts w:ascii="Arial" w:hAnsi="Arial" w:cs="Arial"/>
          <w:bCs/>
          <w:sz w:val="20"/>
          <w:szCs w:val="22"/>
        </w:rPr>
      </w:pPr>
      <w:r>
        <w:rPr>
          <w:rFonts w:ascii="Arial" w:hAnsi="Arial" w:cs="Arial"/>
          <w:bCs/>
          <w:sz w:val="20"/>
          <w:szCs w:val="22"/>
        </w:rPr>
        <w:t>108 subjects in the Humira group of Study II received continuous Humira therapy at 40 mg fortnightly for 16 weeks. Of these, 94 entered the extension trial M03-658</w:t>
      </w:r>
      <w:r w:rsidR="00175DB5">
        <w:rPr>
          <w:rFonts w:ascii="Arial" w:hAnsi="Arial" w:cs="Arial"/>
          <w:bCs/>
          <w:sz w:val="20"/>
          <w:szCs w:val="22"/>
        </w:rPr>
        <w:t>,</w:t>
      </w:r>
      <w:r>
        <w:rPr>
          <w:rFonts w:ascii="Arial" w:hAnsi="Arial" w:cs="Arial"/>
          <w:bCs/>
          <w:sz w:val="20"/>
          <w:szCs w:val="22"/>
        </w:rPr>
        <w:t xml:space="preserve"> </w:t>
      </w:r>
      <w:r w:rsidR="00B66E19">
        <w:rPr>
          <w:rFonts w:ascii="Arial" w:hAnsi="Arial" w:cs="Arial"/>
          <w:bCs/>
          <w:sz w:val="20"/>
          <w:szCs w:val="22"/>
        </w:rPr>
        <w:t xml:space="preserve">and the proportion of </w:t>
      </w:r>
      <w:r w:rsidR="00C63177">
        <w:rPr>
          <w:rFonts w:ascii="Arial" w:hAnsi="Arial" w:cs="Arial"/>
          <w:bCs/>
          <w:sz w:val="20"/>
          <w:szCs w:val="22"/>
        </w:rPr>
        <w:t xml:space="preserve">these </w:t>
      </w:r>
      <w:r w:rsidR="00B66E19">
        <w:rPr>
          <w:rFonts w:ascii="Arial" w:hAnsi="Arial" w:cs="Arial"/>
          <w:bCs/>
          <w:sz w:val="20"/>
          <w:szCs w:val="22"/>
        </w:rPr>
        <w:t>patients with PGA of “clear or minimal”</w:t>
      </w:r>
      <w:r w:rsidR="003E5D8D">
        <w:rPr>
          <w:rFonts w:ascii="Arial" w:hAnsi="Arial" w:cs="Arial"/>
          <w:bCs/>
          <w:sz w:val="20"/>
          <w:szCs w:val="22"/>
        </w:rPr>
        <w:t xml:space="preserve"> response was 68.1% a</w:t>
      </w:r>
      <w:r>
        <w:rPr>
          <w:rFonts w:ascii="Arial" w:hAnsi="Arial" w:cs="Arial"/>
          <w:bCs/>
          <w:sz w:val="20"/>
          <w:szCs w:val="22"/>
        </w:rPr>
        <w:t xml:space="preserve">t entry to the extension trial (16 weeks Humira treatment) </w:t>
      </w:r>
      <w:r w:rsidR="006F0294">
        <w:rPr>
          <w:rFonts w:ascii="Arial" w:hAnsi="Arial" w:cs="Arial"/>
          <w:bCs/>
          <w:sz w:val="20"/>
          <w:szCs w:val="22"/>
        </w:rPr>
        <w:t xml:space="preserve">and </w:t>
      </w:r>
      <w:r>
        <w:rPr>
          <w:rFonts w:ascii="Arial" w:hAnsi="Arial" w:cs="Arial"/>
          <w:bCs/>
          <w:sz w:val="20"/>
          <w:szCs w:val="22"/>
        </w:rPr>
        <w:t>46.2% after 124 weeks treatment. The corresponding percentages for PASI 75 were 74.5% at entry and 58.1% after 124 weeks treatment.</w:t>
      </w:r>
    </w:p>
    <w:p w:rsidR="007D2A32" w:rsidRDefault="007D2A32">
      <w:pPr>
        <w:jc w:val="both"/>
        <w:rPr>
          <w:rFonts w:ascii="Arial" w:hAnsi="Arial" w:cs="Arial"/>
          <w:bCs/>
          <w:sz w:val="20"/>
          <w:szCs w:val="22"/>
        </w:rPr>
      </w:pPr>
    </w:p>
    <w:p w:rsidR="007D2A32" w:rsidRDefault="007D2A32">
      <w:pPr>
        <w:jc w:val="both"/>
        <w:rPr>
          <w:rFonts w:ascii="Arial" w:hAnsi="Arial" w:cs="Arial"/>
          <w:bCs/>
          <w:sz w:val="20"/>
          <w:szCs w:val="22"/>
        </w:rPr>
      </w:pPr>
      <w:r>
        <w:rPr>
          <w:rFonts w:ascii="Arial" w:hAnsi="Arial" w:cs="Arial"/>
          <w:bCs/>
          <w:sz w:val="20"/>
          <w:szCs w:val="22"/>
        </w:rPr>
        <w:t xml:space="preserve">There was a withdrawal and retreatment evaluation in the extension trial (M03-658) after subjects had received at least 2 years of treatment with Humira. A pre-specified evaluable population of stable responders to Humira was assessed after withdrawal of Humira. This population consisted of subjects with stable psoriasis defined as PGA clear or minimal at the last 2 visits at least 12 weeks apart and receiving Humira 40 mg fortnightly </w:t>
      </w:r>
      <w:r w:rsidR="001A6C2D">
        <w:rPr>
          <w:rFonts w:ascii="Arial" w:hAnsi="Arial" w:cs="Arial"/>
          <w:bCs/>
          <w:sz w:val="20"/>
          <w:szCs w:val="22"/>
        </w:rPr>
        <w:t xml:space="preserve">during the last </w:t>
      </w:r>
      <w:r>
        <w:rPr>
          <w:rFonts w:ascii="Arial" w:hAnsi="Arial" w:cs="Arial"/>
          <w:bCs/>
          <w:sz w:val="20"/>
          <w:szCs w:val="22"/>
        </w:rPr>
        <w:t>12 weeks. If subjects relapsed (PGA became moderate or worse) during the withdrawal period, Humira was recommenced at an initial dose of 80 mg and then, from the following week, at 40 mg fortnightly. After 1</w:t>
      </w:r>
      <w:r w:rsidR="00F57501">
        <w:rPr>
          <w:rFonts w:ascii="Arial" w:hAnsi="Arial" w:cs="Arial"/>
          <w:bCs/>
          <w:sz w:val="20"/>
          <w:szCs w:val="22"/>
        </w:rPr>
        <w:t>78</w:t>
      </w:r>
      <w:r>
        <w:rPr>
          <w:rFonts w:ascii="Arial" w:hAnsi="Arial" w:cs="Arial"/>
          <w:bCs/>
          <w:sz w:val="20"/>
          <w:szCs w:val="22"/>
        </w:rPr>
        <w:t xml:space="preserve"> subjects had relapsed</w:t>
      </w:r>
      <w:r w:rsidR="009D0E0C">
        <w:rPr>
          <w:rFonts w:ascii="Arial" w:hAnsi="Arial" w:cs="Arial"/>
          <w:bCs/>
          <w:sz w:val="20"/>
          <w:szCs w:val="22"/>
        </w:rPr>
        <w:t xml:space="preserve"> and recommenced Humira, the remaining subjects who had not relapsed were also eligible for retreatment with Humira.</w:t>
      </w:r>
    </w:p>
    <w:p w:rsidR="009D0E0C" w:rsidRDefault="009D0E0C">
      <w:pPr>
        <w:jc w:val="both"/>
        <w:rPr>
          <w:rFonts w:ascii="Arial" w:hAnsi="Arial" w:cs="Arial"/>
          <w:bCs/>
          <w:sz w:val="20"/>
          <w:szCs w:val="22"/>
        </w:rPr>
      </w:pPr>
    </w:p>
    <w:p w:rsidR="00E44F87" w:rsidRDefault="009D0E0C" w:rsidP="006D0426">
      <w:pPr>
        <w:jc w:val="both"/>
        <w:rPr>
          <w:rFonts w:ascii="Arial" w:hAnsi="Arial" w:cs="Arial"/>
          <w:sz w:val="20"/>
          <w:szCs w:val="22"/>
        </w:rPr>
      </w:pPr>
      <w:r>
        <w:rPr>
          <w:rFonts w:ascii="Arial" w:hAnsi="Arial" w:cs="Arial"/>
          <w:bCs/>
          <w:sz w:val="20"/>
          <w:szCs w:val="22"/>
        </w:rPr>
        <w:t>Of 347 stable responders withdrawn from Humira, 339 had at least one post-baseline evaluation. Approximately half (55.5%) of these subjects relapsed. The median time to relapse was approximately 5 months. None of the subjects experienced rebound of disease</w:t>
      </w:r>
      <w:r w:rsidR="001E271F">
        <w:rPr>
          <w:rFonts w:ascii="Arial" w:hAnsi="Arial" w:cs="Arial"/>
          <w:bCs/>
          <w:sz w:val="20"/>
          <w:szCs w:val="22"/>
        </w:rPr>
        <w:t xml:space="preserve"> (PASI ≥ 125% or new generalised </w:t>
      </w:r>
      <w:r w:rsidR="001E271F">
        <w:rPr>
          <w:rFonts w:ascii="Arial" w:hAnsi="Arial" w:cs="Arial"/>
          <w:bCs/>
          <w:sz w:val="20"/>
          <w:szCs w:val="22"/>
        </w:rPr>
        <w:lastRenderedPageBreak/>
        <w:t>erythrodermic or pustular psoriasis within 3 months of withdrawal of Humira). The number of retreated subjects was 285, of whom 178 had relapsed during the withdrawal period. A</w:t>
      </w:r>
      <w:r w:rsidR="00C63177">
        <w:rPr>
          <w:rFonts w:ascii="Arial" w:hAnsi="Arial" w:cs="Arial"/>
          <w:bCs/>
          <w:sz w:val="20"/>
          <w:szCs w:val="22"/>
        </w:rPr>
        <w:t xml:space="preserve">t week 16 of </w:t>
      </w:r>
      <w:r w:rsidR="001E271F">
        <w:rPr>
          <w:rFonts w:ascii="Arial" w:hAnsi="Arial" w:cs="Arial"/>
          <w:bCs/>
          <w:sz w:val="20"/>
          <w:szCs w:val="22"/>
        </w:rPr>
        <w:t>retreatment, PGA “clear or minimal” increased from 0% to 69.1% in relapsed subjects and from 59.8% to 88.8</w:t>
      </w:r>
      <w:r w:rsidR="00175DB5">
        <w:rPr>
          <w:rFonts w:ascii="Arial" w:hAnsi="Arial" w:cs="Arial"/>
          <w:bCs/>
          <w:sz w:val="20"/>
          <w:szCs w:val="22"/>
        </w:rPr>
        <w:t>%</w:t>
      </w:r>
      <w:r w:rsidR="001E271F">
        <w:rPr>
          <w:rFonts w:ascii="Arial" w:hAnsi="Arial" w:cs="Arial"/>
          <w:bCs/>
          <w:sz w:val="20"/>
          <w:szCs w:val="22"/>
        </w:rPr>
        <w:t xml:space="preserve"> in non-relapsed subjects. Therefore, after withdrawal of Humira and relapse, most subjects responded to retreatment within 16 weeks.</w:t>
      </w:r>
      <w:r w:rsidR="00E44F87">
        <w:rPr>
          <w:rFonts w:ascii="Arial" w:hAnsi="Arial" w:cs="Arial"/>
          <w:sz w:val="20"/>
          <w:szCs w:val="22"/>
        </w:rPr>
        <w:t xml:space="preserve"> </w:t>
      </w:r>
    </w:p>
    <w:p w:rsidR="00E44F87" w:rsidRDefault="00E44F87">
      <w:pPr>
        <w:autoSpaceDE w:val="0"/>
        <w:autoSpaceDN w:val="0"/>
        <w:adjustRightInd w:val="0"/>
        <w:jc w:val="both"/>
        <w:rPr>
          <w:rFonts w:ascii="Arial" w:hAnsi="Arial" w:cs="Arial"/>
          <w:sz w:val="20"/>
          <w:szCs w:val="22"/>
        </w:rPr>
      </w:pPr>
    </w:p>
    <w:p w:rsidR="00E44F87" w:rsidRDefault="00E44F87">
      <w:pPr>
        <w:autoSpaceDE w:val="0"/>
        <w:autoSpaceDN w:val="0"/>
        <w:adjustRightInd w:val="0"/>
        <w:spacing w:line="240" w:lineRule="atLeast"/>
        <w:jc w:val="both"/>
        <w:rPr>
          <w:rFonts w:ascii="Arial" w:hAnsi="Arial"/>
          <w:b/>
          <w:bCs/>
          <w:sz w:val="20"/>
          <w:szCs w:val="20"/>
          <w:highlight w:val="yellow"/>
        </w:rPr>
      </w:pPr>
      <w:r>
        <w:rPr>
          <w:rFonts w:ascii="Arial" w:hAnsi="Arial"/>
          <w:b/>
          <w:bCs/>
          <w:sz w:val="20"/>
          <w:szCs w:val="20"/>
        </w:rPr>
        <w:t>Quality of Life</w:t>
      </w:r>
    </w:p>
    <w:p w:rsidR="00E44F87" w:rsidRDefault="00E44F87">
      <w:pPr>
        <w:tabs>
          <w:tab w:val="left" w:pos="562"/>
        </w:tabs>
        <w:autoSpaceDE w:val="0"/>
        <w:autoSpaceDN w:val="0"/>
        <w:adjustRightInd w:val="0"/>
        <w:spacing w:line="240" w:lineRule="atLeast"/>
        <w:jc w:val="both"/>
        <w:rPr>
          <w:rFonts w:ascii="Arial" w:hAnsi="Arial"/>
          <w:b/>
          <w:bCs/>
          <w:sz w:val="20"/>
          <w:szCs w:val="20"/>
          <w:highlight w:val="yellow"/>
        </w:rPr>
      </w:pPr>
    </w:p>
    <w:p w:rsidR="00E44F87" w:rsidRDefault="00E44F87">
      <w:pPr>
        <w:autoSpaceDE w:val="0"/>
        <w:autoSpaceDN w:val="0"/>
        <w:adjustRightInd w:val="0"/>
        <w:spacing w:line="240" w:lineRule="atLeast"/>
        <w:jc w:val="both"/>
        <w:rPr>
          <w:rFonts w:ascii="Arial" w:hAnsi="Arial"/>
          <w:sz w:val="20"/>
          <w:szCs w:val="22"/>
        </w:rPr>
      </w:pPr>
      <w:r>
        <w:rPr>
          <w:rFonts w:ascii="Arial" w:hAnsi="Arial"/>
          <w:sz w:val="20"/>
          <w:szCs w:val="22"/>
        </w:rPr>
        <w:t xml:space="preserve">Patient Reported Outcomes (PRO) were evaluated by several measures. Quality of Life was assessed using the disease-specific Dermatology Life Quality Index (DLQI) in Ps Study I and Ps Study II. In Ps Study I, patients receiving Humira demonstrated clinically meaningful improvement in the DLQI total score, disease severity, pain, and pruritus compared to the placebo group at both Weeks 4 &amp; 16. The DLQI result was maintained at Week 52.  In Ps Study II, patients receiving Humira demonstrated clinically meaningful improvement in the DLQI total score, disease severity, and pruritus compared to the placebo and methotrexate groups at Week 16, and clinically meaningful improvement in pain compared to the placebo group at Week 16. </w:t>
      </w:r>
    </w:p>
    <w:p w:rsidR="00E44F87" w:rsidRDefault="00E44F87">
      <w:pPr>
        <w:autoSpaceDE w:val="0"/>
        <w:autoSpaceDN w:val="0"/>
        <w:adjustRightInd w:val="0"/>
        <w:spacing w:line="240" w:lineRule="atLeast"/>
        <w:jc w:val="both"/>
        <w:rPr>
          <w:rFonts w:ascii="Arial" w:hAnsi="Arial"/>
          <w:sz w:val="20"/>
        </w:rPr>
      </w:pPr>
    </w:p>
    <w:p w:rsidR="00E44F87" w:rsidRDefault="00E44F87">
      <w:pPr>
        <w:autoSpaceDE w:val="0"/>
        <w:autoSpaceDN w:val="0"/>
        <w:adjustRightInd w:val="0"/>
        <w:spacing w:line="240" w:lineRule="atLeast"/>
        <w:jc w:val="both"/>
        <w:rPr>
          <w:b/>
          <w:bCs/>
          <w:sz w:val="20"/>
          <w:szCs w:val="22"/>
        </w:rPr>
      </w:pPr>
      <w:r>
        <w:rPr>
          <w:rFonts w:ascii="Arial" w:hAnsi="Arial"/>
          <w:sz w:val="20"/>
          <w:szCs w:val="22"/>
        </w:rPr>
        <w:t>The Short Form Health Survey (SF-36) was used to assess general health-related quality of life in Ps Study I. The Humira-treated patients had significantly greater improvement in the SF-36 Physical Component Summary (PCS) and Mental Component Summary (MCS) scores.</w:t>
      </w:r>
      <w:r>
        <w:rPr>
          <w:b/>
          <w:bCs/>
          <w:sz w:val="20"/>
          <w:szCs w:val="22"/>
        </w:rPr>
        <w:t xml:space="preserve">  </w:t>
      </w:r>
    </w:p>
    <w:p w:rsidR="00E44F87" w:rsidRDefault="00E44F87">
      <w:pPr>
        <w:pStyle w:val="Heading2"/>
        <w:jc w:val="both"/>
        <w:rPr>
          <w:rFonts w:ascii="Arial" w:hAnsi="Arial" w:cs="Arial"/>
          <w:i/>
          <w:iCs/>
          <w:sz w:val="20"/>
          <w:u w:val="none"/>
        </w:rPr>
      </w:pPr>
      <w:r>
        <w:rPr>
          <w:rFonts w:ascii="Arial" w:hAnsi="Arial" w:cs="Arial"/>
          <w:sz w:val="20"/>
          <w:u w:val="none"/>
        </w:rPr>
        <w:t>IMMUNOGENICITY</w:t>
      </w:r>
      <w:r>
        <w:rPr>
          <w:rFonts w:ascii="Arial" w:hAnsi="Arial" w:cs="Arial"/>
          <w:i/>
          <w:iCs/>
          <w:sz w:val="20"/>
          <w:u w:val="none"/>
        </w:rPr>
        <w:t xml:space="preserve"> </w:t>
      </w:r>
    </w:p>
    <w:p w:rsidR="00E44F87" w:rsidRDefault="00E44F87">
      <w:pPr>
        <w:jc w:val="both"/>
      </w:pPr>
    </w:p>
    <w:p w:rsidR="00E44F87" w:rsidRDefault="00E44F87">
      <w:pPr>
        <w:jc w:val="both"/>
        <w:rPr>
          <w:rFonts w:ascii="Arial" w:hAnsi="Arial" w:cs="Arial"/>
          <w:sz w:val="20"/>
        </w:rPr>
      </w:pPr>
      <w:r>
        <w:rPr>
          <w:rFonts w:ascii="Arial" w:hAnsi="Arial" w:cs="Arial"/>
          <w:sz w:val="20"/>
        </w:rPr>
        <w:t xml:space="preserve">Patients in RA Studies I, II, and III were tested at multiple time points for antibodies to adalimumab during the 6- to 12-month period.  Approximately 5.5% (58 of 1,062) of adult rheumatoid arthritis patients receiving Humira developed low-titer antibodies to adalimumab at least once during treatment, which were neutralizing </w:t>
      </w:r>
      <w:r>
        <w:rPr>
          <w:rFonts w:ascii="Arial" w:hAnsi="Arial" w:cs="Arial"/>
          <w:i/>
          <w:iCs/>
          <w:sz w:val="20"/>
        </w:rPr>
        <w:t>in vitro</w:t>
      </w:r>
      <w:r>
        <w:rPr>
          <w:rFonts w:ascii="Arial" w:hAnsi="Arial" w:cs="Arial"/>
          <w:sz w:val="20"/>
        </w:rPr>
        <w:t>.  Patients treated with concomitant MTX had a lower rate of antibody development than patients on Humira monotherapy (1% versus 12%).  No apparent correlation of antibody development to adverse events was observed.  With monotherapy, patients receiving fortnightly dosing may develop antibodies more frequently than those receiving weekly dosing.  In patients receiving the recommended dosage of 40 mg fortnightly as monotherapy, the ACR 20 response was lower among antibody-positive patients than among antibody-negative patients.  The long-term immunogenicity of Humira is unknown.</w:t>
      </w:r>
    </w:p>
    <w:p w:rsidR="00E44F87" w:rsidRDefault="00E44F87">
      <w:pPr>
        <w:jc w:val="both"/>
        <w:rPr>
          <w:rFonts w:ascii="Arial" w:hAnsi="Arial" w:cs="Arial"/>
          <w:sz w:val="20"/>
        </w:rPr>
      </w:pPr>
    </w:p>
    <w:p w:rsidR="00E44F87" w:rsidRDefault="00E44F87">
      <w:pPr>
        <w:pStyle w:val="BodyText"/>
        <w:jc w:val="both"/>
      </w:pPr>
      <w:r>
        <w:rPr>
          <w:lang w:val="en-US"/>
        </w:rPr>
        <w:t xml:space="preserve">In the polyarticular juvenile idiopathic arthritis trial a greater percentage of patients developed antibodies to Humira compared to adult rheumatoid arthritis patients. Antibody formation was lower when Humira was given together with methotrexate in comparison with use as monotherapy. There was no apparent correlation between the presence of antibodies and adverse events. </w:t>
      </w:r>
      <w:r>
        <w:t>In patients with polyarticular juvenile idiopathic arthritis, adalimumab antibodies were identified in 27/171 subjects (15.8%) treated with adalimumab.  In patients not given concomitant methotrexate, the incidence was 22/86 (25.6%), compared to 5/85 (5.9%) when adalimumab was used as add-on to methotrexate.</w:t>
      </w:r>
    </w:p>
    <w:p w:rsidR="00E44F87" w:rsidRDefault="00E44F87">
      <w:pPr>
        <w:jc w:val="both"/>
        <w:rPr>
          <w:rFonts w:ascii="Arial" w:hAnsi="Arial" w:cs="Arial"/>
          <w:color w:val="0000FF"/>
          <w:sz w:val="20"/>
          <w:u w:val="double"/>
        </w:rPr>
      </w:pPr>
    </w:p>
    <w:p w:rsidR="000F4C15" w:rsidRDefault="000F4C15" w:rsidP="000F4C15">
      <w:pPr>
        <w:jc w:val="both"/>
        <w:rPr>
          <w:rFonts w:ascii="Arial" w:hAnsi="Arial" w:cs="Arial"/>
          <w:sz w:val="20"/>
        </w:rPr>
      </w:pPr>
      <w:r w:rsidRPr="00433088">
        <w:rPr>
          <w:rFonts w:ascii="Arial" w:hAnsi="Arial" w:cs="Arial"/>
          <w:sz w:val="20"/>
        </w:rPr>
        <w:t>In p</w:t>
      </w:r>
      <w:r>
        <w:rPr>
          <w:rFonts w:ascii="Arial" w:hAnsi="Arial" w:cs="Arial"/>
          <w:sz w:val="20"/>
        </w:rPr>
        <w:t>a</w:t>
      </w:r>
      <w:r w:rsidRPr="00433088">
        <w:rPr>
          <w:rFonts w:ascii="Arial" w:hAnsi="Arial" w:cs="Arial"/>
          <w:sz w:val="20"/>
        </w:rPr>
        <w:t>ediatric patients with moderately to severely active</w:t>
      </w:r>
      <w:r>
        <w:rPr>
          <w:rFonts w:ascii="Arial" w:hAnsi="Arial" w:cs="Arial"/>
          <w:sz w:val="20"/>
        </w:rPr>
        <w:t xml:space="preserve"> </w:t>
      </w:r>
      <w:r w:rsidRPr="00433088">
        <w:rPr>
          <w:rFonts w:ascii="Arial" w:hAnsi="Arial" w:cs="Arial"/>
          <w:sz w:val="20"/>
        </w:rPr>
        <w:t>Crohn</w:t>
      </w:r>
      <w:r>
        <w:rPr>
          <w:rFonts w:ascii="Arial" w:hAnsi="Arial" w:cs="Arial"/>
          <w:sz w:val="20"/>
        </w:rPr>
        <w:t>’</w:t>
      </w:r>
      <w:r w:rsidRPr="00433088">
        <w:rPr>
          <w:rFonts w:ascii="Arial" w:hAnsi="Arial" w:cs="Arial"/>
          <w:sz w:val="20"/>
        </w:rPr>
        <w:t>s disease, the rate of antibody development in</w:t>
      </w:r>
      <w:r>
        <w:rPr>
          <w:rFonts w:ascii="Arial" w:hAnsi="Arial" w:cs="Arial"/>
          <w:sz w:val="20"/>
        </w:rPr>
        <w:t xml:space="preserve"> </w:t>
      </w:r>
      <w:r w:rsidRPr="00433088">
        <w:rPr>
          <w:rFonts w:ascii="Arial" w:hAnsi="Arial" w:cs="Arial"/>
          <w:sz w:val="20"/>
        </w:rPr>
        <w:t>patients receiving HUMIRA was 3.3%.</w:t>
      </w:r>
      <w:r>
        <w:rPr>
          <w:rFonts w:ascii="Arial" w:hAnsi="Arial" w:cs="Arial"/>
          <w:sz w:val="20"/>
        </w:rPr>
        <w:t xml:space="preserve"> </w:t>
      </w:r>
    </w:p>
    <w:p w:rsidR="000F4C15" w:rsidRDefault="000F4C15">
      <w:pPr>
        <w:jc w:val="both"/>
        <w:rPr>
          <w:rFonts w:ascii="Arial" w:hAnsi="Arial" w:cs="Arial"/>
          <w:sz w:val="20"/>
        </w:rPr>
      </w:pPr>
    </w:p>
    <w:p w:rsidR="00E44F87" w:rsidRDefault="00E44F87">
      <w:pPr>
        <w:jc w:val="both"/>
        <w:rPr>
          <w:rFonts w:ascii="Arial" w:hAnsi="Arial" w:cs="Arial"/>
          <w:sz w:val="20"/>
        </w:rPr>
      </w:pPr>
      <w:r>
        <w:rPr>
          <w:rFonts w:ascii="Arial" w:hAnsi="Arial" w:cs="Arial"/>
          <w:sz w:val="20"/>
        </w:rPr>
        <w:t>In patients with ankylosing spondylitis, the rate of development of antibodies to adalimumab in Humira-treated patients was comparable to patients with rheumatoid arthritis. In patients with psoriatic arthritis, the rate of antibody development in patients receiving Humira monotherapy was comparable to patients with rheumatoid arthritis; however, in patients receiving concomitant methotrexate the rate was 7% compared to 1% in rheumatoid arthritis. The immunogenicity rate was 8% for psoriasis patients who were treated with Humira monotherapy.</w:t>
      </w:r>
    </w:p>
    <w:p w:rsidR="00E44F87" w:rsidRDefault="00E44F87">
      <w:pPr>
        <w:jc w:val="both"/>
        <w:rPr>
          <w:rFonts w:ascii="Arial" w:hAnsi="Arial" w:cs="Arial"/>
          <w:color w:val="FF0000"/>
          <w:sz w:val="20"/>
          <w:u w:val="double"/>
        </w:rPr>
      </w:pPr>
    </w:p>
    <w:p w:rsidR="00961D0A" w:rsidRDefault="0045166B" w:rsidP="0045166B">
      <w:pPr>
        <w:jc w:val="both"/>
        <w:rPr>
          <w:rFonts w:ascii="Arial" w:hAnsi="Arial" w:cs="Arial"/>
          <w:sz w:val="20"/>
          <w:lang w:val="en-GB"/>
        </w:rPr>
      </w:pPr>
      <w:r w:rsidRPr="003C5753">
        <w:rPr>
          <w:rFonts w:ascii="Arial" w:hAnsi="Arial" w:cs="Arial"/>
          <w:sz w:val="20"/>
          <w:lang w:val="en-GB"/>
        </w:rPr>
        <w:t>In patients with Crohn’s disease, anti-adalimumab antibodies were identified in 7/269 subjects (2.6%)</w:t>
      </w:r>
      <w:r w:rsidR="00961D0A">
        <w:rPr>
          <w:rFonts w:ascii="Arial" w:hAnsi="Arial" w:cs="Arial"/>
          <w:sz w:val="20"/>
          <w:lang w:val="en-GB"/>
        </w:rPr>
        <w:t>.</w:t>
      </w:r>
    </w:p>
    <w:p w:rsidR="00961D0A" w:rsidRDefault="00961D0A" w:rsidP="0045166B">
      <w:pPr>
        <w:jc w:val="both"/>
        <w:rPr>
          <w:rFonts w:ascii="Arial" w:hAnsi="Arial" w:cs="Arial"/>
          <w:sz w:val="20"/>
          <w:lang w:val="en-GB"/>
        </w:rPr>
      </w:pPr>
    </w:p>
    <w:p w:rsidR="00155EDF" w:rsidRDefault="00961D0A" w:rsidP="0045166B">
      <w:pPr>
        <w:jc w:val="both"/>
        <w:rPr>
          <w:rFonts w:ascii="Arial" w:hAnsi="Arial" w:cs="Arial"/>
          <w:sz w:val="20"/>
          <w:lang w:val="en-GB"/>
        </w:rPr>
      </w:pPr>
      <w:r>
        <w:rPr>
          <w:rFonts w:ascii="Arial" w:hAnsi="Arial" w:cs="Arial"/>
          <w:sz w:val="20"/>
          <w:lang w:val="en-GB"/>
        </w:rPr>
        <w:t>In patients with ulcerative colitis</w:t>
      </w:r>
      <w:r w:rsidRPr="003C5753">
        <w:rPr>
          <w:rFonts w:ascii="Arial" w:hAnsi="Arial" w:cs="Arial"/>
          <w:sz w:val="20"/>
          <w:lang w:val="en-GB"/>
        </w:rPr>
        <w:t xml:space="preserve">, anti-adalimumab antibodies were identified </w:t>
      </w:r>
      <w:r w:rsidR="0045166B" w:rsidRPr="003C5753">
        <w:rPr>
          <w:rFonts w:ascii="Arial" w:hAnsi="Arial" w:cs="Arial"/>
          <w:sz w:val="20"/>
          <w:lang w:val="en-GB"/>
        </w:rPr>
        <w:t>in 19/487 subjects (3.9%).</w:t>
      </w:r>
      <w:r w:rsidR="008C5D74">
        <w:rPr>
          <w:rFonts w:ascii="Arial" w:hAnsi="Arial" w:cs="Arial"/>
          <w:sz w:val="20"/>
          <w:lang w:val="en-GB"/>
        </w:rPr>
        <w:t xml:space="preserve"> </w:t>
      </w:r>
      <w:r w:rsidR="008C5D74" w:rsidRPr="002430F3">
        <w:rPr>
          <w:rFonts w:ascii="Arial" w:hAnsi="Arial" w:cs="Arial"/>
          <w:sz w:val="20"/>
          <w:lang w:val="en-GB"/>
        </w:rPr>
        <w:t>However, due to the limitation of the assay conditions, antibodies to adalimumab could be detected only when serum adalimumab levels were &lt;2mcg/mL.</w:t>
      </w:r>
      <w:r w:rsidRPr="002430F3">
        <w:rPr>
          <w:rFonts w:ascii="Arial" w:hAnsi="Arial" w:cs="Arial"/>
          <w:sz w:val="20"/>
          <w:lang w:val="en-GB"/>
        </w:rPr>
        <w:t xml:space="preserve"> Among the patients whose serum adalimumab levels were </w:t>
      </w:r>
    </w:p>
    <w:p w:rsidR="0045166B" w:rsidRPr="002430F3" w:rsidRDefault="00155EDF" w:rsidP="0045166B">
      <w:pPr>
        <w:jc w:val="both"/>
        <w:rPr>
          <w:rFonts w:ascii="Arial" w:hAnsi="Arial" w:cs="Arial"/>
          <w:sz w:val="20"/>
          <w:u w:val="single"/>
          <w:lang w:val="en-GB"/>
        </w:rPr>
      </w:pPr>
      <w:r>
        <w:rPr>
          <w:rFonts w:ascii="Arial" w:hAnsi="Arial" w:cs="Arial"/>
          <w:sz w:val="20"/>
          <w:lang w:val="en-GB"/>
        </w:rPr>
        <w:t>&lt;</w:t>
      </w:r>
      <w:r w:rsidR="00961D0A" w:rsidRPr="002430F3">
        <w:rPr>
          <w:rFonts w:ascii="Arial" w:hAnsi="Arial" w:cs="Arial"/>
          <w:sz w:val="20"/>
          <w:lang w:val="en-GB"/>
        </w:rPr>
        <w:t>2mcg/mL</w:t>
      </w:r>
      <w:r>
        <w:rPr>
          <w:rFonts w:ascii="Arial" w:hAnsi="Arial" w:cs="Arial"/>
          <w:sz w:val="20"/>
          <w:lang w:val="en-GB"/>
        </w:rPr>
        <w:t xml:space="preserve"> </w:t>
      </w:r>
      <w:r w:rsidR="00961D0A" w:rsidRPr="002430F3">
        <w:rPr>
          <w:rFonts w:ascii="Arial" w:hAnsi="Arial" w:cs="Arial"/>
          <w:sz w:val="20"/>
          <w:lang w:val="en-GB"/>
        </w:rPr>
        <w:t xml:space="preserve">(approximately 25% of total patients studied), </w:t>
      </w:r>
      <w:r>
        <w:rPr>
          <w:rFonts w:ascii="Arial" w:hAnsi="Arial" w:cs="Arial"/>
          <w:sz w:val="20"/>
          <w:lang w:val="en-GB"/>
        </w:rPr>
        <w:t>the immunogenicity rate was 20.</w:t>
      </w:r>
      <w:r w:rsidR="00961D0A" w:rsidRPr="002430F3">
        <w:rPr>
          <w:rFonts w:ascii="Arial" w:hAnsi="Arial" w:cs="Arial"/>
          <w:sz w:val="20"/>
          <w:lang w:val="en-GB"/>
        </w:rPr>
        <w:t>7%.</w:t>
      </w:r>
    </w:p>
    <w:p w:rsidR="00863EFB" w:rsidRDefault="00863EFB">
      <w:pPr>
        <w:pStyle w:val="BodyText"/>
        <w:jc w:val="both"/>
      </w:pPr>
    </w:p>
    <w:p w:rsidR="00863EFB" w:rsidRPr="0076448A" w:rsidRDefault="00863EFB" w:rsidP="00863EFB">
      <w:pPr>
        <w:tabs>
          <w:tab w:val="left" w:pos="1294"/>
        </w:tabs>
        <w:autoSpaceDE w:val="0"/>
        <w:autoSpaceDN w:val="0"/>
        <w:adjustRightInd w:val="0"/>
        <w:rPr>
          <w:rFonts w:ascii="Arial" w:hAnsi="Arial" w:cs="Arial"/>
          <w:bCs/>
          <w:color w:val="0000FF"/>
          <w:sz w:val="20"/>
          <w:u w:val="single"/>
        </w:rPr>
      </w:pPr>
      <w:r w:rsidRPr="00863EFB">
        <w:rPr>
          <w:rFonts w:ascii="Arial" w:hAnsi="Arial" w:cs="Arial"/>
          <w:sz w:val="20"/>
        </w:rPr>
        <w:lastRenderedPageBreak/>
        <w:t>In plaque psoriasis patients on long term adalimumab monotherapy who participated in a withdrawal and retreatment study, the rate of antibodies to adalimumab after retreatment was similar to the rate observed prior to withdrawal.</w:t>
      </w:r>
    </w:p>
    <w:p w:rsidR="00863EFB" w:rsidRDefault="00863EFB">
      <w:pPr>
        <w:pStyle w:val="BodyText"/>
        <w:jc w:val="both"/>
      </w:pPr>
    </w:p>
    <w:p w:rsidR="00E44F87" w:rsidRDefault="00E44F87">
      <w:pPr>
        <w:pStyle w:val="BodyText"/>
        <w:jc w:val="both"/>
      </w:pPr>
      <w:r>
        <w:t>The data reflect the percentage of patients whose test results were considered positive for antibodies to adalimumab in an ELISA assay, and are highly dependent on the sensitivity and specificity of the assay.  For these reasons, comparison of the incidence of antibodies to adalimumab with the incidence of antibodies to other products may be misleading.</w:t>
      </w:r>
    </w:p>
    <w:p w:rsidR="00E44F87" w:rsidRDefault="00E44F87">
      <w:pPr>
        <w:pStyle w:val="BodyText"/>
        <w:jc w:val="both"/>
      </w:pPr>
    </w:p>
    <w:p w:rsidR="00E44F87" w:rsidRPr="00A868ED" w:rsidRDefault="00E44F87">
      <w:pPr>
        <w:pStyle w:val="Heading3"/>
        <w:jc w:val="both"/>
        <w:rPr>
          <w:u w:val="none"/>
        </w:rPr>
      </w:pPr>
      <w:r w:rsidRPr="00A868ED">
        <w:rPr>
          <w:u w:val="none"/>
        </w:rPr>
        <w:t>INDICATIONS</w:t>
      </w:r>
    </w:p>
    <w:p w:rsidR="00E44F87" w:rsidRPr="00A868ED" w:rsidRDefault="00E44F87">
      <w:pPr>
        <w:autoSpaceDE w:val="0"/>
        <w:autoSpaceDN w:val="0"/>
        <w:adjustRightInd w:val="0"/>
        <w:jc w:val="both"/>
        <w:rPr>
          <w:rFonts w:ascii="Arial" w:hAnsi="Arial"/>
          <w:b/>
          <w:sz w:val="20"/>
        </w:rPr>
      </w:pPr>
    </w:p>
    <w:p w:rsidR="00E44F87" w:rsidRPr="00A868ED" w:rsidRDefault="00E44F87">
      <w:pPr>
        <w:autoSpaceDE w:val="0"/>
        <w:autoSpaceDN w:val="0"/>
        <w:adjustRightInd w:val="0"/>
        <w:jc w:val="both"/>
        <w:rPr>
          <w:rFonts w:ascii="Arial" w:hAnsi="Arial"/>
          <w:b/>
          <w:bCs/>
          <w:sz w:val="20"/>
        </w:rPr>
      </w:pPr>
      <w:r w:rsidRPr="00A868ED">
        <w:rPr>
          <w:rFonts w:ascii="Arial" w:hAnsi="Arial"/>
          <w:b/>
          <w:bCs/>
          <w:sz w:val="20"/>
        </w:rPr>
        <w:t>Rheumatoid Arthritis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Humira is indicated for reducing signs and symptoms, as well as inhibiting the progression of structural damage in adult patients with moderate to severely active rheumatoid arthritis.  This includes the treatment of patients with recently diagnosed moderate to severely active disease who have not received methotrexate.</w:t>
      </w:r>
    </w:p>
    <w:p w:rsidR="00E44F87" w:rsidRDefault="00E44F87">
      <w:pPr>
        <w:autoSpaceDE w:val="0"/>
        <w:autoSpaceDN w:val="0"/>
        <w:adjustRightInd w:val="0"/>
        <w:jc w:val="both"/>
        <w:rPr>
          <w:rFonts w:ascii="Arial" w:hAnsi="Arial"/>
          <w:sz w:val="20"/>
        </w:rPr>
      </w:pPr>
      <w:r>
        <w:rPr>
          <w:rFonts w:ascii="Arial" w:hAnsi="Arial"/>
          <w:sz w:val="20"/>
        </w:rPr>
        <w:t xml:space="preserve"> </w:t>
      </w:r>
    </w:p>
    <w:p w:rsidR="005C4256" w:rsidRDefault="00E44F87">
      <w:pPr>
        <w:autoSpaceDE w:val="0"/>
        <w:autoSpaceDN w:val="0"/>
        <w:adjustRightInd w:val="0"/>
        <w:jc w:val="both"/>
        <w:rPr>
          <w:rFonts w:ascii="Arial" w:hAnsi="Arial"/>
          <w:sz w:val="20"/>
        </w:rPr>
      </w:pPr>
      <w:r>
        <w:rPr>
          <w:rFonts w:ascii="Arial" w:hAnsi="Arial"/>
          <w:sz w:val="20"/>
        </w:rPr>
        <w:t>Humira can be used alone or in combination with methotrexate.</w:t>
      </w:r>
    </w:p>
    <w:p w:rsidR="005C4256" w:rsidRDefault="005C4256">
      <w:pPr>
        <w:autoSpaceDE w:val="0"/>
        <w:autoSpaceDN w:val="0"/>
        <w:adjustRightInd w:val="0"/>
        <w:jc w:val="both"/>
        <w:rPr>
          <w:rFonts w:ascii="Arial" w:hAnsi="Arial"/>
          <w:sz w:val="20"/>
        </w:rPr>
      </w:pPr>
    </w:p>
    <w:p w:rsidR="00E44F87" w:rsidRPr="00A868ED" w:rsidRDefault="00E44F87">
      <w:pPr>
        <w:pStyle w:val="EMEANormal"/>
        <w:jc w:val="both"/>
        <w:rPr>
          <w:lang w:val="en-AU"/>
        </w:rPr>
      </w:pPr>
      <w:r w:rsidRPr="00A868ED">
        <w:rPr>
          <w:rFonts w:ascii="Arial" w:hAnsi="Arial" w:cs="Arial"/>
          <w:b/>
          <w:iCs/>
          <w:sz w:val="20"/>
          <w:lang w:val="en-AU"/>
        </w:rPr>
        <w:t xml:space="preserve">Polyarticular </w:t>
      </w:r>
      <w:r w:rsidR="00925F65">
        <w:rPr>
          <w:rFonts w:ascii="Arial" w:hAnsi="Arial" w:cs="Arial"/>
          <w:b/>
          <w:iCs/>
          <w:sz w:val="20"/>
          <w:lang w:val="en-AU"/>
        </w:rPr>
        <w:t>J</w:t>
      </w:r>
      <w:r w:rsidRPr="00A868ED">
        <w:rPr>
          <w:rFonts w:ascii="Arial" w:hAnsi="Arial" w:cs="Arial"/>
          <w:b/>
          <w:iCs/>
          <w:sz w:val="20"/>
          <w:lang w:val="en-AU"/>
        </w:rPr>
        <w:t xml:space="preserve">uvenile </w:t>
      </w:r>
      <w:r w:rsidR="00925F65">
        <w:rPr>
          <w:rFonts w:ascii="Arial" w:hAnsi="Arial" w:cs="Arial"/>
          <w:b/>
          <w:iCs/>
          <w:sz w:val="20"/>
          <w:lang w:val="en-AU"/>
        </w:rPr>
        <w:t>I</w:t>
      </w:r>
      <w:r w:rsidRPr="00A868ED">
        <w:rPr>
          <w:rFonts w:ascii="Arial" w:hAnsi="Arial" w:cs="Arial"/>
          <w:b/>
          <w:iCs/>
          <w:sz w:val="20"/>
          <w:lang w:val="en-AU"/>
        </w:rPr>
        <w:t xml:space="preserve">diopathic </w:t>
      </w:r>
      <w:r w:rsidR="00925F65">
        <w:rPr>
          <w:rFonts w:ascii="Arial" w:hAnsi="Arial" w:cs="Arial"/>
          <w:b/>
          <w:iCs/>
          <w:sz w:val="20"/>
          <w:lang w:val="en-AU"/>
        </w:rPr>
        <w:t>A</w:t>
      </w:r>
      <w:r w:rsidRPr="00A868ED">
        <w:rPr>
          <w:rFonts w:ascii="Arial" w:hAnsi="Arial" w:cs="Arial"/>
          <w:b/>
          <w:iCs/>
          <w:sz w:val="20"/>
          <w:lang w:val="en-AU"/>
        </w:rPr>
        <w:t>rthritis</w:t>
      </w:r>
    </w:p>
    <w:p w:rsidR="00E44F87" w:rsidRPr="000A1CF2" w:rsidRDefault="00E44F87">
      <w:pPr>
        <w:jc w:val="both"/>
        <w:rPr>
          <w:rFonts w:ascii="Arial" w:hAnsi="Arial" w:cs="Arial"/>
          <w:sz w:val="20"/>
          <w:szCs w:val="20"/>
        </w:rPr>
      </w:pPr>
    </w:p>
    <w:p w:rsidR="00E44F87" w:rsidRDefault="00E44F87">
      <w:pPr>
        <w:pStyle w:val="EMEANormal"/>
        <w:jc w:val="both"/>
        <w:rPr>
          <w:rFonts w:ascii="Arial" w:hAnsi="Arial" w:cs="Arial"/>
          <w:sz w:val="20"/>
          <w:lang w:val="en-AU"/>
        </w:rPr>
      </w:pPr>
      <w:r>
        <w:rPr>
          <w:rFonts w:ascii="Arial" w:hAnsi="Arial" w:cs="Arial"/>
          <w:sz w:val="20"/>
          <w:lang w:val="en-AU"/>
        </w:rPr>
        <w:t xml:space="preserve">Humira in combination with methotrexate is indicated for reducing the signs and symptoms of moderately to severely active polyarticular juvenile idiopathic arthritis in patients aged 4 years of age and older. Humira can be given as monotherapy in case of intolerance or when continued treatment with methotrexate is inappropriate. </w:t>
      </w:r>
    </w:p>
    <w:p w:rsidR="00E44F87" w:rsidRPr="00A868ED" w:rsidRDefault="00E44F87">
      <w:pPr>
        <w:autoSpaceDE w:val="0"/>
        <w:autoSpaceDN w:val="0"/>
        <w:adjustRightInd w:val="0"/>
        <w:jc w:val="both"/>
        <w:rPr>
          <w:rFonts w:ascii="Arial" w:hAnsi="Arial"/>
          <w:b/>
          <w:bCs/>
          <w:sz w:val="20"/>
        </w:rPr>
      </w:pPr>
      <w:r w:rsidRPr="00A868ED">
        <w:rPr>
          <w:rFonts w:ascii="Arial" w:hAnsi="Arial"/>
          <w:b/>
          <w:bCs/>
          <w:sz w:val="20"/>
        </w:rPr>
        <w:t>Psoriatic Arthritis</w:t>
      </w:r>
    </w:p>
    <w:p w:rsidR="00E44F87" w:rsidRPr="00A868ED" w:rsidRDefault="00E44F87">
      <w:pPr>
        <w:autoSpaceDE w:val="0"/>
        <w:autoSpaceDN w:val="0"/>
        <w:adjustRightInd w:val="0"/>
        <w:jc w:val="both"/>
        <w:rPr>
          <w:rFonts w:ascii="Arial" w:hAnsi="Arial"/>
          <w:sz w:val="20"/>
        </w:rPr>
      </w:pPr>
    </w:p>
    <w:p w:rsidR="00E44F87" w:rsidRDefault="00E44F87">
      <w:pPr>
        <w:pStyle w:val="BodyText"/>
        <w:jc w:val="both"/>
      </w:pPr>
      <w:r w:rsidRPr="00A868ED">
        <w:t xml:space="preserve">Humira is indicated for the treatment of signs and symptoms, as well as inhibiting the progression of structural damage, of moderate to severely active psoriatic arthritis in adult patients where response to previous DMARDs has been inadequate.  </w:t>
      </w:r>
    </w:p>
    <w:p w:rsidR="00E44F87" w:rsidRPr="00A868ED" w:rsidRDefault="00E44F87">
      <w:pPr>
        <w:pStyle w:val="BodyText"/>
        <w:jc w:val="both"/>
      </w:pPr>
    </w:p>
    <w:p w:rsidR="00E44F87" w:rsidRPr="00A868ED" w:rsidRDefault="00E44F87">
      <w:pPr>
        <w:pStyle w:val="Heading9"/>
      </w:pPr>
      <w:r w:rsidRPr="00A868ED">
        <w:t>Ankylosing Spondylitis</w:t>
      </w:r>
    </w:p>
    <w:p w:rsidR="00E44F87" w:rsidRPr="00A868ED" w:rsidRDefault="00E44F87">
      <w:pPr>
        <w:autoSpaceDE w:val="0"/>
        <w:autoSpaceDN w:val="0"/>
        <w:adjustRightInd w:val="0"/>
        <w:jc w:val="both"/>
        <w:rPr>
          <w:rFonts w:ascii="Arial" w:hAnsi="Arial"/>
          <w:b/>
          <w:bCs/>
          <w:sz w:val="20"/>
        </w:rPr>
      </w:pPr>
    </w:p>
    <w:p w:rsidR="00E44F87" w:rsidRDefault="00E44F87">
      <w:pPr>
        <w:autoSpaceDE w:val="0"/>
        <w:autoSpaceDN w:val="0"/>
        <w:adjustRightInd w:val="0"/>
        <w:jc w:val="both"/>
        <w:rPr>
          <w:rFonts w:ascii="Arial" w:hAnsi="Arial"/>
          <w:sz w:val="20"/>
        </w:rPr>
      </w:pPr>
      <w:r w:rsidRPr="00A868ED">
        <w:rPr>
          <w:rFonts w:ascii="Arial" w:hAnsi="Arial"/>
          <w:sz w:val="20"/>
        </w:rPr>
        <w:t>Humira is indicated for reducing signs and symptoms in patients with active ankylosing spondylitis.</w:t>
      </w:r>
    </w:p>
    <w:p w:rsidR="007F18BA" w:rsidRPr="00A868ED" w:rsidRDefault="007F18BA">
      <w:pPr>
        <w:autoSpaceDE w:val="0"/>
        <w:autoSpaceDN w:val="0"/>
        <w:adjustRightInd w:val="0"/>
        <w:jc w:val="both"/>
        <w:rPr>
          <w:rFonts w:ascii="Arial" w:hAnsi="Arial"/>
          <w:sz w:val="20"/>
        </w:rPr>
      </w:pPr>
    </w:p>
    <w:p w:rsidR="00E44F87" w:rsidRPr="00654B5B" w:rsidRDefault="00654B5B">
      <w:pPr>
        <w:autoSpaceDE w:val="0"/>
        <w:autoSpaceDN w:val="0"/>
        <w:adjustRightInd w:val="0"/>
        <w:jc w:val="both"/>
        <w:rPr>
          <w:rFonts w:ascii="Arial" w:hAnsi="Arial"/>
          <w:b/>
          <w:bCs/>
          <w:sz w:val="20"/>
          <w:u w:val="single"/>
        </w:rPr>
      </w:pPr>
      <w:r w:rsidRPr="00654B5B">
        <w:rPr>
          <w:rFonts w:ascii="Arial" w:hAnsi="Arial"/>
          <w:b/>
          <w:bCs/>
          <w:sz w:val="20"/>
        </w:rPr>
        <w:t>Crohn’s Disease in Adults and Children (</w:t>
      </w:r>
      <w:r w:rsidRPr="00654B5B">
        <w:rPr>
          <w:rFonts w:ascii="Arial" w:hAnsi="Arial" w:cs="Arial"/>
          <w:b/>
          <w:bCs/>
          <w:sz w:val="20"/>
        </w:rPr>
        <w:t>≥</w:t>
      </w:r>
      <w:r w:rsidRPr="00654B5B">
        <w:rPr>
          <w:rFonts w:ascii="Arial" w:hAnsi="Arial"/>
          <w:b/>
          <w:bCs/>
          <w:sz w:val="20"/>
        </w:rPr>
        <w:t>6 years)</w:t>
      </w:r>
    </w:p>
    <w:p w:rsidR="00E44F87" w:rsidRPr="00A868ED" w:rsidRDefault="00E44F87">
      <w:pPr>
        <w:autoSpaceDE w:val="0"/>
        <w:autoSpaceDN w:val="0"/>
        <w:adjustRightInd w:val="0"/>
        <w:jc w:val="both"/>
        <w:rPr>
          <w:rFonts w:ascii="Arial" w:hAnsi="Arial"/>
          <w:strike/>
          <w:color w:val="FF0000"/>
          <w:sz w:val="20"/>
        </w:rPr>
      </w:pPr>
    </w:p>
    <w:p w:rsidR="00654B5B" w:rsidRDefault="00E44F87">
      <w:pPr>
        <w:autoSpaceDE w:val="0"/>
        <w:autoSpaceDN w:val="0"/>
        <w:adjustRightInd w:val="0"/>
        <w:jc w:val="both"/>
        <w:rPr>
          <w:rFonts w:ascii="Arial" w:hAnsi="Arial"/>
          <w:sz w:val="20"/>
        </w:rPr>
      </w:pPr>
      <w:r w:rsidRPr="00A868ED">
        <w:rPr>
          <w:rFonts w:ascii="Arial" w:hAnsi="Arial"/>
          <w:sz w:val="20"/>
        </w:rPr>
        <w:t>Humira is indicated for the treatment of moderate to s</w:t>
      </w:r>
      <w:r w:rsidR="00654B5B">
        <w:rPr>
          <w:rFonts w:ascii="Arial" w:hAnsi="Arial"/>
          <w:sz w:val="20"/>
        </w:rPr>
        <w:t xml:space="preserve">evere Crohn’s disease, </w:t>
      </w:r>
      <w:r w:rsidRPr="00A868ED">
        <w:rPr>
          <w:rFonts w:ascii="Arial" w:hAnsi="Arial"/>
          <w:sz w:val="20"/>
        </w:rPr>
        <w:t>to reduce the signs and symptoms of the disease and to induce and maintain clinical remission in patients</w:t>
      </w:r>
      <w:r w:rsidR="00654B5B">
        <w:rPr>
          <w:rFonts w:ascii="Arial" w:hAnsi="Arial"/>
          <w:sz w:val="20"/>
        </w:rPr>
        <w:t>;</w:t>
      </w:r>
    </w:p>
    <w:p w:rsidR="00654B5B" w:rsidRDefault="00E44F87" w:rsidP="00654B5B">
      <w:pPr>
        <w:numPr>
          <w:ilvl w:val="0"/>
          <w:numId w:val="16"/>
        </w:numPr>
        <w:autoSpaceDE w:val="0"/>
        <w:autoSpaceDN w:val="0"/>
        <w:adjustRightInd w:val="0"/>
        <w:jc w:val="both"/>
        <w:rPr>
          <w:rFonts w:ascii="Arial" w:hAnsi="Arial"/>
          <w:sz w:val="20"/>
        </w:rPr>
      </w:pPr>
      <w:r w:rsidRPr="00A868ED">
        <w:rPr>
          <w:rFonts w:ascii="Arial" w:hAnsi="Arial"/>
          <w:sz w:val="20"/>
        </w:rPr>
        <w:t>who have had an inadequate res</w:t>
      </w:r>
      <w:r w:rsidR="00654B5B">
        <w:rPr>
          <w:rFonts w:ascii="Arial" w:hAnsi="Arial"/>
          <w:sz w:val="20"/>
        </w:rPr>
        <w:t>ponse to conventional therapies</w:t>
      </w:r>
      <w:r w:rsidRPr="00A868ED">
        <w:rPr>
          <w:rFonts w:ascii="Arial" w:hAnsi="Arial"/>
          <w:sz w:val="20"/>
        </w:rPr>
        <w:t xml:space="preserve"> or</w:t>
      </w:r>
      <w:r w:rsidR="00654B5B">
        <w:rPr>
          <w:rFonts w:ascii="Arial" w:hAnsi="Arial"/>
          <w:sz w:val="20"/>
        </w:rPr>
        <w:t>,</w:t>
      </w:r>
      <w:r w:rsidRPr="00A868ED">
        <w:rPr>
          <w:rFonts w:ascii="Arial" w:hAnsi="Arial"/>
          <w:sz w:val="20"/>
        </w:rPr>
        <w:t xml:space="preserve"> </w:t>
      </w:r>
    </w:p>
    <w:p w:rsidR="00E44F87" w:rsidRPr="00A868ED" w:rsidRDefault="00E44F87" w:rsidP="00654B5B">
      <w:pPr>
        <w:numPr>
          <w:ilvl w:val="0"/>
          <w:numId w:val="16"/>
        </w:numPr>
        <w:autoSpaceDE w:val="0"/>
        <w:autoSpaceDN w:val="0"/>
        <w:adjustRightInd w:val="0"/>
        <w:jc w:val="both"/>
        <w:rPr>
          <w:rFonts w:ascii="Arial" w:hAnsi="Arial"/>
          <w:sz w:val="20"/>
        </w:rPr>
      </w:pPr>
      <w:r w:rsidRPr="00A868ED">
        <w:rPr>
          <w:rFonts w:ascii="Arial" w:hAnsi="Arial"/>
          <w:sz w:val="20"/>
        </w:rPr>
        <w:t>who have lost response to or are intolerant of infliximab.</w:t>
      </w:r>
    </w:p>
    <w:p w:rsidR="00E44F87" w:rsidRDefault="00E44F87">
      <w:pPr>
        <w:autoSpaceDE w:val="0"/>
        <w:autoSpaceDN w:val="0"/>
        <w:adjustRightInd w:val="0"/>
        <w:jc w:val="both"/>
        <w:rPr>
          <w:rFonts w:ascii="Arial" w:hAnsi="Arial"/>
          <w:sz w:val="20"/>
        </w:rPr>
      </w:pPr>
    </w:p>
    <w:p w:rsidR="0045166B" w:rsidRPr="002430F3" w:rsidRDefault="0045166B" w:rsidP="0045166B">
      <w:pPr>
        <w:keepNext/>
        <w:rPr>
          <w:rFonts w:ascii="Arial" w:hAnsi="Arial" w:cs="Arial"/>
          <w:b/>
          <w:bCs/>
          <w:sz w:val="20"/>
          <w:szCs w:val="20"/>
        </w:rPr>
      </w:pPr>
      <w:r w:rsidRPr="002430F3">
        <w:rPr>
          <w:rFonts w:ascii="Arial" w:hAnsi="Arial" w:cs="Arial"/>
          <w:b/>
          <w:bCs/>
          <w:sz w:val="20"/>
          <w:szCs w:val="20"/>
        </w:rPr>
        <w:t>Ulcerative colitis</w:t>
      </w:r>
    </w:p>
    <w:p w:rsidR="0045166B" w:rsidRPr="000D0013" w:rsidRDefault="0045166B" w:rsidP="0045166B">
      <w:pPr>
        <w:keepNext/>
        <w:rPr>
          <w:rFonts w:ascii="Arial" w:hAnsi="Arial" w:cs="Arial"/>
          <w:b/>
          <w:bCs/>
          <w:sz w:val="20"/>
          <w:szCs w:val="20"/>
          <w:u w:val="single"/>
        </w:rPr>
      </w:pPr>
    </w:p>
    <w:p w:rsidR="00C67CE5" w:rsidRPr="00C67CE5" w:rsidRDefault="0045166B" w:rsidP="00C67CE5">
      <w:pPr>
        <w:rPr>
          <w:rFonts w:ascii="Arial" w:hAnsi="Arial" w:cs="Arial"/>
          <w:noProof/>
          <w:sz w:val="20"/>
          <w:szCs w:val="20"/>
          <w:lang w:val="en-GB"/>
        </w:rPr>
      </w:pPr>
      <w:r w:rsidRPr="000D0013">
        <w:rPr>
          <w:rFonts w:ascii="Arial" w:hAnsi="Arial" w:cs="Arial"/>
          <w:noProof/>
          <w:sz w:val="20"/>
          <w:szCs w:val="20"/>
        </w:rPr>
        <w:t xml:space="preserve">Humira is indicated for the treatment of moderate to severe ulcerative colitis </w:t>
      </w:r>
      <w:r w:rsidRPr="002430F3">
        <w:rPr>
          <w:rFonts w:ascii="Arial" w:hAnsi="Arial" w:cs="Arial"/>
          <w:noProof/>
          <w:sz w:val="20"/>
          <w:szCs w:val="20"/>
        </w:rPr>
        <w:t xml:space="preserve">in </w:t>
      </w:r>
      <w:r w:rsidR="008C5D74" w:rsidRPr="002430F3">
        <w:rPr>
          <w:rFonts w:ascii="Arial" w:hAnsi="Arial" w:cs="Arial"/>
          <w:noProof/>
          <w:sz w:val="20"/>
          <w:szCs w:val="20"/>
        </w:rPr>
        <w:t xml:space="preserve">adult </w:t>
      </w:r>
      <w:r w:rsidRPr="002430F3">
        <w:rPr>
          <w:rFonts w:ascii="Arial" w:hAnsi="Arial" w:cs="Arial"/>
          <w:noProof/>
          <w:sz w:val="20"/>
          <w:szCs w:val="20"/>
        </w:rPr>
        <w:t>patients</w:t>
      </w:r>
      <w:r w:rsidRPr="000D0013">
        <w:rPr>
          <w:rFonts w:ascii="Arial" w:hAnsi="Arial" w:cs="Arial"/>
          <w:noProof/>
          <w:sz w:val="20"/>
          <w:szCs w:val="20"/>
        </w:rPr>
        <w:t xml:space="preserve"> who have had an inadequate response to conventional therapy </w:t>
      </w:r>
      <w:r w:rsidRPr="000D0013">
        <w:rPr>
          <w:rFonts w:ascii="Arial" w:hAnsi="Arial" w:cs="Arial"/>
          <w:noProof/>
          <w:sz w:val="20"/>
          <w:szCs w:val="20"/>
          <w:lang w:val="en-GB"/>
        </w:rPr>
        <w:t xml:space="preserve">or who are intolerant to or have medical </w:t>
      </w:r>
      <w:r w:rsidRPr="002430F3">
        <w:rPr>
          <w:rFonts w:ascii="Arial" w:hAnsi="Arial" w:cs="Arial"/>
          <w:noProof/>
          <w:sz w:val="20"/>
          <w:szCs w:val="20"/>
          <w:lang w:val="en-GB"/>
        </w:rPr>
        <w:t>contraindications for such therapies.</w:t>
      </w:r>
      <w:r w:rsidR="00C67CE5" w:rsidRPr="002430F3">
        <w:rPr>
          <w:rFonts w:ascii="Arial" w:hAnsi="Arial" w:cs="Arial"/>
          <w:noProof/>
          <w:sz w:val="20"/>
          <w:szCs w:val="20"/>
          <w:lang w:val="en-GB"/>
        </w:rPr>
        <w:t xml:space="preserve"> Patients should show a clinical response within 8 weeks of treatment to continue t</w:t>
      </w:r>
      <w:r w:rsidR="002430F3">
        <w:rPr>
          <w:rFonts w:ascii="Arial" w:hAnsi="Arial" w:cs="Arial"/>
          <w:noProof/>
          <w:sz w:val="20"/>
          <w:szCs w:val="20"/>
          <w:lang w:val="en-GB"/>
        </w:rPr>
        <w:t>reatment beyond that time</w:t>
      </w:r>
      <w:r w:rsidR="00C67CE5" w:rsidRPr="002430F3">
        <w:rPr>
          <w:rFonts w:ascii="Arial" w:hAnsi="Arial" w:cs="Arial"/>
          <w:noProof/>
          <w:sz w:val="20"/>
          <w:szCs w:val="20"/>
          <w:lang w:val="en-GB"/>
        </w:rPr>
        <w:t xml:space="preserve"> (see CLINICAL TRIALS).</w:t>
      </w:r>
    </w:p>
    <w:p w:rsidR="0045166B" w:rsidRPr="00A868ED" w:rsidRDefault="0045166B" w:rsidP="0045166B">
      <w:pPr>
        <w:autoSpaceDE w:val="0"/>
        <w:autoSpaceDN w:val="0"/>
        <w:adjustRightInd w:val="0"/>
        <w:jc w:val="both"/>
        <w:rPr>
          <w:rFonts w:ascii="Arial" w:hAnsi="Arial"/>
          <w:sz w:val="20"/>
        </w:rPr>
      </w:pPr>
    </w:p>
    <w:p w:rsidR="00E44F87" w:rsidRPr="00A868ED" w:rsidRDefault="00E44F87">
      <w:pPr>
        <w:pStyle w:val="DefaultText"/>
        <w:jc w:val="both"/>
        <w:rPr>
          <w:rFonts w:cs="Arial"/>
          <w:b/>
          <w:bCs w:val="0"/>
          <w:sz w:val="20"/>
        </w:rPr>
      </w:pPr>
      <w:r w:rsidRPr="00A868ED">
        <w:rPr>
          <w:rFonts w:cs="Arial"/>
          <w:b/>
          <w:bCs w:val="0"/>
          <w:sz w:val="20"/>
        </w:rPr>
        <w:t>Psoriasis</w:t>
      </w:r>
    </w:p>
    <w:p w:rsidR="00E44F87" w:rsidRPr="00A868ED" w:rsidRDefault="00E44F87">
      <w:pPr>
        <w:pStyle w:val="DefaultText"/>
        <w:jc w:val="both"/>
        <w:rPr>
          <w:rFonts w:cs="Arial"/>
          <w:b/>
          <w:bCs w:val="0"/>
          <w:sz w:val="20"/>
        </w:rPr>
      </w:pPr>
    </w:p>
    <w:p w:rsidR="00E44F87" w:rsidRPr="00A868ED" w:rsidRDefault="00E44F87">
      <w:pPr>
        <w:pStyle w:val="EMEANormal"/>
        <w:jc w:val="both"/>
        <w:rPr>
          <w:rFonts w:ascii="Arial" w:hAnsi="Arial" w:cs="Arial"/>
          <w:sz w:val="20"/>
          <w:lang w:val="en-AU"/>
        </w:rPr>
      </w:pPr>
      <w:r w:rsidRPr="00A868ED">
        <w:rPr>
          <w:rFonts w:ascii="Arial" w:hAnsi="Arial" w:cs="Arial"/>
          <w:sz w:val="20"/>
          <w:lang w:val="en-AU"/>
        </w:rPr>
        <w:t>Humira is indicated for the treatment of moderate to severe chronic plaque psoriasis in adult patients who are candidates for systemic therapy or phototherapy.</w:t>
      </w:r>
    </w:p>
    <w:p w:rsidR="00E44F87" w:rsidRPr="00A868ED" w:rsidRDefault="00E44F87">
      <w:pPr>
        <w:pStyle w:val="EMEANormal"/>
        <w:jc w:val="both"/>
        <w:rPr>
          <w:rFonts w:ascii="Arial" w:hAnsi="Arial" w:cs="Arial"/>
          <w:sz w:val="20"/>
          <w:lang w:val="en-AU"/>
        </w:rPr>
      </w:pPr>
    </w:p>
    <w:p w:rsidR="000A1CF2" w:rsidRDefault="000A1CF2">
      <w:pPr>
        <w:pStyle w:val="Header"/>
        <w:tabs>
          <w:tab w:val="clear" w:pos="4320"/>
          <w:tab w:val="clear" w:pos="8640"/>
        </w:tabs>
        <w:autoSpaceDE w:val="0"/>
        <w:autoSpaceDN w:val="0"/>
        <w:adjustRightInd w:val="0"/>
        <w:jc w:val="both"/>
        <w:rPr>
          <w:rFonts w:ascii="Arial" w:hAnsi="Arial" w:cs="Arial"/>
          <w:b/>
          <w:bCs/>
          <w:sz w:val="20"/>
        </w:rPr>
      </w:pPr>
    </w:p>
    <w:p w:rsidR="00E44F87" w:rsidRPr="00A868ED" w:rsidRDefault="00E44F87">
      <w:pPr>
        <w:pStyle w:val="Header"/>
        <w:tabs>
          <w:tab w:val="clear" w:pos="4320"/>
          <w:tab w:val="clear" w:pos="8640"/>
        </w:tabs>
        <w:autoSpaceDE w:val="0"/>
        <w:autoSpaceDN w:val="0"/>
        <w:adjustRightInd w:val="0"/>
        <w:jc w:val="both"/>
        <w:rPr>
          <w:rFonts w:ascii="Arial" w:hAnsi="Arial" w:cs="Arial"/>
          <w:b/>
          <w:bCs/>
          <w:sz w:val="20"/>
        </w:rPr>
      </w:pPr>
      <w:r w:rsidRPr="00A868ED">
        <w:rPr>
          <w:rFonts w:ascii="Arial" w:hAnsi="Arial" w:cs="Arial"/>
          <w:b/>
          <w:bCs/>
          <w:sz w:val="20"/>
        </w:rPr>
        <w:t>CONTRAINDICATIONS</w:t>
      </w:r>
    </w:p>
    <w:p w:rsidR="00E44F87" w:rsidRDefault="00E44F87">
      <w:pPr>
        <w:autoSpaceDE w:val="0"/>
        <w:autoSpaceDN w:val="0"/>
        <w:adjustRightInd w:val="0"/>
        <w:jc w:val="both"/>
        <w:rPr>
          <w:rFonts w:ascii="Arial" w:hAnsi="Arial"/>
          <w:b/>
          <w:sz w:val="20"/>
        </w:rPr>
      </w:pPr>
    </w:p>
    <w:p w:rsidR="00E44F87" w:rsidRDefault="00E44F87">
      <w:pPr>
        <w:autoSpaceDE w:val="0"/>
        <w:autoSpaceDN w:val="0"/>
        <w:adjustRightInd w:val="0"/>
        <w:jc w:val="both"/>
        <w:rPr>
          <w:rFonts w:ascii="Arial" w:hAnsi="Arial"/>
          <w:sz w:val="20"/>
        </w:rPr>
      </w:pPr>
      <w:r>
        <w:rPr>
          <w:rFonts w:ascii="Arial" w:hAnsi="Arial"/>
          <w:sz w:val="20"/>
        </w:rPr>
        <w:t>Humira should not be administered to patients with known hypersensitivity to Humira or any of its excipients.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lastRenderedPageBreak/>
        <w:t xml:space="preserve">Humira is contraindicated in severe infections including sepsis, active tuberculosis and opportunistic infections (see </w:t>
      </w:r>
      <w:r>
        <w:rPr>
          <w:rFonts w:ascii="Arial" w:hAnsi="Arial"/>
          <w:b/>
          <w:bCs/>
          <w:sz w:val="20"/>
        </w:rPr>
        <w:t>PRECAUTIONS</w:t>
      </w:r>
      <w:r>
        <w:rPr>
          <w:rFonts w:ascii="Arial" w:hAnsi="Arial"/>
          <w:sz w:val="20"/>
        </w:rPr>
        <w:t>).</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Concurrent administration of Humira and anakinra (interleukin-1 receptor antagonist) is contraindicated (see </w:t>
      </w:r>
      <w:r>
        <w:rPr>
          <w:rFonts w:ascii="Arial" w:hAnsi="Arial"/>
          <w:b/>
          <w:bCs/>
          <w:sz w:val="20"/>
        </w:rPr>
        <w:t>PRECAUTIONS</w:t>
      </w:r>
      <w:r>
        <w:rPr>
          <w:rFonts w:ascii="Arial" w:hAnsi="Arial"/>
          <w:sz w:val="20"/>
        </w:rPr>
        <w:t>).</w:t>
      </w:r>
    </w:p>
    <w:p w:rsidR="00E44F87" w:rsidRDefault="00E44F87">
      <w:pPr>
        <w:autoSpaceDE w:val="0"/>
        <w:autoSpaceDN w:val="0"/>
        <w:adjustRightInd w:val="0"/>
        <w:jc w:val="both"/>
        <w:rPr>
          <w:rFonts w:ascii="Arial" w:hAnsi="Arial"/>
          <w:sz w:val="20"/>
        </w:rPr>
      </w:pPr>
    </w:p>
    <w:p w:rsidR="00131BDA" w:rsidRDefault="00E44F87" w:rsidP="006D0426">
      <w:pPr>
        <w:tabs>
          <w:tab w:val="left" w:pos="720"/>
        </w:tabs>
        <w:jc w:val="both"/>
        <w:rPr>
          <w:rFonts w:ascii="Arial" w:hAnsi="Arial"/>
          <w:b/>
          <w:sz w:val="20"/>
          <w:u w:val="single"/>
        </w:rPr>
      </w:pPr>
      <w:r>
        <w:rPr>
          <w:rFonts w:ascii="Arial" w:hAnsi="Arial" w:cs="Arial"/>
          <w:sz w:val="20"/>
        </w:rPr>
        <w:t>Moderate to severe heart failure (NYHA class III/IV).</w:t>
      </w:r>
    </w:p>
    <w:p w:rsidR="00131BDA" w:rsidRDefault="00131BDA">
      <w:pPr>
        <w:autoSpaceDE w:val="0"/>
        <w:autoSpaceDN w:val="0"/>
        <w:adjustRightInd w:val="0"/>
        <w:jc w:val="both"/>
        <w:rPr>
          <w:rFonts w:ascii="Arial" w:hAnsi="Arial"/>
          <w:b/>
          <w:sz w:val="20"/>
          <w:u w:val="single"/>
        </w:rPr>
      </w:pPr>
    </w:p>
    <w:p w:rsidR="00E44F87" w:rsidRPr="00A868ED" w:rsidRDefault="00E44F87">
      <w:pPr>
        <w:autoSpaceDE w:val="0"/>
        <w:autoSpaceDN w:val="0"/>
        <w:adjustRightInd w:val="0"/>
        <w:jc w:val="both"/>
        <w:rPr>
          <w:rFonts w:ascii="Arial" w:hAnsi="Arial"/>
          <w:b/>
          <w:sz w:val="20"/>
        </w:rPr>
      </w:pPr>
      <w:r w:rsidRPr="00A868ED">
        <w:rPr>
          <w:rFonts w:ascii="Arial" w:hAnsi="Arial"/>
          <w:b/>
          <w:sz w:val="20"/>
        </w:rPr>
        <w:t>PRECAUTIONS</w:t>
      </w:r>
    </w:p>
    <w:p w:rsidR="00E44F87" w:rsidRDefault="00E44F87">
      <w:pPr>
        <w:autoSpaceDE w:val="0"/>
        <w:autoSpaceDN w:val="0"/>
        <w:adjustRightInd w:val="0"/>
        <w:jc w:val="both"/>
        <w:rPr>
          <w:rFonts w:ascii="Arial" w:hAnsi="Arial"/>
          <w:b/>
          <w:sz w:val="20"/>
        </w:rPr>
      </w:pPr>
    </w:p>
    <w:p w:rsidR="00E44F87" w:rsidRDefault="00E44F87">
      <w:pPr>
        <w:autoSpaceDE w:val="0"/>
        <w:autoSpaceDN w:val="0"/>
        <w:adjustRightInd w:val="0"/>
        <w:jc w:val="both"/>
        <w:rPr>
          <w:rFonts w:ascii="Arial" w:hAnsi="Arial"/>
          <w:b/>
          <w:i/>
          <w:sz w:val="20"/>
        </w:rPr>
      </w:pPr>
      <w:r>
        <w:rPr>
          <w:rFonts w:ascii="Arial" w:hAnsi="Arial"/>
          <w:b/>
          <w:i/>
          <w:sz w:val="20"/>
        </w:rPr>
        <w:t>Infections</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strike/>
          <w:sz w:val="20"/>
        </w:rPr>
      </w:pPr>
      <w:r>
        <w:rPr>
          <w:rFonts w:ascii="Arial" w:hAnsi="Arial"/>
          <w:sz w:val="20"/>
        </w:rPr>
        <w:t>Serious infections, due to bacterial, mycobacterial, invasive fungal (disseminated or extrapulmonary histoplasmosis, aspergillosis, coccidioidomycosis), viral, parasitic or other opportunistic infections such as listeriosis</w:t>
      </w:r>
      <w:r w:rsidR="007C654C">
        <w:rPr>
          <w:rFonts w:ascii="Arial" w:hAnsi="Arial"/>
          <w:sz w:val="20"/>
        </w:rPr>
        <w:t>, Legionellosis</w:t>
      </w:r>
      <w:r>
        <w:rPr>
          <w:rFonts w:ascii="Arial" w:hAnsi="Arial"/>
          <w:sz w:val="20"/>
        </w:rPr>
        <w:t xml:space="preserve"> and pneumocystis have been reported in patients receiving TNF-blocking agents, including Humira. Sepsis, rare cases of tuberculosis and candidiasis have also been reported with the use of TNF antagonists, including Humira.  Other serious infections seen in clinical trials include pneumonia, pyelonephritis, septic arthritis and septicaemia. Hospitalisation or fatal outcomes associated with infections have been reported. Many of the serious infections have occurred in patients on concomitant immunosuppressive therapy that, in addition to their underlying disease could predispose them to infections.</w:t>
      </w:r>
      <w:r>
        <w:rPr>
          <w:rFonts w:ascii="Arial" w:hAnsi="Arial"/>
          <w:strike/>
          <w:sz w:val="20"/>
        </w:rPr>
        <w:t xml:space="preserve">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b/>
          <w:bCs/>
          <w:sz w:val="20"/>
        </w:rPr>
      </w:pPr>
      <w:r>
        <w:rPr>
          <w:rFonts w:ascii="Arial" w:hAnsi="Arial"/>
          <w:sz w:val="20"/>
        </w:rPr>
        <w:t xml:space="preserve">Treatment with Humira should not be initiated in patients with active infections including chronic or localised infections until infections are controlled.  In patients who have been exposed to tuberculosis, and patients who have travelled in areas of high risk of tuberculosis or endemic mycoses, such as histoplasmosis, coccidioidomycosis, or blastomycosis, the risk and benefits of treatment with Humira should be considered prior to initiating therapy (see </w:t>
      </w:r>
      <w:r>
        <w:rPr>
          <w:rFonts w:ascii="Arial" w:hAnsi="Arial"/>
          <w:b/>
          <w:bCs/>
          <w:sz w:val="20"/>
        </w:rPr>
        <w:t>Other Opportunistic Infections).</w:t>
      </w:r>
    </w:p>
    <w:p w:rsidR="00E44F87" w:rsidRDefault="00E44F87">
      <w:pPr>
        <w:autoSpaceDE w:val="0"/>
        <w:autoSpaceDN w:val="0"/>
        <w:adjustRightInd w:val="0"/>
        <w:jc w:val="both"/>
        <w:rPr>
          <w:rFonts w:ascii="Arial" w:hAnsi="Arial"/>
          <w:b/>
          <w:bCs/>
          <w:sz w:val="20"/>
        </w:rPr>
      </w:pPr>
    </w:p>
    <w:p w:rsidR="00E44F87" w:rsidRDefault="00E44F87">
      <w:pPr>
        <w:autoSpaceDE w:val="0"/>
        <w:autoSpaceDN w:val="0"/>
        <w:adjustRightInd w:val="0"/>
        <w:jc w:val="both"/>
        <w:rPr>
          <w:rFonts w:ascii="Arial" w:hAnsi="Arial"/>
          <w:sz w:val="20"/>
        </w:rPr>
      </w:pPr>
      <w:r>
        <w:rPr>
          <w:rFonts w:ascii="Arial" w:hAnsi="Arial"/>
          <w:sz w:val="20"/>
        </w:rPr>
        <w:t>Patients should be monitored closely for infections – including tuberculosis before, during and after treatment with Humira.</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b/>
          <w:i/>
          <w:sz w:val="20"/>
        </w:rPr>
      </w:pPr>
      <w:r>
        <w:rPr>
          <w:rFonts w:ascii="Arial" w:hAnsi="Arial"/>
          <w:sz w:val="20"/>
        </w:rPr>
        <w:t xml:space="preserve">Patients who develop a new infection while undergoing treatment with Humira should be monitored closely and undergo a complete diagnostic evaluation. Administration of Humira should be discontinued if a patient develops a new serious infection or sepsis, and appropriate antimicrobial or antifungal therapy should be initiated. Physicians should exercise caution when considering the use of Humira in patients with a history of recurring infection or with underlying conditions, which may predispose patients to infections.  </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r>
        <w:rPr>
          <w:rFonts w:ascii="Arial" w:hAnsi="Arial"/>
          <w:b/>
          <w:i/>
          <w:sz w:val="20"/>
        </w:rPr>
        <w:t>Hepatitis B Virus</w:t>
      </w:r>
    </w:p>
    <w:p w:rsidR="00E44F87" w:rsidRDefault="00E44F87">
      <w:pPr>
        <w:autoSpaceDE w:val="0"/>
        <w:autoSpaceDN w:val="0"/>
        <w:adjustRightInd w:val="0"/>
        <w:jc w:val="both"/>
        <w:rPr>
          <w:rFonts w:ascii="Arial" w:hAnsi="Arial"/>
          <w:b/>
          <w:i/>
          <w:sz w:val="20"/>
        </w:rPr>
      </w:pPr>
    </w:p>
    <w:p w:rsidR="00E44F87" w:rsidRDefault="00E44F87">
      <w:pPr>
        <w:jc w:val="both"/>
        <w:rPr>
          <w:rFonts w:ascii="Arial" w:hAnsi="Arial" w:cs="Arial"/>
          <w:color w:val="000000"/>
          <w:sz w:val="20"/>
          <w:lang w:eastAsia="de-DE"/>
        </w:rPr>
      </w:pPr>
      <w:r>
        <w:rPr>
          <w:rFonts w:ascii="Arial" w:hAnsi="Arial" w:cs="Arial"/>
          <w:color w:val="000000"/>
          <w:sz w:val="20"/>
          <w:lang w:eastAsia="de-DE"/>
        </w:rPr>
        <w:t xml:space="preserve">Use of TNF </w:t>
      </w:r>
      <w:r>
        <w:rPr>
          <w:rFonts w:ascii="Arial" w:hAnsi="Arial" w:cs="Arial"/>
          <w:sz w:val="20"/>
          <w:lang w:eastAsia="de-DE"/>
        </w:rPr>
        <w:t>blockers, including Humira, has</w:t>
      </w:r>
      <w:r>
        <w:rPr>
          <w:rFonts w:ascii="Arial" w:hAnsi="Arial" w:cs="Arial"/>
          <w:color w:val="000000"/>
          <w:sz w:val="20"/>
          <w:lang w:eastAsia="de-DE"/>
        </w:rPr>
        <w:t xml:space="preserve"> been associated with reactivation of hepatitis B virus (HBV) in patients who are chronic carriers of this virus.  In some instances, HBV reactivation occurring in conjunction with TNF blocker therapy has been fatal.  The majority of these reports have occurred in patients concomitantly receiving other medications that suppress the immune system, which may also contribute to HBV reactivation.  Patients at risk for HBV infection should be evaluated for evidence of prior HBV infection before initiating TNF blocker therapy.  Prescribers should exercise caution in prescribing TNF blockers for patients identified as carriers of HBV. Patients who are carriers of HBV and require treatment with TNF blockers should be closely monitored for signs and symptoms of active HBV infection throughout therapy and for several months following termination of therapy. Adequate data are not available on the safety or efficacy of treating patients who are carriers of HBV with anti-viral therapy in conjunction with TNF blocker therapy to prevent HBV reactivation. In patients who develop HBV reactivation, Humira should be stopped and effective anti-viral therapy with appropriate supportive treatment should be initiated. </w:t>
      </w:r>
    </w:p>
    <w:p w:rsidR="00E44F87" w:rsidRDefault="00E44F87">
      <w:pPr>
        <w:jc w:val="both"/>
        <w:rPr>
          <w:rFonts w:ascii="Arial" w:hAnsi="Arial" w:cs="Arial"/>
          <w:sz w:val="20"/>
        </w:rPr>
      </w:pPr>
    </w:p>
    <w:p w:rsidR="00E44F87" w:rsidRDefault="00E44F87">
      <w:pPr>
        <w:autoSpaceDE w:val="0"/>
        <w:autoSpaceDN w:val="0"/>
        <w:adjustRightInd w:val="0"/>
        <w:jc w:val="both"/>
        <w:rPr>
          <w:rFonts w:ascii="Arial" w:hAnsi="Arial"/>
          <w:b/>
          <w:i/>
          <w:sz w:val="20"/>
        </w:rPr>
      </w:pPr>
      <w:r>
        <w:rPr>
          <w:rFonts w:ascii="Arial" w:hAnsi="Arial"/>
          <w:b/>
          <w:i/>
          <w:sz w:val="20"/>
        </w:rPr>
        <w:t xml:space="preserve">Tuberculosis </w:t>
      </w:r>
    </w:p>
    <w:p w:rsidR="00E44F87" w:rsidRDefault="00E44F87">
      <w:pPr>
        <w:autoSpaceDE w:val="0"/>
        <w:autoSpaceDN w:val="0"/>
        <w:adjustRightInd w:val="0"/>
        <w:jc w:val="both"/>
        <w:rPr>
          <w:rFonts w:ascii="Arial" w:hAnsi="Arial"/>
          <w:sz w:val="20"/>
        </w:rPr>
      </w:pPr>
    </w:p>
    <w:p w:rsidR="00E44F87" w:rsidRDefault="0038397D">
      <w:pPr>
        <w:autoSpaceDE w:val="0"/>
        <w:autoSpaceDN w:val="0"/>
        <w:adjustRightInd w:val="0"/>
        <w:jc w:val="both"/>
        <w:rPr>
          <w:rFonts w:ascii="Arial" w:hAnsi="Arial"/>
          <w:sz w:val="20"/>
        </w:rPr>
      </w:pPr>
      <w:r>
        <w:rPr>
          <w:rFonts w:ascii="Arial" w:hAnsi="Arial"/>
          <w:sz w:val="20"/>
        </w:rPr>
        <w:t>T</w:t>
      </w:r>
      <w:r w:rsidR="00E44F87">
        <w:rPr>
          <w:rFonts w:ascii="Arial" w:hAnsi="Arial"/>
          <w:sz w:val="20"/>
        </w:rPr>
        <w:t xml:space="preserve">uberculosis </w:t>
      </w:r>
      <w:r>
        <w:rPr>
          <w:rFonts w:ascii="Arial" w:hAnsi="Arial"/>
          <w:sz w:val="20"/>
        </w:rPr>
        <w:t>including reactivation and new onset of tuberculosis, has been reported in patients receiving Humira. Reports included cases of pulmonary and extrapulmonary (i.e., disseminated).</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Before initiation of therapy with Humira, all patients should be evaluated for both active </w:t>
      </w:r>
      <w:r w:rsidR="0038397D">
        <w:rPr>
          <w:rFonts w:ascii="Arial" w:hAnsi="Arial"/>
          <w:sz w:val="20"/>
        </w:rPr>
        <w:t>and</w:t>
      </w:r>
      <w:r>
        <w:rPr>
          <w:rFonts w:ascii="Arial" w:hAnsi="Arial"/>
          <w:sz w:val="20"/>
        </w:rPr>
        <w:t xml:space="preserve"> inactive (latent) tuberculosis infection. This evaluation should include a detailed medical </w:t>
      </w:r>
      <w:r w:rsidR="0038397D">
        <w:rPr>
          <w:rFonts w:ascii="Arial" w:hAnsi="Arial"/>
          <w:sz w:val="20"/>
        </w:rPr>
        <w:t xml:space="preserve">assessment of patient </w:t>
      </w:r>
      <w:r>
        <w:rPr>
          <w:rFonts w:ascii="Arial" w:hAnsi="Arial"/>
          <w:sz w:val="20"/>
        </w:rPr>
        <w:t xml:space="preserve">history </w:t>
      </w:r>
      <w:r w:rsidR="0038397D">
        <w:rPr>
          <w:rFonts w:ascii="Arial" w:hAnsi="Arial"/>
          <w:sz w:val="20"/>
        </w:rPr>
        <w:t>of tuberculosis or</w:t>
      </w:r>
      <w:r>
        <w:rPr>
          <w:rFonts w:ascii="Arial" w:hAnsi="Arial"/>
          <w:sz w:val="20"/>
        </w:rPr>
        <w:t xml:space="preserve"> possible previous exposure to </w:t>
      </w:r>
      <w:r w:rsidR="0038397D">
        <w:rPr>
          <w:rFonts w:ascii="Arial" w:hAnsi="Arial"/>
          <w:sz w:val="20"/>
        </w:rPr>
        <w:t>people</w:t>
      </w:r>
      <w:r>
        <w:rPr>
          <w:rFonts w:ascii="Arial" w:hAnsi="Arial"/>
          <w:sz w:val="20"/>
        </w:rPr>
        <w:t xml:space="preserve"> with active tuberculosis and previous and/or current immunosuppressive therapy. Appropriate screening tests (e.g., chest X-ray </w:t>
      </w:r>
      <w:r w:rsidR="00A41AD4">
        <w:rPr>
          <w:rFonts w:ascii="Arial" w:hAnsi="Arial"/>
          <w:sz w:val="20"/>
        </w:rPr>
        <w:t>and</w:t>
      </w:r>
      <w:r>
        <w:rPr>
          <w:rFonts w:ascii="Arial" w:hAnsi="Arial"/>
          <w:sz w:val="20"/>
        </w:rPr>
        <w:t xml:space="preserve"> tuberculin</w:t>
      </w:r>
      <w:r w:rsidR="00A41AD4">
        <w:rPr>
          <w:rFonts w:ascii="Arial" w:hAnsi="Arial"/>
          <w:sz w:val="20"/>
        </w:rPr>
        <w:t xml:space="preserve"> skin</w:t>
      </w:r>
      <w:r>
        <w:rPr>
          <w:rFonts w:ascii="Arial" w:hAnsi="Arial"/>
          <w:sz w:val="20"/>
        </w:rPr>
        <w:t xml:space="preserve"> test) should be </w:t>
      </w:r>
      <w:r>
        <w:rPr>
          <w:rFonts w:ascii="Arial" w:hAnsi="Arial"/>
          <w:sz w:val="20"/>
        </w:rPr>
        <w:lastRenderedPageBreak/>
        <w:t>performed in accordance with local recommendations. Treatment of latent tuberculosis infections should be initiated prior to therapy with Humira. When tuberculin skin testing is performed for latent tuberculosis infection, an induration size of 5mm or greater should be considered positive, even if vaccinated previously with Bacille Calmette-Guerin (BCG).</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The possibility of undetected latent tuberculosis should be considered especially in patients who have immigrated from or travelled to countries with a high prevalence of tuberculosis or who had close contact with a person with active tuberculosis.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If active tuberculosis is diagnosed, Humira therapy must not be initiated.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If latent tuberculosis is diagnosed, appropriate </w:t>
      </w:r>
      <w:r w:rsidR="00A41AD4">
        <w:rPr>
          <w:rFonts w:ascii="Arial" w:hAnsi="Arial"/>
          <w:sz w:val="20"/>
        </w:rPr>
        <w:t xml:space="preserve">treatment must be started with </w:t>
      </w:r>
      <w:r>
        <w:rPr>
          <w:rFonts w:ascii="Arial" w:hAnsi="Arial"/>
          <w:sz w:val="20"/>
        </w:rPr>
        <w:t>anti-tuberculosis prophyla</w:t>
      </w:r>
      <w:r w:rsidR="00A41AD4">
        <w:rPr>
          <w:rFonts w:ascii="Arial" w:hAnsi="Arial"/>
          <w:sz w:val="20"/>
        </w:rPr>
        <w:t>ctic</w:t>
      </w:r>
      <w:r>
        <w:rPr>
          <w:rFonts w:ascii="Arial" w:hAnsi="Arial"/>
          <w:sz w:val="20"/>
        </w:rPr>
        <w:t xml:space="preserve"> </w:t>
      </w:r>
      <w:r w:rsidR="00A41AD4">
        <w:rPr>
          <w:rFonts w:ascii="Arial" w:hAnsi="Arial"/>
          <w:sz w:val="20"/>
        </w:rPr>
        <w:t xml:space="preserve">treatment before the initiation of Humira </w:t>
      </w:r>
      <w:r>
        <w:rPr>
          <w:rFonts w:ascii="Arial" w:hAnsi="Arial"/>
          <w:sz w:val="20"/>
        </w:rPr>
        <w:t xml:space="preserve">in accordance with local recommendations.  </w:t>
      </w:r>
      <w:r w:rsidR="00A41AD4">
        <w:rPr>
          <w:rFonts w:ascii="Arial" w:hAnsi="Arial"/>
          <w:sz w:val="20"/>
        </w:rPr>
        <w:t>Use of a</w:t>
      </w:r>
      <w:r>
        <w:rPr>
          <w:rFonts w:ascii="Arial" w:hAnsi="Arial"/>
          <w:sz w:val="20"/>
        </w:rPr>
        <w:t xml:space="preserve">nti-tuberculosis </w:t>
      </w:r>
      <w:r w:rsidR="00A41AD4">
        <w:rPr>
          <w:rFonts w:ascii="Arial" w:hAnsi="Arial"/>
          <w:sz w:val="20"/>
        </w:rPr>
        <w:t>prophylactic treatment</w:t>
      </w:r>
      <w:r>
        <w:rPr>
          <w:rFonts w:ascii="Arial" w:hAnsi="Arial"/>
          <w:sz w:val="20"/>
        </w:rPr>
        <w:t xml:space="preserve"> should also be considered </w:t>
      </w:r>
      <w:r w:rsidR="00A41AD4">
        <w:rPr>
          <w:rFonts w:ascii="Arial" w:hAnsi="Arial"/>
          <w:sz w:val="20"/>
        </w:rPr>
        <w:t xml:space="preserve">before the initiation of Humira </w:t>
      </w:r>
      <w:r>
        <w:rPr>
          <w:rFonts w:ascii="Arial" w:hAnsi="Arial"/>
          <w:sz w:val="20"/>
        </w:rPr>
        <w:t xml:space="preserve">in patients </w:t>
      </w:r>
      <w:r w:rsidR="00A41AD4">
        <w:rPr>
          <w:rFonts w:ascii="Arial" w:hAnsi="Arial"/>
          <w:sz w:val="20"/>
        </w:rPr>
        <w:t xml:space="preserve">with several or significant risk factors for tuberculosis despite </w:t>
      </w:r>
      <w:r>
        <w:rPr>
          <w:rFonts w:ascii="Arial" w:hAnsi="Arial"/>
          <w:sz w:val="20"/>
        </w:rPr>
        <w:t xml:space="preserve">a negative test for tuberculosis </w:t>
      </w:r>
      <w:r w:rsidR="00A41AD4">
        <w:rPr>
          <w:rFonts w:ascii="Arial" w:hAnsi="Arial"/>
          <w:sz w:val="20"/>
        </w:rPr>
        <w:t>and in patients with a past history of latent or active tuberculosis in whom an adequate course of treatment cannot be confirmed</w:t>
      </w:r>
      <w:r>
        <w:rPr>
          <w:rFonts w:ascii="Arial" w:hAnsi="Arial"/>
          <w:sz w:val="20"/>
        </w:rPr>
        <w:t>. The decision to initiate anti-tuberculosis therapy in these patients should only be made after taking into account both the risk for latent tuberculosis infection and the risks of anti-tuberculosis therapy. If necessary, consultation should occur with a physician with expertise in the treatment of tuberculosis. The benefit/risk balance of therapy with Humira should be very carefully considered.</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Anti-tuberculosis treatment of patients with latent tuberculosis infection reduces the risk of reactivation in patients receiving treatment with Humira.</w:t>
      </w:r>
      <w:r w:rsidR="00A41AD4" w:rsidRPr="00A41AD4">
        <w:rPr>
          <w:rFonts w:ascii="Arial" w:hAnsi="Arial"/>
          <w:sz w:val="20"/>
        </w:rPr>
        <w:t xml:space="preserve"> </w:t>
      </w:r>
      <w:r w:rsidR="00A41AD4">
        <w:rPr>
          <w:rFonts w:ascii="Arial" w:hAnsi="Arial"/>
          <w:sz w:val="20"/>
        </w:rPr>
        <w:t>Despite prophylactic treatment for tuberculosis, cases of reactivated tuberculosis have occurred in patients treated with Humira.</w:t>
      </w:r>
      <w:r>
        <w:rPr>
          <w:rFonts w:ascii="Arial" w:hAnsi="Arial"/>
          <w:sz w:val="20"/>
        </w:rPr>
        <w:t xml:space="preserve"> </w:t>
      </w:r>
      <w:r w:rsidR="00A41AD4">
        <w:rPr>
          <w:rFonts w:ascii="Arial" w:hAnsi="Arial"/>
          <w:sz w:val="20"/>
        </w:rPr>
        <w:t>Also</w:t>
      </w:r>
      <w:r>
        <w:rPr>
          <w:rFonts w:ascii="Arial" w:hAnsi="Arial"/>
          <w:sz w:val="20"/>
        </w:rPr>
        <w:t xml:space="preserve">, active tuberculosis has developed in patients receiving Humira whose screening for latent tuberculosis infection was negative, and some patients who have </w:t>
      </w:r>
      <w:r w:rsidR="00A41AD4">
        <w:rPr>
          <w:rFonts w:ascii="Arial" w:hAnsi="Arial"/>
          <w:sz w:val="20"/>
        </w:rPr>
        <w:t>been successfully treated for</w:t>
      </w:r>
      <w:r w:rsidR="00A41AD4" w:rsidDel="00A41AD4">
        <w:rPr>
          <w:rFonts w:ascii="Arial" w:hAnsi="Arial"/>
          <w:sz w:val="20"/>
        </w:rPr>
        <w:t xml:space="preserve"> </w:t>
      </w:r>
      <w:r>
        <w:rPr>
          <w:rFonts w:ascii="Arial" w:hAnsi="Arial"/>
          <w:sz w:val="20"/>
        </w:rPr>
        <w:t xml:space="preserve">active tuberculosis have </w:t>
      </w:r>
      <w:r w:rsidR="00A41AD4">
        <w:rPr>
          <w:rFonts w:ascii="Arial" w:hAnsi="Arial"/>
          <w:sz w:val="20"/>
        </w:rPr>
        <w:t>re</w:t>
      </w:r>
      <w:r>
        <w:rPr>
          <w:rFonts w:ascii="Arial" w:hAnsi="Arial"/>
          <w:sz w:val="20"/>
        </w:rPr>
        <w:t>developed tuberculosis while being treated with TNF blocking agents.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trike/>
          <w:color w:val="FF0000"/>
          <w:sz w:val="20"/>
        </w:rPr>
      </w:pPr>
      <w:r>
        <w:rPr>
          <w:rFonts w:ascii="Arial" w:hAnsi="Arial"/>
          <w:sz w:val="20"/>
        </w:rPr>
        <w:t xml:space="preserve">Patients receiving Humira should be monitored for signs and symptoms of active tuberculosis, particularly because tests for latent tuberculosis infection may be falsely negative. The risk of false negative tuberculin skin test results should be considered especially in patients who are severely ill or immunocompromised.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Patients should be instructed to seek medical advice if signs/symptoms </w:t>
      </w:r>
      <w:r w:rsidR="00A41AD4">
        <w:rPr>
          <w:rFonts w:ascii="Arial" w:hAnsi="Arial"/>
          <w:sz w:val="20"/>
        </w:rPr>
        <w:t xml:space="preserve">suggestive of a tuberculosis infection </w:t>
      </w:r>
      <w:r>
        <w:rPr>
          <w:rFonts w:ascii="Arial" w:hAnsi="Arial"/>
          <w:sz w:val="20"/>
        </w:rPr>
        <w:t>(e.g., persistent cough, wasting/weight loss, low grade fever) occur</w:t>
      </w:r>
      <w:r w:rsidR="00A41AD4">
        <w:rPr>
          <w:rFonts w:ascii="Arial" w:hAnsi="Arial"/>
          <w:sz w:val="20"/>
        </w:rPr>
        <w:t xml:space="preserve"> during or after therapy with Humira</w:t>
      </w:r>
      <w:r>
        <w:rPr>
          <w:rFonts w:ascii="Arial" w:hAnsi="Arial"/>
          <w:sz w:val="20"/>
        </w:rPr>
        <w:t>.</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b/>
          <w:bCs/>
          <w:i/>
          <w:iCs/>
          <w:sz w:val="20"/>
        </w:rPr>
      </w:pPr>
      <w:r>
        <w:rPr>
          <w:rFonts w:ascii="Arial" w:hAnsi="Arial"/>
          <w:b/>
          <w:i/>
          <w:sz w:val="20"/>
        </w:rPr>
        <w:t>Other Opportunistic Infections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Opportunistic infections, including invasive fungal infections, have been observed in patients receiving Humira. These infections are not consistently recognised in patients taking TNF blockers and this has resulted in delays in appropriate treatment, sometimes resulting in fatal outcomes.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Patients taking TNF blockers are more susceptible to serious fungal infections such as histoplasmosis, coccidioidomycosis, blastomycosis, aspergillosis, candidiasis, and other opportunistic infections. Those who develop fever, malaise, weight loss, sweats, cough, dyspnoea, and/or pulmonary infiltrates, or other serious systemic illness with or without concomitant shock should promptly seek medical attention for a diagnostic evaluation.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bCs/>
          <w:iCs/>
          <w:sz w:val="20"/>
        </w:rPr>
      </w:pPr>
      <w:r>
        <w:rPr>
          <w:rFonts w:ascii="Arial" w:hAnsi="Arial"/>
          <w:sz w:val="20"/>
        </w:rPr>
        <w:t>For patients who reside or travel in regions where mycoses are endemic, invasive fungal infections should be suspected if they develop the signs and symptoms of possible systemic fungal infection. Patients are at risk of histoplasmosis and other invasive fungal infections and hence clinicians should consider empiric antifungal treatment until the pathogen(s) are identified.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the risks of antifungal therapy. Patients who develop a severe fungal infection are also advised to stop the TNF blocker until infections are controlled.</w:t>
      </w:r>
    </w:p>
    <w:p w:rsidR="00E44F87" w:rsidRDefault="00E44F87">
      <w:pPr>
        <w:autoSpaceDE w:val="0"/>
        <w:autoSpaceDN w:val="0"/>
        <w:adjustRightInd w:val="0"/>
        <w:jc w:val="both"/>
        <w:rPr>
          <w:rFonts w:ascii="Arial" w:hAnsi="Arial"/>
          <w:color w:val="0000FF"/>
          <w:sz w:val="20"/>
          <w:u w:val="double"/>
        </w:rPr>
      </w:pPr>
    </w:p>
    <w:p w:rsidR="00E44F87" w:rsidRDefault="00E44F87" w:rsidP="00D671D6">
      <w:pPr>
        <w:keepNext/>
        <w:autoSpaceDE w:val="0"/>
        <w:autoSpaceDN w:val="0"/>
        <w:adjustRightInd w:val="0"/>
        <w:jc w:val="both"/>
        <w:rPr>
          <w:rFonts w:ascii="Arial" w:hAnsi="Arial"/>
          <w:b/>
          <w:i/>
          <w:sz w:val="20"/>
        </w:rPr>
      </w:pPr>
      <w:r>
        <w:rPr>
          <w:rFonts w:ascii="Arial" w:hAnsi="Arial"/>
          <w:b/>
          <w:i/>
          <w:sz w:val="20"/>
        </w:rPr>
        <w:lastRenderedPageBreak/>
        <w:t>Neurologic Events</w:t>
      </w:r>
    </w:p>
    <w:p w:rsidR="00E44F87" w:rsidRDefault="00E44F87" w:rsidP="00D671D6">
      <w:pPr>
        <w:keepNext/>
        <w:autoSpaceDE w:val="0"/>
        <w:autoSpaceDN w:val="0"/>
        <w:adjustRightInd w:val="0"/>
        <w:jc w:val="both"/>
        <w:rPr>
          <w:rFonts w:ascii="Arial" w:hAnsi="Arial"/>
          <w:b/>
          <w:i/>
          <w:sz w:val="20"/>
        </w:rPr>
      </w:pPr>
    </w:p>
    <w:p w:rsidR="00E44F87" w:rsidRPr="006D0426" w:rsidRDefault="00E44F87">
      <w:pPr>
        <w:autoSpaceDE w:val="0"/>
        <w:autoSpaceDN w:val="0"/>
        <w:adjustRightInd w:val="0"/>
        <w:jc w:val="both"/>
        <w:rPr>
          <w:rFonts w:ascii="Arial" w:hAnsi="Arial"/>
          <w:sz w:val="20"/>
        </w:rPr>
      </w:pPr>
      <w:r w:rsidRPr="006D0426">
        <w:rPr>
          <w:rFonts w:ascii="Arial" w:hAnsi="Arial"/>
          <w:sz w:val="20"/>
        </w:rPr>
        <w:t xml:space="preserve">Humira has been associated in rare cases with new onset or exacerbation of clinical symptoms and/or radiographic evidence of </w:t>
      </w:r>
      <w:r w:rsidR="00051527" w:rsidRPr="006D0426">
        <w:rPr>
          <w:rFonts w:ascii="Arial" w:hAnsi="Arial"/>
          <w:sz w:val="20"/>
        </w:rPr>
        <w:t xml:space="preserve">central nervous system </w:t>
      </w:r>
      <w:r w:rsidRPr="006D0426">
        <w:rPr>
          <w:rFonts w:ascii="Arial" w:hAnsi="Arial"/>
          <w:sz w:val="20"/>
        </w:rPr>
        <w:t>demyelinating disease, including multiple sclerosis</w:t>
      </w:r>
      <w:r w:rsidR="006F237C">
        <w:rPr>
          <w:rFonts w:ascii="Arial" w:hAnsi="Arial"/>
          <w:sz w:val="20"/>
        </w:rPr>
        <w:t xml:space="preserve">, </w:t>
      </w:r>
      <w:r w:rsidR="00C86153">
        <w:rPr>
          <w:rFonts w:ascii="Arial" w:hAnsi="Arial"/>
          <w:sz w:val="20"/>
        </w:rPr>
        <w:t>and optic neuritis</w:t>
      </w:r>
      <w:r w:rsidR="006F237C">
        <w:rPr>
          <w:rFonts w:ascii="Arial" w:hAnsi="Arial"/>
          <w:sz w:val="20"/>
        </w:rPr>
        <w:t>,</w:t>
      </w:r>
      <w:r w:rsidR="00051527" w:rsidRPr="006D0426">
        <w:rPr>
          <w:rFonts w:ascii="Arial" w:hAnsi="Arial"/>
          <w:sz w:val="20"/>
        </w:rPr>
        <w:t xml:space="preserve"> and peripheral demyelinating disease, including Guillain Barr</w:t>
      </w:r>
      <w:r w:rsidR="00051527" w:rsidRPr="006D0426">
        <w:rPr>
          <w:rFonts w:ascii="Arial" w:hAnsi="Arial" w:cs="Arial"/>
          <w:sz w:val="20"/>
        </w:rPr>
        <w:t>é</w:t>
      </w:r>
      <w:r w:rsidR="00051527" w:rsidRPr="006D0426">
        <w:rPr>
          <w:rFonts w:ascii="Arial" w:hAnsi="Arial"/>
          <w:sz w:val="20"/>
        </w:rPr>
        <w:t xml:space="preserve"> syndrome</w:t>
      </w:r>
      <w:r w:rsidRPr="006D0426">
        <w:rPr>
          <w:rFonts w:ascii="Arial" w:hAnsi="Arial"/>
          <w:sz w:val="20"/>
        </w:rPr>
        <w:t xml:space="preserve">.  Prescribers should exercise caution in considering the use of Humira in patients with pre-existing or recent-onset central </w:t>
      </w:r>
      <w:r w:rsidR="00051527" w:rsidRPr="006D0426">
        <w:rPr>
          <w:rFonts w:ascii="Arial" w:hAnsi="Arial"/>
          <w:sz w:val="20"/>
        </w:rPr>
        <w:t xml:space="preserve">or peripheral </w:t>
      </w:r>
      <w:r w:rsidRPr="006D0426">
        <w:rPr>
          <w:rFonts w:ascii="Arial" w:hAnsi="Arial"/>
          <w:sz w:val="20"/>
        </w:rPr>
        <w:t>nervous system demyelinating disorders.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b/>
          <w:i/>
          <w:sz w:val="20"/>
        </w:rPr>
      </w:pPr>
      <w:r>
        <w:rPr>
          <w:rFonts w:ascii="Arial" w:hAnsi="Arial"/>
          <w:b/>
          <w:i/>
          <w:sz w:val="20"/>
        </w:rPr>
        <w:t>Hypersensitivity Reactions</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sz w:val="20"/>
        </w:rPr>
      </w:pPr>
      <w:r>
        <w:rPr>
          <w:rFonts w:ascii="Arial" w:hAnsi="Arial"/>
          <w:sz w:val="20"/>
        </w:rPr>
        <w:t xml:space="preserve">Serious allergic reactions associated with Humira were rare during clinical trials.  Allergic reactions overall (e.g., allergic rash, anaphylactoid reaction, fixed-drug reaction, non-specific drug reaction, urticaria) have been observed in approximately 1% of patients. </w:t>
      </w:r>
      <w:r w:rsidR="00A41AD4">
        <w:rPr>
          <w:rFonts w:ascii="Arial" w:hAnsi="Arial"/>
          <w:sz w:val="20"/>
        </w:rPr>
        <w:t>Report</w:t>
      </w:r>
      <w:r w:rsidR="0028230C">
        <w:rPr>
          <w:rFonts w:ascii="Arial" w:hAnsi="Arial"/>
          <w:sz w:val="20"/>
        </w:rPr>
        <w:t>s</w:t>
      </w:r>
      <w:r w:rsidR="00A41AD4">
        <w:rPr>
          <w:rFonts w:ascii="Arial" w:hAnsi="Arial"/>
          <w:sz w:val="20"/>
        </w:rPr>
        <w:t xml:space="preserve"> of</w:t>
      </w:r>
      <w:r>
        <w:rPr>
          <w:rFonts w:ascii="Arial" w:hAnsi="Arial"/>
          <w:sz w:val="20"/>
        </w:rPr>
        <w:t xml:space="preserve"> serious allergic reactions including anaphylaxis have been </w:t>
      </w:r>
      <w:r w:rsidR="00A41AD4">
        <w:rPr>
          <w:rFonts w:ascii="Arial" w:hAnsi="Arial"/>
          <w:sz w:val="20"/>
        </w:rPr>
        <w:t>received</w:t>
      </w:r>
      <w:r>
        <w:rPr>
          <w:rFonts w:ascii="Arial" w:hAnsi="Arial"/>
          <w:sz w:val="20"/>
        </w:rPr>
        <w:t xml:space="preserve"> following Humira administration. If an anaphylactic reaction or other serious allergic reaction occurs, administration of Humira should be discontinued immediately and appropriate therapy initiated.</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The needle cover of the syringe contains natural rubber (latex).  This may cause severe allergic reactions in patients sensitive to latex.</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b/>
          <w:bCs/>
          <w:i/>
          <w:iCs/>
          <w:sz w:val="20"/>
        </w:rPr>
      </w:pPr>
      <w:r>
        <w:rPr>
          <w:rFonts w:ascii="Arial" w:hAnsi="Arial"/>
          <w:b/>
          <w:bCs/>
          <w:i/>
          <w:iCs/>
          <w:sz w:val="20"/>
        </w:rPr>
        <w:t>Haematologic Events</w:t>
      </w:r>
    </w:p>
    <w:p w:rsidR="00E44F87" w:rsidRDefault="00E44F87">
      <w:pPr>
        <w:autoSpaceDE w:val="0"/>
        <w:autoSpaceDN w:val="0"/>
        <w:adjustRightInd w:val="0"/>
        <w:jc w:val="both"/>
        <w:rPr>
          <w:rFonts w:ascii="Arial" w:hAnsi="Arial"/>
          <w:b/>
          <w:bCs/>
          <w:i/>
          <w:iCs/>
          <w:sz w:val="20"/>
        </w:rPr>
      </w:pPr>
    </w:p>
    <w:p w:rsidR="00E44F87" w:rsidRDefault="00E44F87">
      <w:pPr>
        <w:autoSpaceDE w:val="0"/>
        <w:autoSpaceDN w:val="0"/>
        <w:adjustRightInd w:val="0"/>
        <w:jc w:val="both"/>
        <w:rPr>
          <w:rFonts w:ascii="Arial" w:hAnsi="Arial"/>
          <w:sz w:val="20"/>
        </w:rPr>
      </w:pPr>
      <w:r>
        <w:rPr>
          <w:rFonts w:ascii="Arial" w:hAnsi="Arial"/>
          <w:sz w:val="20"/>
        </w:rPr>
        <w:t xml:space="preserve">Rare reports of pancytopenia including aplastic anaemia have been reported with TNF blocking agents.  Adverse events of the haematologic system, including medically significant cytopenia (e.g., thrombocytopenia, leukopenia) have been infrequently reported with Humira (see </w:t>
      </w:r>
      <w:r>
        <w:rPr>
          <w:rFonts w:ascii="Arial" w:hAnsi="Arial"/>
          <w:b/>
          <w:bCs/>
          <w:sz w:val="20"/>
        </w:rPr>
        <w:t>ADVERSE REACTIONS</w:t>
      </w:r>
      <w:r>
        <w:rPr>
          <w:rFonts w:ascii="Arial" w:hAnsi="Arial"/>
          <w:sz w:val="20"/>
        </w:rPr>
        <w:t xml:space="preserve">).  The causal relationship of these reports to Humira remains unclear.  All patients should be advised to seek immediate medical attention if they develop signs and symptoms suggestive of blood dyscrasias or infection (e.g., persistent fever, bruising, bleeding, pallor) while on Humira.  Discontinuation of Humira therapy should be considered in patients with confirmed significant haematologic abnormalities. </w:t>
      </w:r>
    </w:p>
    <w:p w:rsidR="007363D1" w:rsidRDefault="007363D1">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r>
        <w:rPr>
          <w:rFonts w:ascii="Arial" w:hAnsi="Arial"/>
          <w:b/>
          <w:i/>
          <w:sz w:val="20"/>
        </w:rPr>
        <w:t>Immunosuppression</w:t>
      </w:r>
    </w:p>
    <w:p w:rsidR="00E44F87" w:rsidRDefault="00E44F87">
      <w:pPr>
        <w:autoSpaceDE w:val="0"/>
        <w:autoSpaceDN w:val="0"/>
        <w:adjustRightInd w:val="0"/>
        <w:jc w:val="both"/>
        <w:rPr>
          <w:rFonts w:ascii="Arial" w:hAnsi="Arial"/>
          <w:b/>
          <w:i/>
          <w:sz w:val="20"/>
        </w:rPr>
      </w:pPr>
    </w:p>
    <w:p w:rsidR="00E44F87" w:rsidRDefault="00E44F87">
      <w:pPr>
        <w:jc w:val="both"/>
        <w:rPr>
          <w:rFonts w:ascii="Arial" w:hAnsi="Arial" w:cs="Arial"/>
          <w:b/>
          <w:bCs/>
          <w:i/>
          <w:iCs/>
          <w:sz w:val="20"/>
        </w:rPr>
      </w:pPr>
      <w:r>
        <w:rPr>
          <w:rFonts w:ascii="Arial" w:hAnsi="Arial" w:cs="Arial"/>
          <w:sz w:val="20"/>
        </w:rPr>
        <w:t xml:space="preserve">The possibility exists for TNF blocking agents, including Humira, to affect host defenses against infections and malignancies since TNF mediates inflammation and modulates cellular immune responses. In a study of 64 patients with rheumatoid arthritis treated with Humira, there was no evidence of depression of delayed-type hypersensitivity, depression of immunoglobulin levels, or change in enumeration of effector T- and B-cells and NK-cells, monocyte/macrophages, and neutrophils. The impact of treatment with Humira on the development and course of malignancies, as well as active and/or chronic infections is not fully understood. The safety and efficacy of Humira in patients with immunosuppression have not been evaluated.  See </w:t>
      </w:r>
      <w:r>
        <w:rPr>
          <w:rFonts w:ascii="Arial" w:hAnsi="Arial" w:cs="Arial"/>
          <w:b/>
          <w:bCs/>
          <w:sz w:val="20"/>
        </w:rPr>
        <w:t xml:space="preserve">PRECAUTIONS - </w:t>
      </w:r>
      <w:r>
        <w:rPr>
          <w:rFonts w:ascii="Arial" w:hAnsi="Arial" w:cs="Arial"/>
          <w:b/>
          <w:bCs/>
          <w:i/>
          <w:iCs/>
          <w:sz w:val="20"/>
        </w:rPr>
        <w:t>Infections</w:t>
      </w:r>
      <w:r>
        <w:rPr>
          <w:rFonts w:ascii="Arial" w:hAnsi="Arial" w:cs="Arial"/>
          <w:sz w:val="20"/>
        </w:rPr>
        <w:t xml:space="preserve"> and </w:t>
      </w:r>
      <w:r>
        <w:rPr>
          <w:rFonts w:ascii="Arial" w:hAnsi="Arial" w:cs="Arial"/>
          <w:b/>
          <w:bCs/>
          <w:sz w:val="20"/>
        </w:rPr>
        <w:t xml:space="preserve">ADVERSE REACTIONS - </w:t>
      </w:r>
      <w:r>
        <w:rPr>
          <w:rFonts w:ascii="Arial" w:hAnsi="Arial" w:cs="Arial"/>
          <w:b/>
          <w:bCs/>
          <w:i/>
          <w:iCs/>
          <w:sz w:val="20"/>
        </w:rPr>
        <w:t>Infections and Malignancies.</w:t>
      </w:r>
    </w:p>
    <w:p w:rsidR="00E44F87" w:rsidRDefault="00E44F87">
      <w:pPr>
        <w:jc w:val="both"/>
        <w:rPr>
          <w:rFonts w:ascii="Arial" w:hAnsi="Arial"/>
          <w:b/>
          <w:i/>
          <w:sz w:val="20"/>
        </w:rPr>
      </w:pPr>
    </w:p>
    <w:p w:rsidR="00E44F87" w:rsidRDefault="00E44F87">
      <w:pPr>
        <w:autoSpaceDE w:val="0"/>
        <w:autoSpaceDN w:val="0"/>
        <w:adjustRightInd w:val="0"/>
        <w:jc w:val="both"/>
        <w:rPr>
          <w:rFonts w:ascii="Arial" w:hAnsi="Arial"/>
          <w:b/>
          <w:i/>
          <w:sz w:val="20"/>
        </w:rPr>
      </w:pPr>
      <w:r>
        <w:rPr>
          <w:rFonts w:ascii="Arial" w:hAnsi="Arial"/>
          <w:b/>
          <w:i/>
          <w:sz w:val="20"/>
        </w:rPr>
        <w:t>Vaccinations</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spacing w:line="240" w:lineRule="atLeast"/>
        <w:jc w:val="both"/>
        <w:rPr>
          <w:rFonts w:ascii="Helv" w:hAnsi="Helv"/>
          <w:sz w:val="20"/>
          <w:szCs w:val="20"/>
        </w:rPr>
      </w:pPr>
      <w:r>
        <w:rPr>
          <w:rFonts w:ascii="Helv" w:hAnsi="Helv"/>
          <w:sz w:val="20"/>
          <w:szCs w:val="20"/>
        </w:rPr>
        <w:t>In a randomised, double-blind, placebo-controlled study in 226 adult rheumatoid arthritis patients treated with Humira, antibody responses to concomitant pneumococcal and influenza vaccines were assessed. Protective antibody levels to the pneumococcal antigens were achieved by 86% of patients in the Humira group compared to 82% in the placebo group.  A total of 37% of Humira-treated subjects and 40% of placebo-treated subjects achieved at least a 2-fold increase in at least 3 out of 5 pneumococcal antigens.  In the same study 98% of patients in the Humira group and 95% in the placebo group achieved protective antibody levels to the influenza antigens.  A total of 52% of Humira-treated subjects and 63% of placebo-treated subjects achieved at least a 4-fold increase in at least 2 out of 3 influenza antigens.</w:t>
      </w:r>
    </w:p>
    <w:p w:rsidR="00E44F87" w:rsidRDefault="00E44F87">
      <w:pPr>
        <w:autoSpaceDE w:val="0"/>
        <w:autoSpaceDN w:val="0"/>
        <w:adjustRightInd w:val="0"/>
        <w:spacing w:line="240" w:lineRule="atLeast"/>
        <w:jc w:val="both"/>
        <w:rPr>
          <w:rFonts w:ascii="Helv" w:hAnsi="Helv"/>
          <w:sz w:val="20"/>
          <w:szCs w:val="20"/>
        </w:rPr>
      </w:pPr>
    </w:p>
    <w:p w:rsidR="00E44F87" w:rsidRDefault="00E44F87">
      <w:pPr>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Patients on Humira may receive concurrent vaccinations, except for live vaccines. No data are available on the secondary transmission of infection by live vaccines in patients receiving Humira. </w:t>
      </w:r>
    </w:p>
    <w:p w:rsidR="009E6B60" w:rsidRDefault="009E6B60">
      <w:pPr>
        <w:autoSpaceDE w:val="0"/>
        <w:autoSpaceDN w:val="0"/>
        <w:adjustRightInd w:val="0"/>
        <w:spacing w:line="240" w:lineRule="atLeast"/>
        <w:jc w:val="both"/>
        <w:rPr>
          <w:rFonts w:ascii="Arial" w:hAnsi="Arial" w:cs="Arial"/>
          <w:sz w:val="20"/>
          <w:szCs w:val="20"/>
        </w:rPr>
      </w:pPr>
    </w:p>
    <w:p w:rsidR="009E6B60" w:rsidRDefault="009E6B60" w:rsidP="009E6B60">
      <w:pPr>
        <w:autoSpaceDE w:val="0"/>
        <w:autoSpaceDN w:val="0"/>
        <w:adjustRightInd w:val="0"/>
        <w:jc w:val="both"/>
        <w:rPr>
          <w:rFonts w:ascii="Arial" w:hAnsi="Arial"/>
          <w:sz w:val="20"/>
        </w:rPr>
      </w:pPr>
      <w:r>
        <w:rPr>
          <w:rFonts w:ascii="Arial" w:hAnsi="Arial"/>
          <w:sz w:val="20"/>
        </w:rPr>
        <w:t xml:space="preserve">Administration of live vaccines to infants exposed to Humira in utero is not recommended for 5 months following the mother’s last Humira injection during pregnancy. </w:t>
      </w:r>
    </w:p>
    <w:p w:rsidR="009E6B60" w:rsidRDefault="009E6B60">
      <w:pPr>
        <w:autoSpaceDE w:val="0"/>
        <w:autoSpaceDN w:val="0"/>
        <w:adjustRightInd w:val="0"/>
        <w:spacing w:line="240" w:lineRule="atLeast"/>
        <w:jc w:val="both"/>
        <w:rPr>
          <w:rFonts w:ascii="Arial" w:hAnsi="Arial" w:cs="Arial"/>
          <w:sz w:val="20"/>
          <w:szCs w:val="20"/>
        </w:rPr>
      </w:pPr>
    </w:p>
    <w:p w:rsidR="00E44F87" w:rsidRDefault="00E44F87">
      <w:pPr>
        <w:autoSpaceDE w:val="0"/>
        <w:autoSpaceDN w:val="0"/>
        <w:adjustRightInd w:val="0"/>
        <w:spacing w:line="240" w:lineRule="atLeast"/>
        <w:jc w:val="both"/>
        <w:rPr>
          <w:rFonts w:ascii="Arial" w:hAnsi="Arial"/>
          <w:sz w:val="20"/>
        </w:rPr>
      </w:pPr>
      <w:r>
        <w:rPr>
          <w:rFonts w:ascii="Helv" w:hAnsi="Helv"/>
          <w:sz w:val="20"/>
          <w:szCs w:val="20"/>
        </w:rPr>
        <w:t>It</w:t>
      </w:r>
      <w:r w:rsidR="00D6167E">
        <w:rPr>
          <w:rFonts w:ascii="Helv" w:hAnsi="Helv"/>
          <w:sz w:val="20"/>
          <w:szCs w:val="20"/>
        </w:rPr>
        <w:t xml:space="preserve"> is recommended that paediatric</w:t>
      </w:r>
      <w:r>
        <w:rPr>
          <w:rFonts w:ascii="Helv" w:hAnsi="Helv"/>
          <w:sz w:val="20"/>
          <w:szCs w:val="20"/>
        </w:rPr>
        <w:t xml:space="preserve"> patients, if possible, be brought up to date with all immunisations in agreement with current immunisation guidelines prior to initiating Humira therapy.</w:t>
      </w:r>
    </w:p>
    <w:p w:rsidR="00140993" w:rsidRDefault="00140993">
      <w:pPr>
        <w:autoSpaceDE w:val="0"/>
        <w:autoSpaceDN w:val="0"/>
        <w:adjustRightInd w:val="0"/>
        <w:jc w:val="both"/>
        <w:rPr>
          <w:rFonts w:ascii="Arial" w:hAnsi="Arial"/>
          <w:sz w:val="20"/>
        </w:rPr>
      </w:pPr>
    </w:p>
    <w:p w:rsidR="00E44F87" w:rsidRDefault="00E44F87">
      <w:pPr>
        <w:pStyle w:val="Heading9"/>
        <w:rPr>
          <w:i/>
          <w:iCs/>
        </w:rPr>
      </w:pPr>
      <w:r>
        <w:rPr>
          <w:i/>
          <w:iCs/>
        </w:rPr>
        <w:t>Congestive Heart Failure</w:t>
      </w:r>
    </w:p>
    <w:p w:rsidR="00E44F87" w:rsidRDefault="00E44F87">
      <w:pPr>
        <w:jc w:val="both"/>
      </w:pPr>
    </w:p>
    <w:p w:rsidR="00E44F87" w:rsidRDefault="00E44F87">
      <w:pPr>
        <w:tabs>
          <w:tab w:val="left" w:pos="720"/>
        </w:tabs>
        <w:autoSpaceDE w:val="0"/>
        <w:autoSpaceDN w:val="0"/>
        <w:adjustRightInd w:val="0"/>
        <w:spacing w:line="240" w:lineRule="exact"/>
        <w:jc w:val="both"/>
        <w:rPr>
          <w:rFonts w:ascii="Arial" w:hAnsi="Arial" w:cs="Arial"/>
          <w:sz w:val="20"/>
        </w:rPr>
      </w:pPr>
      <w:r>
        <w:rPr>
          <w:rFonts w:ascii="Arial" w:hAnsi="Arial" w:cs="Arial"/>
          <w:sz w:val="20"/>
        </w:rPr>
        <w:t>In a clinical trial with another TNF antagonist worsening congestive heart failure and increased mortality due to congestive heart failure have been observed.  Cases of worsening congestive heart failure have been reported in patients receiving Humira. Humira should be used with caution in patients with mild heart failure (NYHA class I/II).  Humira is contraindicated in moderate or severe heart failure.  Treatment with Humira must be discontinued in patients who develop new or worsening symptoms of congestive heart failure.</w:t>
      </w:r>
    </w:p>
    <w:p w:rsidR="0071660C" w:rsidRDefault="0071660C">
      <w:pPr>
        <w:tabs>
          <w:tab w:val="left" w:pos="720"/>
        </w:tabs>
        <w:autoSpaceDE w:val="0"/>
        <w:autoSpaceDN w:val="0"/>
        <w:adjustRightInd w:val="0"/>
        <w:spacing w:line="240" w:lineRule="exact"/>
        <w:jc w:val="both"/>
        <w:rPr>
          <w:rFonts w:ascii="Arial" w:hAnsi="Arial" w:cs="Arial"/>
          <w:b/>
          <w:bCs/>
          <w:i/>
          <w:iCs/>
          <w:sz w:val="20"/>
        </w:rPr>
      </w:pPr>
    </w:p>
    <w:p w:rsidR="00E44F87" w:rsidRDefault="00E44F87">
      <w:pPr>
        <w:tabs>
          <w:tab w:val="left" w:pos="720"/>
        </w:tabs>
        <w:autoSpaceDE w:val="0"/>
        <w:autoSpaceDN w:val="0"/>
        <w:adjustRightInd w:val="0"/>
        <w:spacing w:line="240" w:lineRule="exact"/>
        <w:jc w:val="both"/>
        <w:rPr>
          <w:rFonts w:ascii="Arial" w:hAnsi="Arial" w:cs="Arial"/>
          <w:i/>
          <w:iCs/>
          <w:sz w:val="20"/>
        </w:rPr>
      </w:pPr>
      <w:r>
        <w:rPr>
          <w:rFonts w:ascii="Arial" w:hAnsi="Arial" w:cs="Arial"/>
          <w:b/>
          <w:bCs/>
          <w:i/>
          <w:iCs/>
          <w:sz w:val="20"/>
        </w:rPr>
        <w:t>Malignancies</w:t>
      </w:r>
      <w:r>
        <w:rPr>
          <w:rFonts w:ascii="Arial" w:hAnsi="Arial" w:cs="Arial"/>
          <w:i/>
          <w:iCs/>
          <w:sz w:val="20"/>
        </w:rPr>
        <w:t xml:space="preserve">  </w:t>
      </w:r>
    </w:p>
    <w:p w:rsidR="00E44F87" w:rsidRDefault="00E44F87">
      <w:pPr>
        <w:tabs>
          <w:tab w:val="left" w:pos="720"/>
        </w:tabs>
        <w:autoSpaceDE w:val="0"/>
        <w:autoSpaceDN w:val="0"/>
        <w:adjustRightInd w:val="0"/>
        <w:spacing w:line="240" w:lineRule="exact"/>
        <w:jc w:val="both"/>
        <w:rPr>
          <w:rFonts w:ascii="Arial" w:hAnsi="Arial" w:cs="Arial"/>
          <w:i/>
          <w:iCs/>
          <w:sz w:val="20"/>
        </w:rPr>
      </w:pPr>
    </w:p>
    <w:p w:rsidR="00E44F87" w:rsidRDefault="00E44F87">
      <w:pPr>
        <w:tabs>
          <w:tab w:val="left" w:pos="720"/>
        </w:tabs>
        <w:autoSpaceDE w:val="0"/>
        <w:autoSpaceDN w:val="0"/>
        <w:adjustRightInd w:val="0"/>
        <w:spacing w:line="240" w:lineRule="exact"/>
        <w:jc w:val="both"/>
        <w:rPr>
          <w:rFonts w:ascii="Arial" w:hAnsi="Arial" w:cs="Arial"/>
          <w:strike/>
          <w:color w:val="FF0000"/>
          <w:sz w:val="20"/>
        </w:rPr>
      </w:pPr>
      <w:r>
        <w:rPr>
          <w:rFonts w:ascii="Arial" w:hAnsi="Arial" w:cs="Arial"/>
          <w:sz w:val="20"/>
        </w:rPr>
        <w:t xml:space="preserve">In the controlled portions of clinical trials of TNF-antagonists, more cases of malignancies including lymphoma have been observed among patients receiving a TNF-antagonist, including Humira, compared with control patients (see </w:t>
      </w:r>
      <w:r>
        <w:rPr>
          <w:rFonts w:ascii="Arial" w:hAnsi="Arial" w:cs="Arial"/>
          <w:b/>
          <w:bCs/>
          <w:sz w:val="20"/>
        </w:rPr>
        <w:t xml:space="preserve">ADVERSE REACTIONS – </w:t>
      </w:r>
      <w:r>
        <w:rPr>
          <w:rFonts w:ascii="Arial" w:hAnsi="Arial" w:cs="Arial"/>
          <w:b/>
          <w:bCs/>
          <w:i/>
          <w:iCs/>
          <w:sz w:val="20"/>
        </w:rPr>
        <w:t>Malignancies</w:t>
      </w:r>
      <w:r>
        <w:rPr>
          <w:rFonts w:ascii="Arial" w:hAnsi="Arial" w:cs="Arial"/>
          <w:sz w:val="20"/>
        </w:rPr>
        <w:t>).</w:t>
      </w:r>
      <w:r>
        <w:rPr>
          <w:rFonts w:ascii="Arial" w:hAnsi="Arial" w:cs="Arial"/>
          <w:color w:val="0000FF"/>
          <w:sz w:val="20"/>
        </w:rPr>
        <w:t xml:space="preserve"> </w:t>
      </w:r>
      <w:r>
        <w:rPr>
          <w:rFonts w:ascii="Arial" w:hAnsi="Arial" w:cs="Arial"/>
          <w:sz w:val="20"/>
        </w:rPr>
        <w:t>However, the occurrence was rare</w:t>
      </w:r>
      <w:r>
        <w:t>.</w:t>
      </w:r>
      <w:r>
        <w:rPr>
          <w:rFonts w:ascii="Arial" w:hAnsi="Arial" w:cs="Arial"/>
          <w:sz w:val="20"/>
        </w:rPr>
        <w:t xml:space="preserve"> Furthermore, there is an increased background lymphoma risk in rheumatoid arthritis patients with long-standing, highly active inflammatory disease, which complicates the risk estimation.</w:t>
      </w:r>
    </w:p>
    <w:p w:rsidR="00E44F87" w:rsidRDefault="00E44F87">
      <w:pPr>
        <w:tabs>
          <w:tab w:val="left" w:pos="720"/>
        </w:tabs>
        <w:autoSpaceDE w:val="0"/>
        <w:autoSpaceDN w:val="0"/>
        <w:adjustRightInd w:val="0"/>
        <w:spacing w:line="240" w:lineRule="exact"/>
        <w:jc w:val="both"/>
        <w:rPr>
          <w:rFonts w:ascii="Arial" w:hAnsi="Arial" w:cs="Arial"/>
          <w:sz w:val="20"/>
        </w:rPr>
      </w:pPr>
    </w:p>
    <w:p w:rsidR="00E44F87" w:rsidRDefault="00E44F87">
      <w:pPr>
        <w:tabs>
          <w:tab w:val="left" w:pos="720"/>
        </w:tabs>
        <w:autoSpaceDE w:val="0"/>
        <w:autoSpaceDN w:val="0"/>
        <w:adjustRightInd w:val="0"/>
        <w:spacing w:line="240" w:lineRule="exact"/>
        <w:jc w:val="both"/>
        <w:rPr>
          <w:rFonts w:ascii="Arial" w:hAnsi="Arial" w:cs="Arial"/>
          <w:sz w:val="20"/>
        </w:rPr>
      </w:pPr>
      <w:r>
        <w:rPr>
          <w:rFonts w:ascii="Arial" w:hAnsi="Arial" w:cs="Arial"/>
          <w:sz w:val="20"/>
        </w:rPr>
        <w:t xml:space="preserve">Very rare postmarketing reports of hepatosplenic T-cell lymphoma (HSTCL), a rare aggressive lymphoma that is often fatal, have been identified in patients treated with adalimumab. Most of the patients had prior infliximab therapy as well as concomitant azathioprine or 6-mercaptopurine use </w:t>
      </w:r>
      <w:r w:rsidRPr="006D0426">
        <w:rPr>
          <w:rFonts w:ascii="Arial" w:hAnsi="Arial" w:cs="Arial"/>
          <w:sz w:val="20"/>
        </w:rPr>
        <w:t xml:space="preserve">for </w:t>
      </w:r>
      <w:r w:rsidR="004A5075" w:rsidRPr="006D0426">
        <w:rPr>
          <w:rFonts w:ascii="Arial" w:hAnsi="Arial" w:cs="Arial"/>
          <w:sz w:val="20"/>
        </w:rPr>
        <w:t>inflammatory bowel</w:t>
      </w:r>
      <w:r w:rsidR="004A5075">
        <w:rPr>
          <w:rFonts w:ascii="Arial" w:hAnsi="Arial" w:cs="Arial"/>
          <w:color w:val="008000"/>
          <w:sz w:val="20"/>
          <w:u w:val="single"/>
        </w:rPr>
        <w:t xml:space="preserve"> </w:t>
      </w:r>
      <w:r>
        <w:rPr>
          <w:rFonts w:ascii="Arial" w:hAnsi="Arial" w:cs="Arial"/>
          <w:sz w:val="20"/>
        </w:rPr>
        <w:t xml:space="preserve">disease. </w:t>
      </w:r>
      <w:r w:rsidR="00CC7C67">
        <w:rPr>
          <w:rFonts w:ascii="Arial" w:hAnsi="Arial" w:cs="Arial"/>
          <w:sz w:val="20"/>
        </w:rPr>
        <w:t xml:space="preserve">The potential risk with the combination of azathioprine or 6-mercaptopurine and Humira should be carefully considered. </w:t>
      </w:r>
      <w:r>
        <w:rPr>
          <w:rFonts w:ascii="Arial" w:hAnsi="Arial" w:cs="Arial"/>
          <w:sz w:val="20"/>
        </w:rPr>
        <w:t>The causal association of HSTCL with adalimumab is not clear.</w:t>
      </w:r>
    </w:p>
    <w:p w:rsidR="00E44F87" w:rsidRDefault="00E44F87">
      <w:pPr>
        <w:tabs>
          <w:tab w:val="left" w:pos="720"/>
        </w:tabs>
        <w:autoSpaceDE w:val="0"/>
        <w:autoSpaceDN w:val="0"/>
        <w:adjustRightInd w:val="0"/>
        <w:spacing w:line="240" w:lineRule="exact"/>
        <w:jc w:val="both"/>
        <w:rPr>
          <w:rFonts w:ascii="Arial" w:hAnsi="Arial" w:cs="Arial"/>
          <w:sz w:val="20"/>
        </w:rPr>
      </w:pPr>
    </w:p>
    <w:p w:rsidR="00E44F87" w:rsidRDefault="00E44F87">
      <w:pPr>
        <w:tabs>
          <w:tab w:val="left" w:pos="720"/>
        </w:tabs>
        <w:autoSpaceDE w:val="0"/>
        <w:autoSpaceDN w:val="0"/>
        <w:adjustRightInd w:val="0"/>
        <w:spacing w:line="240" w:lineRule="exact"/>
        <w:jc w:val="both"/>
        <w:rPr>
          <w:rFonts w:ascii="Arial" w:hAnsi="Arial" w:cs="Arial"/>
          <w:sz w:val="20"/>
        </w:rPr>
      </w:pPr>
      <w:r>
        <w:rPr>
          <w:rFonts w:ascii="Arial" w:hAnsi="Arial" w:cs="Arial"/>
          <w:sz w:val="20"/>
        </w:rPr>
        <w:t>With the current knowledge, a possible risk for the development of lymphomas or other malignancies in patients treated with a TNF-antagonist cannot be excluded.</w:t>
      </w:r>
    </w:p>
    <w:p w:rsidR="00E44F87" w:rsidRDefault="00E44F87">
      <w:pPr>
        <w:tabs>
          <w:tab w:val="left" w:pos="720"/>
        </w:tabs>
        <w:autoSpaceDE w:val="0"/>
        <w:autoSpaceDN w:val="0"/>
        <w:adjustRightInd w:val="0"/>
        <w:spacing w:line="240" w:lineRule="exact"/>
        <w:jc w:val="both"/>
        <w:rPr>
          <w:rFonts w:ascii="Arial" w:hAnsi="Arial" w:cs="Arial"/>
          <w:sz w:val="20"/>
        </w:rPr>
      </w:pPr>
    </w:p>
    <w:p w:rsidR="00E44F87" w:rsidRDefault="00E44F87">
      <w:pPr>
        <w:tabs>
          <w:tab w:val="left" w:pos="720"/>
        </w:tabs>
        <w:autoSpaceDE w:val="0"/>
        <w:autoSpaceDN w:val="0"/>
        <w:adjustRightInd w:val="0"/>
        <w:spacing w:line="240" w:lineRule="exact"/>
        <w:jc w:val="both"/>
        <w:rPr>
          <w:rFonts w:ascii="Arial" w:hAnsi="Arial" w:cs="Arial"/>
          <w:sz w:val="20"/>
          <w:szCs w:val="20"/>
        </w:rPr>
      </w:pPr>
      <w:r>
        <w:rPr>
          <w:rFonts w:ascii="Arial" w:hAnsi="Arial"/>
          <w:bCs/>
          <w:iCs/>
          <w:sz w:val="20"/>
          <w:szCs w:val="20"/>
        </w:rPr>
        <w:t>Malignancies, some fatal, have been reported among children and adolescents who received treatment with TNF-blocking agents. Approximately half the cases were lymphomas, including Hodgkin's and non-Hodgkin's lymphoma. The other cases represented a variety of different malignancies and included rare malignancies usually associated with immunosuppression. The malignancies occurred after a median of 30 months of therapy. Most of the patients were receiving concomitant immunosuppressants. These cases were reported post-marketing and are derived from a variety of sources including registries and spontaneous postmarketing reports.</w:t>
      </w:r>
    </w:p>
    <w:p w:rsidR="00E44F87" w:rsidRDefault="00E44F87">
      <w:pPr>
        <w:tabs>
          <w:tab w:val="left" w:pos="720"/>
        </w:tabs>
        <w:autoSpaceDE w:val="0"/>
        <w:autoSpaceDN w:val="0"/>
        <w:adjustRightInd w:val="0"/>
        <w:spacing w:line="240" w:lineRule="exact"/>
        <w:jc w:val="both"/>
        <w:rPr>
          <w:rFonts w:ascii="Arial" w:hAnsi="Arial" w:cs="Arial"/>
          <w:sz w:val="20"/>
        </w:rPr>
      </w:pPr>
    </w:p>
    <w:p w:rsidR="00E44F87" w:rsidRDefault="00E44F87">
      <w:pPr>
        <w:tabs>
          <w:tab w:val="left" w:pos="720"/>
        </w:tabs>
        <w:autoSpaceDE w:val="0"/>
        <w:autoSpaceDN w:val="0"/>
        <w:adjustRightInd w:val="0"/>
        <w:spacing w:line="240" w:lineRule="exact"/>
        <w:jc w:val="both"/>
        <w:rPr>
          <w:rFonts w:ascii="Arial" w:hAnsi="Arial" w:cs="Arial"/>
          <w:sz w:val="20"/>
        </w:rPr>
      </w:pPr>
      <w:r>
        <w:rPr>
          <w:rFonts w:ascii="Arial" w:hAnsi="Arial" w:cs="Arial"/>
          <w:sz w:val="20"/>
        </w:rPr>
        <w:t>No studies have been conducted that include patients with a history of malignancy or that continue treatment in patients who develop malignancy while receiving Humira. Thus, additional caution should be exercised in considering Humira treatment of these patients.</w:t>
      </w:r>
    </w:p>
    <w:p w:rsidR="00E44F87" w:rsidRDefault="00E44F87">
      <w:pPr>
        <w:tabs>
          <w:tab w:val="left" w:pos="720"/>
        </w:tabs>
        <w:autoSpaceDE w:val="0"/>
        <w:autoSpaceDN w:val="0"/>
        <w:adjustRightInd w:val="0"/>
        <w:spacing w:line="240" w:lineRule="exact"/>
        <w:jc w:val="both"/>
        <w:rPr>
          <w:rFonts w:ascii="Arial" w:hAnsi="Arial" w:cs="Arial"/>
          <w:sz w:val="20"/>
        </w:rPr>
      </w:pPr>
    </w:p>
    <w:p w:rsidR="00E44F87" w:rsidRDefault="00E44F87">
      <w:pPr>
        <w:tabs>
          <w:tab w:val="left" w:pos="720"/>
        </w:tabs>
        <w:autoSpaceDE w:val="0"/>
        <w:autoSpaceDN w:val="0"/>
        <w:adjustRightInd w:val="0"/>
        <w:spacing w:line="240" w:lineRule="exact"/>
        <w:jc w:val="both"/>
        <w:rPr>
          <w:rFonts w:ascii="Arial" w:hAnsi="Arial" w:cs="Arial"/>
          <w:sz w:val="20"/>
        </w:rPr>
      </w:pPr>
      <w:r>
        <w:rPr>
          <w:rFonts w:ascii="Arial" w:hAnsi="Arial" w:cs="Arial"/>
          <w:sz w:val="20"/>
        </w:rPr>
        <w:t>In an exploratory clinical trial evaluating the use of another anti-TNF agent, infliximab, in patients with moderate to severe chronic obstructive pulmonary disease (COPD), more malignancies, mostly in the lung or head and neck, were reported in infliximab-treated patients compared with control patients. All patients had a history of heavy smoking. Therefore, caution should be exercised when using any TNF-antagonist in COPD patients, as well as in patients with an increased risk for malignancy due to heavy smoking.</w:t>
      </w:r>
    </w:p>
    <w:p w:rsidR="00E44F87" w:rsidRDefault="00E44F87">
      <w:pPr>
        <w:tabs>
          <w:tab w:val="left" w:pos="720"/>
        </w:tabs>
        <w:autoSpaceDE w:val="0"/>
        <w:autoSpaceDN w:val="0"/>
        <w:adjustRightInd w:val="0"/>
        <w:spacing w:line="240" w:lineRule="exact"/>
        <w:jc w:val="both"/>
        <w:rPr>
          <w:rFonts w:ascii="Arial" w:hAnsi="Arial" w:cs="Arial"/>
          <w:sz w:val="20"/>
        </w:rPr>
      </w:pPr>
    </w:p>
    <w:p w:rsidR="00E44F87" w:rsidRDefault="00E44F87">
      <w:pPr>
        <w:tabs>
          <w:tab w:val="left" w:pos="720"/>
        </w:tabs>
        <w:autoSpaceDE w:val="0"/>
        <w:autoSpaceDN w:val="0"/>
        <w:adjustRightInd w:val="0"/>
        <w:spacing w:line="240" w:lineRule="exact"/>
        <w:jc w:val="both"/>
        <w:rPr>
          <w:rFonts w:ascii="Arial" w:hAnsi="Arial" w:cs="Arial"/>
          <w:sz w:val="20"/>
        </w:rPr>
      </w:pPr>
      <w:r>
        <w:rPr>
          <w:rFonts w:ascii="Arial" w:hAnsi="Arial" w:cs="Arial"/>
          <w:sz w:val="20"/>
        </w:rPr>
        <w:t>All patients, and in particular patients with a medical history of extensive immunosuppressant therapy or psoriasis patients with a history of PUVA treatment should be examined for the presence of non-melanoma skin cancer prior to and during treatment with Humira.</w:t>
      </w:r>
      <w:r w:rsidR="005B6BE9">
        <w:rPr>
          <w:rFonts w:ascii="Arial" w:hAnsi="Arial" w:cs="Arial"/>
          <w:sz w:val="20"/>
        </w:rPr>
        <w:t xml:space="preserve"> </w:t>
      </w:r>
      <w:r w:rsidR="005B6BE9" w:rsidRPr="00327A60">
        <w:rPr>
          <w:rFonts w:ascii="Arial" w:hAnsi="Arial" w:cs="Arial"/>
          <w:sz w:val="20"/>
          <w:szCs w:val="20"/>
        </w:rPr>
        <w:t>Melanoma and Merkel cell carcinoma have also been reported in patients treated with TNF-antagonists including adalimumab (See ADVERSE EFFECTS).</w:t>
      </w:r>
    </w:p>
    <w:p w:rsidR="005B6BE9" w:rsidRDefault="005B6BE9">
      <w:pPr>
        <w:tabs>
          <w:tab w:val="left" w:pos="720"/>
        </w:tabs>
        <w:autoSpaceDE w:val="0"/>
        <w:autoSpaceDN w:val="0"/>
        <w:adjustRightInd w:val="0"/>
        <w:spacing w:line="240" w:lineRule="exact"/>
        <w:jc w:val="both"/>
        <w:rPr>
          <w:rFonts w:ascii="Arial" w:hAnsi="Arial" w:cs="Arial"/>
          <w:sz w:val="20"/>
          <w:szCs w:val="20"/>
        </w:rPr>
      </w:pPr>
    </w:p>
    <w:p w:rsidR="00E44F87" w:rsidRDefault="00E44F87">
      <w:pPr>
        <w:tabs>
          <w:tab w:val="left" w:pos="720"/>
        </w:tabs>
        <w:autoSpaceDE w:val="0"/>
        <w:autoSpaceDN w:val="0"/>
        <w:adjustRightInd w:val="0"/>
        <w:spacing w:line="240" w:lineRule="exact"/>
        <w:jc w:val="both"/>
        <w:rPr>
          <w:rFonts w:ascii="Arial" w:hAnsi="Arial" w:cs="Arial"/>
          <w:sz w:val="20"/>
          <w:szCs w:val="20"/>
        </w:rPr>
      </w:pPr>
      <w:r>
        <w:rPr>
          <w:rFonts w:ascii="Arial" w:hAnsi="Arial" w:cs="Arial"/>
          <w:sz w:val="20"/>
          <w:szCs w:val="20"/>
        </w:rPr>
        <w:t>Cases of acute and chronic leukaemia have been reported in association with postmarketing TNF blocker use in rheumatoid arthritis and other indications. Patients with rheumatoid arthritis may be at a higher risk (up to 2-fold) than the general population for the development of leukaemia, even in the absence of TNF-blocking therapy.</w:t>
      </w:r>
    </w:p>
    <w:p w:rsidR="0045166B" w:rsidRDefault="0045166B">
      <w:pPr>
        <w:tabs>
          <w:tab w:val="left" w:pos="720"/>
        </w:tabs>
        <w:autoSpaceDE w:val="0"/>
        <w:autoSpaceDN w:val="0"/>
        <w:adjustRightInd w:val="0"/>
        <w:spacing w:line="240" w:lineRule="exact"/>
        <w:jc w:val="both"/>
        <w:rPr>
          <w:rFonts w:ascii="Arial" w:hAnsi="Arial" w:cs="Arial"/>
          <w:sz w:val="20"/>
          <w:szCs w:val="20"/>
        </w:rPr>
      </w:pPr>
    </w:p>
    <w:p w:rsidR="0045166B" w:rsidRPr="002430F3" w:rsidRDefault="0045166B">
      <w:pPr>
        <w:tabs>
          <w:tab w:val="left" w:pos="720"/>
        </w:tabs>
        <w:autoSpaceDE w:val="0"/>
        <w:autoSpaceDN w:val="0"/>
        <w:adjustRightInd w:val="0"/>
        <w:spacing w:line="240" w:lineRule="exact"/>
        <w:jc w:val="both"/>
        <w:rPr>
          <w:rFonts w:ascii="Arial" w:hAnsi="Arial" w:cs="Arial"/>
          <w:sz w:val="20"/>
          <w:szCs w:val="20"/>
        </w:rPr>
      </w:pPr>
      <w:r w:rsidRPr="002430F3">
        <w:rPr>
          <w:rFonts w:ascii="Arial" w:hAnsi="Arial" w:cs="Arial"/>
          <w:iCs/>
          <w:sz w:val="20"/>
          <w:szCs w:val="20"/>
        </w:rPr>
        <w:t xml:space="preserve">With current data it is not known if adalimumab treatment influences the risk for developing dysplasia or colon cancer.  All patients with ulcerative colitis who are at increased risk for dysplasia or colon carcinoma (for example, patients with long-standing ulcerative colitis or primary sclerosing cholangitis), or who had a prior </w:t>
      </w:r>
      <w:r w:rsidRPr="002430F3">
        <w:rPr>
          <w:rFonts w:ascii="Arial" w:hAnsi="Arial" w:cs="Arial"/>
          <w:iCs/>
          <w:sz w:val="20"/>
          <w:szCs w:val="20"/>
        </w:rPr>
        <w:lastRenderedPageBreak/>
        <w:t>history of dysplasia or colon carcinoma should be screened for dysplasia at regular intervals before therapy and throughout their disease course. This evaluation should include colonoscopy and biopsies per local recommendations</w:t>
      </w:r>
      <w:r w:rsidRPr="002430F3">
        <w:rPr>
          <w:rFonts w:ascii="Arial" w:hAnsi="Arial" w:cs="Arial"/>
          <w:sz w:val="20"/>
          <w:szCs w:val="20"/>
        </w:rPr>
        <w:t>.</w:t>
      </w:r>
    </w:p>
    <w:p w:rsidR="0045166B" w:rsidRDefault="0045166B">
      <w:pPr>
        <w:tabs>
          <w:tab w:val="left" w:pos="720"/>
        </w:tabs>
        <w:autoSpaceDE w:val="0"/>
        <w:autoSpaceDN w:val="0"/>
        <w:adjustRightInd w:val="0"/>
        <w:spacing w:line="240" w:lineRule="exact"/>
        <w:jc w:val="both"/>
        <w:rPr>
          <w:rFonts w:ascii="Arial" w:hAnsi="Arial" w:cs="Arial"/>
          <w:color w:val="0000FF"/>
          <w:sz w:val="20"/>
          <w:szCs w:val="20"/>
          <w:u w:val="single"/>
        </w:rPr>
      </w:pPr>
    </w:p>
    <w:p w:rsidR="00E44F87" w:rsidRDefault="00E44F87">
      <w:pPr>
        <w:tabs>
          <w:tab w:val="left" w:pos="720"/>
        </w:tabs>
        <w:autoSpaceDE w:val="0"/>
        <w:autoSpaceDN w:val="0"/>
        <w:adjustRightInd w:val="0"/>
        <w:spacing w:line="240" w:lineRule="exact"/>
        <w:jc w:val="both"/>
        <w:rPr>
          <w:rFonts w:ascii="Arial" w:hAnsi="Arial" w:cs="Arial"/>
          <w:b/>
          <w:bCs/>
          <w:i/>
          <w:iCs/>
          <w:sz w:val="20"/>
        </w:rPr>
      </w:pPr>
      <w:r>
        <w:rPr>
          <w:rFonts w:ascii="Arial" w:hAnsi="Arial" w:cs="Arial"/>
          <w:b/>
          <w:bCs/>
          <w:i/>
          <w:iCs/>
          <w:sz w:val="20"/>
        </w:rPr>
        <w:t>Autoimmune Processes</w:t>
      </w:r>
    </w:p>
    <w:p w:rsidR="00E44F87" w:rsidRDefault="00E44F87">
      <w:pPr>
        <w:tabs>
          <w:tab w:val="left" w:pos="720"/>
        </w:tabs>
        <w:autoSpaceDE w:val="0"/>
        <w:autoSpaceDN w:val="0"/>
        <w:adjustRightInd w:val="0"/>
        <w:spacing w:line="240" w:lineRule="exact"/>
        <w:jc w:val="both"/>
        <w:rPr>
          <w:rFonts w:ascii="Arial" w:hAnsi="Arial" w:cs="Arial"/>
          <w:b/>
          <w:bCs/>
          <w:i/>
          <w:iCs/>
          <w:sz w:val="20"/>
        </w:rPr>
      </w:pPr>
    </w:p>
    <w:p w:rsidR="00E44F87" w:rsidRDefault="00E44F87">
      <w:pPr>
        <w:tabs>
          <w:tab w:val="left" w:pos="720"/>
        </w:tabs>
        <w:autoSpaceDE w:val="0"/>
        <w:autoSpaceDN w:val="0"/>
        <w:adjustRightInd w:val="0"/>
        <w:spacing w:line="240" w:lineRule="exact"/>
        <w:jc w:val="both"/>
        <w:rPr>
          <w:rFonts w:ascii="Arial" w:hAnsi="Arial" w:cs="Arial"/>
          <w:i/>
          <w:iCs/>
          <w:sz w:val="20"/>
        </w:rPr>
      </w:pPr>
      <w:r>
        <w:rPr>
          <w:rFonts w:ascii="Arial" w:hAnsi="Arial" w:cs="Arial"/>
          <w:sz w:val="20"/>
        </w:rPr>
        <w:t xml:space="preserve">Treatment with Humira may result in the formation of autoantibodies and rarely in the development of a lupus-like syndrome.  The impact of long-term treatment with Humira on the development of autoimmune disease is unknown. If a patient develops symptoms suggestive of a lupus-like syndrome following treatment with Humira, treatment should be discontinued (see </w:t>
      </w:r>
      <w:r>
        <w:rPr>
          <w:rFonts w:ascii="Arial" w:hAnsi="Arial" w:cs="Arial"/>
          <w:b/>
          <w:bCs/>
          <w:sz w:val="20"/>
        </w:rPr>
        <w:t xml:space="preserve">ADVERSE REACTIONS – </w:t>
      </w:r>
      <w:r>
        <w:rPr>
          <w:rFonts w:ascii="Arial" w:hAnsi="Arial" w:cs="Arial"/>
          <w:b/>
          <w:bCs/>
          <w:i/>
          <w:iCs/>
          <w:sz w:val="20"/>
        </w:rPr>
        <w:t>Autoantibodies</w:t>
      </w:r>
      <w:r>
        <w:rPr>
          <w:rFonts w:ascii="Arial" w:hAnsi="Arial" w:cs="Arial"/>
          <w:sz w:val="20"/>
        </w:rPr>
        <w:t>).</w:t>
      </w:r>
      <w:r>
        <w:rPr>
          <w:rFonts w:ascii="Arial" w:hAnsi="Arial" w:cs="Arial"/>
          <w:i/>
          <w:iCs/>
          <w:sz w:val="20"/>
        </w:rPr>
        <w:t xml:space="preserve"> </w:t>
      </w:r>
    </w:p>
    <w:p w:rsidR="00E44F87" w:rsidRDefault="00E44F87">
      <w:pPr>
        <w:tabs>
          <w:tab w:val="left" w:pos="720"/>
        </w:tabs>
        <w:autoSpaceDE w:val="0"/>
        <w:autoSpaceDN w:val="0"/>
        <w:adjustRightInd w:val="0"/>
        <w:spacing w:line="240" w:lineRule="exact"/>
        <w:jc w:val="both"/>
        <w:rPr>
          <w:rFonts w:ascii="Arial" w:hAnsi="Arial" w:cs="Arial"/>
          <w:i/>
          <w:iCs/>
          <w:sz w:val="20"/>
        </w:rPr>
      </w:pPr>
    </w:p>
    <w:p w:rsidR="00E44F87" w:rsidRDefault="00E44F87">
      <w:pPr>
        <w:pStyle w:val="Heading8"/>
        <w:jc w:val="both"/>
        <w:rPr>
          <w:color w:val="auto"/>
        </w:rPr>
      </w:pPr>
      <w:r>
        <w:rPr>
          <w:color w:val="auto"/>
        </w:rPr>
        <w:t xml:space="preserve">Concurrent Administration of </w:t>
      </w:r>
      <w:r w:rsidR="0094035F">
        <w:rPr>
          <w:color w:val="auto"/>
        </w:rPr>
        <w:t xml:space="preserve">biologic DMARDS or </w:t>
      </w:r>
      <w:r>
        <w:rPr>
          <w:color w:val="auto"/>
        </w:rPr>
        <w:t xml:space="preserve">TNF- </w:t>
      </w:r>
      <w:r w:rsidR="0094035F">
        <w:rPr>
          <w:color w:val="auto"/>
        </w:rPr>
        <w:t>antagonists</w:t>
      </w:r>
    </w:p>
    <w:p w:rsidR="00E44F87" w:rsidRDefault="00E44F87">
      <w:pPr>
        <w:pStyle w:val="Heading8"/>
        <w:jc w:val="both"/>
        <w:rPr>
          <w:i w:val="0"/>
          <w:iCs w:val="0"/>
          <w:color w:val="auto"/>
        </w:rPr>
      </w:pPr>
    </w:p>
    <w:p w:rsidR="00E44F87" w:rsidRDefault="00E44F87">
      <w:pPr>
        <w:jc w:val="both"/>
        <w:rPr>
          <w:rFonts w:ascii="Arial" w:hAnsi="Arial" w:cs="Arial"/>
          <w:sz w:val="20"/>
        </w:rPr>
      </w:pPr>
      <w:r>
        <w:rPr>
          <w:rFonts w:ascii="Arial" w:hAnsi="Arial" w:cs="Arial"/>
          <w:sz w:val="20"/>
        </w:rPr>
        <w:t xml:space="preserve">Concurrent administration of etanercept and anakinra has been associated with an increased risk of serious infections, an increased risk of neutropenia and no additional benefit compared to these medicinal products alone. </w:t>
      </w:r>
      <w:r w:rsidR="002F06F8">
        <w:rPr>
          <w:rFonts w:ascii="Arial" w:hAnsi="Arial" w:cs="Arial"/>
          <w:sz w:val="20"/>
        </w:rPr>
        <w:t xml:space="preserve">Because of the nature of the adverse events seen with the combination of etanercept and anakinra therapy, similar toxicities may also result from the combination of anakinra and other TNF-antagonists. </w:t>
      </w:r>
      <w:r>
        <w:rPr>
          <w:rFonts w:ascii="Arial" w:hAnsi="Arial" w:cs="Arial"/>
          <w:sz w:val="20"/>
        </w:rPr>
        <w:t xml:space="preserve"> Therefore, combination of adalimumab and anakinra is contraindicated.</w:t>
      </w:r>
    </w:p>
    <w:p w:rsidR="00E44F87" w:rsidRDefault="00E44F87">
      <w:pPr>
        <w:jc w:val="both"/>
        <w:rPr>
          <w:rFonts w:ascii="Arial" w:hAnsi="Arial" w:cs="Arial"/>
          <w:b/>
          <w:bCs/>
          <w:i/>
          <w:iCs/>
          <w:sz w:val="20"/>
        </w:rPr>
      </w:pPr>
    </w:p>
    <w:p w:rsidR="00E44F87" w:rsidRDefault="002F06F8">
      <w:pPr>
        <w:jc w:val="both"/>
        <w:rPr>
          <w:rFonts w:ascii="Arial" w:hAnsi="Arial" w:cs="Arial"/>
          <w:sz w:val="20"/>
        </w:rPr>
      </w:pPr>
      <w:r>
        <w:rPr>
          <w:rFonts w:ascii="Arial" w:hAnsi="Arial" w:cs="Arial"/>
          <w:sz w:val="20"/>
        </w:rPr>
        <w:t xml:space="preserve">Concomitant administration of adalimumab with other biologic DMARDS (e.g., anakinra and abatacept) or other TNF-antagonists is not recommended based upon the </w:t>
      </w:r>
      <w:r w:rsidR="00E44F87">
        <w:rPr>
          <w:rFonts w:ascii="Arial" w:hAnsi="Arial" w:cs="Arial"/>
          <w:sz w:val="20"/>
        </w:rPr>
        <w:t xml:space="preserve">increased risk of infections including serious infections </w:t>
      </w:r>
      <w:r w:rsidR="00873466">
        <w:rPr>
          <w:rFonts w:ascii="Arial" w:hAnsi="Arial" w:cs="Arial"/>
          <w:sz w:val="20"/>
        </w:rPr>
        <w:t xml:space="preserve">and other potential pharmacological interactions. </w:t>
      </w:r>
    </w:p>
    <w:p w:rsidR="00E44F87" w:rsidRDefault="00E44F87">
      <w:pPr>
        <w:jc w:val="both"/>
        <w:rPr>
          <w:rFonts w:ascii="Arial" w:hAnsi="Arial" w:cs="Arial"/>
          <w:sz w:val="20"/>
        </w:rPr>
      </w:pPr>
    </w:p>
    <w:p w:rsidR="00E44F87" w:rsidRDefault="00E44F87">
      <w:pPr>
        <w:pStyle w:val="Heading8"/>
        <w:jc w:val="both"/>
        <w:rPr>
          <w:color w:val="auto"/>
        </w:rPr>
      </w:pPr>
      <w:r>
        <w:rPr>
          <w:color w:val="auto"/>
        </w:rPr>
        <w:t>Use in Psoriasis</w:t>
      </w:r>
    </w:p>
    <w:p w:rsidR="00E44F87" w:rsidRDefault="00E44F87"/>
    <w:p w:rsidR="00E44F87" w:rsidRDefault="00E44F87">
      <w:pPr>
        <w:jc w:val="both"/>
        <w:rPr>
          <w:rFonts w:ascii="Arial" w:hAnsi="Arial" w:cs="Arial"/>
          <w:sz w:val="20"/>
        </w:rPr>
      </w:pPr>
      <w:r>
        <w:rPr>
          <w:rFonts w:ascii="Arial" w:hAnsi="Arial" w:cs="Arial"/>
          <w:sz w:val="20"/>
        </w:rPr>
        <w:t>The safety and efficacy of adalimumab in combination with other systemic agents used in psoriasis or with phototherapy have not been studied. Adalimumab should not be used in combination with such agents.</w:t>
      </w:r>
    </w:p>
    <w:p w:rsidR="00E44F87" w:rsidRDefault="00E44F87">
      <w:pPr>
        <w:jc w:val="both"/>
        <w:rPr>
          <w:rFonts w:ascii="Arial" w:hAnsi="Arial" w:cs="Arial"/>
          <w:sz w:val="20"/>
        </w:rPr>
      </w:pPr>
    </w:p>
    <w:p w:rsidR="00E44F87" w:rsidRDefault="00E44F87">
      <w:pPr>
        <w:pStyle w:val="Heading8"/>
        <w:jc w:val="both"/>
        <w:rPr>
          <w:color w:val="auto"/>
        </w:rPr>
      </w:pPr>
      <w:r>
        <w:rPr>
          <w:color w:val="auto"/>
        </w:rPr>
        <w:t>Renal and Hepatic Impairment</w:t>
      </w:r>
    </w:p>
    <w:p w:rsidR="00E44F87" w:rsidRDefault="00E44F87">
      <w:pPr>
        <w:jc w:val="both"/>
      </w:pPr>
    </w:p>
    <w:p w:rsidR="00E44F87" w:rsidRDefault="00E44F87">
      <w:pPr>
        <w:autoSpaceDE w:val="0"/>
        <w:autoSpaceDN w:val="0"/>
        <w:adjustRightInd w:val="0"/>
        <w:jc w:val="both"/>
        <w:rPr>
          <w:rFonts w:ascii="Arial" w:hAnsi="Arial"/>
          <w:sz w:val="20"/>
        </w:rPr>
      </w:pPr>
      <w:r>
        <w:rPr>
          <w:rFonts w:ascii="Arial" w:hAnsi="Arial"/>
          <w:sz w:val="20"/>
        </w:rPr>
        <w:t>Humira has not been studied in these patient populations.  No dose recommendations can be made.</w:t>
      </w:r>
    </w:p>
    <w:p w:rsidR="00E44F87" w:rsidRDefault="00E44F87">
      <w:pPr>
        <w:pStyle w:val="EMEAHeadingUnderline"/>
        <w:keepNext/>
        <w:spacing w:before="240" w:after="240"/>
        <w:rPr>
          <w:rFonts w:ascii="Arial" w:hAnsi="Arial"/>
          <w:b/>
          <w:bCs/>
          <w:i/>
          <w:iCs/>
          <w:sz w:val="20"/>
          <w:szCs w:val="24"/>
          <w:u w:val="none"/>
          <w:lang w:val="en-AU"/>
        </w:rPr>
      </w:pPr>
      <w:r>
        <w:rPr>
          <w:rFonts w:ascii="Arial" w:hAnsi="Arial"/>
          <w:b/>
          <w:bCs/>
          <w:i/>
          <w:iCs/>
          <w:sz w:val="20"/>
          <w:szCs w:val="24"/>
          <w:u w:val="none"/>
          <w:lang w:val="en-AU"/>
        </w:rPr>
        <w:t>Surgery</w:t>
      </w:r>
    </w:p>
    <w:p w:rsidR="00E44F87" w:rsidRDefault="00E44F87" w:rsidP="006D0426">
      <w:pPr>
        <w:keepNext/>
        <w:rPr>
          <w:rFonts w:ascii="Arial" w:hAnsi="Arial"/>
          <w:sz w:val="20"/>
        </w:rPr>
      </w:pPr>
      <w:r>
        <w:rPr>
          <w:rFonts w:ascii="Arial" w:hAnsi="Arial"/>
          <w:sz w:val="20"/>
        </w:rPr>
        <w:t xml:space="preserve">There is limited safety experience of surgical procedures in patients treated with Humira.  The long half-life of adalimumab should be taken into consideration if a surgical procedure is planned.  A patient who requires surgery while on Humira should be closely monitored for infections, and appropriate actions should be taken.  There is limited safety experience in patients undergoing arthroplasty while receiving Humira.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b/>
          <w:i/>
          <w:sz w:val="20"/>
        </w:rPr>
      </w:pPr>
      <w:r>
        <w:rPr>
          <w:rFonts w:ascii="Arial" w:hAnsi="Arial"/>
          <w:b/>
          <w:i/>
          <w:sz w:val="20"/>
        </w:rPr>
        <w:t>Effects on Fertility</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sz w:val="20"/>
        </w:rPr>
      </w:pPr>
      <w:r>
        <w:rPr>
          <w:rFonts w:ascii="Arial" w:hAnsi="Arial"/>
          <w:sz w:val="20"/>
        </w:rPr>
        <w:t>The effect of adalimumab on fertility has not been investigated.</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sz w:val="20"/>
        </w:rPr>
      </w:pPr>
      <w:r>
        <w:rPr>
          <w:rFonts w:ascii="Arial" w:hAnsi="Arial"/>
          <w:b/>
          <w:i/>
          <w:sz w:val="20"/>
        </w:rPr>
        <w:t>Use in Pregnancy (Category C)</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Results obtained with a very high intravenous adalimumab dose (100 mg/kg/week) in an embryofoetal toxicity study in cynomolgus monkeys were inconclusive.  No developmental toxicity was observed with an intravenous dose of 30 mg/kg/week, which resulted in a serum drug concentration greater than 100-fold higher than the maximum value expected during therapy during 40 mg fortnightly.  Parturition was unaffected by both doses.</w:t>
      </w:r>
    </w:p>
    <w:p w:rsidR="00C86153" w:rsidRDefault="00C86153">
      <w:pPr>
        <w:autoSpaceDE w:val="0"/>
        <w:autoSpaceDN w:val="0"/>
        <w:adjustRightInd w:val="0"/>
        <w:jc w:val="both"/>
        <w:rPr>
          <w:rFonts w:ascii="Arial" w:hAnsi="Arial"/>
          <w:sz w:val="20"/>
        </w:rPr>
      </w:pPr>
    </w:p>
    <w:p w:rsidR="00C86153" w:rsidRDefault="00C86153" w:rsidP="00C86153">
      <w:pPr>
        <w:autoSpaceDE w:val="0"/>
        <w:autoSpaceDN w:val="0"/>
        <w:adjustRightInd w:val="0"/>
        <w:jc w:val="both"/>
        <w:rPr>
          <w:rFonts w:ascii="Arial" w:hAnsi="Arial"/>
          <w:sz w:val="20"/>
        </w:rPr>
      </w:pPr>
      <w:r>
        <w:rPr>
          <w:rFonts w:ascii="Arial" w:hAnsi="Arial"/>
          <w:sz w:val="20"/>
        </w:rPr>
        <w:t xml:space="preserve">Administration of live vaccines to infants exposed to adalimumab in utero is not recommended for 5 months following the mothers last adalimumab injection during pregnancy.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There are no data</w:t>
      </w:r>
      <w:r w:rsidR="009E6B60">
        <w:rPr>
          <w:rFonts w:ascii="Arial" w:hAnsi="Arial"/>
          <w:sz w:val="20"/>
        </w:rPr>
        <w:t xml:space="preserve"> from clinical trials</w:t>
      </w:r>
      <w:r>
        <w:rPr>
          <w:rFonts w:ascii="Arial" w:hAnsi="Arial"/>
          <w:sz w:val="20"/>
        </w:rPr>
        <w:t xml:space="preserve"> for pregnant women being treated with Humira.  Because animal studies are not always predictive of human responses, the use of Humira during pregnancy is not recommended.  Women of child bearing potential should be advised to use adequate contraception during Humira therapy.  The long half-life of Humira should also be considered when discontinuing therapy.</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r>
        <w:rPr>
          <w:rFonts w:ascii="Arial" w:hAnsi="Arial"/>
          <w:b/>
          <w:i/>
          <w:sz w:val="20"/>
        </w:rPr>
        <w:lastRenderedPageBreak/>
        <w:t>Use in Lactation</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sz w:val="20"/>
        </w:rPr>
      </w:pPr>
      <w:r>
        <w:rPr>
          <w:rFonts w:ascii="Arial" w:hAnsi="Arial"/>
          <w:sz w:val="20"/>
        </w:rPr>
        <w:t>It is not known whether adalimumab is excreted in animal or human milk or whether it would be absorbed by neonates after ingestion.</w:t>
      </w:r>
    </w:p>
    <w:p w:rsidR="00E44F87" w:rsidRDefault="00E44F87">
      <w:pPr>
        <w:autoSpaceDE w:val="0"/>
        <w:autoSpaceDN w:val="0"/>
        <w:adjustRightInd w:val="0"/>
        <w:jc w:val="both"/>
        <w:rPr>
          <w:rFonts w:ascii="Arial" w:hAnsi="Arial"/>
          <w:sz w:val="20"/>
        </w:rPr>
      </w:pPr>
    </w:p>
    <w:p w:rsidR="00B468E5" w:rsidRPr="00537926" w:rsidRDefault="00261E3F">
      <w:pPr>
        <w:autoSpaceDE w:val="0"/>
        <w:autoSpaceDN w:val="0"/>
        <w:adjustRightInd w:val="0"/>
        <w:jc w:val="both"/>
        <w:rPr>
          <w:rFonts w:ascii="Arial" w:hAnsi="Arial"/>
          <w:sz w:val="20"/>
        </w:rPr>
      </w:pPr>
      <w:r>
        <w:rPr>
          <w:rFonts w:ascii="Arial" w:hAnsi="Arial"/>
          <w:sz w:val="20"/>
        </w:rPr>
        <w:t>However, b</w:t>
      </w:r>
      <w:r w:rsidR="00E44F87">
        <w:rPr>
          <w:rFonts w:ascii="Arial" w:hAnsi="Arial"/>
          <w:sz w:val="20"/>
        </w:rPr>
        <w:t xml:space="preserve">ecause many drugs and </w:t>
      </w:r>
      <w:r>
        <w:rPr>
          <w:rFonts w:ascii="Arial" w:hAnsi="Arial"/>
          <w:sz w:val="20"/>
        </w:rPr>
        <w:t xml:space="preserve">human </w:t>
      </w:r>
      <w:r w:rsidR="00E44F87">
        <w:rPr>
          <w:rFonts w:ascii="Arial" w:hAnsi="Arial"/>
          <w:sz w:val="20"/>
        </w:rPr>
        <w:t>immunoglobulins are excreted in human milk, and because of the potential for serious adverse reactions</w:t>
      </w:r>
      <w:r>
        <w:rPr>
          <w:rFonts w:ascii="Arial" w:hAnsi="Arial"/>
          <w:sz w:val="20"/>
        </w:rPr>
        <w:t>, breast feeding is not recommended for at least 5 months after the last Humira treatment.</w:t>
      </w:r>
      <w:r w:rsidR="00A72EC8">
        <w:rPr>
          <w:rFonts w:ascii="Arial" w:hAnsi="Arial"/>
          <w:sz w:val="20"/>
        </w:rPr>
        <w:t xml:space="preserve"> </w:t>
      </w:r>
      <w:r>
        <w:rPr>
          <w:rFonts w:ascii="Arial" w:hAnsi="Arial"/>
          <w:sz w:val="20"/>
        </w:rPr>
        <w:t>A</w:t>
      </w:r>
      <w:r w:rsidR="00E44F87">
        <w:rPr>
          <w:rFonts w:ascii="Arial" w:hAnsi="Arial"/>
          <w:sz w:val="20"/>
        </w:rPr>
        <w:t xml:space="preserve"> decision should be made whether to discontinue breastfeeding or to discontinue the drug, taking into account the importance of the drug to the mother.  The long half-life of Humira should also be considered when discontinuing therapy.</w:t>
      </w:r>
    </w:p>
    <w:p w:rsidR="00B468E5" w:rsidRDefault="00B468E5">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r>
        <w:rPr>
          <w:rFonts w:ascii="Arial" w:hAnsi="Arial"/>
          <w:b/>
          <w:i/>
          <w:sz w:val="20"/>
        </w:rPr>
        <w:t>Paediatric Use</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sz w:val="20"/>
        </w:rPr>
      </w:pPr>
      <w:r>
        <w:rPr>
          <w:rFonts w:ascii="Arial" w:hAnsi="Arial"/>
          <w:sz w:val="20"/>
        </w:rPr>
        <w:t xml:space="preserve">The safety and efficacy of Humira has not been established in other forms of JIA such as systemic JIA or oligoarticular JIA. The long term effects of Humira on the growth and development of children have not been studied. </w:t>
      </w:r>
      <w:r w:rsidR="00537926" w:rsidRPr="00CA066C">
        <w:rPr>
          <w:rFonts w:ascii="Arial" w:hAnsi="Arial"/>
          <w:sz w:val="20"/>
        </w:rPr>
        <w:t>Treatment with Humira should only be initiated in patients with paediatric Crohn’s disease following diagnosis by a specialist gastroenterologist, where other diseases with potentially similar presentations (e.g., Inflammatory Bowel Disease (IBD) associated with chronic granulomatou</w:t>
      </w:r>
      <w:r w:rsidR="00537926">
        <w:rPr>
          <w:rFonts w:ascii="Arial" w:hAnsi="Arial"/>
          <w:sz w:val="20"/>
        </w:rPr>
        <w:t xml:space="preserve">s disease) have been ruled out. </w:t>
      </w:r>
      <w:r w:rsidR="00537926" w:rsidRPr="00327A60">
        <w:rPr>
          <w:rFonts w:ascii="Arial" w:hAnsi="Arial"/>
          <w:sz w:val="20"/>
        </w:rPr>
        <w:t>Humira has not been studied in children with Crohn’s disease aged less than 6 years.</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r>
        <w:rPr>
          <w:rFonts w:ascii="Arial" w:hAnsi="Arial"/>
          <w:b/>
          <w:i/>
          <w:sz w:val="20"/>
        </w:rPr>
        <w:t>Use in the Elderly</w:t>
      </w:r>
    </w:p>
    <w:p w:rsidR="00E44F87" w:rsidRDefault="00E44F87">
      <w:pPr>
        <w:autoSpaceDE w:val="0"/>
        <w:autoSpaceDN w:val="0"/>
        <w:adjustRightInd w:val="0"/>
        <w:jc w:val="both"/>
        <w:rPr>
          <w:rFonts w:ascii="Arial" w:hAnsi="Arial"/>
          <w:b/>
          <w:i/>
          <w:sz w:val="20"/>
        </w:rPr>
      </w:pPr>
    </w:p>
    <w:p w:rsidR="00E44F87" w:rsidRDefault="00E44F87">
      <w:pPr>
        <w:pStyle w:val="BodyText"/>
        <w:jc w:val="both"/>
        <w:rPr>
          <w:bCs/>
        </w:rPr>
      </w:pPr>
      <w:r>
        <w:rPr>
          <w:bCs/>
        </w:rPr>
        <w:t>A total of 519 RA patients 65 years of age and older, including 107 patients 75 years and older, received Humira in clinical RA studies I-IV. No overall difference in effectiveness was observed between these subjects and younger subjects. The frequency of serious infection and malignancy among Humira-treated subjects over age 65 was higher than for those under age 65.  Because there is a higher incidence of infections and malignancies in the elderly population in general, caution should be used when treating the elderly.</w:t>
      </w:r>
    </w:p>
    <w:p w:rsidR="00E44F87" w:rsidRDefault="00E44F87">
      <w:pPr>
        <w:pStyle w:val="BodyText"/>
        <w:jc w:val="both"/>
        <w:rPr>
          <w:bCs/>
        </w:rPr>
      </w:pPr>
    </w:p>
    <w:p w:rsidR="00E44F87" w:rsidRDefault="00E44F87">
      <w:pPr>
        <w:autoSpaceDE w:val="0"/>
        <w:autoSpaceDN w:val="0"/>
        <w:adjustRightInd w:val="0"/>
        <w:jc w:val="both"/>
        <w:rPr>
          <w:rFonts w:ascii="Arial" w:hAnsi="Arial"/>
          <w:b/>
          <w:i/>
          <w:sz w:val="20"/>
        </w:rPr>
      </w:pPr>
      <w:r>
        <w:rPr>
          <w:rFonts w:ascii="Arial" w:hAnsi="Arial"/>
          <w:b/>
          <w:i/>
          <w:sz w:val="20"/>
        </w:rPr>
        <w:t>Carcinogenicity</w:t>
      </w:r>
    </w:p>
    <w:p w:rsidR="00E44F87" w:rsidRDefault="00E44F87">
      <w:pPr>
        <w:autoSpaceDE w:val="0"/>
        <w:autoSpaceDN w:val="0"/>
        <w:adjustRightInd w:val="0"/>
        <w:jc w:val="both"/>
        <w:rPr>
          <w:rFonts w:ascii="Arial" w:hAnsi="Arial"/>
          <w:bCs/>
          <w:iCs/>
          <w:sz w:val="20"/>
        </w:rPr>
      </w:pPr>
    </w:p>
    <w:p w:rsidR="00E44F87" w:rsidRDefault="00E44F87">
      <w:pPr>
        <w:autoSpaceDE w:val="0"/>
        <w:autoSpaceDN w:val="0"/>
        <w:adjustRightInd w:val="0"/>
        <w:jc w:val="both"/>
        <w:rPr>
          <w:rFonts w:ascii="Arial" w:hAnsi="Arial"/>
          <w:bCs/>
          <w:iCs/>
          <w:sz w:val="20"/>
        </w:rPr>
      </w:pPr>
      <w:r>
        <w:rPr>
          <w:rFonts w:ascii="Arial" w:hAnsi="Arial"/>
          <w:bCs/>
          <w:iCs/>
          <w:sz w:val="20"/>
        </w:rPr>
        <w:t>Long-term animal studies have not been conducted to evaluate the carcinogenic potential of adalimumab.</w:t>
      </w:r>
    </w:p>
    <w:p w:rsidR="002B3277" w:rsidRDefault="002B327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Cs/>
          <w:iCs/>
          <w:sz w:val="20"/>
        </w:rPr>
      </w:pPr>
      <w:r>
        <w:rPr>
          <w:rFonts w:ascii="Arial" w:hAnsi="Arial"/>
          <w:b/>
          <w:i/>
          <w:sz w:val="20"/>
        </w:rPr>
        <w:t>Genotoxicity</w:t>
      </w:r>
    </w:p>
    <w:p w:rsidR="00E44F87" w:rsidRDefault="00E44F87">
      <w:pPr>
        <w:autoSpaceDE w:val="0"/>
        <w:autoSpaceDN w:val="0"/>
        <w:adjustRightInd w:val="0"/>
        <w:jc w:val="both"/>
        <w:rPr>
          <w:rFonts w:ascii="Arial" w:hAnsi="Arial"/>
          <w:bCs/>
          <w:iCs/>
          <w:sz w:val="20"/>
        </w:rPr>
      </w:pPr>
    </w:p>
    <w:p w:rsidR="00E44F87" w:rsidRDefault="00E44F87">
      <w:pPr>
        <w:autoSpaceDE w:val="0"/>
        <w:autoSpaceDN w:val="0"/>
        <w:adjustRightInd w:val="0"/>
        <w:jc w:val="both"/>
        <w:rPr>
          <w:rFonts w:ascii="Arial" w:hAnsi="Arial"/>
          <w:bCs/>
          <w:iCs/>
          <w:sz w:val="20"/>
        </w:rPr>
      </w:pPr>
      <w:r>
        <w:rPr>
          <w:rFonts w:ascii="Arial" w:hAnsi="Arial"/>
          <w:bCs/>
          <w:iCs/>
          <w:sz w:val="20"/>
        </w:rPr>
        <w:t xml:space="preserve">No genotoxicity was observed in an </w:t>
      </w:r>
      <w:r>
        <w:rPr>
          <w:rFonts w:ascii="Arial" w:hAnsi="Arial"/>
          <w:bCs/>
          <w:i/>
          <w:sz w:val="20"/>
        </w:rPr>
        <w:t>in-vitro</w:t>
      </w:r>
      <w:r>
        <w:rPr>
          <w:rFonts w:ascii="Arial" w:hAnsi="Arial"/>
          <w:bCs/>
          <w:iCs/>
          <w:sz w:val="20"/>
        </w:rPr>
        <w:t xml:space="preserve"> test for bacterial gene mutation or in an </w:t>
      </w:r>
      <w:r>
        <w:rPr>
          <w:rFonts w:ascii="Arial" w:hAnsi="Arial"/>
          <w:bCs/>
          <w:i/>
          <w:sz w:val="20"/>
        </w:rPr>
        <w:t>in-vivo</w:t>
      </w:r>
      <w:r>
        <w:rPr>
          <w:rFonts w:ascii="Arial" w:hAnsi="Arial"/>
          <w:bCs/>
          <w:iCs/>
          <w:sz w:val="20"/>
        </w:rPr>
        <w:t xml:space="preserve"> mouse micronucleus test for clastogenicity.</w:t>
      </w:r>
    </w:p>
    <w:p w:rsidR="00E44F87" w:rsidRDefault="00E44F87">
      <w:pPr>
        <w:autoSpaceDE w:val="0"/>
        <w:autoSpaceDN w:val="0"/>
        <w:adjustRightInd w:val="0"/>
        <w:jc w:val="both"/>
        <w:rPr>
          <w:rFonts w:ascii="Arial" w:hAnsi="Arial"/>
          <w:sz w:val="20"/>
        </w:rPr>
      </w:pPr>
    </w:p>
    <w:p w:rsidR="00E44F87" w:rsidRDefault="00E44F87">
      <w:pPr>
        <w:tabs>
          <w:tab w:val="left" w:pos="720"/>
        </w:tabs>
        <w:ind w:left="567" w:hanging="567"/>
        <w:jc w:val="both"/>
        <w:rPr>
          <w:rFonts w:ascii="Arial" w:hAnsi="Arial" w:cs="Arial"/>
          <w:i/>
          <w:iCs/>
          <w:sz w:val="20"/>
        </w:rPr>
      </w:pPr>
      <w:r>
        <w:rPr>
          <w:rFonts w:ascii="Arial" w:hAnsi="Arial" w:cs="Arial"/>
          <w:b/>
          <w:i/>
          <w:iCs/>
          <w:sz w:val="20"/>
        </w:rPr>
        <w:t xml:space="preserve">Effects on Ability to Drive and Use Machines </w:t>
      </w:r>
    </w:p>
    <w:p w:rsidR="00E44F87" w:rsidRDefault="00E44F87">
      <w:pPr>
        <w:pStyle w:val="CommentText"/>
        <w:tabs>
          <w:tab w:val="left" w:pos="720"/>
        </w:tabs>
        <w:jc w:val="both"/>
        <w:rPr>
          <w:rFonts w:ascii="Arial" w:hAnsi="Arial" w:cs="Arial"/>
          <w:szCs w:val="24"/>
        </w:rPr>
      </w:pPr>
    </w:p>
    <w:p w:rsidR="00E44F87" w:rsidRDefault="00E44F87">
      <w:pPr>
        <w:tabs>
          <w:tab w:val="left" w:pos="720"/>
        </w:tabs>
        <w:jc w:val="both"/>
        <w:rPr>
          <w:rFonts w:ascii="Arial" w:hAnsi="Arial" w:cs="Arial"/>
          <w:sz w:val="20"/>
        </w:rPr>
      </w:pPr>
      <w:r>
        <w:rPr>
          <w:rFonts w:ascii="Arial" w:hAnsi="Arial" w:cs="Arial"/>
          <w:sz w:val="20"/>
        </w:rPr>
        <w:t>No studies on the effects on the ability to drive and use machines have been performed.</w:t>
      </w:r>
    </w:p>
    <w:p w:rsidR="00E44F87" w:rsidRDefault="00E44F87">
      <w:pPr>
        <w:tabs>
          <w:tab w:val="left" w:pos="720"/>
        </w:tabs>
        <w:jc w:val="both"/>
        <w:rPr>
          <w:rFonts w:ascii="Arial" w:hAnsi="Arial" w:cs="Arial"/>
          <w:sz w:val="20"/>
        </w:rPr>
      </w:pPr>
    </w:p>
    <w:p w:rsidR="00E44F87" w:rsidRDefault="00E44F87">
      <w:pPr>
        <w:autoSpaceDE w:val="0"/>
        <w:autoSpaceDN w:val="0"/>
        <w:adjustRightInd w:val="0"/>
        <w:jc w:val="both"/>
        <w:rPr>
          <w:rFonts w:ascii="Arial" w:hAnsi="Arial"/>
          <w:b/>
          <w:i/>
          <w:sz w:val="20"/>
        </w:rPr>
      </w:pPr>
      <w:r>
        <w:rPr>
          <w:rFonts w:ascii="Arial" w:hAnsi="Arial"/>
          <w:b/>
          <w:i/>
          <w:sz w:val="20"/>
        </w:rPr>
        <w:t>Effects on Laboratory Tests</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sz w:val="20"/>
        </w:rPr>
      </w:pPr>
      <w:r>
        <w:rPr>
          <w:rFonts w:ascii="Arial" w:hAnsi="Arial"/>
          <w:sz w:val="20"/>
        </w:rPr>
        <w:t>There is no known interference between Humira and laboratory tests.</w:t>
      </w:r>
    </w:p>
    <w:p w:rsidR="00E44F87" w:rsidRDefault="00E44F87">
      <w:pPr>
        <w:autoSpaceDE w:val="0"/>
        <w:autoSpaceDN w:val="0"/>
        <w:adjustRightInd w:val="0"/>
        <w:jc w:val="both"/>
        <w:rPr>
          <w:rFonts w:ascii="Arial" w:hAnsi="Arial"/>
          <w:sz w:val="20"/>
        </w:rPr>
      </w:pPr>
    </w:p>
    <w:p w:rsidR="002B3277" w:rsidRDefault="002B3277" w:rsidP="00A868ED">
      <w:pPr>
        <w:autoSpaceDE w:val="0"/>
        <w:autoSpaceDN w:val="0"/>
        <w:adjustRightInd w:val="0"/>
        <w:jc w:val="both"/>
        <w:rPr>
          <w:rFonts w:ascii="Arial" w:hAnsi="Arial"/>
          <w:b/>
          <w:sz w:val="20"/>
        </w:rPr>
      </w:pPr>
    </w:p>
    <w:p w:rsidR="00A868ED" w:rsidRPr="00A868ED" w:rsidRDefault="00A868ED" w:rsidP="00A868ED">
      <w:pPr>
        <w:autoSpaceDE w:val="0"/>
        <w:autoSpaceDN w:val="0"/>
        <w:adjustRightInd w:val="0"/>
        <w:jc w:val="both"/>
        <w:rPr>
          <w:rFonts w:ascii="Arial" w:hAnsi="Arial"/>
          <w:b/>
          <w:sz w:val="20"/>
        </w:rPr>
      </w:pPr>
      <w:r w:rsidRPr="00A868ED">
        <w:rPr>
          <w:rFonts w:ascii="Arial" w:hAnsi="Arial"/>
          <w:b/>
          <w:sz w:val="20"/>
        </w:rPr>
        <w:t>INTERACTIONS WITH OTHER MEDICINES</w:t>
      </w:r>
    </w:p>
    <w:p w:rsidR="00A868ED" w:rsidRDefault="00A868ED" w:rsidP="00A868ED">
      <w:pPr>
        <w:autoSpaceDE w:val="0"/>
        <w:autoSpaceDN w:val="0"/>
        <w:adjustRightInd w:val="0"/>
        <w:jc w:val="both"/>
        <w:rPr>
          <w:rFonts w:ascii="Arial" w:hAnsi="Arial"/>
          <w:b/>
          <w:i/>
          <w:sz w:val="20"/>
        </w:rPr>
      </w:pPr>
    </w:p>
    <w:p w:rsidR="00A868ED" w:rsidRDefault="00A868ED" w:rsidP="00A868ED">
      <w:pPr>
        <w:autoSpaceDE w:val="0"/>
        <w:autoSpaceDN w:val="0"/>
        <w:adjustRightInd w:val="0"/>
        <w:jc w:val="both"/>
        <w:rPr>
          <w:rFonts w:ascii="Arial" w:hAnsi="Arial"/>
          <w:sz w:val="20"/>
        </w:rPr>
      </w:pPr>
      <w:r>
        <w:rPr>
          <w:rFonts w:ascii="Arial" w:hAnsi="Arial"/>
          <w:sz w:val="20"/>
        </w:rPr>
        <w:t xml:space="preserve">Humira has been studied in RA patients taking concomitant methotrexate (see </w:t>
      </w:r>
      <w:r>
        <w:rPr>
          <w:rFonts w:ascii="Arial" w:hAnsi="Arial"/>
          <w:b/>
          <w:sz w:val="20"/>
        </w:rPr>
        <w:t>CLINICAL STUDIES</w:t>
      </w:r>
      <w:r>
        <w:rPr>
          <w:rFonts w:ascii="Arial" w:hAnsi="Arial"/>
          <w:sz w:val="20"/>
        </w:rPr>
        <w:t xml:space="preserve"> and </w:t>
      </w:r>
      <w:r>
        <w:rPr>
          <w:rFonts w:ascii="Arial" w:hAnsi="Arial"/>
          <w:b/>
          <w:i/>
          <w:sz w:val="20"/>
        </w:rPr>
        <w:t>Pharmacokinetics – Steady State</w:t>
      </w:r>
      <w:r>
        <w:rPr>
          <w:rFonts w:ascii="Arial" w:hAnsi="Arial"/>
          <w:sz w:val="20"/>
        </w:rPr>
        <w:t xml:space="preserve">). The data do not suggest the need for dose adjustment of either Humira or methotrexate. Interactions between Humira and drugs other than methotrexate have not been evaluated in formal pharmacokinetic studies.  </w:t>
      </w:r>
      <w:r>
        <w:rPr>
          <w:rFonts w:ascii="Arial" w:hAnsi="Arial" w:cs="Arial"/>
          <w:sz w:val="20"/>
        </w:rPr>
        <w:t xml:space="preserve">Concurrent administration of TNF-alpha inhibitors with anakinra or abatacept has been associated with an increased risk of serious infections (see </w:t>
      </w:r>
      <w:r>
        <w:rPr>
          <w:rFonts w:ascii="Arial" w:hAnsi="Arial" w:cs="Arial"/>
          <w:b/>
          <w:sz w:val="20"/>
        </w:rPr>
        <w:t xml:space="preserve">PRECAUTIONS </w:t>
      </w:r>
      <w:r>
        <w:rPr>
          <w:rFonts w:ascii="Arial" w:hAnsi="Arial" w:cs="Arial"/>
          <w:sz w:val="20"/>
        </w:rPr>
        <w:t>above)</w:t>
      </w:r>
    </w:p>
    <w:p w:rsidR="00A868ED" w:rsidRDefault="00A868ED">
      <w:pPr>
        <w:autoSpaceDE w:val="0"/>
        <w:autoSpaceDN w:val="0"/>
        <w:adjustRightInd w:val="0"/>
        <w:jc w:val="both"/>
        <w:rPr>
          <w:rFonts w:ascii="Arial" w:hAnsi="Arial"/>
          <w:b/>
          <w:sz w:val="20"/>
          <w:u w:val="single"/>
        </w:rPr>
      </w:pPr>
    </w:p>
    <w:p w:rsidR="002B3277" w:rsidRDefault="002B3277">
      <w:pPr>
        <w:autoSpaceDE w:val="0"/>
        <w:autoSpaceDN w:val="0"/>
        <w:adjustRightInd w:val="0"/>
        <w:jc w:val="both"/>
        <w:rPr>
          <w:rFonts w:ascii="Arial" w:hAnsi="Arial"/>
          <w:b/>
          <w:sz w:val="20"/>
        </w:rPr>
      </w:pPr>
    </w:p>
    <w:p w:rsidR="00E44F87" w:rsidRPr="00A868ED" w:rsidRDefault="00E44F87">
      <w:pPr>
        <w:autoSpaceDE w:val="0"/>
        <w:autoSpaceDN w:val="0"/>
        <w:adjustRightInd w:val="0"/>
        <w:jc w:val="both"/>
        <w:rPr>
          <w:rFonts w:ascii="Arial" w:hAnsi="Arial"/>
          <w:b/>
          <w:sz w:val="20"/>
        </w:rPr>
      </w:pPr>
      <w:r w:rsidRPr="00A868ED">
        <w:rPr>
          <w:rFonts w:ascii="Arial" w:hAnsi="Arial"/>
          <w:b/>
          <w:sz w:val="20"/>
        </w:rPr>
        <w:t>ADVERSE EFFECTS</w:t>
      </w:r>
    </w:p>
    <w:p w:rsidR="00E44F87" w:rsidRPr="00A868ED" w:rsidRDefault="00E44F87">
      <w:pPr>
        <w:autoSpaceDE w:val="0"/>
        <w:autoSpaceDN w:val="0"/>
        <w:adjustRightInd w:val="0"/>
        <w:jc w:val="both"/>
        <w:rPr>
          <w:rFonts w:ascii="Arial" w:hAnsi="Arial"/>
          <w:b/>
          <w:sz w:val="20"/>
        </w:rPr>
      </w:pPr>
    </w:p>
    <w:p w:rsidR="00E44F87" w:rsidRPr="00A868ED" w:rsidRDefault="00E44F87">
      <w:pPr>
        <w:autoSpaceDE w:val="0"/>
        <w:autoSpaceDN w:val="0"/>
        <w:adjustRightInd w:val="0"/>
        <w:jc w:val="both"/>
        <w:rPr>
          <w:rFonts w:ascii="Arial" w:hAnsi="Arial"/>
          <w:b/>
          <w:bCs/>
          <w:sz w:val="20"/>
        </w:rPr>
      </w:pPr>
      <w:r w:rsidRPr="00A868ED">
        <w:rPr>
          <w:rFonts w:ascii="Arial" w:hAnsi="Arial"/>
          <w:b/>
          <w:bCs/>
          <w:sz w:val="20"/>
        </w:rPr>
        <w:t>Clinical Trials</w:t>
      </w:r>
    </w:p>
    <w:p w:rsidR="00E44F87" w:rsidRDefault="00E44F87">
      <w:pPr>
        <w:autoSpaceDE w:val="0"/>
        <w:autoSpaceDN w:val="0"/>
        <w:adjustRightInd w:val="0"/>
        <w:jc w:val="both"/>
        <w:rPr>
          <w:rFonts w:ascii="Arial" w:hAnsi="Arial"/>
          <w:sz w:val="20"/>
        </w:rPr>
      </w:pPr>
    </w:p>
    <w:p w:rsidR="00E44F87" w:rsidRPr="004004FD" w:rsidRDefault="00E44F87">
      <w:pPr>
        <w:autoSpaceDE w:val="0"/>
        <w:autoSpaceDN w:val="0"/>
        <w:adjustRightInd w:val="0"/>
        <w:jc w:val="both"/>
        <w:rPr>
          <w:rFonts w:ascii="Arial" w:hAnsi="Arial"/>
          <w:sz w:val="20"/>
        </w:rPr>
      </w:pPr>
      <w:r w:rsidRPr="004004FD">
        <w:rPr>
          <w:rFonts w:ascii="Arial" w:hAnsi="Arial"/>
          <w:sz w:val="20"/>
        </w:rPr>
        <w:lastRenderedPageBreak/>
        <w:t xml:space="preserve">Humira was studied </w:t>
      </w:r>
      <w:r w:rsidR="00131BDA" w:rsidRPr="004004FD">
        <w:rPr>
          <w:rFonts w:ascii="Arial" w:hAnsi="Arial"/>
          <w:sz w:val="20"/>
        </w:rPr>
        <w:t xml:space="preserve">in </w:t>
      </w:r>
      <w:r w:rsidR="002B3277">
        <w:rPr>
          <w:rFonts w:ascii="Arial" w:hAnsi="Arial"/>
          <w:sz w:val="20"/>
        </w:rPr>
        <w:t>81</w:t>
      </w:r>
      <w:r w:rsidR="00D209CD">
        <w:rPr>
          <w:rFonts w:ascii="Arial" w:hAnsi="Arial"/>
          <w:sz w:val="20"/>
        </w:rPr>
        <w:t>52</w:t>
      </w:r>
      <w:r w:rsidR="00D209CD" w:rsidRPr="004004FD">
        <w:rPr>
          <w:rFonts w:ascii="Arial" w:hAnsi="Arial"/>
          <w:sz w:val="20"/>
        </w:rPr>
        <w:t xml:space="preserve"> </w:t>
      </w:r>
      <w:r w:rsidRPr="004004FD">
        <w:rPr>
          <w:rFonts w:ascii="Arial" w:hAnsi="Arial"/>
          <w:sz w:val="20"/>
        </w:rPr>
        <w:t>patients in controlled and open label trials. These trials included rheumatoid arthritis patients with short term and long standing disease, polyarticular juvenile idiopathic arthritis as well as psoriatic arthritis, ankylosing spondylitis, Crohn’s disease</w:t>
      </w:r>
      <w:r w:rsidR="00D209CD">
        <w:rPr>
          <w:rFonts w:ascii="Arial" w:hAnsi="Arial"/>
          <w:sz w:val="20"/>
        </w:rPr>
        <w:t>, ulcerative colitis</w:t>
      </w:r>
      <w:r w:rsidRPr="004004FD">
        <w:rPr>
          <w:rFonts w:ascii="Arial" w:hAnsi="Arial"/>
          <w:sz w:val="20"/>
        </w:rPr>
        <w:t xml:space="preserve"> and psoriasi</w:t>
      </w:r>
      <w:r w:rsidR="00695AA5">
        <w:rPr>
          <w:rFonts w:ascii="Arial" w:hAnsi="Arial"/>
          <w:sz w:val="20"/>
        </w:rPr>
        <w:t xml:space="preserve">s patients. The data in Table </w:t>
      </w:r>
      <w:r w:rsidR="002B3277">
        <w:rPr>
          <w:rFonts w:ascii="Arial" w:hAnsi="Arial"/>
          <w:sz w:val="20"/>
        </w:rPr>
        <w:t>22</w:t>
      </w:r>
      <w:r w:rsidR="00732396" w:rsidRPr="004004FD">
        <w:rPr>
          <w:rFonts w:ascii="Arial" w:hAnsi="Arial"/>
          <w:sz w:val="20"/>
        </w:rPr>
        <w:t xml:space="preserve"> </w:t>
      </w:r>
      <w:r w:rsidRPr="004004FD">
        <w:rPr>
          <w:rFonts w:ascii="Arial" w:hAnsi="Arial"/>
          <w:sz w:val="20"/>
        </w:rPr>
        <w:t>is based on the pivotal</w:t>
      </w:r>
      <w:r w:rsidR="002B3277">
        <w:rPr>
          <w:rFonts w:ascii="Arial" w:hAnsi="Arial"/>
          <w:sz w:val="20"/>
        </w:rPr>
        <w:t xml:space="preserve"> controlled Studies involving 5312</w:t>
      </w:r>
      <w:r w:rsidRPr="004004FD">
        <w:rPr>
          <w:rFonts w:ascii="Arial" w:hAnsi="Arial"/>
          <w:sz w:val="20"/>
        </w:rPr>
        <w:t xml:space="preserve"> pat</w:t>
      </w:r>
      <w:r w:rsidR="002B3277">
        <w:rPr>
          <w:rFonts w:ascii="Arial" w:hAnsi="Arial"/>
          <w:sz w:val="20"/>
        </w:rPr>
        <w:t>ients receiving Humira and 3133</w:t>
      </w:r>
      <w:r w:rsidRPr="004004FD">
        <w:rPr>
          <w:rFonts w:ascii="Arial" w:hAnsi="Arial"/>
          <w:sz w:val="20"/>
        </w:rPr>
        <w:t xml:space="preserve"> patients receiving placebo or active comparator during the controlled period.</w:t>
      </w:r>
    </w:p>
    <w:p w:rsidR="00E44F87" w:rsidRPr="004004FD" w:rsidRDefault="00E44F87">
      <w:pPr>
        <w:autoSpaceDE w:val="0"/>
        <w:autoSpaceDN w:val="0"/>
        <w:adjustRightInd w:val="0"/>
        <w:jc w:val="both"/>
        <w:rPr>
          <w:rFonts w:ascii="Arial" w:hAnsi="Arial"/>
          <w:sz w:val="20"/>
        </w:rPr>
      </w:pPr>
    </w:p>
    <w:p w:rsidR="00E44F87" w:rsidRPr="004004FD" w:rsidRDefault="00E44F87">
      <w:pPr>
        <w:autoSpaceDE w:val="0"/>
        <w:autoSpaceDN w:val="0"/>
        <w:adjustRightInd w:val="0"/>
        <w:jc w:val="both"/>
        <w:rPr>
          <w:rFonts w:ascii="Arial" w:hAnsi="Arial"/>
          <w:sz w:val="20"/>
        </w:rPr>
      </w:pPr>
      <w:r w:rsidRPr="004004FD">
        <w:rPr>
          <w:rFonts w:ascii="Arial" w:hAnsi="Arial"/>
          <w:sz w:val="20"/>
        </w:rPr>
        <w:t>The proportion of patients who discontinued treatment due to adverse events during the double-blind, controlled portion of pivotal studies</w:t>
      </w:r>
      <w:r w:rsidR="009732CD" w:rsidRPr="004004FD">
        <w:rPr>
          <w:rFonts w:ascii="Arial" w:hAnsi="Arial"/>
          <w:sz w:val="20"/>
        </w:rPr>
        <w:t xml:space="preserve"> across all indications</w:t>
      </w:r>
      <w:r w:rsidRPr="004004FD">
        <w:rPr>
          <w:rFonts w:ascii="Arial" w:hAnsi="Arial"/>
          <w:sz w:val="20"/>
        </w:rPr>
        <w:t xml:space="preserve"> was </w:t>
      </w:r>
      <w:r w:rsidR="002B3277">
        <w:rPr>
          <w:rFonts w:ascii="Arial" w:hAnsi="Arial"/>
          <w:sz w:val="20"/>
        </w:rPr>
        <w:t>6.1</w:t>
      </w:r>
      <w:r w:rsidRPr="004004FD">
        <w:rPr>
          <w:rFonts w:ascii="Arial" w:hAnsi="Arial"/>
          <w:sz w:val="20"/>
        </w:rPr>
        <w:t xml:space="preserve">% for patients taking Humira and </w:t>
      </w:r>
      <w:r w:rsidR="002B3277">
        <w:rPr>
          <w:rFonts w:ascii="Arial" w:hAnsi="Arial"/>
          <w:sz w:val="20"/>
        </w:rPr>
        <w:t>5.8</w:t>
      </w:r>
      <w:r w:rsidRPr="004004FD">
        <w:rPr>
          <w:rFonts w:ascii="Arial" w:hAnsi="Arial"/>
          <w:sz w:val="20"/>
        </w:rPr>
        <w:t>% for control treated patients.</w:t>
      </w:r>
      <w:r w:rsidR="009732CD" w:rsidRPr="004004FD">
        <w:rPr>
          <w:rFonts w:ascii="Arial" w:hAnsi="Arial"/>
          <w:bCs/>
          <w:sz w:val="20"/>
        </w:rPr>
        <w:t xml:space="preserve"> The proportion of patients who discontinued treatment due to adverse events during the double-blind, placebo-controlled portion of RA Studies I, II, III and IV was 6.6% for patients taking Humira and 4.2% for placebo-treated patients.</w:t>
      </w:r>
    </w:p>
    <w:p w:rsidR="00E44F87" w:rsidRPr="004004FD" w:rsidRDefault="00E44F87">
      <w:pPr>
        <w:autoSpaceDE w:val="0"/>
        <w:autoSpaceDN w:val="0"/>
        <w:adjustRightInd w:val="0"/>
        <w:jc w:val="both"/>
        <w:rPr>
          <w:rFonts w:ascii="Arial" w:hAnsi="Arial"/>
          <w:sz w:val="20"/>
        </w:rPr>
      </w:pPr>
    </w:p>
    <w:p w:rsidR="00E44F87" w:rsidRPr="004004FD" w:rsidRDefault="00E44F87">
      <w:pPr>
        <w:autoSpaceDE w:val="0"/>
        <w:autoSpaceDN w:val="0"/>
        <w:adjustRightInd w:val="0"/>
        <w:jc w:val="both"/>
        <w:rPr>
          <w:rFonts w:ascii="Arial" w:hAnsi="Arial"/>
          <w:sz w:val="20"/>
        </w:rPr>
      </w:pPr>
      <w:r w:rsidRPr="004004FD">
        <w:rPr>
          <w:rFonts w:ascii="Arial" w:hAnsi="Arial"/>
          <w:sz w:val="20"/>
        </w:rPr>
        <w:t xml:space="preserve">Approximately </w:t>
      </w:r>
      <w:r w:rsidR="00D209CD">
        <w:rPr>
          <w:rFonts w:ascii="Arial" w:hAnsi="Arial"/>
          <w:sz w:val="20"/>
        </w:rPr>
        <w:t>14</w:t>
      </w:r>
      <w:r w:rsidRPr="004004FD">
        <w:rPr>
          <w:rFonts w:ascii="Arial" w:hAnsi="Arial"/>
          <w:sz w:val="20"/>
        </w:rPr>
        <w:t>% of patients can be expected to experience injection site reactions, based on the most common adverse event with adalimumab in controlled clinical studies.</w:t>
      </w:r>
    </w:p>
    <w:p w:rsidR="00E44F87" w:rsidRPr="004004FD" w:rsidRDefault="00E44F87">
      <w:pPr>
        <w:autoSpaceDE w:val="0"/>
        <w:autoSpaceDN w:val="0"/>
        <w:adjustRightInd w:val="0"/>
        <w:jc w:val="both"/>
        <w:rPr>
          <w:rFonts w:ascii="Arial" w:hAnsi="Arial"/>
          <w:sz w:val="20"/>
        </w:rPr>
      </w:pPr>
    </w:p>
    <w:p w:rsidR="00E44F87" w:rsidRPr="004004FD" w:rsidRDefault="00E44F87">
      <w:pPr>
        <w:autoSpaceDE w:val="0"/>
        <w:autoSpaceDN w:val="0"/>
        <w:adjustRightInd w:val="0"/>
        <w:jc w:val="both"/>
        <w:rPr>
          <w:rFonts w:ascii="Arial" w:hAnsi="Arial"/>
          <w:sz w:val="20"/>
        </w:rPr>
      </w:pPr>
      <w:r w:rsidRPr="004004FD">
        <w:rPr>
          <w:rFonts w:ascii="Arial" w:hAnsi="Arial"/>
          <w:sz w:val="20"/>
        </w:rPr>
        <w:t>Undesirable effects in paediatric patients with polyarticular juvenile idiopathic arthritis:</w:t>
      </w:r>
    </w:p>
    <w:p w:rsidR="00E44F87" w:rsidRPr="004004FD" w:rsidRDefault="00E44F87">
      <w:pPr>
        <w:autoSpaceDE w:val="0"/>
        <w:autoSpaceDN w:val="0"/>
        <w:adjustRightInd w:val="0"/>
        <w:jc w:val="both"/>
        <w:rPr>
          <w:rFonts w:ascii="Arial" w:hAnsi="Arial"/>
          <w:sz w:val="20"/>
        </w:rPr>
      </w:pPr>
      <w:r w:rsidRPr="004004FD">
        <w:rPr>
          <w:rFonts w:ascii="Arial" w:hAnsi="Arial"/>
          <w:sz w:val="20"/>
        </w:rPr>
        <w:t>In general, the adverse events in paediatric patients were similar in frequency and type to those seen in adult patients.</w:t>
      </w:r>
    </w:p>
    <w:p w:rsidR="00E44F87" w:rsidRPr="004004FD"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sidRPr="004004FD">
        <w:rPr>
          <w:rFonts w:ascii="Arial" w:hAnsi="Arial"/>
          <w:sz w:val="20"/>
        </w:rPr>
        <w:t>Adverse events at least possibly causally-related to adalimumab for clinical studies, both clinical and laboratory, are displayed by system organ class and frequency (very common</w:t>
      </w:r>
      <w:r w:rsidR="004004FD" w:rsidRPr="004004FD">
        <w:rPr>
          <w:rFonts w:ascii="Arial" w:hAnsi="Arial"/>
          <w:sz w:val="20"/>
        </w:rPr>
        <w:t xml:space="preserve"> </w:t>
      </w:r>
      <w:r w:rsidRPr="004004FD">
        <w:rPr>
          <w:rFonts w:ascii="Arial" w:hAnsi="Arial" w:cs="Arial"/>
          <w:sz w:val="20"/>
        </w:rPr>
        <w:t>≥</w:t>
      </w:r>
      <w:r w:rsidRPr="004004FD">
        <w:rPr>
          <w:rFonts w:ascii="Arial" w:hAnsi="Arial"/>
          <w:sz w:val="20"/>
        </w:rPr>
        <w:t xml:space="preserve"> 1/10; common</w:t>
      </w:r>
      <w:r w:rsidR="004004FD" w:rsidRPr="004004FD">
        <w:rPr>
          <w:rFonts w:ascii="Arial" w:hAnsi="Arial"/>
          <w:sz w:val="20"/>
        </w:rPr>
        <w:t xml:space="preserve"> </w:t>
      </w:r>
      <w:r w:rsidRPr="004004FD">
        <w:rPr>
          <w:rFonts w:ascii="Arial" w:hAnsi="Arial" w:cs="Arial"/>
          <w:sz w:val="20"/>
        </w:rPr>
        <w:t>≥</w:t>
      </w:r>
      <w:r w:rsidRPr="004004FD">
        <w:rPr>
          <w:rFonts w:ascii="Arial" w:hAnsi="Arial"/>
          <w:sz w:val="20"/>
        </w:rPr>
        <w:t xml:space="preserve"> 1/100 to </w:t>
      </w:r>
      <w:r w:rsidRPr="004004FD">
        <w:rPr>
          <w:rFonts w:ascii="Arial" w:hAnsi="Arial" w:cs="Arial"/>
          <w:sz w:val="20"/>
        </w:rPr>
        <w:t>&lt;</w:t>
      </w:r>
      <w:r w:rsidRPr="004004FD">
        <w:rPr>
          <w:rFonts w:ascii="Arial" w:hAnsi="Arial"/>
          <w:sz w:val="20"/>
        </w:rPr>
        <w:t xml:space="preserve">1/10; uncommon </w:t>
      </w:r>
      <w:r w:rsidRPr="004004FD">
        <w:rPr>
          <w:rFonts w:ascii="Arial" w:hAnsi="Arial" w:cs="Arial"/>
          <w:sz w:val="20"/>
        </w:rPr>
        <w:t>≥</w:t>
      </w:r>
      <w:r w:rsidRPr="004004FD">
        <w:rPr>
          <w:rFonts w:ascii="Arial" w:hAnsi="Arial"/>
          <w:sz w:val="20"/>
        </w:rPr>
        <w:t xml:space="preserve"> 1/1000 to </w:t>
      </w:r>
      <w:r w:rsidRPr="004004FD">
        <w:rPr>
          <w:rFonts w:ascii="Arial" w:hAnsi="Arial" w:cs="Arial"/>
          <w:sz w:val="20"/>
        </w:rPr>
        <w:t xml:space="preserve">&lt; </w:t>
      </w:r>
      <w:r w:rsidRPr="004004FD">
        <w:rPr>
          <w:rFonts w:ascii="Arial" w:hAnsi="Arial"/>
          <w:sz w:val="20"/>
        </w:rPr>
        <w:t xml:space="preserve">1/100); and rare </w:t>
      </w:r>
      <w:r w:rsidRPr="004004FD">
        <w:rPr>
          <w:rFonts w:ascii="Arial" w:hAnsi="Arial" w:cs="Arial"/>
          <w:sz w:val="20"/>
        </w:rPr>
        <w:t>≥</w:t>
      </w:r>
      <w:r w:rsidRPr="004004FD">
        <w:rPr>
          <w:rFonts w:ascii="Arial" w:hAnsi="Arial"/>
          <w:sz w:val="20"/>
        </w:rPr>
        <w:t xml:space="preserve"> 1/10000 to </w:t>
      </w:r>
      <w:r w:rsidRPr="004004FD">
        <w:rPr>
          <w:rFonts w:ascii="Arial" w:hAnsi="Arial" w:cs="Arial"/>
          <w:sz w:val="20"/>
        </w:rPr>
        <w:t>&lt; 1000</w:t>
      </w:r>
      <w:r w:rsidRPr="004004FD">
        <w:rPr>
          <w:rFonts w:ascii="Arial" w:hAnsi="Arial"/>
          <w:sz w:val="20"/>
        </w:rPr>
        <w:t xml:space="preserve"> in Table </w:t>
      </w:r>
      <w:r w:rsidR="002B3277">
        <w:rPr>
          <w:rFonts w:ascii="Arial" w:hAnsi="Arial"/>
          <w:sz w:val="20"/>
        </w:rPr>
        <w:t>24</w:t>
      </w:r>
      <w:r w:rsidR="00732396" w:rsidRPr="004004FD">
        <w:rPr>
          <w:rFonts w:ascii="Arial" w:hAnsi="Arial"/>
          <w:sz w:val="20"/>
        </w:rPr>
        <w:t xml:space="preserve"> </w:t>
      </w:r>
      <w:r w:rsidRPr="004004FD">
        <w:rPr>
          <w:rFonts w:ascii="Arial" w:hAnsi="Arial"/>
          <w:sz w:val="20"/>
        </w:rPr>
        <w:t>below.</w:t>
      </w:r>
    </w:p>
    <w:p w:rsidR="00733BBC" w:rsidRPr="004004FD" w:rsidRDefault="00733BBC">
      <w:pPr>
        <w:autoSpaceDE w:val="0"/>
        <w:autoSpaceDN w:val="0"/>
        <w:adjustRightInd w:val="0"/>
        <w:jc w:val="both"/>
        <w:rPr>
          <w:rFonts w:ascii="Arial" w:hAnsi="Arial"/>
          <w:sz w:val="20"/>
        </w:rPr>
      </w:pPr>
    </w:p>
    <w:p w:rsidR="00916155" w:rsidRDefault="00E44F87">
      <w:pPr>
        <w:autoSpaceDE w:val="0"/>
        <w:autoSpaceDN w:val="0"/>
        <w:adjustRightInd w:val="0"/>
        <w:rPr>
          <w:rFonts w:ascii="Arial" w:hAnsi="Arial" w:cs="Arial"/>
          <w:sz w:val="20"/>
          <w:szCs w:val="20"/>
          <w:lang w:val="en-US" w:eastAsia="de-DE"/>
        </w:rPr>
      </w:pPr>
      <w:r w:rsidRPr="0054048E">
        <w:rPr>
          <w:rFonts w:ascii="Arial" w:hAnsi="Arial" w:cs="Arial"/>
          <w:sz w:val="20"/>
          <w:szCs w:val="20"/>
          <w:lang w:val="en-US" w:eastAsia="de-DE"/>
        </w:rPr>
        <w:t>The highest frequency seen among the various indications has been included.</w:t>
      </w:r>
    </w:p>
    <w:p w:rsidR="002B3277" w:rsidRDefault="002B3277">
      <w:pPr>
        <w:tabs>
          <w:tab w:val="left" w:pos="1080"/>
        </w:tabs>
        <w:rPr>
          <w:rFonts w:ascii="Arial" w:hAnsi="Arial"/>
          <w:b/>
          <w:sz w:val="22"/>
          <w:szCs w:val="22"/>
        </w:rPr>
      </w:pPr>
    </w:p>
    <w:p w:rsidR="00E44F87" w:rsidRPr="004004FD" w:rsidRDefault="00E44F87" w:rsidP="00D671D6">
      <w:pPr>
        <w:keepNext/>
        <w:tabs>
          <w:tab w:val="left" w:pos="1080"/>
        </w:tabs>
        <w:rPr>
          <w:rFonts w:ascii="Arial" w:hAnsi="Arial"/>
          <w:b/>
          <w:sz w:val="22"/>
          <w:szCs w:val="22"/>
        </w:rPr>
      </w:pPr>
      <w:r w:rsidRPr="004004FD">
        <w:rPr>
          <w:rFonts w:ascii="Arial" w:hAnsi="Arial"/>
          <w:b/>
          <w:sz w:val="22"/>
          <w:szCs w:val="22"/>
        </w:rPr>
        <w:t xml:space="preserve">Table </w:t>
      </w:r>
      <w:r w:rsidR="002B3277">
        <w:rPr>
          <w:rFonts w:ascii="Arial" w:hAnsi="Arial"/>
          <w:b/>
          <w:sz w:val="22"/>
          <w:szCs w:val="22"/>
        </w:rPr>
        <w:t>24</w:t>
      </w:r>
      <w:r w:rsidRPr="004004FD">
        <w:rPr>
          <w:rFonts w:ascii="Arial" w:hAnsi="Arial"/>
          <w:b/>
          <w:sz w:val="22"/>
          <w:szCs w:val="22"/>
        </w:rPr>
        <w:t xml:space="preserve">: </w:t>
      </w:r>
      <w:r w:rsidRPr="004004FD">
        <w:rPr>
          <w:rFonts w:ascii="Arial" w:hAnsi="Arial"/>
          <w:b/>
          <w:sz w:val="22"/>
          <w:szCs w:val="22"/>
        </w:rPr>
        <w:tab/>
        <w:t xml:space="preserve">Adverse </w:t>
      </w:r>
      <w:r w:rsidRPr="00A20410">
        <w:rPr>
          <w:rFonts w:ascii="Arial" w:hAnsi="Arial"/>
          <w:b/>
          <w:sz w:val="22"/>
          <w:szCs w:val="22"/>
        </w:rPr>
        <w:t>Drug Reactions in Clinical Studies</w:t>
      </w:r>
    </w:p>
    <w:p w:rsidR="00E44F87" w:rsidRPr="004004FD" w:rsidRDefault="00E44F87" w:rsidP="00D671D6">
      <w:pPr>
        <w:keepNext/>
        <w:tabs>
          <w:tab w:val="left" w:pos="1080"/>
        </w:tabs>
        <w:rPr>
          <w:rFonts w:ascii="Arial" w:hAnsi="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2074"/>
        <w:gridCol w:w="4575"/>
      </w:tblGrid>
      <w:tr w:rsidR="00E44F87" w:rsidRPr="004004FD">
        <w:trPr>
          <w:tblHeader/>
        </w:trPr>
        <w:tc>
          <w:tcPr>
            <w:tcW w:w="2600" w:type="dxa"/>
          </w:tcPr>
          <w:p w:rsidR="00E44F87" w:rsidRPr="004004FD" w:rsidRDefault="00E44F87" w:rsidP="00D671D6">
            <w:pPr>
              <w:keepNext/>
              <w:widowControl w:val="0"/>
              <w:spacing w:after="100" w:afterAutospacing="1"/>
              <w:jc w:val="center"/>
              <w:rPr>
                <w:rFonts w:ascii="Arial" w:hAnsi="Arial" w:cs="Arial"/>
                <w:b/>
                <w:sz w:val="18"/>
                <w:szCs w:val="18"/>
                <w:lang w:val="en-GB"/>
              </w:rPr>
            </w:pPr>
            <w:r w:rsidRPr="004004FD">
              <w:rPr>
                <w:rFonts w:ascii="Arial" w:hAnsi="Arial" w:cs="Arial"/>
                <w:b/>
                <w:bCs/>
                <w:sz w:val="18"/>
                <w:szCs w:val="18"/>
                <w:lang w:val="en-GB"/>
              </w:rPr>
              <w:t>System Organ Class</w:t>
            </w:r>
            <w:r w:rsidRPr="004004FD">
              <w:rPr>
                <w:rFonts w:ascii="Arial" w:hAnsi="Arial" w:cs="Arial"/>
                <w:b/>
                <w:bCs/>
                <w:sz w:val="18"/>
                <w:szCs w:val="18"/>
                <w:vertAlign w:val="superscript"/>
                <w:lang w:val="en-GB"/>
              </w:rPr>
              <w:t>a)</w:t>
            </w:r>
          </w:p>
        </w:tc>
        <w:tc>
          <w:tcPr>
            <w:tcW w:w="2074" w:type="dxa"/>
            <w:tcBorders>
              <w:bottom w:val="single" w:sz="4" w:space="0" w:color="auto"/>
            </w:tcBorders>
          </w:tcPr>
          <w:p w:rsidR="00E44F87" w:rsidRPr="004004FD" w:rsidRDefault="00E44F87" w:rsidP="00D671D6">
            <w:pPr>
              <w:keepNext/>
              <w:widowControl w:val="0"/>
              <w:spacing w:after="100" w:afterAutospacing="1"/>
              <w:jc w:val="center"/>
              <w:rPr>
                <w:rFonts w:ascii="Arial" w:hAnsi="Arial" w:cs="Arial"/>
                <w:b/>
                <w:sz w:val="18"/>
                <w:szCs w:val="18"/>
                <w:lang w:val="en-GB"/>
              </w:rPr>
            </w:pPr>
            <w:r w:rsidRPr="004004FD">
              <w:rPr>
                <w:rFonts w:ascii="Arial" w:hAnsi="Arial" w:cs="Arial"/>
                <w:b/>
                <w:bCs/>
                <w:sz w:val="18"/>
                <w:szCs w:val="18"/>
                <w:lang w:val="en-GB"/>
              </w:rPr>
              <w:t>Frequency</w:t>
            </w:r>
          </w:p>
        </w:tc>
        <w:tc>
          <w:tcPr>
            <w:tcW w:w="4575" w:type="dxa"/>
            <w:tcBorders>
              <w:bottom w:val="single" w:sz="4" w:space="0" w:color="auto"/>
            </w:tcBorders>
          </w:tcPr>
          <w:p w:rsidR="00E44F87" w:rsidRPr="004004FD" w:rsidRDefault="00E44F87" w:rsidP="00D671D6">
            <w:pPr>
              <w:keepNext/>
              <w:widowControl w:val="0"/>
              <w:spacing w:after="100" w:afterAutospacing="1"/>
              <w:jc w:val="center"/>
              <w:rPr>
                <w:rFonts w:ascii="Arial" w:hAnsi="Arial" w:cs="Arial"/>
                <w:b/>
                <w:sz w:val="18"/>
                <w:szCs w:val="18"/>
                <w:lang w:val="en-GB"/>
              </w:rPr>
            </w:pPr>
            <w:r w:rsidRPr="004004FD">
              <w:rPr>
                <w:rFonts w:ascii="Arial" w:hAnsi="Arial" w:cs="Arial"/>
                <w:b/>
                <w:bCs/>
                <w:sz w:val="18"/>
                <w:szCs w:val="18"/>
                <w:lang w:val="en-GB"/>
              </w:rPr>
              <w:t>Adverse Reaction</w:t>
            </w:r>
            <w:r w:rsidRPr="004004FD">
              <w:rPr>
                <w:rFonts w:ascii="Arial" w:hAnsi="Arial" w:cs="Arial"/>
                <w:b/>
                <w:bCs/>
                <w:sz w:val="18"/>
                <w:szCs w:val="18"/>
                <w:vertAlign w:val="superscript"/>
                <w:lang w:val="en-GB"/>
              </w:rPr>
              <w:t>a)</w:t>
            </w:r>
          </w:p>
        </w:tc>
      </w:tr>
      <w:tr w:rsidR="00E44F87" w:rsidRPr="004004FD" w:rsidTr="006D0426">
        <w:trPr>
          <w:cantSplit/>
        </w:trPr>
        <w:tc>
          <w:tcPr>
            <w:tcW w:w="2600" w:type="dxa"/>
            <w:vMerge w:val="restart"/>
          </w:tcPr>
          <w:p w:rsidR="00E44F87" w:rsidRPr="004004FD" w:rsidRDefault="00E44F87" w:rsidP="00D671D6">
            <w:pPr>
              <w:pStyle w:val="EMEANormal"/>
              <w:keepNext/>
              <w:widowControl w:val="0"/>
              <w:spacing w:after="100" w:afterAutospacing="1"/>
              <w:rPr>
                <w:rFonts w:ascii="Arial" w:hAnsi="Arial" w:cs="Arial"/>
                <w:sz w:val="18"/>
                <w:szCs w:val="18"/>
                <w:lang w:val="en-GB"/>
              </w:rPr>
            </w:pPr>
            <w:r w:rsidRPr="004004FD">
              <w:rPr>
                <w:rFonts w:ascii="Arial" w:hAnsi="Arial" w:cs="Arial"/>
                <w:sz w:val="18"/>
                <w:szCs w:val="18"/>
                <w:lang w:val="en-GB"/>
              </w:rPr>
              <w:t>Infections and infestations</w:t>
            </w:r>
          </w:p>
          <w:p w:rsidR="00E44F87" w:rsidRPr="004004FD" w:rsidRDefault="00E44F87" w:rsidP="00D671D6">
            <w:pPr>
              <w:keepNext/>
              <w:widowControl w:val="0"/>
              <w:spacing w:after="100" w:afterAutospacing="1"/>
              <w:jc w:val="center"/>
              <w:rPr>
                <w:rFonts w:ascii="Arial" w:hAnsi="Arial" w:cs="Arial"/>
                <w:sz w:val="18"/>
                <w:szCs w:val="18"/>
                <w:lang w:val="en-GB"/>
              </w:rPr>
            </w:pPr>
          </w:p>
        </w:tc>
        <w:tc>
          <w:tcPr>
            <w:tcW w:w="2074" w:type="dxa"/>
            <w:tcBorders>
              <w:bottom w:val="nil"/>
            </w:tcBorders>
          </w:tcPr>
          <w:p w:rsidR="00E44F87" w:rsidRPr="004004FD" w:rsidRDefault="00E44F87" w:rsidP="00D671D6">
            <w:pPr>
              <w:pStyle w:val="EMEANormal"/>
              <w:keepNext/>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tc>
        <w:tc>
          <w:tcPr>
            <w:tcW w:w="4575" w:type="dxa"/>
            <w:tcBorders>
              <w:bottom w:val="nil"/>
            </w:tcBorders>
          </w:tcPr>
          <w:p w:rsidR="00E44F87" w:rsidRPr="004004FD" w:rsidRDefault="00E44F87" w:rsidP="00D671D6">
            <w:pPr>
              <w:pStyle w:val="EMEANormal"/>
              <w:keepNext/>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respiratory tract infections </w:t>
            </w:r>
            <w:r w:rsidRPr="004004FD">
              <w:rPr>
                <w:rFonts w:ascii="Arial" w:hAnsi="Arial" w:cs="Arial"/>
                <w:sz w:val="18"/>
                <w:szCs w:val="18"/>
              </w:rPr>
              <w:t>(including lower and upper respiratory tract infection, pneumonia, sinusitis, pharyngitis, nasopharyngitis and pneumonia herpes viral)</w:t>
            </w:r>
          </w:p>
        </w:tc>
      </w:tr>
      <w:tr w:rsidR="00E44F87" w:rsidRPr="004004FD" w:rsidTr="006D0426">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nil"/>
              <w:bottom w:val="single" w:sz="4" w:space="0" w:color="auto"/>
            </w:tcBorders>
          </w:tcPr>
          <w:p w:rsidR="00BC1D6C" w:rsidRDefault="00E44F87" w:rsidP="00BC1D6C">
            <w:pPr>
              <w:widowControl w:val="0"/>
              <w:spacing w:after="100" w:afterAutospacing="1"/>
              <w:rPr>
                <w:rFonts w:ascii="Arial" w:hAnsi="Arial" w:cs="Arial"/>
                <w:sz w:val="18"/>
                <w:szCs w:val="18"/>
              </w:rPr>
            </w:pPr>
            <w:r w:rsidRPr="004004FD">
              <w:rPr>
                <w:rFonts w:ascii="Arial" w:hAnsi="Arial" w:cs="Arial"/>
                <w:sz w:val="18"/>
                <w:szCs w:val="18"/>
              </w:rPr>
              <w:t>systemic infections (including sepsis, candidiasis and influenza),</w:t>
            </w:r>
          </w:p>
          <w:p w:rsidR="00E44F87" w:rsidRPr="004004FD" w:rsidRDefault="00BC1D6C" w:rsidP="00BC1D6C">
            <w:pPr>
              <w:widowControl w:val="0"/>
              <w:spacing w:after="100" w:afterAutospacing="1"/>
              <w:rPr>
                <w:rFonts w:ascii="Arial" w:hAnsi="Arial" w:cs="Arial"/>
                <w:sz w:val="18"/>
                <w:szCs w:val="18"/>
              </w:rPr>
            </w:pPr>
            <w:r>
              <w:rPr>
                <w:rFonts w:ascii="Arial" w:hAnsi="Arial" w:cs="Arial"/>
                <w:sz w:val="18"/>
                <w:szCs w:val="18"/>
              </w:rPr>
              <w:t>i</w:t>
            </w:r>
            <w:r w:rsidR="00E44F87" w:rsidRPr="004004FD">
              <w:rPr>
                <w:rFonts w:ascii="Arial" w:hAnsi="Arial" w:cs="Arial"/>
                <w:sz w:val="18"/>
                <w:szCs w:val="18"/>
              </w:rPr>
              <w:t>ntestinal infections (including gastroenteritis viral),</w:t>
            </w:r>
          </w:p>
          <w:p w:rsidR="00E44F87" w:rsidRPr="004004FD" w:rsidRDefault="00E44F87" w:rsidP="00BC1D6C">
            <w:pPr>
              <w:widowControl w:val="0"/>
              <w:spacing w:after="100" w:afterAutospacing="1"/>
              <w:rPr>
                <w:rFonts w:ascii="Arial" w:hAnsi="Arial" w:cs="Arial"/>
                <w:sz w:val="18"/>
                <w:szCs w:val="18"/>
              </w:rPr>
            </w:pPr>
            <w:r w:rsidRPr="004004FD">
              <w:rPr>
                <w:rFonts w:ascii="Arial" w:hAnsi="Arial" w:cs="Arial"/>
                <w:sz w:val="18"/>
                <w:szCs w:val="18"/>
                <w:lang w:val="en-GB"/>
              </w:rPr>
              <w:t xml:space="preserve">skin and soft tissue infections </w:t>
            </w:r>
            <w:r w:rsidRPr="004004FD">
              <w:rPr>
                <w:rFonts w:ascii="Arial" w:hAnsi="Arial" w:cs="Arial"/>
                <w:sz w:val="18"/>
                <w:szCs w:val="18"/>
              </w:rPr>
              <w:t>(including paronychia, cellulitis, impetigo, necrotising fasciitis and herpes zoster), ear infections,</w:t>
            </w:r>
          </w:p>
          <w:p w:rsidR="00E44F87" w:rsidRPr="004004FD" w:rsidRDefault="00E44F87" w:rsidP="00BC1D6C">
            <w:pPr>
              <w:widowControl w:val="0"/>
              <w:spacing w:after="100" w:afterAutospacing="1"/>
              <w:rPr>
                <w:rFonts w:ascii="Arial" w:hAnsi="Arial" w:cs="Arial"/>
                <w:sz w:val="18"/>
                <w:szCs w:val="18"/>
              </w:rPr>
            </w:pPr>
            <w:r w:rsidRPr="004004FD">
              <w:rPr>
                <w:rFonts w:ascii="Arial" w:hAnsi="Arial" w:cs="Arial"/>
                <w:sz w:val="18"/>
                <w:szCs w:val="18"/>
              </w:rPr>
              <w:t xml:space="preserve">oral infections (including herpes simplex, oral herpes and tooth infections), </w:t>
            </w:r>
          </w:p>
          <w:p w:rsidR="00E44F87" w:rsidRPr="004004FD" w:rsidRDefault="00E44F87" w:rsidP="00BC1D6C">
            <w:pPr>
              <w:widowControl w:val="0"/>
              <w:spacing w:after="100" w:afterAutospacing="1"/>
              <w:rPr>
                <w:rFonts w:ascii="Arial" w:hAnsi="Arial" w:cs="Arial"/>
                <w:sz w:val="18"/>
                <w:szCs w:val="18"/>
              </w:rPr>
            </w:pPr>
            <w:r w:rsidRPr="004004FD">
              <w:rPr>
                <w:rFonts w:ascii="Arial" w:hAnsi="Arial" w:cs="Arial"/>
                <w:sz w:val="18"/>
                <w:szCs w:val="18"/>
              </w:rPr>
              <w:t xml:space="preserve">reproductive tract infections (including vulvovaginal mycotic infection),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urinary tract infections </w:t>
            </w:r>
            <w:r w:rsidRPr="004004FD">
              <w:rPr>
                <w:rFonts w:ascii="Arial" w:hAnsi="Arial" w:cs="Arial"/>
                <w:sz w:val="18"/>
                <w:szCs w:val="18"/>
              </w:rPr>
              <w:t>(including pyelonephritis)</w:t>
            </w:r>
            <w:r w:rsidRPr="004004FD">
              <w:rPr>
                <w:rFonts w:ascii="Arial" w:hAnsi="Arial" w:cs="Arial"/>
                <w:sz w:val="18"/>
                <w:szCs w:val="18"/>
                <w:lang w:val="en-GB"/>
              </w:rPr>
              <w:t>,</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fungal infections</w:t>
            </w:r>
          </w:p>
        </w:tc>
      </w:tr>
      <w:tr w:rsidR="00E44F87" w:rsidRPr="004004FD" w:rsidTr="006D0426">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single" w:sz="4" w:space="0" w:color="auto"/>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single" w:sz="4" w:space="0" w:color="auto"/>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opportunistic infections and tuberculosis (including coccidioidomycosis, histoplasmosis and mycobacterium avum complex infection),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rPr>
              <w:t>neurological infections (including viral meningitis),</w:t>
            </w:r>
          </w:p>
          <w:p w:rsidR="00E44F87" w:rsidRPr="004004FD" w:rsidRDefault="00E44F87" w:rsidP="00BC1D6C">
            <w:pPr>
              <w:pStyle w:val="EMEANormal"/>
              <w:widowControl w:val="0"/>
              <w:spacing w:after="100" w:afterAutospacing="1"/>
              <w:rPr>
                <w:rFonts w:ascii="Arial" w:hAnsi="Arial" w:cs="Arial"/>
                <w:b/>
                <w:i/>
                <w:sz w:val="18"/>
                <w:szCs w:val="18"/>
              </w:rPr>
            </w:pPr>
            <w:r w:rsidRPr="004004FD">
              <w:rPr>
                <w:rFonts w:ascii="Arial" w:hAnsi="Arial" w:cs="Arial"/>
                <w:sz w:val="18"/>
                <w:szCs w:val="18"/>
                <w:lang w:val="en-GB"/>
              </w:rPr>
              <w:t>e</w:t>
            </w:r>
            <w:r w:rsidRPr="004004FD">
              <w:rPr>
                <w:rFonts w:ascii="Arial" w:hAnsi="Arial" w:cs="Arial"/>
                <w:sz w:val="18"/>
                <w:szCs w:val="18"/>
              </w:rPr>
              <w:t>ye infections,</w:t>
            </w:r>
          </w:p>
          <w:p w:rsidR="00E44F87" w:rsidRPr="004004FD" w:rsidRDefault="00E44F87" w:rsidP="00BC1D6C">
            <w:pPr>
              <w:pStyle w:val="EMEANormal"/>
              <w:widowControl w:val="0"/>
              <w:spacing w:after="100" w:afterAutospacing="1"/>
              <w:rPr>
                <w:rFonts w:ascii="Arial" w:hAnsi="Arial" w:cs="Arial"/>
                <w:sz w:val="18"/>
                <w:szCs w:val="18"/>
              </w:rPr>
            </w:pPr>
            <w:r w:rsidRPr="004004FD">
              <w:rPr>
                <w:rFonts w:ascii="Arial" w:hAnsi="Arial" w:cs="Arial"/>
                <w:sz w:val="18"/>
                <w:szCs w:val="18"/>
              </w:rPr>
              <w:t>bacterial infections,</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joint infections </w:t>
            </w:r>
          </w:p>
        </w:tc>
      </w:tr>
      <w:tr w:rsidR="00E44F87" w:rsidRPr="004004FD">
        <w:trPr>
          <w:cantSplit/>
        </w:trPr>
        <w:tc>
          <w:tcPr>
            <w:tcW w:w="2600" w:type="dxa"/>
            <w:vMerge w:val="restart"/>
          </w:tcPr>
          <w:p w:rsidR="00E44F87" w:rsidRPr="004004FD" w:rsidRDefault="00E44F87" w:rsidP="00BC1D6C">
            <w:pPr>
              <w:widowControl w:val="0"/>
              <w:spacing w:after="100" w:afterAutospacing="1"/>
              <w:rPr>
                <w:rFonts w:ascii="Arial" w:hAnsi="Arial" w:cs="Arial"/>
                <w:b/>
                <w:sz w:val="18"/>
                <w:szCs w:val="18"/>
                <w:lang w:val="en-GB"/>
              </w:rPr>
            </w:pPr>
            <w:r w:rsidRPr="004004FD">
              <w:rPr>
                <w:rFonts w:ascii="Arial" w:hAnsi="Arial" w:cs="Arial"/>
                <w:sz w:val="18"/>
                <w:szCs w:val="18"/>
                <w:lang w:val="en-GB"/>
              </w:rPr>
              <w:t>Neoplasms benign, malignant and unspecified (including cysts and polyps)</w:t>
            </w:r>
          </w:p>
        </w:tc>
        <w:tc>
          <w:tcPr>
            <w:tcW w:w="2074"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benign neoplasm,</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skin cancer excluding melanoma (including basal cell carcinoma and squamous cell carcinoma)</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nil"/>
              <w:bottom w:val="single" w:sz="4" w:space="0" w:color="auto"/>
            </w:tcBorders>
          </w:tcPr>
          <w:p w:rsidR="00E44F87" w:rsidRPr="004004FD" w:rsidRDefault="00D55C01" w:rsidP="00BC1D6C">
            <w:pPr>
              <w:pStyle w:val="EMEANormal"/>
              <w:widowControl w:val="0"/>
              <w:spacing w:after="100" w:afterAutospacing="1"/>
              <w:rPr>
                <w:rFonts w:ascii="Arial" w:hAnsi="Arial" w:cs="Arial"/>
                <w:sz w:val="18"/>
                <w:szCs w:val="18"/>
                <w:lang w:val="en-GB"/>
              </w:rPr>
            </w:pPr>
            <w:r>
              <w:rPr>
                <w:rFonts w:ascii="Arial" w:hAnsi="Arial" w:cs="Arial"/>
                <w:sz w:val="18"/>
                <w:szCs w:val="18"/>
                <w:lang w:val="en-GB"/>
              </w:rPr>
              <w:t>Lymphoma*</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solid organ neoplasm (including breast cancer, lung neoplasm and thyroid neoplasm), </w:t>
            </w:r>
          </w:p>
          <w:p w:rsidR="00E44F87" w:rsidRPr="004004FD" w:rsidRDefault="00433A4B" w:rsidP="00BC1D6C">
            <w:pPr>
              <w:pStyle w:val="EMEANormal"/>
              <w:widowControl w:val="0"/>
              <w:spacing w:after="100" w:afterAutospacing="1"/>
              <w:rPr>
                <w:rFonts w:ascii="Arial" w:hAnsi="Arial" w:cs="Arial"/>
                <w:sz w:val="18"/>
                <w:szCs w:val="18"/>
                <w:lang w:val="en-GB"/>
              </w:rPr>
            </w:pPr>
            <w:r>
              <w:rPr>
                <w:rFonts w:ascii="Arial" w:hAnsi="Arial" w:cs="Arial"/>
                <w:sz w:val="18"/>
                <w:szCs w:val="18"/>
                <w:lang w:val="en-GB"/>
              </w:rPr>
              <w:t>melanoma</w:t>
            </w:r>
            <w:r w:rsidR="00D55C01">
              <w:rPr>
                <w:rFonts w:ascii="Arial" w:hAnsi="Arial" w:cs="Arial"/>
                <w:sz w:val="18"/>
                <w:szCs w:val="18"/>
                <w:lang w:val="en-GB"/>
              </w:rPr>
              <w:t>*</w:t>
            </w:r>
          </w:p>
        </w:tc>
      </w:tr>
      <w:tr w:rsidR="00E44F87" w:rsidRPr="004004FD">
        <w:trPr>
          <w:cantSplit/>
        </w:trPr>
        <w:tc>
          <w:tcPr>
            <w:tcW w:w="2600" w:type="dxa"/>
            <w:vMerge w:val="restart"/>
          </w:tcPr>
          <w:p w:rsidR="00E44F87" w:rsidRPr="004004FD" w:rsidRDefault="00E44F87" w:rsidP="00BC1D6C">
            <w:pPr>
              <w:widowControl w:val="0"/>
              <w:spacing w:after="100" w:afterAutospacing="1"/>
              <w:rPr>
                <w:rFonts w:ascii="Arial" w:hAnsi="Arial" w:cs="Arial"/>
                <w:b/>
                <w:sz w:val="18"/>
                <w:szCs w:val="18"/>
                <w:lang w:val="en-GB"/>
              </w:rPr>
            </w:pPr>
            <w:r w:rsidRPr="004004FD">
              <w:rPr>
                <w:rFonts w:ascii="Arial" w:hAnsi="Arial" w:cs="Arial"/>
                <w:sz w:val="18"/>
                <w:szCs w:val="18"/>
                <w:lang w:val="en-GB"/>
              </w:rPr>
              <w:t>Blood and the lymphatic system disorders</w:t>
            </w:r>
          </w:p>
        </w:tc>
        <w:tc>
          <w:tcPr>
            <w:tcW w:w="2074" w:type="dxa"/>
            <w:tcBorders>
              <w:bottom w:val="nil"/>
            </w:tcBorders>
          </w:tcPr>
          <w:p w:rsidR="00E44F87" w:rsidRPr="004004FD" w:rsidRDefault="00E44F87" w:rsidP="00BC1D6C">
            <w:pPr>
              <w:pStyle w:val="EMEANormal"/>
              <w:widowControl w:val="0"/>
              <w:spacing w:after="100" w:afterAutospacing="1"/>
              <w:jc w:val="both"/>
              <w:rPr>
                <w:rFonts w:ascii="Arial" w:hAnsi="Arial" w:cs="Arial"/>
                <w:sz w:val="18"/>
                <w:szCs w:val="18"/>
                <w:lang w:val="en-GB"/>
              </w:rPr>
            </w:pPr>
            <w:r w:rsidRPr="004004FD">
              <w:rPr>
                <w:rFonts w:ascii="Arial" w:hAnsi="Arial" w:cs="Arial"/>
                <w:sz w:val="18"/>
                <w:szCs w:val="18"/>
                <w:lang w:val="en-GB"/>
              </w:rPr>
              <w:t>Very common</w:t>
            </w:r>
          </w:p>
          <w:p w:rsidR="00E44F87" w:rsidRPr="004004FD" w:rsidRDefault="00E44F87" w:rsidP="00BC1D6C">
            <w:pPr>
              <w:pStyle w:val="EMEANormal"/>
              <w:widowControl w:val="0"/>
              <w:spacing w:after="100" w:afterAutospacing="1"/>
              <w:jc w:val="both"/>
              <w:rPr>
                <w:rFonts w:ascii="Arial" w:hAnsi="Arial" w:cs="Arial"/>
                <w:sz w:val="18"/>
                <w:szCs w:val="18"/>
                <w:lang w:val="en-GB"/>
              </w:rPr>
            </w:pPr>
          </w:p>
        </w:tc>
        <w:tc>
          <w:tcPr>
            <w:tcW w:w="4575" w:type="dxa"/>
            <w:tcBorders>
              <w:bottom w:val="nil"/>
            </w:tcBorders>
          </w:tcPr>
          <w:p w:rsidR="00E44F87" w:rsidRPr="004004FD" w:rsidRDefault="00E44F87" w:rsidP="00BC1D6C">
            <w:pPr>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leucopaenia (including neutropaenia and agranulocytosis), </w:t>
            </w:r>
          </w:p>
          <w:p w:rsidR="00E44F87" w:rsidRPr="004004FD" w:rsidRDefault="00E44F87" w:rsidP="00BC1D6C">
            <w:pPr>
              <w:widowControl w:val="0"/>
              <w:spacing w:after="100" w:afterAutospacing="1"/>
              <w:rPr>
                <w:rFonts w:ascii="Arial" w:hAnsi="Arial" w:cs="Arial"/>
                <w:sz w:val="18"/>
                <w:szCs w:val="18"/>
                <w:lang w:val="en-GB"/>
              </w:rPr>
            </w:pPr>
            <w:r w:rsidRPr="004004FD">
              <w:rPr>
                <w:rFonts w:ascii="Arial" w:hAnsi="Arial" w:cs="Arial"/>
                <w:sz w:val="18"/>
                <w:szCs w:val="18"/>
                <w:lang w:val="en-GB"/>
              </w:rPr>
              <w:t>anaemia</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nil"/>
            </w:tcBorders>
          </w:tcPr>
          <w:p w:rsidR="00E44F87" w:rsidRPr="004004FD" w:rsidRDefault="00E44F87" w:rsidP="00BC1D6C">
            <w:pPr>
              <w:pStyle w:val="EMEANormal"/>
              <w:widowControl w:val="0"/>
              <w:spacing w:after="100" w:afterAutospacing="1"/>
              <w:jc w:val="both"/>
              <w:rPr>
                <w:rFonts w:ascii="Arial" w:hAnsi="Arial" w:cs="Arial"/>
                <w:sz w:val="18"/>
                <w:szCs w:val="18"/>
                <w:lang w:val="en-GB"/>
              </w:rPr>
            </w:pPr>
            <w:r w:rsidRPr="004004FD">
              <w:rPr>
                <w:rFonts w:ascii="Arial" w:hAnsi="Arial" w:cs="Arial"/>
                <w:sz w:val="18"/>
                <w:szCs w:val="18"/>
                <w:lang w:val="en-GB"/>
              </w:rPr>
              <w:t>Common</w:t>
            </w:r>
          </w:p>
        </w:tc>
        <w:tc>
          <w:tcPr>
            <w:tcW w:w="4575" w:type="dxa"/>
            <w:tcBorders>
              <w:top w:val="nil"/>
              <w:bottom w:val="nil"/>
            </w:tcBorders>
          </w:tcPr>
          <w:p w:rsidR="00E44F87" w:rsidRPr="004004FD" w:rsidRDefault="00E44F87" w:rsidP="00BC1D6C">
            <w:pPr>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thrombocytopaenia, </w:t>
            </w:r>
          </w:p>
          <w:p w:rsidR="00E44F87" w:rsidRPr="004004FD" w:rsidRDefault="00E44F87" w:rsidP="00BC1D6C">
            <w:pPr>
              <w:widowControl w:val="0"/>
              <w:spacing w:after="100" w:afterAutospacing="1"/>
              <w:rPr>
                <w:rFonts w:ascii="Arial" w:hAnsi="Arial" w:cs="Arial"/>
                <w:sz w:val="18"/>
                <w:szCs w:val="18"/>
                <w:lang w:val="en-GB"/>
              </w:rPr>
            </w:pPr>
            <w:r w:rsidRPr="004004FD">
              <w:rPr>
                <w:rFonts w:ascii="Arial" w:hAnsi="Arial" w:cs="Arial"/>
                <w:sz w:val="18"/>
                <w:szCs w:val="18"/>
                <w:lang w:val="en-GB"/>
              </w:rPr>
              <w:t>leucocytosis</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nil"/>
            </w:tcBorders>
          </w:tcPr>
          <w:p w:rsidR="00E44F87" w:rsidRPr="004004FD" w:rsidRDefault="00E44F87" w:rsidP="00BC1D6C">
            <w:pPr>
              <w:pStyle w:val="EMEANormal"/>
              <w:widowControl w:val="0"/>
              <w:spacing w:after="100" w:afterAutospacing="1"/>
              <w:jc w:val="both"/>
              <w:rPr>
                <w:rFonts w:ascii="Arial" w:hAnsi="Arial" w:cs="Arial"/>
                <w:sz w:val="18"/>
                <w:szCs w:val="18"/>
                <w:lang w:val="en-GB"/>
              </w:rPr>
            </w:pPr>
            <w:r w:rsidRPr="004004FD">
              <w:rPr>
                <w:rFonts w:ascii="Arial" w:hAnsi="Arial" w:cs="Arial"/>
                <w:sz w:val="18"/>
                <w:szCs w:val="18"/>
                <w:lang w:val="en-GB"/>
              </w:rPr>
              <w:t>Uncommon</w:t>
            </w:r>
          </w:p>
        </w:tc>
        <w:tc>
          <w:tcPr>
            <w:tcW w:w="4575" w:type="dxa"/>
            <w:tcBorders>
              <w:top w:val="nil"/>
              <w:bottom w:val="nil"/>
            </w:tcBorders>
          </w:tcPr>
          <w:p w:rsidR="00E44F87" w:rsidRPr="004004FD" w:rsidRDefault="00E44F87" w:rsidP="00BC1D6C">
            <w:pPr>
              <w:widowControl w:val="0"/>
              <w:spacing w:after="100" w:afterAutospacing="1"/>
              <w:rPr>
                <w:rFonts w:ascii="Arial" w:hAnsi="Arial" w:cs="Arial"/>
                <w:sz w:val="18"/>
                <w:szCs w:val="18"/>
                <w:lang w:val="en-GB"/>
              </w:rPr>
            </w:pPr>
            <w:r w:rsidRPr="004004FD">
              <w:rPr>
                <w:rFonts w:ascii="Arial" w:hAnsi="Arial" w:cs="Arial"/>
                <w:sz w:val="18"/>
                <w:szCs w:val="18"/>
                <w:lang w:val="en-GB"/>
              </w:rPr>
              <w:t>idiopathic thrombocytopaenic purpura</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jc w:val="both"/>
              <w:rPr>
                <w:rFonts w:ascii="Arial" w:hAnsi="Arial" w:cs="Arial"/>
                <w:sz w:val="18"/>
                <w:szCs w:val="18"/>
                <w:lang w:val="en-GB"/>
              </w:rPr>
            </w:pPr>
            <w:r w:rsidRPr="004004FD">
              <w:rPr>
                <w:rFonts w:ascii="Arial" w:hAnsi="Arial" w:cs="Arial"/>
                <w:sz w:val="18"/>
                <w:szCs w:val="18"/>
                <w:lang w:val="en-GB"/>
              </w:rPr>
              <w:t>Rare</w:t>
            </w:r>
          </w:p>
        </w:tc>
        <w:tc>
          <w:tcPr>
            <w:tcW w:w="4575" w:type="dxa"/>
            <w:tcBorders>
              <w:top w:val="nil"/>
              <w:bottom w:val="single" w:sz="4" w:space="0" w:color="auto"/>
            </w:tcBorders>
          </w:tcPr>
          <w:p w:rsidR="00E44F87" w:rsidRPr="004004FD" w:rsidRDefault="00E44F87" w:rsidP="00BC1D6C">
            <w:pPr>
              <w:widowControl w:val="0"/>
              <w:spacing w:after="100" w:afterAutospacing="1"/>
              <w:rPr>
                <w:rFonts w:ascii="Arial" w:hAnsi="Arial" w:cs="Arial"/>
                <w:b/>
                <w:sz w:val="18"/>
                <w:szCs w:val="18"/>
                <w:lang w:val="en-GB"/>
              </w:rPr>
            </w:pPr>
            <w:r w:rsidRPr="004004FD">
              <w:rPr>
                <w:rFonts w:ascii="Arial" w:hAnsi="Arial" w:cs="Arial"/>
                <w:sz w:val="18"/>
                <w:szCs w:val="18"/>
                <w:lang w:val="en-GB"/>
              </w:rPr>
              <w:t>pancytopaenia</w:t>
            </w:r>
          </w:p>
        </w:tc>
      </w:tr>
      <w:tr w:rsidR="00E44F87" w:rsidRPr="004004FD" w:rsidTr="00433A4B">
        <w:tc>
          <w:tcPr>
            <w:tcW w:w="2600" w:type="dxa"/>
          </w:tcPr>
          <w:p w:rsidR="00E44F87" w:rsidRPr="004004FD" w:rsidRDefault="00E44F87" w:rsidP="00BC1D6C">
            <w:pPr>
              <w:pStyle w:val="EMEANormal"/>
              <w:widowControl w:val="0"/>
              <w:spacing w:after="100" w:afterAutospacing="1"/>
              <w:rPr>
                <w:rFonts w:ascii="Arial" w:hAnsi="Arial" w:cs="Arial"/>
                <w:sz w:val="18"/>
                <w:szCs w:val="18"/>
                <w:lang w:val="de-DE"/>
              </w:rPr>
            </w:pPr>
            <w:r w:rsidRPr="004004FD">
              <w:rPr>
                <w:rFonts w:ascii="Arial" w:hAnsi="Arial" w:cs="Arial"/>
                <w:sz w:val="18"/>
                <w:szCs w:val="18"/>
                <w:lang w:val="de-DE"/>
              </w:rPr>
              <w:t>Immune system disorders</w:t>
            </w:r>
          </w:p>
        </w:tc>
        <w:tc>
          <w:tcPr>
            <w:tcW w:w="2074" w:type="dxa"/>
            <w:tcBorders>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hypersensitivity,</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allergies (including seasonal allergy)</w:t>
            </w:r>
          </w:p>
        </w:tc>
      </w:tr>
      <w:tr w:rsidR="00E44F87" w:rsidRPr="004004FD" w:rsidTr="00007278">
        <w:trPr>
          <w:cantSplit/>
          <w:trHeight w:val="508"/>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Metabolism and nutrition disorders</w:t>
            </w:r>
          </w:p>
        </w:tc>
        <w:tc>
          <w:tcPr>
            <w:tcW w:w="2074" w:type="dxa"/>
            <w:tcBorders>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tc>
        <w:tc>
          <w:tcPr>
            <w:tcW w:w="4575" w:type="dxa"/>
            <w:tcBorders>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lipids increased</w:t>
            </w:r>
          </w:p>
        </w:tc>
      </w:tr>
      <w:tr w:rsidR="00E44F87" w:rsidRPr="004004FD" w:rsidTr="00007278">
        <w:trPr>
          <w:cantSplit/>
        </w:trPr>
        <w:tc>
          <w:tcPr>
            <w:tcW w:w="2600" w:type="dxa"/>
            <w:vMerge/>
          </w:tcPr>
          <w:p w:rsidR="00E44F87" w:rsidRPr="004004FD" w:rsidRDefault="00E44F87" w:rsidP="00BC1D6C">
            <w:pPr>
              <w:pStyle w:val="EMEANormal"/>
              <w:widowControl w:val="0"/>
              <w:spacing w:after="100" w:afterAutospacing="1"/>
              <w:rPr>
                <w:rFonts w:ascii="Arial" w:hAnsi="Arial" w:cs="Arial"/>
                <w:sz w:val="18"/>
                <w:szCs w:val="18"/>
                <w:lang w:val="en-GB"/>
              </w:rPr>
            </w:pPr>
          </w:p>
        </w:tc>
        <w:tc>
          <w:tcPr>
            <w:tcW w:w="2074" w:type="dxa"/>
            <w:tcBorders>
              <w:top w:val="single" w:sz="4" w:space="0" w:color="auto"/>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single" w:sz="4" w:space="0" w:color="auto"/>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hypokalaemia,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uric acid increased,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blood sodium abnormal,</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hypocalcaemia</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hyperglycemia,</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hypophosphotemia,</w:t>
            </w:r>
          </w:p>
          <w:p w:rsidR="00247EC9" w:rsidRPr="006D0426" w:rsidRDefault="00247EC9" w:rsidP="00BC1D6C">
            <w:pPr>
              <w:pStyle w:val="EMEANormal"/>
              <w:widowControl w:val="0"/>
              <w:spacing w:after="100" w:afterAutospacing="1"/>
              <w:rPr>
                <w:rFonts w:ascii="Arial" w:hAnsi="Arial" w:cs="Arial"/>
                <w:sz w:val="18"/>
                <w:szCs w:val="18"/>
                <w:lang w:val="en-GB"/>
              </w:rPr>
            </w:pPr>
            <w:r w:rsidRPr="006D0426">
              <w:rPr>
                <w:rFonts w:ascii="Arial" w:hAnsi="Arial" w:cs="Arial"/>
                <w:sz w:val="18"/>
                <w:szCs w:val="18"/>
                <w:lang w:val="en-GB"/>
              </w:rPr>
              <w:t>dehydration</w:t>
            </w:r>
          </w:p>
        </w:tc>
      </w:tr>
      <w:tr w:rsidR="00E44F87" w:rsidRPr="004004FD" w:rsidTr="00007278">
        <w:tc>
          <w:tcPr>
            <w:tcW w:w="2600" w:type="dxa"/>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Psychiatric disorders</w:t>
            </w:r>
          </w:p>
        </w:tc>
        <w:tc>
          <w:tcPr>
            <w:tcW w:w="2074" w:type="dxa"/>
            <w:tcBorders>
              <w:top w:val="single" w:sz="4" w:space="0" w:color="auto"/>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single" w:sz="4" w:space="0" w:color="auto"/>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mood alterations (including depression),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anxiety, insomnia</w:t>
            </w:r>
          </w:p>
        </w:tc>
      </w:tr>
      <w:tr w:rsidR="00E44F87" w:rsidRPr="004004FD">
        <w:trPr>
          <w:cantSplit/>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de-DE"/>
              </w:rPr>
            </w:pPr>
            <w:r w:rsidRPr="004004FD">
              <w:rPr>
                <w:rFonts w:ascii="Arial" w:hAnsi="Arial" w:cs="Arial"/>
                <w:sz w:val="18"/>
                <w:szCs w:val="18"/>
                <w:lang w:val="de-DE"/>
              </w:rPr>
              <w:t>Nervous system disorders</w:t>
            </w:r>
          </w:p>
        </w:tc>
        <w:tc>
          <w:tcPr>
            <w:tcW w:w="2074"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tc>
        <w:tc>
          <w:tcPr>
            <w:tcW w:w="4575"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headache</w:t>
            </w:r>
          </w:p>
        </w:tc>
      </w:tr>
      <w:tr w:rsidR="00E44F87" w:rsidRPr="004004FD">
        <w:trPr>
          <w:cantSplit/>
        </w:trPr>
        <w:tc>
          <w:tcPr>
            <w:tcW w:w="2600" w:type="dxa"/>
            <w:vMerge/>
          </w:tcPr>
          <w:p w:rsidR="00E44F87" w:rsidRPr="004004FD" w:rsidRDefault="00E44F87" w:rsidP="00BC1D6C">
            <w:pPr>
              <w:pStyle w:val="EMEANormal"/>
              <w:widowControl w:val="0"/>
              <w:spacing w:after="100" w:afterAutospacing="1"/>
              <w:rPr>
                <w:rFonts w:ascii="Arial" w:hAnsi="Arial" w:cs="Arial"/>
                <w:sz w:val="18"/>
                <w:szCs w:val="18"/>
                <w:lang w:val="de-DE"/>
              </w:rPr>
            </w:pPr>
          </w:p>
        </w:tc>
        <w:tc>
          <w:tcPr>
            <w:tcW w:w="2074" w:type="dxa"/>
            <w:tcBorders>
              <w:top w:val="nil"/>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nil"/>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paraesthesias (including hypoaesthesia),</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migraine,</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sciatica</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tc>
        <w:tc>
          <w:tcPr>
            <w:tcW w:w="4575" w:type="dxa"/>
            <w:tcBorders>
              <w:top w:val="nil"/>
              <w:bottom w:val="nil"/>
            </w:tcBorders>
          </w:tcPr>
          <w:p w:rsidR="00E44F87" w:rsidRPr="008D664D" w:rsidRDefault="008D664D" w:rsidP="00BC1D6C">
            <w:pPr>
              <w:pStyle w:val="EMEANormal"/>
              <w:widowControl w:val="0"/>
              <w:spacing w:after="100" w:afterAutospacing="1"/>
              <w:rPr>
                <w:rFonts w:ascii="Arial" w:hAnsi="Arial" w:cs="Arial"/>
                <w:color w:val="008000"/>
                <w:sz w:val="18"/>
                <w:szCs w:val="18"/>
                <w:u w:val="single"/>
                <w:lang w:val="en-GB"/>
              </w:rPr>
            </w:pPr>
            <w:r w:rsidRPr="004004FD">
              <w:rPr>
                <w:rFonts w:ascii="Arial" w:hAnsi="Arial" w:cs="Arial"/>
                <w:sz w:val="18"/>
                <w:szCs w:val="18"/>
                <w:lang w:val="en-GB"/>
              </w:rPr>
              <w:t>T</w:t>
            </w:r>
            <w:r w:rsidR="00E44F87" w:rsidRPr="004004FD">
              <w:rPr>
                <w:rFonts w:ascii="Arial" w:hAnsi="Arial" w:cs="Arial"/>
                <w:sz w:val="18"/>
                <w:szCs w:val="18"/>
                <w:lang w:val="en-GB"/>
              </w:rPr>
              <w:t>remor</w:t>
            </w:r>
            <w:r w:rsidRPr="006D0426">
              <w:rPr>
                <w:rFonts w:ascii="Arial" w:hAnsi="Arial" w:cs="Arial"/>
                <w:sz w:val="18"/>
                <w:szCs w:val="18"/>
                <w:lang w:val="en-GB"/>
              </w:rPr>
              <w:t>, neuropathy</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Rare</w:t>
            </w:r>
          </w:p>
        </w:tc>
        <w:tc>
          <w:tcPr>
            <w:tcW w:w="4575"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multiple sclerosis</w:t>
            </w:r>
          </w:p>
        </w:tc>
      </w:tr>
      <w:tr w:rsidR="00E44F87" w:rsidRPr="004004FD">
        <w:trPr>
          <w:cantSplit/>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Eye disorders</w:t>
            </w:r>
          </w:p>
        </w:tc>
        <w:tc>
          <w:tcPr>
            <w:tcW w:w="2074"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visual impairment,</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conjunctivitis</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fr-FR"/>
              </w:rPr>
            </w:pPr>
            <w:r w:rsidRPr="004004FD">
              <w:rPr>
                <w:rFonts w:ascii="Arial" w:hAnsi="Arial" w:cs="Arial"/>
                <w:sz w:val="18"/>
                <w:szCs w:val="18"/>
                <w:lang w:val="fr-FR"/>
              </w:rPr>
              <w:t>Uncommon</w:t>
            </w:r>
          </w:p>
        </w:tc>
        <w:tc>
          <w:tcPr>
            <w:tcW w:w="4575"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blepharitis,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eye swelling,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diplopia</w:t>
            </w:r>
          </w:p>
        </w:tc>
      </w:tr>
      <w:tr w:rsidR="00E44F87" w:rsidRPr="004004FD">
        <w:trPr>
          <w:cantSplit/>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Ear and labyrinth disorders </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2074"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tc>
        <w:tc>
          <w:tcPr>
            <w:tcW w:w="4575"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vertigo</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tc>
        <w:tc>
          <w:tcPr>
            <w:tcW w:w="4575"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deafness,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tinnitus</w:t>
            </w:r>
          </w:p>
        </w:tc>
      </w:tr>
      <w:tr w:rsidR="00E44F87" w:rsidRPr="004004FD">
        <w:trPr>
          <w:cantSplit/>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Cardiac disorders</w:t>
            </w:r>
          </w:p>
        </w:tc>
        <w:tc>
          <w:tcPr>
            <w:tcW w:w="2074"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tc>
        <w:tc>
          <w:tcPr>
            <w:tcW w:w="4575"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tachycardia</w:t>
            </w:r>
          </w:p>
        </w:tc>
      </w:tr>
      <w:tr w:rsidR="00E44F87" w:rsidRPr="004004FD">
        <w:trPr>
          <w:cantSplit/>
        </w:trPr>
        <w:tc>
          <w:tcPr>
            <w:tcW w:w="2600" w:type="dxa"/>
            <w:vMerge/>
          </w:tcPr>
          <w:p w:rsidR="00E44F87" w:rsidRPr="004004FD" w:rsidRDefault="00E44F87" w:rsidP="00BC1D6C">
            <w:pPr>
              <w:pStyle w:val="EMEANormal"/>
              <w:widowControl w:val="0"/>
              <w:spacing w:after="100" w:afterAutospacing="1"/>
              <w:rPr>
                <w:rFonts w:ascii="Arial" w:hAnsi="Arial" w:cs="Arial"/>
                <w:sz w:val="18"/>
                <w:szCs w:val="18"/>
                <w:lang w:val="en-GB"/>
              </w:rPr>
            </w:pPr>
          </w:p>
        </w:tc>
        <w:tc>
          <w:tcPr>
            <w:tcW w:w="2074" w:type="dxa"/>
            <w:tcBorders>
              <w:top w:val="nil"/>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nil"/>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arrhythmia,</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congestive heart failure</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Rare</w:t>
            </w:r>
          </w:p>
        </w:tc>
        <w:tc>
          <w:tcPr>
            <w:tcW w:w="4575"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cardiac arrest</w:t>
            </w:r>
          </w:p>
        </w:tc>
      </w:tr>
      <w:tr w:rsidR="00E44F87" w:rsidRPr="004004FD">
        <w:trPr>
          <w:cantSplit/>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Vascular disorders</w:t>
            </w:r>
          </w:p>
        </w:tc>
        <w:tc>
          <w:tcPr>
            <w:tcW w:w="2074"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hypertension,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flushing,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haematoma</w:t>
            </w:r>
          </w:p>
        </w:tc>
      </w:tr>
      <w:tr w:rsidR="00E44F87" w:rsidRPr="004004FD">
        <w:trPr>
          <w:cantSplit/>
        </w:trPr>
        <w:tc>
          <w:tcPr>
            <w:tcW w:w="2600" w:type="dxa"/>
            <w:vMerge/>
          </w:tcPr>
          <w:p w:rsidR="00E44F87" w:rsidRPr="004004FD" w:rsidRDefault="00E44F87" w:rsidP="00BC1D6C">
            <w:pPr>
              <w:pStyle w:val="EMEANormal"/>
              <w:widowControl w:val="0"/>
              <w:spacing w:after="100" w:afterAutospacing="1"/>
              <w:rPr>
                <w:rFonts w:ascii="Arial" w:hAnsi="Arial" w:cs="Arial"/>
                <w:sz w:val="18"/>
                <w:szCs w:val="18"/>
                <w:lang w:val="en-GB"/>
              </w:rPr>
            </w:pPr>
          </w:p>
        </w:tc>
        <w:tc>
          <w:tcPr>
            <w:tcW w:w="2074" w:type="dxa"/>
            <w:tcBorders>
              <w:top w:val="nil"/>
              <w:bottom w:val="single" w:sz="4" w:space="0" w:color="auto"/>
            </w:tcBorders>
          </w:tcPr>
          <w:p w:rsidR="00E44F87" w:rsidRPr="006D0426" w:rsidRDefault="008D664D" w:rsidP="00BC1D6C">
            <w:pPr>
              <w:pStyle w:val="EMEANormal"/>
              <w:widowControl w:val="0"/>
              <w:spacing w:after="100" w:afterAutospacing="1"/>
              <w:rPr>
                <w:rFonts w:ascii="Arial" w:hAnsi="Arial" w:cs="Arial"/>
                <w:sz w:val="18"/>
                <w:szCs w:val="18"/>
                <w:lang w:val="en-GB"/>
              </w:rPr>
            </w:pPr>
            <w:r w:rsidRPr="006D0426">
              <w:rPr>
                <w:rFonts w:ascii="Arial" w:hAnsi="Arial" w:cs="Arial"/>
                <w:sz w:val="18"/>
                <w:szCs w:val="18"/>
                <w:lang w:val="en-GB"/>
              </w:rPr>
              <w:t>Uncommon</w:t>
            </w:r>
          </w:p>
        </w:tc>
        <w:tc>
          <w:tcPr>
            <w:tcW w:w="4575"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vascular arterial occlusion,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thrombophlebitis,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aortic aneurysm</w:t>
            </w:r>
          </w:p>
        </w:tc>
      </w:tr>
      <w:tr w:rsidR="00E44F87" w:rsidRPr="004004FD">
        <w:trPr>
          <w:cantSplit/>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Respiratory, thoracic and mediastinal disorders</w:t>
            </w:r>
          </w:p>
        </w:tc>
        <w:tc>
          <w:tcPr>
            <w:tcW w:w="2074"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cough,</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asthma,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dyspnoea</w:t>
            </w:r>
          </w:p>
        </w:tc>
      </w:tr>
      <w:tr w:rsidR="00E44F87" w:rsidRPr="004004FD" w:rsidTr="00433A4B">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chronic obstructive pulmonary disease,</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interstitial lung disease,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pneumonitis</w:t>
            </w:r>
          </w:p>
        </w:tc>
      </w:tr>
      <w:tr w:rsidR="00E44F87" w:rsidRPr="004004FD" w:rsidTr="00433A4B">
        <w:trPr>
          <w:cantSplit/>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Gastrointestinal disorders</w:t>
            </w:r>
          </w:p>
        </w:tc>
        <w:tc>
          <w:tcPr>
            <w:tcW w:w="2074" w:type="dxa"/>
            <w:tcBorders>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abdominal pain,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nausea and vomiting</w:t>
            </w:r>
          </w:p>
        </w:tc>
      </w:tr>
      <w:tr w:rsidR="00E44F87" w:rsidRPr="004004FD" w:rsidTr="00433A4B">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single" w:sz="4" w:space="0" w:color="auto"/>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single" w:sz="4" w:space="0" w:color="auto"/>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GI haemorrhage,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dyspepsia,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gastroesophageal reflux disease,</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sicca syndrome</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pancreatitis,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dysphagia,</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face oedema</w:t>
            </w:r>
          </w:p>
        </w:tc>
      </w:tr>
      <w:tr w:rsidR="00E44F87" w:rsidRPr="004004FD">
        <w:trPr>
          <w:cantSplit/>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Hepato-biliary disorders</w:t>
            </w:r>
          </w:p>
        </w:tc>
        <w:tc>
          <w:tcPr>
            <w:tcW w:w="2074"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tc>
        <w:tc>
          <w:tcPr>
            <w:tcW w:w="4575"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liver enzymes elevated</w:t>
            </w:r>
          </w:p>
        </w:tc>
      </w:tr>
      <w:tr w:rsidR="00E44F87" w:rsidRPr="004004FD">
        <w:trPr>
          <w:cantSplit/>
        </w:trPr>
        <w:tc>
          <w:tcPr>
            <w:tcW w:w="2600" w:type="dxa"/>
            <w:vMerge/>
          </w:tcPr>
          <w:p w:rsidR="00E44F87" w:rsidRPr="004004FD" w:rsidRDefault="00E44F87" w:rsidP="00BC1D6C">
            <w:pPr>
              <w:pStyle w:val="EMEANormal"/>
              <w:widowControl w:val="0"/>
              <w:spacing w:after="100" w:afterAutospacing="1"/>
              <w:rPr>
                <w:rFonts w:ascii="Arial" w:hAnsi="Arial" w:cs="Arial"/>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cholecystitis and cholelithiasis,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bilirubin increased,</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hepatic steatosis</w:t>
            </w:r>
          </w:p>
        </w:tc>
      </w:tr>
      <w:tr w:rsidR="00E44F87" w:rsidRPr="004004FD">
        <w:trPr>
          <w:cantSplit/>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Skin and subcutaneous tissue disorders</w:t>
            </w:r>
          </w:p>
        </w:tc>
        <w:tc>
          <w:tcPr>
            <w:tcW w:w="2074"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tc>
        <w:tc>
          <w:tcPr>
            <w:tcW w:w="4575"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rash (including exfoliative rash),</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nil"/>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pruritus,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urticaria,</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bruising (including purpura),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dermatitis (including eczema),</w:t>
            </w:r>
          </w:p>
          <w:p w:rsidR="00E44F87" w:rsidRPr="004004FD" w:rsidRDefault="00E44F87" w:rsidP="00BC1D6C">
            <w:pPr>
              <w:pStyle w:val="EMEANormal"/>
              <w:widowControl w:val="0"/>
              <w:spacing w:after="100" w:afterAutospacing="1"/>
              <w:rPr>
                <w:rFonts w:ascii="Arial" w:hAnsi="Arial" w:cs="Arial"/>
                <w:sz w:val="18"/>
                <w:szCs w:val="18"/>
              </w:rPr>
            </w:pPr>
            <w:r w:rsidRPr="004004FD">
              <w:rPr>
                <w:rFonts w:ascii="Arial" w:hAnsi="Arial" w:cs="Arial"/>
                <w:sz w:val="18"/>
                <w:szCs w:val="18"/>
              </w:rPr>
              <w:t xml:space="preserve">onychoclasis (e.g. nail disorders),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it-IT"/>
              </w:rPr>
              <w:t>hyperhydrosis</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it-IT"/>
              </w:rPr>
            </w:pPr>
            <w:r w:rsidRPr="004004FD">
              <w:rPr>
                <w:rFonts w:ascii="Arial" w:hAnsi="Arial" w:cs="Arial"/>
                <w:sz w:val="18"/>
                <w:szCs w:val="18"/>
                <w:lang w:val="it-IT"/>
              </w:rPr>
              <w:t>Uncommon</w:t>
            </w:r>
          </w:p>
          <w:p w:rsidR="00E44F87" w:rsidRPr="004004FD" w:rsidRDefault="00E44F87" w:rsidP="00BC1D6C">
            <w:pPr>
              <w:pStyle w:val="EMEANormal"/>
              <w:widowControl w:val="0"/>
              <w:spacing w:after="100" w:afterAutospacing="1"/>
              <w:rPr>
                <w:rFonts w:ascii="Arial" w:hAnsi="Arial" w:cs="Arial"/>
                <w:sz w:val="18"/>
                <w:szCs w:val="18"/>
                <w:lang w:val="it-IT"/>
              </w:rPr>
            </w:pPr>
          </w:p>
        </w:tc>
        <w:tc>
          <w:tcPr>
            <w:tcW w:w="4575"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it-IT"/>
              </w:rPr>
            </w:pPr>
            <w:r w:rsidRPr="004004FD">
              <w:rPr>
                <w:rFonts w:ascii="Arial" w:hAnsi="Arial" w:cs="Arial"/>
                <w:sz w:val="18"/>
                <w:szCs w:val="18"/>
                <w:lang w:val="it-IT"/>
              </w:rPr>
              <w:t>night sweats,</w:t>
            </w:r>
          </w:p>
          <w:p w:rsidR="00E44F87" w:rsidRPr="004004FD" w:rsidRDefault="00E44F87" w:rsidP="00BC1D6C">
            <w:pPr>
              <w:pStyle w:val="EMEANormal"/>
              <w:widowControl w:val="0"/>
              <w:spacing w:after="100" w:afterAutospacing="1"/>
              <w:rPr>
                <w:rFonts w:ascii="Arial" w:hAnsi="Arial" w:cs="Arial"/>
                <w:sz w:val="18"/>
                <w:szCs w:val="18"/>
                <w:lang w:val="it-IT"/>
              </w:rPr>
            </w:pPr>
            <w:r w:rsidRPr="004004FD">
              <w:rPr>
                <w:rFonts w:ascii="Arial" w:hAnsi="Arial" w:cs="Arial"/>
                <w:sz w:val="18"/>
                <w:szCs w:val="18"/>
                <w:lang w:val="it-IT"/>
              </w:rPr>
              <w:t>scar</w:t>
            </w:r>
          </w:p>
        </w:tc>
      </w:tr>
      <w:tr w:rsidR="00E44F87" w:rsidRPr="004004FD" w:rsidTr="006D0426">
        <w:trPr>
          <w:cantSplit/>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Musculoskeletal, connective tissue and bone disorders</w:t>
            </w:r>
          </w:p>
        </w:tc>
        <w:tc>
          <w:tcPr>
            <w:tcW w:w="2074"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tc>
        <w:tc>
          <w:tcPr>
            <w:tcW w:w="4575"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musculoskeletal pain</w:t>
            </w:r>
          </w:p>
        </w:tc>
      </w:tr>
      <w:tr w:rsidR="00E44F87" w:rsidRPr="004004FD" w:rsidTr="006D0426">
        <w:trPr>
          <w:cantSplit/>
        </w:trPr>
        <w:tc>
          <w:tcPr>
            <w:tcW w:w="2600" w:type="dxa"/>
            <w:vMerge/>
          </w:tcPr>
          <w:p w:rsidR="00E44F87" w:rsidRPr="004004FD" w:rsidRDefault="00E44F87" w:rsidP="00BC1D6C">
            <w:pPr>
              <w:pStyle w:val="EMEANormal"/>
              <w:widowControl w:val="0"/>
              <w:spacing w:after="100" w:afterAutospacing="1"/>
              <w:rPr>
                <w:rFonts w:ascii="Arial" w:hAnsi="Arial" w:cs="Arial"/>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tc>
        <w:tc>
          <w:tcPr>
            <w:tcW w:w="4575"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muscle spasms (including blood creatine phosphokinase increased)</w:t>
            </w:r>
          </w:p>
        </w:tc>
      </w:tr>
      <w:tr w:rsidR="00E44F87" w:rsidRPr="004004FD" w:rsidTr="006D0426">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single" w:sz="4" w:space="0" w:color="auto"/>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tc>
        <w:tc>
          <w:tcPr>
            <w:tcW w:w="4575" w:type="dxa"/>
            <w:tcBorders>
              <w:top w:val="single" w:sz="4" w:space="0" w:color="auto"/>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rhabdomyolysis</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nil"/>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systemic lupus erythematosus</w:t>
            </w:r>
          </w:p>
        </w:tc>
      </w:tr>
      <w:tr w:rsidR="00E44F87" w:rsidRPr="004004FD">
        <w:trPr>
          <w:cantSplit/>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Renal and urinary disorders </w:t>
            </w:r>
          </w:p>
        </w:tc>
        <w:tc>
          <w:tcPr>
            <w:tcW w:w="2074"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haematuria,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renal impairment</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tc>
        <w:tc>
          <w:tcPr>
            <w:tcW w:w="4575" w:type="dxa"/>
            <w:tcBorders>
              <w:top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nocturia</w:t>
            </w:r>
          </w:p>
        </w:tc>
      </w:tr>
      <w:tr w:rsidR="00E44F87" w:rsidRPr="004004FD">
        <w:tc>
          <w:tcPr>
            <w:tcW w:w="2600" w:type="dxa"/>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Reproductive system and breast disorders</w:t>
            </w:r>
          </w:p>
        </w:tc>
        <w:tc>
          <w:tcPr>
            <w:tcW w:w="2074" w:type="dxa"/>
            <w:tcBorders>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tc>
        <w:tc>
          <w:tcPr>
            <w:tcW w:w="4575" w:type="dxa"/>
            <w:tcBorders>
              <w:bottom w:val="single" w:sz="4" w:space="0" w:color="auto"/>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erectile dysfunction</w:t>
            </w:r>
          </w:p>
        </w:tc>
      </w:tr>
      <w:tr w:rsidR="00E44F87" w:rsidRPr="004004FD">
        <w:trPr>
          <w:cantSplit/>
        </w:trPr>
        <w:tc>
          <w:tcPr>
            <w:tcW w:w="2600" w:type="dxa"/>
            <w:vMerge w:val="restart"/>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General disorders and administration site conditions</w:t>
            </w:r>
          </w:p>
        </w:tc>
        <w:tc>
          <w:tcPr>
            <w:tcW w:w="2074"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Very 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injection site reaction (including injection site erythema)</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p w:rsidR="00E44F87" w:rsidRPr="004004FD" w:rsidRDefault="00E44F87" w:rsidP="00BC1D6C">
            <w:pPr>
              <w:pStyle w:val="EMEANormal"/>
              <w:widowControl w:val="0"/>
              <w:spacing w:after="100" w:afterAutospacing="1"/>
              <w:rPr>
                <w:rFonts w:ascii="Arial" w:hAnsi="Arial" w:cs="Arial"/>
                <w:sz w:val="18"/>
                <w:szCs w:val="18"/>
                <w:lang w:val="en-GB"/>
              </w:rPr>
            </w:pPr>
          </w:p>
        </w:tc>
        <w:tc>
          <w:tcPr>
            <w:tcW w:w="4575" w:type="dxa"/>
            <w:tcBorders>
              <w:top w:val="nil"/>
              <w:bottom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chest pain,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oedema</w:t>
            </w:r>
          </w:p>
        </w:tc>
      </w:tr>
      <w:tr w:rsidR="00E44F87" w:rsidRPr="004004FD">
        <w:trPr>
          <w:cantSplit/>
        </w:trPr>
        <w:tc>
          <w:tcPr>
            <w:tcW w:w="2600" w:type="dxa"/>
            <w:vMerge/>
          </w:tcPr>
          <w:p w:rsidR="00E44F87" w:rsidRPr="004004FD" w:rsidRDefault="00E44F87" w:rsidP="00BC1D6C">
            <w:pPr>
              <w:widowControl w:val="0"/>
              <w:spacing w:after="100" w:afterAutospacing="1"/>
              <w:jc w:val="center"/>
              <w:rPr>
                <w:rFonts w:ascii="Arial" w:hAnsi="Arial" w:cs="Arial"/>
                <w:b/>
                <w:sz w:val="18"/>
                <w:szCs w:val="18"/>
                <w:lang w:val="en-GB"/>
              </w:rPr>
            </w:pPr>
          </w:p>
        </w:tc>
        <w:tc>
          <w:tcPr>
            <w:tcW w:w="2074" w:type="dxa"/>
            <w:tcBorders>
              <w:top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Uncommon</w:t>
            </w:r>
          </w:p>
        </w:tc>
        <w:tc>
          <w:tcPr>
            <w:tcW w:w="4575" w:type="dxa"/>
            <w:tcBorders>
              <w:top w:val="nil"/>
            </w:tcBorders>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inflammation</w:t>
            </w:r>
          </w:p>
        </w:tc>
      </w:tr>
      <w:tr w:rsidR="00E44F87" w:rsidRPr="004004FD">
        <w:tc>
          <w:tcPr>
            <w:tcW w:w="2600" w:type="dxa"/>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Investigations</w:t>
            </w:r>
          </w:p>
        </w:tc>
        <w:tc>
          <w:tcPr>
            <w:tcW w:w="2074" w:type="dxa"/>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tc>
        <w:tc>
          <w:tcPr>
            <w:tcW w:w="4575" w:type="dxa"/>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coagulation and bleeding disorders (including activated partial thromboplastin time prolonged),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 xml:space="preserve">autoantibody test positive (including double stranded DNA antibody), </w:t>
            </w:r>
          </w:p>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blood lactate dehydrogenase increased</w:t>
            </w:r>
          </w:p>
        </w:tc>
      </w:tr>
      <w:tr w:rsidR="00E44F87" w:rsidRPr="004004FD">
        <w:tc>
          <w:tcPr>
            <w:tcW w:w="2600" w:type="dxa"/>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Injury and poisoning</w:t>
            </w:r>
          </w:p>
        </w:tc>
        <w:tc>
          <w:tcPr>
            <w:tcW w:w="2074" w:type="dxa"/>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Common</w:t>
            </w:r>
          </w:p>
        </w:tc>
        <w:tc>
          <w:tcPr>
            <w:tcW w:w="4575" w:type="dxa"/>
          </w:tcPr>
          <w:p w:rsidR="00E44F87" w:rsidRPr="004004FD" w:rsidRDefault="00E44F87" w:rsidP="00BC1D6C">
            <w:pPr>
              <w:pStyle w:val="EMEANormal"/>
              <w:widowControl w:val="0"/>
              <w:spacing w:after="100" w:afterAutospacing="1"/>
              <w:rPr>
                <w:rFonts w:ascii="Arial" w:hAnsi="Arial" w:cs="Arial"/>
                <w:sz w:val="18"/>
                <w:szCs w:val="18"/>
                <w:lang w:val="en-GB"/>
              </w:rPr>
            </w:pPr>
            <w:r w:rsidRPr="004004FD">
              <w:rPr>
                <w:rFonts w:ascii="Arial" w:hAnsi="Arial" w:cs="Arial"/>
                <w:sz w:val="18"/>
                <w:szCs w:val="18"/>
                <w:lang w:val="en-GB"/>
              </w:rPr>
              <w:t>impaired healing</w:t>
            </w:r>
          </w:p>
        </w:tc>
      </w:tr>
    </w:tbl>
    <w:p w:rsidR="00E44F87" w:rsidRPr="004004FD" w:rsidRDefault="00E44F87">
      <w:pPr>
        <w:pStyle w:val="EMEAHeadingUnderline"/>
        <w:keepNext/>
        <w:spacing w:beforeLines="0" w:before="0" w:afterLines="0" w:after="0"/>
        <w:rPr>
          <w:rFonts w:ascii="Arial" w:hAnsi="Arial" w:cs="Arial"/>
          <w:sz w:val="18"/>
          <w:szCs w:val="18"/>
          <w:u w:val="none"/>
          <w:lang w:val="en-GB"/>
        </w:rPr>
      </w:pPr>
      <w:r w:rsidRPr="004004FD">
        <w:rPr>
          <w:rFonts w:ascii="Arial" w:hAnsi="Arial" w:cs="Arial"/>
          <w:sz w:val="18"/>
          <w:szCs w:val="18"/>
          <w:u w:val="none"/>
          <w:lang w:val="en-GB"/>
        </w:rPr>
        <w:t>* including open label extension studies</w:t>
      </w:r>
    </w:p>
    <w:p w:rsidR="00E44F87" w:rsidRPr="004004FD" w:rsidRDefault="00E44F87">
      <w:pPr>
        <w:pStyle w:val="EMEANormal"/>
        <w:rPr>
          <w:sz w:val="20"/>
          <w:lang w:val="en-GB"/>
        </w:rPr>
      </w:pPr>
      <w:r w:rsidRPr="004004FD">
        <w:rPr>
          <w:sz w:val="20"/>
          <w:vertAlign w:val="superscript"/>
          <w:lang w:val="en-GB"/>
        </w:rPr>
        <w:t>a)</w:t>
      </w:r>
      <w:r w:rsidRPr="004004FD">
        <w:rPr>
          <w:sz w:val="20"/>
          <w:lang w:val="en-GB"/>
        </w:rPr>
        <w:t xml:space="preserve"> </w:t>
      </w:r>
      <w:r w:rsidRPr="00BC1D6C">
        <w:rPr>
          <w:rFonts w:ascii="Arial" w:hAnsi="Arial" w:cs="Arial"/>
          <w:sz w:val="18"/>
          <w:szCs w:val="18"/>
          <w:lang w:val="en-GB"/>
        </w:rPr>
        <w:t>MedDRA</w:t>
      </w:r>
    </w:p>
    <w:p w:rsidR="00E44F87" w:rsidRPr="004004FD" w:rsidRDefault="00E44F87">
      <w:pPr>
        <w:pStyle w:val="EMEANormal"/>
        <w:rPr>
          <w:sz w:val="20"/>
          <w:lang w:val="en-GB"/>
        </w:rPr>
      </w:pPr>
    </w:p>
    <w:p w:rsidR="006F02C1" w:rsidRDefault="006F02C1">
      <w:pPr>
        <w:pStyle w:val="EMEANormal"/>
        <w:rPr>
          <w:rFonts w:ascii="Arial" w:hAnsi="Arial" w:cs="Arial"/>
          <w:sz w:val="20"/>
          <w:lang w:val="en-AU"/>
        </w:rPr>
      </w:pPr>
    </w:p>
    <w:p w:rsidR="00E44F87" w:rsidRPr="004004FD" w:rsidRDefault="00916155">
      <w:pPr>
        <w:pStyle w:val="EMEANormal"/>
        <w:rPr>
          <w:rFonts w:ascii="Arial" w:hAnsi="Arial" w:cs="Arial"/>
          <w:sz w:val="20"/>
          <w:lang w:val="en-AU"/>
        </w:rPr>
      </w:pPr>
      <w:r>
        <w:rPr>
          <w:rFonts w:ascii="Arial" w:hAnsi="Arial" w:cs="Arial"/>
          <w:sz w:val="20"/>
          <w:lang w:val="en-AU"/>
        </w:rPr>
        <w:t xml:space="preserve">Table </w:t>
      </w:r>
      <w:r w:rsidR="006F02C1">
        <w:rPr>
          <w:rFonts w:ascii="Arial" w:hAnsi="Arial" w:cs="Arial"/>
          <w:sz w:val="20"/>
          <w:lang w:val="en-AU"/>
        </w:rPr>
        <w:t>24</w:t>
      </w:r>
      <w:r w:rsidR="00732396" w:rsidRPr="004004FD">
        <w:rPr>
          <w:rFonts w:ascii="Arial" w:hAnsi="Arial" w:cs="Arial"/>
          <w:sz w:val="20"/>
          <w:lang w:val="en-AU"/>
        </w:rPr>
        <w:t xml:space="preserve"> </w:t>
      </w:r>
      <w:r w:rsidR="00E44F87" w:rsidRPr="004004FD">
        <w:rPr>
          <w:rFonts w:ascii="Arial" w:hAnsi="Arial" w:cs="Arial"/>
          <w:sz w:val="20"/>
          <w:lang w:val="en-AU"/>
        </w:rPr>
        <w:t>contains adverse reactions (ADRs), which in some cases represent groups of related Preferred Terms to represent a medical concept. The ADRs presented in the table were included based on criteria including statistical significance, doubling in rate in adalimumab treated patients compared to placebo treated patients, a rate greater than 1% for adalimumab treated patients and medical importance assessment.</w:t>
      </w:r>
    </w:p>
    <w:p w:rsidR="00F7607F" w:rsidRDefault="00F7607F">
      <w:pPr>
        <w:pStyle w:val="EMEANormal"/>
        <w:rPr>
          <w:rFonts w:ascii="Arial" w:hAnsi="Arial" w:cs="Arial"/>
          <w:color w:val="0000FF"/>
          <w:sz w:val="20"/>
          <w:u w:val="single"/>
          <w:lang w:val="en-AU"/>
        </w:rPr>
      </w:pPr>
    </w:p>
    <w:p w:rsidR="006F02C1" w:rsidRDefault="006F02C1" w:rsidP="00CC3DCB">
      <w:pPr>
        <w:pStyle w:val="EMEANormal"/>
        <w:rPr>
          <w:rFonts w:ascii="Arial" w:hAnsi="Arial" w:cs="Arial"/>
          <w:sz w:val="20"/>
          <w:lang w:val="en-AU"/>
        </w:rPr>
      </w:pPr>
    </w:p>
    <w:p w:rsidR="00916155" w:rsidRPr="004004FD" w:rsidRDefault="00F7607F" w:rsidP="00CC3DCB">
      <w:pPr>
        <w:pStyle w:val="EMEANormal"/>
        <w:rPr>
          <w:rFonts w:ascii="Arial" w:hAnsi="Arial" w:cs="Arial"/>
          <w:sz w:val="20"/>
          <w:lang w:val="en-AU"/>
        </w:rPr>
      </w:pPr>
      <w:r w:rsidRPr="004004FD">
        <w:rPr>
          <w:rFonts w:ascii="Arial" w:hAnsi="Arial" w:cs="Arial"/>
          <w:sz w:val="20"/>
          <w:lang w:val="en-AU"/>
        </w:rPr>
        <w:lastRenderedPageBreak/>
        <w:t xml:space="preserve">Table </w:t>
      </w:r>
      <w:r w:rsidR="006F02C1">
        <w:rPr>
          <w:rFonts w:ascii="Arial" w:hAnsi="Arial" w:cs="Arial"/>
          <w:sz w:val="20"/>
          <w:lang w:val="en-AU"/>
        </w:rPr>
        <w:t>25</w:t>
      </w:r>
      <w:r w:rsidR="00732396" w:rsidRPr="004004FD">
        <w:rPr>
          <w:rFonts w:ascii="Arial" w:hAnsi="Arial" w:cs="Arial"/>
          <w:sz w:val="20"/>
          <w:lang w:val="en-AU"/>
        </w:rPr>
        <w:t xml:space="preserve"> </w:t>
      </w:r>
      <w:r w:rsidRPr="004004FD">
        <w:rPr>
          <w:rFonts w:ascii="Arial" w:hAnsi="Arial" w:cs="Arial"/>
          <w:sz w:val="20"/>
          <w:lang w:val="en-AU"/>
        </w:rPr>
        <w:t xml:space="preserve">contains </w:t>
      </w:r>
      <w:r w:rsidR="00E07BB2" w:rsidRPr="004004FD">
        <w:rPr>
          <w:rFonts w:ascii="Arial" w:hAnsi="Arial" w:cs="Arial"/>
          <w:sz w:val="20"/>
          <w:lang w:val="en-AU"/>
        </w:rPr>
        <w:t>a</w:t>
      </w:r>
      <w:r w:rsidRPr="004004FD">
        <w:rPr>
          <w:rFonts w:ascii="Arial" w:hAnsi="Arial" w:cs="Arial"/>
          <w:sz w:val="20"/>
          <w:lang w:val="en-AU"/>
        </w:rPr>
        <w:t xml:space="preserve">dverse </w:t>
      </w:r>
      <w:r w:rsidR="00E07BB2" w:rsidRPr="004004FD">
        <w:rPr>
          <w:rFonts w:ascii="Arial" w:hAnsi="Arial" w:cs="Arial"/>
          <w:sz w:val="20"/>
          <w:lang w:val="en-AU"/>
        </w:rPr>
        <w:t>r</w:t>
      </w:r>
      <w:r w:rsidRPr="004004FD">
        <w:rPr>
          <w:rFonts w:ascii="Arial" w:hAnsi="Arial" w:cs="Arial"/>
          <w:sz w:val="20"/>
          <w:lang w:val="en-AU"/>
        </w:rPr>
        <w:t>eactions reported in at least 1% of RA patients with higher incidence (</w:t>
      </w:r>
      <w:r w:rsidRPr="004004FD">
        <w:rPr>
          <w:rFonts w:ascii="Arial" w:hAnsi="Arial" w:cs="Arial"/>
          <w:sz w:val="20"/>
          <w:lang w:val="en-AU"/>
        </w:rPr>
        <w:sym w:font="Symbol" w:char="F0B3"/>
      </w:r>
      <w:r w:rsidRPr="004004FD">
        <w:rPr>
          <w:rFonts w:ascii="Arial" w:hAnsi="Arial" w:cs="Arial"/>
          <w:sz w:val="20"/>
          <w:lang w:val="en-AU"/>
        </w:rPr>
        <w:t xml:space="preserve"> 1%) in patients treated with adalimumab compared to control in</w:t>
      </w:r>
      <w:r w:rsidR="001372F0" w:rsidRPr="004004FD">
        <w:rPr>
          <w:rFonts w:ascii="Arial" w:hAnsi="Arial" w:cs="Arial"/>
          <w:sz w:val="20"/>
          <w:lang w:val="en-AU"/>
        </w:rPr>
        <w:t xml:space="preserve"> 4</w:t>
      </w:r>
      <w:r w:rsidRPr="004004FD">
        <w:rPr>
          <w:rFonts w:ascii="Arial" w:hAnsi="Arial" w:cs="Arial"/>
          <w:sz w:val="20"/>
          <w:lang w:val="en-AU"/>
        </w:rPr>
        <w:t xml:space="preserve"> placebo-controlled RA trials</w:t>
      </w:r>
      <w:r w:rsidR="001372F0" w:rsidRPr="004004FD">
        <w:rPr>
          <w:rFonts w:ascii="Arial" w:hAnsi="Arial" w:cs="Arial"/>
          <w:sz w:val="20"/>
          <w:lang w:val="en-AU"/>
        </w:rPr>
        <w:t xml:space="preserve"> (RA study I-IV)</w:t>
      </w:r>
      <w:r w:rsidRPr="004004FD">
        <w:rPr>
          <w:rFonts w:ascii="Arial" w:hAnsi="Arial" w:cs="Arial"/>
          <w:sz w:val="20"/>
          <w:lang w:val="en-AU"/>
        </w:rPr>
        <w:t>.</w:t>
      </w:r>
      <w:r w:rsidR="00CC3DCB" w:rsidRPr="004004FD">
        <w:rPr>
          <w:rFonts w:ascii="Arial" w:hAnsi="Arial" w:cs="Arial"/>
          <w:sz w:val="20"/>
          <w:lang w:val="en-AU"/>
        </w:rPr>
        <w:t xml:space="preserve"> In general, the adverse reactions across all indications were similar to those seen in RA patients </w:t>
      </w:r>
    </w:p>
    <w:p w:rsidR="006F02C1" w:rsidRDefault="006F02C1" w:rsidP="00B71E25">
      <w:pPr>
        <w:tabs>
          <w:tab w:val="left" w:pos="1080"/>
        </w:tabs>
        <w:ind w:left="1080" w:hanging="1080"/>
        <w:rPr>
          <w:rFonts w:ascii="Arial" w:hAnsi="Arial"/>
          <w:b/>
          <w:sz w:val="22"/>
          <w:szCs w:val="22"/>
        </w:rPr>
      </w:pPr>
      <w:bookmarkStart w:id="6" w:name="OLE_LINK3"/>
      <w:bookmarkStart w:id="7" w:name="OLE_LINK4"/>
    </w:p>
    <w:p w:rsidR="00B71E25" w:rsidRPr="004004FD" w:rsidRDefault="004004FD" w:rsidP="00B71E25">
      <w:pPr>
        <w:tabs>
          <w:tab w:val="left" w:pos="1080"/>
        </w:tabs>
        <w:ind w:left="1080" w:hanging="1080"/>
        <w:rPr>
          <w:rFonts w:ascii="Arial" w:hAnsi="Arial"/>
          <w:b/>
          <w:sz w:val="22"/>
          <w:szCs w:val="22"/>
        </w:rPr>
      </w:pPr>
      <w:r>
        <w:rPr>
          <w:rFonts w:ascii="Arial" w:hAnsi="Arial"/>
          <w:b/>
          <w:sz w:val="22"/>
          <w:szCs w:val="22"/>
        </w:rPr>
        <w:t xml:space="preserve">Table </w:t>
      </w:r>
      <w:r w:rsidR="006F02C1">
        <w:rPr>
          <w:rFonts w:ascii="Arial" w:hAnsi="Arial"/>
          <w:b/>
          <w:sz w:val="22"/>
          <w:szCs w:val="22"/>
        </w:rPr>
        <w:t>25</w:t>
      </w:r>
      <w:r>
        <w:rPr>
          <w:rFonts w:ascii="Arial" w:hAnsi="Arial"/>
          <w:b/>
          <w:sz w:val="22"/>
          <w:szCs w:val="22"/>
        </w:rPr>
        <w:t>:</w:t>
      </w:r>
      <w:r w:rsidR="00B71E25" w:rsidRPr="004004FD">
        <w:rPr>
          <w:rFonts w:ascii="Arial" w:hAnsi="Arial"/>
          <w:b/>
          <w:sz w:val="22"/>
          <w:szCs w:val="22"/>
        </w:rPr>
        <w:tab/>
        <w:t>Adverse Reactions reported by Patients Treated with HUMIRA</w:t>
      </w:r>
      <w:r w:rsidR="00F7607F" w:rsidRPr="004004FD">
        <w:rPr>
          <w:rFonts w:ascii="Arial" w:hAnsi="Arial"/>
          <w:b/>
          <w:sz w:val="22"/>
          <w:szCs w:val="22"/>
        </w:rPr>
        <w:t xml:space="preserve"> du</w:t>
      </w:r>
      <w:r w:rsidR="00B71E25" w:rsidRPr="004004FD">
        <w:rPr>
          <w:rFonts w:ascii="Arial" w:hAnsi="Arial"/>
          <w:b/>
          <w:sz w:val="22"/>
          <w:szCs w:val="22"/>
        </w:rPr>
        <w:t>ring Placebo-Controlled Period of Rheumatoid Arthritis Studies</w:t>
      </w:r>
    </w:p>
    <w:bookmarkEnd w:id="6"/>
    <w:bookmarkEnd w:id="7"/>
    <w:p w:rsidR="00B71E25" w:rsidRPr="006635DF" w:rsidRDefault="00B71E25" w:rsidP="00B71E25">
      <w:pPr>
        <w:tabs>
          <w:tab w:val="left" w:pos="1080"/>
        </w:tabs>
        <w:rPr>
          <w:rFonts w:ascii="Arial" w:hAnsi="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500"/>
        <w:gridCol w:w="1440"/>
        <w:gridCol w:w="1260"/>
      </w:tblGrid>
      <w:tr w:rsidR="00B71E25" w:rsidRPr="004004FD" w:rsidTr="00433A4B">
        <w:trPr>
          <w:tblHeader/>
        </w:trPr>
        <w:tc>
          <w:tcPr>
            <w:tcW w:w="2088" w:type="dxa"/>
          </w:tcPr>
          <w:p w:rsidR="00B71E25" w:rsidRPr="004004FD" w:rsidRDefault="00B71E25" w:rsidP="005B3034">
            <w:pPr>
              <w:widowControl w:val="0"/>
              <w:spacing w:before="60" w:after="100" w:afterAutospacing="1"/>
              <w:jc w:val="center"/>
              <w:rPr>
                <w:rFonts w:ascii="Arial" w:hAnsi="Arial" w:cs="Arial"/>
                <w:b/>
                <w:sz w:val="18"/>
                <w:szCs w:val="18"/>
                <w:lang w:val="en-GB"/>
              </w:rPr>
            </w:pPr>
            <w:r w:rsidRPr="004004FD">
              <w:rPr>
                <w:rFonts w:ascii="Arial" w:hAnsi="Arial" w:cs="Arial"/>
                <w:b/>
                <w:bCs/>
                <w:sz w:val="18"/>
                <w:szCs w:val="18"/>
                <w:lang w:val="en-GB"/>
              </w:rPr>
              <w:t>System Organ Class</w:t>
            </w:r>
            <w:r w:rsidRPr="004004FD">
              <w:rPr>
                <w:rFonts w:ascii="Arial" w:hAnsi="Arial" w:cs="Arial"/>
                <w:b/>
                <w:bCs/>
                <w:sz w:val="18"/>
                <w:szCs w:val="18"/>
                <w:vertAlign w:val="superscript"/>
                <w:lang w:val="en-GB"/>
              </w:rPr>
              <w:t>a)</w:t>
            </w:r>
          </w:p>
        </w:tc>
        <w:tc>
          <w:tcPr>
            <w:tcW w:w="4500" w:type="dxa"/>
            <w:tcBorders>
              <w:bottom w:val="single" w:sz="4" w:space="0" w:color="auto"/>
            </w:tcBorders>
          </w:tcPr>
          <w:p w:rsidR="00B71E25" w:rsidRPr="004004FD" w:rsidRDefault="00B71E25" w:rsidP="005B3034">
            <w:pPr>
              <w:widowControl w:val="0"/>
              <w:spacing w:before="60" w:after="100" w:afterAutospacing="1"/>
              <w:jc w:val="center"/>
              <w:rPr>
                <w:rFonts w:ascii="Arial" w:hAnsi="Arial" w:cs="Arial"/>
                <w:b/>
                <w:sz w:val="18"/>
                <w:szCs w:val="18"/>
                <w:lang w:val="en-GB"/>
              </w:rPr>
            </w:pPr>
            <w:r w:rsidRPr="004004FD">
              <w:rPr>
                <w:rFonts w:ascii="Arial" w:hAnsi="Arial" w:cs="Arial"/>
                <w:b/>
                <w:bCs/>
                <w:sz w:val="18"/>
                <w:szCs w:val="18"/>
                <w:lang w:val="en-GB"/>
              </w:rPr>
              <w:t>Adverse Reaction</w:t>
            </w:r>
            <w:r w:rsidRPr="004004FD">
              <w:rPr>
                <w:rFonts w:ascii="Arial" w:hAnsi="Arial" w:cs="Arial"/>
                <w:b/>
                <w:bCs/>
                <w:sz w:val="18"/>
                <w:szCs w:val="18"/>
                <w:vertAlign w:val="superscript"/>
                <w:lang w:val="en-GB"/>
              </w:rPr>
              <w:t>a)</w:t>
            </w:r>
          </w:p>
        </w:tc>
        <w:tc>
          <w:tcPr>
            <w:tcW w:w="1440" w:type="dxa"/>
            <w:tcBorders>
              <w:bottom w:val="single" w:sz="4" w:space="0" w:color="auto"/>
            </w:tcBorders>
          </w:tcPr>
          <w:p w:rsidR="00B71E25" w:rsidRPr="004004FD" w:rsidRDefault="00B71E25" w:rsidP="005B3034">
            <w:pPr>
              <w:widowControl w:val="0"/>
              <w:spacing w:before="60" w:after="100" w:afterAutospacing="1"/>
              <w:jc w:val="center"/>
              <w:rPr>
                <w:rFonts w:ascii="Arial" w:hAnsi="Arial" w:cs="Arial"/>
                <w:b/>
                <w:bCs/>
                <w:sz w:val="18"/>
                <w:szCs w:val="18"/>
                <w:lang w:val="en-GB"/>
              </w:rPr>
            </w:pPr>
            <w:r w:rsidRPr="004004FD">
              <w:rPr>
                <w:rFonts w:ascii="Arial" w:hAnsi="Arial" w:cs="Arial"/>
                <w:b/>
                <w:bCs/>
                <w:sz w:val="18"/>
                <w:szCs w:val="18"/>
                <w:lang w:val="en-GB"/>
              </w:rPr>
              <w:t xml:space="preserve">Adalimumab </w:t>
            </w:r>
          </w:p>
          <w:p w:rsidR="00B71E25" w:rsidRPr="004004FD" w:rsidRDefault="00B71E25" w:rsidP="005B3034">
            <w:pPr>
              <w:widowControl w:val="0"/>
              <w:spacing w:before="60" w:after="100" w:afterAutospacing="1"/>
              <w:jc w:val="center"/>
              <w:rPr>
                <w:rFonts w:ascii="Arial" w:hAnsi="Arial" w:cs="Arial"/>
                <w:b/>
                <w:bCs/>
                <w:sz w:val="18"/>
                <w:szCs w:val="18"/>
                <w:lang w:val="en-GB"/>
              </w:rPr>
            </w:pPr>
            <w:bookmarkStart w:id="8" w:name="OLE_LINK1"/>
            <w:bookmarkStart w:id="9" w:name="OLE_LINK2"/>
            <w:r w:rsidRPr="004004FD">
              <w:rPr>
                <w:rFonts w:ascii="Arial" w:hAnsi="Arial" w:cs="Arial"/>
                <w:b/>
                <w:bCs/>
                <w:sz w:val="18"/>
                <w:szCs w:val="18"/>
                <w:lang w:val="en-GB"/>
              </w:rPr>
              <w:t xml:space="preserve">(N = </w:t>
            </w:r>
            <w:r w:rsidR="001372F0" w:rsidRPr="004004FD">
              <w:rPr>
                <w:rFonts w:ascii="Arial" w:hAnsi="Arial" w:cs="Arial"/>
                <w:b/>
                <w:bCs/>
                <w:sz w:val="18"/>
                <w:szCs w:val="18"/>
                <w:lang w:val="en-GB"/>
              </w:rPr>
              <w:t>1380</w:t>
            </w:r>
            <w:r w:rsidRPr="004004FD">
              <w:rPr>
                <w:rFonts w:ascii="Arial" w:hAnsi="Arial" w:cs="Arial"/>
                <w:b/>
                <w:bCs/>
                <w:sz w:val="18"/>
                <w:szCs w:val="18"/>
                <w:lang w:val="en-GB"/>
              </w:rPr>
              <w:t>)</w:t>
            </w:r>
            <w:bookmarkEnd w:id="8"/>
            <w:bookmarkEnd w:id="9"/>
          </w:p>
          <w:p w:rsidR="00B71E25" w:rsidRPr="004004FD" w:rsidRDefault="00B71E25" w:rsidP="005B3034">
            <w:pPr>
              <w:widowControl w:val="0"/>
              <w:spacing w:before="60" w:after="100" w:afterAutospacing="1"/>
              <w:jc w:val="center"/>
              <w:rPr>
                <w:rFonts w:ascii="Arial" w:hAnsi="Arial" w:cs="Arial"/>
                <w:b/>
                <w:bCs/>
                <w:sz w:val="18"/>
                <w:szCs w:val="18"/>
                <w:lang w:val="en-GB"/>
              </w:rPr>
            </w:pPr>
            <w:r w:rsidRPr="004004FD">
              <w:rPr>
                <w:rFonts w:ascii="Arial" w:hAnsi="Arial" w:cs="Arial"/>
                <w:b/>
                <w:bCs/>
                <w:sz w:val="18"/>
                <w:szCs w:val="18"/>
                <w:lang w:val="en-GB"/>
              </w:rPr>
              <w:t>(%)</w:t>
            </w:r>
          </w:p>
        </w:tc>
        <w:tc>
          <w:tcPr>
            <w:tcW w:w="1260" w:type="dxa"/>
            <w:tcBorders>
              <w:bottom w:val="single" w:sz="4" w:space="0" w:color="auto"/>
            </w:tcBorders>
          </w:tcPr>
          <w:p w:rsidR="00B71E25" w:rsidRPr="004004FD" w:rsidRDefault="00B71E25" w:rsidP="005B3034">
            <w:pPr>
              <w:widowControl w:val="0"/>
              <w:spacing w:before="60" w:after="100" w:afterAutospacing="1"/>
              <w:jc w:val="center"/>
              <w:rPr>
                <w:rFonts w:ascii="Arial" w:hAnsi="Arial" w:cs="Arial"/>
                <w:b/>
                <w:bCs/>
                <w:sz w:val="18"/>
                <w:szCs w:val="18"/>
                <w:lang w:val="en-GB"/>
              </w:rPr>
            </w:pPr>
            <w:r w:rsidRPr="004004FD">
              <w:rPr>
                <w:rFonts w:ascii="Arial" w:hAnsi="Arial" w:cs="Arial"/>
                <w:b/>
                <w:bCs/>
                <w:sz w:val="18"/>
                <w:szCs w:val="18"/>
                <w:lang w:val="en-GB"/>
              </w:rPr>
              <w:t>Control</w:t>
            </w:r>
          </w:p>
          <w:p w:rsidR="00B71E25" w:rsidRPr="004004FD" w:rsidRDefault="00B71E25" w:rsidP="005B3034">
            <w:pPr>
              <w:widowControl w:val="0"/>
              <w:spacing w:before="60" w:after="100" w:afterAutospacing="1"/>
              <w:jc w:val="center"/>
              <w:rPr>
                <w:rFonts w:ascii="Arial" w:hAnsi="Arial" w:cs="Arial"/>
                <w:b/>
                <w:bCs/>
                <w:sz w:val="18"/>
                <w:szCs w:val="18"/>
                <w:lang w:val="en-GB"/>
              </w:rPr>
            </w:pPr>
            <w:r w:rsidRPr="004004FD">
              <w:rPr>
                <w:rFonts w:ascii="Arial" w:hAnsi="Arial" w:cs="Arial"/>
                <w:b/>
                <w:bCs/>
                <w:sz w:val="18"/>
                <w:szCs w:val="18"/>
                <w:lang w:val="en-GB"/>
              </w:rPr>
              <w:t>(N =</w:t>
            </w:r>
            <w:r w:rsidR="001372F0" w:rsidRPr="004004FD">
              <w:rPr>
                <w:rFonts w:ascii="Arial" w:hAnsi="Arial" w:cs="Arial"/>
                <w:b/>
                <w:bCs/>
                <w:sz w:val="18"/>
                <w:szCs w:val="18"/>
                <w:lang w:val="en-GB"/>
              </w:rPr>
              <w:t>690</w:t>
            </w:r>
            <w:r w:rsidRPr="004004FD">
              <w:rPr>
                <w:rFonts w:ascii="Arial" w:hAnsi="Arial" w:cs="Arial"/>
                <w:b/>
                <w:bCs/>
                <w:sz w:val="18"/>
                <w:szCs w:val="18"/>
                <w:lang w:val="en-GB"/>
              </w:rPr>
              <w:t>)</w:t>
            </w:r>
          </w:p>
          <w:p w:rsidR="00B71E25" w:rsidRPr="004004FD" w:rsidRDefault="00B71E25" w:rsidP="005B3034">
            <w:pPr>
              <w:widowControl w:val="0"/>
              <w:spacing w:before="60" w:after="100" w:afterAutospacing="1"/>
              <w:jc w:val="center"/>
              <w:rPr>
                <w:rFonts w:ascii="Arial" w:hAnsi="Arial" w:cs="Arial"/>
                <w:b/>
                <w:bCs/>
                <w:sz w:val="18"/>
                <w:szCs w:val="18"/>
                <w:lang w:val="en-GB"/>
              </w:rPr>
            </w:pPr>
            <w:r w:rsidRPr="004004FD">
              <w:rPr>
                <w:rFonts w:ascii="Arial" w:hAnsi="Arial" w:cs="Arial"/>
                <w:b/>
                <w:bCs/>
                <w:sz w:val="18"/>
                <w:szCs w:val="18"/>
                <w:lang w:val="en-GB"/>
              </w:rPr>
              <w:t>(%)</w:t>
            </w:r>
          </w:p>
        </w:tc>
      </w:tr>
      <w:tr w:rsidR="00B71E25" w:rsidRPr="004004FD" w:rsidTr="00433A4B">
        <w:trPr>
          <w:cantSplit/>
        </w:trPr>
        <w:tc>
          <w:tcPr>
            <w:tcW w:w="2088" w:type="dxa"/>
            <w:vMerge w:val="restart"/>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Infections and infestations</w:t>
            </w:r>
          </w:p>
          <w:p w:rsidR="00B71E25" w:rsidRPr="004004FD" w:rsidRDefault="00B71E25" w:rsidP="005B3034">
            <w:pPr>
              <w:widowControl w:val="0"/>
              <w:spacing w:before="60" w:after="100" w:afterAutospacing="1"/>
              <w:jc w:val="center"/>
              <w:rPr>
                <w:rFonts w:ascii="Arial" w:hAnsi="Arial" w:cs="Arial"/>
                <w:sz w:val="18"/>
                <w:szCs w:val="18"/>
                <w:lang w:val="en-GB"/>
              </w:rPr>
            </w:pPr>
          </w:p>
        </w:tc>
        <w:tc>
          <w:tcPr>
            <w:tcW w:w="4500" w:type="dxa"/>
            <w:tcBorders>
              <w:bottom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 xml:space="preserve">respiratory tract infections </w:t>
            </w:r>
            <w:r w:rsidRPr="004004FD">
              <w:rPr>
                <w:rFonts w:ascii="Arial" w:hAnsi="Arial" w:cs="Arial"/>
                <w:sz w:val="18"/>
                <w:szCs w:val="18"/>
              </w:rPr>
              <w:t>(including lower and upper respiratory tract infection, pneumonia, sinusitis, pharyngitis, nasopharyngitis and pneumonia herpes viral)</w:t>
            </w:r>
          </w:p>
        </w:tc>
        <w:tc>
          <w:tcPr>
            <w:tcW w:w="1440" w:type="dxa"/>
            <w:tcBorders>
              <w:bottom w:val="single" w:sz="4" w:space="0" w:color="auto"/>
            </w:tcBorders>
            <w:vAlign w:val="center"/>
          </w:tcPr>
          <w:p w:rsidR="00B71E25" w:rsidRPr="004004FD" w:rsidRDefault="001372F0"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39</w:t>
            </w:r>
          </w:p>
        </w:tc>
        <w:tc>
          <w:tcPr>
            <w:tcW w:w="1260" w:type="dxa"/>
            <w:tcBorders>
              <w:bottom w:val="single" w:sz="4" w:space="0" w:color="auto"/>
            </w:tcBorders>
            <w:vAlign w:val="center"/>
          </w:tcPr>
          <w:p w:rsidR="00B71E25" w:rsidRPr="004004FD" w:rsidRDefault="001372F0"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33</w:t>
            </w:r>
          </w:p>
        </w:tc>
      </w:tr>
      <w:tr w:rsidR="00B71E25" w:rsidRPr="004004FD" w:rsidTr="00433A4B">
        <w:trPr>
          <w:cantSplit/>
        </w:trPr>
        <w:tc>
          <w:tcPr>
            <w:tcW w:w="2088" w:type="dxa"/>
            <w:vMerge/>
          </w:tcPr>
          <w:p w:rsidR="00B71E25" w:rsidRPr="004004FD"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rsidR="00B71E25" w:rsidRPr="004004FD" w:rsidRDefault="00B71E25" w:rsidP="005B3034">
            <w:pPr>
              <w:widowControl w:val="0"/>
              <w:spacing w:before="60" w:after="100" w:afterAutospacing="1"/>
              <w:rPr>
                <w:rFonts w:ascii="Arial" w:hAnsi="Arial" w:cs="Arial"/>
                <w:sz w:val="18"/>
                <w:szCs w:val="18"/>
              </w:rPr>
            </w:pPr>
            <w:r w:rsidRPr="004004FD">
              <w:rPr>
                <w:rFonts w:ascii="Arial" w:hAnsi="Arial" w:cs="Arial"/>
                <w:sz w:val="18"/>
                <w:szCs w:val="18"/>
              </w:rPr>
              <w:t>oral infections (including herpes simplex, oral herpes and tooth infections)</w:t>
            </w:r>
          </w:p>
        </w:tc>
        <w:tc>
          <w:tcPr>
            <w:tcW w:w="1440" w:type="dxa"/>
            <w:tcBorders>
              <w:top w:val="single" w:sz="4" w:space="0" w:color="auto"/>
              <w:bottom w:val="single" w:sz="4" w:space="0" w:color="auto"/>
            </w:tcBorders>
            <w:vAlign w:val="center"/>
          </w:tcPr>
          <w:p w:rsidR="00B71E25" w:rsidRPr="004004FD" w:rsidRDefault="001372F0" w:rsidP="005B3034">
            <w:pPr>
              <w:widowControl w:val="0"/>
              <w:spacing w:before="60" w:after="100" w:afterAutospacing="1"/>
              <w:jc w:val="center"/>
              <w:rPr>
                <w:rFonts w:ascii="Arial" w:hAnsi="Arial" w:cs="Arial"/>
                <w:sz w:val="18"/>
                <w:szCs w:val="18"/>
              </w:rPr>
            </w:pPr>
            <w:r w:rsidRPr="004004FD">
              <w:rPr>
                <w:rFonts w:ascii="Arial" w:hAnsi="Arial" w:cs="Arial"/>
                <w:sz w:val="18"/>
                <w:szCs w:val="18"/>
                <w:lang w:val="en-GB"/>
              </w:rPr>
              <w:t>7</w:t>
            </w:r>
          </w:p>
        </w:tc>
        <w:tc>
          <w:tcPr>
            <w:tcW w:w="1260" w:type="dxa"/>
            <w:tcBorders>
              <w:top w:val="single" w:sz="4" w:space="0" w:color="auto"/>
              <w:bottom w:val="single" w:sz="4" w:space="0" w:color="auto"/>
            </w:tcBorders>
            <w:vAlign w:val="center"/>
          </w:tcPr>
          <w:p w:rsidR="00B71E25" w:rsidRPr="004004FD" w:rsidRDefault="001372F0" w:rsidP="005B3034">
            <w:pPr>
              <w:widowControl w:val="0"/>
              <w:spacing w:before="60" w:after="100" w:afterAutospacing="1"/>
              <w:jc w:val="center"/>
              <w:rPr>
                <w:rFonts w:ascii="Arial" w:hAnsi="Arial" w:cs="Arial"/>
                <w:sz w:val="18"/>
                <w:szCs w:val="18"/>
              </w:rPr>
            </w:pPr>
            <w:r w:rsidRPr="004004FD">
              <w:rPr>
                <w:rFonts w:ascii="Arial" w:hAnsi="Arial" w:cs="Arial"/>
                <w:sz w:val="18"/>
                <w:szCs w:val="18"/>
                <w:lang w:val="en-GB"/>
              </w:rPr>
              <w:t>5</w:t>
            </w:r>
          </w:p>
        </w:tc>
      </w:tr>
      <w:tr w:rsidR="00B71E25" w:rsidRPr="004004FD" w:rsidTr="00433A4B">
        <w:trPr>
          <w:cantSplit/>
        </w:trPr>
        <w:tc>
          <w:tcPr>
            <w:tcW w:w="2088" w:type="dxa"/>
            <w:vMerge/>
          </w:tcPr>
          <w:p w:rsidR="00B71E25" w:rsidRPr="004004FD"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rsidR="00B71E25" w:rsidRPr="004004FD" w:rsidRDefault="00B71E25" w:rsidP="005B3034">
            <w:pPr>
              <w:widowControl w:val="0"/>
              <w:spacing w:before="60" w:after="100" w:afterAutospacing="1"/>
              <w:rPr>
                <w:rFonts w:ascii="Arial" w:hAnsi="Arial" w:cs="Arial"/>
                <w:sz w:val="18"/>
                <w:szCs w:val="18"/>
              </w:rPr>
            </w:pPr>
            <w:r w:rsidRPr="004004FD">
              <w:rPr>
                <w:rFonts w:ascii="Arial" w:hAnsi="Arial" w:cs="Arial"/>
                <w:sz w:val="18"/>
                <w:szCs w:val="18"/>
              </w:rPr>
              <w:t>reproductive tract infections (including vulvovaginal mycotic infection)</w:t>
            </w:r>
          </w:p>
        </w:tc>
        <w:tc>
          <w:tcPr>
            <w:tcW w:w="1440" w:type="dxa"/>
            <w:tcBorders>
              <w:top w:val="single" w:sz="4" w:space="0" w:color="auto"/>
              <w:bottom w:val="single" w:sz="4" w:space="0" w:color="auto"/>
            </w:tcBorders>
            <w:vAlign w:val="center"/>
          </w:tcPr>
          <w:p w:rsidR="00B71E25" w:rsidRPr="004004FD" w:rsidRDefault="00B71E25" w:rsidP="005B3034">
            <w:pPr>
              <w:widowControl w:val="0"/>
              <w:spacing w:before="60" w:after="100" w:afterAutospacing="1"/>
              <w:jc w:val="center"/>
              <w:rPr>
                <w:rFonts w:ascii="Arial" w:hAnsi="Arial" w:cs="Arial"/>
                <w:sz w:val="18"/>
                <w:szCs w:val="18"/>
              </w:rPr>
            </w:pPr>
            <w:r w:rsidRPr="004004FD">
              <w:rPr>
                <w:rFonts w:ascii="Arial" w:hAnsi="Arial" w:cs="Arial"/>
                <w:sz w:val="18"/>
                <w:szCs w:val="18"/>
              </w:rPr>
              <w:t>3</w:t>
            </w:r>
          </w:p>
        </w:tc>
        <w:tc>
          <w:tcPr>
            <w:tcW w:w="1260" w:type="dxa"/>
            <w:tcBorders>
              <w:top w:val="single" w:sz="4" w:space="0" w:color="auto"/>
              <w:bottom w:val="single" w:sz="4" w:space="0" w:color="auto"/>
            </w:tcBorders>
            <w:vAlign w:val="center"/>
          </w:tcPr>
          <w:p w:rsidR="00B71E25" w:rsidRPr="004004FD" w:rsidRDefault="001372F0" w:rsidP="005B3034">
            <w:pPr>
              <w:widowControl w:val="0"/>
              <w:spacing w:before="60" w:after="100" w:afterAutospacing="1"/>
              <w:jc w:val="center"/>
              <w:rPr>
                <w:rFonts w:ascii="Arial" w:hAnsi="Arial" w:cs="Arial"/>
                <w:sz w:val="18"/>
                <w:szCs w:val="18"/>
              </w:rPr>
            </w:pPr>
            <w:r w:rsidRPr="004004FD">
              <w:rPr>
                <w:rFonts w:ascii="Arial" w:hAnsi="Arial" w:cs="Arial"/>
                <w:sz w:val="18"/>
                <w:szCs w:val="18"/>
              </w:rPr>
              <w:t>1</w:t>
            </w:r>
          </w:p>
        </w:tc>
      </w:tr>
      <w:tr w:rsidR="00433A4B" w:rsidRPr="004004FD" w:rsidTr="00433A4B">
        <w:trPr>
          <w:cantSplit/>
          <w:trHeight w:val="339"/>
        </w:trPr>
        <w:tc>
          <w:tcPr>
            <w:tcW w:w="2088" w:type="dxa"/>
            <w:vMerge w:val="restart"/>
          </w:tcPr>
          <w:p w:rsidR="00433A4B" w:rsidRPr="004004FD" w:rsidRDefault="00433A4B" w:rsidP="005B3034">
            <w:pPr>
              <w:widowControl w:val="0"/>
              <w:spacing w:before="60" w:after="100" w:afterAutospacing="1"/>
              <w:rPr>
                <w:rFonts w:ascii="Arial" w:hAnsi="Arial" w:cs="Arial"/>
                <w:b/>
                <w:sz w:val="18"/>
                <w:szCs w:val="18"/>
                <w:lang w:val="en-GB"/>
              </w:rPr>
            </w:pPr>
            <w:r w:rsidRPr="004004FD">
              <w:rPr>
                <w:rFonts w:ascii="Arial" w:hAnsi="Arial" w:cs="Arial"/>
                <w:sz w:val="18"/>
                <w:szCs w:val="18"/>
                <w:lang w:val="en-GB"/>
              </w:rPr>
              <w:t>Blood and the lymphatic system disorders</w:t>
            </w:r>
          </w:p>
        </w:tc>
        <w:tc>
          <w:tcPr>
            <w:tcW w:w="4500" w:type="dxa"/>
          </w:tcPr>
          <w:p w:rsidR="00433A4B" w:rsidRPr="004004FD" w:rsidRDefault="00433A4B" w:rsidP="005B3034">
            <w:pPr>
              <w:widowControl w:val="0"/>
              <w:spacing w:before="60" w:after="100" w:afterAutospacing="1"/>
              <w:rPr>
                <w:rFonts w:ascii="Arial" w:hAnsi="Arial" w:cs="Arial"/>
                <w:sz w:val="18"/>
                <w:szCs w:val="18"/>
                <w:lang w:val="en-GB"/>
              </w:rPr>
            </w:pPr>
            <w:r w:rsidRPr="004004FD">
              <w:rPr>
                <w:rFonts w:ascii="Arial" w:hAnsi="Arial" w:cs="Arial"/>
                <w:sz w:val="18"/>
                <w:szCs w:val="18"/>
                <w:lang w:val="en-GB"/>
              </w:rPr>
              <w:t>anaemia</w:t>
            </w:r>
          </w:p>
        </w:tc>
        <w:tc>
          <w:tcPr>
            <w:tcW w:w="1440" w:type="dxa"/>
            <w:vAlign w:val="center"/>
          </w:tcPr>
          <w:p w:rsidR="00433A4B" w:rsidRPr="004004FD" w:rsidRDefault="00433A4B" w:rsidP="005B3034">
            <w:pPr>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13</w:t>
            </w:r>
          </w:p>
        </w:tc>
        <w:tc>
          <w:tcPr>
            <w:tcW w:w="1260" w:type="dxa"/>
            <w:vAlign w:val="center"/>
          </w:tcPr>
          <w:p w:rsidR="00433A4B" w:rsidRPr="004004FD" w:rsidRDefault="00433A4B" w:rsidP="005B3034">
            <w:pPr>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8</w:t>
            </w:r>
          </w:p>
        </w:tc>
      </w:tr>
      <w:tr w:rsidR="00433A4B" w:rsidRPr="004004FD" w:rsidTr="00433A4B">
        <w:trPr>
          <w:cantSplit/>
          <w:trHeight w:val="495"/>
        </w:trPr>
        <w:tc>
          <w:tcPr>
            <w:tcW w:w="2088" w:type="dxa"/>
            <w:vMerge/>
          </w:tcPr>
          <w:p w:rsidR="00433A4B" w:rsidRPr="004004FD" w:rsidRDefault="00433A4B"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rsidR="00433A4B" w:rsidRPr="004004FD" w:rsidRDefault="00433A4B" w:rsidP="005B3034">
            <w:pPr>
              <w:widowControl w:val="0"/>
              <w:spacing w:before="60" w:after="100" w:afterAutospacing="1"/>
              <w:rPr>
                <w:rFonts w:ascii="Arial" w:hAnsi="Arial" w:cs="Arial"/>
                <w:sz w:val="18"/>
                <w:szCs w:val="18"/>
                <w:lang w:val="en-GB"/>
              </w:rPr>
            </w:pPr>
            <w:r w:rsidRPr="004004FD">
              <w:rPr>
                <w:rFonts w:ascii="Arial" w:hAnsi="Arial" w:cs="Arial"/>
                <w:sz w:val="18"/>
                <w:szCs w:val="18"/>
                <w:lang w:val="en-GB"/>
              </w:rPr>
              <w:t>leucopaenia (including neutropaenia and agranulocytosis)</w:t>
            </w:r>
          </w:p>
        </w:tc>
        <w:tc>
          <w:tcPr>
            <w:tcW w:w="1440" w:type="dxa"/>
            <w:tcBorders>
              <w:top w:val="single" w:sz="4" w:space="0" w:color="auto"/>
            </w:tcBorders>
            <w:vAlign w:val="center"/>
          </w:tcPr>
          <w:p w:rsidR="00433A4B" w:rsidRPr="004004FD" w:rsidRDefault="00433A4B" w:rsidP="005B3034">
            <w:pPr>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14</w:t>
            </w:r>
          </w:p>
        </w:tc>
        <w:tc>
          <w:tcPr>
            <w:tcW w:w="1260" w:type="dxa"/>
            <w:tcBorders>
              <w:top w:val="single" w:sz="4" w:space="0" w:color="auto"/>
            </w:tcBorders>
            <w:vAlign w:val="center"/>
          </w:tcPr>
          <w:p w:rsidR="00433A4B" w:rsidRPr="004004FD" w:rsidRDefault="00433A4B" w:rsidP="005B3034">
            <w:pPr>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8</w:t>
            </w:r>
          </w:p>
        </w:tc>
      </w:tr>
      <w:tr w:rsidR="00433A4B" w:rsidRPr="004004FD" w:rsidTr="00433A4B">
        <w:trPr>
          <w:cantSplit/>
          <w:trHeight w:val="495"/>
        </w:trPr>
        <w:tc>
          <w:tcPr>
            <w:tcW w:w="2088" w:type="dxa"/>
            <w:vMerge/>
          </w:tcPr>
          <w:p w:rsidR="00433A4B" w:rsidRPr="004004FD" w:rsidRDefault="00433A4B"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rsidR="00433A4B" w:rsidRPr="004004FD" w:rsidRDefault="00433A4B" w:rsidP="005B3034">
            <w:pPr>
              <w:widowControl w:val="0"/>
              <w:spacing w:before="60" w:after="100" w:afterAutospacing="1"/>
              <w:rPr>
                <w:rFonts w:ascii="Arial" w:hAnsi="Arial" w:cs="Arial"/>
                <w:sz w:val="18"/>
                <w:szCs w:val="18"/>
                <w:lang w:val="en-GB"/>
              </w:rPr>
            </w:pPr>
            <w:r w:rsidRPr="004004FD">
              <w:rPr>
                <w:rFonts w:ascii="Arial" w:hAnsi="Arial" w:cs="Arial"/>
                <w:sz w:val="18"/>
                <w:szCs w:val="18"/>
                <w:lang w:val="en-GB"/>
              </w:rPr>
              <w:t>leucocystosis</w:t>
            </w:r>
          </w:p>
        </w:tc>
        <w:tc>
          <w:tcPr>
            <w:tcW w:w="1440" w:type="dxa"/>
            <w:tcBorders>
              <w:top w:val="single" w:sz="4" w:space="0" w:color="auto"/>
            </w:tcBorders>
            <w:vAlign w:val="center"/>
          </w:tcPr>
          <w:p w:rsidR="00433A4B" w:rsidRPr="004004FD" w:rsidRDefault="00433A4B" w:rsidP="005B3034">
            <w:pPr>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w:t>
            </w:r>
          </w:p>
        </w:tc>
        <w:tc>
          <w:tcPr>
            <w:tcW w:w="1260" w:type="dxa"/>
            <w:tcBorders>
              <w:top w:val="single" w:sz="4" w:space="0" w:color="auto"/>
            </w:tcBorders>
            <w:vAlign w:val="center"/>
          </w:tcPr>
          <w:p w:rsidR="00433A4B" w:rsidRPr="004004FD" w:rsidRDefault="00433A4B" w:rsidP="005B3034">
            <w:pPr>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0</w:t>
            </w:r>
          </w:p>
        </w:tc>
      </w:tr>
      <w:tr w:rsidR="00433A4B" w:rsidRPr="004004FD" w:rsidTr="00433A4B">
        <w:trPr>
          <w:cantSplit/>
          <w:trHeight w:val="495"/>
        </w:trPr>
        <w:tc>
          <w:tcPr>
            <w:tcW w:w="2088" w:type="dxa"/>
            <w:vMerge/>
          </w:tcPr>
          <w:p w:rsidR="00433A4B" w:rsidRPr="004004FD" w:rsidRDefault="00433A4B"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rsidR="00433A4B" w:rsidRPr="004004FD" w:rsidRDefault="00433A4B" w:rsidP="005B3034">
            <w:pPr>
              <w:widowControl w:val="0"/>
              <w:spacing w:before="60" w:after="100" w:afterAutospacing="1"/>
              <w:rPr>
                <w:rFonts w:ascii="Arial" w:hAnsi="Arial" w:cs="Arial"/>
                <w:sz w:val="18"/>
                <w:szCs w:val="18"/>
                <w:lang w:val="en-GB"/>
              </w:rPr>
            </w:pPr>
            <w:r w:rsidRPr="004004FD">
              <w:rPr>
                <w:rFonts w:ascii="Arial" w:hAnsi="Arial" w:cs="Arial"/>
                <w:sz w:val="18"/>
                <w:szCs w:val="18"/>
                <w:lang w:val="en-GB"/>
              </w:rPr>
              <w:t>thrombocytopenia</w:t>
            </w:r>
          </w:p>
        </w:tc>
        <w:tc>
          <w:tcPr>
            <w:tcW w:w="1440" w:type="dxa"/>
            <w:tcBorders>
              <w:top w:val="single" w:sz="4" w:space="0" w:color="auto"/>
            </w:tcBorders>
            <w:vAlign w:val="center"/>
          </w:tcPr>
          <w:p w:rsidR="00433A4B" w:rsidRPr="004004FD" w:rsidRDefault="00433A4B" w:rsidP="005B3034">
            <w:pPr>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w:t>
            </w:r>
          </w:p>
        </w:tc>
        <w:tc>
          <w:tcPr>
            <w:tcW w:w="1260" w:type="dxa"/>
            <w:tcBorders>
              <w:top w:val="single" w:sz="4" w:space="0" w:color="auto"/>
            </w:tcBorders>
            <w:vAlign w:val="center"/>
          </w:tcPr>
          <w:p w:rsidR="00433A4B" w:rsidRPr="004004FD" w:rsidRDefault="00433A4B" w:rsidP="005B3034">
            <w:pPr>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0</w:t>
            </w:r>
          </w:p>
        </w:tc>
      </w:tr>
      <w:tr w:rsidR="007929F1" w:rsidRPr="004004FD" w:rsidTr="00433A4B">
        <w:trPr>
          <w:cantSplit/>
          <w:trHeight w:val="279"/>
        </w:trPr>
        <w:tc>
          <w:tcPr>
            <w:tcW w:w="2088" w:type="dxa"/>
            <w:vMerge w:val="restart"/>
          </w:tcPr>
          <w:p w:rsidR="007929F1" w:rsidRPr="004004FD" w:rsidRDefault="007929F1"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Metabolism and nutrition disorders</w:t>
            </w:r>
          </w:p>
        </w:tc>
        <w:tc>
          <w:tcPr>
            <w:tcW w:w="4500" w:type="dxa"/>
            <w:tcBorders>
              <w:top w:val="single" w:sz="4" w:space="0" w:color="auto"/>
              <w:bottom w:val="single" w:sz="4" w:space="0" w:color="auto"/>
            </w:tcBorders>
          </w:tcPr>
          <w:p w:rsidR="007929F1" w:rsidRPr="004004FD" w:rsidRDefault="007929F1"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lipids increased</w:t>
            </w:r>
          </w:p>
        </w:tc>
        <w:tc>
          <w:tcPr>
            <w:tcW w:w="1440" w:type="dxa"/>
            <w:tcBorders>
              <w:top w:val="single" w:sz="4" w:space="0" w:color="auto"/>
              <w:bottom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17</w:t>
            </w:r>
          </w:p>
        </w:tc>
        <w:tc>
          <w:tcPr>
            <w:tcW w:w="1260" w:type="dxa"/>
            <w:tcBorders>
              <w:top w:val="single" w:sz="4" w:space="0" w:color="auto"/>
              <w:bottom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8</w:t>
            </w:r>
          </w:p>
        </w:tc>
      </w:tr>
      <w:tr w:rsidR="007929F1" w:rsidRPr="004004FD" w:rsidTr="00433A4B">
        <w:trPr>
          <w:cantSplit/>
          <w:trHeight w:val="303"/>
        </w:trPr>
        <w:tc>
          <w:tcPr>
            <w:tcW w:w="2088" w:type="dxa"/>
            <w:vMerge/>
          </w:tcPr>
          <w:p w:rsidR="007929F1" w:rsidRPr="004004FD"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4004FD" w:rsidRDefault="007929F1"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uric acid increased</w:t>
            </w:r>
          </w:p>
        </w:tc>
        <w:tc>
          <w:tcPr>
            <w:tcW w:w="1440" w:type="dxa"/>
            <w:tcBorders>
              <w:top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6</w:t>
            </w:r>
          </w:p>
        </w:tc>
        <w:tc>
          <w:tcPr>
            <w:tcW w:w="1260" w:type="dxa"/>
            <w:tcBorders>
              <w:top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3</w:t>
            </w:r>
          </w:p>
        </w:tc>
      </w:tr>
      <w:tr w:rsidR="007929F1" w:rsidRPr="004004FD" w:rsidTr="00433A4B">
        <w:trPr>
          <w:cantSplit/>
          <w:trHeight w:val="351"/>
        </w:trPr>
        <w:tc>
          <w:tcPr>
            <w:tcW w:w="2088" w:type="dxa"/>
            <w:vMerge/>
          </w:tcPr>
          <w:p w:rsidR="007929F1" w:rsidRPr="004004FD"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4004FD" w:rsidRDefault="007929F1"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blood sodium abnormal</w:t>
            </w:r>
          </w:p>
        </w:tc>
        <w:tc>
          <w:tcPr>
            <w:tcW w:w="1440" w:type="dxa"/>
            <w:tcBorders>
              <w:top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10</w:t>
            </w:r>
          </w:p>
        </w:tc>
        <w:tc>
          <w:tcPr>
            <w:tcW w:w="1260" w:type="dxa"/>
            <w:tcBorders>
              <w:top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3</w:t>
            </w:r>
          </w:p>
        </w:tc>
      </w:tr>
      <w:tr w:rsidR="007929F1" w:rsidRPr="004004FD" w:rsidTr="00433A4B">
        <w:trPr>
          <w:cantSplit/>
          <w:trHeight w:val="351"/>
        </w:trPr>
        <w:tc>
          <w:tcPr>
            <w:tcW w:w="2088" w:type="dxa"/>
            <w:vMerge/>
          </w:tcPr>
          <w:p w:rsidR="007929F1" w:rsidRPr="004004FD"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4004FD" w:rsidRDefault="007929F1"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hypokalaemia</w:t>
            </w:r>
          </w:p>
        </w:tc>
        <w:tc>
          <w:tcPr>
            <w:tcW w:w="1440" w:type="dxa"/>
            <w:tcBorders>
              <w:top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3</w:t>
            </w:r>
          </w:p>
        </w:tc>
        <w:tc>
          <w:tcPr>
            <w:tcW w:w="1260" w:type="dxa"/>
            <w:tcBorders>
              <w:top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2</w:t>
            </w:r>
          </w:p>
        </w:tc>
      </w:tr>
      <w:tr w:rsidR="007929F1" w:rsidRPr="004004FD" w:rsidTr="00433A4B">
        <w:trPr>
          <w:cantSplit/>
          <w:trHeight w:val="351"/>
        </w:trPr>
        <w:tc>
          <w:tcPr>
            <w:tcW w:w="2088" w:type="dxa"/>
            <w:vMerge/>
          </w:tcPr>
          <w:p w:rsidR="007929F1" w:rsidRPr="004004FD"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4004FD" w:rsidRDefault="007929F1"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hypophosphotaemia</w:t>
            </w:r>
          </w:p>
        </w:tc>
        <w:tc>
          <w:tcPr>
            <w:tcW w:w="1440" w:type="dxa"/>
            <w:tcBorders>
              <w:top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2</w:t>
            </w:r>
          </w:p>
        </w:tc>
        <w:tc>
          <w:tcPr>
            <w:tcW w:w="1260" w:type="dxa"/>
            <w:tcBorders>
              <w:top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w:t>
            </w:r>
          </w:p>
        </w:tc>
      </w:tr>
      <w:tr w:rsidR="007929F1" w:rsidRPr="004004FD" w:rsidTr="00433A4B">
        <w:trPr>
          <w:cantSplit/>
          <w:trHeight w:val="351"/>
        </w:trPr>
        <w:tc>
          <w:tcPr>
            <w:tcW w:w="2088" w:type="dxa"/>
            <w:vMerge/>
          </w:tcPr>
          <w:p w:rsidR="007929F1" w:rsidRPr="004004FD"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4004FD" w:rsidRDefault="007929F1"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blood potassium increased</w:t>
            </w:r>
          </w:p>
        </w:tc>
        <w:tc>
          <w:tcPr>
            <w:tcW w:w="1440" w:type="dxa"/>
            <w:tcBorders>
              <w:top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3</w:t>
            </w:r>
          </w:p>
        </w:tc>
        <w:tc>
          <w:tcPr>
            <w:tcW w:w="1260" w:type="dxa"/>
            <w:tcBorders>
              <w:top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w:t>
            </w:r>
          </w:p>
        </w:tc>
      </w:tr>
      <w:tr w:rsidR="00B71E25" w:rsidRPr="004004FD" w:rsidTr="00433A4B">
        <w:trPr>
          <w:cantSplit/>
        </w:trPr>
        <w:tc>
          <w:tcPr>
            <w:tcW w:w="2088" w:type="dxa"/>
          </w:tcPr>
          <w:p w:rsidR="00B71E25" w:rsidRPr="004004FD" w:rsidRDefault="00B71E25" w:rsidP="005B3034">
            <w:pPr>
              <w:pStyle w:val="EMEANormal"/>
              <w:widowControl w:val="0"/>
              <w:spacing w:before="60" w:after="100" w:afterAutospacing="1"/>
              <w:rPr>
                <w:rFonts w:ascii="Arial" w:hAnsi="Arial" w:cs="Arial"/>
                <w:sz w:val="18"/>
                <w:szCs w:val="18"/>
                <w:lang w:val="de-DE"/>
              </w:rPr>
            </w:pPr>
            <w:r w:rsidRPr="004004FD">
              <w:rPr>
                <w:rFonts w:ascii="Arial" w:hAnsi="Arial" w:cs="Arial"/>
                <w:sz w:val="18"/>
                <w:szCs w:val="18"/>
                <w:lang w:val="de-DE"/>
              </w:rPr>
              <w:t>Nervous system disorders</w:t>
            </w:r>
          </w:p>
        </w:tc>
        <w:tc>
          <w:tcPr>
            <w:tcW w:w="4500" w:type="dxa"/>
            <w:tcBorders>
              <w:bottom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headache</w:t>
            </w:r>
          </w:p>
        </w:tc>
        <w:tc>
          <w:tcPr>
            <w:tcW w:w="1440" w:type="dxa"/>
            <w:tcBorders>
              <w:bottom w:val="single" w:sz="4" w:space="0" w:color="auto"/>
            </w:tcBorders>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14</w:t>
            </w:r>
          </w:p>
        </w:tc>
        <w:tc>
          <w:tcPr>
            <w:tcW w:w="1260" w:type="dxa"/>
            <w:tcBorders>
              <w:bottom w:val="single" w:sz="4" w:space="0" w:color="auto"/>
            </w:tcBorders>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8</w:t>
            </w:r>
          </w:p>
        </w:tc>
      </w:tr>
      <w:tr w:rsidR="00433A4B" w:rsidRPr="004004FD" w:rsidTr="00433A4B">
        <w:trPr>
          <w:cantSplit/>
          <w:trHeight w:val="483"/>
        </w:trPr>
        <w:tc>
          <w:tcPr>
            <w:tcW w:w="2088" w:type="dxa"/>
            <w:vMerge w:val="restart"/>
          </w:tcPr>
          <w:p w:rsidR="00433A4B" w:rsidRPr="004004FD" w:rsidRDefault="00433A4B"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Vascular disorders</w:t>
            </w:r>
          </w:p>
        </w:tc>
        <w:tc>
          <w:tcPr>
            <w:tcW w:w="4500" w:type="dxa"/>
          </w:tcPr>
          <w:p w:rsidR="00433A4B" w:rsidRPr="004004FD" w:rsidRDefault="00433A4B"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hypertension</w:t>
            </w:r>
          </w:p>
        </w:tc>
        <w:tc>
          <w:tcPr>
            <w:tcW w:w="1440" w:type="dxa"/>
            <w:vAlign w:val="center"/>
          </w:tcPr>
          <w:p w:rsidR="00433A4B" w:rsidRPr="004004FD" w:rsidRDefault="00433A4B"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6</w:t>
            </w:r>
          </w:p>
        </w:tc>
        <w:tc>
          <w:tcPr>
            <w:tcW w:w="1260" w:type="dxa"/>
            <w:vAlign w:val="center"/>
          </w:tcPr>
          <w:p w:rsidR="00433A4B" w:rsidRPr="004004FD" w:rsidRDefault="00433A4B"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3</w:t>
            </w:r>
          </w:p>
        </w:tc>
      </w:tr>
      <w:tr w:rsidR="00433A4B" w:rsidRPr="004004FD" w:rsidTr="00433A4B">
        <w:trPr>
          <w:cantSplit/>
          <w:trHeight w:val="483"/>
        </w:trPr>
        <w:tc>
          <w:tcPr>
            <w:tcW w:w="2088" w:type="dxa"/>
            <w:vMerge/>
          </w:tcPr>
          <w:p w:rsidR="00433A4B" w:rsidRPr="004004FD" w:rsidRDefault="00433A4B" w:rsidP="005B3034">
            <w:pPr>
              <w:pStyle w:val="EMEANormal"/>
              <w:widowControl w:val="0"/>
              <w:spacing w:before="60" w:after="100" w:afterAutospacing="1"/>
              <w:rPr>
                <w:rFonts w:ascii="Arial" w:hAnsi="Arial" w:cs="Arial"/>
                <w:sz w:val="18"/>
                <w:szCs w:val="18"/>
                <w:lang w:val="en-GB"/>
              </w:rPr>
            </w:pPr>
          </w:p>
        </w:tc>
        <w:tc>
          <w:tcPr>
            <w:tcW w:w="4500" w:type="dxa"/>
          </w:tcPr>
          <w:p w:rsidR="00433A4B" w:rsidRPr="004004FD" w:rsidRDefault="00433A4B"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 xml:space="preserve">flushing </w:t>
            </w:r>
          </w:p>
        </w:tc>
        <w:tc>
          <w:tcPr>
            <w:tcW w:w="1440" w:type="dxa"/>
            <w:vAlign w:val="center"/>
          </w:tcPr>
          <w:p w:rsidR="00433A4B" w:rsidRPr="004004FD" w:rsidRDefault="00433A4B"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2</w:t>
            </w:r>
          </w:p>
        </w:tc>
        <w:tc>
          <w:tcPr>
            <w:tcW w:w="1260" w:type="dxa"/>
            <w:vAlign w:val="center"/>
          </w:tcPr>
          <w:p w:rsidR="00433A4B" w:rsidRPr="004004FD" w:rsidRDefault="00433A4B"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w:t>
            </w:r>
          </w:p>
        </w:tc>
      </w:tr>
      <w:tr w:rsidR="00B71E25" w:rsidRPr="004004FD" w:rsidTr="00433A4B">
        <w:trPr>
          <w:cantSplit/>
        </w:trPr>
        <w:tc>
          <w:tcPr>
            <w:tcW w:w="2088" w:type="dxa"/>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Respiratory, thoracic and mediastinal disorders</w:t>
            </w:r>
          </w:p>
        </w:tc>
        <w:tc>
          <w:tcPr>
            <w:tcW w:w="4500" w:type="dxa"/>
            <w:tcBorders>
              <w:bottom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cough</w:t>
            </w:r>
          </w:p>
        </w:tc>
        <w:tc>
          <w:tcPr>
            <w:tcW w:w="1440" w:type="dxa"/>
            <w:tcBorders>
              <w:bottom w:val="single" w:sz="4" w:space="0" w:color="auto"/>
            </w:tcBorders>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7</w:t>
            </w:r>
          </w:p>
        </w:tc>
        <w:tc>
          <w:tcPr>
            <w:tcW w:w="1260" w:type="dxa"/>
            <w:tcBorders>
              <w:bottom w:val="single" w:sz="4" w:space="0" w:color="auto"/>
            </w:tcBorders>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6</w:t>
            </w:r>
          </w:p>
        </w:tc>
      </w:tr>
      <w:tr w:rsidR="007929F1" w:rsidRPr="004004FD" w:rsidTr="00433A4B">
        <w:trPr>
          <w:cantSplit/>
        </w:trPr>
        <w:tc>
          <w:tcPr>
            <w:tcW w:w="2088" w:type="dxa"/>
            <w:vMerge w:val="restart"/>
          </w:tcPr>
          <w:p w:rsidR="007929F1" w:rsidRPr="004004FD" w:rsidRDefault="007929F1"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Gastrointestinal disorders</w:t>
            </w:r>
          </w:p>
        </w:tc>
        <w:tc>
          <w:tcPr>
            <w:tcW w:w="4500" w:type="dxa"/>
            <w:tcBorders>
              <w:bottom w:val="single" w:sz="4" w:space="0" w:color="auto"/>
            </w:tcBorders>
          </w:tcPr>
          <w:p w:rsidR="007929F1" w:rsidRPr="004004FD" w:rsidRDefault="007929F1" w:rsidP="0079175C">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nausea and vomiting</w:t>
            </w:r>
          </w:p>
        </w:tc>
        <w:tc>
          <w:tcPr>
            <w:tcW w:w="1440" w:type="dxa"/>
            <w:tcBorders>
              <w:bottom w:val="single" w:sz="4" w:space="0" w:color="auto"/>
            </w:tcBorders>
            <w:vAlign w:val="center"/>
          </w:tcPr>
          <w:p w:rsidR="007929F1" w:rsidRPr="004004FD" w:rsidRDefault="007929F1" w:rsidP="0079175C">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12</w:t>
            </w:r>
          </w:p>
        </w:tc>
        <w:tc>
          <w:tcPr>
            <w:tcW w:w="1260" w:type="dxa"/>
            <w:tcBorders>
              <w:bottom w:val="single" w:sz="4" w:space="0" w:color="auto"/>
            </w:tcBorders>
            <w:vAlign w:val="center"/>
          </w:tcPr>
          <w:p w:rsidR="007929F1" w:rsidRPr="004004FD" w:rsidRDefault="007929F1" w:rsidP="0079175C">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11</w:t>
            </w:r>
          </w:p>
        </w:tc>
      </w:tr>
      <w:tr w:rsidR="007929F1" w:rsidRPr="004004FD" w:rsidTr="00433A4B">
        <w:trPr>
          <w:cantSplit/>
        </w:trPr>
        <w:tc>
          <w:tcPr>
            <w:tcW w:w="2088" w:type="dxa"/>
            <w:vMerge/>
          </w:tcPr>
          <w:p w:rsidR="007929F1" w:rsidRPr="004004FD" w:rsidRDefault="007929F1" w:rsidP="005B3034">
            <w:pPr>
              <w:pStyle w:val="EMEANormal"/>
              <w:widowControl w:val="0"/>
              <w:spacing w:before="60" w:after="100" w:afterAutospacing="1"/>
              <w:rPr>
                <w:rFonts w:ascii="Arial" w:hAnsi="Arial" w:cs="Arial"/>
                <w:sz w:val="18"/>
                <w:szCs w:val="18"/>
                <w:lang w:val="en-GB"/>
              </w:rPr>
            </w:pPr>
          </w:p>
        </w:tc>
        <w:tc>
          <w:tcPr>
            <w:tcW w:w="4500" w:type="dxa"/>
            <w:tcBorders>
              <w:bottom w:val="single" w:sz="4" w:space="0" w:color="auto"/>
            </w:tcBorders>
          </w:tcPr>
          <w:p w:rsidR="007929F1" w:rsidRPr="004004FD" w:rsidRDefault="007929F1"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abdominal pain</w:t>
            </w:r>
          </w:p>
        </w:tc>
        <w:tc>
          <w:tcPr>
            <w:tcW w:w="1440" w:type="dxa"/>
            <w:tcBorders>
              <w:bottom w:val="single" w:sz="4" w:space="0" w:color="auto"/>
            </w:tcBorders>
            <w:vAlign w:val="center"/>
          </w:tcPr>
          <w:p w:rsidR="007929F1" w:rsidRPr="004004FD" w:rsidRDefault="007929F1" w:rsidP="0079175C">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10</w:t>
            </w:r>
          </w:p>
        </w:tc>
        <w:tc>
          <w:tcPr>
            <w:tcW w:w="1260" w:type="dxa"/>
            <w:tcBorders>
              <w:bottom w:val="single" w:sz="4" w:space="0" w:color="auto"/>
            </w:tcBorders>
            <w:vAlign w:val="center"/>
          </w:tcPr>
          <w:p w:rsidR="007929F1" w:rsidRPr="004004FD" w:rsidRDefault="007929F1" w:rsidP="0079175C">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6</w:t>
            </w:r>
          </w:p>
        </w:tc>
      </w:tr>
      <w:tr w:rsidR="007929F1" w:rsidRPr="004004FD" w:rsidTr="00433A4B">
        <w:trPr>
          <w:cantSplit/>
          <w:trHeight w:val="351"/>
        </w:trPr>
        <w:tc>
          <w:tcPr>
            <w:tcW w:w="2088" w:type="dxa"/>
            <w:vMerge/>
          </w:tcPr>
          <w:p w:rsidR="007929F1" w:rsidRPr="004004FD"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4004FD" w:rsidRDefault="007929F1"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sicca syndrome</w:t>
            </w:r>
          </w:p>
        </w:tc>
        <w:tc>
          <w:tcPr>
            <w:tcW w:w="1440" w:type="dxa"/>
            <w:tcBorders>
              <w:top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3</w:t>
            </w:r>
          </w:p>
        </w:tc>
        <w:tc>
          <w:tcPr>
            <w:tcW w:w="1260" w:type="dxa"/>
            <w:tcBorders>
              <w:top w:val="single" w:sz="4" w:space="0" w:color="auto"/>
            </w:tcBorders>
            <w:vAlign w:val="center"/>
          </w:tcPr>
          <w:p w:rsidR="007929F1"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2</w:t>
            </w:r>
          </w:p>
        </w:tc>
      </w:tr>
      <w:tr w:rsidR="007929F1" w:rsidRPr="004004FD" w:rsidTr="00433A4B">
        <w:trPr>
          <w:cantSplit/>
          <w:trHeight w:val="351"/>
        </w:trPr>
        <w:tc>
          <w:tcPr>
            <w:tcW w:w="2088" w:type="dxa"/>
            <w:vMerge/>
          </w:tcPr>
          <w:p w:rsidR="007929F1" w:rsidRPr="004004FD"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7929F1" w:rsidRPr="004004FD" w:rsidRDefault="007929F1" w:rsidP="0079175C">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GI haemorrhage</w:t>
            </w:r>
          </w:p>
        </w:tc>
        <w:tc>
          <w:tcPr>
            <w:tcW w:w="1440" w:type="dxa"/>
            <w:tcBorders>
              <w:top w:val="single" w:sz="4" w:space="0" w:color="auto"/>
            </w:tcBorders>
            <w:vAlign w:val="center"/>
          </w:tcPr>
          <w:p w:rsidR="007929F1" w:rsidRPr="004004FD" w:rsidRDefault="007929F1" w:rsidP="0079175C">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2</w:t>
            </w:r>
          </w:p>
        </w:tc>
        <w:tc>
          <w:tcPr>
            <w:tcW w:w="1260" w:type="dxa"/>
            <w:tcBorders>
              <w:top w:val="single" w:sz="4" w:space="0" w:color="auto"/>
            </w:tcBorders>
            <w:vAlign w:val="center"/>
          </w:tcPr>
          <w:p w:rsidR="007929F1" w:rsidRPr="004004FD" w:rsidRDefault="007929F1" w:rsidP="0079175C">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w:t>
            </w:r>
          </w:p>
        </w:tc>
      </w:tr>
      <w:tr w:rsidR="00B71E25" w:rsidRPr="004004FD" w:rsidTr="00433A4B">
        <w:trPr>
          <w:cantSplit/>
          <w:trHeight w:val="519"/>
        </w:trPr>
        <w:tc>
          <w:tcPr>
            <w:tcW w:w="2088" w:type="dxa"/>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Hepato-biliary disorders</w:t>
            </w:r>
          </w:p>
        </w:tc>
        <w:tc>
          <w:tcPr>
            <w:tcW w:w="4500" w:type="dxa"/>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liver enzymes elevated</w:t>
            </w:r>
          </w:p>
        </w:tc>
        <w:tc>
          <w:tcPr>
            <w:tcW w:w="1440" w:type="dxa"/>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12</w:t>
            </w:r>
          </w:p>
        </w:tc>
        <w:tc>
          <w:tcPr>
            <w:tcW w:w="1260" w:type="dxa"/>
            <w:vAlign w:val="center"/>
          </w:tcPr>
          <w:p w:rsidR="00B71E25" w:rsidRPr="004004FD" w:rsidRDefault="00B71E25"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8</w:t>
            </w:r>
          </w:p>
        </w:tc>
      </w:tr>
      <w:tr w:rsidR="00B71E25" w:rsidRPr="004004FD" w:rsidTr="00433A4B">
        <w:trPr>
          <w:cantSplit/>
        </w:trPr>
        <w:tc>
          <w:tcPr>
            <w:tcW w:w="2088" w:type="dxa"/>
            <w:vMerge w:val="restart"/>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Skin and subcutaneous tissue disorders</w:t>
            </w:r>
          </w:p>
        </w:tc>
        <w:tc>
          <w:tcPr>
            <w:tcW w:w="4500" w:type="dxa"/>
            <w:tcBorders>
              <w:bottom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rash (including exfoliative rash)</w:t>
            </w:r>
          </w:p>
        </w:tc>
        <w:tc>
          <w:tcPr>
            <w:tcW w:w="1440" w:type="dxa"/>
            <w:tcBorders>
              <w:bottom w:val="single" w:sz="4" w:space="0" w:color="auto"/>
            </w:tcBorders>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14</w:t>
            </w:r>
          </w:p>
        </w:tc>
        <w:tc>
          <w:tcPr>
            <w:tcW w:w="1260" w:type="dxa"/>
            <w:tcBorders>
              <w:bottom w:val="single" w:sz="4" w:space="0" w:color="auto"/>
            </w:tcBorders>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7</w:t>
            </w:r>
          </w:p>
        </w:tc>
      </w:tr>
      <w:tr w:rsidR="00B71E25" w:rsidRPr="004004FD" w:rsidTr="00433A4B">
        <w:trPr>
          <w:cantSplit/>
        </w:trPr>
        <w:tc>
          <w:tcPr>
            <w:tcW w:w="2088" w:type="dxa"/>
            <w:vMerge/>
          </w:tcPr>
          <w:p w:rsidR="00B71E25" w:rsidRPr="004004FD"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pruritus</w:t>
            </w:r>
          </w:p>
        </w:tc>
        <w:tc>
          <w:tcPr>
            <w:tcW w:w="1440" w:type="dxa"/>
            <w:tcBorders>
              <w:top w:val="single" w:sz="4" w:space="0" w:color="auto"/>
              <w:bottom w:val="single" w:sz="4" w:space="0" w:color="auto"/>
            </w:tcBorders>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5</w:t>
            </w:r>
          </w:p>
        </w:tc>
        <w:tc>
          <w:tcPr>
            <w:tcW w:w="1260" w:type="dxa"/>
            <w:tcBorders>
              <w:top w:val="single" w:sz="4" w:space="0" w:color="auto"/>
              <w:bottom w:val="single" w:sz="4" w:space="0" w:color="auto"/>
            </w:tcBorders>
            <w:vAlign w:val="center"/>
          </w:tcPr>
          <w:p w:rsidR="00B71E25" w:rsidRPr="004004FD" w:rsidRDefault="00B71E25"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w:t>
            </w:r>
          </w:p>
        </w:tc>
      </w:tr>
      <w:tr w:rsidR="00B71E25" w:rsidRPr="004004FD" w:rsidTr="00433A4B">
        <w:trPr>
          <w:cantSplit/>
        </w:trPr>
        <w:tc>
          <w:tcPr>
            <w:tcW w:w="2088" w:type="dxa"/>
            <w:vMerge/>
          </w:tcPr>
          <w:p w:rsidR="00B71E25" w:rsidRPr="004004FD"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dermatitis (including eczema)</w:t>
            </w:r>
          </w:p>
        </w:tc>
        <w:tc>
          <w:tcPr>
            <w:tcW w:w="1440" w:type="dxa"/>
            <w:tcBorders>
              <w:top w:val="single" w:sz="4" w:space="0" w:color="auto"/>
              <w:bottom w:val="single" w:sz="4" w:space="0" w:color="auto"/>
            </w:tcBorders>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3</w:t>
            </w:r>
          </w:p>
        </w:tc>
        <w:tc>
          <w:tcPr>
            <w:tcW w:w="1260" w:type="dxa"/>
            <w:tcBorders>
              <w:top w:val="single" w:sz="4" w:space="0" w:color="auto"/>
              <w:bottom w:val="single" w:sz="4" w:space="0" w:color="auto"/>
            </w:tcBorders>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w:t>
            </w:r>
          </w:p>
        </w:tc>
      </w:tr>
      <w:tr w:rsidR="00B71E25" w:rsidRPr="004004FD" w:rsidTr="00433A4B">
        <w:trPr>
          <w:cantSplit/>
          <w:trHeight w:val="399"/>
        </w:trPr>
        <w:tc>
          <w:tcPr>
            <w:tcW w:w="2088" w:type="dxa"/>
            <w:vMerge/>
          </w:tcPr>
          <w:p w:rsidR="00B71E25" w:rsidRPr="004004FD"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bruising (including purpura)</w:t>
            </w:r>
          </w:p>
        </w:tc>
        <w:tc>
          <w:tcPr>
            <w:tcW w:w="1440" w:type="dxa"/>
            <w:tcBorders>
              <w:top w:val="single" w:sz="4" w:space="0" w:color="auto"/>
            </w:tcBorders>
            <w:vAlign w:val="center"/>
          </w:tcPr>
          <w:p w:rsidR="00B71E25" w:rsidRPr="004004FD" w:rsidRDefault="00B71E25"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2</w:t>
            </w:r>
          </w:p>
        </w:tc>
        <w:tc>
          <w:tcPr>
            <w:tcW w:w="1260" w:type="dxa"/>
            <w:tcBorders>
              <w:top w:val="single" w:sz="4" w:space="0" w:color="auto"/>
            </w:tcBorders>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0</w:t>
            </w:r>
          </w:p>
        </w:tc>
      </w:tr>
      <w:tr w:rsidR="00B71E25" w:rsidRPr="004004FD" w:rsidTr="00433A4B">
        <w:trPr>
          <w:cantSplit/>
        </w:trPr>
        <w:tc>
          <w:tcPr>
            <w:tcW w:w="2088" w:type="dxa"/>
            <w:vMerge w:val="restart"/>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Musculoskeletal, connective tissue and bone disorders</w:t>
            </w:r>
          </w:p>
        </w:tc>
        <w:tc>
          <w:tcPr>
            <w:tcW w:w="4500" w:type="dxa"/>
            <w:tcBorders>
              <w:bottom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musculoskeletal pain</w:t>
            </w:r>
          </w:p>
        </w:tc>
        <w:tc>
          <w:tcPr>
            <w:tcW w:w="1440" w:type="dxa"/>
            <w:tcBorders>
              <w:bottom w:val="single" w:sz="4" w:space="0" w:color="auto"/>
            </w:tcBorders>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14</w:t>
            </w:r>
          </w:p>
        </w:tc>
        <w:tc>
          <w:tcPr>
            <w:tcW w:w="1260" w:type="dxa"/>
            <w:tcBorders>
              <w:bottom w:val="single" w:sz="4" w:space="0" w:color="auto"/>
            </w:tcBorders>
            <w:vAlign w:val="center"/>
          </w:tcPr>
          <w:p w:rsidR="00B71E25" w:rsidRPr="004004FD" w:rsidRDefault="007929F1"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9</w:t>
            </w:r>
          </w:p>
        </w:tc>
      </w:tr>
      <w:tr w:rsidR="00B71E25" w:rsidRPr="004004FD" w:rsidTr="00433A4B">
        <w:trPr>
          <w:cantSplit/>
          <w:trHeight w:val="531"/>
        </w:trPr>
        <w:tc>
          <w:tcPr>
            <w:tcW w:w="2088" w:type="dxa"/>
            <w:vMerge/>
          </w:tcPr>
          <w:p w:rsidR="00B71E25" w:rsidRPr="004004FD" w:rsidRDefault="00B71E25"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muscle spasms (including blood creatine phosphokinase increased)</w:t>
            </w:r>
          </w:p>
        </w:tc>
        <w:tc>
          <w:tcPr>
            <w:tcW w:w="1440" w:type="dxa"/>
            <w:tcBorders>
              <w:top w:val="single" w:sz="4" w:space="0" w:color="auto"/>
            </w:tcBorders>
            <w:vAlign w:val="center"/>
          </w:tcPr>
          <w:p w:rsidR="00B71E25" w:rsidRPr="004004FD" w:rsidRDefault="003A5C49"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5</w:t>
            </w:r>
          </w:p>
        </w:tc>
        <w:tc>
          <w:tcPr>
            <w:tcW w:w="1260" w:type="dxa"/>
            <w:tcBorders>
              <w:top w:val="single" w:sz="4" w:space="0" w:color="auto"/>
            </w:tcBorders>
            <w:vAlign w:val="center"/>
          </w:tcPr>
          <w:p w:rsidR="00B71E25" w:rsidRPr="004004FD" w:rsidRDefault="00B71E25"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4</w:t>
            </w:r>
          </w:p>
        </w:tc>
      </w:tr>
      <w:tr w:rsidR="00B71E25" w:rsidRPr="004004FD" w:rsidTr="00433A4B">
        <w:trPr>
          <w:cantSplit/>
        </w:trPr>
        <w:tc>
          <w:tcPr>
            <w:tcW w:w="2088" w:type="dxa"/>
            <w:vMerge w:val="restart"/>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 xml:space="preserve">Renal and urinary disorders </w:t>
            </w:r>
          </w:p>
        </w:tc>
        <w:tc>
          <w:tcPr>
            <w:tcW w:w="4500" w:type="dxa"/>
            <w:tcBorders>
              <w:bottom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haematuria</w:t>
            </w:r>
          </w:p>
        </w:tc>
        <w:tc>
          <w:tcPr>
            <w:tcW w:w="1440" w:type="dxa"/>
            <w:tcBorders>
              <w:bottom w:val="single" w:sz="4" w:space="0" w:color="auto"/>
            </w:tcBorders>
            <w:vAlign w:val="center"/>
          </w:tcPr>
          <w:p w:rsidR="00B71E25" w:rsidRPr="004004FD" w:rsidRDefault="003A5C49"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9</w:t>
            </w:r>
          </w:p>
        </w:tc>
        <w:tc>
          <w:tcPr>
            <w:tcW w:w="1260" w:type="dxa"/>
            <w:tcBorders>
              <w:bottom w:val="single" w:sz="4" w:space="0" w:color="auto"/>
            </w:tcBorders>
            <w:vAlign w:val="center"/>
          </w:tcPr>
          <w:p w:rsidR="00B71E25" w:rsidRPr="004004FD" w:rsidRDefault="00B71E25"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4</w:t>
            </w:r>
          </w:p>
        </w:tc>
      </w:tr>
      <w:tr w:rsidR="00B71E25" w:rsidRPr="004004FD" w:rsidTr="00433A4B">
        <w:trPr>
          <w:cantSplit/>
          <w:trHeight w:val="243"/>
        </w:trPr>
        <w:tc>
          <w:tcPr>
            <w:tcW w:w="2088" w:type="dxa"/>
            <w:vMerge/>
          </w:tcPr>
          <w:p w:rsidR="00B71E25" w:rsidRPr="004004FD" w:rsidRDefault="00B71E25"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renal impairment</w:t>
            </w:r>
          </w:p>
        </w:tc>
        <w:tc>
          <w:tcPr>
            <w:tcW w:w="1440" w:type="dxa"/>
            <w:tcBorders>
              <w:top w:val="single" w:sz="4" w:space="0" w:color="auto"/>
            </w:tcBorders>
            <w:vAlign w:val="center"/>
          </w:tcPr>
          <w:p w:rsidR="00B71E25" w:rsidRPr="004004FD" w:rsidRDefault="003A5C49"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8</w:t>
            </w:r>
          </w:p>
        </w:tc>
        <w:tc>
          <w:tcPr>
            <w:tcW w:w="1260" w:type="dxa"/>
            <w:tcBorders>
              <w:top w:val="single" w:sz="4" w:space="0" w:color="auto"/>
            </w:tcBorders>
            <w:vAlign w:val="center"/>
          </w:tcPr>
          <w:p w:rsidR="00B71E25" w:rsidRPr="004004FD" w:rsidRDefault="003A5C49"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4</w:t>
            </w:r>
          </w:p>
        </w:tc>
      </w:tr>
      <w:tr w:rsidR="00B71E25" w:rsidRPr="004004FD" w:rsidTr="00433A4B">
        <w:trPr>
          <w:cantSplit/>
        </w:trPr>
        <w:tc>
          <w:tcPr>
            <w:tcW w:w="2088" w:type="dxa"/>
            <w:vMerge w:val="restart"/>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General disorders and administration site conditions</w:t>
            </w:r>
          </w:p>
        </w:tc>
        <w:tc>
          <w:tcPr>
            <w:tcW w:w="4500" w:type="dxa"/>
            <w:tcBorders>
              <w:bottom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injection site reaction (including injection site erythema)</w:t>
            </w:r>
          </w:p>
        </w:tc>
        <w:tc>
          <w:tcPr>
            <w:tcW w:w="1440" w:type="dxa"/>
            <w:tcBorders>
              <w:bottom w:val="single" w:sz="4" w:space="0" w:color="auto"/>
            </w:tcBorders>
            <w:vAlign w:val="center"/>
          </w:tcPr>
          <w:p w:rsidR="00B71E25" w:rsidRPr="004004FD" w:rsidRDefault="003A5C49"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20</w:t>
            </w:r>
          </w:p>
        </w:tc>
        <w:tc>
          <w:tcPr>
            <w:tcW w:w="1260" w:type="dxa"/>
            <w:tcBorders>
              <w:bottom w:val="single" w:sz="4" w:space="0" w:color="auto"/>
            </w:tcBorders>
            <w:vAlign w:val="center"/>
          </w:tcPr>
          <w:p w:rsidR="00B71E25" w:rsidRPr="004004FD" w:rsidRDefault="003A5C49"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13</w:t>
            </w:r>
          </w:p>
        </w:tc>
      </w:tr>
      <w:tr w:rsidR="00B71E25" w:rsidRPr="004004FD" w:rsidTr="00433A4B">
        <w:trPr>
          <w:cantSplit/>
          <w:trHeight w:val="315"/>
        </w:trPr>
        <w:tc>
          <w:tcPr>
            <w:tcW w:w="2088" w:type="dxa"/>
            <w:vMerge/>
          </w:tcPr>
          <w:p w:rsidR="00B71E25" w:rsidRPr="004004FD"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rsidR="00B71E25" w:rsidRPr="004004FD" w:rsidRDefault="00B71E25"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oedema</w:t>
            </w:r>
          </w:p>
        </w:tc>
        <w:tc>
          <w:tcPr>
            <w:tcW w:w="1440" w:type="dxa"/>
            <w:tcBorders>
              <w:top w:val="single" w:sz="4" w:space="0" w:color="auto"/>
            </w:tcBorders>
            <w:vAlign w:val="center"/>
          </w:tcPr>
          <w:p w:rsidR="00B71E25" w:rsidRPr="004004FD" w:rsidRDefault="003A5C49"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5</w:t>
            </w:r>
          </w:p>
        </w:tc>
        <w:tc>
          <w:tcPr>
            <w:tcW w:w="1260" w:type="dxa"/>
            <w:tcBorders>
              <w:top w:val="single" w:sz="4" w:space="0" w:color="auto"/>
            </w:tcBorders>
            <w:vAlign w:val="center"/>
          </w:tcPr>
          <w:p w:rsidR="00B71E25" w:rsidRPr="004004FD" w:rsidRDefault="003A5C49"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4</w:t>
            </w:r>
          </w:p>
        </w:tc>
      </w:tr>
      <w:tr w:rsidR="00433A4B" w:rsidRPr="004004FD" w:rsidTr="00433A4B">
        <w:trPr>
          <w:trHeight w:val="555"/>
        </w:trPr>
        <w:tc>
          <w:tcPr>
            <w:tcW w:w="2088" w:type="dxa"/>
            <w:vMerge w:val="restart"/>
          </w:tcPr>
          <w:p w:rsidR="00433A4B" w:rsidRPr="004004FD" w:rsidRDefault="00433A4B"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Investigations</w:t>
            </w:r>
          </w:p>
        </w:tc>
        <w:tc>
          <w:tcPr>
            <w:tcW w:w="4500" w:type="dxa"/>
          </w:tcPr>
          <w:p w:rsidR="00433A4B" w:rsidRPr="004004FD" w:rsidRDefault="00433A4B" w:rsidP="005B3034">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coagulation and bleeding disorders (including activated partial thromboplastin time prolonged)</w:t>
            </w:r>
          </w:p>
        </w:tc>
        <w:tc>
          <w:tcPr>
            <w:tcW w:w="1440" w:type="dxa"/>
            <w:vAlign w:val="center"/>
          </w:tcPr>
          <w:p w:rsidR="00433A4B" w:rsidRPr="004004FD" w:rsidRDefault="00433A4B"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9</w:t>
            </w:r>
          </w:p>
        </w:tc>
        <w:tc>
          <w:tcPr>
            <w:tcW w:w="1260" w:type="dxa"/>
            <w:vAlign w:val="center"/>
          </w:tcPr>
          <w:p w:rsidR="00433A4B" w:rsidRPr="004004FD" w:rsidRDefault="00433A4B" w:rsidP="005B3034">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4</w:t>
            </w:r>
          </w:p>
        </w:tc>
      </w:tr>
      <w:tr w:rsidR="00433A4B" w:rsidRPr="004004FD" w:rsidTr="00433A4B">
        <w:trPr>
          <w:trHeight w:val="555"/>
        </w:trPr>
        <w:tc>
          <w:tcPr>
            <w:tcW w:w="2088" w:type="dxa"/>
            <w:vMerge/>
          </w:tcPr>
          <w:p w:rsidR="00433A4B" w:rsidRPr="004004FD" w:rsidRDefault="00433A4B" w:rsidP="005B3034">
            <w:pPr>
              <w:pStyle w:val="EMEANormal"/>
              <w:widowControl w:val="0"/>
              <w:spacing w:before="60" w:after="100" w:afterAutospacing="1"/>
              <w:rPr>
                <w:rFonts w:ascii="Arial" w:hAnsi="Arial" w:cs="Arial"/>
                <w:sz w:val="18"/>
                <w:szCs w:val="18"/>
                <w:lang w:val="en-GB"/>
              </w:rPr>
            </w:pPr>
          </w:p>
        </w:tc>
        <w:tc>
          <w:tcPr>
            <w:tcW w:w="4500" w:type="dxa"/>
          </w:tcPr>
          <w:p w:rsidR="00433A4B" w:rsidRPr="004004FD" w:rsidRDefault="00433A4B" w:rsidP="0079175C">
            <w:pPr>
              <w:pStyle w:val="EMEANormal"/>
              <w:widowControl w:val="0"/>
              <w:spacing w:before="60" w:after="100" w:afterAutospacing="1"/>
              <w:rPr>
                <w:rFonts w:ascii="Arial" w:hAnsi="Arial" w:cs="Arial"/>
                <w:sz w:val="18"/>
                <w:szCs w:val="18"/>
                <w:lang w:val="en-GB"/>
              </w:rPr>
            </w:pPr>
            <w:r w:rsidRPr="004004FD">
              <w:rPr>
                <w:rFonts w:ascii="Arial" w:hAnsi="Arial" w:cs="Arial"/>
                <w:sz w:val="18"/>
                <w:szCs w:val="18"/>
                <w:lang w:val="en-GB"/>
              </w:rPr>
              <w:t>blood lactate dehydrogenase increased</w:t>
            </w:r>
          </w:p>
        </w:tc>
        <w:tc>
          <w:tcPr>
            <w:tcW w:w="1440" w:type="dxa"/>
            <w:vAlign w:val="center"/>
          </w:tcPr>
          <w:p w:rsidR="00433A4B" w:rsidRPr="004004FD" w:rsidRDefault="00433A4B" w:rsidP="0079175C">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2</w:t>
            </w:r>
          </w:p>
        </w:tc>
        <w:tc>
          <w:tcPr>
            <w:tcW w:w="1260" w:type="dxa"/>
            <w:vAlign w:val="center"/>
          </w:tcPr>
          <w:p w:rsidR="00433A4B" w:rsidRPr="004004FD" w:rsidRDefault="00433A4B" w:rsidP="0079175C">
            <w:pPr>
              <w:pStyle w:val="EMEANormal"/>
              <w:widowControl w:val="0"/>
              <w:spacing w:before="60" w:after="100" w:afterAutospacing="1"/>
              <w:jc w:val="center"/>
              <w:rPr>
                <w:rFonts w:ascii="Arial" w:hAnsi="Arial" w:cs="Arial"/>
                <w:sz w:val="18"/>
                <w:szCs w:val="18"/>
                <w:lang w:val="en-GB"/>
              </w:rPr>
            </w:pPr>
            <w:r w:rsidRPr="004004FD">
              <w:rPr>
                <w:rFonts w:ascii="Arial" w:hAnsi="Arial" w:cs="Arial"/>
                <w:sz w:val="18"/>
                <w:szCs w:val="18"/>
                <w:lang w:val="en-GB"/>
              </w:rPr>
              <w:t>1</w:t>
            </w:r>
          </w:p>
        </w:tc>
      </w:tr>
    </w:tbl>
    <w:p w:rsidR="00B71E25" w:rsidRDefault="00B71E25" w:rsidP="00B71E25">
      <w:pPr>
        <w:pStyle w:val="EMEANormal"/>
        <w:rPr>
          <w:sz w:val="20"/>
          <w:lang w:val="en-GB"/>
        </w:rPr>
      </w:pPr>
      <w:r>
        <w:rPr>
          <w:sz w:val="20"/>
          <w:vertAlign w:val="superscript"/>
          <w:lang w:val="en-GB"/>
        </w:rPr>
        <w:t>a)</w:t>
      </w:r>
      <w:r>
        <w:rPr>
          <w:sz w:val="20"/>
          <w:lang w:val="en-GB"/>
        </w:rPr>
        <w:t xml:space="preserve"> MedDRA</w:t>
      </w:r>
    </w:p>
    <w:p w:rsidR="00E44F87" w:rsidRDefault="00E44F87">
      <w:pPr>
        <w:jc w:val="both"/>
        <w:rPr>
          <w:rFonts w:ascii="Arial" w:hAnsi="Arial" w:cs="Arial"/>
          <w:b/>
          <w:bCs/>
          <w:strike/>
          <w:color w:val="FF0000"/>
          <w:sz w:val="20"/>
        </w:rPr>
      </w:pPr>
    </w:p>
    <w:p w:rsidR="00E44F87" w:rsidRDefault="00E44F87">
      <w:pPr>
        <w:autoSpaceDE w:val="0"/>
        <w:autoSpaceDN w:val="0"/>
        <w:adjustRightInd w:val="0"/>
        <w:jc w:val="both"/>
        <w:rPr>
          <w:rFonts w:ascii="Arial" w:hAnsi="Arial"/>
          <w:b/>
          <w:i/>
          <w:sz w:val="20"/>
        </w:rPr>
      </w:pPr>
      <w:r>
        <w:rPr>
          <w:rFonts w:ascii="Arial" w:hAnsi="Arial"/>
          <w:b/>
          <w:i/>
          <w:sz w:val="20"/>
        </w:rPr>
        <w:t>Injection Site Reactions</w:t>
      </w:r>
    </w:p>
    <w:p w:rsidR="00E44F87" w:rsidRDefault="00E44F87">
      <w:pPr>
        <w:autoSpaceDE w:val="0"/>
        <w:autoSpaceDN w:val="0"/>
        <w:adjustRightInd w:val="0"/>
        <w:jc w:val="both"/>
        <w:rPr>
          <w:rFonts w:ascii="Arial" w:hAnsi="Arial"/>
          <w:b/>
          <w:i/>
          <w:sz w:val="20"/>
        </w:rPr>
      </w:pPr>
    </w:p>
    <w:p w:rsidR="00E44F87" w:rsidRPr="004004FD" w:rsidRDefault="00E44F87">
      <w:pPr>
        <w:autoSpaceDE w:val="0"/>
        <w:autoSpaceDN w:val="0"/>
        <w:adjustRightInd w:val="0"/>
        <w:jc w:val="both"/>
        <w:rPr>
          <w:rFonts w:ascii="Arial" w:hAnsi="Arial"/>
          <w:sz w:val="20"/>
        </w:rPr>
      </w:pPr>
      <w:r w:rsidRPr="004004FD">
        <w:rPr>
          <w:rFonts w:ascii="Arial" w:hAnsi="Arial"/>
          <w:sz w:val="20"/>
        </w:rPr>
        <w:t>In th</w:t>
      </w:r>
      <w:r w:rsidR="006213FC">
        <w:rPr>
          <w:rFonts w:ascii="Arial" w:hAnsi="Arial"/>
          <w:sz w:val="20"/>
        </w:rPr>
        <w:t>e pivotal controlled trials</w:t>
      </w:r>
      <w:r w:rsidR="00B9390C">
        <w:rPr>
          <w:rFonts w:ascii="Arial" w:hAnsi="Arial"/>
          <w:sz w:val="20"/>
        </w:rPr>
        <w:t xml:space="preserve"> in adults and children</w:t>
      </w:r>
      <w:r w:rsidR="006213FC">
        <w:rPr>
          <w:rFonts w:ascii="Arial" w:hAnsi="Arial"/>
          <w:sz w:val="20"/>
        </w:rPr>
        <w:t xml:space="preserve">, </w:t>
      </w:r>
      <w:r w:rsidR="00B9390C">
        <w:rPr>
          <w:rFonts w:ascii="Arial" w:hAnsi="Arial"/>
          <w:sz w:val="20"/>
        </w:rPr>
        <w:t>13.6</w:t>
      </w:r>
      <w:r w:rsidRPr="004004FD">
        <w:rPr>
          <w:rFonts w:ascii="Arial" w:hAnsi="Arial"/>
          <w:sz w:val="20"/>
        </w:rPr>
        <w:t xml:space="preserve">% of patients treated with Humira developed injection site reactions (erythema and/or itching, haemorrhage, pain or swelling), compared to </w:t>
      </w:r>
      <w:r w:rsidR="00000D61">
        <w:rPr>
          <w:rFonts w:ascii="Arial" w:hAnsi="Arial"/>
          <w:sz w:val="20"/>
        </w:rPr>
        <w:t>9</w:t>
      </w:r>
      <w:r w:rsidR="00D11603" w:rsidRPr="004004FD">
        <w:rPr>
          <w:rFonts w:ascii="Arial" w:hAnsi="Arial"/>
          <w:sz w:val="20"/>
        </w:rPr>
        <w:t xml:space="preserve"> </w:t>
      </w:r>
      <w:r w:rsidRPr="004004FD">
        <w:rPr>
          <w:rFonts w:ascii="Arial" w:hAnsi="Arial"/>
          <w:sz w:val="20"/>
        </w:rPr>
        <w:t>% of patients receiving control treatments. Most injection site reactions were described as mild and generally did not necessitate drug discontinuation.</w:t>
      </w:r>
    </w:p>
    <w:p w:rsidR="00E44F87" w:rsidRPr="004004FD" w:rsidRDefault="00E44F87">
      <w:pPr>
        <w:autoSpaceDE w:val="0"/>
        <w:autoSpaceDN w:val="0"/>
        <w:adjustRightInd w:val="0"/>
        <w:jc w:val="both"/>
        <w:rPr>
          <w:rFonts w:ascii="Arial" w:hAnsi="Arial"/>
          <w:sz w:val="20"/>
        </w:rPr>
      </w:pPr>
    </w:p>
    <w:p w:rsidR="00E44F87" w:rsidRPr="004004FD" w:rsidRDefault="00E44F87">
      <w:pPr>
        <w:autoSpaceDE w:val="0"/>
        <w:autoSpaceDN w:val="0"/>
        <w:adjustRightInd w:val="0"/>
        <w:jc w:val="both"/>
        <w:rPr>
          <w:rFonts w:ascii="Arial" w:hAnsi="Arial"/>
          <w:b/>
          <w:i/>
          <w:sz w:val="20"/>
        </w:rPr>
      </w:pPr>
      <w:r w:rsidRPr="004004FD">
        <w:rPr>
          <w:rFonts w:ascii="Arial" w:hAnsi="Arial"/>
          <w:b/>
          <w:i/>
          <w:sz w:val="20"/>
        </w:rPr>
        <w:t>Infections</w:t>
      </w:r>
    </w:p>
    <w:p w:rsidR="00E44F87" w:rsidRPr="004004FD" w:rsidRDefault="00E44F87">
      <w:pPr>
        <w:autoSpaceDE w:val="0"/>
        <w:autoSpaceDN w:val="0"/>
        <w:adjustRightInd w:val="0"/>
        <w:jc w:val="both"/>
        <w:rPr>
          <w:rFonts w:ascii="Arial" w:hAnsi="Arial"/>
          <w:b/>
          <w:i/>
          <w:sz w:val="20"/>
        </w:rPr>
      </w:pPr>
    </w:p>
    <w:p w:rsidR="00000D61" w:rsidRDefault="00E44F87">
      <w:pPr>
        <w:pStyle w:val="BodyText1"/>
        <w:tabs>
          <w:tab w:val="clear" w:pos="1152"/>
          <w:tab w:val="clear" w:pos="1872"/>
        </w:tabs>
        <w:spacing w:after="0" w:line="240" w:lineRule="auto"/>
        <w:ind w:left="0"/>
        <w:rPr>
          <w:rFonts w:ascii="Arial" w:hAnsi="Arial" w:cs="Arial"/>
          <w:sz w:val="20"/>
          <w:lang w:val="en-AU"/>
        </w:rPr>
      </w:pPr>
      <w:r w:rsidRPr="004004FD">
        <w:rPr>
          <w:rFonts w:ascii="Arial" w:hAnsi="Arial" w:cs="Arial"/>
          <w:sz w:val="20"/>
          <w:lang w:val="en-AU"/>
        </w:rPr>
        <w:t xml:space="preserve">In </w:t>
      </w:r>
      <w:r w:rsidRPr="004004FD">
        <w:rPr>
          <w:rFonts w:ascii="Arial" w:hAnsi="Arial"/>
          <w:sz w:val="20"/>
          <w:szCs w:val="24"/>
          <w:lang w:val="en-AU"/>
        </w:rPr>
        <w:t>pivotal</w:t>
      </w:r>
      <w:r w:rsidRPr="004004FD">
        <w:rPr>
          <w:rFonts w:ascii="Arial" w:hAnsi="Arial" w:cs="Arial"/>
          <w:sz w:val="20"/>
          <w:lang w:val="en-AU"/>
        </w:rPr>
        <w:t xml:space="preserve"> controlled trials</w:t>
      </w:r>
      <w:r w:rsidR="00B9390C">
        <w:rPr>
          <w:rFonts w:ascii="Arial" w:hAnsi="Arial" w:cs="Arial"/>
          <w:sz w:val="20"/>
          <w:lang w:val="en-AU"/>
        </w:rPr>
        <w:t xml:space="preserve"> in adults and children, the rate of infection was 1.52</w:t>
      </w:r>
      <w:r w:rsidRPr="004004FD">
        <w:rPr>
          <w:rFonts w:ascii="Arial" w:hAnsi="Arial" w:cs="Arial"/>
          <w:sz w:val="20"/>
          <w:lang w:val="en-AU"/>
        </w:rPr>
        <w:t xml:space="preserve"> per patient year in the Humira-treated patients and </w:t>
      </w:r>
      <w:r w:rsidR="00BC0EE3">
        <w:rPr>
          <w:rFonts w:ascii="Arial" w:hAnsi="Arial"/>
          <w:sz w:val="20"/>
          <w:szCs w:val="24"/>
          <w:lang w:val="en-AU"/>
        </w:rPr>
        <w:t>1.45</w:t>
      </w:r>
      <w:r w:rsidRPr="004004FD">
        <w:rPr>
          <w:rFonts w:ascii="Arial" w:hAnsi="Arial" w:cs="Arial"/>
          <w:sz w:val="20"/>
          <w:lang w:val="en-AU"/>
        </w:rPr>
        <w:t xml:space="preserve"> per patient year in the </w:t>
      </w:r>
      <w:r w:rsidRPr="004004FD">
        <w:rPr>
          <w:rFonts w:ascii="Arial" w:hAnsi="Arial"/>
          <w:sz w:val="20"/>
          <w:szCs w:val="24"/>
          <w:lang w:val="en-AU"/>
        </w:rPr>
        <w:t>control</w:t>
      </w:r>
      <w:r w:rsidRPr="004004FD">
        <w:rPr>
          <w:rFonts w:ascii="Arial" w:hAnsi="Arial" w:cs="Arial"/>
          <w:sz w:val="20"/>
          <w:lang w:val="en-AU"/>
        </w:rPr>
        <w:t xml:space="preserve"> treated patients. The infections consisted primarily of upper respiratory tract infections, bronchitis and urinary tract infections.  Most patients continued on Humira after the infection resolved. The incidence of serious infections was 0.04 per patient year in Humira-treated patie</w:t>
      </w:r>
      <w:r w:rsidR="00000D61">
        <w:rPr>
          <w:rFonts w:ascii="Arial" w:hAnsi="Arial" w:cs="Arial"/>
          <w:sz w:val="20"/>
          <w:lang w:val="en-AU"/>
        </w:rPr>
        <w:t>nts and 0.04</w:t>
      </w:r>
      <w:r w:rsidRPr="004004FD">
        <w:rPr>
          <w:rFonts w:ascii="Arial" w:hAnsi="Arial" w:cs="Arial"/>
          <w:sz w:val="20"/>
          <w:lang w:val="en-AU"/>
        </w:rPr>
        <w:t xml:space="preserve"> per patient year in </w:t>
      </w:r>
      <w:r w:rsidRPr="004004FD">
        <w:rPr>
          <w:rFonts w:ascii="Arial" w:hAnsi="Arial"/>
          <w:sz w:val="20"/>
          <w:szCs w:val="24"/>
          <w:lang w:val="en-AU"/>
        </w:rPr>
        <w:t>control</w:t>
      </w:r>
      <w:r w:rsidRPr="004004FD">
        <w:rPr>
          <w:rFonts w:ascii="Arial" w:hAnsi="Arial" w:cs="Arial"/>
          <w:sz w:val="20"/>
          <w:lang w:val="en-AU"/>
        </w:rPr>
        <w:t xml:space="preserve"> treated patients. </w:t>
      </w:r>
    </w:p>
    <w:p w:rsidR="00000D61" w:rsidRDefault="00000D61">
      <w:pPr>
        <w:pStyle w:val="BodyText1"/>
        <w:tabs>
          <w:tab w:val="clear" w:pos="1152"/>
          <w:tab w:val="clear" w:pos="1872"/>
        </w:tabs>
        <w:spacing w:after="0" w:line="240" w:lineRule="auto"/>
        <w:ind w:left="0"/>
        <w:rPr>
          <w:rFonts w:ascii="Arial" w:hAnsi="Arial" w:cs="Arial"/>
          <w:sz w:val="20"/>
          <w:lang w:val="en-AU"/>
        </w:rPr>
      </w:pPr>
    </w:p>
    <w:p w:rsidR="00E44F87" w:rsidRPr="004004FD" w:rsidRDefault="00E44F87">
      <w:pPr>
        <w:pStyle w:val="BodyText1"/>
        <w:tabs>
          <w:tab w:val="clear" w:pos="1152"/>
          <w:tab w:val="clear" w:pos="1872"/>
        </w:tabs>
        <w:spacing w:after="0" w:line="240" w:lineRule="auto"/>
        <w:ind w:left="0"/>
        <w:rPr>
          <w:rFonts w:ascii="Arial" w:hAnsi="Arial" w:cs="Arial"/>
          <w:sz w:val="20"/>
          <w:lang w:val="en-AU"/>
        </w:rPr>
      </w:pPr>
      <w:r w:rsidRPr="004004FD">
        <w:rPr>
          <w:rFonts w:ascii="Arial" w:hAnsi="Arial" w:cs="Arial"/>
          <w:sz w:val="20"/>
          <w:lang w:val="en-AU"/>
        </w:rPr>
        <w:t xml:space="preserve">In the controlled and open label </w:t>
      </w:r>
      <w:r w:rsidR="00000D61">
        <w:rPr>
          <w:rFonts w:ascii="Arial" w:hAnsi="Arial" w:cs="Arial"/>
          <w:sz w:val="20"/>
          <w:lang w:val="en-AU"/>
        </w:rPr>
        <w:t xml:space="preserve">adult and paediatric </w:t>
      </w:r>
      <w:r w:rsidRPr="004004FD">
        <w:rPr>
          <w:rFonts w:ascii="Arial" w:hAnsi="Arial" w:cs="Arial"/>
          <w:sz w:val="20"/>
          <w:lang w:val="en-AU"/>
        </w:rPr>
        <w:t>studies with Humira, serious infections (including fatal infections, which occurred rarely) have been reported, which include reports of tuberculosis (including miliary and extrapulmonary locations) and  invasive opportunistic infections</w:t>
      </w:r>
      <w:r w:rsidR="00000D61">
        <w:rPr>
          <w:rFonts w:ascii="Arial" w:hAnsi="Arial" w:cs="Arial"/>
          <w:sz w:val="20"/>
          <w:lang w:val="en-AU"/>
        </w:rPr>
        <w:t xml:space="preserve"> </w:t>
      </w:r>
      <w:r w:rsidRPr="004004FD">
        <w:rPr>
          <w:rFonts w:ascii="Arial" w:hAnsi="Arial" w:cs="Arial"/>
          <w:sz w:val="20"/>
          <w:lang w:val="en-GB"/>
        </w:rPr>
        <w:t xml:space="preserve">(e.g. disseminated histoplasmosis, pneumocystis carinii pneumonia, aspergillosis and listeriosis). </w:t>
      </w:r>
      <w:r w:rsidRPr="004004FD">
        <w:rPr>
          <w:rFonts w:ascii="Arial" w:hAnsi="Arial"/>
          <w:sz w:val="20"/>
          <w:szCs w:val="24"/>
          <w:lang w:val="en-AU"/>
        </w:rPr>
        <w:t>Most</w:t>
      </w:r>
      <w:r w:rsidR="00B71E25" w:rsidRPr="004004FD">
        <w:rPr>
          <w:rFonts w:ascii="Arial" w:hAnsi="Arial"/>
          <w:sz w:val="20"/>
          <w:szCs w:val="24"/>
          <w:lang w:val="en-AU"/>
        </w:rPr>
        <w:t>, but not all</w:t>
      </w:r>
      <w:r w:rsidRPr="004004FD">
        <w:rPr>
          <w:rFonts w:ascii="Arial" w:hAnsi="Arial"/>
          <w:sz w:val="20"/>
          <w:szCs w:val="24"/>
          <w:lang w:val="en-AU"/>
        </w:rPr>
        <w:t xml:space="preserve"> of the cases of tuberculosis occurred within the first eight months after initiation of therapy and may reflect recrudescence of latent disease</w:t>
      </w:r>
      <w:r w:rsidR="004004FD" w:rsidRPr="004004FD">
        <w:rPr>
          <w:rFonts w:ascii="Arial" w:hAnsi="Arial"/>
          <w:sz w:val="20"/>
          <w:szCs w:val="24"/>
          <w:lang w:val="en-AU"/>
        </w:rPr>
        <w:t>.</w:t>
      </w:r>
    </w:p>
    <w:p w:rsidR="00E44F87" w:rsidRPr="004004FD" w:rsidRDefault="00E44F87">
      <w:pPr>
        <w:autoSpaceDE w:val="0"/>
        <w:autoSpaceDN w:val="0"/>
        <w:adjustRightInd w:val="0"/>
        <w:jc w:val="both"/>
        <w:rPr>
          <w:rFonts w:ascii="Arial" w:hAnsi="Arial"/>
          <w:b/>
          <w:i/>
          <w:sz w:val="20"/>
        </w:rPr>
      </w:pPr>
    </w:p>
    <w:p w:rsidR="00E44F87" w:rsidRPr="004004FD" w:rsidRDefault="00E44F87">
      <w:pPr>
        <w:autoSpaceDE w:val="0"/>
        <w:autoSpaceDN w:val="0"/>
        <w:adjustRightInd w:val="0"/>
        <w:jc w:val="both"/>
        <w:rPr>
          <w:rFonts w:ascii="Arial" w:hAnsi="Arial"/>
          <w:b/>
          <w:i/>
          <w:sz w:val="20"/>
        </w:rPr>
      </w:pPr>
      <w:r w:rsidRPr="004004FD">
        <w:rPr>
          <w:rFonts w:ascii="Arial" w:hAnsi="Arial"/>
          <w:b/>
          <w:i/>
          <w:sz w:val="20"/>
        </w:rPr>
        <w:t>Malignancies</w:t>
      </w:r>
    </w:p>
    <w:p w:rsidR="00E44F87" w:rsidRPr="004004FD" w:rsidRDefault="00E44F87">
      <w:pPr>
        <w:autoSpaceDE w:val="0"/>
        <w:autoSpaceDN w:val="0"/>
        <w:adjustRightInd w:val="0"/>
        <w:jc w:val="both"/>
        <w:rPr>
          <w:rFonts w:ascii="Arial" w:hAnsi="Arial"/>
          <w:b/>
          <w:i/>
          <w:sz w:val="20"/>
        </w:rPr>
      </w:pPr>
    </w:p>
    <w:p w:rsidR="00BC3CC6" w:rsidRDefault="00E44F87">
      <w:pPr>
        <w:autoSpaceDE w:val="0"/>
        <w:autoSpaceDN w:val="0"/>
        <w:adjustRightInd w:val="0"/>
        <w:jc w:val="both"/>
        <w:rPr>
          <w:rFonts w:ascii="Arial" w:hAnsi="Arial" w:cs="Arial"/>
          <w:sz w:val="20"/>
        </w:rPr>
      </w:pPr>
      <w:r w:rsidRPr="004004FD">
        <w:rPr>
          <w:rFonts w:ascii="Arial" w:hAnsi="Arial" w:cs="Arial"/>
          <w:sz w:val="20"/>
        </w:rPr>
        <w:t xml:space="preserve">During the controlled portions of pivotal Humira trials </w:t>
      </w:r>
      <w:r w:rsidR="00BC3CC6">
        <w:rPr>
          <w:rFonts w:ascii="Arial" w:hAnsi="Arial" w:cs="Arial"/>
          <w:sz w:val="20"/>
        </w:rPr>
        <w:t xml:space="preserve">in adults </w:t>
      </w:r>
      <w:r w:rsidRPr="004004FD">
        <w:rPr>
          <w:rFonts w:ascii="Arial" w:hAnsi="Arial" w:cs="Arial"/>
          <w:sz w:val="20"/>
        </w:rPr>
        <w:t>at least 12 weeks in duration in patients with moderately to severely active rheumatoid arthritis, psoriatic arthritis, ankylosing spondylitis, Crohn’s disease</w:t>
      </w:r>
      <w:r w:rsidR="00D11603">
        <w:rPr>
          <w:rFonts w:ascii="Arial" w:hAnsi="Arial" w:cs="Arial"/>
          <w:sz w:val="20"/>
        </w:rPr>
        <w:t>, ulcerative colitis</w:t>
      </w:r>
      <w:r w:rsidRPr="004004FD">
        <w:rPr>
          <w:rFonts w:ascii="Arial" w:hAnsi="Arial" w:cs="Arial"/>
          <w:sz w:val="20"/>
        </w:rPr>
        <w:t xml:space="preserve"> and psoriasis, malignancies, other than lymphoma and non-melanoma skin cancer, were observed at a rate (95% confidence interval) of </w:t>
      </w:r>
      <w:r w:rsidR="00BC3CC6">
        <w:rPr>
          <w:rFonts w:ascii="Arial" w:hAnsi="Arial" w:cs="Arial"/>
          <w:sz w:val="20"/>
          <w:lang w:val="en-GB"/>
        </w:rPr>
        <w:t>6.0 (3.7, 9.8</w:t>
      </w:r>
      <w:r w:rsidR="00D11603" w:rsidRPr="000D0013">
        <w:rPr>
          <w:rFonts w:ascii="Arial" w:hAnsi="Arial" w:cs="Arial"/>
          <w:sz w:val="20"/>
          <w:lang w:val="en-GB"/>
        </w:rPr>
        <w:t xml:space="preserve">) </w:t>
      </w:r>
      <w:r w:rsidRPr="004004FD">
        <w:rPr>
          <w:rFonts w:ascii="Arial" w:hAnsi="Arial" w:cs="Arial"/>
          <w:sz w:val="20"/>
        </w:rPr>
        <w:t xml:space="preserve"> per 1000 patients years among </w:t>
      </w:r>
      <w:r w:rsidR="00BC3CC6">
        <w:rPr>
          <w:rFonts w:ascii="Arial" w:hAnsi="Arial" w:cs="Arial"/>
          <w:sz w:val="20"/>
        </w:rPr>
        <w:t>4622</w:t>
      </w:r>
      <w:r w:rsidR="00863EFB" w:rsidRPr="004004FD">
        <w:rPr>
          <w:rFonts w:ascii="Arial" w:hAnsi="Arial" w:cs="Arial"/>
          <w:sz w:val="20"/>
        </w:rPr>
        <w:t xml:space="preserve"> </w:t>
      </w:r>
      <w:r w:rsidRPr="004004FD">
        <w:rPr>
          <w:rFonts w:ascii="Arial" w:hAnsi="Arial" w:cs="Arial"/>
          <w:sz w:val="20"/>
        </w:rPr>
        <w:t xml:space="preserve">Humira treated patients versus a rate of </w:t>
      </w:r>
      <w:r w:rsidR="00BC3CC6">
        <w:rPr>
          <w:rFonts w:ascii="Arial" w:hAnsi="Arial" w:cs="Arial"/>
          <w:sz w:val="20"/>
          <w:lang w:val="en-GB"/>
        </w:rPr>
        <w:t>5.1 (2.4, 10.7</w:t>
      </w:r>
      <w:r w:rsidR="00D11603" w:rsidRPr="000D0013">
        <w:rPr>
          <w:rFonts w:ascii="Arial" w:hAnsi="Arial" w:cs="Arial"/>
          <w:sz w:val="20"/>
          <w:lang w:val="en-GB"/>
        </w:rPr>
        <w:t>)</w:t>
      </w:r>
      <w:r w:rsidRPr="004004FD">
        <w:rPr>
          <w:rFonts w:ascii="Arial" w:hAnsi="Arial" w:cs="Arial"/>
          <w:sz w:val="20"/>
        </w:rPr>
        <w:t xml:space="preserve"> per 1000 patient years among </w:t>
      </w:r>
      <w:r w:rsidR="00BC3CC6">
        <w:rPr>
          <w:rFonts w:ascii="Arial" w:hAnsi="Arial" w:cs="Arial"/>
          <w:sz w:val="20"/>
        </w:rPr>
        <w:t>2828</w:t>
      </w:r>
      <w:r w:rsidR="00863EFB" w:rsidRPr="004004FD">
        <w:rPr>
          <w:rFonts w:ascii="Arial" w:hAnsi="Arial" w:cs="Arial"/>
          <w:sz w:val="20"/>
        </w:rPr>
        <w:t xml:space="preserve"> </w:t>
      </w:r>
      <w:r w:rsidRPr="004004FD">
        <w:rPr>
          <w:rFonts w:ascii="Arial" w:hAnsi="Arial" w:cs="Arial"/>
          <w:sz w:val="20"/>
        </w:rPr>
        <w:t xml:space="preserve">control patients (median duration of treatment was </w:t>
      </w:r>
      <w:r w:rsidR="00D11603">
        <w:rPr>
          <w:rFonts w:ascii="Arial" w:hAnsi="Arial" w:cs="Arial"/>
          <w:sz w:val="20"/>
        </w:rPr>
        <w:t>5.4</w:t>
      </w:r>
      <w:r w:rsidR="00863EFB" w:rsidRPr="004004FD">
        <w:rPr>
          <w:rFonts w:ascii="Arial" w:hAnsi="Arial" w:cs="Arial"/>
          <w:sz w:val="20"/>
        </w:rPr>
        <w:t xml:space="preserve"> </w:t>
      </w:r>
      <w:r w:rsidRPr="004004FD">
        <w:rPr>
          <w:rFonts w:ascii="Arial" w:hAnsi="Arial" w:cs="Arial"/>
          <w:sz w:val="20"/>
        </w:rPr>
        <w:t xml:space="preserve">months for Humira and </w:t>
      </w:r>
      <w:r w:rsidR="00863EFB">
        <w:rPr>
          <w:rFonts w:ascii="Arial" w:hAnsi="Arial" w:cs="Arial"/>
          <w:sz w:val="20"/>
        </w:rPr>
        <w:t>4.0</w:t>
      </w:r>
      <w:r w:rsidRPr="004004FD">
        <w:rPr>
          <w:rFonts w:ascii="Arial" w:hAnsi="Arial" w:cs="Arial"/>
          <w:sz w:val="20"/>
        </w:rPr>
        <w:t xml:space="preserve"> months for control treated patients). </w:t>
      </w:r>
    </w:p>
    <w:p w:rsidR="00BC3CC6" w:rsidRDefault="00BC3CC6">
      <w:pPr>
        <w:autoSpaceDE w:val="0"/>
        <w:autoSpaceDN w:val="0"/>
        <w:adjustRightInd w:val="0"/>
        <w:jc w:val="both"/>
        <w:rPr>
          <w:rFonts w:ascii="Arial" w:hAnsi="Arial" w:cs="Arial"/>
          <w:sz w:val="20"/>
        </w:rPr>
      </w:pPr>
    </w:p>
    <w:p w:rsidR="002C248B" w:rsidRDefault="00E44F87">
      <w:pPr>
        <w:autoSpaceDE w:val="0"/>
        <w:autoSpaceDN w:val="0"/>
        <w:adjustRightInd w:val="0"/>
        <w:jc w:val="both"/>
        <w:rPr>
          <w:rFonts w:ascii="Arial" w:hAnsi="Arial" w:cs="Arial"/>
          <w:sz w:val="20"/>
        </w:rPr>
      </w:pPr>
      <w:r w:rsidRPr="004004FD">
        <w:rPr>
          <w:rFonts w:ascii="Arial" w:hAnsi="Arial" w:cs="Arial"/>
          <w:sz w:val="20"/>
        </w:rPr>
        <w:t xml:space="preserve">The rate (95% confidence interval) of non-melanoma </w:t>
      </w:r>
      <w:r w:rsidRPr="004004FD">
        <w:rPr>
          <w:rStyle w:val="005"/>
          <w:rFonts w:ascii="Arial" w:hAnsi="Arial"/>
          <w:sz w:val="20"/>
        </w:rPr>
        <w:t xml:space="preserve">(basal cell and squamous cell) </w:t>
      </w:r>
      <w:r w:rsidRPr="004004FD">
        <w:rPr>
          <w:rFonts w:ascii="Arial" w:hAnsi="Arial" w:cs="Arial"/>
          <w:sz w:val="20"/>
        </w:rPr>
        <w:t xml:space="preserve">skin cancers was </w:t>
      </w:r>
      <w:r w:rsidR="00BC3CC6">
        <w:rPr>
          <w:rFonts w:ascii="Arial" w:hAnsi="Arial" w:cs="Arial"/>
          <w:sz w:val="20"/>
          <w:lang w:val="en-GB"/>
        </w:rPr>
        <w:t>9.7 (6.6, 14.3</w:t>
      </w:r>
      <w:r w:rsidR="00D11603" w:rsidRPr="000D0013">
        <w:rPr>
          <w:rFonts w:ascii="Arial" w:hAnsi="Arial" w:cs="Arial"/>
          <w:sz w:val="20"/>
          <w:lang w:val="en-GB"/>
        </w:rPr>
        <w:t>)</w:t>
      </w:r>
      <w:r w:rsidR="00D11603">
        <w:rPr>
          <w:rFonts w:ascii="Arial" w:hAnsi="Arial" w:cs="Arial"/>
          <w:sz w:val="20"/>
        </w:rPr>
        <w:t xml:space="preserve"> </w:t>
      </w:r>
      <w:r w:rsidRPr="004004FD">
        <w:rPr>
          <w:rFonts w:ascii="Arial" w:hAnsi="Arial" w:cs="Arial"/>
          <w:sz w:val="20"/>
        </w:rPr>
        <w:t xml:space="preserve">per 1000 patient years among Humira treated patients and </w:t>
      </w:r>
      <w:r w:rsidR="00BC3CC6">
        <w:rPr>
          <w:rFonts w:ascii="Arial" w:hAnsi="Arial" w:cs="Arial"/>
          <w:sz w:val="20"/>
          <w:lang w:val="en-GB"/>
        </w:rPr>
        <w:t>5.1 (2.4, 10.7</w:t>
      </w:r>
      <w:r w:rsidR="00D11603" w:rsidRPr="000D0013">
        <w:rPr>
          <w:rFonts w:ascii="Arial" w:hAnsi="Arial" w:cs="Arial"/>
          <w:sz w:val="20"/>
          <w:lang w:val="en-GB"/>
        </w:rPr>
        <w:t>)</w:t>
      </w:r>
      <w:r w:rsidRPr="004004FD">
        <w:rPr>
          <w:rFonts w:ascii="Arial" w:hAnsi="Arial" w:cs="Arial"/>
          <w:sz w:val="20"/>
        </w:rPr>
        <w:t xml:space="preserve"> per 1000 patient years among control patients. Of these skin cancers, squamous cell carcinomas occurred at rates (95% confidence interval) of </w:t>
      </w:r>
      <w:r w:rsidR="00BC3CC6">
        <w:rPr>
          <w:rFonts w:ascii="Arial" w:hAnsi="Arial" w:cs="Arial"/>
          <w:sz w:val="20"/>
          <w:lang w:val="en-GB"/>
        </w:rPr>
        <w:t>2.6 (1.2, 5.5</w:t>
      </w:r>
      <w:r w:rsidR="00D11603" w:rsidRPr="000D0013">
        <w:rPr>
          <w:rFonts w:ascii="Arial" w:hAnsi="Arial" w:cs="Arial"/>
          <w:sz w:val="20"/>
          <w:lang w:val="en-GB"/>
        </w:rPr>
        <w:t xml:space="preserve">) </w:t>
      </w:r>
      <w:r w:rsidRPr="004004FD">
        <w:rPr>
          <w:rFonts w:ascii="Arial" w:hAnsi="Arial" w:cs="Arial"/>
          <w:sz w:val="20"/>
        </w:rPr>
        <w:t xml:space="preserve">per 1000 patient years among Humira treated patients and </w:t>
      </w:r>
      <w:r w:rsidR="002C248B">
        <w:rPr>
          <w:rFonts w:ascii="Arial" w:hAnsi="Arial" w:cs="Arial"/>
          <w:sz w:val="20"/>
          <w:lang w:val="en-GB"/>
        </w:rPr>
        <w:t>0.7 (0.1, 5.2</w:t>
      </w:r>
      <w:r w:rsidR="00D11603" w:rsidRPr="000D0013">
        <w:rPr>
          <w:rFonts w:ascii="Arial" w:hAnsi="Arial" w:cs="Arial"/>
          <w:sz w:val="20"/>
          <w:lang w:val="en-GB"/>
        </w:rPr>
        <w:t>)</w:t>
      </w:r>
      <w:r w:rsidRPr="004004FD">
        <w:rPr>
          <w:rFonts w:ascii="Arial" w:hAnsi="Arial" w:cs="Arial"/>
          <w:b/>
          <w:bCs/>
          <w:sz w:val="20"/>
        </w:rPr>
        <w:t xml:space="preserve"> </w:t>
      </w:r>
      <w:r w:rsidRPr="004004FD">
        <w:rPr>
          <w:rFonts w:ascii="Arial" w:hAnsi="Arial" w:cs="Arial"/>
          <w:sz w:val="20"/>
        </w:rPr>
        <w:t xml:space="preserve">per 1000 patient years among control patients. </w:t>
      </w:r>
    </w:p>
    <w:p w:rsidR="002C248B" w:rsidRDefault="002C248B">
      <w:pPr>
        <w:autoSpaceDE w:val="0"/>
        <w:autoSpaceDN w:val="0"/>
        <w:adjustRightInd w:val="0"/>
        <w:jc w:val="both"/>
        <w:rPr>
          <w:rFonts w:ascii="Arial" w:hAnsi="Arial" w:cs="Arial"/>
          <w:sz w:val="20"/>
        </w:rPr>
      </w:pPr>
    </w:p>
    <w:p w:rsidR="00E44F87" w:rsidRPr="004004FD" w:rsidRDefault="00E44F87">
      <w:pPr>
        <w:autoSpaceDE w:val="0"/>
        <w:autoSpaceDN w:val="0"/>
        <w:adjustRightInd w:val="0"/>
        <w:jc w:val="both"/>
        <w:rPr>
          <w:rFonts w:ascii="Arial" w:hAnsi="Arial" w:cs="Arial"/>
          <w:sz w:val="20"/>
        </w:rPr>
      </w:pPr>
      <w:r w:rsidRPr="004004FD">
        <w:rPr>
          <w:rFonts w:ascii="Arial" w:hAnsi="Arial" w:cs="Arial"/>
          <w:sz w:val="20"/>
        </w:rPr>
        <w:t>The rate (95% confidenc</w:t>
      </w:r>
      <w:r w:rsidR="002C248B">
        <w:rPr>
          <w:rFonts w:ascii="Arial" w:hAnsi="Arial" w:cs="Arial"/>
          <w:sz w:val="20"/>
        </w:rPr>
        <w:t>e interval) of lymphomas was 0.7</w:t>
      </w:r>
      <w:r w:rsidRPr="004004FD">
        <w:rPr>
          <w:rFonts w:ascii="Arial" w:hAnsi="Arial" w:cs="Arial"/>
          <w:sz w:val="20"/>
        </w:rPr>
        <w:t xml:space="preserve"> (0.2, </w:t>
      </w:r>
      <w:r w:rsidR="00067BB3">
        <w:rPr>
          <w:rFonts w:ascii="Arial" w:hAnsi="Arial" w:cs="Arial"/>
          <w:sz w:val="20"/>
        </w:rPr>
        <w:t>3.0</w:t>
      </w:r>
      <w:r w:rsidRPr="004004FD">
        <w:rPr>
          <w:rFonts w:ascii="Arial" w:hAnsi="Arial" w:cs="Arial"/>
          <w:sz w:val="20"/>
        </w:rPr>
        <w:t xml:space="preserve">) per 1000 patient years among Humira treated patients and </w:t>
      </w:r>
      <w:r w:rsidR="002C248B">
        <w:rPr>
          <w:rFonts w:ascii="Arial" w:hAnsi="Arial" w:cs="Arial"/>
          <w:sz w:val="20"/>
          <w:lang w:val="en-GB"/>
        </w:rPr>
        <w:t>1.5 (0.4, 5.8</w:t>
      </w:r>
      <w:r w:rsidR="00067BB3" w:rsidRPr="000D0013">
        <w:rPr>
          <w:rFonts w:ascii="Arial" w:hAnsi="Arial" w:cs="Arial"/>
          <w:sz w:val="20"/>
          <w:lang w:val="en-GB"/>
        </w:rPr>
        <w:t xml:space="preserve">) </w:t>
      </w:r>
      <w:r w:rsidRPr="004004FD">
        <w:rPr>
          <w:rFonts w:ascii="Arial" w:hAnsi="Arial" w:cs="Arial"/>
          <w:sz w:val="20"/>
        </w:rPr>
        <w:t>per 1000 patient years among control patients.</w:t>
      </w:r>
    </w:p>
    <w:p w:rsidR="00E44F87" w:rsidRPr="004004FD" w:rsidRDefault="00E44F87">
      <w:pPr>
        <w:jc w:val="both"/>
        <w:rPr>
          <w:rFonts w:ascii="Arial" w:hAnsi="Arial" w:cs="Arial"/>
          <w:strike/>
          <w:sz w:val="20"/>
        </w:rPr>
      </w:pPr>
      <w:r w:rsidRPr="004004FD">
        <w:rPr>
          <w:rFonts w:ascii="Arial" w:hAnsi="Arial" w:cs="Arial"/>
          <w:sz w:val="20"/>
        </w:rPr>
        <w:t xml:space="preserve">When combining controlled portions of these trials and ongoing open label extension studies with a median duration of approximately </w:t>
      </w:r>
      <w:r w:rsidR="00D8687E">
        <w:rPr>
          <w:rFonts w:ascii="Arial" w:hAnsi="Arial" w:cs="Arial"/>
          <w:sz w:val="20"/>
        </w:rPr>
        <w:t>4</w:t>
      </w:r>
      <w:r w:rsidRPr="004004FD">
        <w:rPr>
          <w:rFonts w:ascii="Arial" w:hAnsi="Arial" w:cs="Arial"/>
          <w:sz w:val="20"/>
        </w:rPr>
        <w:t xml:space="preserve"> years including </w:t>
      </w:r>
      <w:r w:rsidR="00D8687E">
        <w:rPr>
          <w:rFonts w:ascii="Arial" w:hAnsi="Arial" w:cs="Arial"/>
          <w:sz w:val="20"/>
        </w:rPr>
        <w:t>5727</w:t>
      </w:r>
      <w:r w:rsidR="00067BB3" w:rsidRPr="004004FD">
        <w:rPr>
          <w:rFonts w:ascii="Arial" w:hAnsi="Arial" w:cs="Arial"/>
          <w:sz w:val="20"/>
        </w:rPr>
        <w:t xml:space="preserve"> </w:t>
      </w:r>
      <w:r w:rsidRPr="004004FD">
        <w:rPr>
          <w:rFonts w:ascii="Arial" w:hAnsi="Arial" w:cs="Arial"/>
          <w:sz w:val="20"/>
        </w:rPr>
        <w:t xml:space="preserve">patients and over </w:t>
      </w:r>
      <w:r w:rsidR="00D8687E">
        <w:rPr>
          <w:rFonts w:ascii="Arial" w:hAnsi="Arial" w:cs="Arial"/>
          <w:sz w:val="20"/>
        </w:rPr>
        <w:t>24568</w:t>
      </w:r>
      <w:r w:rsidR="00067BB3" w:rsidRPr="004004FD">
        <w:rPr>
          <w:rFonts w:ascii="Arial" w:hAnsi="Arial" w:cs="Arial"/>
          <w:sz w:val="20"/>
        </w:rPr>
        <w:t xml:space="preserve"> </w:t>
      </w:r>
      <w:r w:rsidRPr="004004FD">
        <w:rPr>
          <w:rFonts w:ascii="Arial" w:hAnsi="Arial" w:cs="Arial"/>
          <w:sz w:val="20"/>
        </w:rPr>
        <w:t>patient years of therapy, the observed rate of malignancies, other than lymphoma and non-melanoma</w:t>
      </w:r>
      <w:r w:rsidR="00587C83">
        <w:rPr>
          <w:rFonts w:ascii="Arial" w:hAnsi="Arial" w:cs="Arial"/>
          <w:sz w:val="20"/>
        </w:rPr>
        <w:t xml:space="preserve"> skin cancers is approximately </w:t>
      </w:r>
      <w:r w:rsidR="00D8687E">
        <w:rPr>
          <w:rFonts w:ascii="Arial" w:hAnsi="Arial" w:cs="Arial"/>
          <w:sz w:val="20"/>
        </w:rPr>
        <w:t>8.8</w:t>
      </w:r>
      <w:r w:rsidRPr="004004FD">
        <w:rPr>
          <w:rFonts w:ascii="Arial" w:hAnsi="Arial" w:cs="Arial"/>
          <w:sz w:val="20"/>
        </w:rPr>
        <w:t xml:space="preserve"> per 1000 patient years. The observed rate of non-melanoma skin cancers is approximately </w:t>
      </w:r>
      <w:r w:rsidR="00D8687E">
        <w:rPr>
          <w:rFonts w:ascii="Arial" w:hAnsi="Arial" w:cs="Arial"/>
          <w:sz w:val="20"/>
        </w:rPr>
        <w:t xml:space="preserve">10.3 </w:t>
      </w:r>
      <w:r w:rsidRPr="004004FD">
        <w:rPr>
          <w:rFonts w:ascii="Arial" w:hAnsi="Arial" w:cs="Arial"/>
          <w:sz w:val="20"/>
        </w:rPr>
        <w:t xml:space="preserve">per 1000 patient years and the observed rate of lymphomas is approximately </w:t>
      </w:r>
      <w:r w:rsidR="00D8687E">
        <w:rPr>
          <w:rFonts w:ascii="Arial" w:hAnsi="Arial" w:cs="Arial"/>
          <w:sz w:val="20"/>
        </w:rPr>
        <w:t>1.4</w:t>
      </w:r>
      <w:r w:rsidRPr="004004FD">
        <w:rPr>
          <w:rFonts w:ascii="Arial" w:hAnsi="Arial" w:cs="Arial"/>
          <w:sz w:val="20"/>
        </w:rPr>
        <w:t xml:space="preserve"> per 1000 patient years</w:t>
      </w:r>
      <w:r w:rsidR="004004FD" w:rsidRPr="004004FD">
        <w:rPr>
          <w:rFonts w:ascii="Arial" w:hAnsi="Arial" w:cs="Arial"/>
          <w:sz w:val="20"/>
        </w:rPr>
        <w:t>.</w:t>
      </w:r>
    </w:p>
    <w:p w:rsidR="00E44F87" w:rsidRPr="004004FD" w:rsidRDefault="00E44F87">
      <w:pPr>
        <w:autoSpaceDE w:val="0"/>
        <w:autoSpaceDN w:val="0"/>
        <w:adjustRightInd w:val="0"/>
        <w:jc w:val="both"/>
        <w:rPr>
          <w:rFonts w:ascii="Arial" w:hAnsi="Arial" w:cs="Arial"/>
          <w:sz w:val="20"/>
        </w:rPr>
      </w:pPr>
    </w:p>
    <w:p w:rsidR="00D8687E" w:rsidRDefault="00D8687E">
      <w:pPr>
        <w:autoSpaceDE w:val="0"/>
        <w:autoSpaceDN w:val="0"/>
        <w:adjustRightInd w:val="0"/>
        <w:jc w:val="both"/>
        <w:rPr>
          <w:rFonts w:ascii="Arial" w:hAnsi="Arial" w:cs="Arial"/>
          <w:sz w:val="20"/>
        </w:rPr>
      </w:pPr>
      <w:r w:rsidRPr="007E03F9">
        <w:rPr>
          <w:rFonts w:ascii="Arial" w:hAnsi="Arial" w:cs="Arial"/>
          <w:sz w:val="20"/>
        </w:rPr>
        <w:t>In addition, no malignancies were observed in 192</w:t>
      </w:r>
      <w:r>
        <w:rPr>
          <w:rFonts w:ascii="Arial" w:hAnsi="Arial" w:cs="Arial"/>
          <w:sz w:val="20"/>
        </w:rPr>
        <w:t xml:space="preserve"> </w:t>
      </w:r>
      <w:r w:rsidRPr="007E03F9">
        <w:rPr>
          <w:rFonts w:ascii="Arial" w:hAnsi="Arial" w:cs="Arial"/>
          <w:sz w:val="20"/>
        </w:rPr>
        <w:t>paediatric patients with an exposure of 258.9 patient</w:t>
      </w:r>
      <w:r>
        <w:rPr>
          <w:rFonts w:ascii="Arial" w:hAnsi="Arial" w:cs="Arial"/>
          <w:sz w:val="20"/>
        </w:rPr>
        <w:t xml:space="preserve"> </w:t>
      </w:r>
      <w:r w:rsidRPr="007E03F9">
        <w:rPr>
          <w:rFonts w:ascii="Arial" w:hAnsi="Arial" w:cs="Arial"/>
          <w:sz w:val="20"/>
        </w:rPr>
        <w:t>years during a Humira trial in paediatric patients with</w:t>
      </w:r>
      <w:r>
        <w:rPr>
          <w:rFonts w:ascii="Arial" w:hAnsi="Arial" w:cs="Arial"/>
          <w:sz w:val="20"/>
        </w:rPr>
        <w:t xml:space="preserve"> </w:t>
      </w:r>
      <w:r w:rsidRPr="007E03F9">
        <w:rPr>
          <w:rFonts w:ascii="Arial" w:hAnsi="Arial" w:cs="Arial"/>
          <w:sz w:val="20"/>
        </w:rPr>
        <w:t>Crohn</w:t>
      </w:r>
      <w:r>
        <w:rPr>
          <w:rFonts w:ascii="Cambria Math" w:hAnsi="Cambria Math" w:cs="Cambria Math"/>
          <w:sz w:val="20"/>
        </w:rPr>
        <w:t>’</w:t>
      </w:r>
      <w:r w:rsidRPr="007E03F9">
        <w:rPr>
          <w:rFonts w:ascii="Arial" w:hAnsi="Arial" w:cs="Arial"/>
          <w:sz w:val="20"/>
        </w:rPr>
        <w:t>s disease.</w:t>
      </w:r>
    </w:p>
    <w:p w:rsidR="00D8687E" w:rsidRDefault="00D8687E">
      <w:pPr>
        <w:autoSpaceDE w:val="0"/>
        <w:autoSpaceDN w:val="0"/>
        <w:adjustRightInd w:val="0"/>
        <w:jc w:val="both"/>
        <w:rPr>
          <w:rFonts w:ascii="Arial" w:hAnsi="Arial" w:cs="Arial"/>
          <w:sz w:val="20"/>
        </w:rPr>
      </w:pPr>
    </w:p>
    <w:p w:rsidR="00E44F87" w:rsidRPr="004004FD" w:rsidRDefault="00E44F87">
      <w:pPr>
        <w:autoSpaceDE w:val="0"/>
        <w:autoSpaceDN w:val="0"/>
        <w:adjustRightInd w:val="0"/>
        <w:jc w:val="both"/>
        <w:rPr>
          <w:rFonts w:ascii="Arial" w:hAnsi="Arial" w:cs="Arial"/>
          <w:sz w:val="20"/>
        </w:rPr>
      </w:pPr>
      <w:r w:rsidRPr="004004FD">
        <w:rPr>
          <w:rFonts w:ascii="Arial" w:hAnsi="Arial" w:cs="Arial"/>
          <w:sz w:val="20"/>
        </w:rPr>
        <w:t>In post-marketing experience from January 2003, predominantly in patients with rheumatoid arthritis, the reported rate of malignancies other than lymphomas and non-melanoma skin cancers is approximately 1.7 per 1000 patient years. The reported rates for non-melanoma skins cancers and lymphomas are approximately 0.2 and 0.4 per 1000 patient years, respectively.</w:t>
      </w:r>
    </w:p>
    <w:p w:rsidR="00E44F87" w:rsidRPr="004004FD" w:rsidRDefault="00E44F87">
      <w:pPr>
        <w:autoSpaceDE w:val="0"/>
        <w:autoSpaceDN w:val="0"/>
        <w:adjustRightInd w:val="0"/>
        <w:jc w:val="both"/>
        <w:rPr>
          <w:rFonts w:ascii="Arial" w:hAnsi="Arial" w:cs="Arial"/>
          <w:i/>
          <w:sz w:val="20"/>
        </w:rPr>
      </w:pPr>
    </w:p>
    <w:p w:rsidR="00E44F87" w:rsidRPr="004004FD" w:rsidRDefault="00E44F87">
      <w:pPr>
        <w:autoSpaceDE w:val="0"/>
        <w:autoSpaceDN w:val="0"/>
        <w:adjustRightInd w:val="0"/>
        <w:jc w:val="both"/>
        <w:rPr>
          <w:rFonts w:ascii="Arial" w:hAnsi="Arial" w:cs="Arial"/>
          <w:b/>
          <w:sz w:val="20"/>
        </w:rPr>
      </w:pPr>
      <w:r w:rsidRPr="004004FD">
        <w:rPr>
          <w:rFonts w:ascii="Arial" w:hAnsi="Arial" w:cs="Arial"/>
          <w:sz w:val="20"/>
        </w:rPr>
        <w:t xml:space="preserve">Rare post-marketing cases of hepatosplenic T-cell lymphoma have been reported in patients treated with adalimumab (See </w:t>
      </w:r>
      <w:r w:rsidRPr="004004FD">
        <w:rPr>
          <w:rFonts w:ascii="Arial" w:hAnsi="Arial" w:cs="Arial"/>
          <w:b/>
          <w:sz w:val="20"/>
        </w:rPr>
        <w:t>PRECAUTIONS)</w:t>
      </w:r>
    </w:p>
    <w:p w:rsidR="00E44F87" w:rsidRPr="009732CD" w:rsidRDefault="00E44F87">
      <w:pPr>
        <w:autoSpaceDE w:val="0"/>
        <w:autoSpaceDN w:val="0"/>
        <w:adjustRightInd w:val="0"/>
        <w:jc w:val="both"/>
        <w:rPr>
          <w:rFonts w:ascii="Arial" w:hAnsi="Arial"/>
          <w:b/>
          <w:i/>
          <w:sz w:val="20"/>
        </w:rPr>
      </w:pPr>
    </w:p>
    <w:p w:rsidR="00E44F87" w:rsidRPr="009732CD" w:rsidRDefault="00E44F87">
      <w:pPr>
        <w:autoSpaceDE w:val="0"/>
        <w:autoSpaceDN w:val="0"/>
        <w:adjustRightInd w:val="0"/>
        <w:jc w:val="both"/>
        <w:rPr>
          <w:rFonts w:ascii="Arial" w:hAnsi="Arial"/>
          <w:b/>
          <w:i/>
          <w:sz w:val="20"/>
        </w:rPr>
      </w:pPr>
      <w:r w:rsidRPr="009732CD">
        <w:rPr>
          <w:rFonts w:ascii="Arial" w:hAnsi="Arial"/>
          <w:b/>
          <w:i/>
          <w:sz w:val="20"/>
        </w:rPr>
        <w:t>Autoantibodies</w:t>
      </w:r>
    </w:p>
    <w:p w:rsidR="00E44F87" w:rsidRPr="009732CD" w:rsidRDefault="00E44F87">
      <w:pPr>
        <w:autoSpaceDE w:val="0"/>
        <w:autoSpaceDN w:val="0"/>
        <w:adjustRightInd w:val="0"/>
        <w:jc w:val="both"/>
        <w:rPr>
          <w:rFonts w:ascii="Arial" w:hAnsi="Arial"/>
          <w:b/>
          <w:i/>
          <w:sz w:val="20"/>
        </w:rPr>
      </w:pPr>
    </w:p>
    <w:p w:rsidR="00E44F87" w:rsidRPr="009732CD" w:rsidRDefault="00E44F87">
      <w:pPr>
        <w:autoSpaceDE w:val="0"/>
        <w:autoSpaceDN w:val="0"/>
        <w:adjustRightInd w:val="0"/>
        <w:jc w:val="both"/>
        <w:rPr>
          <w:rFonts w:ascii="Arial" w:hAnsi="Arial"/>
          <w:sz w:val="20"/>
        </w:rPr>
      </w:pPr>
      <w:r w:rsidRPr="004004FD">
        <w:rPr>
          <w:rFonts w:ascii="Arial" w:hAnsi="Arial"/>
          <w:sz w:val="20"/>
        </w:rPr>
        <w:t>Patients had serum samples tested for autoantibodies at multiple time points in rheumatoid arthritis studies I – V. In these adequate and well-controlled trials, 11.9% of patients treated with Humira and 8.1% of placebo and active control treated patients that had negative baseline antinuclear antibody titres reported positive titres at Week 24. Two patients out of 3989 treated with Humira in all rheumatoid and psoriatic arthritis, and ankylosing spondylitis studies developed</w:t>
      </w:r>
      <w:r w:rsidRPr="009732CD">
        <w:rPr>
          <w:rFonts w:ascii="Arial" w:hAnsi="Arial"/>
          <w:sz w:val="20"/>
        </w:rPr>
        <w:t xml:space="preserve"> clinical signs suggestive of new-onset lupus-like syndrome. </w:t>
      </w:r>
      <w:r w:rsidRPr="004004FD">
        <w:rPr>
          <w:rFonts w:ascii="Arial" w:hAnsi="Arial"/>
          <w:sz w:val="20"/>
        </w:rPr>
        <w:t>The</w:t>
      </w:r>
      <w:r w:rsidRPr="009732CD">
        <w:rPr>
          <w:rFonts w:ascii="Arial" w:hAnsi="Arial"/>
          <w:sz w:val="20"/>
        </w:rPr>
        <w:t xml:space="preserve"> patients improved following discontinuation of therapy. No patients developed lupus nephritis or central nervous system symptoms. The impact of long-term treatment with Humira on the development of autoimmune diseases is unknown.</w:t>
      </w:r>
    </w:p>
    <w:p w:rsidR="00E44F87" w:rsidRPr="009732CD" w:rsidRDefault="00E44F87">
      <w:pPr>
        <w:autoSpaceDE w:val="0"/>
        <w:autoSpaceDN w:val="0"/>
        <w:adjustRightInd w:val="0"/>
        <w:jc w:val="both"/>
        <w:rPr>
          <w:rFonts w:ascii="Arial" w:hAnsi="Arial"/>
          <w:sz w:val="20"/>
        </w:rPr>
      </w:pPr>
    </w:p>
    <w:p w:rsidR="00E44F87" w:rsidRPr="009732CD" w:rsidRDefault="00E44F87">
      <w:pPr>
        <w:autoSpaceDE w:val="0"/>
        <w:autoSpaceDN w:val="0"/>
        <w:adjustRightInd w:val="0"/>
        <w:rPr>
          <w:rFonts w:ascii="Arial" w:hAnsi="Arial"/>
          <w:b/>
          <w:sz w:val="20"/>
          <w:szCs w:val="20"/>
          <w:lang w:val="en-GB"/>
        </w:rPr>
      </w:pPr>
      <w:r w:rsidRPr="009732CD">
        <w:rPr>
          <w:rFonts w:ascii="Arial" w:hAnsi="Arial"/>
          <w:b/>
          <w:sz w:val="20"/>
          <w:szCs w:val="20"/>
          <w:lang w:val="en-GB"/>
        </w:rPr>
        <w:t>Psoriasis: New-onset and Worsening</w:t>
      </w:r>
    </w:p>
    <w:p w:rsidR="00E44F87" w:rsidRPr="009732CD" w:rsidRDefault="00E44F87">
      <w:pPr>
        <w:autoSpaceDE w:val="0"/>
        <w:autoSpaceDN w:val="0"/>
        <w:adjustRightInd w:val="0"/>
        <w:jc w:val="both"/>
        <w:rPr>
          <w:rFonts w:ascii="Arial" w:hAnsi="Arial"/>
          <w:sz w:val="20"/>
        </w:rPr>
      </w:pPr>
      <w:r w:rsidRPr="009732CD">
        <w:rPr>
          <w:rFonts w:ascii="Arial" w:hAnsi="Arial"/>
          <w:sz w:val="20"/>
          <w:szCs w:val="20"/>
          <w:lang w:val="en-GB"/>
        </w:rPr>
        <w:t>Cases of new onset psoriasis, including pustular psoriasis and palmoplantar psoriasis, and cases of worsening of pre-existing psoriasis have been reported with the use of TNF blockers, including HUMIRA. Many of these patients were taking concomitant immunosuppressants (e.g., MTX, corticosteroids). Some of these patients required hospitalisation. Most patients had improvement of their psoriasis following discontinuation of their TNF blocker. Some patients have had recurrences of the psoriasis when they were re-challenged with a different TNF blocker. Discontinuation of HUMIRA should be considered for severe cases and those that do not improve or that worsen despite topical treatments.</w:t>
      </w:r>
    </w:p>
    <w:p w:rsidR="00974E15" w:rsidRDefault="00974E15">
      <w:pPr>
        <w:autoSpaceDE w:val="0"/>
        <w:autoSpaceDN w:val="0"/>
        <w:adjustRightInd w:val="0"/>
        <w:jc w:val="both"/>
        <w:rPr>
          <w:rFonts w:ascii="Arial" w:hAnsi="Arial"/>
          <w:b/>
          <w:bCs/>
          <w:i/>
          <w:iCs/>
          <w:sz w:val="20"/>
        </w:rPr>
      </w:pPr>
    </w:p>
    <w:p w:rsidR="00E44F87" w:rsidRPr="009732CD" w:rsidRDefault="00E44F87">
      <w:pPr>
        <w:autoSpaceDE w:val="0"/>
        <w:autoSpaceDN w:val="0"/>
        <w:adjustRightInd w:val="0"/>
        <w:jc w:val="both"/>
        <w:rPr>
          <w:rFonts w:ascii="Arial" w:hAnsi="Arial"/>
          <w:b/>
          <w:bCs/>
          <w:i/>
          <w:iCs/>
          <w:sz w:val="20"/>
        </w:rPr>
      </w:pPr>
      <w:r w:rsidRPr="009732CD">
        <w:rPr>
          <w:rFonts w:ascii="Arial" w:hAnsi="Arial"/>
          <w:b/>
          <w:bCs/>
          <w:i/>
          <w:iCs/>
          <w:sz w:val="20"/>
        </w:rPr>
        <w:t>Liver Enzyme Elevations</w:t>
      </w:r>
    </w:p>
    <w:p w:rsidR="00E44F87" w:rsidRPr="009732CD" w:rsidRDefault="00E44F87">
      <w:pPr>
        <w:autoSpaceDE w:val="0"/>
        <w:autoSpaceDN w:val="0"/>
        <w:adjustRightInd w:val="0"/>
        <w:jc w:val="both"/>
        <w:rPr>
          <w:rFonts w:ascii="Arial" w:hAnsi="Arial"/>
          <w:sz w:val="20"/>
        </w:rPr>
      </w:pPr>
    </w:p>
    <w:p w:rsidR="00E44F87" w:rsidRPr="004004FD" w:rsidRDefault="00E44F87">
      <w:pPr>
        <w:pStyle w:val="EMEANormal"/>
        <w:jc w:val="both"/>
        <w:rPr>
          <w:rFonts w:ascii="Arial" w:hAnsi="Arial"/>
          <w:sz w:val="20"/>
          <w:lang w:val="en-AU"/>
        </w:rPr>
      </w:pPr>
      <w:r w:rsidRPr="004004FD">
        <w:rPr>
          <w:rFonts w:ascii="Arial" w:hAnsi="Arial"/>
          <w:i/>
          <w:sz w:val="20"/>
          <w:u w:val="single"/>
        </w:rPr>
        <w:t>Rheumatoid Arthritis clinical trials:</w:t>
      </w:r>
      <w:r w:rsidRPr="004004FD">
        <w:rPr>
          <w:rFonts w:ascii="Arial" w:hAnsi="Arial"/>
          <w:i/>
          <w:sz w:val="20"/>
        </w:rPr>
        <w:t xml:space="preserve"> </w:t>
      </w:r>
      <w:r w:rsidRPr="004004FD">
        <w:rPr>
          <w:rFonts w:ascii="Arial" w:hAnsi="Arial"/>
          <w:sz w:val="20"/>
          <w:lang w:val="en-AU"/>
        </w:rPr>
        <w:t>In controlled rheumatoid arthritis clinical trials (RA Studies I – IV), elevations of ALT were similar in patients receiving adalimumab or placebo. In patients with early rheumatoid arthritis (disease duration of less than 3 years) (RA Study V), elevations of ALT were more common in the combination arm (Humira / methotrexate) compared to the methotrexate monotherapy arm or the Humira monotherapy arm.</w:t>
      </w:r>
    </w:p>
    <w:p w:rsidR="00E44F87" w:rsidRPr="004004FD" w:rsidRDefault="00E44F87">
      <w:pPr>
        <w:pStyle w:val="EMEANormal"/>
        <w:jc w:val="both"/>
        <w:rPr>
          <w:rFonts w:ascii="Arial" w:hAnsi="Arial" w:cs="Arial"/>
          <w:sz w:val="20"/>
          <w:lang w:val="en-AU"/>
        </w:rPr>
      </w:pPr>
    </w:p>
    <w:p w:rsidR="00E44F87" w:rsidRPr="004004FD" w:rsidRDefault="00E44F87">
      <w:pPr>
        <w:autoSpaceDE w:val="0"/>
        <w:autoSpaceDN w:val="0"/>
        <w:adjustRightInd w:val="0"/>
        <w:rPr>
          <w:rFonts w:ascii="ArialMT" w:hAnsi="ArialMT" w:cs="ArialMT"/>
          <w:sz w:val="20"/>
          <w:szCs w:val="20"/>
          <w:lang w:val="en-GB" w:eastAsia="de-DE"/>
        </w:rPr>
      </w:pPr>
      <w:r w:rsidRPr="004004FD">
        <w:rPr>
          <w:rFonts w:ascii="Arial" w:hAnsi="Arial"/>
          <w:i/>
          <w:sz w:val="20"/>
          <w:szCs w:val="20"/>
          <w:u w:val="single"/>
          <w:lang w:val="en-US"/>
        </w:rPr>
        <w:t>Polyarticular Juvenile Idiopathic Arthritis clinical trials:</w:t>
      </w:r>
      <w:r w:rsidRPr="004004FD">
        <w:rPr>
          <w:rFonts w:ascii="Arial" w:hAnsi="Arial" w:cs="Arial"/>
          <w:b/>
          <w:bCs/>
          <w:i/>
          <w:iCs/>
          <w:sz w:val="20"/>
          <w:szCs w:val="20"/>
          <w:lang w:val="en-GB" w:eastAsia="de-DE"/>
        </w:rPr>
        <w:t xml:space="preserve"> </w:t>
      </w:r>
      <w:r w:rsidRPr="004004FD">
        <w:rPr>
          <w:rFonts w:ascii="Arial" w:hAnsi="Arial"/>
          <w:sz w:val="20"/>
        </w:rPr>
        <w:t>In the JIA trial, the few transaminases elevations were small and similar in the placebo and adalimumab exposed patients and mostly occurred in combination with methotrexate</w:t>
      </w:r>
    </w:p>
    <w:p w:rsidR="00E0675E" w:rsidRDefault="00E0675E" w:rsidP="00E0675E">
      <w:pPr>
        <w:pStyle w:val="Heading9"/>
        <w:rPr>
          <w:b w:val="0"/>
          <w:bCs w:val="0"/>
          <w:i/>
          <w:szCs w:val="20"/>
          <w:u w:val="single"/>
          <w:lang w:val="en-US"/>
        </w:rPr>
      </w:pPr>
    </w:p>
    <w:p w:rsidR="00E0675E" w:rsidRPr="009732CD" w:rsidRDefault="00E0675E" w:rsidP="00E0675E">
      <w:pPr>
        <w:pStyle w:val="Heading9"/>
        <w:rPr>
          <w:rFonts w:cs="Arial"/>
          <w:b w:val="0"/>
          <w:bCs w:val="0"/>
        </w:rPr>
      </w:pPr>
      <w:r w:rsidRPr="009732CD">
        <w:rPr>
          <w:b w:val="0"/>
          <w:bCs w:val="0"/>
          <w:i/>
          <w:szCs w:val="20"/>
          <w:u w:val="single"/>
          <w:lang w:val="en-US"/>
        </w:rPr>
        <w:t>Psoriatic Arthritis Clinical Trials:</w:t>
      </w:r>
      <w:r w:rsidRPr="009732CD">
        <w:rPr>
          <w:lang w:val="en-US"/>
        </w:rPr>
        <w:t xml:space="preserve"> </w:t>
      </w:r>
      <w:r w:rsidRPr="009732CD">
        <w:rPr>
          <w:rFonts w:cs="Arial"/>
          <w:b w:val="0"/>
          <w:bCs w:val="0"/>
        </w:rPr>
        <w:t xml:space="preserve">Elevations in ALT were more common in the psoriatic arthritis clinical studies than in rheumatoid arthritis clinical studies.  During approximately 200 patient years of treatment 4.3% of patients had an ALT of ≥3xULN.  In general these elevations were transient, associated with other aetiologies, and resolved while patients continued on Humira.  None were associated with serious sequelae. </w:t>
      </w:r>
    </w:p>
    <w:p w:rsidR="00E0675E" w:rsidRDefault="00E0675E" w:rsidP="00E0675E"/>
    <w:p w:rsidR="003A4A92" w:rsidRPr="00327A60" w:rsidRDefault="003A4A92" w:rsidP="003A4A92">
      <w:pPr>
        <w:rPr>
          <w:rFonts w:ascii="Arial" w:hAnsi="Arial" w:cs="Arial"/>
          <w:sz w:val="20"/>
        </w:rPr>
      </w:pPr>
      <w:r w:rsidRPr="00327A60">
        <w:rPr>
          <w:rFonts w:ascii="Arial" w:hAnsi="Arial"/>
          <w:i/>
          <w:sz w:val="20"/>
          <w:szCs w:val="20"/>
          <w:u w:val="single"/>
          <w:lang w:val="en-US"/>
        </w:rPr>
        <w:t>Paediatric Crohn’s Disease Clinical Trials</w:t>
      </w:r>
      <w:r>
        <w:t xml:space="preserve">: </w:t>
      </w:r>
      <w:r w:rsidRPr="001E11F2">
        <w:rPr>
          <w:rFonts w:ascii="Arial" w:hAnsi="Arial" w:cs="Arial"/>
          <w:sz w:val="20"/>
        </w:rPr>
        <w:t>In the Phase 3 trial of H</w:t>
      </w:r>
      <w:r>
        <w:rPr>
          <w:rFonts w:ascii="Arial" w:hAnsi="Arial" w:cs="Arial"/>
          <w:sz w:val="20"/>
        </w:rPr>
        <w:t>umira</w:t>
      </w:r>
      <w:r w:rsidRPr="00327A60">
        <w:rPr>
          <w:rFonts w:ascii="Arial" w:hAnsi="Arial" w:cs="Arial"/>
          <w:sz w:val="20"/>
        </w:rPr>
        <w:t xml:space="preserve"> in patients with</w:t>
      </w:r>
    </w:p>
    <w:p w:rsidR="003A4A92" w:rsidRDefault="003A4A92" w:rsidP="003A4A92">
      <w:pPr>
        <w:rPr>
          <w:rFonts w:ascii="Arial" w:hAnsi="Arial" w:cs="Arial"/>
          <w:sz w:val="20"/>
        </w:rPr>
      </w:pPr>
      <w:r w:rsidRPr="00327A60">
        <w:rPr>
          <w:rFonts w:ascii="Arial" w:hAnsi="Arial" w:cs="Arial"/>
          <w:sz w:val="20"/>
        </w:rPr>
        <w:lastRenderedPageBreak/>
        <w:t>p</w:t>
      </w:r>
      <w:r>
        <w:rPr>
          <w:rFonts w:ascii="Arial" w:hAnsi="Arial" w:cs="Arial"/>
          <w:sz w:val="20"/>
        </w:rPr>
        <w:t>a</w:t>
      </w:r>
      <w:r w:rsidRPr="00327A60">
        <w:rPr>
          <w:rFonts w:ascii="Arial" w:hAnsi="Arial" w:cs="Arial"/>
          <w:sz w:val="20"/>
        </w:rPr>
        <w:t>ediatric Crohn</w:t>
      </w:r>
      <w:r>
        <w:rPr>
          <w:rFonts w:ascii="Arial" w:hAnsi="Arial" w:cs="Arial"/>
          <w:sz w:val="20"/>
        </w:rPr>
        <w:t>’</w:t>
      </w:r>
      <w:r w:rsidRPr="00327A60">
        <w:rPr>
          <w:rFonts w:ascii="Arial" w:hAnsi="Arial" w:cs="Arial"/>
          <w:sz w:val="20"/>
        </w:rPr>
        <w:t>s disease which evaluated efficacy and</w:t>
      </w:r>
      <w:r>
        <w:rPr>
          <w:rFonts w:ascii="Arial" w:hAnsi="Arial" w:cs="Arial"/>
          <w:sz w:val="20"/>
        </w:rPr>
        <w:t xml:space="preserve"> </w:t>
      </w:r>
      <w:r w:rsidRPr="00327A60">
        <w:rPr>
          <w:rFonts w:ascii="Arial" w:hAnsi="Arial" w:cs="Arial"/>
          <w:sz w:val="20"/>
        </w:rPr>
        <w:t>safety of two body weight adjusted maintenance dose</w:t>
      </w:r>
      <w:r>
        <w:rPr>
          <w:rFonts w:ascii="Arial" w:hAnsi="Arial" w:cs="Arial"/>
          <w:sz w:val="20"/>
        </w:rPr>
        <w:t xml:space="preserve"> </w:t>
      </w:r>
      <w:r w:rsidRPr="00327A60">
        <w:rPr>
          <w:rFonts w:ascii="Arial" w:hAnsi="Arial" w:cs="Arial"/>
          <w:sz w:val="20"/>
        </w:rPr>
        <w:t>regimens following body weight adjusted induction</w:t>
      </w:r>
      <w:r>
        <w:rPr>
          <w:rFonts w:ascii="Arial" w:hAnsi="Arial" w:cs="Arial"/>
          <w:sz w:val="20"/>
        </w:rPr>
        <w:t xml:space="preserve"> </w:t>
      </w:r>
      <w:r w:rsidRPr="00327A60">
        <w:rPr>
          <w:rFonts w:ascii="Arial" w:hAnsi="Arial" w:cs="Arial"/>
          <w:sz w:val="20"/>
        </w:rPr>
        <w:t>therapy up to 52 weeks of treatment, ALT elevations ≥</w:t>
      </w:r>
      <w:r>
        <w:rPr>
          <w:rFonts w:ascii="Arial" w:hAnsi="Arial" w:cs="Arial"/>
          <w:sz w:val="20"/>
        </w:rPr>
        <w:t xml:space="preserve"> </w:t>
      </w:r>
      <w:r w:rsidRPr="00327A60">
        <w:rPr>
          <w:rFonts w:ascii="Arial" w:hAnsi="Arial" w:cs="Arial"/>
          <w:sz w:val="20"/>
        </w:rPr>
        <w:t>3 X ULN occurred in 2.6% of patients all of whom</w:t>
      </w:r>
      <w:r>
        <w:rPr>
          <w:rFonts w:ascii="Arial" w:hAnsi="Arial" w:cs="Arial"/>
          <w:sz w:val="20"/>
        </w:rPr>
        <w:t xml:space="preserve"> </w:t>
      </w:r>
      <w:r w:rsidRPr="00327A60">
        <w:rPr>
          <w:rFonts w:ascii="Arial" w:hAnsi="Arial" w:cs="Arial"/>
          <w:sz w:val="20"/>
        </w:rPr>
        <w:t>were exposed to concomitant immunosuppressants at</w:t>
      </w:r>
      <w:r>
        <w:rPr>
          <w:rFonts w:ascii="Arial" w:hAnsi="Arial" w:cs="Arial"/>
          <w:sz w:val="20"/>
        </w:rPr>
        <w:t xml:space="preserve"> </w:t>
      </w:r>
      <w:r w:rsidRPr="00327A60">
        <w:rPr>
          <w:rFonts w:ascii="Arial" w:hAnsi="Arial" w:cs="Arial"/>
          <w:sz w:val="20"/>
        </w:rPr>
        <w:t>baseline.</w:t>
      </w:r>
    </w:p>
    <w:p w:rsidR="003A4A92" w:rsidRDefault="003A4A92" w:rsidP="004211C1">
      <w:pPr>
        <w:rPr>
          <w:rFonts w:ascii="Arial" w:hAnsi="Arial" w:cs="Arial"/>
          <w:i/>
          <w:iCs/>
          <w:sz w:val="20"/>
          <w:szCs w:val="20"/>
          <w:u w:val="single"/>
          <w:lang w:val="en-GB"/>
        </w:rPr>
      </w:pPr>
    </w:p>
    <w:p w:rsidR="004211C1" w:rsidRPr="002430F3" w:rsidRDefault="006343EB" w:rsidP="004211C1">
      <w:pPr>
        <w:rPr>
          <w:rFonts w:ascii="Arial" w:hAnsi="Arial" w:cs="Arial"/>
          <w:sz w:val="20"/>
          <w:szCs w:val="20"/>
          <w:lang w:val="en-GB"/>
        </w:rPr>
      </w:pPr>
      <w:r>
        <w:rPr>
          <w:rFonts w:ascii="Arial" w:hAnsi="Arial" w:cs="Arial"/>
          <w:i/>
          <w:iCs/>
          <w:sz w:val="20"/>
          <w:szCs w:val="20"/>
          <w:u w:val="single"/>
          <w:lang w:val="en-GB"/>
        </w:rPr>
        <w:t>U</w:t>
      </w:r>
      <w:r w:rsidR="004211C1" w:rsidRPr="002430F3">
        <w:rPr>
          <w:rFonts w:ascii="Arial" w:hAnsi="Arial" w:cs="Arial"/>
          <w:i/>
          <w:iCs/>
          <w:sz w:val="20"/>
          <w:szCs w:val="20"/>
          <w:u w:val="single"/>
          <w:lang w:val="en-GB"/>
        </w:rPr>
        <w:t>lcerative colitis clinical trials:</w:t>
      </w:r>
      <w:r w:rsidR="004211C1" w:rsidRPr="002430F3">
        <w:rPr>
          <w:rFonts w:ascii="Arial" w:hAnsi="Arial" w:cs="Arial"/>
          <w:iCs/>
          <w:sz w:val="20"/>
          <w:szCs w:val="20"/>
          <w:lang w:val="en-GB"/>
        </w:rPr>
        <w:t xml:space="preserve"> </w:t>
      </w:r>
      <w:r w:rsidR="004211C1" w:rsidRPr="002430F3">
        <w:rPr>
          <w:rFonts w:ascii="Arial" w:hAnsi="Arial" w:cs="Arial"/>
          <w:sz w:val="20"/>
          <w:szCs w:val="20"/>
          <w:lang w:val="en-GB"/>
        </w:rPr>
        <w:t>in controlled clinical trials, elevations of ALT were similar in patients receiving adalimumab or placebo.</w:t>
      </w:r>
    </w:p>
    <w:p w:rsidR="00E0675E" w:rsidRPr="004004FD" w:rsidRDefault="00E0675E" w:rsidP="00E0675E">
      <w:pPr>
        <w:rPr>
          <w:rFonts w:ascii="Arial" w:hAnsi="Arial" w:cs="Arial"/>
          <w:sz w:val="20"/>
          <w:szCs w:val="20"/>
          <w:lang w:val="en-GB"/>
        </w:rPr>
      </w:pPr>
      <w:r w:rsidRPr="004004FD">
        <w:rPr>
          <w:rFonts w:ascii="Arial" w:hAnsi="Arial" w:cs="Arial"/>
          <w:sz w:val="20"/>
          <w:szCs w:val="20"/>
          <w:lang w:val="en-GB"/>
        </w:rPr>
        <w:t>In all indications patients with raised ALT were asymptomatic and in most cases elevations were transient and resolved on continued treatment.</w:t>
      </w:r>
    </w:p>
    <w:p w:rsidR="00E44F87" w:rsidRPr="00E0675E" w:rsidRDefault="00E44F87">
      <w:pPr>
        <w:autoSpaceDE w:val="0"/>
        <w:autoSpaceDN w:val="0"/>
        <w:adjustRightInd w:val="0"/>
        <w:jc w:val="both"/>
        <w:rPr>
          <w:rFonts w:ascii="Arial" w:hAnsi="Arial"/>
          <w:sz w:val="20"/>
          <w:lang w:val="en-GB"/>
        </w:rPr>
      </w:pPr>
    </w:p>
    <w:p w:rsidR="009119D0" w:rsidRDefault="009119D0" w:rsidP="009119D0">
      <w:pPr>
        <w:pStyle w:val="Heading9"/>
      </w:pPr>
      <w:r>
        <w:t>Concurrent Treatment with Azathioprine/6-Mercaptopurine</w:t>
      </w:r>
    </w:p>
    <w:p w:rsidR="009119D0" w:rsidRPr="00755E85" w:rsidRDefault="009119D0" w:rsidP="009119D0">
      <w:pPr>
        <w:pStyle w:val="Heading9"/>
        <w:rPr>
          <w:b w:val="0"/>
        </w:rPr>
      </w:pPr>
      <w:r w:rsidRPr="00755E85">
        <w:rPr>
          <w:b w:val="0"/>
        </w:rPr>
        <w:t>In adult Crohn’s disease studies, higher incidences of malignant and serious infection-related adverse events were seen with the combination of Humira and azathioprine/6-mercaptopurine compared with Humira alone.</w:t>
      </w:r>
    </w:p>
    <w:p w:rsidR="009119D0" w:rsidRPr="00755E85" w:rsidRDefault="009119D0" w:rsidP="00755E85"/>
    <w:p w:rsidR="00E44F87" w:rsidRPr="004004FD" w:rsidRDefault="00E44F87">
      <w:pPr>
        <w:pStyle w:val="Heading9"/>
      </w:pPr>
      <w:r w:rsidRPr="004004FD">
        <w:t>Polyarticular Juvenile Idiopathic Arthritis Clinical Trial</w:t>
      </w:r>
    </w:p>
    <w:p w:rsidR="00E44F87" w:rsidRPr="004004FD" w:rsidRDefault="00E44F87">
      <w:pPr>
        <w:pStyle w:val="Heading9"/>
      </w:pPr>
    </w:p>
    <w:p w:rsidR="00E44F87" w:rsidRPr="004004FD" w:rsidRDefault="00E44F87">
      <w:pPr>
        <w:autoSpaceDE w:val="0"/>
        <w:autoSpaceDN w:val="0"/>
        <w:adjustRightInd w:val="0"/>
        <w:jc w:val="both"/>
        <w:rPr>
          <w:rFonts w:ascii="Arial" w:hAnsi="Arial" w:cs="Arial"/>
          <w:sz w:val="20"/>
        </w:rPr>
      </w:pPr>
      <w:r w:rsidRPr="004004FD">
        <w:rPr>
          <w:rFonts w:ascii="Arial" w:hAnsi="Arial" w:cs="Arial"/>
          <w:sz w:val="20"/>
        </w:rPr>
        <w:t>In general, the adverse reactions in paediatric patients were similar in frequency and type to those seen in adult patients. Important findings and differences from adults are discussed in the following paragraphs.</w:t>
      </w:r>
    </w:p>
    <w:p w:rsidR="00E44F87" w:rsidRPr="004004FD" w:rsidRDefault="00E44F87">
      <w:pPr>
        <w:autoSpaceDE w:val="0"/>
        <w:autoSpaceDN w:val="0"/>
        <w:adjustRightInd w:val="0"/>
        <w:jc w:val="both"/>
        <w:rPr>
          <w:rFonts w:ascii="Arial" w:hAnsi="Arial" w:cs="Arial"/>
          <w:sz w:val="20"/>
        </w:rPr>
      </w:pPr>
    </w:p>
    <w:p w:rsidR="00E44F87" w:rsidRPr="004004FD" w:rsidRDefault="00E44F87">
      <w:pPr>
        <w:autoSpaceDE w:val="0"/>
        <w:autoSpaceDN w:val="0"/>
        <w:adjustRightInd w:val="0"/>
        <w:jc w:val="both"/>
        <w:rPr>
          <w:rFonts w:ascii="Arial" w:hAnsi="Arial" w:cs="Arial"/>
          <w:sz w:val="20"/>
        </w:rPr>
      </w:pPr>
      <w:r w:rsidRPr="004004FD">
        <w:rPr>
          <w:rFonts w:ascii="Arial" w:hAnsi="Arial" w:cs="Arial"/>
          <w:sz w:val="20"/>
        </w:rPr>
        <w:t>Humira has been studied in 171 paediatric patients, 4 to 17 years of age, with polyarticular juvenile idiopathic arthritis. Severe adverse reactions reported in the study included neutropenia, streptococcal pharyngitis, increased aminotransferases, herpes zoster, myositis, metrorrhagia, appendicitis. Serious infections were observed in 4% of patients within approximately 2 years of initiation of treatment with Humira and included cases of herpes simplex, pneumonia, urinary tract infection, pharyngitis, and herpes zoster.</w:t>
      </w:r>
    </w:p>
    <w:p w:rsidR="00E44F87" w:rsidRPr="004004FD" w:rsidRDefault="00E44F87">
      <w:pPr>
        <w:autoSpaceDE w:val="0"/>
        <w:autoSpaceDN w:val="0"/>
        <w:adjustRightInd w:val="0"/>
        <w:jc w:val="both"/>
        <w:rPr>
          <w:rFonts w:ascii="Arial" w:hAnsi="Arial" w:cs="Arial"/>
          <w:sz w:val="20"/>
        </w:rPr>
      </w:pPr>
    </w:p>
    <w:p w:rsidR="00E44F87" w:rsidRPr="004004FD" w:rsidRDefault="00E44F87">
      <w:pPr>
        <w:autoSpaceDE w:val="0"/>
        <w:autoSpaceDN w:val="0"/>
        <w:adjustRightInd w:val="0"/>
        <w:jc w:val="both"/>
        <w:rPr>
          <w:rFonts w:ascii="Arial" w:hAnsi="Arial" w:cs="Arial"/>
          <w:sz w:val="20"/>
        </w:rPr>
      </w:pPr>
      <w:r w:rsidRPr="004004FD">
        <w:rPr>
          <w:rFonts w:ascii="Arial" w:hAnsi="Arial" w:cs="Arial"/>
          <w:sz w:val="20"/>
        </w:rPr>
        <w:t>A total of 45% of children experienced an infection while receiving Humira with or without concomitant methotrexate in the first 16 weeks of treatment. The types of infections reported in polyarticular juvenile idiopathic arthritis (JIA) patients were generally similar to those commonly seen in outpatient JIA populations. Upon initiation of treatment, the most common adverse reactions occurring in the paediatric population treated with Humira were injection site pain and injection site reaction (19% and 16%, respectively). A less commonly reported adverse event in children receiving Humira was granuloma annulare which did not lead to discontinuation of Humira treatment.</w:t>
      </w:r>
    </w:p>
    <w:p w:rsidR="00E44F87" w:rsidRPr="004004FD" w:rsidRDefault="00E44F87">
      <w:pPr>
        <w:autoSpaceDE w:val="0"/>
        <w:autoSpaceDN w:val="0"/>
        <w:adjustRightInd w:val="0"/>
        <w:jc w:val="both"/>
        <w:rPr>
          <w:rFonts w:ascii="Arial" w:hAnsi="Arial" w:cs="Arial"/>
          <w:sz w:val="20"/>
        </w:rPr>
      </w:pPr>
    </w:p>
    <w:p w:rsidR="00E44F87" w:rsidRPr="004004FD" w:rsidRDefault="00E44F87">
      <w:pPr>
        <w:autoSpaceDE w:val="0"/>
        <w:autoSpaceDN w:val="0"/>
        <w:adjustRightInd w:val="0"/>
        <w:jc w:val="both"/>
        <w:rPr>
          <w:rFonts w:ascii="Arial" w:hAnsi="Arial" w:cs="Arial"/>
          <w:sz w:val="20"/>
        </w:rPr>
      </w:pPr>
      <w:r w:rsidRPr="004004FD">
        <w:rPr>
          <w:rFonts w:ascii="Arial" w:hAnsi="Arial" w:cs="Arial"/>
          <w:sz w:val="20"/>
        </w:rPr>
        <w:t>In the first 48 weeks of treatment, non-serious hypersensitivity reactions were seen in approximately 6% of children and included primarily localised allergic hypersensitivity reactions and allergic rash. Isolated mild to moderate elevations of liver aminotransferases (ALT more common than AST) were observed in children with polyarticular JIA exposed to Humira alone; liver function tests (LFT) elevations were more frequent among those treated with the combination of Humira and methotrexate. In general, these elevations did not lead to discontinuation of Humira treatment.</w:t>
      </w:r>
    </w:p>
    <w:p w:rsidR="00E44F87" w:rsidRPr="004004FD" w:rsidRDefault="00E44F87">
      <w:pPr>
        <w:autoSpaceDE w:val="0"/>
        <w:autoSpaceDN w:val="0"/>
        <w:adjustRightInd w:val="0"/>
        <w:jc w:val="both"/>
        <w:rPr>
          <w:rFonts w:ascii="Arial" w:hAnsi="Arial" w:cs="Arial"/>
          <w:sz w:val="20"/>
        </w:rPr>
      </w:pPr>
    </w:p>
    <w:p w:rsidR="00E44F87" w:rsidRPr="004004FD" w:rsidRDefault="00E44F87">
      <w:pPr>
        <w:autoSpaceDE w:val="0"/>
        <w:autoSpaceDN w:val="0"/>
        <w:adjustRightInd w:val="0"/>
        <w:jc w:val="both"/>
        <w:rPr>
          <w:rFonts w:ascii="Arial" w:hAnsi="Arial" w:cs="Arial"/>
          <w:sz w:val="20"/>
        </w:rPr>
      </w:pPr>
      <w:r w:rsidRPr="004004FD">
        <w:rPr>
          <w:rFonts w:ascii="Arial" w:hAnsi="Arial" w:cs="Arial"/>
          <w:sz w:val="20"/>
        </w:rPr>
        <w:t xml:space="preserve">In the polyarticular JIA trial, 10% of patients treated with Humira who had negative baseline anti-dsDNA antibodies developed positive titers after 48 weeks of treatment. No patient developed clinical signs of autoimmunity during the clinical trial. </w:t>
      </w:r>
    </w:p>
    <w:p w:rsidR="00E44F87" w:rsidRPr="004004FD" w:rsidRDefault="00E44F87">
      <w:pPr>
        <w:autoSpaceDE w:val="0"/>
        <w:autoSpaceDN w:val="0"/>
        <w:adjustRightInd w:val="0"/>
        <w:jc w:val="both"/>
        <w:rPr>
          <w:rFonts w:ascii="Arial" w:hAnsi="Arial" w:cs="Arial"/>
          <w:sz w:val="20"/>
        </w:rPr>
      </w:pPr>
    </w:p>
    <w:p w:rsidR="00E44F87" w:rsidRPr="004004FD" w:rsidRDefault="00E44F87">
      <w:pPr>
        <w:autoSpaceDE w:val="0"/>
        <w:autoSpaceDN w:val="0"/>
        <w:adjustRightInd w:val="0"/>
        <w:jc w:val="both"/>
        <w:rPr>
          <w:rFonts w:ascii="Arial" w:hAnsi="Arial"/>
          <w:sz w:val="20"/>
        </w:rPr>
      </w:pPr>
      <w:r w:rsidRPr="004004FD">
        <w:rPr>
          <w:rFonts w:ascii="Arial" w:hAnsi="Arial" w:cs="Arial"/>
          <w:sz w:val="20"/>
        </w:rPr>
        <w:t>Approximately 15% of children treated with Humira developed mild-to-moderate elevations of creatine phosphokinase (CPK). Elevations exceeding 5 times the upper limit of normal were observed in several patients. CPK levels decreased or returned to normal in all patients. Most patients were able to continue Humira without interruption</w:t>
      </w:r>
      <w:r w:rsidR="00657DD8" w:rsidRPr="004004FD">
        <w:rPr>
          <w:rFonts w:ascii="Arial" w:hAnsi="Arial"/>
          <w:sz w:val="20"/>
        </w:rPr>
        <w:t xml:space="preserve"> </w:t>
      </w:r>
    </w:p>
    <w:p w:rsidR="00657DD8" w:rsidRPr="009732CD" w:rsidRDefault="00657DD8">
      <w:pPr>
        <w:autoSpaceDE w:val="0"/>
        <w:autoSpaceDN w:val="0"/>
        <w:adjustRightInd w:val="0"/>
        <w:jc w:val="both"/>
        <w:rPr>
          <w:rFonts w:ascii="Arial" w:hAnsi="Arial"/>
          <w:sz w:val="20"/>
        </w:rPr>
      </w:pPr>
    </w:p>
    <w:p w:rsidR="00E44F87" w:rsidRPr="009732CD" w:rsidRDefault="00E44F87">
      <w:pPr>
        <w:pStyle w:val="BodyText"/>
        <w:autoSpaceDE/>
        <w:autoSpaceDN/>
        <w:adjustRightInd/>
        <w:jc w:val="both"/>
        <w:rPr>
          <w:szCs w:val="24"/>
        </w:rPr>
      </w:pPr>
    </w:p>
    <w:p w:rsidR="00E44F87" w:rsidRPr="009732CD" w:rsidRDefault="00E44F87">
      <w:pPr>
        <w:pStyle w:val="Heading9"/>
        <w:jc w:val="left"/>
        <w:rPr>
          <w:b w:val="0"/>
          <w:bCs w:val="0"/>
        </w:rPr>
      </w:pPr>
      <w:r w:rsidRPr="009732CD">
        <w:t>Additional Adverse Reactions from Postmarketing Surveillance or Phase IV Clinical Trials</w:t>
      </w:r>
    </w:p>
    <w:p w:rsidR="00E44F87" w:rsidRPr="009732CD" w:rsidRDefault="00E44F87">
      <w:pPr>
        <w:autoSpaceDE w:val="0"/>
        <w:autoSpaceDN w:val="0"/>
        <w:adjustRightInd w:val="0"/>
        <w:jc w:val="both"/>
        <w:rPr>
          <w:rFonts w:ascii="Arial" w:hAnsi="Arial" w:cs="Arial"/>
          <w:sz w:val="20"/>
        </w:rPr>
      </w:pPr>
    </w:p>
    <w:p w:rsidR="00E44F87" w:rsidRDefault="00E44F87">
      <w:pPr>
        <w:pStyle w:val="Heading3"/>
        <w:jc w:val="both"/>
        <w:rPr>
          <w:b w:val="0"/>
          <w:bCs w:val="0"/>
          <w:u w:val="none"/>
        </w:rPr>
      </w:pPr>
      <w:r w:rsidRPr="009732CD">
        <w:rPr>
          <w:b w:val="0"/>
          <w:bCs w:val="0"/>
          <w:u w:val="none"/>
        </w:rPr>
        <w:t>Adverse events have been reported during post-approval use of Humira.  Because these events are reported voluntarily from a population of uncertain size, it is not always possible to reliably estimate their frequency or establish a causal relationship to Humira exposure.</w:t>
      </w:r>
    </w:p>
    <w:p w:rsidR="00E44F87" w:rsidRDefault="00E44F87">
      <w:pPr>
        <w:autoSpaceDE w:val="0"/>
        <w:autoSpaceDN w:val="0"/>
        <w:adjustRightInd w:val="0"/>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4788"/>
      </w:tblGrid>
      <w:tr w:rsidR="00E44F87" w:rsidRPr="004004FD">
        <w:trPr>
          <w:cantSplit/>
        </w:trPr>
        <w:tc>
          <w:tcPr>
            <w:tcW w:w="9575" w:type="dxa"/>
            <w:gridSpan w:val="2"/>
            <w:tcBorders>
              <w:left w:val="nil"/>
              <w:right w:val="nil"/>
            </w:tcBorders>
          </w:tcPr>
          <w:p w:rsidR="00E44F87" w:rsidRPr="004004FD" w:rsidRDefault="00E44F87">
            <w:pPr>
              <w:pStyle w:val="In-texttable"/>
              <w:rPr>
                <w:b/>
                <w:bCs/>
                <w:sz w:val="20"/>
              </w:rPr>
            </w:pPr>
            <w:r w:rsidRPr="004004FD">
              <w:rPr>
                <w:b/>
                <w:bCs/>
                <w:sz w:val="20"/>
              </w:rPr>
              <w:lastRenderedPageBreak/>
              <w:t xml:space="preserve">Table </w:t>
            </w:r>
            <w:r w:rsidR="008C0F66">
              <w:rPr>
                <w:b/>
                <w:sz w:val="20"/>
                <w:lang w:val="en-GB"/>
              </w:rPr>
              <w:t>26</w:t>
            </w:r>
            <w:r w:rsidRPr="004004FD">
              <w:rPr>
                <w:b/>
                <w:bCs/>
                <w:sz w:val="20"/>
              </w:rPr>
              <w:t>:</w:t>
            </w:r>
            <w:r w:rsidRPr="004004FD">
              <w:rPr>
                <w:b/>
                <w:bCs/>
                <w:sz w:val="20"/>
              </w:rPr>
              <w:tab/>
              <w:t xml:space="preserve">Additional Adverse Reactions from Postmarketing Surveillance or Phase IV </w:t>
            </w:r>
            <w:r w:rsidRPr="004004FD">
              <w:rPr>
                <w:b/>
                <w:bCs/>
                <w:sz w:val="20"/>
              </w:rPr>
              <w:tab/>
            </w:r>
            <w:r w:rsidRPr="004004FD">
              <w:rPr>
                <w:b/>
                <w:bCs/>
                <w:sz w:val="20"/>
              </w:rPr>
              <w:tab/>
              <w:t>Clinical Trials</w:t>
            </w:r>
          </w:p>
        </w:tc>
      </w:tr>
      <w:tr w:rsidR="00E44F87" w:rsidRPr="004004FD">
        <w:tc>
          <w:tcPr>
            <w:tcW w:w="4787" w:type="dxa"/>
            <w:tcBorders>
              <w:left w:val="nil"/>
            </w:tcBorders>
          </w:tcPr>
          <w:p w:rsidR="00E44F87" w:rsidRPr="004004FD" w:rsidRDefault="00E44F87">
            <w:pPr>
              <w:pStyle w:val="In-texttable"/>
              <w:rPr>
                <w:b/>
                <w:bCs/>
                <w:sz w:val="20"/>
              </w:rPr>
            </w:pPr>
            <w:r w:rsidRPr="004004FD">
              <w:rPr>
                <w:b/>
                <w:bCs/>
                <w:sz w:val="20"/>
              </w:rPr>
              <w:t>Body System</w:t>
            </w:r>
          </w:p>
        </w:tc>
        <w:tc>
          <w:tcPr>
            <w:tcW w:w="4788" w:type="dxa"/>
            <w:tcBorders>
              <w:right w:val="nil"/>
            </w:tcBorders>
          </w:tcPr>
          <w:p w:rsidR="00E44F87" w:rsidRPr="004004FD" w:rsidRDefault="00E44F87">
            <w:pPr>
              <w:pStyle w:val="In-texttable"/>
              <w:rPr>
                <w:b/>
                <w:bCs/>
                <w:sz w:val="20"/>
              </w:rPr>
            </w:pPr>
            <w:r w:rsidRPr="004004FD">
              <w:rPr>
                <w:b/>
                <w:bCs/>
                <w:sz w:val="20"/>
              </w:rPr>
              <w:t>Adverse Reaction</w:t>
            </w:r>
          </w:p>
        </w:tc>
      </w:tr>
      <w:tr w:rsidR="005D21E4" w:rsidRPr="004004FD">
        <w:tc>
          <w:tcPr>
            <w:tcW w:w="4787" w:type="dxa"/>
            <w:tcBorders>
              <w:left w:val="nil"/>
            </w:tcBorders>
          </w:tcPr>
          <w:p w:rsidR="005D21E4" w:rsidRPr="004004FD" w:rsidRDefault="005D21E4">
            <w:pPr>
              <w:pStyle w:val="In-texttable"/>
              <w:rPr>
                <w:sz w:val="20"/>
              </w:rPr>
            </w:pPr>
            <w:r w:rsidRPr="004004FD">
              <w:rPr>
                <w:sz w:val="20"/>
              </w:rPr>
              <w:t>Infections and infestations</w:t>
            </w:r>
          </w:p>
        </w:tc>
        <w:tc>
          <w:tcPr>
            <w:tcW w:w="4788" w:type="dxa"/>
            <w:tcBorders>
              <w:right w:val="nil"/>
            </w:tcBorders>
          </w:tcPr>
          <w:p w:rsidR="005D21E4" w:rsidRPr="004004FD" w:rsidRDefault="005D21E4">
            <w:pPr>
              <w:pStyle w:val="In-texttable"/>
              <w:rPr>
                <w:sz w:val="20"/>
              </w:rPr>
            </w:pPr>
            <w:r w:rsidRPr="004004FD">
              <w:rPr>
                <w:sz w:val="20"/>
              </w:rPr>
              <w:t>Diverticulitis</w:t>
            </w:r>
          </w:p>
        </w:tc>
      </w:tr>
      <w:tr w:rsidR="00E44F87" w:rsidRPr="004004FD">
        <w:tc>
          <w:tcPr>
            <w:tcW w:w="4787" w:type="dxa"/>
            <w:tcBorders>
              <w:left w:val="nil"/>
            </w:tcBorders>
          </w:tcPr>
          <w:p w:rsidR="00E44F87" w:rsidRPr="004004FD" w:rsidRDefault="00E44F87">
            <w:pPr>
              <w:pStyle w:val="In-texttable"/>
              <w:rPr>
                <w:sz w:val="20"/>
              </w:rPr>
            </w:pPr>
            <w:r w:rsidRPr="004004FD">
              <w:rPr>
                <w:sz w:val="20"/>
              </w:rPr>
              <w:t xml:space="preserve">Neoplasms benign, malignant </w:t>
            </w:r>
            <w:r w:rsidRPr="004004FD">
              <w:rPr>
                <w:sz w:val="20"/>
                <w:lang w:val="en-GB"/>
              </w:rPr>
              <w:t>and unspecified (including cysts and polyps)</w:t>
            </w:r>
          </w:p>
        </w:tc>
        <w:tc>
          <w:tcPr>
            <w:tcW w:w="4788" w:type="dxa"/>
            <w:tcBorders>
              <w:right w:val="nil"/>
            </w:tcBorders>
          </w:tcPr>
          <w:p w:rsidR="00E44F87" w:rsidRPr="004004FD" w:rsidRDefault="00E44F87">
            <w:pPr>
              <w:pStyle w:val="In-texttable"/>
              <w:rPr>
                <w:sz w:val="20"/>
              </w:rPr>
            </w:pPr>
            <w:r w:rsidRPr="004004FD">
              <w:rPr>
                <w:sz w:val="20"/>
              </w:rPr>
              <w:t>Hepatosplenic T-cell lymphoma</w:t>
            </w:r>
            <w:r w:rsidR="005D21E4" w:rsidRPr="004004FD">
              <w:rPr>
                <w:sz w:val="20"/>
              </w:rPr>
              <w:t>, leukaemia</w:t>
            </w:r>
            <w:r w:rsidR="00A41AD4">
              <w:rPr>
                <w:sz w:val="20"/>
              </w:rPr>
              <w:t>, Merkel Cell Carcinoma (neuroendocrine carcinoma of the skin)</w:t>
            </w:r>
          </w:p>
        </w:tc>
      </w:tr>
      <w:tr w:rsidR="00E44F87" w:rsidRPr="004004FD">
        <w:tc>
          <w:tcPr>
            <w:tcW w:w="4787" w:type="dxa"/>
            <w:tcBorders>
              <w:left w:val="nil"/>
            </w:tcBorders>
          </w:tcPr>
          <w:p w:rsidR="00E44F87" w:rsidRPr="004004FD" w:rsidRDefault="00E44F87">
            <w:pPr>
              <w:pStyle w:val="In-texttable"/>
              <w:rPr>
                <w:sz w:val="20"/>
              </w:rPr>
            </w:pPr>
            <w:r w:rsidRPr="004004FD">
              <w:rPr>
                <w:sz w:val="20"/>
              </w:rPr>
              <w:t>Immune system disorders</w:t>
            </w:r>
          </w:p>
        </w:tc>
        <w:tc>
          <w:tcPr>
            <w:tcW w:w="4788" w:type="dxa"/>
            <w:tcBorders>
              <w:right w:val="nil"/>
            </w:tcBorders>
          </w:tcPr>
          <w:p w:rsidR="00E44F87" w:rsidRPr="004004FD" w:rsidRDefault="00E44F87">
            <w:pPr>
              <w:pStyle w:val="In-texttable"/>
              <w:rPr>
                <w:sz w:val="20"/>
              </w:rPr>
            </w:pPr>
            <w:r w:rsidRPr="004004FD">
              <w:rPr>
                <w:sz w:val="20"/>
              </w:rPr>
              <w:t>Anaphylaxis</w:t>
            </w:r>
            <w:r w:rsidR="004004FD" w:rsidRPr="004004FD">
              <w:rPr>
                <w:sz w:val="20"/>
              </w:rPr>
              <w:t xml:space="preserve">, </w:t>
            </w:r>
            <w:r w:rsidR="002E6950" w:rsidRPr="004004FD">
              <w:rPr>
                <w:sz w:val="20"/>
              </w:rPr>
              <w:t>sarcoidosis</w:t>
            </w:r>
          </w:p>
        </w:tc>
      </w:tr>
      <w:tr w:rsidR="00E44F87" w:rsidRPr="004004FD">
        <w:tc>
          <w:tcPr>
            <w:tcW w:w="4787" w:type="dxa"/>
            <w:tcBorders>
              <w:left w:val="nil"/>
            </w:tcBorders>
          </w:tcPr>
          <w:p w:rsidR="00E44F87" w:rsidRPr="004004FD" w:rsidRDefault="00E44F87">
            <w:pPr>
              <w:pStyle w:val="In-texttable"/>
              <w:rPr>
                <w:sz w:val="20"/>
              </w:rPr>
            </w:pPr>
            <w:r w:rsidRPr="004004FD">
              <w:rPr>
                <w:sz w:val="20"/>
              </w:rPr>
              <w:t>Nervous System Disorders</w:t>
            </w:r>
          </w:p>
        </w:tc>
        <w:tc>
          <w:tcPr>
            <w:tcW w:w="4788" w:type="dxa"/>
            <w:tcBorders>
              <w:right w:val="nil"/>
            </w:tcBorders>
          </w:tcPr>
          <w:p w:rsidR="00E44F87" w:rsidRPr="004004FD" w:rsidRDefault="00E44F87">
            <w:pPr>
              <w:pStyle w:val="In-texttable"/>
              <w:rPr>
                <w:sz w:val="20"/>
              </w:rPr>
            </w:pPr>
            <w:r w:rsidRPr="004004FD">
              <w:rPr>
                <w:sz w:val="20"/>
              </w:rPr>
              <w:t>Cerebrovascular accident,</w:t>
            </w:r>
            <w:r w:rsidRPr="004004FD">
              <w:rPr>
                <w:sz w:val="20"/>
                <w:lang w:val="fr-FR"/>
              </w:rPr>
              <w:t xml:space="preserve"> </w:t>
            </w:r>
            <w:r w:rsidRPr="004004FD">
              <w:rPr>
                <w:sz w:val="20"/>
              </w:rPr>
              <w:t>Demyelinating disorders, (e.g. optic neuritis, Guillain-Barr</w:t>
            </w:r>
            <w:r w:rsidRPr="004004FD">
              <w:rPr>
                <w:rFonts w:cs="Arial"/>
                <w:sz w:val="20"/>
              </w:rPr>
              <w:t>é</w:t>
            </w:r>
            <w:r w:rsidRPr="004004FD">
              <w:rPr>
                <w:sz w:val="20"/>
              </w:rPr>
              <w:t xml:space="preserve"> syndrome)</w:t>
            </w:r>
          </w:p>
        </w:tc>
      </w:tr>
      <w:tr w:rsidR="00E44F87" w:rsidRPr="004004FD">
        <w:tc>
          <w:tcPr>
            <w:tcW w:w="4787" w:type="dxa"/>
            <w:tcBorders>
              <w:left w:val="nil"/>
            </w:tcBorders>
          </w:tcPr>
          <w:p w:rsidR="00E44F87" w:rsidRPr="004004FD" w:rsidRDefault="00E44F87">
            <w:pPr>
              <w:pStyle w:val="In-texttable"/>
              <w:rPr>
                <w:sz w:val="20"/>
              </w:rPr>
            </w:pPr>
            <w:r w:rsidRPr="004004FD">
              <w:rPr>
                <w:sz w:val="20"/>
              </w:rPr>
              <w:t>Cardiac disorders</w:t>
            </w:r>
          </w:p>
        </w:tc>
        <w:tc>
          <w:tcPr>
            <w:tcW w:w="4788" w:type="dxa"/>
            <w:tcBorders>
              <w:right w:val="nil"/>
            </w:tcBorders>
          </w:tcPr>
          <w:p w:rsidR="00E44F87" w:rsidRPr="004004FD" w:rsidRDefault="00E44F87">
            <w:pPr>
              <w:pStyle w:val="In-texttable"/>
              <w:rPr>
                <w:sz w:val="20"/>
              </w:rPr>
            </w:pPr>
            <w:r w:rsidRPr="004004FD">
              <w:rPr>
                <w:sz w:val="20"/>
              </w:rPr>
              <w:t>Myocardial infarction</w:t>
            </w:r>
          </w:p>
        </w:tc>
      </w:tr>
      <w:tr w:rsidR="00E44F87" w:rsidRPr="004004FD">
        <w:tc>
          <w:tcPr>
            <w:tcW w:w="4787" w:type="dxa"/>
            <w:tcBorders>
              <w:left w:val="nil"/>
            </w:tcBorders>
          </w:tcPr>
          <w:p w:rsidR="00E44F87" w:rsidRPr="004004FD" w:rsidRDefault="00E44F87">
            <w:pPr>
              <w:pStyle w:val="In-texttable"/>
              <w:rPr>
                <w:sz w:val="20"/>
              </w:rPr>
            </w:pPr>
            <w:r w:rsidRPr="004004FD">
              <w:rPr>
                <w:sz w:val="20"/>
              </w:rPr>
              <w:t>Respiratory, thoracic and mediastinal disorders</w:t>
            </w:r>
          </w:p>
        </w:tc>
        <w:tc>
          <w:tcPr>
            <w:tcW w:w="4788" w:type="dxa"/>
            <w:tcBorders>
              <w:right w:val="nil"/>
            </w:tcBorders>
          </w:tcPr>
          <w:p w:rsidR="00E44F87" w:rsidRPr="004004FD" w:rsidRDefault="00E662EC">
            <w:pPr>
              <w:pStyle w:val="In-texttable"/>
              <w:rPr>
                <w:strike/>
                <w:sz w:val="20"/>
              </w:rPr>
            </w:pPr>
            <w:r w:rsidRPr="004004FD">
              <w:rPr>
                <w:sz w:val="20"/>
              </w:rPr>
              <w:t>P</w:t>
            </w:r>
            <w:r w:rsidR="005D21E4" w:rsidRPr="004004FD">
              <w:rPr>
                <w:sz w:val="20"/>
              </w:rPr>
              <w:t xml:space="preserve">ulmonary embolism, </w:t>
            </w:r>
            <w:r w:rsidRPr="004004FD">
              <w:rPr>
                <w:sz w:val="20"/>
              </w:rPr>
              <w:t xml:space="preserve">pulmonary fibrosis, </w:t>
            </w:r>
            <w:r w:rsidR="005D21E4" w:rsidRPr="004004FD">
              <w:rPr>
                <w:sz w:val="20"/>
              </w:rPr>
              <w:t>pleural effusion</w:t>
            </w:r>
          </w:p>
        </w:tc>
      </w:tr>
      <w:tr w:rsidR="00E44F87" w:rsidRPr="004004FD">
        <w:tc>
          <w:tcPr>
            <w:tcW w:w="4787" w:type="dxa"/>
            <w:tcBorders>
              <w:left w:val="nil"/>
            </w:tcBorders>
          </w:tcPr>
          <w:p w:rsidR="00E44F87" w:rsidRPr="004004FD" w:rsidRDefault="00E44F87">
            <w:pPr>
              <w:pStyle w:val="In-texttable"/>
              <w:rPr>
                <w:sz w:val="20"/>
              </w:rPr>
            </w:pPr>
            <w:r w:rsidRPr="004004FD">
              <w:rPr>
                <w:sz w:val="20"/>
              </w:rPr>
              <w:t>Gastrointestinal Disorders</w:t>
            </w:r>
          </w:p>
        </w:tc>
        <w:tc>
          <w:tcPr>
            <w:tcW w:w="4788" w:type="dxa"/>
            <w:tcBorders>
              <w:right w:val="nil"/>
            </w:tcBorders>
          </w:tcPr>
          <w:p w:rsidR="00E44F87" w:rsidRPr="004004FD" w:rsidRDefault="00E44F87">
            <w:pPr>
              <w:pStyle w:val="In-texttable"/>
              <w:rPr>
                <w:sz w:val="20"/>
              </w:rPr>
            </w:pPr>
            <w:r w:rsidRPr="004004FD">
              <w:rPr>
                <w:sz w:val="20"/>
              </w:rPr>
              <w:t>Intestinal perforation</w:t>
            </w:r>
          </w:p>
        </w:tc>
      </w:tr>
      <w:tr w:rsidR="00E44F87" w:rsidRPr="004004FD">
        <w:tc>
          <w:tcPr>
            <w:tcW w:w="4787" w:type="dxa"/>
            <w:tcBorders>
              <w:left w:val="nil"/>
            </w:tcBorders>
          </w:tcPr>
          <w:p w:rsidR="00E44F87" w:rsidRPr="004004FD" w:rsidRDefault="00E44F87">
            <w:pPr>
              <w:pStyle w:val="In-texttable"/>
              <w:rPr>
                <w:sz w:val="20"/>
              </w:rPr>
            </w:pPr>
            <w:r w:rsidRPr="004004FD">
              <w:rPr>
                <w:sz w:val="20"/>
              </w:rPr>
              <w:t>Hepato-biliary disorders</w:t>
            </w:r>
          </w:p>
        </w:tc>
        <w:tc>
          <w:tcPr>
            <w:tcW w:w="4788" w:type="dxa"/>
            <w:tcBorders>
              <w:right w:val="nil"/>
            </w:tcBorders>
          </w:tcPr>
          <w:p w:rsidR="00E44F87" w:rsidRPr="004004FD" w:rsidRDefault="00E44F87">
            <w:pPr>
              <w:pStyle w:val="In-texttable"/>
              <w:rPr>
                <w:sz w:val="20"/>
              </w:rPr>
            </w:pPr>
            <w:r w:rsidRPr="004004FD">
              <w:rPr>
                <w:sz w:val="20"/>
              </w:rPr>
              <w:t>Reactivation of hepatitis B</w:t>
            </w:r>
            <w:r w:rsidR="005B7FF8">
              <w:rPr>
                <w:sz w:val="20"/>
              </w:rPr>
              <w:t>, liver failure</w:t>
            </w:r>
            <w:r w:rsidR="00720114">
              <w:rPr>
                <w:sz w:val="20"/>
              </w:rPr>
              <w:t>, hepatitis</w:t>
            </w:r>
            <w:r w:rsidRPr="004004FD">
              <w:rPr>
                <w:sz w:val="20"/>
              </w:rPr>
              <w:t xml:space="preserve"> </w:t>
            </w:r>
          </w:p>
        </w:tc>
      </w:tr>
      <w:tr w:rsidR="00E44F87" w:rsidRPr="004004FD">
        <w:tc>
          <w:tcPr>
            <w:tcW w:w="4787" w:type="dxa"/>
            <w:tcBorders>
              <w:left w:val="nil"/>
            </w:tcBorders>
          </w:tcPr>
          <w:p w:rsidR="00E44F87" w:rsidRPr="004004FD" w:rsidRDefault="00E44F87">
            <w:pPr>
              <w:pStyle w:val="In-texttable"/>
              <w:rPr>
                <w:sz w:val="20"/>
              </w:rPr>
            </w:pPr>
            <w:r w:rsidRPr="004004FD">
              <w:rPr>
                <w:sz w:val="20"/>
              </w:rPr>
              <w:t>Skin and subcutaneous tissue disorders</w:t>
            </w:r>
          </w:p>
        </w:tc>
        <w:tc>
          <w:tcPr>
            <w:tcW w:w="4788" w:type="dxa"/>
            <w:tcBorders>
              <w:right w:val="nil"/>
            </w:tcBorders>
          </w:tcPr>
          <w:p w:rsidR="00E44F87" w:rsidRPr="004004FD" w:rsidRDefault="00875FA4">
            <w:pPr>
              <w:pStyle w:val="In-texttable"/>
              <w:rPr>
                <w:sz w:val="20"/>
              </w:rPr>
            </w:pPr>
            <w:r w:rsidRPr="004004FD">
              <w:rPr>
                <w:sz w:val="20"/>
              </w:rPr>
              <w:t>Alopecia, a</w:t>
            </w:r>
            <w:r w:rsidR="00E44F87" w:rsidRPr="004004FD">
              <w:rPr>
                <w:sz w:val="20"/>
              </w:rPr>
              <w:t>ngioedema</w:t>
            </w:r>
            <w:r w:rsidR="00E44F87" w:rsidRPr="004004FD">
              <w:rPr>
                <w:sz w:val="20"/>
                <w:lang w:val="en-GB"/>
              </w:rPr>
              <w:t>,</w:t>
            </w:r>
            <w:r w:rsidRPr="004004FD">
              <w:rPr>
                <w:sz w:val="20"/>
              </w:rPr>
              <w:t>c</w:t>
            </w:r>
            <w:r w:rsidR="00E44F87" w:rsidRPr="004004FD">
              <w:rPr>
                <w:sz w:val="20"/>
              </w:rPr>
              <w:t>utaneous vasculitis, new onset or worsening of psoriasis (including palmoplantar pustular psoriasis), erythema multiforme, Stevens Johnson Syndrome</w:t>
            </w:r>
            <w:r w:rsidR="005D21E4" w:rsidRPr="004004FD">
              <w:rPr>
                <w:sz w:val="20"/>
              </w:rPr>
              <w:t xml:space="preserve">, </w:t>
            </w:r>
          </w:p>
        </w:tc>
      </w:tr>
      <w:tr w:rsidR="00E44F87" w:rsidRPr="004004FD">
        <w:tc>
          <w:tcPr>
            <w:tcW w:w="4787" w:type="dxa"/>
            <w:tcBorders>
              <w:left w:val="nil"/>
            </w:tcBorders>
          </w:tcPr>
          <w:p w:rsidR="00E44F87" w:rsidRPr="004004FD" w:rsidRDefault="00E44F87">
            <w:pPr>
              <w:pStyle w:val="In-texttable"/>
              <w:rPr>
                <w:sz w:val="20"/>
              </w:rPr>
            </w:pPr>
            <w:r w:rsidRPr="004004FD">
              <w:rPr>
                <w:sz w:val="20"/>
              </w:rPr>
              <w:t>Musculoskeletal and connective tissue disorders</w:t>
            </w:r>
          </w:p>
        </w:tc>
        <w:tc>
          <w:tcPr>
            <w:tcW w:w="4788" w:type="dxa"/>
            <w:tcBorders>
              <w:right w:val="nil"/>
            </w:tcBorders>
          </w:tcPr>
          <w:p w:rsidR="00E44F87" w:rsidRPr="004004FD" w:rsidRDefault="00E44F87">
            <w:pPr>
              <w:pStyle w:val="In-texttable"/>
              <w:rPr>
                <w:sz w:val="20"/>
              </w:rPr>
            </w:pPr>
            <w:r w:rsidRPr="004004FD">
              <w:rPr>
                <w:sz w:val="20"/>
              </w:rPr>
              <w:t>Lupus-like syndrome</w:t>
            </w:r>
          </w:p>
        </w:tc>
      </w:tr>
      <w:tr w:rsidR="00A41AD4" w:rsidRPr="004004FD">
        <w:tc>
          <w:tcPr>
            <w:tcW w:w="4787" w:type="dxa"/>
            <w:tcBorders>
              <w:left w:val="nil"/>
            </w:tcBorders>
          </w:tcPr>
          <w:p w:rsidR="00A41AD4" w:rsidRPr="004004FD" w:rsidRDefault="00A41AD4">
            <w:pPr>
              <w:pStyle w:val="In-texttable"/>
              <w:rPr>
                <w:sz w:val="20"/>
              </w:rPr>
            </w:pPr>
            <w:r>
              <w:rPr>
                <w:sz w:val="20"/>
              </w:rPr>
              <w:t>General disorders and administration site conditions</w:t>
            </w:r>
          </w:p>
        </w:tc>
        <w:tc>
          <w:tcPr>
            <w:tcW w:w="4788" w:type="dxa"/>
            <w:tcBorders>
              <w:right w:val="nil"/>
            </w:tcBorders>
          </w:tcPr>
          <w:p w:rsidR="00A41AD4" w:rsidRPr="004004FD" w:rsidRDefault="00A41AD4">
            <w:pPr>
              <w:pStyle w:val="In-texttable"/>
              <w:rPr>
                <w:sz w:val="20"/>
              </w:rPr>
            </w:pPr>
            <w:r>
              <w:rPr>
                <w:sz w:val="20"/>
              </w:rPr>
              <w:t>Pyrexia</w:t>
            </w:r>
          </w:p>
        </w:tc>
      </w:tr>
    </w:tbl>
    <w:p w:rsidR="00E44F87" w:rsidRDefault="00E44F87" w:rsidP="00D57C80">
      <w:pPr>
        <w:autoSpaceDE w:val="0"/>
        <w:autoSpaceDN w:val="0"/>
        <w:adjustRightInd w:val="0"/>
        <w:jc w:val="both"/>
      </w:pPr>
      <w:r>
        <w:rPr>
          <w:rFonts w:ascii="Arial" w:hAnsi="Arial" w:cs="Arial"/>
          <w:sz w:val="20"/>
        </w:rPr>
        <w:t xml:space="preserve"> </w:t>
      </w:r>
    </w:p>
    <w:p w:rsidR="00E44F87" w:rsidRPr="002430F3" w:rsidRDefault="00E44F87">
      <w:pPr>
        <w:pStyle w:val="Heading3"/>
        <w:jc w:val="both"/>
        <w:rPr>
          <w:u w:val="none"/>
        </w:rPr>
      </w:pPr>
      <w:r w:rsidRPr="002430F3">
        <w:rPr>
          <w:u w:val="none"/>
        </w:rPr>
        <w:t>DOSAGE AND ADMINISTRATION</w:t>
      </w:r>
    </w:p>
    <w:p w:rsidR="00E44F87" w:rsidRDefault="00E44F87">
      <w:pPr>
        <w:pStyle w:val="Header"/>
        <w:tabs>
          <w:tab w:val="clear" w:pos="4320"/>
          <w:tab w:val="clear" w:pos="8640"/>
        </w:tabs>
      </w:pPr>
    </w:p>
    <w:p w:rsidR="00E44F87" w:rsidRDefault="00E44F87">
      <w:pPr>
        <w:pStyle w:val="BodyText"/>
        <w:autoSpaceDE/>
        <w:autoSpaceDN/>
        <w:adjustRightInd/>
        <w:rPr>
          <w:szCs w:val="24"/>
        </w:rPr>
      </w:pPr>
      <w:r>
        <w:rPr>
          <w:szCs w:val="24"/>
        </w:rPr>
        <w:t>Humira is administered by subcutaneous injection.</w:t>
      </w:r>
    </w:p>
    <w:p w:rsidR="00E44F87" w:rsidRDefault="00E44F87">
      <w:pPr>
        <w:pStyle w:val="BodyText"/>
        <w:autoSpaceDE/>
        <w:autoSpaceDN/>
        <w:adjustRightInd/>
        <w:rPr>
          <w:szCs w:val="24"/>
        </w:rPr>
      </w:pPr>
    </w:p>
    <w:p w:rsidR="00E44F87" w:rsidRDefault="00E44F87">
      <w:pPr>
        <w:pStyle w:val="BodyText"/>
        <w:autoSpaceDE/>
        <w:autoSpaceDN/>
        <w:adjustRightInd/>
        <w:rPr>
          <w:szCs w:val="24"/>
        </w:rPr>
      </w:pPr>
      <w:r>
        <w:rPr>
          <w:iCs/>
        </w:rPr>
        <w:t>This product is for one dose in one patient only.</w:t>
      </w:r>
    </w:p>
    <w:p w:rsidR="00E44F87" w:rsidRDefault="00E44F87">
      <w:pPr>
        <w:autoSpaceDE w:val="0"/>
        <w:autoSpaceDN w:val="0"/>
        <w:adjustRightInd w:val="0"/>
        <w:jc w:val="both"/>
        <w:rPr>
          <w:rFonts w:ascii="Arial" w:hAnsi="Arial"/>
          <w:b/>
          <w:sz w:val="20"/>
        </w:rPr>
      </w:pPr>
    </w:p>
    <w:p w:rsidR="00E44F87" w:rsidRPr="002430F3" w:rsidRDefault="00E44F87">
      <w:pPr>
        <w:pStyle w:val="Heading9"/>
      </w:pPr>
      <w:r w:rsidRPr="002430F3">
        <w:t>Rheumatoid Arthritis</w:t>
      </w:r>
    </w:p>
    <w:p w:rsidR="00E44F87" w:rsidRPr="00A20410" w:rsidRDefault="00E44F87">
      <w:pPr>
        <w:autoSpaceDE w:val="0"/>
        <w:autoSpaceDN w:val="0"/>
        <w:adjustRightInd w:val="0"/>
        <w:jc w:val="both"/>
        <w:rPr>
          <w:rFonts w:ascii="Arial" w:hAnsi="Arial"/>
          <w:sz w:val="20"/>
        </w:rPr>
      </w:pPr>
    </w:p>
    <w:p w:rsidR="00E44F87" w:rsidRPr="00A868ED" w:rsidRDefault="00E44F87">
      <w:pPr>
        <w:autoSpaceDE w:val="0"/>
        <w:autoSpaceDN w:val="0"/>
        <w:adjustRightInd w:val="0"/>
        <w:jc w:val="both"/>
        <w:rPr>
          <w:rFonts w:ascii="Arial" w:hAnsi="Arial"/>
          <w:sz w:val="20"/>
        </w:rPr>
      </w:pPr>
      <w:r w:rsidRPr="00A868ED">
        <w:rPr>
          <w:rFonts w:ascii="Arial" w:hAnsi="Arial"/>
          <w:sz w:val="20"/>
        </w:rPr>
        <w:t>The recommended dose of Humira for adult patients with rheumatoid arthritis is 40 mg administered fortnightly as a single dose. Methotrexate, glucocorticoids, salicylates, nonsteroidal anti-inflammatory drugs or analgesics may be continued during treatment with Humira.</w:t>
      </w:r>
    </w:p>
    <w:p w:rsidR="00E44F87" w:rsidRPr="00A868ED" w:rsidRDefault="00E44F87">
      <w:pPr>
        <w:autoSpaceDE w:val="0"/>
        <w:autoSpaceDN w:val="0"/>
        <w:adjustRightInd w:val="0"/>
        <w:jc w:val="both"/>
        <w:rPr>
          <w:rFonts w:ascii="Arial" w:hAnsi="Arial"/>
          <w:i/>
          <w:sz w:val="20"/>
        </w:rPr>
      </w:pPr>
    </w:p>
    <w:p w:rsidR="00E44F87" w:rsidRPr="00D84EBB" w:rsidRDefault="00E44F87">
      <w:pPr>
        <w:autoSpaceDE w:val="0"/>
        <w:autoSpaceDN w:val="0"/>
        <w:adjustRightInd w:val="0"/>
        <w:jc w:val="both"/>
        <w:rPr>
          <w:rFonts w:ascii="Arial" w:hAnsi="Arial"/>
          <w:i/>
          <w:sz w:val="20"/>
        </w:rPr>
      </w:pPr>
      <w:r w:rsidRPr="00D84EBB">
        <w:rPr>
          <w:rFonts w:ascii="Arial" w:hAnsi="Arial"/>
          <w:sz w:val="20"/>
        </w:rPr>
        <w:t>Some patients not taking concomitant methotrexate may derive additional benefit from increasing the dosing frequency of Humira to 40 mg every week</w:t>
      </w:r>
      <w:r w:rsidRPr="00D84EBB">
        <w:rPr>
          <w:rFonts w:ascii="Arial" w:hAnsi="Arial"/>
          <w:i/>
          <w:sz w:val="20"/>
        </w:rPr>
        <w:t>.</w:t>
      </w:r>
    </w:p>
    <w:p w:rsidR="006213FC" w:rsidRPr="002430F3" w:rsidRDefault="006213FC">
      <w:pPr>
        <w:pStyle w:val="BodyText"/>
        <w:jc w:val="both"/>
        <w:rPr>
          <w:b/>
          <w:iCs/>
          <w:szCs w:val="20"/>
        </w:rPr>
      </w:pPr>
    </w:p>
    <w:p w:rsidR="00E44F87" w:rsidRPr="002430F3" w:rsidRDefault="00E44F87">
      <w:pPr>
        <w:pStyle w:val="BodyText"/>
        <w:jc w:val="both"/>
        <w:rPr>
          <w:b/>
          <w:iCs/>
          <w:szCs w:val="20"/>
        </w:rPr>
      </w:pPr>
      <w:r w:rsidRPr="002430F3">
        <w:rPr>
          <w:b/>
          <w:iCs/>
          <w:szCs w:val="20"/>
        </w:rPr>
        <w:t>Polyarticular Juvenile Idiopathic Arthritis</w:t>
      </w:r>
    </w:p>
    <w:p w:rsidR="00E44F87" w:rsidRDefault="00E44F87">
      <w:pPr>
        <w:pStyle w:val="BodyText"/>
        <w:jc w:val="both"/>
        <w:rPr>
          <w:rFonts w:cs="Times New Roman"/>
          <w:iCs/>
          <w:szCs w:val="24"/>
        </w:rPr>
      </w:pPr>
    </w:p>
    <w:p w:rsidR="00E44F87" w:rsidRDefault="00E44F87">
      <w:pPr>
        <w:pStyle w:val="BodyText"/>
        <w:jc w:val="both"/>
        <w:rPr>
          <w:rFonts w:cs="Times New Roman"/>
          <w:iCs/>
          <w:szCs w:val="24"/>
        </w:rPr>
      </w:pPr>
      <w:r>
        <w:rPr>
          <w:rFonts w:cs="Times New Roman"/>
          <w:iCs/>
          <w:szCs w:val="24"/>
        </w:rPr>
        <w:t xml:space="preserve">The recommended dose of Humira for patients 4 to 17 years of age with polyarticular juvenile idiopathic arthritis is based on weight as shown below. Methotrexate, glucocorticoids, salicylates, NSAIDs or analgesics may be continued during treatment with Humira.  </w:t>
      </w:r>
    </w:p>
    <w:p w:rsidR="00E44F87" w:rsidRDefault="00E44F87">
      <w:pPr>
        <w:pStyle w:val="BodyText"/>
        <w:jc w:val="both"/>
        <w:rPr>
          <w:rFonts w:cs="Times New Roman"/>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4788"/>
      </w:tblGrid>
      <w:tr w:rsidR="00E44F87">
        <w:tc>
          <w:tcPr>
            <w:tcW w:w="4787" w:type="dxa"/>
          </w:tcPr>
          <w:p w:rsidR="00E44F87" w:rsidRDefault="00E44F87">
            <w:pPr>
              <w:spacing w:line="360" w:lineRule="exact"/>
              <w:jc w:val="center"/>
              <w:rPr>
                <w:rFonts w:ascii="Arial" w:hAnsi="Arial"/>
                <w:b/>
                <w:bCs/>
                <w:iCs/>
                <w:sz w:val="20"/>
              </w:rPr>
            </w:pPr>
            <w:r>
              <w:rPr>
                <w:rFonts w:ascii="Arial" w:hAnsi="Arial"/>
                <w:b/>
                <w:bCs/>
                <w:iCs/>
                <w:sz w:val="20"/>
              </w:rPr>
              <w:t>Paediatric Patients</w:t>
            </w:r>
          </w:p>
          <w:p w:rsidR="00E44F87" w:rsidRDefault="00E44F87">
            <w:pPr>
              <w:pStyle w:val="BodyText"/>
              <w:spacing w:line="360" w:lineRule="exact"/>
              <w:jc w:val="center"/>
              <w:rPr>
                <w:rFonts w:cs="Times New Roman"/>
                <w:b/>
                <w:bCs/>
                <w:iCs/>
                <w:szCs w:val="24"/>
              </w:rPr>
            </w:pPr>
            <w:r>
              <w:rPr>
                <w:rFonts w:cs="Times New Roman"/>
                <w:b/>
                <w:bCs/>
                <w:iCs/>
                <w:szCs w:val="24"/>
              </w:rPr>
              <w:t>(4 to 17 years)</w:t>
            </w:r>
          </w:p>
        </w:tc>
        <w:tc>
          <w:tcPr>
            <w:tcW w:w="4788" w:type="dxa"/>
          </w:tcPr>
          <w:p w:rsidR="00E44F87" w:rsidRDefault="00E44F87">
            <w:pPr>
              <w:pStyle w:val="BodyText"/>
              <w:spacing w:line="360" w:lineRule="exact"/>
              <w:jc w:val="center"/>
              <w:rPr>
                <w:rFonts w:cs="Times New Roman"/>
                <w:b/>
                <w:bCs/>
                <w:iCs/>
                <w:szCs w:val="24"/>
              </w:rPr>
            </w:pPr>
            <w:r>
              <w:rPr>
                <w:rFonts w:cs="Times New Roman"/>
                <w:b/>
                <w:bCs/>
                <w:iCs/>
                <w:szCs w:val="24"/>
              </w:rPr>
              <w:t>Dose</w:t>
            </w:r>
          </w:p>
        </w:tc>
      </w:tr>
      <w:tr w:rsidR="00E44F87">
        <w:tc>
          <w:tcPr>
            <w:tcW w:w="4787" w:type="dxa"/>
          </w:tcPr>
          <w:p w:rsidR="00E44F87" w:rsidRDefault="00E44F87">
            <w:pPr>
              <w:pStyle w:val="BodyText"/>
              <w:spacing w:line="360" w:lineRule="exact"/>
              <w:rPr>
                <w:rFonts w:cs="Times New Roman"/>
                <w:iCs/>
                <w:szCs w:val="24"/>
              </w:rPr>
            </w:pPr>
            <w:r>
              <w:rPr>
                <w:rFonts w:cs="Times New Roman" w:hint="eastAsia"/>
                <w:iCs/>
                <w:szCs w:val="24"/>
              </w:rPr>
              <w:t> </w:t>
            </w:r>
            <w:r>
              <w:rPr>
                <w:rFonts w:cs="Times New Roman"/>
                <w:iCs/>
                <w:szCs w:val="24"/>
              </w:rPr>
              <w:t>15 kg  to &lt;30 kg</w:t>
            </w:r>
          </w:p>
        </w:tc>
        <w:tc>
          <w:tcPr>
            <w:tcW w:w="4788" w:type="dxa"/>
          </w:tcPr>
          <w:p w:rsidR="00E44F87" w:rsidRDefault="00E44F87">
            <w:pPr>
              <w:pStyle w:val="BodyText"/>
              <w:spacing w:line="360" w:lineRule="exact"/>
              <w:rPr>
                <w:rFonts w:cs="Times New Roman"/>
                <w:iCs/>
                <w:szCs w:val="24"/>
              </w:rPr>
            </w:pPr>
            <w:r>
              <w:rPr>
                <w:rFonts w:cs="Times New Roman" w:hint="eastAsia"/>
                <w:iCs/>
                <w:szCs w:val="24"/>
              </w:rPr>
              <w:t> </w:t>
            </w:r>
            <w:r>
              <w:rPr>
                <w:rFonts w:cs="Times New Roman"/>
                <w:iCs/>
                <w:szCs w:val="24"/>
              </w:rPr>
              <w:t>20 mg fortnightly</w:t>
            </w:r>
            <w:r>
              <w:rPr>
                <w:rFonts w:cs="Times New Roman" w:hint="eastAsia"/>
                <w:iCs/>
                <w:szCs w:val="24"/>
              </w:rPr>
              <w:t> </w:t>
            </w:r>
            <w:r>
              <w:rPr>
                <w:rFonts w:cs="Times New Roman"/>
                <w:iCs/>
                <w:szCs w:val="24"/>
              </w:rPr>
              <w:br/>
              <w:t>(20 mg Pre-filled Syringe)</w:t>
            </w:r>
          </w:p>
        </w:tc>
      </w:tr>
      <w:tr w:rsidR="00E44F87">
        <w:tc>
          <w:tcPr>
            <w:tcW w:w="4787" w:type="dxa"/>
          </w:tcPr>
          <w:p w:rsidR="00E44F87" w:rsidRDefault="00E44F87">
            <w:pPr>
              <w:pStyle w:val="BodyText"/>
              <w:spacing w:line="360" w:lineRule="exact"/>
              <w:rPr>
                <w:rFonts w:cs="Times New Roman"/>
                <w:iCs/>
                <w:szCs w:val="24"/>
              </w:rPr>
            </w:pPr>
            <w:r>
              <w:rPr>
                <w:rFonts w:cs="Times New Roman" w:hint="eastAsia"/>
                <w:iCs/>
                <w:szCs w:val="24"/>
              </w:rPr>
              <w:t> ≥ </w:t>
            </w:r>
            <w:r>
              <w:rPr>
                <w:rFonts w:cs="Times New Roman"/>
                <w:iCs/>
                <w:szCs w:val="24"/>
              </w:rPr>
              <w:t xml:space="preserve">30 kg </w:t>
            </w:r>
          </w:p>
        </w:tc>
        <w:tc>
          <w:tcPr>
            <w:tcW w:w="4788" w:type="dxa"/>
          </w:tcPr>
          <w:p w:rsidR="00E44F87" w:rsidRDefault="00E44F87">
            <w:pPr>
              <w:pStyle w:val="BodyText"/>
              <w:spacing w:line="360" w:lineRule="exact"/>
              <w:rPr>
                <w:rFonts w:cs="Times New Roman"/>
                <w:iCs/>
                <w:szCs w:val="24"/>
              </w:rPr>
            </w:pPr>
            <w:r>
              <w:rPr>
                <w:rFonts w:cs="Times New Roman" w:hint="eastAsia"/>
                <w:iCs/>
                <w:szCs w:val="24"/>
              </w:rPr>
              <w:t> </w:t>
            </w:r>
            <w:r>
              <w:rPr>
                <w:rFonts w:cs="Times New Roman"/>
                <w:iCs/>
                <w:szCs w:val="24"/>
              </w:rPr>
              <w:t>40 mg fortnightly</w:t>
            </w:r>
            <w:r>
              <w:rPr>
                <w:rFonts w:cs="Times New Roman"/>
                <w:iCs/>
                <w:szCs w:val="24"/>
              </w:rPr>
              <w:br/>
            </w:r>
            <w:r>
              <w:rPr>
                <w:rFonts w:cs="Times New Roman" w:hint="eastAsia"/>
                <w:iCs/>
                <w:szCs w:val="24"/>
              </w:rPr>
              <w:lastRenderedPageBreak/>
              <w:t> </w:t>
            </w:r>
            <w:r>
              <w:rPr>
                <w:rFonts w:cs="Times New Roman"/>
                <w:iCs/>
                <w:szCs w:val="24"/>
              </w:rPr>
              <w:t>(Humira 40</w:t>
            </w:r>
            <w:r w:rsidR="008C0F66">
              <w:rPr>
                <w:rFonts w:cs="Times New Roman"/>
                <w:iCs/>
                <w:szCs w:val="24"/>
              </w:rPr>
              <w:t xml:space="preserve"> </w:t>
            </w:r>
            <w:r>
              <w:rPr>
                <w:rFonts w:cs="Times New Roman"/>
                <w:iCs/>
                <w:szCs w:val="24"/>
              </w:rPr>
              <w:t>mg Pen or 40 mg Pre-filled Syringe)</w:t>
            </w:r>
          </w:p>
        </w:tc>
      </w:tr>
    </w:tbl>
    <w:p w:rsidR="00E44F87" w:rsidRDefault="00E44F87">
      <w:pPr>
        <w:pStyle w:val="BodyText"/>
        <w:jc w:val="both"/>
        <w:rPr>
          <w:rFonts w:cs="Times New Roman"/>
          <w:iCs/>
          <w:szCs w:val="24"/>
        </w:rPr>
      </w:pPr>
    </w:p>
    <w:p w:rsidR="00E44F87" w:rsidRDefault="00E44F87">
      <w:pPr>
        <w:pStyle w:val="BodyText"/>
        <w:jc w:val="both"/>
        <w:rPr>
          <w:rFonts w:cs="Times New Roman"/>
          <w:iCs/>
          <w:szCs w:val="24"/>
        </w:rPr>
      </w:pPr>
      <w:r>
        <w:rPr>
          <w:rFonts w:cs="Times New Roman"/>
          <w:iCs/>
          <w:szCs w:val="24"/>
        </w:rPr>
        <w:t>Limited data are available for Humira treatment in paediatric patients with a weight below 15 kg.</w:t>
      </w:r>
    </w:p>
    <w:p w:rsidR="00E44F87" w:rsidRPr="002430F3" w:rsidRDefault="00E44F87">
      <w:pPr>
        <w:pStyle w:val="Heading9"/>
        <w:rPr>
          <w:rFonts w:cs="Arial"/>
          <w:bCs w:val="0"/>
          <w:iCs/>
          <w:szCs w:val="20"/>
        </w:rPr>
      </w:pPr>
      <w:r w:rsidRPr="002430F3">
        <w:rPr>
          <w:rFonts w:cs="Arial"/>
          <w:bCs w:val="0"/>
          <w:iCs/>
          <w:szCs w:val="20"/>
        </w:rPr>
        <w:t>Psoriatic Arthritis</w:t>
      </w:r>
    </w:p>
    <w:p w:rsidR="00E44F87" w:rsidRPr="00A20410" w:rsidRDefault="00E44F87">
      <w:pPr>
        <w:autoSpaceDE w:val="0"/>
        <w:autoSpaceDN w:val="0"/>
        <w:adjustRightInd w:val="0"/>
        <w:rPr>
          <w:rFonts w:ascii="Arial,Bold" w:hAnsi="Arial,Bold"/>
          <w:b/>
          <w:bCs/>
          <w:sz w:val="20"/>
          <w:szCs w:val="22"/>
        </w:rPr>
      </w:pPr>
    </w:p>
    <w:p w:rsidR="00E44F87" w:rsidRPr="00A868ED" w:rsidRDefault="00E44F87">
      <w:pPr>
        <w:autoSpaceDE w:val="0"/>
        <w:autoSpaceDN w:val="0"/>
        <w:adjustRightInd w:val="0"/>
        <w:rPr>
          <w:rFonts w:ascii="Arial" w:hAnsi="Arial" w:cs="Arial"/>
          <w:sz w:val="20"/>
          <w:szCs w:val="22"/>
        </w:rPr>
      </w:pPr>
      <w:r w:rsidRPr="00A868ED">
        <w:rPr>
          <w:rFonts w:ascii="Arial" w:hAnsi="Arial" w:cs="Arial"/>
          <w:sz w:val="20"/>
          <w:szCs w:val="22"/>
        </w:rPr>
        <w:t>The recommended dose of Humira for patients with psoriatic arthritis is 40 mg adalimumab administered fortnightly as a single dose.</w:t>
      </w:r>
    </w:p>
    <w:p w:rsidR="00E44F87" w:rsidRPr="00A868ED" w:rsidRDefault="00E44F87">
      <w:pPr>
        <w:pStyle w:val="CommentText"/>
        <w:autoSpaceDE w:val="0"/>
        <w:autoSpaceDN w:val="0"/>
        <w:adjustRightInd w:val="0"/>
        <w:rPr>
          <w:rFonts w:ascii="Arial" w:hAnsi="Arial" w:cs="Arial"/>
          <w:szCs w:val="22"/>
        </w:rPr>
      </w:pPr>
    </w:p>
    <w:p w:rsidR="00E44F87" w:rsidRPr="00D84EBB" w:rsidRDefault="00E44F87">
      <w:pPr>
        <w:autoSpaceDE w:val="0"/>
        <w:autoSpaceDN w:val="0"/>
        <w:adjustRightInd w:val="0"/>
        <w:rPr>
          <w:rFonts w:ascii="Arial,Bold" w:hAnsi="Arial,Bold"/>
          <w:sz w:val="20"/>
          <w:szCs w:val="20"/>
        </w:rPr>
      </w:pPr>
      <w:r w:rsidRPr="00D84EBB">
        <w:rPr>
          <w:rFonts w:ascii="Arial" w:hAnsi="Arial" w:cs="Arial"/>
          <w:sz w:val="20"/>
          <w:szCs w:val="22"/>
        </w:rPr>
        <w:t>Glucocorticoids, salicylates, nonsteroidal anti−inflammatory drugs, analgesics or disease-modifying anti-rheumatic drugs can be continued during treatment with Humira.</w:t>
      </w:r>
    </w:p>
    <w:p w:rsidR="00E44F87" w:rsidRPr="002430F3" w:rsidRDefault="00E44F87">
      <w:pPr>
        <w:pStyle w:val="BodyText"/>
        <w:jc w:val="both"/>
        <w:rPr>
          <w:rFonts w:cs="Times New Roman"/>
          <w:iCs/>
          <w:szCs w:val="24"/>
        </w:rPr>
      </w:pPr>
    </w:p>
    <w:p w:rsidR="00E44F87" w:rsidRPr="002430F3" w:rsidRDefault="00E44F87">
      <w:pPr>
        <w:pStyle w:val="Heading9"/>
        <w:rPr>
          <w:rFonts w:ascii="Times New Roman" w:hAnsi="Times New Roman"/>
          <w:b w:val="0"/>
          <w:bCs w:val="0"/>
        </w:rPr>
      </w:pPr>
      <w:r w:rsidRPr="002430F3">
        <w:t>Ankylosing Spondylitis</w:t>
      </w:r>
      <w:r w:rsidRPr="002430F3">
        <w:rPr>
          <w:rFonts w:ascii="Times New Roman" w:hAnsi="Times New Roman"/>
          <w:b w:val="0"/>
          <w:bCs w:val="0"/>
        </w:rPr>
        <w:t xml:space="preserve"> </w:t>
      </w:r>
    </w:p>
    <w:p w:rsidR="00E44F87" w:rsidRPr="00A20410" w:rsidRDefault="00E44F87"/>
    <w:p w:rsidR="00E44F87" w:rsidRPr="00A868ED" w:rsidRDefault="00E44F87">
      <w:pPr>
        <w:jc w:val="both"/>
        <w:rPr>
          <w:rFonts w:ascii="Arial" w:hAnsi="Arial" w:cs="Arial"/>
          <w:sz w:val="20"/>
        </w:rPr>
      </w:pPr>
      <w:r w:rsidRPr="00A868ED">
        <w:rPr>
          <w:rFonts w:ascii="Arial" w:hAnsi="Arial" w:cs="Arial"/>
          <w:sz w:val="20"/>
        </w:rPr>
        <w:t>The recommended dose of Humira for patients with ankylosing spondylitis is 40 mg adalimumab administered every fortnight as a single dose.</w:t>
      </w:r>
    </w:p>
    <w:p w:rsidR="00E44F87" w:rsidRPr="00A868ED" w:rsidRDefault="00E44F87">
      <w:pPr>
        <w:ind w:right="900"/>
        <w:jc w:val="both"/>
        <w:rPr>
          <w:rFonts w:ascii="Arial" w:hAnsi="Arial" w:cs="Arial"/>
          <w:sz w:val="20"/>
        </w:rPr>
      </w:pPr>
    </w:p>
    <w:p w:rsidR="00E44F87" w:rsidRPr="00A868ED" w:rsidRDefault="00E44F87">
      <w:pPr>
        <w:jc w:val="both"/>
        <w:rPr>
          <w:rFonts w:ascii="Arial" w:hAnsi="Arial" w:cs="Arial"/>
          <w:sz w:val="20"/>
        </w:rPr>
      </w:pPr>
      <w:r w:rsidRPr="00A868ED">
        <w:rPr>
          <w:rFonts w:ascii="Arial" w:hAnsi="Arial" w:cs="Arial"/>
          <w:sz w:val="20"/>
        </w:rPr>
        <w:t>Glucocorticoids, salicylates, nonsteroidal anti−inflammatory drugs, analgesics or disease-modifying anti-rheumatic drugs can be continued during treatment with Humira.</w:t>
      </w:r>
    </w:p>
    <w:p w:rsidR="00E44F87" w:rsidRPr="00D84EBB" w:rsidRDefault="00E44F87">
      <w:pPr>
        <w:jc w:val="both"/>
        <w:rPr>
          <w:rFonts w:ascii="Arial" w:hAnsi="Arial" w:cs="Arial"/>
          <w:sz w:val="20"/>
        </w:rPr>
      </w:pPr>
    </w:p>
    <w:p w:rsidR="006213FC" w:rsidRPr="002430F3" w:rsidRDefault="00E44F87">
      <w:pPr>
        <w:pStyle w:val="BodyText"/>
        <w:jc w:val="both"/>
        <w:rPr>
          <w:rFonts w:cs="Times New Roman"/>
          <w:b/>
          <w:bCs/>
          <w:iCs/>
          <w:szCs w:val="24"/>
        </w:rPr>
      </w:pPr>
      <w:r w:rsidRPr="002430F3">
        <w:rPr>
          <w:rFonts w:cs="Times New Roman"/>
          <w:b/>
          <w:bCs/>
          <w:iCs/>
          <w:szCs w:val="24"/>
        </w:rPr>
        <w:t>Crohn’s Disease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1942"/>
        <w:gridCol w:w="4427"/>
      </w:tblGrid>
      <w:tr w:rsidR="00E44F87">
        <w:trPr>
          <w:trHeight w:val="284"/>
        </w:trPr>
        <w:tc>
          <w:tcPr>
            <w:tcW w:w="3206" w:type="dxa"/>
            <w:tcBorders>
              <w:top w:val="single" w:sz="2" w:space="0" w:color="auto"/>
              <w:left w:val="single" w:sz="2" w:space="0" w:color="auto"/>
              <w:bottom w:val="single" w:sz="2" w:space="0" w:color="auto"/>
              <w:right w:val="single" w:sz="2" w:space="0" w:color="auto"/>
            </w:tcBorders>
          </w:tcPr>
          <w:p w:rsidR="00E44F87" w:rsidRDefault="00E44F87">
            <w:pPr>
              <w:pStyle w:val="BodyText"/>
              <w:jc w:val="both"/>
              <w:rPr>
                <w:rFonts w:cs="Times New Roman"/>
                <w:iCs/>
                <w:szCs w:val="24"/>
              </w:rPr>
            </w:pPr>
          </w:p>
        </w:tc>
        <w:tc>
          <w:tcPr>
            <w:tcW w:w="1942" w:type="dxa"/>
            <w:tcBorders>
              <w:left w:val="single" w:sz="2" w:space="0" w:color="auto"/>
            </w:tcBorders>
          </w:tcPr>
          <w:p w:rsidR="00E44F87" w:rsidRDefault="00E44F87">
            <w:pPr>
              <w:pStyle w:val="BodyText"/>
              <w:jc w:val="center"/>
              <w:rPr>
                <w:rFonts w:cs="Times New Roman"/>
                <w:b/>
                <w:bCs/>
                <w:iCs/>
                <w:szCs w:val="24"/>
              </w:rPr>
            </w:pPr>
            <w:r>
              <w:rPr>
                <w:rFonts w:cs="Times New Roman"/>
                <w:b/>
                <w:bCs/>
                <w:iCs/>
                <w:szCs w:val="24"/>
              </w:rPr>
              <w:t>Dose</w:t>
            </w:r>
          </w:p>
        </w:tc>
        <w:tc>
          <w:tcPr>
            <w:tcW w:w="4427" w:type="dxa"/>
          </w:tcPr>
          <w:p w:rsidR="00E44F87" w:rsidRDefault="00E44F87">
            <w:pPr>
              <w:pStyle w:val="BodyText"/>
              <w:jc w:val="center"/>
              <w:rPr>
                <w:rFonts w:cs="Times New Roman"/>
                <w:b/>
                <w:bCs/>
                <w:iCs/>
                <w:szCs w:val="24"/>
              </w:rPr>
            </w:pPr>
            <w:r>
              <w:rPr>
                <w:rFonts w:cs="Times New Roman"/>
                <w:b/>
                <w:bCs/>
                <w:iCs/>
                <w:szCs w:val="24"/>
              </w:rPr>
              <w:t>Frequency</w:t>
            </w:r>
          </w:p>
        </w:tc>
      </w:tr>
      <w:tr w:rsidR="00E44F87">
        <w:trPr>
          <w:trHeight w:val="284"/>
        </w:trPr>
        <w:tc>
          <w:tcPr>
            <w:tcW w:w="3206" w:type="dxa"/>
            <w:tcBorders>
              <w:top w:val="single" w:sz="2" w:space="0" w:color="auto"/>
              <w:left w:val="single" w:sz="2" w:space="0" w:color="auto"/>
              <w:bottom w:val="single" w:sz="2" w:space="0" w:color="auto"/>
              <w:right w:val="single" w:sz="2" w:space="0" w:color="auto"/>
            </w:tcBorders>
          </w:tcPr>
          <w:p w:rsidR="00E44F87" w:rsidRDefault="00E44F87">
            <w:pPr>
              <w:pStyle w:val="BodyText"/>
              <w:jc w:val="both"/>
              <w:rPr>
                <w:rFonts w:cs="Times New Roman"/>
                <w:b/>
                <w:bCs/>
                <w:iCs/>
                <w:szCs w:val="24"/>
              </w:rPr>
            </w:pPr>
            <w:r>
              <w:rPr>
                <w:rFonts w:cs="Times New Roman"/>
                <w:b/>
                <w:bCs/>
                <w:iCs/>
                <w:szCs w:val="24"/>
              </w:rPr>
              <w:t>Induction</w:t>
            </w:r>
          </w:p>
        </w:tc>
        <w:tc>
          <w:tcPr>
            <w:tcW w:w="1942" w:type="dxa"/>
            <w:tcBorders>
              <w:left w:val="single" w:sz="2" w:space="0" w:color="auto"/>
            </w:tcBorders>
          </w:tcPr>
          <w:p w:rsidR="00E44F87" w:rsidRDefault="00E44F87">
            <w:pPr>
              <w:pStyle w:val="BodyText"/>
              <w:jc w:val="center"/>
              <w:rPr>
                <w:rFonts w:cs="Times New Roman"/>
                <w:iCs/>
                <w:szCs w:val="24"/>
              </w:rPr>
            </w:pPr>
            <w:r>
              <w:rPr>
                <w:rFonts w:cs="Times New Roman"/>
                <w:iCs/>
                <w:szCs w:val="24"/>
              </w:rPr>
              <w:t xml:space="preserve">160 mg </w:t>
            </w:r>
          </w:p>
        </w:tc>
        <w:tc>
          <w:tcPr>
            <w:tcW w:w="4427" w:type="dxa"/>
          </w:tcPr>
          <w:p w:rsidR="00E44F87" w:rsidRDefault="00E44F87">
            <w:pPr>
              <w:pStyle w:val="BodyText"/>
              <w:rPr>
                <w:rFonts w:cs="Times New Roman"/>
                <w:iCs/>
                <w:szCs w:val="24"/>
              </w:rPr>
            </w:pPr>
            <w:r>
              <w:rPr>
                <w:rFonts w:cs="Times New Roman"/>
                <w:iCs/>
                <w:szCs w:val="24"/>
              </w:rPr>
              <w:t>Initial Dose (Day 0) as four injections OR as two injections on Day 0 and two injections on Day 1</w:t>
            </w:r>
          </w:p>
        </w:tc>
      </w:tr>
      <w:tr w:rsidR="00E44F87">
        <w:trPr>
          <w:trHeight w:val="284"/>
        </w:trPr>
        <w:tc>
          <w:tcPr>
            <w:tcW w:w="3206" w:type="dxa"/>
            <w:tcBorders>
              <w:top w:val="single" w:sz="2" w:space="0" w:color="auto"/>
              <w:left w:val="single" w:sz="2" w:space="0" w:color="auto"/>
              <w:bottom w:val="single" w:sz="2" w:space="0" w:color="auto"/>
              <w:right w:val="single" w:sz="2" w:space="0" w:color="auto"/>
            </w:tcBorders>
          </w:tcPr>
          <w:p w:rsidR="00E44F87" w:rsidRDefault="00E44F87">
            <w:pPr>
              <w:pStyle w:val="BodyText"/>
              <w:jc w:val="both"/>
              <w:rPr>
                <w:rFonts w:cs="Times New Roman"/>
                <w:b/>
                <w:bCs/>
                <w:iCs/>
                <w:szCs w:val="24"/>
              </w:rPr>
            </w:pPr>
          </w:p>
        </w:tc>
        <w:tc>
          <w:tcPr>
            <w:tcW w:w="1942" w:type="dxa"/>
            <w:tcBorders>
              <w:left w:val="single" w:sz="2" w:space="0" w:color="auto"/>
            </w:tcBorders>
          </w:tcPr>
          <w:p w:rsidR="00E44F87" w:rsidRDefault="00E44F87">
            <w:pPr>
              <w:pStyle w:val="BodyText"/>
              <w:jc w:val="center"/>
              <w:rPr>
                <w:rFonts w:cs="Times New Roman"/>
                <w:iCs/>
                <w:szCs w:val="24"/>
              </w:rPr>
            </w:pPr>
            <w:r>
              <w:rPr>
                <w:rFonts w:cs="Times New Roman"/>
                <w:iCs/>
                <w:szCs w:val="24"/>
              </w:rPr>
              <w:t>80mg</w:t>
            </w:r>
          </w:p>
        </w:tc>
        <w:tc>
          <w:tcPr>
            <w:tcW w:w="4427" w:type="dxa"/>
          </w:tcPr>
          <w:p w:rsidR="00E44F87" w:rsidRDefault="00E44F87">
            <w:pPr>
              <w:pStyle w:val="BodyText"/>
              <w:rPr>
                <w:rFonts w:cs="Times New Roman"/>
                <w:iCs/>
                <w:color w:val="0000FF"/>
                <w:szCs w:val="24"/>
              </w:rPr>
            </w:pPr>
            <w:r>
              <w:rPr>
                <w:rFonts w:cs="Times New Roman"/>
                <w:iCs/>
                <w:szCs w:val="24"/>
              </w:rPr>
              <w:t>Second Dose (Day 14) as two injections</w:t>
            </w:r>
          </w:p>
        </w:tc>
      </w:tr>
      <w:tr w:rsidR="00E44F87">
        <w:trPr>
          <w:trHeight w:val="284"/>
        </w:trPr>
        <w:tc>
          <w:tcPr>
            <w:tcW w:w="3206" w:type="dxa"/>
            <w:tcBorders>
              <w:top w:val="single" w:sz="2" w:space="0" w:color="auto"/>
              <w:left w:val="single" w:sz="2" w:space="0" w:color="auto"/>
              <w:bottom w:val="single" w:sz="2" w:space="0" w:color="auto"/>
              <w:right w:val="single" w:sz="2" w:space="0" w:color="auto"/>
            </w:tcBorders>
          </w:tcPr>
          <w:p w:rsidR="00E44F87" w:rsidRDefault="00E44F87">
            <w:pPr>
              <w:pStyle w:val="BodyText"/>
              <w:jc w:val="both"/>
              <w:rPr>
                <w:rFonts w:cs="Times New Roman"/>
                <w:b/>
                <w:bCs/>
                <w:iCs/>
                <w:szCs w:val="24"/>
              </w:rPr>
            </w:pPr>
            <w:r>
              <w:rPr>
                <w:rFonts w:cs="Times New Roman"/>
                <w:b/>
                <w:bCs/>
                <w:iCs/>
                <w:szCs w:val="24"/>
              </w:rPr>
              <w:t>Maintenance</w:t>
            </w:r>
          </w:p>
        </w:tc>
        <w:tc>
          <w:tcPr>
            <w:tcW w:w="1942" w:type="dxa"/>
            <w:tcBorders>
              <w:left w:val="single" w:sz="2" w:space="0" w:color="auto"/>
            </w:tcBorders>
          </w:tcPr>
          <w:p w:rsidR="00E44F87" w:rsidRDefault="00E44F87">
            <w:pPr>
              <w:pStyle w:val="BodyText"/>
              <w:jc w:val="center"/>
              <w:rPr>
                <w:rFonts w:cs="Times New Roman"/>
                <w:iCs/>
                <w:szCs w:val="24"/>
              </w:rPr>
            </w:pPr>
            <w:r>
              <w:rPr>
                <w:rFonts w:cs="Times New Roman"/>
                <w:iCs/>
                <w:szCs w:val="24"/>
              </w:rPr>
              <w:t>40mg</w:t>
            </w:r>
          </w:p>
        </w:tc>
        <w:tc>
          <w:tcPr>
            <w:tcW w:w="4427" w:type="dxa"/>
          </w:tcPr>
          <w:p w:rsidR="00E44F87" w:rsidRDefault="00E44F87">
            <w:pPr>
              <w:pStyle w:val="BodyText"/>
              <w:rPr>
                <w:rFonts w:cs="Times New Roman"/>
                <w:iCs/>
                <w:szCs w:val="24"/>
              </w:rPr>
            </w:pPr>
            <w:r>
              <w:rPr>
                <w:rFonts w:cs="Times New Roman"/>
                <w:iCs/>
                <w:szCs w:val="24"/>
              </w:rPr>
              <w:t>Starting Day 28 &amp; continuing fortnightly</w:t>
            </w:r>
          </w:p>
        </w:tc>
      </w:tr>
    </w:tbl>
    <w:p w:rsidR="00E44F87" w:rsidRDefault="00E44F87">
      <w:pPr>
        <w:pStyle w:val="BodyText"/>
        <w:jc w:val="both"/>
        <w:rPr>
          <w:rFonts w:cs="Times New Roman"/>
          <w:iCs/>
          <w:szCs w:val="24"/>
        </w:rPr>
      </w:pPr>
    </w:p>
    <w:p w:rsidR="00E44F87" w:rsidRDefault="00E44F87">
      <w:pPr>
        <w:pStyle w:val="BodyText"/>
        <w:jc w:val="both"/>
        <w:rPr>
          <w:rFonts w:cs="Times New Roman"/>
          <w:iCs/>
          <w:szCs w:val="24"/>
        </w:rPr>
      </w:pPr>
      <w:r>
        <w:rPr>
          <w:rFonts w:cs="Times New Roman"/>
          <w:iCs/>
          <w:szCs w:val="24"/>
        </w:rPr>
        <w:t>Aminosalicylates, corticosteroids, and/or immunomodulatory agents (e.g., 6-mercaptopurine and azathioprine) may be continued during treatment with Humira.</w:t>
      </w:r>
    </w:p>
    <w:p w:rsidR="00535D68" w:rsidRDefault="00535D68">
      <w:pPr>
        <w:pStyle w:val="BodyText"/>
        <w:jc w:val="both"/>
        <w:rPr>
          <w:rFonts w:cs="Times New Roman"/>
          <w:iCs/>
          <w:szCs w:val="24"/>
        </w:rPr>
      </w:pPr>
    </w:p>
    <w:p w:rsidR="00535D68" w:rsidRDefault="00535D68" w:rsidP="00535D68">
      <w:pPr>
        <w:pStyle w:val="BodyText"/>
        <w:spacing w:after="120"/>
        <w:jc w:val="both"/>
        <w:rPr>
          <w:rFonts w:cs="Times New Roman"/>
          <w:b/>
          <w:bCs/>
          <w:iCs/>
          <w:szCs w:val="24"/>
          <w:u w:val="single"/>
        </w:rPr>
      </w:pPr>
      <w:r w:rsidRPr="00327A60">
        <w:rPr>
          <w:rFonts w:cs="Times New Roman"/>
          <w:b/>
          <w:bCs/>
          <w:iCs/>
          <w:szCs w:val="24"/>
          <w:u w:val="single"/>
        </w:rPr>
        <w:t>Paediatric Crohn's Disease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559"/>
        <w:gridCol w:w="4031"/>
      </w:tblGrid>
      <w:tr w:rsidR="00535D68" w:rsidRPr="00234A5A" w:rsidTr="00BF476E">
        <w:tc>
          <w:tcPr>
            <w:tcW w:w="9242" w:type="dxa"/>
            <w:gridSpan w:val="4"/>
            <w:shd w:val="clear" w:color="auto" w:fill="auto"/>
          </w:tcPr>
          <w:p w:rsidR="00535D68" w:rsidRPr="00234A5A" w:rsidRDefault="00535D68" w:rsidP="00BF476E">
            <w:pPr>
              <w:pStyle w:val="BodyText"/>
              <w:spacing w:after="120"/>
              <w:jc w:val="both"/>
              <w:rPr>
                <w:rFonts w:cs="Times New Roman"/>
                <w:b/>
                <w:bCs/>
                <w:iCs/>
                <w:szCs w:val="24"/>
                <w:u w:val="single"/>
              </w:rPr>
            </w:pPr>
            <w:r w:rsidRPr="00234A5A">
              <w:rPr>
                <w:rFonts w:cs="Times New Roman"/>
                <w:b/>
                <w:bCs/>
                <w:iCs/>
                <w:szCs w:val="24"/>
                <w:u w:val="single"/>
              </w:rPr>
              <w:t>Patients &lt; 40kg body weight</w:t>
            </w:r>
          </w:p>
        </w:tc>
      </w:tr>
      <w:tr w:rsidR="00535D68" w:rsidRPr="00234A5A" w:rsidTr="00BF476E">
        <w:tc>
          <w:tcPr>
            <w:tcW w:w="1951" w:type="dxa"/>
            <w:shd w:val="clear" w:color="auto" w:fill="auto"/>
          </w:tcPr>
          <w:p w:rsidR="00535D68" w:rsidRPr="00234A5A" w:rsidRDefault="00535D68" w:rsidP="00BF476E">
            <w:pPr>
              <w:pStyle w:val="BodyText"/>
              <w:spacing w:after="120"/>
              <w:jc w:val="both"/>
              <w:rPr>
                <w:rFonts w:cs="Times New Roman"/>
                <w:b/>
                <w:bCs/>
                <w:iCs/>
                <w:szCs w:val="24"/>
                <w:u w:val="single"/>
              </w:rPr>
            </w:pPr>
          </w:p>
        </w:tc>
        <w:tc>
          <w:tcPr>
            <w:tcW w:w="1701" w:type="dxa"/>
            <w:shd w:val="clear" w:color="auto" w:fill="auto"/>
          </w:tcPr>
          <w:p w:rsidR="00535D68" w:rsidRPr="001E11F2" w:rsidRDefault="00535D68" w:rsidP="00BF476E">
            <w:pPr>
              <w:pStyle w:val="BodyText"/>
              <w:spacing w:after="120"/>
              <w:jc w:val="center"/>
              <w:rPr>
                <w:rFonts w:cs="Times New Roman"/>
                <w:b/>
                <w:bCs/>
                <w:iCs/>
                <w:szCs w:val="24"/>
              </w:rPr>
            </w:pPr>
            <w:r w:rsidRPr="001E11F2">
              <w:rPr>
                <w:rFonts w:cs="Times New Roman"/>
                <w:b/>
                <w:bCs/>
                <w:iCs/>
                <w:szCs w:val="24"/>
              </w:rPr>
              <w:t>Moderate CD</w:t>
            </w:r>
          </w:p>
        </w:tc>
        <w:tc>
          <w:tcPr>
            <w:tcW w:w="1559" w:type="dxa"/>
            <w:shd w:val="clear" w:color="auto" w:fill="auto"/>
          </w:tcPr>
          <w:p w:rsidR="00535D68" w:rsidRPr="001E11F2" w:rsidRDefault="00535D68" w:rsidP="00BF476E">
            <w:pPr>
              <w:pStyle w:val="BodyText"/>
              <w:spacing w:after="120"/>
              <w:jc w:val="center"/>
              <w:rPr>
                <w:rFonts w:cs="Times New Roman"/>
                <w:b/>
                <w:bCs/>
                <w:iCs/>
                <w:szCs w:val="24"/>
              </w:rPr>
            </w:pPr>
            <w:r w:rsidRPr="001E11F2">
              <w:rPr>
                <w:rFonts w:cs="Times New Roman"/>
                <w:b/>
                <w:bCs/>
                <w:iCs/>
                <w:szCs w:val="24"/>
              </w:rPr>
              <w:t>Severe CD</w:t>
            </w:r>
          </w:p>
        </w:tc>
        <w:tc>
          <w:tcPr>
            <w:tcW w:w="4031" w:type="dxa"/>
            <w:shd w:val="clear" w:color="auto" w:fill="auto"/>
          </w:tcPr>
          <w:p w:rsidR="00535D68" w:rsidRPr="00234A5A" w:rsidRDefault="00535D68" w:rsidP="00BF476E">
            <w:pPr>
              <w:pStyle w:val="BodyText"/>
              <w:spacing w:after="120"/>
              <w:jc w:val="center"/>
              <w:rPr>
                <w:rFonts w:cs="Times New Roman"/>
                <w:b/>
                <w:bCs/>
                <w:iCs/>
                <w:szCs w:val="24"/>
                <w:u w:val="single"/>
              </w:rPr>
            </w:pPr>
            <w:r w:rsidRPr="00234A5A">
              <w:rPr>
                <w:rFonts w:cs="Times New Roman"/>
                <w:b/>
                <w:bCs/>
                <w:iCs/>
                <w:szCs w:val="24"/>
              </w:rPr>
              <w:t>Frequency</w:t>
            </w:r>
          </w:p>
        </w:tc>
      </w:tr>
      <w:tr w:rsidR="00535D68" w:rsidRPr="00234A5A" w:rsidTr="00BF476E">
        <w:tc>
          <w:tcPr>
            <w:tcW w:w="1951" w:type="dxa"/>
            <w:shd w:val="clear" w:color="auto" w:fill="auto"/>
          </w:tcPr>
          <w:p w:rsidR="00535D68" w:rsidRPr="001E11F2" w:rsidRDefault="00535D68" w:rsidP="00BF476E">
            <w:pPr>
              <w:pStyle w:val="BodyText"/>
              <w:spacing w:after="120"/>
              <w:jc w:val="both"/>
              <w:rPr>
                <w:rFonts w:cs="Times New Roman"/>
                <w:b/>
                <w:bCs/>
                <w:iCs/>
                <w:szCs w:val="24"/>
              </w:rPr>
            </w:pPr>
            <w:r w:rsidRPr="001E11F2">
              <w:rPr>
                <w:rFonts w:cs="Times New Roman"/>
                <w:b/>
                <w:bCs/>
                <w:iCs/>
                <w:szCs w:val="24"/>
              </w:rPr>
              <w:t>Induction</w:t>
            </w:r>
          </w:p>
        </w:tc>
        <w:tc>
          <w:tcPr>
            <w:tcW w:w="1701" w:type="dxa"/>
            <w:shd w:val="clear" w:color="auto" w:fill="auto"/>
          </w:tcPr>
          <w:p w:rsidR="00535D68" w:rsidRPr="00234A5A" w:rsidRDefault="00535D68" w:rsidP="00BF476E">
            <w:pPr>
              <w:pStyle w:val="BodyText"/>
              <w:spacing w:after="120"/>
              <w:jc w:val="center"/>
              <w:rPr>
                <w:rFonts w:cs="Times New Roman"/>
                <w:b/>
                <w:bCs/>
                <w:iCs/>
                <w:szCs w:val="24"/>
                <w:u w:val="single"/>
              </w:rPr>
            </w:pPr>
            <w:r w:rsidRPr="00234A5A">
              <w:rPr>
                <w:rFonts w:cs="Times New Roman"/>
                <w:iCs/>
                <w:szCs w:val="24"/>
              </w:rPr>
              <w:t>80mg</w:t>
            </w:r>
          </w:p>
        </w:tc>
        <w:tc>
          <w:tcPr>
            <w:tcW w:w="1559" w:type="dxa"/>
            <w:shd w:val="clear" w:color="auto" w:fill="auto"/>
          </w:tcPr>
          <w:p w:rsidR="00535D68" w:rsidRPr="00234A5A" w:rsidRDefault="00535D68" w:rsidP="00BF476E">
            <w:pPr>
              <w:pStyle w:val="BodyText"/>
              <w:spacing w:after="120"/>
              <w:jc w:val="center"/>
              <w:rPr>
                <w:rFonts w:cs="Times New Roman"/>
                <w:b/>
                <w:bCs/>
                <w:iCs/>
                <w:szCs w:val="24"/>
                <w:u w:val="single"/>
              </w:rPr>
            </w:pPr>
            <w:r w:rsidRPr="00234A5A">
              <w:rPr>
                <w:rFonts w:cs="Times New Roman"/>
                <w:iCs/>
                <w:szCs w:val="24"/>
              </w:rPr>
              <w:t>80mg</w:t>
            </w:r>
          </w:p>
        </w:tc>
        <w:tc>
          <w:tcPr>
            <w:tcW w:w="4031" w:type="dxa"/>
            <w:shd w:val="clear" w:color="auto" w:fill="auto"/>
          </w:tcPr>
          <w:p w:rsidR="00535D68" w:rsidRPr="00234A5A" w:rsidRDefault="00535D68" w:rsidP="00BF476E">
            <w:pPr>
              <w:pStyle w:val="BodyText"/>
              <w:spacing w:after="120"/>
              <w:jc w:val="both"/>
              <w:rPr>
                <w:rFonts w:cs="Times New Roman"/>
                <w:b/>
                <w:bCs/>
                <w:iCs/>
                <w:szCs w:val="24"/>
                <w:u w:val="single"/>
              </w:rPr>
            </w:pPr>
            <w:r w:rsidRPr="00234A5A">
              <w:rPr>
                <w:rFonts w:cs="Times New Roman"/>
                <w:iCs/>
                <w:szCs w:val="24"/>
              </w:rPr>
              <w:t xml:space="preserve">Initial Dose (Day 0) as two 40mg injections </w:t>
            </w:r>
          </w:p>
        </w:tc>
      </w:tr>
      <w:tr w:rsidR="00535D68" w:rsidRPr="00234A5A" w:rsidTr="00BF476E">
        <w:tc>
          <w:tcPr>
            <w:tcW w:w="1951" w:type="dxa"/>
            <w:shd w:val="clear" w:color="auto" w:fill="auto"/>
          </w:tcPr>
          <w:p w:rsidR="00535D68" w:rsidRPr="001E11F2" w:rsidRDefault="00535D68" w:rsidP="00BF476E">
            <w:pPr>
              <w:pStyle w:val="BodyText"/>
              <w:spacing w:after="120"/>
              <w:jc w:val="both"/>
              <w:rPr>
                <w:rFonts w:cs="Times New Roman"/>
                <w:b/>
                <w:bCs/>
                <w:iCs/>
                <w:szCs w:val="24"/>
              </w:rPr>
            </w:pPr>
          </w:p>
        </w:tc>
        <w:tc>
          <w:tcPr>
            <w:tcW w:w="1701" w:type="dxa"/>
            <w:shd w:val="clear" w:color="auto" w:fill="auto"/>
          </w:tcPr>
          <w:p w:rsidR="00535D68" w:rsidRPr="00234A5A" w:rsidRDefault="00535D68" w:rsidP="00BF476E">
            <w:pPr>
              <w:pStyle w:val="BodyText"/>
              <w:spacing w:after="120"/>
              <w:jc w:val="center"/>
              <w:rPr>
                <w:rFonts w:cs="Times New Roman"/>
                <w:b/>
                <w:bCs/>
                <w:iCs/>
                <w:szCs w:val="24"/>
                <w:u w:val="single"/>
              </w:rPr>
            </w:pPr>
            <w:r w:rsidRPr="00234A5A">
              <w:rPr>
                <w:rFonts w:cs="Times New Roman"/>
                <w:iCs/>
                <w:szCs w:val="24"/>
              </w:rPr>
              <w:t>40mg</w:t>
            </w:r>
          </w:p>
        </w:tc>
        <w:tc>
          <w:tcPr>
            <w:tcW w:w="1559" w:type="dxa"/>
            <w:shd w:val="clear" w:color="auto" w:fill="auto"/>
          </w:tcPr>
          <w:p w:rsidR="00535D68" w:rsidRPr="00234A5A" w:rsidRDefault="00535D68" w:rsidP="00BF476E">
            <w:pPr>
              <w:pStyle w:val="BodyText"/>
              <w:spacing w:after="120"/>
              <w:jc w:val="center"/>
              <w:rPr>
                <w:rFonts w:cs="Times New Roman"/>
                <w:b/>
                <w:bCs/>
                <w:iCs/>
                <w:szCs w:val="24"/>
                <w:u w:val="single"/>
              </w:rPr>
            </w:pPr>
            <w:r w:rsidRPr="00234A5A">
              <w:rPr>
                <w:rFonts w:cs="Times New Roman"/>
                <w:iCs/>
                <w:szCs w:val="24"/>
              </w:rPr>
              <w:t>40mg</w:t>
            </w:r>
          </w:p>
        </w:tc>
        <w:tc>
          <w:tcPr>
            <w:tcW w:w="4031" w:type="dxa"/>
            <w:shd w:val="clear" w:color="auto" w:fill="auto"/>
          </w:tcPr>
          <w:p w:rsidR="00535D68" w:rsidRPr="00234A5A" w:rsidRDefault="00535D68" w:rsidP="00BF476E">
            <w:pPr>
              <w:pStyle w:val="BodyText"/>
              <w:spacing w:after="120"/>
              <w:jc w:val="both"/>
              <w:rPr>
                <w:rFonts w:cs="Times New Roman"/>
                <w:b/>
                <w:bCs/>
                <w:iCs/>
                <w:szCs w:val="24"/>
                <w:u w:val="single"/>
              </w:rPr>
            </w:pPr>
            <w:r w:rsidRPr="00234A5A">
              <w:rPr>
                <w:rFonts w:cs="Times New Roman"/>
                <w:iCs/>
                <w:szCs w:val="24"/>
              </w:rPr>
              <w:t>Second Dose (Day 14) as one 40mg injection</w:t>
            </w:r>
          </w:p>
        </w:tc>
      </w:tr>
      <w:tr w:rsidR="00535D68" w:rsidRPr="00234A5A" w:rsidTr="00BF476E">
        <w:tc>
          <w:tcPr>
            <w:tcW w:w="1951" w:type="dxa"/>
            <w:shd w:val="clear" w:color="auto" w:fill="auto"/>
          </w:tcPr>
          <w:p w:rsidR="00535D68" w:rsidRPr="001E11F2" w:rsidRDefault="00535D68" w:rsidP="00BF476E">
            <w:pPr>
              <w:pStyle w:val="BodyText"/>
              <w:spacing w:after="120"/>
              <w:jc w:val="both"/>
              <w:rPr>
                <w:rFonts w:cs="Times New Roman"/>
                <w:b/>
                <w:bCs/>
                <w:iCs/>
                <w:szCs w:val="24"/>
              </w:rPr>
            </w:pPr>
            <w:r w:rsidRPr="001E11F2">
              <w:rPr>
                <w:rFonts w:cs="Times New Roman"/>
                <w:b/>
                <w:bCs/>
                <w:iCs/>
                <w:szCs w:val="24"/>
              </w:rPr>
              <w:t>Maintenance</w:t>
            </w:r>
          </w:p>
        </w:tc>
        <w:tc>
          <w:tcPr>
            <w:tcW w:w="1701" w:type="dxa"/>
            <w:shd w:val="clear" w:color="auto" w:fill="auto"/>
          </w:tcPr>
          <w:p w:rsidR="00535D68" w:rsidRPr="00234A5A" w:rsidRDefault="00535D68" w:rsidP="00BF476E">
            <w:pPr>
              <w:pStyle w:val="BodyText"/>
              <w:spacing w:after="120"/>
              <w:jc w:val="center"/>
              <w:rPr>
                <w:rFonts w:cs="Times New Roman"/>
                <w:iCs/>
                <w:szCs w:val="24"/>
              </w:rPr>
            </w:pPr>
            <w:r w:rsidRPr="00234A5A">
              <w:rPr>
                <w:rFonts w:cs="Times New Roman"/>
                <w:iCs/>
                <w:szCs w:val="24"/>
              </w:rPr>
              <w:t>10mg</w:t>
            </w:r>
          </w:p>
        </w:tc>
        <w:tc>
          <w:tcPr>
            <w:tcW w:w="1559" w:type="dxa"/>
            <w:shd w:val="clear" w:color="auto" w:fill="auto"/>
          </w:tcPr>
          <w:p w:rsidR="00535D68" w:rsidRPr="00234A5A" w:rsidRDefault="00535D68" w:rsidP="00BF476E">
            <w:pPr>
              <w:pStyle w:val="BodyText"/>
              <w:spacing w:after="120"/>
              <w:jc w:val="center"/>
              <w:rPr>
                <w:rFonts w:cs="Times New Roman"/>
                <w:iCs/>
                <w:szCs w:val="24"/>
              </w:rPr>
            </w:pPr>
            <w:r w:rsidRPr="00234A5A">
              <w:rPr>
                <w:rFonts w:cs="Times New Roman"/>
                <w:iCs/>
                <w:szCs w:val="24"/>
              </w:rPr>
              <w:t>20mg</w:t>
            </w:r>
          </w:p>
        </w:tc>
        <w:tc>
          <w:tcPr>
            <w:tcW w:w="4031" w:type="dxa"/>
            <w:shd w:val="clear" w:color="auto" w:fill="auto"/>
          </w:tcPr>
          <w:p w:rsidR="00535D68" w:rsidRPr="00234A5A" w:rsidRDefault="00535D68" w:rsidP="00BF476E">
            <w:pPr>
              <w:pStyle w:val="BodyText"/>
              <w:spacing w:after="120"/>
              <w:jc w:val="both"/>
              <w:rPr>
                <w:rFonts w:cs="Times New Roman"/>
                <w:iCs/>
                <w:szCs w:val="24"/>
              </w:rPr>
            </w:pPr>
            <w:r w:rsidRPr="00234A5A">
              <w:rPr>
                <w:rFonts w:cs="Times New Roman"/>
                <w:iCs/>
                <w:szCs w:val="24"/>
              </w:rPr>
              <w:t>Starting Day 28 &amp; continuing fortnightly</w:t>
            </w:r>
          </w:p>
        </w:tc>
      </w:tr>
    </w:tbl>
    <w:p w:rsidR="00535D68" w:rsidRDefault="00535D68" w:rsidP="00535D68">
      <w:pPr>
        <w:pStyle w:val="BodyText"/>
        <w:spacing w:after="120"/>
        <w:jc w:val="both"/>
        <w:rPr>
          <w:rFonts w:cs="Times New Roman"/>
          <w:b/>
          <w:bCs/>
          <w:iCs/>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559"/>
        <w:gridCol w:w="4031"/>
      </w:tblGrid>
      <w:tr w:rsidR="00535D68" w:rsidRPr="00234A5A" w:rsidTr="00BF476E">
        <w:tc>
          <w:tcPr>
            <w:tcW w:w="9242" w:type="dxa"/>
            <w:gridSpan w:val="4"/>
            <w:shd w:val="clear" w:color="auto" w:fill="auto"/>
          </w:tcPr>
          <w:p w:rsidR="00535D68" w:rsidRPr="00AB5AA8" w:rsidRDefault="00535D68" w:rsidP="00BF476E">
            <w:pPr>
              <w:pStyle w:val="BodyText"/>
              <w:spacing w:after="120"/>
              <w:jc w:val="both"/>
              <w:rPr>
                <w:rFonts w:cs="Times New Roman"/>
                <w:b/>
                <w:bCs/>
                <w:iCs/>
                <w:szCs w:val="24"/>
              </w:rPr>
            </w:pPr>
            <w:r w:rsidRPr="001E11F2">
              <w:rPr>
                <w:rFonts w:cs="Times New Roman"/>
                <w:b/>
                <w:bCs/>
                <w:iCs/>
                <w:szCs w:val="24"/>
              </w:rPr>
              <w:t xml:space="preserve">Patients </w:t>
            </w:r>
            <w:r w:rsidRPr="001E11F2">
              <w:rPr>
                <w:b/>
                <w:bCs/>
                <w:iCs/>
                <w:szCs w:val="24"/>
              </w:rPr>
              <w:t>≥</w:t>
            </w:r>
            <w:r w:rsidRPr="00AB5AA8">
              <w:rPr>
                <w:rFonts w:cs="Times New Roman"/>
                <w:b/>
                <w:bCs/>
                <w:iCs/>
                <w:szCs w:val="24"/>
              </w:rPr>
              <w:t xml:space="preserve"> 40kg body weight</w:t>
            </w:r>
          </w:p>
        </w:tc>
      </w:tr>
      <w:tr w:rsidR="00535D68" w:rsidRPr="00234A5A" w:rsidTr="00BF476E">
        <w:tc>
          <w:tcPr>
            <w:tcW w:w="1951" w:type="dxa"/>
            <w:shd w:val="clear" w:color="auto" w:fill="auto"/>
          </w:tcPr>
          <w:p w:rsidR="00535D68" w:rsidRPr="001E11F2" w:rsidRDefault="00535D68" w:rsidP="00BF476E">
            <w:pPr>
              <w:pStyle w:val="BodyText"/>
              <w:spacing w:after="120"/>
              <w:jc w:val="both"/>
              <w:rPr>
                <w:rFonts w:cs="Times New Roman"/>
                <w:b/>
                <w:bCs/>
                <w:iCs/>
                <w:szCs w:val="24"/>
              </w:rPr>
            </w:pPr>
          </w:p>
        </w:tc>
        <w:tc>
          <w:tcPr>
            <w:tcW w:w="1701" w:type="dxa"/>
            <w:shd w:val="clear" w:color="auto" w:fill="auto"/>
          </w:tcPr>
          <w:p w:rsidR="00535D68" w:rsidRPr="001E11F2" w:rsidRDefault="00535D68" w:rsidP="00BF476E">
            <w:pPr>
              <w:pStyle w:val="BodyText"/>
              <w:spacing w:after="120"/>
              <w:jc w:val="center"/>
              <w:rPr>
                <w:rFonts w:cs="Times New Roman"/>
                <w:b/>
                <w:bCs/>
                <w:iCs/>
                <w:szCs w:val="24"/>
              </w:rPr>
            </w:pPr>
            <w:r w:rsidRPr="001E11F2">
              <w:rPr>
                <w:rFonts w:cs="Times New Roman"/>
                <w:b/>
                <w:bCs/>
                <w:iCs/>
                <w:szCs w:val="24"/>
              </w:rPr>
              <w:t>Moderate CD</w:t>
            </w:r>
          </w:p>
        </w:tc>
        <w:tc>
          <w:tcPr>
            <w:tcW w:w="1559" w:type="dxa"/>
            <w:shd w:val="clear" w:color="auto" w:fill="auto"/>
          </w:tcPr>
          <w:p w:rsidR="00535D68" w:rsidRPr="00AB5AA8" w:rsidRDefault="00535D68" w:rsidP="00BF476E">
            <w:pPr>
              <w:pStyle w:val="BodyText"/>
              <w:spacing w:after="120"/>
              <w:jc w:val="center"/>
              <w:rPr>
                <w:rFonts w:cs="Times New Roman"/>
                <w:b/>
                <w:bCs/>
                <w:iCs/>
                <w:szCs w:val="24"/>
              </w:rPr>
            </w:pPr>
            <w:r w:rsidRPr="00AB5AA8">
              <w:rPr>
                <w:rFonts w:cs="Times New Roman"/>
                <w:b/>
                <w:bCs/>
                <w:iCs/>
                <w:szCs w:val="24"/>
              </w:rPr>
              <w:t>Severe CD</w:t>
            </w:r>
          </w:p>
        </w:tc>
        <w:tc>
          <w:tcPr>
            <w:tcW w:w="4031" w:type="dxa"/>
            <w:shd w:val="clear" w:color="auto" w:fill="auto"/>
          </w:tcPr>
          <w:p w:rsidR="00535D68" w:rsidRPr="001E11F2" w:rsidRDefault="00535D68" w:rsidP="00BF476E">
            <w:pPr>
              <w:pStyle w:val="BodyText"/>
              <w:spacing w:after="120"/>
              <w:jc w:val="center"/>
              <w:rPr>
                <w:rFonts w:cs="Times New Roman"/>
                <w:b/>
                <w:bCs/>
                <w:iCs/>
                <w:szCs w:val="24"/>
              </w:rPr>
            </w:pPr>
            <w:r w:rsidRPr="00234A5A">
              <w:rPr>
                <w:rFonts w:cs="Times New Roman"/>
                <w:b/>
                <w:bCs/>
                <w:iCs/>
                <w:szCs w:val="24"/>
              </w:rPr>
              <w:t>Frequency</w:t>
            </w:r>
          </w:p>
        </w:tc>
      </w:tr>
      <w:tr w:rsidR="00535D68" w:rsidRPr="00234A5A" w:rsidTr="00BF476E">
        <w:tc>
          <w:tcPr>
            <w:tcW w:w="1951" w:type="dxa"/>
            <w:shd w:val="clear" w:color="auto" w:fill="auto"/>
          </w:tcPr>
          <w:p w:rsidR="00535D68" w:rsidRPr="001E11F2" w:rsidRDefault="00535D68" w:rsidP="00BF476E">
            <w:pPr>
              <w:pStyle w:val="BodyText"/>
              <w:spacing w:after="120"/>
              <w:jc w:val="both"/>
              <w:rPr>
                <w:rFonts w:cs="Times New Roman"/>
                <w:b/>
                <w:bCs/>
                <w:iCs/>
                <w:szCs w:val="24"/>
              </w:rPr>
            </w:pPr>
            <w:r w:rsidRPr="001E11F2">
              <w:rPr>
                <w:rFonts w:cs="Times New Roman"/>
                <w:b/>
                <w:bCs/>
                <w:iCs/>
                <w:szCs w:val="24"/>
              </w:rPr>
              <w:t>Induction</w:t>
            </w:r>
          </w:p>
        </w:tc>
        <w:tc>
          <w:tcPr>
            <w:tcW w:w="1701" w:type="dxa"/>
            <w:shd w:val="clear" w:color="auto" w:fill="auto"/>
          </w:tcPr>
          <w:p w:rsidR="00535D68" w:rsidRPr="00AB5AA8" w:rsidRDefault="00535D68" w:rsidP="00BF476E">
            <w:pPr>
              <w:pStyle w:val="BodyText"/>
              <w:spacing w:after="120"/>
              <w:jc w:val="center"/>
              <w:rPr>
                <w:rFonts w:cs="Times New Roman"/>
                <w:b/>
                <w:bCs/>
                <w:iCs/>
                <w:szCs w:val="24"/>
              </w:rPr>
            </w:pPr>
            <w:r w:rsidRPr="001E11F2">
              <w:rPr>
                <w:rFonts w:cs="Times New Roman"/>
                <w:iCs/>
                <w:szCs w:val="24"/>
              </w:rPr>
              <w:t>160 mg</w:t>
            </w:r>
          </w:p>
        </w:tc>
        <w:tc>
          <w:tcPr>
            <w:tcW w:w="1559" w:type="dxa"/>
            <w:shd w:val="clear" w:color="auto" w:fill="auto"/>
          </w:tcPr>
          <w:p w:rsidR="00535D68" w:rsidRPr="00AB5AA8" w:rsidRDefault="00535D68" w:rsidP="00BF476E">
            <w:pPr>
              <w:pStyle w:val="BodyText"/>
              <w:spacing w:after="120"/>
              <w:jc w:val="center"/>
              <w:rPr>
                <w:rFonts w:cs="Times New Roman"/>
                <w:b/>
                <w:bCs/>
                <w:iCs/>
                <w:szCs w:val="24"/>
              </w:rPr>
            </w:pPr>
            <w:r w:rsidRPr="00AB5AA8">
              <w:rPr>
                <w:rFonts w:cs="Times New Roman"/>
                <w:iCs/>
                <w:szCs w:val="24"/>
              </w:rPr>
              <w:t>160 mg</w:t>
            </w:r>
          </w:p>
        </w:tc>
        <w:tc>
          <w:tcPr>
            <w:tcW w:w="4031" w:type="dxa"/>
            <w:shd w:val="clear" w:color="auto" w:fill="auto"/>
          </w:tcPr>
          <w:p w:rsidR="00535D68" w:rsidRPr="001E11F2" w:rsidRDefault="00535D68" w:rsidP="00BF476E">
            <w:pPr>
              <w:pStyle w:val="BodyText"/>
              <w:spacing w:after="120"/>
              <w:jc w:val="both"/>
              <w:rPr>
                <w:rFonts w:cs="Times New Roman"/>
                <w:b/>
                <w:bCs/>
                <w:iCs/>
                <w:szCs w:val="24"/>
              </w:rPr>
            </w:pPr>
            <w:r w:rsidRPr="00234A5A">
              <w:rPr>
                <w:rFonts w:cs="Times New Roman"/>
                <w:iCs/>
                <w:szCs w:val="24"/>
              </w:rPr>
              <w:t>Initial Dose (Day 0) as four 40mg injections OR as two 40mg injections on Day 0 and two 40mg injections on Day 1</w:t>
            </w:r>
          </w:p>
        </w:tc>
      </w:tr>
      <w:tr w:rsidR="00535D68" w:rsidRPr="00234A5A" w:rsidTr="00BF476E">
        <w:tc>
          <w:tcPr>
            <w:tcW w:w="1951" w:type="dxa"/>
            <w:shd w:val="clear" w:color="auto" w:fill="auto"/>
          </w:tcPr>
          <w:p w:rsidR="00535D68" w:rsidRPr="001E11F2" w:rsidRDefault="00535D68" w:rsidP="00BF476E">
            <w:pPr>
              <w:pStyle w:val="BodyText"/>
              <w:spacing w:after="120"/>
              <w:jc w:val="both"/>
              <w:rPr>
                <w:rFonts w:cs="Times New Roman"/>
                <w:b/>
                <w:bCs/>
                <w:iCs/>
                <w:szCs w:val="24"/>
              </w:rPr>
            </w:pPr>
          </w:p>
        </w:tc>
        <w:tc>
          <w:tcPr>
            <w:tcW w:w="1701" w:type="dxa"/>
            <w:shd w:val="clear" w:color="auto" w:fill="auto"/>
          </w:tcPr>
          <w:p w:rsidR="00535D68" w:rsidRPr="00AB5AA8" w:rsidRDefault="00535D68" w:rsidP="00BF476E">
            <w:pPr>
              <w:pStyle w:val="BodyText"/>
              <w:spacing w:after="120"/>
              <w:jc w:val="center"/>
              <w:rPr>
                <w:rFonts w:cs="Times New Roman"/>
                <w:b/>
                <w:bCs/>
                <w:iCs/>
                <w:szCs w:val="24"/>
              </w:rPr>
            </w:pPr>
            <w:r w:rsidRPr="001E11F2">
              <w:rPr>
                <w:rFonts w:cs="Times New Roman"/>
                <w:iCs/>
                <w:szCs w:val="24"/>
              </w:rPr>
              <w:t>80mg</w:t>
            </w:r>
          </w:p>
        </w:tc>
        <w:tc>
          <w:tcPr>
            <w:tcW w:w="1559" w:type="dxa"/>
            <w:shd w:val="clear" w:color="auto" w:fill="auto"/>
          </w:tcPr>
          <w:p w:rsidR="00535D68" w:rsidRPr="00AB5AA8" w:rsidRDefault="00535D68" w:rsidP="00BF476E">
            <w:pPr>
              <w:pStyle w:val="BodyText"/>
              <w:spacing w:after="120"/>
              <w:jc w:val="center"/>
              <w:rPr>
                <w:rFonts w:cs="Times New Roman"/>
                <w:b/>
                <w:bCs/>
                <w:iCs/>
                <w:szCs w:val="24"/>
              </w:rPr>
            </w:pPr>
            <w:r w:rsidRPr="00AB5AA8">
              <w:rPr>
                <w:rFonts w:cs="Times New Roman"/>
                <w:iCs/>
                <w:szCs w:val="24"/>
              </w:rPr>
              <w:t>80mg</w:t>
            </w:r>
          </w:p>
        </w:tc>
        <w:tc>
          <w:tcPr>
            <w:tcW w:w="4031" w:type="dxa"/>
            <w:shd w:val="clear" w:color="auto" w:fill="auto"/>
          </w:tcPr>
          <w:p w:rsidR="00535D68" w:rsidRPr="001E11F2" w:rsidRDefault="00535D68" w:rsidP="00BF476E">
            <w:pPr>
              <w:pStyle w:val="BodyText"/>
              <w:spacing w:after="120"/>
              <w:jc w:val="both"/>
              <w:rPr>
                <w:rFonts w:cs="Times New Roman"/>
                <w:b/>
                <w:bCs/>
                <w:iCs/>
                <w:szCs w:val="24"/>
              </w:rPr>
            </w:pPr>
            <w:r w:rsidRPr="00234A5A">
              <w:rPr>
                <w:rFonts w:cs="Times New Roman"/>
                <w:iCs/>
                <w:szCs w:val="24"/>
              </w:rPr>
              <w:t>Second Dose (Day 14) as two 40mg injections</w:t>
            </w:r>
          </w:p>
        </w:tc>
      </w:tr>
      <w:tr w:rsidR="00535D68" w:rsidRPr="00234A5A" w:rsidTr="00BF476E">
        <w:tc>
          <w:tcPr>
            <w:tcW w:w="1951" w:type="dxa"/>
            <w:shd w:val="clear" w:color="auto" w:fill="auto"/>
          </w:tcPr>
          <w:p w:rsidR="00535D68" w:rsidRPr="001E11F2" w:rsidRDefault="00535D68" w:rsidP="00BF476E">
            <w:pPr>
              <w:pStyle w:val="BodyText"/>
              <w:spacing w:after="120"/>
              <w:jc w:val="both"/>
              <w:rPr>
                <w:rFonts w:cs="Times New Roman"/>
                <w:b/>
                <w:bCs/>
                <w:iCs/>
                <w:szCs w:val="24"/>
              </w:rPr>
            </w:pPr>
            <w:r w:rsidRPr="001E11F2">
              <w:rPr>
                <w:rFonts w:cs="Times New Roman"/>
                <w:b/>
                <w:bCs/>
                <w:iCs/>
                <w:szCs w:val="24"/>
              </w:rPr>
              <w:t>Maintenance</w:t>
            </w:r>
          </w:p>
        </w:tc>
        <w:tc>
          <w:tcPr>
            <w:tcW w:w="1701" w:type="dxa"/>
            <w:shd w:val="clear" w:color="auto" w:fill="auto"/>
          </w:tcPr>
          <w:p w:rsidR="00535D68" w:rsidRPr="00AB5AA8" w:rsidRDefault="00535D68" w:rsidP="00BF476E">
            <w:pPr>
              <w:pStyle w:val="BodyText"/>
              <w:spacing w:after="120"/>
              <w:jc w:val="center"/>
              <w:rPr>
                <w:rFonts w:cs="Times New Roman"/>
                <w:iCs/>
                <w:szCs w:val="24"/>
              </w:rPr>
            </w:pPr>
            <w:r w:rsidRPr="00AB5AA8">
              <w:rPr>
                <w:rFonts w:cs="Times New Roman"/>
                <w:iCs/>
                <w:szCs w:val="24"/>
              </w:rPr>
              <w:t>20mg</w:t>
            </w:r>
          </w:p>
        </w:tc>
        <w:tc>
          <w:tcPr>
            <w:tcW w:w="1559" w:type="dxa"/>
            <w:shd w:val="clear" w:color="auto" w:fill="auto"/>
          </w:tcPr>
          <w:p w:rsidR="00535D68" w:rsidRPr="00AB5AA8" w:rsidRDefault="00535D68" w:rsidP="00BF476E">
            <w:pPr>
              <w:pStyle w:val="BodyText"/>
              <w:spacing w:after="120"/>
              <w:jc w:val="center"/>
              <w:rPr>
                <w:rFonts w:cs="Times New Roman"/>
                <w:iCs/>
                <w:szCs w:val="24"/>
              </w:rPr>
            </w:pPr>
            <w:r w:rsidRPr="00AB5AA8">
              <w:rPr>
                <w:rFonts w:cs="Times New Roman"/>
                <w:iCs/>
                <w:szCs w:val="24"/>
              </w:rPr>
              <w:t>40mg</w:t>
            </w:r>
          </w:p>
        </w:tc>
        <w:tc>
          <w:tcPr>
            <w:tcW w:w="4031" w:type="dxa"/>
            <w:shd w:val="clear" w:color="auto" w:fill="auto"/>
          </w:tcPr>
          <w:p w:rsidR="00535D68" w:rsidRPr="00AB5AA8" w:rsidRDefault="00535D68" w:rsidP="00BF476E">
            <w:pPr>
              <w:pStyle w:val="BodyText"/>
              <w:spacing w:after="120"/>
              <w:jc w:val="both"/>
              <w:rPr>
                <w:rFonts w:cs="Times New Roman"/>
                <w:iCs/>
                <w:szCs w:val="24"/>
              </w:rPr>
            </w:pPr>
            <w:r w:rsidRPr="00AB5AA8">
              <w:rPr>
                <w:rFonts w:cs="Times New Roman"/>
                <w:iCs/>
                <w:szCs w:val="24"/>
              </w:rPr>
              <w:t>Starting Day 28 &amp; continuing fortnightly</w:t>
            </w:r>
          </w:p>
        </w:tc>
      </w:tr>
    </w:tbl>
    <w:p w:rsidR="00535D68" w:rsidRPr="00327A60" w:rsidRDefault="00535D68" w:rsidP="00535D68">
      <w:pPr>
        <w:pStyle w:val="BodyText"/>
        <w:spacing w:after="120"/>
        <w:jc w:val="both"/>
        <w:rPr>
          <w:rFonts w:cs="Times New Roman"/>
          <w:b/>
          <w:bCs/>
          <w:iCs/>
          <w:szCs w:val="24"/>
          <w:u w:val="single"/>
        </w:rPr>
      </w:pPr>
    </w:p>
    <w:p w:rsidR="00535D68" w:rsidRPr="00327A60" w:rsidRDefault="00535D68" w:rsidP="00535D68">
      <w:pPr>
        <w:autoSpaceDE w:val="0"/>
        <w:autoSpaceDN w:val="0"/>
        <w:adjustRightInd w:val="0"/>
        <w:rPr>
          <w:rFonts w:ascii="Arial" w:hAnsi="Arial"/>
          <w:sz w:val="20"/>
        </w:rPr>
      </w:pPr>
      <w:r w:rsidRPr="00327A60">
        <w:rPr>
          <w:rFonts w:ascii="Arial" w:hAnsi="Arial"/>
          <w:sz w:val="20"/>
        </w:rPr>
        <w:t xml:space="preserve">Some patients may benefit from increasing the frequency to weekly if a disease flare or an inadequate response is experienced during maintenance dosing. </w:t>
      </w:r>
    </w:p>
    <w:p w:rsidR="00535D68" w:rsidRDefault="00535D68" w:rsidP="00535D68">
      <w:pPr>
        <w:autoSpaceDE w:val="0"/>
        <w:autoSpaceDN w:val="0"/>
        <w:adjustRightInd w:val="0"/>
        <w:rPr>
          <w:rFonts w:ascii="Arial" w:hAnsi="Arial" w:cs="Arial"/>
          <w:sz w:val="20"/>
          <w:szCs w:val="20"/>
          <w:lang w:eastAsia="en-AU"/>
        </w:rPr>
      </w:pPr>
    </w:p>
    <w:p w:rsidR="00535D68" w:rsidRPr="00327A60" w:rsidRDefault="00535D68" w:rsidP="00535D68">
      <w:pPr>
        <w:autoSpaceDE w:val="0"/>
        <w:autoSpaceDN w:val="0"/>
        <w:adjustRightInd w:val="0"/>
        <w:rPr>
          <w:rFonts w:ascii="Arial" w:hAnsi="Arial" w:cs="Arial"/>
          <w:sz w:val="20"/>
          <w:szCs w:val="20"/>
          <w:lang w:eastAsia="en-AU"/>
        </w:rPr>
      </w:pPr>
      <w:r w:rsidRPr="00327A60">
        <w:rPr>
          <w:rFonts w:ascii="Arial" w:hAnsi="Arial" w:cs="Arial"/>
          <w:sz w:val="20"/>
          <w:szCs w:val="20"/>
          <w:lang w:eastAsia="en-AU"/>
        </w:rPr>
        <w:t>Continued therapy should be carefully considered in a subject not responding by week 12.</w:t>
      </w:r>
    </w:p>
    <w:p w:rsidR="00CF2B8F" w:rsidRDefault="00CF2B8F" w:rsidP="00535D68">
      <w:pPr>
        <w:autoSpaceDE w:val="0"/>
        <w:autoSpaceDN w:val="0"/>
        <w:adjustRightInd w:val="0"/>
        <w:rPr>
          <w:rFonts w:ascii="Arial" w:hAnsi="Arial" w:cs="Arial"/>
          <w:sz w:val="20"/>
          <w:szCs w:val="20"/>
          <w:lang w:eastAsia="en-AU"/>
        </w:rPr>
      </w:pPr>
    </w:p>
    <w:p w:rsidR="00916155" w:rsidRPr="00CF2B8F" w:rsidRDefault="00535D68" w:rsidP="00CF2B8F">
      <w:pPr>
        <w:autoSpaceDE w:val="0"/>
        <w:autoSpaceDN w:val="0"/>
        <w:adjustRightInd w:val="0"/>
        <w:rPr>
          <w:rFonts w:ascii="Arial" w:hAnsi="Arial" w:cs="Arial"/>
          <w:sz w:val="20"/>
          <w:szCs w:val="20"/>
          <w:lang w:eastAsia="en-AU"/>
        </w:rPr>
      </w:pPr>
      <w:r w:rsidRPr="00327A60">
        <w:rPr>
          <w:rFonts w:ascii="Arial" w:hAnsi="Arial" w:cs="Arial"/>
          <w:sz w:val="20"/>
          <w:szCs w:val="20"/>
          <w:lang w:eastAsia="en-AU"/>
        </w:rPr>
        <w:t>Good nutrition should be encouraged alongside pharmacological therapy to allow appropriate growth.</w:t>
      </w:r>
    </w:p>
    <w:p w:rsidR="00535D68" w:rsidRDefault="00535D68" w:rsidP="0022447E">
      <w:pPr>
        <w:pStyle w:val="DefaultText"/>
        <w:rPr>
          <w:rFonts w:cs="Arial"/>
          <w:b/>
          <w:sz w:val="20"/>
          <w:lang w:val="en-GB"/>
        </w:rPr>
      </w:pPr>
    </w:p>
    <w:p w:rsidR="0022447E" w:rsidRPr="005C4256" w:rsidRDefault="0022447E" w:rsidP="0022447E">
      <w:pPr>
        <w:pStyle w:val="DefaultText"/>
        <w:rPr>
          <w:rFonts w:cs="Arial"/>
          <w:b/>
          <w:sz w:val="20"/>
          <w:lang w:val="en-GB"/>
        </w:rPr>
      </w:pPr>
      <w:r w:rsidRPr="005C4256">
        <w:rPr>
          <w:rFonts w:cs="Arial"/>
          <w:b/>
          <w:sz w:val="20"/>
          <w:lang w:val="en-GB"/>
        </w:rPr>
        <w:t>Ulcerative colitis</w:t>
      </w:r>
    </w:p>
    <w:p w:rsidR="008B1984" w:rsidRDefault="008B1984" w:rsidP="0022447E">
      <w:pPr>
        <w:pStyle w:val="DefaultText"/>
        <w:rPr>
          <w:rFonts w:cs="Arial"/>
          <w:b/>
          <w:sz w:val="20"/>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1942"/>
        <w:gridCol w:w="4427"/>
      </w:tblGrid>
      <w:tr w:rsidR="008B1984" w:rsidRPr="002430F3" w:rsidTr="007A5402">
        <w:trPr>
          <w:trHeight w:val="284"/>
        </w:trPr>
        <w:tc>
          <w:tcPr>
            <w:tcW w:w="3206" w:type="dxa"/>
            <w:tcBorders>
              <w:top w:val="single" w:sz="2" w:space="0" w:color="auto"/>
              <w:left w:val="single" w:sz="2" w:space="0" w:color="auto"/>
              <w:bottom w:val="single" w:sz="2" w:space="0" w:color="auto"/>
              <w:right w:val="single" w:sz="2" w:space="0" w:color="auto"/>
            </w:tcBorders>
          </w:tcPr>
          <w:p w:rsidR="008B1984" w:rsidRPr="002430F3" w:rsidRDefault="008B1984" w:rsidP="007A5402">
            <w:pPr>
              <w:pStyle w:val="BodyText"/>
              <w:jc w:val="both"/>
              <w:rPr>
                <w:rFonts w:cs="Times New Roman"/>
                <w:iCs/>
                <w:szCs w:val="24"/>
              </w:rPr>
            </w:pPr>
          </w:p>
        </w:tc>
        <w:tc>
          <w:tcPr>
            <w:tcW w:w="1942" w:type="dxa"/>
            <w:tcBorders>
              <w:left w:val="single" w:sz="2" w:space="0" w:color="auto"/>
            </w:tcBorders>
          </w:tcPr>
          <w:p w:rsidR="008B1984" w:rsidRPr="002430F3" w:rsidRDefault="008B1984" w:rsidP="007A5402">
            <w:pPr>
              <w:pStyle w:val="BodyText"/>
              <w:jc w:val="center"/>
              <w:rPr>
                <w:rFonts w:cs="Times New Roman"/>
                <w:b/>
                <w:bCs/>
                <w:iCs/>
                <w:szCs w:val="24"/>
              </w:rPr>
            </w:pPr>
            <w:r w:rsidRPr="002430F3">
              <w:rPr>
                <w:rFonts w:cs="Times New Roman"/>
                <w:b/>
                <w:bCs/>
                <w:iCs/>
                <w:szCs w:val="24"/>
              </w:rPr>
              <w:t>Dose</w:t>
            </w:r>
          </w:p>
        </w:tc>
        <w:tc>
          <w:tcPr>
            <w:tcW w:w="4427" w:type="dxa"/>
          </w:tcPr>
          <w:p w:rsidR="008B1984" w:rsidRPr="002430F3" w:rsidRDefault="008B1984" w:rsidP="007A5402">
            <w:pPr>
              <w:pStyle w:val="BodyText"/>
              <w:jc w:val="center"/>
              <w:rPr>
                <w:rFonts w:cs="Times New Roman"/>
                <w:b/>
                <w:bCs/>
                <w:iCs/>
                <w:szCs w:val="24"/>
              </w:rPr>
            </w:pPr>
            <w:r w:rsidRPr="002430F3">
              <w:rPr>
                <w:rFonts w:cs="Times New Roman"/>
                <w:b/>
                <w:bCs/>
                <w:iCs/>
                <w:szCs w:val="24"/>
              </w:rPr>
              <w:t>Frequency</w:t>
            </w:r>
          </w:p>
        </w:tc>
      </w:tr>
      <w:tr w:rsidR="008B1984" w:rsidRPr="002430F3" w:rsidTr="007A5402">
        <w:trPr>
          <w:trHeight w:val="284"/>
        </w:trPr>
        <w:tc>
          <w:tcPr>
            <w:tcW w:w="3206" w:type="dxa"/>
            <w:tcBorders>
              <w:top w:val="single" w:sz="2" w:space="0" w:color="auto"/>
              <w:left w:val="single" w:sz="2" w:space="0" w:color="auto"/>
              <w:bottom w:val="single" w:sz="2" w:space="0" w:color="auto"/>
              <w:right w:val="single" w:sz="2" w:space="0" w:color="auto"/>
            </w:tcBorders>
          </w:tcPr>
          <w:p w:rsidR="008B1984" w:rsidRPr="002430F3" w:rsidRDefault="008B1984" w:rsidP="007A5402">
            <w:pPr>
              <w:pStyle w:val="BodyText"/>
              <w:jc w:val="both"/>
              <w:rPr>
                <w:rFonts w:cs="Times New Roman"/>
                <w:b/>
                <w:bCs/>
                <w:iCs/>
                <w:szCs w:val="24"/>
              </w:rPr>
            </w:pPr>
            <w:r w:rsidRPr="002430F3">
              <w:rPr>
                <w:rFonts w:cs="Times New Roman"/>
                <w:b/>
                <w:bCs/>
                <w:iCs/>
                <w:szCs w:val="24"/>
              </w:rPr>
              <w:t>Induction</w:t>
            </w:r>
          </w:p>
        </w:tc>
        <w:tc>
          <w:tcPr>
            <w:tcW w:w="1942" w:type="dxa"/>
            <w:tcBorders>
              <w:left w:val="single" w:sz="2" w:space="0" w:color="auto"/>
            </w:tcBorders>
          </w:tcPr>
          <w:p w:rsidR="008B1984" w:rsidRPr="002430F3" w:rsidRDefault="008B1984" w:rsidP="007A5402">
            <w:pPr>
              <w:pStyle w:val="BodyText"/>
              <w:jc w:val="center"/>
              <w:rPr>
                <w:rFonts w:cs="Times New Roman"/>
                <w:iCs/>
                <w:szCs w:val="24"/>
              </w:rPr>
            </w:pPr>
            <w:r w:rsidRPr="002430F3">
              <w:rPr>
                <w:rFonts w:cs="Times New Roman"/>
                <w:iCs/>
                <w:szCs w:val="24"/>
              </w:rPr>
              <w:t xml:space="preserve">160 mg </w:t>
            </w:r>
          </w:p>
        </w:tc>
        <w:tc>
          <w:tcPr>
            <w:tcW w:w="4427" w:type="dxa"/>
          </w:tcPr>
          <w:p w:rsidR="008B1984" w:rsidRPr="002430F3" w:rsidRDefault="008B1984" w:rsidP="007A5402">
            <w:pPr>
              <w:pStyle w:val="BodyText"/>
              <w:rPr>
                <w:rFonts w:cs="Times New Roman"/>
                <w:iCs/>
                <w:szCs w:val="24"/>
              </w:rPr>
            </w:pPr>
            <w:r w:rsidRPr="002430F3">
              <w:rPr>
                <w:rFonts w:cs="Times New Roman"/>
                <w:iCs/>
                <w:szCs w:val="24"/>
              </w:rPr>
              <w:t>Initial Dose (Day 0) as four injections OR as two injections on Day 0 and two injections on Day 1</w:t>
            </w:r>
          </w:p>
        </w:tc>
      </w:tr>
      <w:tr w:rsidR="008B1984" w:rsidRPr="002430F3" w:rsidTr="007A5402">
        <w:trPr>
          <w:trHeight w:val="284"/>
        </w:trPr>
        <w:tc>
          <w:tcPr>
            <w:tcW w:w="3206" w:type="dxa"/>
            <w:tcBorders>
              <w:top w:val="single" w:sz="2" w:space="0" w:color="auto"/>
              <w:left w:val="single" w:sz="2" w:space="0" w:color="auto"/>
              <w:bottom w:val="single" w:sz="2" w:space="0" w:color="auto"/>
              <w:right w:val="single" w:sz="2" w:space="0" w:color="auto"/>
            </w:tcBorders>
          </w:tcPr>
          <w:p w:rsidR="008B1984" w:rsidRPr="002430F3" w:rsidRDefault="008B1984" w:rsidP="007A5402">
            <w:pPr>
              <w:pStyle w:val="BodyText"/>
              <w:jc w:val="both"/>
              <w:rPr>
                <w:rFonts w:cs="Times New Roman"/>
                <w:b/>
                <w:bCs/>
                <w:iCs/>
                <w:szCs w:val="24"/>
              </w:rPr>
            </w:pPr>
          </w:p>
        </w:tc>
        <w:tc>
          <w:tcPr>
            <w:tcW w:w="1942" w:type="dxa"/>
            <w:tcBorders>
              <w:left w:val="single" w:sz="2" w:space="0" w:color="auto"/>
            </w:tcBorders>
          </w:tcPr>
          <w:p w:rsidR="008B1984" w:rsidRPr="002430F3" w:rsidRDefault="008B1984" w:rsidP="007A5402">
            <w:pPr>
              <w:pStyle w:val="BodyText"/>
              <w:jc w:val="center"/>
              <w:rPr>
                <w:rFonts w:cs="Times New Roman"/>
                <w:iCs/>
                <w:szCs w:val="24"/>
              </w:rPr>
            </w:pPr>
            <w:r w:rsidRPr="002430F3">
              <w:rPr>
                <w:rFonts w:cs="Times New Roman"/>
                <w:iCs/>
                <w:szCs w:val="24"/>
              </w:rPr>
              <w:t>80mg</w:t>
            </w:r>
          </w:p>
        </w:tc>
        <w:tc>
          <w:tcPr>
            <w:tcW w:w="4427" w:type="dxa"/>
          </w:tcPr>
          <w:p w:rsidR="008B1984" w:rsidRPr="002430F3" w:rsidRDefault="008B1984" w:rsidP="007A5402">
            <w:pPr>
              <w:pStyle w:val="BodyText"/>
              <w:rPr>
                <w:rFonts w:cs="Times New Roman"/>
                <w:iCs/>
                <w:color w:val="0000FF"/>
                <w:szCs w:val="24"/>
              </w:rPr>
            </w:pPr>
            <w:r w:rsidRPr="002430F3">
              <w:rPr>
                <w:rFonts w:cs="Times New Roman"/>
                <w:iCs/>
                <w:szCs w:val="24"/>
              </w:rPr>
              <w:t>Second Dose (Day 14) as two injections</w:t>
            </w:r>
          </w:p>
        </w:tc>
      </w:tr>
      <w:tr w:rsidR="008B1984" w:rsidRPr="002430F3" w:rsidTr="007A5402">
        <w:trPr>
          <w:trHeight w:val="284"/>
        </w:trPr>
        <w:tc>
          <w:tcPr>
            <w:tcW w:w="3206" w:type="dxa"/>
            <w:tcBorders>
              <w:top w:val="single" w:sz="2" w:space="0" w:color="auto"/>
              <w:left w:val="single" w:sz="2" w:space="0" w:color="auto"/>
              <w:bottom w:val="single" w:sz="2" w:space="0" w:color="auto"/>
              <w:right w:val="single" w:sz="2" w:space="0" w:color="auto"/>
            </w:tcBorders>
          </w:tcPr>
          <w:p w:rsidR="008B1984" w:rsidRPr="002430F3" w:rsidRDefault="008B1984" w:rsidP="007A5402">
            <w:pPr>
              <w:pStyle w:val="BodyText"/>
              <w:jc w:val="both"/>
              <w:rPr>
                <w:rFonts w:cs="Times New Roman"/>
                <w:b/>
                <w:bCs/>
                <w:iCs/>
                <w:szCs w:val="24"/>
              </w:rPr>
            </w:pPr>
            <w:r w:rsidRPr="002430F3">
              <w:rPr>
                <w:rFonts w:cs="Times New Roman"/>
                <w:b/>
                <w:bCs/>
                <w:iCs/>
                <w:szCs w:val="24"/>
              </w:rPr>
              <w:t>Maintenance</w:t>
            </w:r>
          </w:p>
        </w:tc>
        <w:tc>
          <w:tcPr>
            <w:tcW w:w="1942" w:type="dxa"/>
            <w:tcBorders>
              <w:left w:val="single" w:sz="2" w:space="0" w:color="auto"/>
            </w:tcBorders>
          </w:tcPr>
          <w:p w:rsidR="008B1984" w:rsidRPr="002430F3" w:rsidRDefault="008B1984" w:rsidP="007A5402">
            <w:pPr>
              <w:pStyle w:val="BodyText"/>
              <w:jc w:val="center"/>
              <w:rPr>
                <w:rFonts w:cs="Times New Roman"/>
                <w:iCs/>
                <w:szCs w:val="24"/>
              </w:rPr>
            </w:pPr>
            <w:r w:rsidRPr="002430F3">
              <w:rPr>
                <w:rFonts w:cs="Times New Roman"/>
                <w:iCs/>
                <w:szCs w:val="24"/>
              </w:rPr>
              <w:t>40mg</w:t>
            </w:r>
          </w:p>
        </w:tc>
        <w:tc>
          <w:tcPr>
            <w:tcW w:w="4427" w:type="dxa"/>
          </w:tcPr>
          <w:p w:rsidR="008B1984" w:rsidRPr="002430F3" w:rsidRDefault="008B1984" w:rsidP="007A5402">
            <w:pPr>
              <w:pStyle w:val="BodyText"/>
              <w:rPr>
                <w:rFonts w:cs="Times New Roman"/>
                <w:iCs/>
                <w:szCs w:val="24"/>
              </w:rPr>
            </w:pPr>
            <w:r w:rsidRPr="002430F3">
              <w:rPr>
                <w:rFonts w:cs="Times New Roman"/>
                <w:iCs/>
                <w:szCs w:val="24"/>
              </w:rPr>
              <w:t>Starting Day 28 &amp; continuing fortnightly</w:t>
            </w:r>
          </w:p>
        </w:tc>
      </w:tr>
    </w:tbl>
    <w:p w:rsidR="0022447E" w:rsidRPr="00A51F13" w:rsidRDefault="0022447E" w:rsidP="0022447E">
      <w:pPr>
        <w:pStyle w:val="DefaultText"/>
        <w:rPr>
          <w:rFonts w:cs="Arial"/>
          <w:b/>
          <w:sz w:val="20"/>
          <w:u w:val="single"/>
          <w:lang w:val="en-GB"/>
        </w:rPr>
      </w:pPr>
    </w:p>
    <w:p w:rsidR="0022447E" w:rsidRPr="004F3F4A" w:rsidRDefault="0022447E" w:rsidP="0022447E">
      <w:pPr>
        <w:pStyle w:val="DefaultText"/>
        <w:rPr>
          <w:rFonts w:cs="Arial"/>
          <w:sz w:val="20"/>
          <w:lang w:val="en-GB"/>
        </w:rPr>
      </w:pPr>
      <w:r w:rsidRPr="004F3F4A">
        <w:rPr>
          <w:rFonts w:cs="Arial"/>
          <w:sz w:val="20"/>
          <w:lang w:val="en-GB"/>
        </w:rPr>
        <w:t xml:space="preserve">During maintenance treatment, corticosteroids may be tapered in accordance with clinical practice guidelines. </w:t>
      </w:r>
    </w:p>
    <w:p w:rsidR="0022447E" w:rsidRPr="004F3F4A" w:rsidRDefault="0022447E" w:rsidP="0022447E">
      <w:pPr>
        <w:pStyle w:val="DefaultText"/>
        <w:rPr>
          <w:rFonts w:cs="Arial"/>
          <w:sz w:val="20"/>
          <w:lang w:val="en-GB"/>
        </w:rPr>
      </w:pPr>
    </w:p>
    <w:p w:rsidR="0022447E" w:rsidRDefault="0022447E" w:rsidP="0022447E">
      <w:pPr>
        <w:pStyle w:val="DefaultText"/>
        <w:rPr>
          <w:rFonts w:cs="Arial"/>
          <w:sz w:val="20"/>
          <w:lang w:val="en-GB"/>
        </w:rPr>
      </w:pPr>
      <w:r w:rsidRPr="004F3F4A">
        <w:rPr>
          <w:rFonts w:cs="Arial"/>
          <w:sz w:val="20"/>
          <w:lang w:val="en-GB"/>
        </w:rPr>
        <w:t>Some patients who experience decrease in their response may benefit from an increase in dosing frequency to 40 mg Humira every week.</w:t>
      </w:r>
    </w:p>
    <w:p w:rsidR="008B1984" w:rsidRPr="004F3F4A" w:rsidRDefault="008B1984" w:rsidP="0022447E">
      <w:pPr>
        <w:pStyle w:val="DefaultText"/>
        <w:rPr>
          <w:rFonts w:cs="Arial"/>
          <w:sz w:val="20"/>
          <w:lang w:val="en-GB"/>
        </w:rPr>
      </w:pPr>
    </w:p>
    <w:p w:rsidR="00DF4980" w:rsidRDefault="00F41583" w:rsidP="0022447E">
      <w:pPr>
        <w:pStyle w:val="DefaultText"/>
        <w:rPr>
          <w:b/>
        </w:rPr>
      </w:pPr>
      <w:r w:rsidRPr="00D57C80">
        <w:rPr>
          <w:rFonts w:cs="Arial"/>
          <w:sz w:val="20"/>
          <w:lang w:val="en-GB"/>
        </w:rPr>
        <w:t>H</w:t>
      </w:r>
      <w:r>
        <w:rPr>
          <w:rFonts w:cs="Arial"/>
          <w:sz w:val="20"/>
          <w:lang w:val="en-GB"/>
        </w:rPr>
        <w:t>umira</w:t>
      </w:r>
      <w:r w:rsidRPr="00D57C80">
        <w:rPr>
          <w:rFonts w:cs="Arial"/>
          <w:sz w:val="20"/>
          <w:lang w:val="en-GB"/>
        </w:rPr>
        <w:t xml:space="preserve"> </w:t>
      </w:r>
      <w:r w:rsidR="009E19BB" w:rsidRPr="00D57C80">
        <w:rPr>
          <w:rFonts w:cs="Arial"/>
          <w:sz w:val="20"/>
          <w:lang w:val="en-GB"/>
        </w:rPr>
        <w:t>should not be continued in patients who do not achieve a clinical response in the first 8 weeks of treatment.  Efficacy of Humira in the treatment of ulcerative colitis has not been demonstrated in patients who've failed previous anti-TNF therapy (see CLINICAL TRIALS).</w:t>
      </w:r>
      <w:r w:rsidR="009E19BB" w:rsidRPr="009E19BB">
        <w:rPr>
          <w:b/>
        </w:rPr>
        <w:t xml:space="preserve">  </w:t>
      </w:r>
    </w:p>
    <w:p w:rsidR="00D57C80" w:rsidRDefault="00D57C80" w:rsidP="0022447E">
      <w:pPr>
        <w:pStyle w:val="DefaultText"/>
        <w:rPr>
          <w:rFonts w:cs="Arial"/>
          <w:b/>
          <w:bCs w:val="0"/>
          <w:sz w:val="20"/>
        </w:rPr>
      </w:pPr>
    </w:p>
    <w:p w:rsidR="00E44F87" w:rsidRPr="002430F3" w:rsidRDefault="00E44F87">
      <w:pPr>
        <w:pStyle w:val="DefaultText"/>
        <w:rPr>
          <w:rFonts w:cs="Arial"/>
          <w:b/>
          <w:bCs w:val="0"/>
          <w:sz w:val="20"/>
        </w:rPr>
      </w:pPr>
      <w:r w:rsidRPr="002430F3">
        <w:rPr>
          <w:rFonts w:cs="Arial"/>
          <w:b/>
          <w:bCs w:val="0"/>
          <w:sz w:val="20"/>
        </w:rPr>
        <w:t>Psoriasis</w:t>
      </w:r>
    </w:p>
    <w:p w:rsidR="00E44F87" w:rsidRDefault="00E44F87">
      <w:pPr>
        <w:pStyle w:val="DefaultText"/>
        <w:rPr>
          <w:rFonts w:cs="Arial"/>
          <w:sz w:val="20"/>
        </w:rPr>
      </w:pPr>
    </w:p>
    <w:p w:rsidR="00E44F87" w:rsidRDefault="00E44F87">
      <w:pPr>
        <w:pStyle w:val="BodyText"/>
        <w:jc w:val="both"/>
        <w:rPr>
          <w:rFonts w:cs="Times New Roman"/>
          <w:iCs/>
          <w:szCs w:val="24"/>
        </w:rPr>
      </w:pPr>
      <w:r>
        <w:t>The recommended dose of Humira for adult patients is an initial dose of 80 mg, followed by 40 mg fortnightly, starting one week after the initial dose.</w:t>
      </w:r>
    </w:p>
    <w:p w:rsidR="00AA2A78" w:rsidRDefault="00AA2A78">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b/>
          <w:i/>
          <w:sz w:val="20"/>
        </w:rPr>
      </w:pPr>
      <w:r>
        <w:rPr>
          <w:rFonts w:ascii="Arial" w:hAnsi="Arial"/>
          <w:b/>
          <w:i/>
          <w:sz w:val="20"/>
        </w:rPr>
        <w:t>Preparation of Humira</w:t>
      </w:r>
    </w:p>
    <w:p w:rsidR="00E44F87" w:rsidRDefault="00E44F87">
      <w:pPr>
        <w:autoSpaceDE w:val="0"/>
        <w:autoSpaceDN w:val="0"/>
        <w:adjustRightInd w:val="0"/>
        <w:jc w:val="both"/>
        <w:rPr>
          <w:rFonts w:ascii="Arial" w:hAnsi="Arial"/>
          <w:b/>
          <w:i/>
          <w:sz w:val="20"/>
        </w:rPr>
      </w:pPr>
    </w:p>
    <w:p w:rsidR="00E44F87" w:rsidRDefault="00E44F87">
      <w:pPr>
        <w:autoSpaceDE w:val="0"/>
        <w:autoSpaceDN w:val="0"/>
        <w:adjustRightInd w:val="0"/>
        <w:jc w:val="both"/>
        <w:rPr>
          <w:rFonts w:ascii="Arial" w:hAnsi="Arial"/>
          <w:sz w:val="20"/>
        </w:rPr>
      </w:pPr>
      <w:r>
        <w:rPr>
          <w:rFonts w:ascii="Arial" w:hAnsi="Arial"/>
          <w:sz w:val="20"/>
        </w:rPr>
        <w:t>Humira is intended for use under the guidance and supervision of a physician. Patients may self-inject Humira if their physician determines that it is appropriate and with medical follow-up, as necessary, after proper training in subcutaneous injection technique.</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Sites for self-injection include thigh or abdomen. Injection sites should be rotated. New injections should never be given into areas where the skin is tender, bruised, red or hard.</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Parenteral drug products should be inspected visually for particulate matter and discolouration prior to administration, whenever solution and container permit.</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Humira should not be mixed in the same syringe or vial with any other medicine. Any unused product or waste material should be disposed of in accordance with local requirements.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Humira contains no antimicrobial agent. Discard any residue.</w:t>
      </w:r>
    </w:p>
    <w:p w:rsidR="00E44F87" w:rsidRDefault="00E44F87">
      <w:pPr>
        <w:autoSpaceDE w:val="0"/>
        <w:autoSpaceDN w:val="0"/>
        <w:adjustRightInd w:val="0"/>
        <w:jc w:val="both"/>
        <w:rPr>
          <w:rFonts w:ascii="Arial" w:hAnsi="Arial" w:cs="Arial"/>
          <w:b/>
          <w:bCs/>
          <w:sz w:val="20"/>
          <w:u w:val="single"/>
        </w:rPr>
      </w:pPr>
    </w:p>
    <w:p w:rsidR="001263B1" w:rsidRDefault="001263B1">
      <w:pPr>
        <w:autoSpaceDE w:val="0"/>
        <w:autoSpaceDN w:val="0"/>
        <w:adjustRightInd w:val="0"/>
        <w:jc w:val="both"/>
        <w:rPr>
          <w:rFonts w:ascii="Arial" w:hAnsi="Arial" w:cs="Arial"/>
          <w:b/>
          <w:bCs/>
          <w:sz w:val="20"/>
        </w:rPr>
      </w:pPr>
    </w:p>
    <w:p w:rsidR="00E44F87" w:rsidRPr="002430F3" w:rsidRDefault="00E44F87">
      <w:pPr>
        <w:autoSpaceDE w:val="0"/>
        <w:autoSpaceDN w:val="0"/>
        <w:adjustRightInd w:val="0"/>
        <w:jc w:val="both"/>
        <w:rPr>
          <w:rFonts w:ascii="Arial" w:hAnsi="Arial" w:cs="Arial"/>
          <w:b/>
          <w:bCs/>
          <w:sz w:val="20"/>
        </w:rPr>
      </w:pPr>
      <w:r w:rsidRPr="002430F3">
        <w:rPr>
          <w:rFonts w:ascii="Arial" w:hAnsi="Arial" w:cs="Arial"/>
          <w:b/>
          <w:bCs/>
          <w:sz w:val="20"/>
        </w:rPr>
        <w:t>OVERDOSAGE</w:t>
      </w:r>
    </w:p>
    <w:p w:rsidR="00E44F87" w:rsidRDefault="00E44F87">
      <w:pPr>
        <w:autoSpaceDE w:val="0"/>
        <w:autoSpaceDN w:val="0"/>
        <w:adjustRightInd w:val="0"/>
        <w:jc w:val="both"/>
        <w:rPr>
          <w:rFonts w:ascii="Arial" w:hAnsi="Arial" w:cs="Arial"/>
          <w:b/>
          <w:bCs/>
          <w:sz w:val="20"/>
          <w:u w:val="single"/>
        </w:rPr>
      </w:pPr>
    </w:p>
    <w:p w:rsidR="00E44F87" w:rsidRDefault="00E44F87">
      <w:pPr>
        <w:autoSpaceDE w:val="0"/>
        <w:autoSpaceDN w:val="0"/>
        <w:adjustRightInd w:val="0"/>
        <w:jc w:val="both"/>
        <w:rPr>
          <w:rFonts w:ascii="Arial" w:hAnsi="Arial"/>
          <w:sz w:val="20"/>
        </w:rPr>
      </w:pPr>
      <w:r>
        <w:rPr>
          <w:rFonts w:ascii="Arial" w:hAnsi="Arial"/>
          <w:sz w:val="20"/>
        </w:rPr>
        <w:t>The maximum tolerated dose of Humira has not been established in humans. No dose-limiting toxicities have been observed during clinical trials with Humira. Multiple doses up to 10 mg/kg have been administered to patients in clinical trials without evidence of dose-limiting toxicities. In case of overdosage, it is recommended that the patient be monitored for any signs or symptoms of adverse reactions or effects and appropriate symptomatic treatment instituted immediately.</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For advice on the management of overdose please contact the Poisons Information Centre.  In </w:t>
      </w:r>
      <w:smartTag w:uri="urn:schemas-microsoft-com:office:smarttags" w:element="country-region">
        <w:r>
          <w:rPr>
            <w:rFonts w:ascii="Arial" w:hAnsi="Arial"/>
            <w:sz w:val="20"/>
          </w:rPr>
          <w:t>Australia</w:t>
        </w:r>
      </w:smartTag>
      <w:r>
        <w:rPr>
          <w:rFonts w:ascii="Arial" w:hAnsi="Arial"/>
          <w:sz w:val="20"/>
        </w:rPr>
        <w:t xml:space="preserve"> please call 13 11 26 and in </w:t>
      </w:r>
      <w:smartTag w:uri="urn:schemas-microsoft-com:office:smarttags" w:element="place">
        <w:smartTag w:uri="urn:schemas-microsoft-com:office:smarttags" w:element="country-region">
          <w:r>
            <w:rPr>
              <w:rFonts w:ascii="Arial" w:hAnsi="Arial"/>
              <w:sz w:val="20"/>
            </w:rPr>
            <w:t>New Zealand</w:t>
          </w:r>
        </w:smartTag>
      </w:smartTag>
      <w:r>
        <w:rPr>
          <w:rFonts w:ascii="Arial" w:hAnsi="Arial"/>
          <w:sz w:val="20"/>
        </w:rPr>
        <w:t xml:space="preserve"> 0800 764 766.</w:t>
      </w:r>
    </w:p>
    <w:p w:rsidR="001263B1" w:rsidRDefault="001263B1">
      <w:pPr>
        <w:autoSpaceDE w:val="0"/>
        <w:autoSpaceDN w:val="0"/>
        <w:adjustRightInd w:val="0"/>
        <w:jc w:val="both"/>
        <w:rPr>
          <w:rFonts w:ascii="Arial" w:hAnsi="Arial" w:cs="Arial"/>
          <w:b/>
          <w:bCs/>
          <w:sz w:val="20"/>
        </w:rPr>
      </w:pPr>
    </w:p>
    <w:p w:rsidR="00E44F87" w:rsidRDefault="00E44F87">
      <w:pPr>
        <w:autoSpaceDE w:val="0"/>
        <w:autoSpaceDN w:val="0"/>
        <w:adjustRightInd w:val="0"/>
        <w:jc w:val="both"/>
        <w:rPr>
          <w:rFonts w:ascii="Arial" w:hAnsi="Arial" w:cs="Arial"/>
          <w:b/>
          <w:bCs/>
          <w:sz w:val="20"/>
        </w:rPr>
      </w:pPr>
      <w:r>
        <w:rPr>
          <w:rFonts w:ascii="Arial" w:hAnsi="Arial" w:cs="Arial"/>
          <w:b/>
          <w:bCs/>
          <w:sz w:val="20"/>
        </w:rPr>
        <w:t>PRESENTATION AND STORAGE CONDITIONS</w:t>
      </w:r>
    </w:p>
    <w:p w:rsidR="00E44F87" w:rsidRDefault="00E44F87">
      <w:pPr>
        <w:autoSpaceDE w:val="0"/>
        <w:autoSpaceDN w:val="0"/>
        <w:adjustRightInd w:val="0"/>
        <w:jc w:val="both"/>
        <w:rPr>
          <w:rFonts w:ascii="Arial" w:hAnsi="Arial"/>
          <w:b/>
          <w:sz w:val="20"/>
        </w:rPr>
      </w:pPr>
    </w:p>
    <w:p w:rsidR="00E44F87" w:rsidRDefault="00E44F87">
      <w:pPr>
        <w:autoSpaceDE w:val="0"/>
        <w:autoSpaceDN w:val="0"/>
        <w:adjustRightInd w:val="0"/>
        <w:jc w:val="both"/>
        <w:rPr>
          <w:rFonts w:ascii="Arial" w:hAnsi="Arial"/>
          <w:sz w:val="20"/>
        </w:rPr>
      </w:pPr>
      <w:r>
        <w:rPr>
          <w:rFonts w:ascii="Arial" w:hAnsi="Arial"/>
          <w:sz w:val="20"/>
        </w:rPr>
        <w:lastRenderedPageBreak/>
        <w:t xml:space="preserve">Humira (adalimumab) solution for injection for paediatric use is supplied as a sterile solution of </w:t>
      </w:r>
      <w:r w:rsidR="002B1699">
        <w:rPr>
          <w:rFonts w:ascii="Arial" w:hAnsi="Arial"/>
          <w:sz w:val="20"/>
        </w:rPr>
        <w:t>either 20mg adalimumab dissolved in 0.4</w:t>
      </w:r>
      <w:r>
        <w:rPr>
          <w:rFonts w:ascii="Arial" w:hAnsi="Arial"/>
          <w:sz w:val="20"/>
        </w:rPr>
        <w:t>mL sterile solution</w:t>
      </w:r>
      <w:r w:rsidR="002B1699">
        <w:rPr>
          <w:rFonts w:ascii="Arial" w:hAnsi="Arial"/>
          <w:sz w:val="20"/>
        </w:rPr>
        <w:t>, or 10mg adalimumab dissolved in 0.2mL sterile solution</w:t>
      </w:r>
      <w:r>
        <w:rPr>
          <w:rFonts w:ascii="Arial" w:hAnsi="Arial"/>
          <w:sz w:val="20"/>
        </w:rPr>
        <w:t xml:space="preserve"> for subcutaneous administration in the following packaging configurations: </w:t>
      </w:r>
    </w:p>
    <w:p w:rsidR="00E44F87" w:rsidRDefault="00E44F87">
      <w:pPr>
        <w:autoSpaceDE w:val="0"/>
        <w:autoSpaceDN w:val="0"/>
        <w:adjustRightInd w:val="0"/>
        <w:jc w:val="both"/>
        <w:rPr>
          <w:rFonts w:ascii="Arial" w:hAnsi="Arial"/>
          <w:sz w:val="20"/>
        </w:rPr>
      </w:pPr>
    </w:p>
    <w:p w:rsidR="00615F26" w:rsidRPr="00327A60" w:rsidRDefault="00615F26" w:rsidP="00615F26">
      <w:pPr>
        <w:autoSpaceDE w:val="0"/>
        <w:autoSpaceDN w:val="0"/>
        <w:adjustRightInd w:val="0"/>
        <w:jc w:val="both"/>
        <w:rPr>
          <w:rFonts w:ascii="Arial" w:hAnsi="Arial"/>
          <w:sz w:val="20"/>
        </w:rPr>
      </w:pPr>
      <w:r w:rsidRPr="00327A60">
        <w:rPr>
          <w:rFonts w:ascii="Arial" w:hAnsi="Arial"/>
          <w:sz w:val="20"/>
        </w:rPr>
        <w:t>Humira 10 mg solution for injection in single-use pre-filled syringe:</w:t>
      </w:r>
    </w:p>
    <w:p w:rsidR="00615F26" w:rsidRPr="00327A60" w:rsidRDefault="00615F26" w:rsidP="00615F26">
      <w:pPr>
        <w:autoSpaceDE w:val="0"/>
        <w:autoSpaceDN w:val="0"/>
        <w:adjustRightInd w:val="0"/>
        <w:jc w:val="both"/>
        <w:rPr>
          <w:rFonts w:ascii="Arial" w:hAnsi="Arial"/>
          <w:sz w:val="20"/>
        </w:rPr>
      </w:pPr>
    </w:p>
    <w:p w:rsidR="00615F26" w:rsidRPr="00327A60" w:rsidRDefault="00615F26" w:rsidP="00615F26">
      <w:pPr>
        <w:numPr>
          <w:ilvl w:val="0"/>
          <w:numId w:val="8"/>
        </w:numPr>
        <w:autoSpaceDE w:val="0"/>
        <w:autoSpaceDN w:val="0"/>
        <w:adjustRightInd w:val="0"/>
        <w:jc w:val="both"/>
        <w:rPr>
          <w:rFonts w:ascii="Arial" w:hAnsi="Arial"/>
          <w:sz w:val="20"/>
        </w:rPr>
      </w:pPr>
      <w:r w:rsidRPr="00327A60">
        <w:rPr>
          <w:rFonts w:ascii="Arial" w:hAnsi="Arial"/>
          <w:sz w:val="20"/>
        </w:rPr>
        <w:t>Carton containing 2 blisters, each containing 1 pre-filled syringe and 1 alcohol pad</w:t>
      </w:r>
    </w:p>
    <w:p w:rsidR="00615F26" w:rsidRDefault="00615F26">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Humira 20 mg solution for injection in single-use pre-filled syringe:</w:t>
      </w:r>
    </w:p>
    <w:p w:rsidR="00E44F87" w:rsidRDefault="00E44F87">
      <w:pPr>
        <w:autoSpaceDE w:val="0"/>
        <w:autoSpaceDN w:val="0"/>
        <w:adjustRightInd w:val="0"/>
        <w:jc w:val="both"/>
        <w:rPr>
          <w:rFonts w:ascii="Arial" w:hAnsi="Arial"/>
          <w:sz w:val="20"/>
        </w:rPr>
      </w:pPr>
    </w:p>
    <w:p w:rsidR="00E44F87" w:rsidRDefault="00E44F87">
      <w:pPr>
        <w:numPr>
          <w:ilvl w:val="0"/>
          <w:numId w:val="8"/>
        </w:numPr>
        <w:autoSpaceDE w:val="0"/>
        <w:autoSpaceDN w:val="0"/>
        <w:adjustRightInd w:val="0"/>
        <w:jc w:val="both"/>
        <w:rPr>
          <w:rFonts w:ascii="Arial" w:hAnsi="Arial"/>
          <w:sz w:val="20"/>
        </w:rPr>
      </w:pPr>
      <w:r>
        <w:rPr>
          <w:rFonts w:ascii="Arial" w:hAnsi="Arial"/>
          <w:sz w:val="20"/>
        </w:rPr>
        <w:t>Carton containing 2 blisters, each containing 1 pre-fill</w:t>
      </w:r>
      <w:r w:rsidR="00E0675E">
        <w:rPr>
          <w:rFonts w:ascii="Arial" w:hAnsi="Arial"/>
          <w:sz w:val="20"/>
        </w:rPr>
        <w:t>ed syringe and 1 alcohol pad</w:t>
      </w:r>
    </w:p>
    <w:p w:rsidR="00E44F87" w:rsidRDefault="00E44F87">
      <w:pPr>
        <w:autoSpaceDE w:val="0"/>
        <w:autoSpaceDN w:val="0"/>
        <w:adjustRightInd w:val="0"/>
        <w:jc w:val="both"/>
        <w:rPr>
          <w:rFonts w:ascii="Arial" w:hAnsi="Arial"/>
          <w:b/>
          <w:sz w:val="20"/>
        </w:rPr>
      </w:pPr>
    </w:p>
    <w:p w:rsidR="00E44F87" w:rsidRDefault="00E44F87">
      <w:pPr>
        <w:autoSpaceDE w:val="0"/>
        <w:autoSpaceDN w:val="0"/>
        <w:adjustRightInd w:val="0"/>
        <w:jc w:val="both"/>
        <w:rPr>
          <w:rFonts w:ascii="Arial" w:hAnsi="Arial"/>
          <w:sz w:val="20"/>
        </w:rPr>
      </w:pPr>
      <w:r>
        <w:rPr>
          <w:rFonts w:ascii="Arial" w:hAnsi="Arial"/>
          <w:sz w:val="20"/>
        </w:rPr>
        <w:t xml:space="preserve">Humira (adalimumab) solution for injection is supplied as a sterile solution of 40 mg adalimumab dissolved in 0.8 mL sterile solution for subcutaneous administration in the following packaging configurations: </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Humira 40 mg solution for injection in single-use pre-filled syringe or pre-filled pen (for </w:t>
      </w:r>
      <w:r>
        <w:rPr>
          <w:rFonts w:ascii="Arial" w:hAnsi="Arial"/>
          <w:b/>
          <w:sz w:val="20"/>
        </w:rPr>
        <w:t>patient use</w:t>
      </w:r>
      <w:r>
        <w:rPr>
          <w:rFonts w:ascii="Arial" w:hAnsi="Arial"/>
          <w:sz w:val="20"/>
        </w:rPr>
        <w:t>):</w:t>
      </w:r>
    </w:p>
    <w:p w:rsidR="00E44F87" w:rsidRDefault="00E44F87">
      <w:pPr>
        <w:autoSpaceDE w:val="0"/>
        <w:autoSpaceDN w:val="0"/>
        <w:adjustRightInd w:val="0"/>
        <w:jc w:val="both"/>
        <w:rPr>
          <w:rFonts w:ascii="Arial" w:hAnsi="Arial"/>
          <w:sz w:val="20"/>
        </w:rPr>
      </w:pPr>
    </w:p>
    <w:p w:rsidR="00E44F87" w:rsidRDefault="00E44F87">
      <w:pPr>
        <w:numPr>
          <w:ilvl w:val="0"/>
          <w:numId w:val="8"/>
        </w:numPr>
        <w:autoSpaceDE w:val="0"/>
        <w:autoSpaceDN w:val="0"/>
        <w:adjustRightInd w:val="0"/>
        <w:jc w:val="both"/>
        <w:rPr>
          <w:rFonts w:ascii="Arial" w:hAnsi="Arial"/>
          <w:sz w:val="20"/>
        </w:rPr>
      </w:pPr>
      <w:r>
        <w:rPr>
          <w:rFonts w:ascii="Arial" w:hAnsi="Arial"/>
          <w:sz w:val="20"/>
        </w:rPr>
        <w:t xml:space="preserve">Carton containing 1 blister with 1 pre-filled syringe or pre-filled pen and 1 alcohol pad* </w:t>
      </w:r>
    </w:p>
    <w:p w:rsidR="00E44F87" w:rsidRDefault="00E44F87">
      <w:pPr>
        <w:numPr>
          <w:ilvl w:val="0"/>
          <w:numId w:val="8"/>
        </w:numPr>
        <w:autoSpaceDE w:val="0"/>
        <w:autoSpaceDN w:val="0"/>
        <w:adjustRightInd w:val="0"/>
        <w:jc w:val="both"/>
        <w:rPr>
          <w:rFonts w:ascii="Arial" w:hAnsi="Arial"/>
          <w:sz w:val="20"/>
        </w:rPr>
      </w:pPr>
      <w:r>
        <w:rPr>
          <w:rFonts w:ascii="Arial" w:hAnsi="Arial"/>
          <w:sz w:val="20"/>
        </w:rPr>
        <w:t>Carton containing 2 blisters, each containing 1 pre-filled syringe or pre-filled pen and 1 alcohol pad.</w:t>
      </w:r>
    </w:p>
    <w:p w:rsidR="00E44F87" w:rsidRDefault="00E44F87">
      <w:pPr>
        <w:numPr>
          <w:ilvl w:val="0"/>
          <w:numId w:val="8"/>
        </w:numPr>
        <w:autoSpaceDE w:val="0"/>
        <w:autoSpaceDN w:val="0"/>
        <w:adjustRightInd w:val="0"/>
        <w:jc w:val="both"/>
        <w:rPr>
          <w:rFonts w:ascii="Arial" w:hAnsi="Arial"/>
          <w:sz w:val="20"/>
        </w:rPr>
      </w:pPr>
      <w:r>
        <w:rPr>
          <w:rFonts w:ascii="Arial" w:hAnsi="Arial"/>
          <w:sz w:val="20"/>
        </w:rPr>
        <w:t>Carton containing 3 blisters, each containing 1 pre-filled syringe or pre-filled pen and 1 alcohol pad*</w:t>
      </w:r>
    </w:p>
    <w:p w:rsidR="00E44F87" w:rsidRDefault="00E44F87">
      <w:pPr>
        <w:numPr>
          <w:ilvl w:val="0"/>
          <w:numId w:val="8"/>
        </w:numPr>
        <w:autoSpaceDE w:val="0"/>
        <w:autoSpaceDN w:val="0"/>
        <w:adjustRightInd w:val="0"/>
        <w:jc w:val="both"/>
        <w:rPr>
          <w:rFonts w:ascii="Arial" w:hAnsi="Arial"/>
          <w:sz w:val="20"/>
        </w:rPr>
      </w:pPr>
      <w:r>
        <w:rPr>
          <w:rFonts w:ascii="Arial" w:hAnsi="Arial"/>
          <w:sz w:val="20"/>
        </w:rPr>
        <w:t>Carton containing 4 blisters, each containing 1 pre-filled pen and 1 alcohol pad*</w:t>
      </w:r>
    </w:p>
    <w:p w:rsidR="00E44F87" w:rsidRDefault="00E44F87">
      <w:pPr>
        <w:numPr>
          <w:ilvl w:val="0"/>
          <w:numId w:val="8"/>
        </w:numPr>
        <w:autoSpaceDE w:val="0"/>
        <w:autoSpaceDN w:val="0"/>
        <w:adjustRightInd w:val="0"/>
        <w:jc w:val="both"/>
        <w:rPr>
          <w:rFonts w:ascii="Arial" w:hAnsi="Arial"/>
          <w:strike/>
          <w:sz w:val="20"/>
          <w:vertAlign w:val="superscript"/>
        </w:rPr>
      </w:pPr>
      <w:r>
        <w:rPr>
          <w:rFonts w:ascii="Arial" w:hAnsi="Arial"/>
          <w:sz w:val="20"/>
        </w:rPr>
        <w:t>Carton containing 6 blisters, each containing 1 pre-filled syringe or pre-filled pen and 1 alcohol pad.</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b/>
          <w:sz w:val="20"/>
        </w:rPr>
      </w:pPr>
      <w:r>
        <w:rPr>
          <w:rFonts w:ascii="Arial" w:hAnsi="Arial"/>
          <w:sz w:val="20"/>
        </w:rPr>
        <w:t xml:space="preserve">Humira 40 mg solution for injection in single-use </w:t>
      </w:r>
      <w:r>
        <w:rPr>
          <w:rFonts w:ascii="Arial" w:hAnsi="Arial"/>
          <w:bCs/>
          <w:sz w:val="20"/>
        </w:rPr>
        <w:t>vial</w:t>
      </w:r>
      <w:r>
        <w:rPr>
          <w:rFonts w:ascii="Arial" w:hAnsi="Arial"/>
          <w:b/>
          <w:sz w:val="20"/>
        </w:rPr>
        <w:t>.</w:t>
      </w:r>
    </w:p>
    <w:p w:rsidR="00E44F87" w:rsidRDefault="00E44F87">
      <w:pPr>
        <w:autoSpaceDE w:val="0"/>
        <w:autoSpaceDN w:val="0"/>
        <w:adjustRightInd w:val="0"/>
        <w:jc w:val="both"/>
        <w:rPr>
          <w:rFonts w:ascii="Arial" w:hAnsi="Arial"/>
          <w:b/>
          <w:sz w:val="20"/>
        </w:rPr>
      </w:pPr>
    </w:p>
    <w:p w:rsidR="00E44F87" w:rsidRDefault="00E44F87">
      <w:pPr>
        <w:numPr>
          <w:ilvl w:val="0"/>
          <w:numId w:val="10"/>
        </w:numPr>
        <w:autoSpaceDE w:val="0"/>
        <w:autoSpaceDN w:val="0"/>
        <w:adjustRightInd w:val="0"/>
        <w:jc w:val="both"/>
        <w:rPr>
          <w:rFonts w:ascii="Arial" w:hAnsi="Arial"/>
          <w:sz w:val="20"/>
        </w:rPr>
      </w:pPr>
      <w:r>
        <w:rPr>
          <w:rFonts w:ascii="Arial" w:hAnsi="Arial"/>
          <w:sz w:val="20"/>
        </w:rPr>
        <w:t xml:space="preserve">Carton containing 1 blister with 1 vial, 1 empty sterile injection syringe in pouch and 2 alcohol pads </w:t>
      </w:r>
      <w:r>
        <w:rPr>
          <w:rFonts w:ascii="Arial" w:hAnsi="Arial"/>
          <w:b/>
          <w:bCs/>
          <w:sz w:val="20"/>
        </w:rPr>
        <w:t>*</w:t>
      </w:r>
      <w:r>
        <w:rPr>
          <w:rFonts w:ascii="Arial" w:hAnsi="Arial"/>
          <w:sz w:val="20"/>
        </w:rPr>
        <w:t xml:space="preserve"> The vial is fitted with rubber stoppers, aluminium crimps and flip-off seals.</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Store at 2° C to 8° C (in a refrigerator) and store the syringe or vial in the outer carton. Do not freeze.</w:t>
      </w:r>
    </w:p>
    <w:p w:rsidR="00E44F87" w:rsidRDefault="00E44F87">
      <w:pPr>
        <w:autoSpaceDE w:val="0"/>
        <w:autoSpaceDN w:val="0"/>
        <w:adjustRightInd w:val="0"/>
        <w:jc w:val="both"/>
        <w:rPr>
          <w:rFonts w:ascii="Arial" w:hAnsi="Arial"/>
          <w:sz w:val="20"/>
        </w:rPr>
      </w:pPr>
      <w:r>
        <w:rPr>
          <w:rFonts w:ascii="Arial" w:hAnsi="Arial"/>
          <w:sz w:val="20"/>
        </w:rPr>
        <w:t>Do not use beyond the expiration date.</w:t>
      </w:r>
    </w:p>
    <w:p w:rsidR="00925F65" w:rsidRDefault="00925F65">
      <w:pPr>
        <w:autoSpaceDE w:val="0"/>
        <w:autoSpaceDN w:val="0"/>
        <w:adjustRightInd w:val="0"/>
        <w:jc w:val="both"/>
        <w:rPr>
          <w:rFonts w:ascii="Arial" w:hAnsi="Arial"/>
          <w:sz w:val="20"/>
        </w:rPr>
      </w:pPr>
    </w:p>
    <w:p w:rsidR="00925F65" w:rsidRDefault="00925F65" w:rsidP="00925F65">
      <w:pPr>
        <w:autoSpaceDE w:val="0"/>
        <w:autoSpaceDN w:val="0"/>
        <w:adjustRightInd w:val="0"/>
        <w:jc w:val="both"/>
        <w:rPr>
          <w:rFonts w:ascii="Arial" w:hAnsi="Arial"/>
          <w:sz w:val="20"/>
        </w:rPr>
      </w:pPr>
      <w:r>
        <w:rPr>
          <w:rFonts w:ascii="Arial" w:hAnsi="Arial"/>
          <w:sz w:val="20"/>
        </w:rPr>
        <w:t>When required (for example, when travelling), a single Humira pre-filled syringe or pen may be stored below 25</w:t>
      </w:r>
      <w:r>
        <w:rPr>
          <w:rFonts w:ascii="Arial" w:hAnsi="Arial" w:cs="Arial"/>
          <w:sz w:val="20"/>
        </w:rPr>
        <w:t>°</w:t>
      </w:r>
      <w:r>
        <w:rPr>
          <w:rFonts w:ascii="Arial" w:hAnsi="Arial"/>
          <w:sz w:val="20"/>
        </w:rPr>
        <w:t xml:space="preserve">C (room temperature) for a maximum period of 14 days, but must be protected from light. Once removed from the refrigerator for room temperature storage, the syringe </w:t>
      </w:r>
      <w:r w:rsidRPr="000C1FFB">
        <w:rPr>
          <w:rFonts w:ascii="Arial" w:hAnsi="Arial"/>
          <w:b/>
          <w:sz w:val="20"/>
        </w:rPr>
        <w:t>must be used within 14 days or discarded</w:t>
      </w:r>
      <w:r>
        <w:rPr>
          <w:rFonts w:ascii="Arial" w:hAnsi="Arial"/>
          <w:sz w:val="20"/>
        </w:rPr>
        <w:t xml:space="preserve">, even if it is returned to the refrigerator. </w:t>
      </w:r>
    </w:p>
    <w:p w:rsidR="00925F65" w:rsidRDefault="00925F65" w:rsidP="00925F65">
      <w:pPr>
        <w:autoSpaceDE w:val="0"/>
        <w:autoSpaceDN w:val="0"/>
        <w:adjustRightInd w:val="0"/>
        <w:jc w:val="both"/>
        <w:rPr>
          <w:rFonts w:ascii="Arial" w:hAnsi="Arial"/>
          <w:sz w:val="20"/>
        </w:rPr>
      </w:pPr>
    </w:p>
    <w:p w:rsidR="00925F65" w:rsidRDefault="00925F65">
      <w:pPr>
        <w:autoSpaceDE w:val="0"/>
        <w:autoSpaceDN w:val="0"/>
        <w:adjustRightInd w:val="0"/>
        <w:jc w:val="both"/>
        <w:rPr>
          <w:rFonts w:ascii="Arial" w:hAnsi="Arial"/>
          <w:sz w:val="20"/>
        </w:rPr>
      </w:pPr>
      <w:r>
        <w:rPr>
          <w:rFonts w:ascii="Arial" w:hAnsi="Arial"/>
          <w:sz w:val="20"/>
        </w:rPr>
        <w:t>The date of removal from the refrigerator should be recorded on the syringe label, to allow the syringe to be discarded after the maximum 14 days if not used.</w:t>
      </w:r>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b/>
          <w:bCs/>
          <w:sz w:val="20"/>
        </w:rPr>
        <w:t>*</w:t>
      </w:r>
      <w:r>
        <w:rPr>
          <w:rFonts w:ascii="Arial" w:hAnsi="Arial"/>
          <w:sz w:val="20"/>
        </w:rPr>
        <w:t xml:space="preserve">  Not currently marketed in </w:t>
      </w:r>
      <w:smartTag w:uri="urn:schemas-microsoft-com:office:smarttags" w:element="country-region">
        <w:r>
          <w:rPr>
            <w:rFonts w:ascii="Arial" w:hAnsi="Arial"/>
            <w:sz w:val="20"/>
          </w:rPr>
          <w:t>Australia</w:t>
        </w:r>
      </w:smartTag>
      <w:r>
        <w:rPr>
          <w:rFonts w:ascii="Arial" w:hAnsi="Arial"/>
          <w:sz w:val="20"/>
        </w:rPr>
        <w:t xml:space="preserve"> and </w:t>
      </w:r>
      <w:smartTag w:uri="urn:schemas-microsoft-com:office:smarttags" w:element="place">
        <w:smartTag w:uri="urn:schemas-microsoft-com:office:smarttags" w:element="country-region">
          <w:r>
            <w:rPr>
              <w:rFonts w:ascii="Arial" w:hAnsi="Arial"/>
              <w:sz w:val="20"/>
            </w:rPr>
            <w:t>New Zealand</w:t>
          </w:r>
        </w:smartTag>
      </w:smartTag>
    </w:p>
    <w:p w:rsidR="00E44F87" w:rsidRDefault="00E44F87">
      <w:pPr>
        <w:autoSpaceDE w:val="0"/>
        <w:autoSpaceDN w:val="0"/>
        <w:adjustRightInd w:val="0"/>
        <w:jc w:val="both"/>
        <w:rPr>
          <w:rFonts w:ascii="Arial" w:hAnsi="Arial"/>
          <w:sz w:val="20"/>
        </w:rPr>
      </w:pPr>
    </w:p>
    <w:p w:rsidR="00E44F87" w:rsidRDefault="00E44F87">
      <w:pPr>
        <w:autoSpaceDE w:val="0"/>
        <w:autoSpaceDN w:val="0"/>
        <w:adjustRightInd w:val="0"/>
        <w:jc w:val="both"/>
        <w:rPr>
          <w:rFonts w:ascii="Arial" w:hAnsi="Arial"/>
          <w:sz w:val="20"/>
        </w:rPr>
      </w:pPr>
      <w:r>
        <w:rPr>
          <w:rFonts w:ascii="Arial" w:hAnsi="Arial"/>
          <w:sz w:val="20"/>
        </w:rPr>
        <w:t xml:space="preserve">Humira is a prescription only medicine. </w:t>
      </w:r>
    </w:p>
    <w:p w:rsidR="00E44F87" w:rsidRDefault="00E44F87">
      <w:pPr>
        <w:autoSpaceDE w:val="0"/>
        <w:autoSpaceDN w:val="0"/>
        <w:adjustRightInd w:val="0"/>
        <w:jc w:val="both"/>
        <w:rPr>
          <w:rFonts w:ascii="Arial" w:hAnsi="Arial"/>
          <w:sz w:val="20"/>
        </w:rPr>
      </w:pPr>
    </w:p>
    <w:p w:rsidR="00E44F87" w:rsidRDefault="00E44F87">
      <w:pPr>
        <w:pStyle w:val="Heading7"/>
        <w:jc w:val="both"/>
      </w:pPr>
      <w:r>
        <w:t>NAME AND ADDRESS OF THE SPONSOR</w:t>
      </w:r>
    </w:p>
    <w:p w:rsidR="00E44F87" w:rsidRDefault="00E44F87">
      <w:pPr>
        <w:autoSpaceDE w:val="0"/>
        <w:autoSpaceDN w:val="0"/>
        <w:adjustRightInd w:val="0"/>
        <w:jc w:val="both"/>
        <w:rPr>
          <w:rFonts w:ascii="Arial" w:hAnsi="Arial"/>
          <w:sz w:val="20"/>
        </w:rPr>
      </w:pPr>
    </w:p>
    <w:p w:rsidR="00E44F87" w:rsidRDefault="00615F26">
      <w:pPr>
        <w:autoSpaceDE w:val="0"/>
        <w:autoSpaceDN w:val="0"/>
        <w:adjustRightInd w:val="0"/>
        <w:jc w:val="both"/>
        <w:rPr>
          <w:rFonts w:ascii="Arial" w:hAnsi="Arial"/>
          <w:sz w:val="20"/>
        </w:rPr>
      </w:pPr>
      <w:r>
        <w:rPr>
          <w:rFonts w:ascii="Arial" w:hAnsi="Arial"/>
          <w:sz w:val="20"/>
        </w:rPr>
        <w:t>AbbV</w:t>
      </w:r>
      <w:r w:rsidR="00011924">
        <w:rPr>
          <w:rFonts w:ascii="Arial" w:hAnsi="Arial"/>
          <w:sz w:val="20"/>
        </w:rPr>
        <w:t>ie</w:t>
      </w:r>
      <w:r w:rsidR="00E44F87">
        <w:rPr>
          <w:rFonts w:ascii="Arial" w:hAnsi="Arial"/>
          <w:sz w:val="20"/>
        </w:rPr>
        <w:t xml:space="preserve"> Pty Ltd</w:t>
      </w:r>
      <w:r w:rsidR="00C23070">
        <w:rPr>
          <w:rFonts w:ascii="Arial" w:hAnsi="Arial"/>
          <w:sz w:val="20"/>
        </w:rPr>
        <w:t xml:space="preserve"> </w:t>
      </w:r>
    </w:p>
    <w:p w:rsidR="00E44F87" w:rsidRDefault="00E44F87">
      <w:pPr>
        <w:autoSpaceDE w:val="0"/>
        <w:autoSpaceDN w:val="0"/>
        <w:adjustRightInd w:val="0"/>
        <w:jc w:val="both"/>
        <w:rPr>
          <w:rFonts w:ascii="Arial" w:hAnsi="Arial"/>
          <w:sz w:val="20"/>
        </w:rPr>
      </w:pPr>
      <w:r>
        <w:rPr>
          <w:rFonts w:ascii="Arial" w:hAnsi="Arial"/>
          <w:sz w:val="20"/>
        </w:rPr>
        <w:t xml:space="preserve">32 – </w:t>
      </w:r>
      <w:smartTag w:uri="urn:schemas-microsoft-com:office:smarttags" w:element="Street">
        <w:smartTag w:uri="urn:schemas-microsoft-com:office:smarttags" w:element="address">
          <w:r>
            <w:rPr>
              <w:rFonts w:ascii="Arial" w:hAnsi="Arial"/>
              <w:sz w:val="20"/>
            </w:rPr>
            <w:t>34 Lord Street</w:t>
          </w:r>
        </w:smartTag>
      </w:smartTag>
    </w:p>
    <w:p w:rsidR="00E44F87" w:rsidRDefault="00E44F87">
      <w:pPr>
        <w:autoSpaceDE w:val="0"/>
        <w:autoSpaceDN w:val="0"/>
        <w:adjustRightInd w:val="0"/>
        <w:jc w:val="both"/>
        <w:rPr>
          <w:rFonts w:ascii="Arial" w:hAnsi="Arial"/>
          <w:sz w:val="20"/>
        </w:rPr>
      </w:pPr>
      <w:r>
        <w:rPr>
          <w:rFonts w:ascii="Arial" w:hAnsi="Arial"/>
          <w:sz w:val="20"/>
        </w:rPr>
        <w:t>Botany   NSW   2019</w:t>
      </w:r>
    </w:p>
    <w:p w:rsidR="00E44F87" w:rsidRDefault="00E44F87">
      <w:pPr>
        <w:autoSpaceDE w:val="0"/>
        <w:autoSpaceDN w:val="0"/>
        <w:adjustRightInd w:val="0"/>
        <w:jc w:val="both"/>
        <w:rPr>
          <w:rFonts w:ascii="Arial" w:hAnsi="Arial"/>
          <w:sz w:val="20"/>
        </w:rPr>
      </w:pPr>
    </w:p>
    <w:p w:rsidR="00E44F87" w:rsidRDefault="00E44F87">
      <w:pPr>
        <w:pStyle w:val="Heading9"/>
        <w:rPr>
          <w:u w:val="single"/>
        </w:rPr>
      </w:pPr>
      <w:r>
        <w:t>POISON SCHEDULE OF THE MEDICINE</w:t>
      </w:r>
    </w:p>
    <w:p w:rsidR="00E44F87" w:rsidRDefault="00E44F87">
      <w:pPr>
        <w:autoSpaceDE w:val="0"/>
        <w:autoSpaceDN w:val="0"/>
        <w:adjustRightInd w:val="0"/>
        <w:jc w:val="both"/>
        <w:rPr>
          <w:rFonts w:ascii="Arial" w:hAnsi="Arial"/>
          <w:sz w:val="20"/>
          <w:u w:val="single"/>
        </w:rPr>
      </w:pPr>
    </w:p>
    <w:p w:rsidR="00E44F87" w:rsidRDefault="00E44F87">
      <w:pPr>
        <w:autoSpaceDE w:val="0"/>
        <w:autoSpaceDN w:val="0"/>
        <w:adjustRightInd w:val="0"/>
        <w:jc w:val="both"/>
        <w:rPr>
          <w:rFonts w:ascii="Arial" w:hAnsi="Arial"/>
          <w:sz w:val="20"/>
        </w:rPr>
      </w:pPr>
      <w:r>
        <w:rPr>
          <w:rFonts w:ascii="Arial" w:hAnsi="Arial"/>
          <w:sz w:val="20"/>
        </w:rPr>
        <w:t>S4 – Prescription Only Medicine</w:t>
      </w:r>
    </w:p>
    <w:p w:rsidR="00E44F87" w:rsidRDefault="00E44F87">
      <w:pPr>
        <w:autoSpaceDE w:val="0"/>
        <w:autoSpaceDN w:val="0"/>
        <w:adjustRightInd w:val="0"/>
        <w:jc w:val="both"/>
        <w:rPr>
          <w:rFonts w:ascii="Arial" w:hAnsi="Arial"/>
          <w:b/>
          <w:sz w:val="20"/>
        </w:rPr>
      </w:pPr>
    </w:p>
    <w:p w:rsidR="00A868ED" w:rsidRDefault="00E44F87">
      <w:pPr>
        <w:autoSpaceDE w:val="0"/>
        <w:autoSpaceDN w:val="0"/>
        <w:adjustRightInd w:val="0"/>
        <w:jc w:val="both"/>
        <w:rPr>
          <w:rFonts w:ascii="Arial" w:hAnsi="Arial"/>
          <w:sz w:val="20"/>
        </w:rPr>
      </w:pPr>
      <w:r>
        <w:rPr>
          <w:rFonts w:ascii="Arial" w:hAnsi="Arial"/>
          <w:b/>
          <w:sz w:val="20"/>
        </w:rPr>
        <w:t xml:space="preserve">DATE OF </w:t>
      </w:r>
      <w:r w:rsidR="00A868ED">
        <w:rPr>
          <w:rFonts w:ascii="Arial" w:hAnsi="Arial"/>
          <w:b/>
          <w:sz w:val="20"/>
        </w:rPr>
        <w:t>FIRST INCLUSION IN THE ARTG</w:t>
      </w:r>
      <w:r w:rsidR="00615F26">
        <w:rPr>
          <w:rFonts w:ascii="Arial" w:hAnsi="Arial"/>
          <w:b/>
          <w:sz w:val="20"/>
        </w:rPr>
        <w:t>:</w:t>
      </w:r>
      <w:r>
        <w:rPr>
          <w:rFonts w:ascii="Arial" w:hAnsi="Arial"/>
          <w:sz w:val="20"/>
        </w:rPr>
        <w:t xml:space="preserve"> </w:t>
      </w:r>
      <w:r w:rsidR="0037298F">
        <w:rPr>
          <w:rFonts w:ascii="Arial" w:hAnsi="Arial"/>
          <w:sz w:val="20"/>
        </w:rPr>
        <w:t xml:space="preserve"> </w:t>
      </w:r>
      <w:r w:rsidR="00A868ED" w:rsidRPr="00A868ED">
        <w:rPr>
          <w:rFonts w:ascii="Arial" w:hAnsi="Arial"/>
          <w:sz w:val="20"/>
          <w:lang w:val="en-US"/>
        </w:rPr>
        <w:t>10 Dec</w:t>
      </w:r>
      <w:r w:rsidR="00A868ED">
        <w:rPr>
          <w:rFonts w:ascii="Arial" w:hAnsi="Arial"/>
          <w:sz w:val="20"/>
          <w:lang w:val="en-US"/>
        </w:rPr>
        <w:t>ember</w:t>
      </w:r>
      <w:r w:rsidR="00A868ED" w:rsidRPr="00A868ED">
        <w:rPr>
          <w:rFonts w:ascii="Arial" w:hAnsi="Arial"/>
          <w:sz w:val="20"/>
          <w:lang w:val="en-US"/>
        </w:rPr>
        <w:t xml:space="preserve"> 2003</w:t>
      </w:r>
    </w:p>
    <w:p w:rsidR="00A868ED" w:rsidRDefault="00A868ED">
      <w:pPr>
        <w:autoSpaceDE w:val="0"/>
        <w:autoSpaceDN w:val="0"/>
        <w:adjustRightInd w:val="0"/>
        <w:jc w:val="both"/>
        <w:rPr>
          <w:rFonts w:ascii="Arial" w:hAnsi="Arial"/>
          <w:sz w:val="20"/>
        </w:rPr>
      </w:pPr>
    </w:p>
    <w:p w:rsidR="00E44F87" w:rsidRPr="00615F26" w:rsidRDefault="004F650D" w:rsidP="00615F26">
      <w:pPr>
        <w:autoSpaceDE w:val="0"/>
        <w:autoSpaceDN w:val="0"/>
        <w:adjustRightInd w:val="0"/>
        <w:jc w:val="both"/>
        <w:rPr>
          <w:rFonts w:ascii="Arial" w:hAnsi="Arial"/>
          <w:sz w:val="20"/>
        </w:rPr>
      </w:pPr>
      <w:r w:rsidRPr="007C6439">
        <w:rPr>
          <w:rFonts w:ascii="Arial" w:hAnsi="Arial"/>
          <w:b/>
          <w:sz w:val="20"/>
        </w:rPr>
        <w:t>DATE OF MOST RECENT AMENDMEN</w:t>
      </w:r>
      <w:r w:rsidRPr="00A41A65">
        <w:rPr>
          <w:rFonts w:ascii="Arial" w:hAnsi="Arial"/>
          <w:b/>
          <w:sz w:val="20"/>
        </w:rPr>
        <w:t>T</w:t>
      </w:r>
      <w:r w:rsidR="00615F26" w:rsidRPr="00A41A65">
        <w:rPr>
          <w:rFonts w:ascii="Arial" w:hAnsi="Arial"/>
          <w:b/>
          <w:sz w:val="20"/>
        </w:rPr>
        <w:t>:</w:t>
      </w:r>
      <w:r w:rsidR="00615F26">
        <w:rPr>
          <w:rFonts w:ascii="Arial" w:hAnsi="Arial"/>
          <w:sz w:val="20"/>
        </w:rPr>
        <w:t xml:space="preserve"> </w:t>
      </w:r>
      <w:r w:rsidR="00A41A65">
        <w:rPr>
          <w:rFonts w:ascii="Arial" w:hAnsi="Arial"/>
          <w:sz w:val="20"/>
        </w:rPr>
        <w:t xml:space="preserve"> </w:t>
      </w:r>
      <w:r w:rsidR="00615F26">
        <w:rPr>
          <w:rFonts w:ascii="Arial" w:hAnsi="Arial"/>
          <w:sz w:val="20"/>
        </w:rPr>
        <w:t>2 June 2014</w:t>
      </w:r>
    </w:p>
    <w:sectPr w:rsidR="00E44F87" w:rsidRPr="00615F26" w:rsidSect="007E72F2">
      <w:headerReference w:type="default" r:id="rId14"/>
      <w:footerReference w:type="default" r:id="rId15"/>
      <w:pgSz w:w="11907" w:h="16839" w:code="9"/>
      <w:pgMar w:top="1247" w:right="1077" w:bottom="1191" w:left="1077" w:header="720" w:footer="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C2" w:rsidRDefault="003A48C2">
      <w:r>
        <w:separator/>
      </w:r>
    </w:p>
  </w:endnote>
  <w:endnote w:type="continuationSeparator" w:id="0">
    <w:p w:rsidR="003A48C2" w:rsidRDefault="003A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WP Type">
    <w:altName w:val="Times New Roman"/>
    <w:charset w:val="00"/>
    <w:family w:val="roman"/>
    <w:pitch w:val="variable"/>
    <w:sig w:usb0="00000003" w:usb1="00000000" w:usb2="00000000" w:usb3="00000000" w:csb0="00000001" w:csb1="00000000"/>
  </w:font>
  <w:font w:name="Arial,Bold">
    <w:altName w:val="Tahoma"/>
    <w:panose1 w:val="00000000000000000000"/>
    <w:charset w:val="00"/>
    <w:family w:val="auto"/>
    <w:notTrueType/>
    <w:pitch w:val="default"/>
    <w:sig w:usb0="00000217" w:usb1="00000046" w:usb2="00000000" w:usb3="0013F924" w:csb0="308F39A7"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Roman">
    <w:panose1 w:val="00000000000000000000"/>
    <w:charset w:val="FF"/>
    <w:family w:val="roman"/>
    <w:notTrueType/>
    <w:pitch w:val="variable"/>
    <w:sig w:usb0="00000003"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192"/>
      <w:gridCol w:w="3192"/>
      <w:gridCol w:w="3192"/>
    </w:tblGrid>
    <w:tr w:rsidR="00E44F87">
      <w:tc>
        <w:tcPr>
          <w:tcW w:w="3192" w:type="dxa"/>
        </w:tcPr>
        <w:p w:rsidR="00E44F87" w:rsidRDefault="00E44F87">
          <w:pPr>
            <w:pStyle w:val="Footer"/>
            <w:rPr>
              <w:rFonts w:ascii="Arial" w:hAnsi="Arial" w:cs="Arial"/>
              <w:sz w:val="18"/>
            </w:rPr>
          </w:pPr>
          <w:r>
            <w:rPr>
              <w:rFonts w:ascii="Arial" w:hAnsi="Arial" w:cs="Arial"/>
              <w:sz w:val="18"/>
            </w:rPr>
            <w:t>Humira</w:t>
          </w:r>
          <w:r w:rsidR="00E778E6">
            <w:rPr>
              <w:rFonts w:ascii="Arial" w:hAnsi="Arial" w:cs="Arial"/>
              <w:sz w:val="18"/>
            </w:rPr>
            <w:t xml:space="preserve"> </w:t>
          </w:r>
        </w:p>
        <w:p w:rsidR="005065C1" w:rsidRPr="005065C1" w:rsidRDefault="005065C1" w:rsidP="008C22B2">
          <w:pPr>
            <w:pStyle w:val="Footer"/>
            <w:rPr>
              <w:rFonts w:ascii="Arial" w:hAnsi="Arial" w:cs="Arial"/>
              <w:sz w:val="18"/>
            </w:rPr>
          </w:pPr>
        </w:p>
      </w:tc>
      <w:tc>
        <w:tcPr>
          <w:tcW w:w="3192" w:type="dxa"/>
        </w:tcPr>
        <w:p w:rsidR="00E44F87" w:rsidRDefault="005F616B">
          <w:pPr>
            <w:pStyle w:val="Footer"/>
            <w:jc w:val="center"/>
            <w:rPr>
              <w:rFonts w:ascii="Arial" w:hAnsi="Arial" w:cs="Arial"/>
              <w:sz w:val="18"/>
            </w:rPr>
          </w:pPr>
          <w:r>
            <w:rPr>
              <w:rFonts w:ascii="Arial" w:hAnsi="Arial" w:cs="Arial"/>
              <w:sz w:val="18"/>
            </w:rPr>
            <w:t xml:space="preserve">Version </w:t>
          </w:r>
          <w:r w:rsidR="007E72F2">
            <w:rPr>
              <w:rFonts w:ascii="Arial" w:hAnsi="Arial" w:cs="Arial"/>
              <w:sz w:val="18"/>
            </w:rPr>
            <w:t>29</w:t>
          </w:r>
          <w:r w:rsidR="008C22B2">
            <w:rPr>
              <w:rFonts w:ascii="Arial" w:hAnsi="Arial" w:cs="Arial"/>
              <w:sz w:val="18"/>
            </w:rPr>
            <w:t xml:space="preserve"> </w:t>
          </w:r>
        </w:p>
        <w:p w:rsidR="008C5D74" w:rsidRDefault="007E72F2" w:rsidP="005C4256">
          <w:pPr>
            <w:pStyle w:val="Footer"/>
            <w:jc w:val="center"/>
            <w:rPr>
              <w:rFonts w:ascii="Arial" w:hAnsi="Arial" w:cs="Arial"/>
              <w:sz w:val="18"/>
            </w:rPr>
          </w:pPr>
          <w:r>
            <w:rPr>
              <w:rFonts w:ascii="Arial" w:hAnsi="Arial" w:cs="Arial"/>
              <w:sz w:val="18"/>
            </w:rPr>
            <w:t>02 June 2014</w:t>
          </w:r>
        </w:p>
      </w:tc>
      <w:tc>
        <w:tcPr>
          <w:tcW w:w="3192" w:type="dxa"/>
        </w:tcPr>
        <w:p w:rsidR="00E44F87" w:rsidRDefault="00321A5E">
          <w:pPr>
            <w:pStyle w:val="Footer"/>
            <w:jc w:val="right"/>
            <w:rPr>
              <w:rFonts w:ascii="Arial" w:hAnsi="Arial" w:cs="Arial"/>
              <w:sz w:val="18"/>
            </w:rPr>
          </w:pPr>
          <w:r w:rsidRPr="00321A5E">
            <w:rPr>
              <w:rFonts w:ascii="Arial" w:hAnsi="Arial" w:cs="Arial"/>
              <w:sz w:val="18"/>
            </w:rPr>
            <w:t xml:space="preserve">Page </w:t>
          </w:r>
          <w:r w:rsidRPr="00321A5E">
            <w:rPr>
              <w:rFonts w:ascii="Arial" w:hAnsi="Arial" w:cs="Arial"/>
              <w:sz w:val="18"/>
            </w:rPr>
            <w:fldChar w:fldCharType="begin"/>
          </w:r>
          <w:r w:rsidRPr="00321A5E">
            <w:rPr>
              <w:rFonts w:ascii="Arial" w:hAnsi="Arial" w:cs="Arial"/>
              <w:sz w:val="18"/>
            </w:rPr>
            <w:instrText xml:space="preserve"> PAGE </w:instrText>
          </w:r>
          <w:r w:rsidRPr="00321A5E">
            <w:rPr>
              <w:rFonts w:ascii="Arial" w:hAnsi="Arial" w:cs="Arial"/>
              <w:sz w:val="18"/>
            </w:rPr>
            <w:fldChar w:fldCharType="separate"/>
          </w:r>
          <w:r w:rsidR="00F224FD">
            <w:rPr>
              <w:rFonts w:ascii="Arial" w:hAnsi="Arial" w:cs="Arial"/>
              <w:noProof/>
              <w:sz w:val="18"/>
            </w:rPr>
            <w:t>45</w:t>
          </w:r>
          <w:r w:rsidRPr="00321A5E">
            <w:rPr>
              <w:rFonts w:ascii="Arial" w:hAnsi="Arial" w:cs="Arial"/>
              <w:sz w:val="18"/>
            </w:rPr>
            <w:fldChar w:fldCharType="end"/>
          </w:r>
          <w:r w:rsidRPr="00321A5E">
            <w:rPr>
              <w:rFonts w:ascii="Arial" w:hAnsi="Arial" w:cs="Arial"/>
              <w:sz w:val="18"/>
            </w:rPr>
            <w:t xml:space="preserve"> of </w:t>
          </w:r>
          <w:r w:rsidRPr="00321A5E">
            <w:rPr>
              <w:rFonts w:ascii="Arial" w:hAnsi="Arial" w:cs="Arial"/>
              <w:sz w:val="18"/>
            </w:rPr>
            <w:fldChar w:fldCharType="begin"/>
          </w:r>
          <w:r w:rsidRPr="00321A5E">
            <w:rPr>
              <w:rFonts w:ascii="Arial" w:hAnsi="Arial" w:cs="Arial"/>
              <w:sz w:val="18"/>
            </w:rPr>
            <w:instrText xml:space="preserve"> NUMPAGES </w:instrText>
          </w:r>
          <w:r w:rsidRPr="00321A5E">
            <w:rPr>
              <w:rFonts w:ascii="Arial" w:hAnsi="Arial" w:cs="Arial"/>
              <w:sz w:val="18"/>
            </w:rPr>
            <w:fldChar w:fldCharType="separate"/>
          </w:r>
          <w:r w:rsidR="00F224FD">
            <w:rPr>
              <w:rFonts w:ascii="Arial" w:hAnsi="Arial" w:cs="Arial"/>
              <w:noProof/>
              <w:sz w:val="18"/>
            </w:rPr>
            <w:t>45</w:t>
          </w:r>
          <w:r w:rsidRPr="00321A5E">
            <w:rPr>
              <w:rFonts w:ascii="Arial" w:hAnsi="Arial" w:cs="Arial"/>
              <w:sz w:val="18"/>
            </w:rPr>
            <w:fldChar w:fldCharType="end"/>
          </w:r>
        </w:p>
      </w:tc>
    </w:tr>
  </w:tbl>
  <w:p w:rsidR="00E44F87" w:rsidRDefault="00E44F87">
    <w:pPr>
      <w:pStyle w:val="Footer"/>
      <w:jc w:val="center"/>
      <w:rPr>
        <w:rFonts w:ascii="Arial Narrow" w:hAnsi="Arial Narrow"/>
        <w:sz w:val="20"/>
      </w:rPr>
    </w:pPr>
    <w:r>
      <w:rPr>
        <w:rFonts w:ascii="Arial Narrow" w:hAnsi="Arial Narrow"/>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C2" w:rsidRDefault="003A48C2">
      <w:r>
        <w:separator/>
      </w:r>
    </w:p>
  </w:footnote>
  <w:footnote w:type="continuationSeparator" w:id="0">
    <w:p w:rsidR="003A48C2" w:rsidRDefault="003A4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shd w:val="clear" w:color="auto" w:fill="E4F2E0"/>
      <w:tblLook w:val="04A0" w:firstRow="1" w:lastRow="0" w:firstColumn="1" w:lastColumn="0" w:noHBand="0" w:noVBand="1"/>
    </w:tblPr>
    <w:tblGrid>
      <w:gridCol w:w="8720"/>
    </w:tblGrid>
    <w:tr w:rsidR="00D671D6" w:rsidRPr="00D671D6" w:rsidTr="00362DBE">
      <w:tc>
        <w:tcPr>
          <w:tcW w:w="8720" w:type="dxa"/>
          <w:shd w:val="clear" w:color="auto" w:fill="E4F2E0"/>
        </w:tcPr>
        <w:p w:rsidR="00D671D6" w:rsidRPr="00D671D6" w:rsidRDefault="00D671D6" w:rsidP="00D671D6">
          <w:pPr>
            <w:spacing w:before="40" w:after="40" w:line="240" w:lineRule="atLeast"/>
            <w:rPr>
              <w:b/>
              <w:sz w:val="20"/>
              <w:szCs w:val="20"/>
            </w:rPr>
          </w:pPr>
          <w:r w:rsidRPr="00D671D6">
            <w:rPr>
              <w:b/>
              <w:sz w:val="20"/>
              <w:szCs w:val="20"/>
            </w:rPr>
            <w:t>Attachment 1: Product information for AusPAR Adalimumab Humira AbbVie Pty Ltd PM-2013-01154-1-1 Final 5 August 2014. This Product Information was approved at the time this AusPAR was published.</w:t>
          </w:r>
        </w:p>
      </w:tc>
    </w:tr>
  </w:tbl>
  <w:p w:rsidR="00D671D6" w:rsidRDefault="00D671D6" w:rsidP="00D671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C96"/>
    <w:multiLevelType w:val="hybridMultilevel"/>
    <w:tmpl w:val="1966E058"/>
    <w:lvl w:ilvl="0" w:tplc="034CC210">
      <w:start w:val="23"/>
      <w:numFmt w:val="bullet"/>
      <w:lvlText w:val=""/>
      <w:lvlJc w:val="left"/>
      <w:pPr>
        <w:tabs>
          <w:tab w:val="num" w:pos="720"/>
        </w:tabs>
        <w:ind w:left="720" w:hanging="360"/>
      </w:pPr>
      <w:rPr>
        <w:rFonts w:ascii="Symbol" w:eastAsia="Times New Roman" w:hAnsi="Symbol" w:cs="Arial" w:hint="default"/>
      </w:rPr>
    </w:lvl>
    <w:lvl w:ilvl="1" w:tplc="8FBEE9FA" w:tentative="1">
      <w:start w:val="1"/>
      <w:numFmt w:val="bullet"/>
      <w:lvlText w:val="o"/>
      <w:lvlJc w:val="left"/>
      <w:pPr>
        <w:tabs>
          <w:tab w:val="num" w:pos="1440"/>
        </w:tabs>
        <w:ind w:left="1440" w:hanging="360"/>
      </w:pPr>
      <w:rPr>
        <w:rFonts w:ascii="Courier New" w:hAnsi="Courier New" w:hint="default"/>
      </w:rPr>
    </w:lvl>
    <w:lvl w:ilvl="2" w:tplc="9E46696A" w:tentative="1">
      <w:start w:val="1"/>
      <w:numFmt w:val="bullet"/>
      <w:lvlText w:val=""/>
      <w:lvlJc w:val="left"/>
      <w:pPr>
        <w:tabs>
          <w:tab w:val="num" w:pos="2160"/>
        </w:tabs>
        <w:ind w:left="2160" w:hanging="360"/>
      </w:pPr>
      <w:rPr>
        <w:rFonts w:ascii="Wingdings" w:hAnsi="Wingdings" w:hint="default"/>
      </w:rPr>
    </w:lvl>
    <w:lvl w:ilvl="3" w:tplc="83B6850A" w:tentative="1">
      <w:start w:val="1"/>
      <w:numFmt w:val="bullet"/>
      <w:lvlText w:val=""/>
      <w:lvlJc w:val="left"/>
      <w:pPr>
        <w:tabs>
          <w:tab w:val="num" w:pos="2880"/>
        </w:tabs>
        <w:ind w:left="2880" w:hanging="360"/>
      </w:pPr>
      <w:rPr>
        <w:rFonts w:ascii="Symbol" w:hAnsi="Symbol" w:hint="default"/>
      </w:rPr>
    </w:lvl>
    <w:lvl w:ilvl="4" w:tplc="58ECEAD2" w:tentative="1">
      <w:start w:val="1"/>
      <w:numFmt w:val="bullet"/>
      <w:lvlText w:val="o"/>
      <w:lvlJc w:val="left"/>
      <w:pPr>
        <w:tabs>
          <w:tab w:val="num" w:pos="3600"/>
        </w:tabs>
        <w:ind w:left="3600" w:hanging="360"/>
      </w:pPr>
      <w:rPr>
        <w:rFonts w:ascii="Courier New" w:hAnsi="Courier New" w:hint="default"/>
      </w:rPr>
    </w:lvl>
    <w:lvl w:ilvl="5" w:tplc="071C074C" w:tentative="1">
      <w:start w:val="1"/>
      <w:numFmt w:val="bullet"/>
      <w:lvlText w:val=""/>
      <w:lvlJc w:val="left"/>
      <w:pPr>
        <w:tabs>
          <w:tab w:val="num" w:pos="4320"/>
        </w:tabs>
        <w:ind w:left="4320" w:hanging="360"/>
      </w:pPr>
      <w:rPr>
        <w:rFonts w:ascii="Wingdings" w:hAnsi="Wingdings" w:hint="default"/>
      </w:rPr>
    </w:lvl>
    <w:lvl w:ilvl="6" w:tplc="4A40FF50" w:tentative="1">
      <w:start w:val="1"/>
      <w:numFmt w:val="bullet"/>
      <w:lvlText w:val=""/>
      <w:lvlJc w:val="left"/>
      <w:pPr>
        <w:tabs>
          <w:tab w:val="num" w:pos="5040"/>
        </w:tabs>
        <w:ind w:left="5040" w:hanging="360"/>
      </w:pPr>
      <w:rPr>
        <w:rFonts w:ascii="Symbol" w:hAnsi="Symbol" w:hint="default"/>
      </w:rPr>
    </w:lvl>
    <w:lvl w:ilvl="7" w:tplc="254C5902" w:tentative="1">
      <w:start w:val="1"/>
      <w:numFmt w:val="bullet"/>
      <w:lvlText w:val="o"/>
      <w:lvlJc w:val="left"/>
      <w:pPr>
        <w:tabs>
          <w:tab w:val="num" w:pos="5760"/>
        </w:tabs>
        <w:ind w:left="5760" w:hanging="360"/>
      </w:pPr>
      <w:rPr>
        <w:rFonts w:ascii="Courier New" w:hAnsi="Courier New" w:hint="default"/>
      </w:rPr>
    </w:lvl>
    <w:lvl w:ilvl="8" w:tplc="0764C676" w:tentative="1">
      <w:start w:val="1"/>
      <w:numFmt w:val="bullet"/>
      <w:lvlText w:val=""/>
      <w:lvlJc w:val="left"/>
      <w:pPr>
        <w:tabs>
          <w:tab w:val="num" w:pos="6480"/>
        </w:tabs>
        <w:ind w:left="6480" w:hanging="360"/>
      </w:pPr>
      <w:rPr>
        <w:rFonts w:ascii="Wingdings" w:hAnsi="Wingdings" w:hint="default"/>
      </w:rPr>
    </w:lvl>
  </w:abstractNum>
  <w:abstractNum w:abstractNumId="1">
    <w:nsid w:val="06813475"/>
    <w:multiLevelType w:val="hybridMultilevel"/>
    <w:tmpl w:val="49F6F422"/>
    <w:lvl w:ilvl="0" w:tplc="9BD6E88E">
      <w:numFmt w:val="bullet"/>
      <w:lvlText w:val="v"/>
      <w:lvlJc w:val="left"/>
      <w:pPr>
        <w:tabs>
          <w:tab w:val="num" w:pos="360"/>
        </w:tabs>
        <w:ind w:left="360" w:hanging="360"/>
      </w:pPr>
      <w:rPr>
        <w:rFonts w:ascii="LotusWP Type" w:hAnsi="LotusWP Type" w:hint="default"/>
        <w:sz w:val="24"/>
      </w:rPr>
    </w:lvl>
    <w:lvl w:ilvl="1" w:tplc="0C3CBD38" w:tentative="1">
      <w:start w:val="1"/>
      <w:numFmt w:val="bullet"/>
      <w:lvlText w:val="o"/>
      <w:lvlJc w:val="left"/>
      <w:pPr>
        <w:tabs>
          <w:tab w:val="num" w:pos="1440"/>
        </w:tabs>
        <w:ind w:left="1440" w:hanging="360"/>
      </w:pPr>
      <w:rPr>
        <w:rFonts w:ascii="Courier New" w:hAnsi="Courier New" w:hint="default"/>
      </w:rPr>
    </w:lvl>
    <w:lvl w:ilvl="2" w:tplc="A1D883E8" w:tentative="1">
      <w:start w:val="1"/>
      <w:numFmt w:val="bullet"/>
      <w:lvlText w:val=""/>
      <w:lvlJc w:val="left"/>
      <w:pPr>
        <w:tabs>
          <w:tab w:val="num" w:pos="2160"/>
        </w:tabs>
        <w:ind w:left="2160" w:hanging="360"/>
      </w:pPr>
      <w:rPr>
        <w:rFonts w:ascii="Wingdings" w:hAnsi="Wingdings" w:hint="default"/>
      </w:rPr>
    </w:lvl>
    <w:lvl w:ilvl="3" w:tplc="DB5CEEF6" w:tentative="1">
      <w:start w:val="1"/>
      <w:numFmt w:val="bullet"/>
      <w:lvlText w:val=""/>
      <w:lvlJc w:val="left"/>
      <w:pPr>
        <w:tabs>
          <w:tab w:val="num" w:pos="2880"/>
        </w:tabs>
        <w:ind w:left="2880" w:hanging="360"/>
      </w:pPr>
      <w:rPr>
        <w:rFonts w:ascii="Symbol" w:hAnsi="Symbol" w:hint="default"/>
      </w:rPr>
    </w:lvl>
    <w:lvl w:ilvl="4" w:tplc="18D4E8F6" w:tentative="1">
      <w:start w:val="1"/>
      <w:numFmt w:val="bullet"/>
      <w:lvlText w:val="o"/>
      <w:lvlJc w:val="left"/>
      <w:pPr>
        <w:tabs>
          <w:tab w:val="num" w:pos="3600"/>
        </w:tabs>
        <w:ind w:left="3600" w:hanging="360"/>
      </w:pPr>
      <w:rPr>
        <w:rFonts w:ascii="Courier New" w:hAnsi="Courier New" w:hint="default"/>
      </w:rPr>
    </w:lvl>
    <w:lvl w:ilvl="5" w:tplc="EC4845FE" w:tentative="1">
      <w:start w:val="1"/>
      <w:numFmt w:val="bullet"/>
      <w:lvlText w:val=""/>
      <w:lvlJc w:val="left"/>
      <w:pPr>
        <w:tabs>
          <w:tab w:val="num" w:pos="4320"/>
        </w:tabs>
        <w:ind w:left="4320" w:hanging="360"/>
      </w:pPr>
      <w:rPr>
        <w:rFonts w:ascii="Wingdings" w:hAnsi="Wingdings" w:hint="default"/>
      </w:rPr>
    </w:lvl>
    <w:lvl w:ilvl="6" w:tplc="AB02FCAE" w:tentative="1">
      <w:start w:val="1"/>
      <w:numFmt w:val="bullet"/>
      <w:lvlText w:val=""/>
      <w:lvlJc w:val="left"/>
      <w:pPr>
        <w:tabs>
          <w:tab w:val="num" w:pos="5040"/>
        </w:tabs>
        <w:ind w:left="5040" w:hanging="360"/>
      </w:pPr>
      <w:rPr>
        <w:rFonts w:ascii="Symbol" w:hAnsi="Symbol" w:hint="default"/>
      </w:rPr>
    </w:lvl>
    <w:lvl w:ilvl="7" w:tplc="25082E02" w:tentative="1">
      <w:start w:val="1"/>
      <w:numFmt w:val="bullet"/>
      <w:lvlText w:val="o"/>
      <w:lvlJc w:val="left"/>
      <w:pPr>
        <w:tabs>
          <w:tab w:val="num" w:pos="5760"/>
        </w:tabs>
        <w:ind w:left="5760" w:hanging="360"/>
      </w:pPr>
      <w:rPr>
        <w:rFonts w:ascii="Courier New" w:hAnsi="Courier New" w:hint="default"/>
      </w:rPr>
    </w:lvl>
    <w:lvl w:ilvl="8" w:tplc="6C045CD8" w:tentative="1">
      <w:start w:val="1"/>
      <w:numFmt w:val="bullet"/>
      <w:lvlText w:val=""/>
      <w:lvlJc w:val="left"/>
      <w:pPr>
        <w:tabs>
          <w:tab w:val="num" w:pos="6480"/>
        </w:tabs>
        <w:ind w:left="6480" w:hanging="360"/>
      </w:pPr>
      <w:rPr>
        <w:rFonts w:ascii="Wingdings" w:hAnsi="Wingdings" w:hint="default"/>
      </w:rPr>
    </w:lvl>
  </w:abstractNum>
  <w:abstractNum w:abstractNumId="2">
    <w:nsid w:val="079F1D9C"/>
    <w:multiLevelType w:val="hybridMultilevel"/>
    <w:tmpl w:val="4E56C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EE1989"/>
    <w:multiLevelType w:val="hybridMultilevel"/>
    <w:tmpl w:val="4A22724A"/>
    <w:lvl w:ilvl="0" w:tplc="04090001">
      <w:start w:val="1"/>
      <w:numFmt w:val="bullet"/>
      <w:lvlText w:val=""/>
      <w:lvlJc w:val="left"/>
      <w:pPr>
        <w:tabs>
          <w:tab w:val="num" w:pos="360"/>
        </w:tabs>
        <w:ind w:left="360" w:hanging="360"/>
      </w:pPr>
      <w:rPr>
        <w:rFonts w:ascii="Symbol" w:hAnsi="Symbol" w:hint="default"/>
      </w:rPr>
    </w:lvl>
    <w:lvl w:ilvl="1" w:tplc="B4F474AC" w:tentative="1">
      <w:start w:val="1"/>
      <w:numFmt w:val="bullet"/>
      <w:lvlText w:val="o"/>
      <w:lvlJc w:val="left"/>
      <w:pPr>
        <w:tabs>
          <w:tab w:val="num" w:pos="1440"/>
        </w:tabs>
        <w:ind w:left="1440" w:hanging="360"/>
      </w:pPr>
      <w:rPr>
        <w:rFonts w:ascii="Courier New" w:hAnsi="Courier New" w:hint="default"/>
      </w:rPr>
    </w:lvl>
    <w:lvl w:ilvl="2" w:tplc="5450E59C" w:tentative="1">
      <w:start w:val="1"/>
      <w:numFmt w:val="bullet"/>
      <w:lvlText w:val=""/>
      <w:lvlJc w:val="left"/>
      <w:pPr>
        <w:tabs>
          <w:tab w:val="num" w:pos="2160"/>
        </w:tabs>
        <w:ind w:left="2160" w:hanging="360"/>
      </w:pPr>
      <w:rPr>
        <w:rFonts w:ascii="Wingdings" w:hAnsi="Wingdings" w:hint="default"/>
      </w:rPr>
    </w:lvl>
    <w:lvl w:ilvl="3" w:tplc="44AA9E40" w:tentative="1">
      <w:start w:val="1"/>
      <w:numFmt w:val="bullet"/>
      <w:lvlText w:val=""/>
      <w:lvlJc w:val="left"/>
      <w:pPr>
        <w:tabs>
          <w:tab w:val="num" w:pos="2880"/>
        </w:tabs>
        <w:ind w:left="2880" w:hanging="360"/>
      </w:pPr>
      <w:rPr>
        <w:rFonts w:ascii="Symbol" w:hAnsi="Symbol" w:hint="default"/>
      </w:rPr>
    </w:lvl>
    <w:lvl w:ilvl="4" w:tplc="8CA05A22" w:tentative="1">
      <w:start w:val="1"/>
      <w:numFmt w:val="bullet"/>
      <w:lvlText w:val="o"/>
      <w:lvlJc w:val="left"/>
      <w:pPr>
        <w:tabs>
          <w:tab w:val="num" w:pos="3600"/>
        </w:tabs>
        <w:ind w:left="3600" w:hanging="360"/>
      </w:pPr>
      <w:rPr>
        <w:rFonts w:ascii="Courier New" w:hAnsi="Courier New" w:hint="default"/>
      </w:rPr>
    </w:lvl>
    <w:lvl w:ilvl="5" w:tplc="4FFE1BC4" w:tentative="1">
      <w:start w:val="1"/>
      <w:numFmt w:val="bullet"/>
      <w:lvlText w:val=""/>
      <w:lvlJc w:val="left"/>
      <w:pPr>
        <w:tabs>
          <w:tab w:val="num" w:pos="4320"/>
        </w:tabs>
        <w:ind w:left="4320" w:hanging="360"/>
      </w:pPr>
      <w:rPr>
        <w:rFonts w:ascii="Wingdings" w:hAnsi="Wingdings" w:hint="default"/>
      </w:rPr>
    </w:lvl>
    <w:lvl w:ilvl="6" w:tplc="7F9AC698" w:tentative="1">
      <w:start w:val="1"/>
      <w:numFmt w:val="bullet"/>
      <w:lvlText w:val=""/>
      <w:lvlJc w:val="left"/>
      <w:pPr>
        <w:tabs>
          <w:tab w:val="num" w:pos="5040"/>
        </w:tabs>
        <w:ind w:left="5040" w:hanging="360"/>
      </w:pPr>
      <w:rPr>
        <w:rFonts w:ascii="Symbol" w:hAnsi="Symbol" w:hint="default"/>
      </w:rPr>
    </w:lvl>
    <w:lvl w:ilvl="7" w:tplc="65BC7358" w:tentative="1">
      <w:start w:val="1"/>
      <w:numFmt w:val="bullet"/>
      <w:lvlText w:val="o"/>
      <w:lvlJc w:val="left"/>
      <w:pPr>
        <w:tabs>
          <w:tab w:val="num" w:pos="5760"/>
        </w:tabs>
        <w:ind w:left="5760" w:hanging="360"/>
      </w:pPr>
      <w:rPr>
        <w:rFonts w:ascii="Courier New" w:hAnsi="Courier New" w:hint="default"/>
      </w:rPr>
    </w:lvl>
    <w:lvl w:ilvl="8" w:tplc="89CE2CA8" w:tentative="1">
      <w:start w:val="1"/>
      <w:numFmt w:val="bullet"/>
      <w:lvlText w:val=""/>
      <w:lvlJc w:val="left"/>
      <w:pPr>
        <w:tabs>
          <w:tab w:val="num" w:pos="6480"/>
        </w:tabs>
        <w:ind w:left="6480" w:hanging="360"/>
      </w:pPr>
      <w:rPr>
        <w:rFonts w:ascii="Wingdings" w:hAnsi="Wingdings" w:hint="default"/>
      </w:rPr>
    </w:lvl>
  </w:abstractNum>
  <w:abstractNum w:abstractNumId="4">
    <w:nsid w:val="196278F3"/>
    <w:multiLevelType w:val="hybridMultilevel"/>
    <w:tmpl w:val="2764A8E4"/>
    <w:lvl w:ilvl="0" w:tplc="04090001">
      <w:start w:val="1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0C6CAF"/>
    <w:multiLevelType w:val="hybridMultilevel"/>
    <w:tmpl w:val="95845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D8325F"/>
    <w:multiLevelType w:val="hybridMultilevel"/>
    <w:tmpl w:val="4A22724A"/>
    <w:lvl w:ilvl="0" w:tplc="6242ED3C">
      <w:numFmt w:val="bullet"/>
      <w:lvlText w:val="v"/>
      <w:lvlJc w:val="left"/>
      <w:pPr>
        <w:tabs>
          <w:tab w:val="num" w:pos="360"/>
        </w:tabs>
        <w:ind w:left="360" w:hanging="360"/>
      </w:pPr>
      <w:rPr>
        <w:rFonts w:ascii="LotusWP Type" w:hAnsi="LotusWP Type" w:hint="default"/>
        <w:sz w:val="24"/>
      </w:rPr>
    </w:lvl>
    <w:lvl w:ilvl="1" w:tplc="D1949D4E" w:tentative="1">
      <w:start w:val="1"/>
      <w:numFmt w:val="bullet"/>
      <w:lvlText w:val="o"/>
      <w:lvlJc w:val="left"/>
      <w:pPr>
        <w:tabs>
          <w:tab w:val="num" w:pos="1440"/>
        </w:tabs>
        <w:ind w:left="1440" w:hanging="360"/>
      </w:pPr>
      <w:rPr>
        <w:rFonts w:ascii="Courier New" w:hAnsi="Courier New" w:hint="default"/>
      </w:rPr>
    </w:lvl>
    <w:lvl w:ilvl="2" w:tplc="245C4FAE" w:tentative="1">
      <w:start w:val="1"/>
      <w:numFmt w:val="bullet"/>
      <w:lvlText w:val=""/>
      <w:lvlJc w:val="left"/>
      <w:pPr>
        <w:tabs>
          <w:tab w:val="num" w:pos="2160"/>
        </w:tabs>
        <w:ind w:left="2160" w:hanging="360"/>
      </w:pPr>
      <w:rPr>
        <w:rFonts w:ascii="Wingdings" w:hAnsi="Wingdings" w:hint="default"/>
      </w:rPr>
    </w:lvl>
    <w:lvl w:ilvl="3" w:tplc="2214D084" w:tentative="1">
      <w:start w:val="1"/>
      <w:numFmt w:val="bullet"/>
      <w:lvlText w:val=""/>
      <w:lvlJc w:val="left"/>
      <w:pPr>
        <w:tabs>
          <w:tab w:val="num" w:pos="2880"/>
        </w:tabs>
        <w:ind w:left="2880" w:hanging="360"/>
      </w:pPr>
      <w:rPr>
        <w:rFonts w:ascii="Symbol" w:hAnsi="Symbol" w:hint="default"/>
      </w:rPr>
    </w:lvl>
    <w:lvl w:ilvl="4" w:tplc="05CCD9F8" w:tentative="1">
      <w:start w:val="1"/>
      <w:numFmt w:val="bullet"/>
      <w:lvlText w:val="o"/>
      <w:lvlJc w:val="left"/>
      <w:pPr>
        <w:tabs>
          <w:tab w:val="num" w:pos="3600"/>
        </w:tabs>
        <w:ind w:left="3600" w:hanging="360"/>
      </w:pPr>
      <w:rPr>
        <w:rFonts w:ascii="Courier New" w:hAnsi="Courier New" w:hint="default"/>
      </w:rPr>
    </w:lvl>
    <w:lvl w:ilvl="5" w:tplc="A47EFF06" w:tentative="1">
      <w:start w:val="1"/>
      <w:numFmt w:val="bullet"/>
      <w:lvlText w:val=""/>
      <w:lvlJc w:val="left"/>
      <w:pPr>
        <w:tabs>
          <w:tab w:val="num" w:pos="4320"/>
        </w:tabs>
        <w:ind w:left="4320" w:hanging="360"/>
      </w:pPr>
      <w:rPr>
        <w:rFonts w:ascii="Wingdings" w:hAnsi="Wingdings" w:hint="default"/>
      </w:rPr>
    </w:lvl>
    <w:lvl w:ilvl="6" w:tplc="3FFAEBF2" w:tentative="1">
      <w:start w:val="1"/>
      <w:numFmt w:val="bullet"/>
      <w:lvlText w:val=""/>
      <w:lvlJc w:val="left"/>
      <w:pPr>
        <w:tabs>
          <w:tab w:val="num" w:pos="5040"/>
        </w:tabs>
        <w:ind w:left="5040" w:hanging="360"/>
      </w:pPr>
      <w:rPr>
        <w:rFonts w:ascii="Symbol" w:hAnsi="Symbol" w:hint="default"/>
      </w:rPr>
    </w:lvl>
    <w:lvl w:ilvl="7" w:tplc="2D2AEB50" w:tentative="1">
      <w:start w:val="1"/>
      <w:numFmt w:val="bullet"/>
      <w:lvlText w:val="o"/>
      <w:lvlJc w:val="left"/>
      <w:pPr>
        <w:tabs>
          <w:tab w:val="num" w:pos="5760"/>
        </w:tabs>
        <w:ind w:left="5760" w:hanging="360"/>
      </w:pPr>
      <w:rPr>
        <w:rFonts w:ascii="Courier New" w:hAnsi="Courier New" w:hint="default"/>
      </w:rPr>
    </w:lvl>
    <w:lvl w:ilvl="8" w:tplc="EB38424C" w:tentative="1">
      <w:start w:val="1"/>
      <w:numFmt w:val="bullet"/>
      <w:lvlText w:val=""/>
      <w:lvlJc w:val="left"/>
      <w:pPr>
        <w:tabs>
          <w:tab w:val="num" w:pos="6480"/>
        </w:tabs>
        <w:ind w:left="6480" w:hanging="360"/>
      </w:pPr>
      <w:rPr>
        <w:rFonts w:ascii="Wingdings" w:hAnsi="Wingdings" w:hint="default"/>
      </w:rPr>
    </w:lvl>
  </w:abstractNum>
  <w:abstractNum w:abstractNumId="7">
    <w:nsid w:val="26FE1887"/>
    <w:multiLevelType w:val="hybridMultilevel"/>
    <w:tmpl w:val="6D3AE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EDE28F2"/>
    <w:multiLevelType w:val="hybridMultilevel"/>
    <w:tmpl w:val="218C714E"/>
    <w:lvl w:ilvl="0" w:tplc="B7E8F598">
      <w:numFmt w:val="bullet"/>
      <w:lvlText w:val="v"/>
      <w:lvlJc w:val="left"/>
      <w:pPr>
        <w:tabs>
          <w:tab w:val="num" w:pos="360"/>
        </w:tabs>
        <w:ind w:left="360" w:hanging="360"/>
      </w:pPr>
      <w:rPr>
        <w:rFonts w:ascii="LotusWP Type" w:hAnsi="LotusWP Type" w:hint="default"/>
        <w:sz w:val="24"/>
      </w:rPr>
    </w:lvl>
    <w:lvl w:ilvl="1" w:tplc="8B2C90FC" w:tentative="1">
      <w:start w:val="1"/>
      <w:numFmt w:val="bullet"/>
      <w:lvlText w:val="o"/>
      <w:lvlJc w:val="left"/>
      <w:pPr>
        <w:tabs>
          <w:tab w:val="num" w:pos="1440"/>
        </w:tabs>
        <w:ind w:left="1440" w:hanging="360"/>
      </w:pPr>
      <w:rPr>
        <w:rFonts w:ascii="Courier New" w:hAnsi="Courier New" w:hint="default"/>
      </w:rPr>
    </w:lvl>
    <w:lvl w:ilvl="2" w:tplc="BC0461BA" w:tentative="1">
      <w:start w:val="1"/>
      <w:numFmt w:val="bullet"/>
      <w:lvlText w:val=""/>
      <w:lvlJc w:val="left"/>
      <w:pPr>
        <w:tabs>
          <w:tab w:val="num" w:pos="2160"/>
        </w:tabs>
        <w:ind w:left="2160" w:hanging="360"/>
      </w:pPr>
      <w:rPr>
        <w:rFonts w:ascii="Wingdings" w:hAnsi="Wingdings" w:hint="default"/>
      </w:rPr>
    </w:lvl>
    <w:lvl w:ilvl="3" w:tplc="B7749618" w:tentative="1">
      <w:start w:val="1"/>
      <w:numFmt w:val="bullet"/>
      <w:lvlText w:val=""/>
      <w:lvlJc w:val="left"/>
      <w:pPr>
        <w:tabs>
          <w:tab w:val="num" w:pos="2880"/>
        </w:tabs>
        <w:ind w:left="2880" w:hanging="360"/>
      </w:pPr>
      <w:rPr>
        <w:rFonts w:ascii="Symbol" w:hAnsi="Symbol" w:hint="default"/>
      </w:rPr>
    </w:lvl>
    <w:lvl w:ilvl="4" w:tplc="A93CD936" w:tentative="1">
      <w:start w:val="1"/>
      <w:numFmt w:val="bullet"/>
      <w:lvlText w:val="o"/>
      <w:lvlJc w:val="left"/>
      <w:pPr>
        <w:tabs>
          <w:tab w:val="num" w:pos="3600"/>
        </w:tabs>
        <w:ind w:left="3600" w:hanging="360"/>
      </w:pPr>
      <w:rPr>
        <w:rFonts w:ascii="Courier New" w:hAnsi="Courier New" w:hint="default"/>
      </w:rPr>
    </w:lvl>
    <w:lvl w:ilvl="5" w:tplc="6EDA37B4" w:tentative="1">
      <w:start w:val="1"/>
      <w:numFmt w:val="bullet"/>
      <w:lvlText w:val=""/>
      <w:lvlJc w:val="left"/>
      <w:pPr>
        <w:tabs>
          <w:tab w:val="num" w:pos="4320"/>
        </w:tabs>
        <w:ind w:left="4320" w:hanging="360"/>
      </w:pPr>
      <w:rPr>
        <w:rFonts w:ascii="Wingdings" w:hAnsi="Wingdings" w:hint="default"/>
      </w:rPr>
    </w:lvl>
    <w:lvl w:ilvl="6" w:tplc="76CE220A" w:tentative="1">
      <w:start w:val="1"/>
      <w:numFmt w:val="bullet"/>
      <w:lvlText w:val=""/>
      <w:lvlJc w:val="left"/>
      <w:pPr>
        <w:tabs>
          <w:tab w:val="num" w:pos="5040"/>
        </w:tabs>
        <w:ind w:left="5040" w:hanging="360"/>
      </w:pPr>
      <w:rPr>
        <w:rFonts w:ascii="Symbol" w:hAnsi="Symbol" w:hint="default"/>
      </w:rPr>
    </w:lvl>
    <w:lvl w:ilvl="7" w:tplc="1BB42A0E" w:tentative="1">
      <w:start w:val="1"/>
      <w:numFmt w:val="bullet"/>
      <w:lvlText w:val="o"/>
      <w:lvlJc w:val="left"/>
      <w:pPr>
        <w:tabs>
          <w:tab w:val="num" w:pos="5760"/>
        </w:tabs>
        <w:ind w:left="5760" w:hanging="360"/>
      </w:pPr>
      <w:rPr>
        <w:rFonts w:ascii="Courier New" w:hAnsi="Courier New" w:hint="default"/>
      </w:rPr>
    </w:lvl>
    <w:lvl w:ilvl="8" w:tplc="A6E6466A" w:tentative="1">
      <w:start w:val="1"/>
      <w:numFmt w:val="bullet"/>
      <w:lvlText w:val=""/>
      <w:lvlJc w:val="left"/>
      <w:pPr>
        <w:tabs>
          <w:tab w:val="num" w:pos="6480"/>
        </w:tabs>
        <w:ind w:left="6480" w:hanging="360"/>
      </w:pPr>
      <w:rPr>
        <w:rFonts w:ascii="Wingdings" w:hAnsi="Wingdings" w:hint="default"/>
      </w:rPr>
    </w:lvl>
  </w:abstractNum>
  <w:abstractNum w:abstractNumId="9">
    <w:nsid w:val="343F103C"/>
    <w:multiLevelType w:val="hybridMultilevel"/>
    <w:tmpl w:val="D884C086"/>
    <w:lvl w:ilvl="0" w:tplc="B6208240">
      <w:start w:val="4"/>
      <w:numFmt w:val="bullet"/>
      <w:lvlText w:val=""/>
      <w:lvlJc w:val="left"/>
      <w:pPr>
        <w:tabs>
          <w:tab w:val="num" w:pos="1080"/>
        </w:tabs>
        <w:ind w:left="1080" w:hanging="720"/>
      </w:pPr>
      <w:rPr>
        <w:rFonts w:ascii="Symbol" w:eastAsia="Times New Roman" w:hAnsi="Symbol" w:cs="Arial" w:hint="default"/>
      </w:rPr>
    </w:lvl>
    <w:lvl w:ilvl="1" w:tplc="66DEE3D2" w:tentative="1">
      <w:start w:val="1"/>
      <w:numFmt w:val="bullet"/>
      <w:lvlText w:val="o"/>
      <w:lvlJc w:val="left"/>
      <w:pPr>
        <w:tabs>
          <w:tab w:val="num" w:pos="1440"/>
        </w:tabs>
        <w:ind w:left="1440" w:hanging="360"/>
      </w:pPr>
      <w:rPr>
        <w:rFonts w:ascii="Courier New" w:hAnsi="Courier New" w:hint="default"/>
      </w:rPr>
    </w:lvl>
    <w:lvl w:ilvl="2" w:tplc="925A1B7C" w:tentative="1">
      <w:start w:val="1"/>
      <w:numFmt w:val="bullet"/>
      <w:lvlText w:val=""/>
      <w:lvlJc w:val="left"/>
      <w:pPr>
        <w:tabs>
          <w:tab w:val="num" w:pos="2160"/>
        </w:tabs>
        <w:ind w:left="2160" w:hanging="360"/>
      </w:pPr>
      <w:rPr>
        <w:rFonts w:ascii="Wingdings" w:hAnsi="Wingdings" w:hint="default"/>
      </w:rPr>
    </w:lvl>
    <w:lvl w:ilvl="3" w:tplc="CC18450A" w:tentative="1">
      <w:start w:val="1"/>
      <w:numFmt w:val="bullet"/>
      <w:lvlText w:val=""/>
      <w:lvlJc w:val="left"/>
      <w:pPr>
        <w:tabs>
          <w:tab w:val="num" w:pos="2880"/>
        </w:tabs>
        <w:ind w:left="2880" w:hanging="360"/>
      </w:pPr>
      <w:rPr>
        <w:rFonts w:ascii="Symbol" w:hAnsi="Symbol" w:hint="default"/>
      </w:rPr>
    </w:lvl>
    <w:lvl w:ilvl="4" w:tplc="FA261312" w:tentative="1">
      <w:start w:val="1"/>
      <w:numFmt w:val="bullet"/>
      <w:lvlText w:val="o"/>
      <w:lvlJc w:val="left"/>
      <w:pPr>
        <w:tabs>
          <w:tab w:val="num" w:pos="3600"/>
        </w:tabs>
        <w:ind w:left="3600" w:hanging="360"/>
      </w:pPr>
      <w:rPr>
        <w:rFonts w:ascii="Courier New" w:hAnsi="Courier New" w:hint="default"/>
      </w:rPr>
    </w:lvl>
    <w:lvl w:ilvl="5" w:tplc="190C383C" w:tentative="1">
      <w:start w:val="1"/>
      <w:numFmt w:val="bullet"/>
      <w:lvlText w:val=""/>
      <w:lvlJc w:val="left"/>
      <w:pPr>
        <w:tabs>
          <w:tab w:val="num" w:pos="4320"/>
        </w:tabs>
        <w:ind w:left="4320" w:hanging="360"/>
      </w:pPr>
      <w:rPr>
        <w:rFonts w:ascii="Wingdings" w:hAnsi="Wingdings" w:hint="default"/>
      </w:rPr>
    </w:lvl>
    <w:lvl w:ilvl="6" w:tplc="E5EC312E" w:tentative="1">
      <w:start w:val="1"/>
      <w:numFmt w:val="bullet"/>
      <w:lvlText w:val=""/>
      <w:lvlJc w:val="left"/>
      <w:pPr>
        <w:tabs>
          <w:tab w:val="num" w:pos="5040"/>
        </w:tabs>
        <w:ind w:left="5040" w:hanging="360"/>
      </w:pPr>
      <w:rPr>
        <w:rFonts w:ascii="Symbol" w:hAnsi="Symbol" w:hint="default"/>
      </w:rPr>
    </w:lvl>
    <w:lvl w:ilvl="7" w:tplc="36F25994" w:tentative="1">
      <w:start w:val="1"/>
      <w:numFmt w:val="bullet"/>
      <w:lvlText w:val="o"/>
      <w:lvlJc w:val="left"/>
      <w:pPr>
        <w:tabs>
          <w:tab w:val="num" w:pos="5760"/>
        </w:tabs>
        <w:ind w:left="5760" w:hanging="360"/>
      </w:pPr>
      <w:rPr>
        <w:rFonts w:ascii="Courier New" w:hAnsi="Courier New" w:hint="default"/>
      </w:rPr>
    </w:lvl>
    <w:lvl w:ilvl="8" w:tplc="F4CE32AA" w:tentative="1">
      <w:start w:val="1"/>
      <w:numFmt w:val="bullet"/>
      <w:lvlText w:val=""/>
      <w:lvlJc w:val="left"/>
      <w:pPr>
        <w:tabs>
          <w:tab w:val="num" w:pos="6480"/>
        </w:tabs>
        <w:ind w:left="6480" w:hanging="360"/>
      </w:pPr>
      <w:rPr>
        <w:rFonts w:ascii="Wingdings" w:hAnsi="Wingdings" w:hint="default"/>
      </w:rPr>
    </w:lvl>
  </w:abstractNum>
  <w:abstractNum w:abstractNumId="10">
    <w:nsid w:val="37393A12"/>
    <w:multiLevelType w:val="hybridMultilevel"/>
    <w:tmpl w:val="201650C0"/>
    <w:lvl w:ilvl="0" w:tplc="FF2015BC">
      <w:numFmt w:val="bullet"/>
      <w:lvlText w:val="v"/>
      <w:lvlJc w:val="left"/>
      <w:pPr>
        <w:tabs>
          <w:tab w:val="num" w:pos="360"/>
        </w:tabs>
        <w:ind w:left="360" w:hanging="360"/>
      </w:pPr>
      <w:rPr>
        <w:rFonts w:ascii="LotusWP Type" w:hAnsi="LotusWP Type" w:hint="default"/>
        <w:sz w:val="24"/>
      </w:rPr>
    </w:lvl>
    <w:lvl w:ilvl="1" w:tplc="4A2013A4" w:tentative="1">
      <w:start w:val="1"/>
      <w:numFmt w:val="bullet"/>
      <w:lvlText w:val="o"/>
      <w:lvlJc w:val="left"/>
      <w:pPr>
        <w:tabs>
          <w:tab w:val="num" w:pos="1440"/>
        </w:tabs>
        <w:ind w:left="1440" w:hanging="360"/>
      </w:pPr>
      <w:rPr>
        <w:rFonts w:ascii="Courier New" w:hAnsi="Courier New" w:hint="default"/>
      </w:rPr>
    </w:lvl>
    <w:lvl w:ilvl="2" w:tplc="CB7AA56C" w:tentative="1">
      <w:start w:val="1"/>
      <w:numFmt w:val="bullet"/>
      <w:lvlText w:val=""/>
      <w:lvlJc w:val="left"/>
      <w:pPr>
        <w:tabs>
          <w:tab w:val="num" w:pos="2160"/>
        </w:tabs>
        <w:ind w:left="2160" w:hanging="360"/>
      </w:pPr>
      <w:rPr>
        <w:rFonts w:ascii="Wingdings" w:hAnsi="Wingdings" w:hint="default"/>
      </w:rPr>
    </w:lvl>
    <w:lvl w:ilvl="3" w:tplc="AB7060D2" w:tentative="1">
      <w:start w:val="1"/>
      <w:numFmt w:val="bullet"/>
      <w:lvlText w:val=""/>
      <w:lvlJc w:val="left"/>
      <w:pPr>
        <w:tabs>
          <w:tab w:val="num" w:pos="2880"/>
        </w:tabs>
        <w:ind w:left="2880" w:hanging="360"/>
      </w:pPr>
      <w:rPr>
        <w:rFonts w:ascii="Symbol" w:hAnsi="Symbol" w:hint="default"/>
      </w:rPr>
    </w:lvl>
    <w:lvl w:ilvl="4" w:tplc="BB7E4E7C" w:tentative="1">
      <w:start w:val="1"/>
      <w:numFmt w:val="bullet"/>
      <w:lvlText w:val="o"/>
      <w:lvlJc w:val="left"/>
      <w:pPr>
        <w:tabs>
          <w:tab w:val="num" w:pos="3600"/>
        </w:tabs>
        <w:ind w:left="3600" w:hanging="360"/>
      </w:pPr>
      <w:rPr>
        <w:rFonts w:ascii="Courier New" w:hAnsi="Courier New" w:hint="default"/>
      </w:rPr>
    </w:lvl>
    <w:lvl w:ilvl="5" w:tplc="3A8A2B72" w:tentative="1">
      <w:start w:val="1"/>
      <w:numFmt w:val="bullet"/>
      <w:lvlText w:val=""/>
      <w:lvlJc w:val="left"/>
      <w:pPr>
        <w:tabs>
          <w:tab w:val="num" w:pos="4320"/>
        </w:tabs>
        <w:ind w:left="4320" w:hanging="360"/>
      </w:pPr>
      <w:rPr>
        <w:rFonts w:ascii="Wingdings" w:hAnsi="Wingdings" w:hint="default"/>
      </w:rPr>
    </w:lvl>
    <w:lvl w:ilvl="6" w:tplc="F8660434" w:tentative="1">
      <w:start w:val="1"/>
      <w:numFmt w:val="bullet"/>
      <w:lvlText w:val=""/>
      <w:lvlJc w:val="left"/>
      <w:pPr>
        <w:tabs>
          <w:tab w:val="num" w:pos="5040"/>
        </w:tabs>
        <w:ind w:left="5040" w:hanging="360"/>
      </w:pPr>
      <w:rPr>
        <w:rFonts w:ascii="Symbol" w:hAnsi="Symbol" w:hint="default"/>
      </w:rPr>
    </w:lvl>
    <w:lvl w:ilvl="7" w:tplc="7A10222A" w:tentative="1">
      <w:start w:val="1"/>
      <w:numFmt w:val="bullet"/>
      <w:lvlText w:val="o"/>
      <w:lvlJc w:val="left"/>
      <w:pPr>
        <w:tabs>
          <w:tab w:val="num" w:pos="5760"/>
        </w:tabs>
        <w:ind w:left="5760" w:hanging="360"/>
      </w:pPr>
      <w:rPr>
        <w:rFonts w:ascii="Courier New" w:hAnsi="Courier New" w:hint="default"/>
      </w:rPr>
    </w:lvl>
    <w:lvl w:ilvl="8" w:tplc="295640D8" w:tentative="1">
      <w:start w:val="1"/>
      <w:numFmt w:val="bullet"/>
      <w:lvlText w:val=""/>
      <w:lvlJc w:val="left"/>
      <w:pPr>
        <w:tabs>
          <w:tab w:val="num" w:pos="6480"/>
        </w:tabs>
        <w:ind w:left="6480" w:hanging="360"/>
      </w:pPr>
      <w:rPr>
        <w:rFonts w:ascii="Wingdings" w:hAnsi="Wingdings" w:hint="default"/>
      </w:rPr>
    </w:lvl>
  </w:abstractNum>
  <w:abstractNum w:abstractNumId="11">
    <w:nsid w:val="3EC4150E"/>
    <w:multiLevelType w:val="hybridMultilevel"/>
    <w:tmpl w:val="218C714E"/>
    <w:lvl w:ilvl="0" w:tplc="04090001">
      <w:start w:val="1"/>
      <w:numFmt w:val="bullet"/>
      <w:lvlText w:val=""/>
      <w:lvlJc w:val="left"/>
      <w:pPr>
        <w:tabs>
          <w:tab w:val="num" w:pos="360"/>
        </w:tabs>
        <w:ind w:left="360" w:hanging="360"/>
      </w:pPr>
      <w:rPr>
        <w:rFonts w:ascii="Symbol" w:hAnsi="Symbol" w:hint="default"/>
      </w:rPr>
    </w:lvl>
    <w:lvl w:ilvl="1" w:tplc="81DE9548" w:tentative="1">
      <w:start w:val="1"/>
      <w:numFmt w:val="bullet"/>
      <w:lvlText w:val="o"/>
      <w:lvlJc w:val="left"/>
      <w:pPr>
        <w:tabs>
          <w:tab w:val="num" w:pos="1440"/>
        </w:tabs>
        <w:ind w:left="1440" w:hanging="360"/>
      </w:pPr>
      <w:rPr>
        <w:rFonts w:ascii="Courier New" w:hAnsi="Courier New" w:hint="default"/>
      </w:rPr>
    </w:lvl>
    <w:lvl w:ilvl="2" w:tplc="798A0468" w:tentative="1">
      <w:start w:val="1"/>
      <w:numFmt w:val="bullet"/>
      <w:lvlText w:val=""/>
      <w:lvlJc w:val="left"/>
      <w:pPr>
        <w:tabs>
          <w:tab w:val="num" w:pos="2160"/>
        </w:tabs>
        <w:ind w:left="2160" w:hanging="360"/>
      </w:pPr>
      <w:rPr>
        <w:rFonts w:ascii="Wingdings" w:hAnsi="Wingdings" w:hint="default"/>
      </w:rPr>
    </w:lvl>
    <w:lvl w:ilvl="3" w:tplc="8482E610" w:tentative="1">
      <w:start w:val="1"/>
      <w:numFmt w:val="bullet"/>
      <w:lvlText w:val=""/>
      <w:lvlJc w:val="left"/>
      <w:pPr>
        <w:tabs>
          <w:tab w:val="num" w:pos="2880"/>
        </w:tabs>
        <w:ind w:left="2880" w:hanging="360"/>
      </w:pPr>
      <w:rPr>
        <w:rFonts w:ascii="Symbol" w:hAnsi="Symbol" w:hint="default"/>
      </w:rPr>
    </w:lvl>
    <w:lvl w:ilvl="4" w:tplc="B13608F4" w:tentative="1">
      <w:start w:val="1"/>
      <w:numFmt w:val="bullet"/>
      <w:lvlText w:val="o"/>
      <w:lvlJc w:val="left"/>
      <w:pPr>
        <w:tabs>
          <w:tab w:val="num" w:pos="3600"/>
        </w:tabs>
        <w:ind w:left="3600" w:hanging="360"/>
      </w:pPr>
      <w:rPr>
        <w:rFonts w:ascii="Courier New" w:hAnsi="Courier New" w:hint="default"/>
      </w:rPr>
    </w:lvl>
    <w:lvl w:ilvl="5" w:tplc="D2EE77A6" w:tentative="1">
      <w:start w:val="1"/>
      <w:numFmt w:val="bullet"/>
      <w:lvlText w:val=""/>
      <w:lvlJc w:val="left"/>
      <w:pPr>
        <w:tabs>
          <w:tab w:val="num" w:pos="4320"/>
        </w:tabs>
        <w:ind w:left="4320" w:hanging="360"/>
      </w:pPr>
      <w:rPr>
        <w:rFonts w:ascii="Wingdings" w:hAnsi="Wingdings" w:hint="default"/>
      </w:rPr>
    </w:lvl>
    <w:lvl w:ilvl="6" w:tplc="869A3326" w:tentative="1">
      <w:start w:val="1"/>
      <w:numFmt w:val="bullet"/>
      <w:lvlText w:val=""/>
      <w:lvlJc w:val="left"/>
      <w:pPr>
        <w:tabs>
          <w:tab w:val="num" w:pos="5040"/>
        </w:tabs>
        <w:ind w:left="5040" w:hanging="360"/>
      </w:pPr>
      <w:rPr>
        <w:rFonts w:ascii="Symbol" w:hAnsi="Symbol" w:hint="default"/>
      </w:rPr>
    </w:lvl>
    <w:lvl w:ilvl="7" w:tplc="8A3A7040" w:tentative="1">
      <w:start w:val="1"/>
      <w:numFmt w:val="bullet"/>
      <w:lvlText w:val="o"/>
      <w:lvlJc w:val="left"/>
      <w:pPr>
        <w:tabs>
          <w:tab w:val="num" w:pos="5760"/>
        </w:tabs>
        <w:ind w:left="5760" w:hanging="360"/>
      </w:pPr>
      <w:rPr>
        <w:rFonts w:ascii="Courier New" w:hAnsi="Courier New" w:hint="default"/>
      </w:rPr>
    </w:lvl>
    <w:lvl w:ilvl="8" w:tplc="AC68964A" w:tentative="1">
      <w:start w:val="1"/>
      <w:numFmt w:val="bullet"/>
      <w:lvlText w:val=""/>
      <w:lvlJc w:val="left"/>
      <w:pPr>
        <w:tabs>
          <w:tab w:val="num" w:pos="6480"/>
        </w:tabs>
        <w:ind w:left="6480" w:hanging="360"/>
      </w:pPr>
      <w:rPr>
        <w:rFonts w:ascii="Wingdings" w:hAnsi="Wingdings" w:hint="default"/>
      </w:rPr>
    </w:lvl>
  </w:abstractNum>
  <w:abstractNum w:abstractNumId="12">
    <w:nsid w:val="4D450DA1"/>
    <w:multiLevelType w:val="hybridMultilevel"/>
    <w:tmpl w:val="1BF4B652"/>
    <w:lvl w:ilvl="0" w:tplc="0C7E88EC">
      <w:numFmt w:val="bullet"/>
      <w:lvlText w:val="v"/>
      <w:lvlJc w:val="left"/>
      <w:pPr>
        <w:tabs>
          <w:tab w:val="num" w:pos="360"/>
        </w:tabs>
        <w:ind w:left="360" w:hanging="360"/>
      </w:pPr>
      <w:rPr>
        <w:rFonts w:ascii="LotusWP Type" w:hAnsi="LotusWP Type" w:hint="default"/>
        <w:sz w:val="24"/>
      </w:rPr>
    </w:lvl>
    <w:lvl w:ilvl="1" w:tplc="50367B20" w:tentative="1">
      <w:start w:val="1"/>
      <w:numFmt w:val="bullet"/>
      <w:lvlText w:val="o"/>
      <w:lvlJc w:val="left"/>
      <w:pPr>
        <w:tabs>
          <w:tab w:val="num" w:pos="1440"/>
        </w:tabs>
        <w:ind w:left="1440" w:hanging="360"/>
      </w:pPr>
      <w:rPr>
        <w:rFonts w:ascii="Courier New" w:hAnsi="Courier New" w:hint="default"/>
      </w:rPr>
    </w:lvl>
    <w:lvl w:ilvl="2" w:tplc="16844324" w:tentative="1">
      <w:start w:val="1"/>
      <w:numFmt w:val="bullet"/>
      <w:lvlText w:val=""/>
      <w:lvlJc w:val="left"/>
      <w:pPr>
        <w:tabs>
          <w:tab w:val="num" w:pos="2160"/>
        </w:tabs>
        <w:ind w:left="2160" w:hanging="360"/>
      </w:pPr>
      <w:rPr>
        <w:rFonts w:ascii="Wingdings" w:hAnsi="Wingdings" w:hint="default"/>
      </w:rPr>
    </w:lvl>
    <w:lvl w:ilvl="3" w:tplc="36E65DBA" w:tentative="1">
      <w:start w:val="1"/>
      <w:numFmt w:val="bullet"/>
      <w:lvlText w:val=""/>
      <w:lvlJc w:val="left"/>
      <w:pPr>
        <w:tabs>
          <w:tab w:val="num" w:pos="2880"/>
        </w:tabs>
        <w:ind w:left="2880" w:hanging="360"/>
      </w:pPr>
      <w:rPr>
        <w:rFonts w:ascii="Symbol" w:hAnsi="Symbol" w:hint="default"/>
      </w:rPr>
    </w:lvl>
    <w:lvl w:ilvl="4" w:tplc="2996B824" w:tentative="1">
      <w:start w:val="1"/>
      <w:numFmt w:val="bullet"/>
      <w:lvlText w:val="o"/>
      <w:lvlJc w:val="left"/>
      <w:pPr>
        <w:tabs>
          <w:tab w:val="num" w:pos="3600"/>
        </w:tabs>
        <w:ind w:left="3600" w:hanging="360"/>
      </w:pPr>
      <w:rPr>
        <w:rFonts w:ascii="Courier New" w:hAnsi="Courier New" w:hint="default"/>
      </w:rPr>
    </w:lvl>
    <w:lvl w:ilvl="5" w:tplc="F11A3C84" w:tentative="1">
      <w:start w:val="1"/>
      <w:numFmt w:val="bullet"/>
      <w:lvlText w:val=""/>
      <w:lvlJc w:val="left"/>
      <w:pPr>
        <w:tabs>
          <w:tab w:val="num" w:pos="4320"/>
        </w:tabs>
        <w:ind w:left="4320" w:hanging="360"/>
      </w:pPr>
      <w:rPr>
        <w:rFonts w:ascii="Wingdings" w:hAnsi="Wingdings" w:hint="default"/>
      </w:rPr>
    </w:lvl>
    <w:lvl w:ilvl="6" w:tplc="08B66C12" w:tentative="1">
      <w:start w:val="1"/>
      <w:numFmt w:val="bullet"/>
      <w:lvlText w:val=""/>
      <w:lvlJc w:val="left"/>
      <w:pPr>
        <w:tabs>
          <w:tab w:val="num" w:pos="5040"/>
        </w:tabs>
        <w:ind w:left="5040" w:hanging="360"/>
      </w:pPr>
      <w:rPr>
        <w:rFonts w:ascii="Symbol" w:hAnsi="Symbol" w:hint="default"/>
      </w:rPr>
    </w:lvl>
    <w:lvl w:ilvl="7" w:tplc="5AA03A4E" w:tentative="1">
      <w:start w:val="1"/>
      <w:numFmt w:val="bullet"/>
      <w:lvlText w:val="o"/>
      <w:lvlJc w:val="left"/>
      <w:pPr>
        <w:tabs>
          <w:tab w:val="num" w:pos="5760"/>
        </w:tabs>
        <w:ind w:left="5760" w:hanging="360"/>
      </w:pPr>
      <w:rPr>
        <w:rFonts w:ascii="Courier New" w:hAnsi="Courier New" w:hint="default"/>
      </w:rPr>
    </w:lvl>
    <w:lvl w:ilvl="8" w:tplc="1F161198" w:tentative="1">
      <w:start w:val="1"/>
      <w:numFmt w:val="bullet"/>
      <w:lvlText w:val=""/>
      <w:lvlJc w:val="left"/>
      <w:pPr>
        <w:tabs>
          <w:tab w:val="num" w:pos="6480"/>
        </w:tabs>
        <w:ind w:left="6480" w:hanging="360"/>
      </w:pPr>
      <w:rPr>
        <w:rFonts w:ascii="Wingdings" w:hAnsi="Wingdings" w:hint="default"/>
      </w:rPr>
    </w:lvl>
  </w:abstractNum>
  <w:abstractNum w:abstractNumId="13">
    <w:nsid w:val="64346334"/>
    <w:multiLevelType w:val="hybridMultilevel"/>
    <w:tmpl w:val="3BBAC80E"/>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6C78DF"/>
    <w:multiLevelType w:val="hybridMultilevel"/>
    <w:tmpl w:val="201650C0"/>
    <w:lvl w:ilvl="0" w:tplc="04090001">
      <w:start w:val="1"/>
      <w:numFmt w:val="bullet"/>
      <w:lvlText w:val=""/>
      <w:lvlJc w:val="left"/>
      <w:pPr>
        <w:tabs>
          <w:tab w:val="num" w:pos="360"/>
        </w:tabs>
        <w:ind w:left="360" w:hanging="360"/>
      </w:pPr>
      <w:rPr>
        <w:rFonts w:ascii="Symbol" w:hAnsi="Symbol" w:hint="default"/>
      </w:rPr>
    </w:lvl>
    <w:lvl w:ilvl="1" w:tplc="3EB41442" w:tentative="1">
      <w:start w:val="1"/>
      <w:numFmt w:val="bullet"/>
      <w:lvlText w:val="o"/>
      <w:lvlJc w:val="left"/>
      <w:pPr>
        <w:tabs>
          <w:tab w:val="num" w:pos="1440"/>
        </w:tabs>
        <w:ind w:left="1440" w:hanging="360"/>
      </w:pPr>
      <w:rPr>
        <w:rFonts w:ascii="Courier New" w:hAnsi="Courier New" w:hint="default"/>
      </w:rPr>
    </w:lvl>
    <w:lvl w:ilvl="2" w:tplc="68C6D426" w:tentative="1">
      <w:start w:val="1"/>
      <w:numFmt w:val="bullet"/>
      <w:lvlText w:val=""/>
      <w:lvlJc w:val="left"/>
      <w:pPr>
        <w:tabs>
          <w:tab w:val="num" w:pos="2160"/>
        </w:tabs>
        <w:ind w:left="2160" w:hanging="360"/>
      </w:pPr>
      <w:rPr>
        <w:rFonts w:ascii="Wingdings" w:hAnsi="Wingdings" w:hint="default"/>
      </w:rPr>
    </w:lvl>
    <w:lvl w:ilvl="3" w:tplc="312A71F6" w:tentative="1">
      <w:start w:val="1"/>
      <w:numFmt w:val="bullet"/>
      <w:lvlText w:val=""/>
      <w:lvlJc w:val="left"/>
      <w:pPr>
        <w:tabs>
          <w:tab w:val="num" w:pos="2880"/>
        </w:tabs>
        <w:ind w:left="2880" w:hanging="360"/>
      </w:pPr>
      <w:rPr>
        <w:rFonts w:ascii="Symbol" w:hAnsi="Symbol" w:hint="default"/>
      </w:rPr>
    </w:lvl>
    <w:lvl w:ilvl="4" w:tplc="591E5504" w:tentative="1">
      <w:start w:val="1"/>
      <w:numFmt w:val="bullet"/>
      <w:lvlText w:val="o"/>
      <w:lvlJc w:val="left"/>
      <w:pPr>
        <w:tabs>
          <w:tab w:val="num" w:pos="3600"/>
        </w:tabs>
        <w:ind w:left="3600" w:hanging="360"/>
      </w:pPr>
      <w:rPr>
        <w:rFonts w:ascii="Courier New" w:hAnsi="Courier New" w:hint="default"/>
      </w:rPr>
    </w:lvl>
    <w:lvl w:ilvl="5" w:tplc="CC080A50" w:tentative="1">
      <w:start w:val="1"/>
      <w:numFmt w:val="bullet"/>
      <w:lvlText w:val=""/>
      <w:lvlJc w:val="left"/>
      <w:pPr>
        <w:tabs>
          <w:tab w:val="num" w:pos="4320"/>
        </w:tabs>
        <w:ind w:left="4320" w:hanging="360"/>
      </w:pPr>
      <w:rPr>
        <w:rFonts w:ascii="Wingdings" w:hAnsi="Wingdings" w:hint="default"/>
      </w:rPr>
    </w:lvl>
    <w:lvl w:ilvl="6" w:tplc="0812E862" w:tentative="1">
      <w:start w:val="1"/>
      <w:numFmt w:val="bullet"/>
      <w:lvlText w:val=""/>
      <w:lvlJc w:val="left"/>
      <w:pPr>
        <w:tabs>
          <w:tab w:val="num" w:pos="5040"/>
        </w:tabs>
        <w:ind w:left="5040" w:hanging="360"/>
      </w:pPr>
      <w:rPr>
        <w:rFonts w:ascii="Symbol" w:hAnsi="Symbol" w:hint="default"/>
      </w:rPr>
    </w:lvl>
    <w:lvl w:ilvl="7" w:tplc="A9D834AC" w:tentative="1">
      <w:start w:val="1"/>
      <w:numFmt w:val="bullet"/>
      <w:lvlText w:val="o"/>
      <w:lvlJc w:val="left"/>
      <w:pPr>
        <w:tabs>
          <w:tab w:val="num" w:pos="5760"/>
        </w:tabs>
        <w:ind w:left="5760" w:hanging="360"/>
      </w:pPr>
      <w:rPr>
        <w:rFonts w:ascii="Courier New" w:hAnsi="Courier New" w:hint="default"/>
      </w:rPr>
    </w:lvl>
    <w:lvl w:ilvl="8" w:tplc="346A2888" w:tentative="1">
      <w:start w:val="1"/>
      <w:numFmt w:val="bullet"/>
      <w:lvlText w:val=""/>
      <w:lvlJc w:val="left"/>
      <w:pPr>
        <w:tabs>
          <w:tab w:val="num" w:pos="6480"/>
        </w:tabs>
        <w:ind w:left="6480" w:hanging="360"/>
      </w:pPr>
      <w:rPr>
        <w:rFonts w:ascii="Wingdings" w:hAnsi="Wingdings" w:hint="default"/>
      </w:rPr>
    </w:lvl>
  </w:abstractNum>
  <w:abstractNum w:abstractNumId="15">
    <w:nsid w:val="708322F6"/>
    <w:multiLevelType w:val="hybridMultilevel"/>
    <w:tmpl w:val="D1AE8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8"/>
  </w:num>
  <w:num w:numId="5">
    <w:abstractNumId w:val="6"/>
  </w:num>
  <w:num w:numId="6">
    <w:abstractNumId w:val="12"/>
  </w:num>
  <w:num w:numId="7">
    <w:abstractNumId w:val="1"/>
  </w:num>
  <w:num w:numId="8">
    <w:abstractNumId w:val="14"/>
  </w:num>
  <w:num w:numId="9">
    <w:abstractNumId w:val="11"/>
  </w:num>
  <w:num w:numId="10">
    <w:abstractNumId w:val="3"/>
  </w:num>
  <w:num w:numId="11">
    <w:abstractNumId w:val="4"/>
  </w:num>
  <w:num w:numId="12">
    <w:abstractNumId w:val="15"/>
  </w:num>
  <w:num w:numId="13">
    <w:abstractNumId w:val="13"/>
  </w:num>
  <w:num w:numId="14">
    <w:abstractNumId w:val="5"/>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64" w:dllVersion="131077" w:nlCheck="1" w:checkStyle="1"/>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de-D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E0"/>
    <w:rsid w:val="00000D61"/>
    <w:rsid w:val="00007278"/>
    <w:rsid w:val="00011924"/>
    <w:rsid w:val="00022380"/>
    <w:rsid w:val="00030173"/>
    <w:rsid w:val="00030650"/>
    <w:rsid w:val="00047268"/>
    <w:rsid w:val="00051527"/>
    <w:rsid w:val="000525F0"/>
    <w:rsid w:val="00055308"/>
    <w:rsid w:val="00061E95"/>
    <w:rsid w:val="000674E3"/>
    <w:rsid w:val="00067BB3"/>
    <w:rsid w:val="000742ED"/>
    <w:rsid w:val="00084C84"/>
    <w:rsid w:val="000879EB"/>
    <w:rsid w:val="000909CD"/>
    <w:rsid w:val="000A1CF2"/>
    <w:rsid w:val="000A6A29"/>
    <w:rsid w:val="000D1A14"/>
    <w:rsid w:val="000D5561"/>
    <w:rsid w:val="000E1C78"/>
    <w:rsid w:val="000F4C15"/>
    <w:rsid w:val="000F6B34"/>
    <w:rsid w:val="001050E8"/>
    <w:rsid w:val="0012127A"/>
    <w:rsid w:val="001263B1"/>
    <w:rsid w:val="00131BDA"/>
    <w:rsid w:val="00131E63"/>
    <w:rsid w:val="00135871"/>
    <w:rsid w:val="001372F0"/>
    <w:rsid w:val="00140993"/>
    <w:rsid w:val="001454FF"/>
    <w:rsid w:val="00146993"/>
    <w:rsid w:val="00153EE6"/>
    <w:rsid w:val="00154006"/>
    <w:rsid w:val="0015543D"/>
    <w:rsid w:val="00155EDF"/>
    <w:rsid w:val="00175DB5"/>
    <w:rsid w:val="001929DA"/>
    <w:rsid w:val="0019657D"/>
    <w:rsid w:val="001A1990"/>
    <w:rsid w:val="001A2CF8"/>
    <w:rsid w:val="001A4BA1"/>
    <w:rsid w:val="001A5A56"/>
    <w:rsid w:val="001A6C2D"/>
    <w:rsid w:val="001D4C44"/>
    <w:rsid w:val="001E271F"/>
    <w:rsid w:val="00205E24"/>
    <w:rsid w:val="00207906"/>
    <w:rsid w:val="0021258B"/>
    <w:rsid w:val="002167C2"/>
    <w:rsid w:val="0022447E"/>
    <w:rsid w:val="00233DD5"/>
    <w:rsid w:val="002430F3"/>
    <w:rsid w:val="00246CC2"/>
    <w:rsid w:val="00247EC9"/>
    <w:rsid w:val="00256795"/>
    <w:rsid w:val="00261E3F"/>
    <w:rsid w:val="00262C20"/>
    <w:rsid w:val="00264EDB"/>
    <w:rsid w:val="0027323C"/>
    <w:rsid w:val="0027334B"/>
    <w:rsid w:val="00275406"/>
    <w:rsid w:val="0027656D"/>
    <w:rsid w:val="0028230C"/>
    <w:rsid w:val="002954C6"/>
    <w:rsid w:val="00296614"/>
    <w:rsid w:val="002B1699"/>
    <w:rsid w:val="002B22BD"/>
    <w:rsid w:val="002B259D"/>
    <w:rsid w:val="002B3277"/>
    <w:rsid w:val="002B37A7"/>
    <w:rsid w:val="002C248B"/>
    <w:rsid w:val="002C6FDC"/>
    <w:rsid w:val="002E68B4"/>
    <w:rsid w:val="002E6950"/>
    <w:rsid w:val="002F06F8"/>
    <w:rsid w:val="002F6124"/>
    <w:rsid w:val="00305845"/>
    <w:rsid w:val="00321A5E"/>
    <w:rsid w:val="00337D96"/>
    <w:rsid w:val="003410AE"/>
    <w:rsid w:val="00342F71"/>
    <w:rsid w:val="00350671"/>
    <w:rsid w:val="00352245"/>
    <w:rsid w:val="003573BC"/>
    <w:rsid w:val="0037298F"/>
    <w:rsid w:val="0037538C"/>
    <w:rsid w:val="003801FF"/>
    <w:rsid w:val="003830AC"/>
    <w:rsid w:val="0038397D"/>
    <w:rsid w:val="00390DE5"/>
    <w:rsid w:val="003A4379"/>
    <w:rsid w:val="003A48C2"/>
    <w:rsid w:val="003A4A92"/>
    <w:rsid w:val="003A5C49"/>
    <w:rsid w:val="003B079F"/>
    <w:rsid w:val="003C0570"/>
    <w:rsid w:val="003C4F4A"/>
    <w:rsid w:val="003E5D8D"/>
    <w:rsid w:val="003E6F82"/>
    <w:rsid w:val="003F0D59"/>
    <w:rsid w:val="004004FD"/>
    <w:rsid w:val="00404B66"/>
    <w:rsid w:val="00416BC1"/>
    <w:rsid w:val="004211C1"/>
    <w:rsid w:val="00426F95"/>
    <w:rsid w:val="00433A4B"/>
    <w:rsid w:val="0045166B"/>
    <w:rsid w:val="004611D3"/>
    <w:rsid w:val="00475133"/>
    <w:rsid w:val="004831D5"/>
    <w:rsid w:val="00490579"/>
    <w:rsid w:val="004961DF"/>
    <w:rsid w:val="004A5075"/>
    <w:rsid w:val="004C008E"/>
    <w:rsid w:val="004C5818"/>
    <w:rsid w:val="004D4C42"/>
    <w:rsid w:val="004D7C65"/>
    <w:rsid w:val="004E079B"/>
    <w:rsid w:val="004E6F39"/>
    <w:rsid w:val="004F18F3"/>
    <w:rsid w:val="004F3629"/>
    <w:rsid w:val="004F650D"/>
    <w:rsid w:val="005004FB"/>
    <w:rsid w:val="005065C1"/>
    <w:rsid w:val="0051077E"/>
    <w:rsid w:val="00520CAD"/>
    <w:rsid w:val="00535D68"/>
    <w:rsid w:val="00537926"/>
    <w:rsid w:val="0054048E"/>
    <w:rsid w:val="0056397D"/>
    <w:rsid w:val="005663B7"/>
    <w:rsid w:val="00586021"/>
    <w:rsid w:val="00587724"/>
    <w:rsid w:val="00587C83"/>
    <w:rsid w:val="005902BC"/>
    <w:rsid w:val="0059155E"/>
    <w:rsid w:val="005946F1"/>
    <w:rsid w:val="005A3319"/>
    <w:rsid w:val="005A41E0"/>
    <w:rsid w:val="005B3034"/>
    <w:rsid w:val="005B6BE9"/>
    <w:rsid w:val="005B7FF8"/>
    <w:rsid w:val="005C4256"/>
    <w:rsid w:val="005D0D53"/>
    <w:rsid w:val="005D1286"/>
    <w:rsid w:val="005D21E4"/>
    <w:rsid w:val="005F616B"/>
    <w:rsid w:val="00605362"/>
    <w:rsid w:val="00614C9E"/>
    <w:rsid w:val="00615F26"/>
    <w:rsid w:val="00617E09"/>
    <w:rsid w:val="006213FC"/>
    <w:rsid w:val="006335AB"/>
    <w:rsid w:val="006343EB"/>
    <w:rsid w:val="00644F1A"/>
    <w:rsid w:val="00654B5B"/>
    <w:rsid w:val="00657DD8"/>
    <w:rsid w:val="00661E25"/>
    <w:rsid w:val="006751EB"/>
    <w:rsid w:val="006855E4"/>
    <w:rsid w:val="00690BB9"/>
    <w:rsid w:val="00695AA5"/>
    <w:rsid w:val="006C0EE7"/>
    <w:rsid w:val="006C42C8"/>
    <w:rsid w:val="006D0426"/>
    <w:rsid w:val="006E72D8"/>
    <w:rsid w:val="006F0294"/>
    <w:rsid w:val="006F02C1"/>
    <w:rsid w:val="006F08D4"/>
    <w:rsid w:val="006F237C"/>
    <w:rsid w:val="007070E5"/>
    <w:rsid w:val="00715256"/>
    <w:rsid w:val="0071660C"/>
    <w:rsid w:val="00720114"/>
    <w:rsid w:val="00732396"/>
    <w:rsid w:val="00733BBC"/>
    <w:rsid w:val="00735E55"/>
    <w:rsid w:val="007363D1"/>
    <w:rsid w:val="00743C12"/>
    <w:rsid w:val="00744037"/>
    <w:rsid w:val="00746FB9"/>
    <w:rsid w:val="0075045A"/>
    <w:rsid w:val="00755E85"/>
    <w:rsid w:val="00756B5A"/>
    <w:rsid w:val="00757017"/>
    <w:rsid w:val="00760AF3"/>
    <w:rsid w:val="007626FE"/>
    <w:rsid w:val="00781CBE"/>
    <w:rsid w:val="0079175C"/>
    <w:rsid w:val="007929F1"/>
    <w:rsid w:val="007A5402"/>
    <w:rsid w:val="007B3657"/>
    <w:rsid w:val="007C291F"/>
    <w:rsid w:val="007C6439"/>
    <w:rsid w:val="007C654C"/>
    <w:rsid w:val="007D2A32"/>
    <w:rsid w:val="007D7D02"/>
    <w:rsid w:val="007E72F2"/>
    <w:rsid w:val="007F18BA"/>
    <w:rsid w:val="007F33AC"/>
    <w:rsid w:val="00804360"/>
    <w:rsid w:val="00807E84"/>
    <w:rsid w:val="008124AC"/>
    <w:rsid w:val="00825D61"/>
    <w:rsid w:val="008269CA"/>
    <w:rsid w:val="00846557"/>
    <w:rsid w:val="00852F7A"/>
    <w:rsid w:val="00854296"/>
    <w:rsid w:val="00863EFB"/>
    <w:rsid w:val="00873466"/>
    <w:rsid w:val="00875FA4"/>
    <w:rsid w:val="00896E73"/>
    <w:rsid w:val="008A3715"/>
    <w:rsid w:val="008B1984"/>
    <w:rsid w:val="008B563C"/>
    <w:rsid w:val="008C0F66"/>
    <w:rsid w:val="008C22B2"/>
    <w:rsid w:val="008C2480"/>
    <w:rsid w:val="008C2AF2"/>
    <w:rsid w:val="008C5D74"/>
    <w:rsid w:val="008D664D"/>
    <w:rsid w:val="008E746B"/>
    <w:rsid w:val="008F1311"/>
    <w:rsid w:val="008F4C37"/>
    <w:rsid w:val="008F605E"/>
    <w:rsid w:val="0090699D"/>
    <w:rsid w:val="009119D0"/>
    <w:rsid w:val="00916155"/>
    <w:rsid w:val="00925F65"/>
    <w:rsid w:val="00935D79"/>
    <w:rsid w:val="0094035F"/>
    <w:rsid w:val="00940627"/>
    <w:rsid w:val="0096109E"/>
    <w:rsid w:val="00961D0A"/>
    <w:rsid w:val="0096390E"/>
    <w:rsid w:val="00972969"/>
    <w:rsid w:val="009732CD"/>
    <w:rsid w:val="00974E15"/>
    <w:rsid w:val="0099126D"/>
    <w:rsid w:val="009C362D"/>
    <w:rsid w:val="009C4F4E"/>
    <w:rsid w:val="009D0E0C"/>
    <w:rsid w:val="009D6EE9"/>
    <w:rsid w:val="009E1908"/>
    <w:rsid w:val="009E19BB"/>
    <w:rsid w:val="009E2528"/>
    <w:rsid w:val="009E6B60"/>
    <w:rsid w:val="009E779A"/>
    <w:rsid w:val="00A1071D"/>
    <w:rsid w:val="00A14D0E"/>
    <w:rsid w:val="00A16F46"/>
    <w:rsid w:val="00A20410"/>
    <w:rsid w:val="00A20537"/>
    <w:rsid w:val="00A41A65"/>
    <w:rsid w:val="00A41AD4"/>
    <w:rsid w:val="00A4786C"/>
    <w:rsid w:val="00A56260"/>
    <w:rsid w:val="00A72EC8"/>
    <w:rsid w:val="00A868ED"/>
    <w:rsid w:val="00AA0C9C"/>
    <w:rsid w:val="00AA2A78"/>
    <w:rsid w:val="00AC6951"/>
    <w:rsid w:val="00AF65FA"/>
    <w:rsid w:val="00B010C5"/>
    <w:rsid w:val="00B05534"/>
    <w:rsid w:val="00B25842"/>
    <w:rsid w:val="00B42B59"/>
    <w:rsid w:val="00B45B76"/>
    <w:rsid w:val="00B468E5"/>
    <w:rsid w:val="00B57035"/>
    <w:rsid w:val="00B63D46"/>
    <w:rsid w:val="00B66E19"/>
    <w:rsid w:val="00B71E25"/>
    <w:rsid w:val="00B76D2A"/>
    <w:rsid w:val="00B82C77"/>
    <w:rsid w:val="00B86FFB"/>
    <w:rsid w:val="00B9390C"/>
    <w:rsid w:val="00BB3CEE"/>
    <w:rsid w:val="00BC0EE3"/>
    <w:rsid w:val="00BC1D6C"/>
    <w:rsid w:val="00BC3CC6"/>
    <w:rsid w:val="00BD13AB"/>
    <w:rsid w:val="00BD4F16"/>
    <w:rsid w:val="00BD51CA"/>
    <w:rsid w:val="00BE26BE"/>
    <w:rsid w:val="00BF324F"/>
    <w:rsid w:val="00BF36F4"/>
    <w:rsid w:val="00BF476E"/>
    <w:rsid w:val="00C05BA2"/>
    <w:rsid w:val="00C078BE"/>
    <w:rsid w:val="00C23070"/>
    <w:rsid w:val="00C24480"/>
    <w:rsid w:val="00C576F3"/>
    <w:rsid w:val="00C63177"/>
    <w:rsid w:val="00C647D9"/>
    <w:rsid w:val="00C67CE5"/>
    <w:rsid w:val="00C717C7"/>
    <w:rsid w:val="00C757AB"/>
    <w:rsid w:val="00C800C6"/>
    <w:rsid w:val="00C86153"/>
    <w:rsid w:val="00C866DC"/>
    <w:rsid w:val="00C96F04"/>
    <w:rsid w:val="00CA25EE"/>
    <w:rsid w:val="00CC2DE2"/>
    <w:rsid w:val="00CC3DCB"/>
    <w:rsid w:val="00CC6770"/>
    <w:rsid w:val="00CC6F9E"/>
    <w:rsid w:val="00CC7C67"/>
    <w:rsid w:val="00CD2DF8"/>
    <w:rsid w:val="00CE0E16"/>
    <w:rsid w:val="00CE0E79"/>
    <w:rsid w:val="00CF2B8F"/>
    <w:rsid w:val="00D00C61"/>
    <w:rsid w:val="00D0321B"/>
    <w:rsid w:val="00D11603"/>
    <w:rsid w:val="00D209CD"/>
    <w:rsid w:val="00D23C53"/>
    <w:rsid w:val="00D334D3"/>
    <w:rsid w:val="00D3641F"/>
    <w:rsid w:val="00D36DD8"/>
    <w:rsid w:val="00D55C01"/>
    <w:rsid w:val="00D57C80"/>
    <w:rsid w:val="00D6167E"/>
    <w:rsid w:val="00D671D6"/>
    <w:rsid w:val="00D80746"/>
    <w:rsid w:val="00D84EBB"/>
    <w:rsid w:val="00D8687E"/>
    <w:rsid w:val="00D926A6"/>
    <w:rsid w:val="00DC708F"/>
    <w:rsid w:val="00DE319D"/>
    <w:rsid w:val="00DE6506"/>
    <w:rsid w:val="00DF4980"/>
    <w:rsid w:val="00E01A02"/>
    <w:rsid w:val="00E03BF5"/>
    <w:rsid w:val="00E0675E"/>
    <w:rsid w:val="00E0688A"/>
    <w:rsid w:val="00E07BB2"/>
    <w:rsid w:val="00E15C39"/>
    <w:rsid w:val="00E20574"/>
    <w:rsid w:val="00E44F87"/>
    <w:rsid w:val="00E60887"/>
    <w:rsid w:val="00E662EC"/>
    <w:rsid w:val="00E7338D"/>
    <w:rsid w:val="00E778E6"/>
    <w:rsid w:val="00E90002"/>
    <w:rsid w:val="00E91432"/>
    <w:rsid w:val="00E91505"/>
    <w:rsid w:val="00E96B3A"/>
    <w:rsid w:val="00EA69C3"/>
    <w:rsid w:val="00EB2366"/>
    <w:rsid w:val="00EC654A"/>
    <w:rsid w:val="00ED7BDA"/>
    <w:rsid w:val="00EE08A8"/>
    <w:rsid w:val="00EE19B8"/>
    <w:rsid w:val="00EF6D17"/>
    <w:rsid w:val="00F005F8"/>
    <w:rsid w:val="00F150B4"/>
    <w:rsid w:val="00F16C82"/>
    <w:rsid w:val="00F202E4"/>
    <w:rsid w:val="00F224FD"/>
    <w:rsid w:val="00F23A49"/>
    <w:rsid w:val="00F26690"/>
    <w:rsid w:val="00F307DC"/>
    <w:rsid w:val="00F3185E"/>
    <w:rsid w:val="00F36B49"/>
    <w:rsid w:val="00F41583"/>
    <w:rsid w:val="00F47D7B"/>
    <w:rsid w:val="00F54E04"/>
    <w:rsid w:val="00F57501"/>
    <w:rsid w:val="00F74AA2"/>
    <w:rsid w:val="00F7607F"/>
    <w:rsid w:val="00F767DC"/>
    <w:rsid w:val="00F86F01"/>
    <w:rsid w:val="00FB30AB"/>
    <w:rsid w:val="00FD0A3D"/>
    <w:rsid w:val="00FF1D6D"/>
    <w:rsid w:val="00FF2F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D70AR,Info rubrik 1,titel 1"/>
    <w:basedOn w:val="Normal"/>
    <w:next w:val="Normal"/>
    <w:qFormat/>
    <w:pPr>
      <w:keepNext/>
      <w:autoSpaceDE w:val="0"/>
      <w:autoSpaceDN w:val="0"/>
      <w:adjustRightInd w:val="0"/>
      <w:jc w:val="center"/>
      <w:outlineLvl w:val="0"/>
    </w:pPr>
    <w:rPr>
      <w:rFonts w:ascii="Arial,Bold" w:hAnsi="Arial,Bold"/>
      <w:b/>
      <w:bCs/>
      <w:sz w:val="22"/>
      <w:szCs w:val="22"/>
    </w:rPr>
  </w:style>
  <w:style w:type="paragraph" w:styleId="Heading2">
    <w:name w:val="heading 2"/>
    <w:basedOn w:val="Normal"/>
    <w:next w:val="Normal"/>
    <w:link w:val="Heading2Char"/>
    <w:qFormat/>
    <w:pPr>
      <w:keepNext/>
      <w:autoSpaceDE w:val="0"/>
      <w:autoSpaceDN w:val="0"/>
      <w:adjustRightInd w:val="0"/>
      <w:outlineLvl w:val="1"/>
    </w:pPr>
    <w:rPr>
      <w:rFonts w:ascii="Arial,Bold" w:hAnsi="Arial,Bold"/>
      <w:b/>
      <w:bCs/>
      <w:sz w:val="22"/>
      <w:szCs w:val="22"/>
      <w:u w:val="single"/>
    </w:rPr>
  </w:style>
  <w:style w:type="paragraph" w:styleId="Heading3">
    <w:name w:val="heading 3"/>
    <w:basedOn w:val="Normal"/>
    <w:next w:val="Normal"/>
    <w:qFormat/>
    <w:pPr>
      <w:keepNext/>
      <w:autoSpaceDE w:val="0"/>
      <w:autoSpaceDN w:val="0"/>
      <w:adjustRightInd w:val="0"/>
      <w:outlineLvl w:val="2"/>
    </w:pPr>
    <w:rPr>
      <w:rFonts w:ascii="Arial" w:hAnsi="Arial" w:cs="Arial"/>
      <w:b/>
      <w:bCs/>
      <w:sz w:val="20"/>
      <w:szCs w:val="22"/>
      <w:u w:val="single"/>
    </w:rPr>
  </w:style>
  <w:style w:type="paragraph" w:styleId="Heading4">
    <w:name w:val="heading 4"/>
    <w:basedOn w:val="Normal"/>
    <w:next w:val="Normal"/>
    <w:qFormat/>
    <w:pPr>
      <w:keepNext/>
      <w:autoSpaceDE w:val="0"/>
      <w:autoSpaceDN w:val="0"/>
      <w:adjustRightInd w:val="0"/>
      <w:jc w:val="center"/>
      <w:outlineLvl w:val="3"/>
    </w:pPr>
    <w:rPr>
      <w:rFonts w:ascii="Arial" w:hAnsi="Arial" w:cs="Arial"/>
      <w:b/>
      <w:bCs/>
      <w:sz w:val="20"/>
      <w:szCs w:val="22"/>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sz w:val="18"/>
      <w:szCs w:val="22"/>
    </w:rPr>
  </w:style>
  <w:style w:type="paragraph" w:styleId="Heading6">
    <w:name w:val="heading 6"/>
    <w:basedOn w:val="Normal"/>
    <w:next w:val="Normal"/>
    <w:qFormat/>
    <w:pPr>
      <w:keepNext/>
      <w:autoSpaceDE w:val="0"/>
      <w:autoSpaceDN w:val="0"/>
      <w:adjustRightInd w:val="0"/>
      <w:outlineLvl w:val="5"/>
    </w:pPr>
    <w:rPr>
      <w:rFonts w:ascii="Arial" w:hAnsi="Arial" w:cs="Arial"/>
      <w:b/>
      <w:bCs/>
      <w:i/>
      <w:iCs/>
      <w:sz w:val="20"/>
      <w:szCs w:val="22"/>
    </w:rPr>
  </w:style>
  <w:style w:type="paragraph" w:styleId="Heading7">
    <w:name w:val="heading 7"/>
    <w:basedOn w:val="Normal"/>
    <w:next w:val="Normal"/>
    <w:qFormat/>
    <w:pPr>
      <w:keepNext/>
      <w:autoSpaceDE w:val="0"/>
      <w:autoSpaceDN w:val="0"/>
      <w:adjustRightInd w:val="0"/>
      <w:outlineLvl w:val="6"/>
    </w:pPr>
    <w:rPr>
      <w:rFonts w:ascii="Arial" w:hAnsi="Arial" w:cs="Arial"/>
      <w:b/>
      <w:bCs/>
      <w:sz w:val="20"/>
      <w:szCs w:val="22"/>
    </w:rPr>
  </w:style>
  <w:style w:type="paragraph" w:styleId="Heading8">
    <w:name w:val="heading 8"/>
    <w:basedOn w:val="Normal"/>
    <w:next w:val="Normal"/>
    <w:qFormat/>
    <w:pPr>
      <w:keepNext/>
      <w:autoSpaceDE w:val="0"/>
      <w:autoSpaceDN w:val="0"/>
      <w:adjustRightInd w:val="0"/>
      <w:outlineLvl w:val="7"/>
    </w:pPr>
    <w:rPr>
      <w:rFonts w:ascii="Arial" w:hAnsi="Arial"/>
      <w:b/>
      <w:bCs/>
      <w:i/>
      <w:iCs/>
      <w:color w:val="FF00FF"/>
      <w:sz w:val="20"/>
    </w:rPr>
  </w:style>
  <w:style w:type="paragraph" w:styleId="Heading9">
    <w:name w:val="heading 9"/>
    <w:basedOn w:val="Normal"/>
    <w:next w:val="Normal"/>
    <w:qFormat/>
    <w:pPr>
      <w:keepNext/>
      <w:autoSpaceDE w:val="0"/>
      <w:autoSpaceDN w:val="0"/>
      <w:adjustRightInd w:val="0"/>
      <w:jc w:val="both"/>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8"/>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autoSpaceDE w:val="0"/>
      <w:autoSpaceDN w:val="0"/>
      <w:adjustRightInd w:val="0"/>
    </w:pPr>
    <w:rPr>
      <w:rFonts w:ascii="Arial" w:hAnsi="Arial" w:cs="Arial"/>
      <w:sz w:val="20"/>
      <w:szCs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2">
    <w:name w:val="Body Text 2"/>
    <w:basedOn w:val="Normal"/>
    <w:pPr>
      <w:autoSpaceDE w:val="0"/>
      <w:autoSpaceDN w:val="0"/>
      <w:adjustRightInd w:val="0"/>
    </w:pPr>
    <w:rPr>
      <w:rFonts w:ascii="Arial" w:hAnsi="Arial"/>
      <w:b/>
      <w:bCs/>
      <w:color w:val="FF00FF"/>
      <w:sz w:val="20"/>
    </w:rPr>
  </w:style>
  <w:style w:type="paragraph" w:styleId="BodyText3">
    <w:name w:val="Body Text 3"/>
    <w:basedOn w:val="Normal"/>
    <w:rPr>
      <w:strike/>
      <w:u w:val="dotted"/>
    </w:rPr>
  </w:style>
  <w:style w:type="paragraph" w:customStyle="1" w:styleId="BodyText1">
    <w:name w:val="Body Text1"/>
    <w:pPr>
      <w:tabs>
        <w:tab w:val="left" w:pos="1152"/>
        <w:tab w:val="left" w:pos="1872"/>
      </w:tabs>
      <w:overflowPunct w:val="0"/>
      <w:autoSpaceDE w:val="0"/>
      <w:autoSpaceDN w:val="0"/>
      <w:adjustRightInd w:val="0"/>
      <w:spacing w:after="240" w:line="288" w:lineRule="auto"/>
      <w:ind w:left="1151"/>
      <w:jc w:val="both"/>
      <w:textAlignment w:val="baseline"/>
    </w:pPr>
    <w:rPr>
      <w:sz w:val="24"/>
      <w:lang w:val="en-US" w:eastAsia="en-US"/>
    </w:rPr>
  </w:style>
  <w:style w:type="paragraph" w:customStyle="1" w:styleId="In-texttabletitle">
    <w:name w:val="In-text table title"/>
    <w:basedOn w:val="Normal"/>
    <w:pPr>
      <w:keepNext/>
      <w:tabs>
        <w:tab w:val="left" w:pos="2304"/>
      </w:tabs>
      <w:spacing w:after="160" w:line="288" w:lineRule="auto"/>
      <w:ind w:left="1152" w:hanging="1152"/>
      <w:jc w:val="both"/>
    </w:pPr>
    <w:rPr>
      <w:rFonts w:ascii="Arial" w:hAnsi="Arial"/>
      <w:b/>
      <w:sz w:val="16"/>
      <w:szCs w:val="20"/>
    </w:rPr>
  </w:style>
  <w:style w:type="paragraph" w:customStyle="1" w:styleId="In-texttable">
    <w:name w:val="In-text table"/>
    <w:basedOn w:val="Normal"/>
    <w:pPr>
      <w:keepNext/>
      <w:spacing w:line="288" w:lineRule="auto"/>
    </w:pPr>
    <w:rPr>
      <w:rFonts w:ascii="Arial" w:hAnsi="Arial"/>
      <w:sz w:val="16"/>
      <w:szCs w:val="20"/>
    </w:rPr>
  </w:style>
  <w:style w:type="paragraph" w:styleId="DocumentMap">
    <w:name w:val="Document Map"/>
    <w:basedOn w:val="Normal"/>
    <w:semiHidden/>
    <w:pPr>
      <w:shd w:val="clear" w:color="auto" w:fill="000080"/>
    </w:pPr>
    <w:rPr>
      <w:rFonts w:ascii="Tahoma" w:hAnsi="Tahoma" w:cs="Tahoma"/>
    </w:rPr>
  </w:style>
  <w:style w:type="paragraph" w:customStyle="1" w:styleId="CaptionTable">
    <w:name w:val="CaptionTable"/>
    <w:next w:val="TableText"/>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TableNote">
    <w:name w:val="Table Note"/>
    <w:pPr>
      <w:tabs>
        <w:tab w:val="left" w:pos="360"/>
      </w:tabs>
      <w:suppressAutoHyphens/>
      <w:spacing w:before="40" w:line="240" w:lineRule="exact"/>
      <w:ind w:left="360" w:hanging="360"/>
    </w:pPr>
    <w:rPr>
      <w:lang w:val="en-US" w:eastAsia="en-US"/>
    </w:rPr>
  </w:style>
  <w:style w:type="paragraph" w:customStyle="1" w:styleId="TableText">
    <w:name w:val="Table Text"/>
    <w:pPr>
      <w:keepNext/>
      <w:keepLines/>
      <w:tabs>
        <w:tab w:val="left" w:pos="360"/>
      </w:tabs>
      <w:suppressAutoHyphens/>
      <w:spacing w:before="40" w:after="40" w:line="240" w:lineRule="exact"/>
    </w:pPr>
    <w:rPr>
      <w:lang w:val="en-US" w:eastAsia="en-US"/>
    </w:rPr>
  </w:style>
  <w:style w:type="paragraph" w:customStyle="1" w:styleId="TableText9Point">
    <w:name w:val="Table Text 9 Point"/>
    <w:pPr>
      <w:keepNext/>
      <w:keepLines/>
      <w:tabs>
        <w:tab w:val="left" w:pos="360"/>
      </w:tabs>
      <w:suppressAutoHyphens/>
      <w:spacing w:before="40" w:after="40" w:line="220" w:lineRule="exact"/>
    </w:pPr>
    <w:rPr>
      <w:sz w:val="18"/>
      <w:lang w:val="en-US" w:eastAsia="en-US"/>
    </w:rPr>
  </w:style>
  <w:style w:type="paragraph" w:customStyle="1" w:styleId="CaptionFigure">
    <w:name w:val="CaptionFigure"/>
    <w:next w:val="Normal"/>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DefaultText">
    <w:name w:val="Default Text"/>
    <w:basedOn w:val="Normal"/>
    <w:pPr>
      <w:overflowPunct w:val="0"/>
      <w:autoSpaceDE w:val="0"/>
      <w:autoSpaceDN w:val="0"/>
      <w:adjustRightInd w:val="0"/>
      <w:textAlignment w:val="baseline"/>
    </w:pPr>
    <w:rPr>
      <w:rFonts w:ascii="Arial" w:hAnsi="Arial"/>
      <w:bCs/>
      <w:iCs/>
      <w:sz w:val="22"/>
      <w:szCs w:val="20"/>
    </w:rPr>
  </w:style>
  <w:style w:type="paragraph" w:customStyle="1" w:styleId="a">
    <w:name w:val="_"/>
    <w:pPr>
      <w:widowControl w:val="0"/>
    </w:pPr>
    <w:rPr>
      <w:rFonts w:ascii="Roman" w:hAnsi="Roman"/>
      <w:sz w:val="24"/>
      <w:lang w:val="en-US" w:eastAsia="en-US"/>
    </w:rPr>
  </w:style>
  <w:style w:type="paragraph" w:styleId="BlockText">
    <w:name w:val="Block Text"/>
    <w:basedOn w:val="Normal"/>
    <w:pPr>
      <w:pBdr>
        <w:top w:val="single" w:sz="4" w:space="1" w:color="auto"/>
      </w:pBdr>
      <w:autoSpaceDE w:val="0"/>
      <w:autoSpaceDN w:val="0"/>
      <w:adjustRightInd w:val="0"/>
      <w:ind w:left="2160" w:right="1079" w:hanging="1260"/>
    </w:pPr>
    <w:rPr>
      <w:rFonts w:ascii="Arial,Bold" w:hAnsi="Arial,Bold"/>
      <w:b/>
      <w:bCs/>
      <w:sz w:val="20"/>
      <w:szCs w:val="18"/>
    </w:rPr>
  </w:style>
  <w:style w:type="paragraph" w:customStyle="1" w:styleId="EMEANormal">
    <w:name w:val="EMEA Normal"/>
    <w:pPr>
      <w:tabs>
        <w:tab w:val="left" w:pos="562"/>
      </w:tabs>
      <w:suppressAutoHyphens/>
    </w:pPr>
    <w:rPr>
      <w:sz w:val="22"/>
      <w:lang w:val="en-US" w:eastAsia="en-US"/>
    </w:rPr>
  </w:style>
  <w:style w:type="character" w:styleId="Hyperlink">
    <w:name w:val="Hyperlink"/>
    <w:rPr>
      <w:color w:val="0000FF"/>
      <w:u w:val="single"/>
    </w:rPr>
  </w:style>
  <w:style w:type="paragraph" w:customStyle="1" w:styleId="EMEAFigureTitle">
    <w:name w:val="EMEA Figure Title"/>
    <w:basedOn w:val="Normal"/>
    <w:next w:val="Normal"/>
    <w:pPr>
      <w:tabs>
        <w:tab w:val="left" w:pos="562"/>
      </w:tabs>
      <w:suppressAutoHyphens/>
    </w:pPr>
    <w:rPr>
      <w:sz w:val="22"/>
      <w:szCs w:val="20"/>
    </w:rPr>
  </w:style>
  <w:style w:type="character" w:styleId="FollowedHyperlink">
    <w:name w:val="FollowedHyperlink"/>
    <w:rPr>
      <w:color w:val="800080"/>
      <w:u w:val="single"/>
    </w:rPr>
  </w:style>
  <w:style w:type="paragraph" w:styleId="NormalWeb">
    <w:name w:val="Normal (Web)"/>
    <w:basedOn w:val="Normal"/>
    <w:pPr>
      <w:spacing w:before="144" w:line="264" w:lineRule="atLeast"/>
    </w:pPr>
    <w:rPr>
      <w:rFonts w:ascii="Arial Unicode MS" w:eastAsia="Arial Unicode MS" w:hAnsi="Arial Unicode MS" w:cs="Arial Unicode MS"/>
      <w:lang w:val="en-US"/>
    </w:rPr>
  </w:style>
  <w:style w:type="character" w:customStyle="1" w:styleId="xmchange">
    <w:name w:val="xmchange"/>
  </w:style>
  <w:style w:type="paragraph" w:customStyle="1" w:styleId="NormalWeb1">
    <w:name w:val="Normal (Web)1"/>
    <w:basedOn w:val="Normal"/>
    <w:pPr>
      <w:spacing w:line="264" w:lineRule="atLeast"/>
    </w:pPr>
    <w:rPr>
      <w:rFonts w:ascii="Arial Unicode MS" w:eastAsia="Arial Unicode MS" w:hAnsi="Arial Unicode MS" w:cs="Arial Unicode MS"/>
      <w:lang w:val="en-US"/>
    </w:rPr>
  </w:style>
  <w:style w:type="character" w:customStyle="1" w:styleId="bold4">
    <w:name w:val="bold4"/>
    <w:rPr>
      <w:b/>
      <w:bCs/>
    </w:rPr>
  </w:style>
  <w:style w:type="paragraph" w:customStyle="1" w:styleId="first">
    <w:name w:val="first"/>
    <w:basedOn w:val="Normal"/>
    <w:pPr>
      <w:spacing w:before="144" w:line="264" w:lineRule="atLeast"/>
    </w:pPr>
    <w:rPr>
      <w:rFonts w:ascii="Arial Unicode MS" w:eastAsia="Arial Unicode MS" w:hAnsi="Arial Unicode MS" w:cs="Arial Unicode MS"/>
      <w:lang w:val="en-US"/>
    </w:rPr>
  </w:style>
  <w:style w:type="character" w:customStyle="1" w:styleId="174ageanalgesicsarthritisasbasedbebelowcontinueddoseduringforglucocorticoids">
    <w:name w:val="174ageanalgesicsarthritisasbasedbebelow.continueddoseduringforglucocorticoids"/>
    <w:aliases w:val="humirahumira.idiopathicisjuvenilemaymethotrexate,nsaidsofofonorpatientspolyarticularrecommendedsalicylates,shownthetotreatmentweightwithwithyears"/>
    <w:basedOn w:val="DefaultParagraphFont"/>
  </w:style>
  <w:style w:type="character" w:customStyle="1" w:styleId="patientspediatric">
    <w:name w:val="patientspediatric"/>
    <w:basedOn w:val="DefaultParagraphFont"/>
  </w:style>
  <w:style w:type="character" w:customStyle="1" w:styleId="33661530kgkglbslbsto">
    <w:name w:val="(33(6615&lt;30kgkglbs)lbs)to"/>
    <w:basedOn w:val="DefaultParagraphFont"/>
  </w:style>
  <w:style w:type="character" w:customStyle="1" w:styleId="20everymgotherweek">
    <w:name w:val="20everymgotherweek"/>
    <w:basedOn w:val="DefaultParagraphFont"/>
  </w:style>
  <w:style w:type="character" w:customStyle="1" w:styleId="20mgprefilledsyringe">
    <w:name w:val="(20mgprefilledsyringe)"/>
    <w:basedOn w:val="DefaultParagraphFont"/>
  </w:style>
  <w:style w:type="character" w:customStyle="1" w:styleId="a0">
    <w:name w:val="≥"/>
    <w:basedOn w:val="DefaultParagraphFont"/>
  </w:style>
  <w:style w:type="character" w:customStyle="1" w:styleId="6630kglbs">
    <w:name w:val="(6630kglbs)"/>
    <w:basedOn w:val="DefaultParagraphFont"/>
  </w:style>
  <w:style w:type="character" w:customStyle="1" w:styleId="40everymgotherweek">
    <w:name w:val="40everymgotherweek"/>
    <w:basedOn w:val="DefaultParagraphFont"/>
  </w:style>
  <w:style w:type="character" w:customStyle="1" w:styleId="humira40mgorpenprefilledsyringe">
    <w:name w:val="(humira40mgorpenprefilledsyringe)"/>
    <w:basedOn w:val="DefaultParagraphFont"/>
  </w:style>
  <w:style w:type="character" w:customStyle="1" w:styleId="15aareavailablebelowdataforhumirainkglimitedpatientspediatrictreatmentweightwith">
    <w:name w:val="15aareavailablebelowdataforhumirainkg.limitedpatientspediatrictreatmentweightwith"/>
    <w:basedOn w:val="DefaultParagraphFont"/>
  </w:style>
  <w:style w:type="paragraph" w:styleId="BodyTextIndent">
    <w:name w:val="Body Text Indent"/>
    <w:basedOn w:val="Normal"/>
    <w:pPr>
      <w:suppressAutoHyphens/>
      <w:ind w:left="567" w:hanging="567"/>
    </w:pPr>
    <w:rPr>
      <w:b/>
      <w:color w:val="808080"/>
      <w:sz w:val="22"/>
      <w:lang w:val="en-US"/>
    </w:rPr>
  </w:style>
  <w:style w:type="character" w:customStyle="1" w:styleId="italics5">
    <w:name w:val="italics5"/>
    <w:rPr>
      <w:i/>
      <w:iCs/>
    </w:rPr>
  </w:style>
  <w:style w:type="character" w:customStyle="1" w:styleId="sup1">
    <w:name w:val="sup1"/>
    <w:rPr>
      <w:sz w:val="19"/>
      <w:szCs w:val="19"/>
    </w:rPr>
  </w:style>
  <w:style w:type="character" w:customStyle="1" w:styleId="underline4">
    <w:name w:val="underline4"/>
    <w:rPr>
      <w:u w:val="single"/>
    </w:rPr>
  </w:style>
  <w:style w:type="paragraph" w:styleId="BalloonText">
    <w:name w:val="Balloon Text"/>
    <w:basedOn w:val="Normal"/>
    <w:semiHidden/>
    <w:rPr>
      <w:rFonts w:ascii="Tahoma" w:hAnsi="Tahoma" w:cs="Tahoma"/>
      <w:sz w:val="16"/>
      <w:szCs w:val="16"/>
    </w:rPr>
  </w:style>
  <w:style w:type="character" w:customStyle="1" w:styleId="005">
    <w:name w:val="(0.05"/>
    <w:aliases w:val="(0.2,(0.3,(0.47,(95%(95%(median0.20.40.60.80.82)/1001.0)/1001.1)/1001.24)/100157028875.55.7aaabilityagents,amongamongamongamongamongandandandandandandandandandandandankylosingankylosingarthritis,arthritis,atbebeenblockersblocki"/>
    <w:basedOn w:val="DefaultParagraphFont"/>
  </w:style>
  <w:style w:type="paragraph" w:customStyle="1" w:styleId="EMEAHeadingUnderline">
    <w:name w:val="EMEA Heading Underline"/>
    <w:next w:val="EMEANormal"/>
    <w:pPr>
      <w:tabs>
        <w:tab w:val="left" w:pos="562"/>
      </w:tabs>
      <w:suppressAutoHyphens/>
      <w:spacing w:beforeLines="100" w:before="100" w:afterLines="100" w:after="100"/>
    </w:pPr>
    <w:rPr>
      <w:sz w:val="22"/>
      <w:u w:val="single"/>
      <w:lang w:val="en-US" w:eastAsia="en-US"/>
    </w:rPr>
  </w:style>
  <w:style w:type="character" w:customStyle="1" w:styleId="TableLeftChar">
    <w:name w:val="Table Left Char"/>
    <w:link w:val="TableLeft"/>
    <w:locked/>
    <w:rsid w:val="006855E4"/>
    <w:rPr>
      <w:rFonts w:eastAsia="MS Mincho"/>
      <w:lang w:val="en-US" w:eastAsia="ja-JP" w:bidi="ar-SA"/>
    </w:rPr>
  </w:style>
  <w:style w:type="paragraph" w:customStyle="1" w:styleId="Paragraph">
    <w:name w:val="Paragraph"/>
    <w:rsid w:val="006855E4"/>
    <w:pPr>
      <w:spacing w:after="240" w:line="360" w:lineRule="exact"/>
    </w:pPr>
    <w:rPr>
      <w:rFonts w:eastAsia="MS Mincho"/>
      <w:sz w:val="24"/>
      <w:szCs w:val="24"/>
      <w:lang w:val="en-US" w:eastAsia="ja-JP"/>
    </w:rPr>
  </w:style>
  <w:style w:type="paragraph" w:customStyle="1" w:styleId="TableCenter">
    <w:name w:val="Table Center"/>
    <w:rsid w:val="006855E4"/>
    <w:pPr>
      <w:keepNext/>
      <w:keepLines/>
      <w:spacing w:before="40" w:after="40" w:line="240" w:lineRule="exact"/>
      <w:jc w:val="center"/>
    </w:pPr>
    <w:rPr>
      <w:rFonts w:eastAsia="MS Mincho"/>
      <w:lang w:val="en-US" w:eastAsia="ja-JP"/>
    </w:rPr>
  </w:style>
  <w:style w:type="paragraph" w:customStyle="1" w:styleId="TableLeft">
    <w:name w:val="Table Left"/>
    <w:link w:val="TableLeftChar"/>
    <w:rsid w:val="006855E4"/>
    <w:pPr>
      <w:keepNext/>
      <w:keepLines/>
      <w:tabs>
        <w:tab w:val="left" w:pos="360"/>
      </w:tabs>
      <w:spacing w:before="40" w:after="40" w:line="240" w:lineRule="exact"/>
    </w:pPr>
    <w:rPr>
      <w:rFonts w:eastAsia="MS Mincho"/>
      <w:lang w:val="en-US" w:eastAsia="ja-JP"/>
    </w:rPr>
  </w:style>
  <w:style w:type="paragraph" w:customStyle="1" w:styleId="TableHead">
    <w:name w:val="Table Head"/>
    <w:rsid w:val="006855E4"/>
    <w:pPr>
      <w:keepNext/>
      <w:keepLines/>
      <w:tabs>
        <w:tab w:val="left" w:pos="360"/>
      </w:tabs>
      <w:spacing w:before="40" w:after="40" w:line="240" w:lineRule="exact"/>
    </w:pPr>
    <w:rPr>
      <w:rFonts w:eastAsia="MS Mincho"/>
      <w:b/>
      <w:bCs/>
      <w:lang w:val="en-US" w:eastAsia="ja-JP"/>
    </w:rPr>
  </w:style>
  <w:style w:type="table" w:styleId="TableGrid">
    <w:name w:val="Table Grid"/>
    <w:basedOn w:val="TableNormal"/>
    <w:rsid w:val="00F36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2954C6"/>
    <w:rPr>
      <w:b/>
      <w:bCs/>
    </w:rPr>
  </w:style>
  <w:style w:type="character" w:styleId="LineNumber">
    <w:name w:val="line number"/>
    <w:rsid w:val="0059155E"/>
  </w:style>
  <w:style w:type="character" w:customStyle="1" w:styleId="Heading2Char">
    <w:name w:val="Heading 2 Char"/>
    <w:link w:val="Heading2"/>
    <w:rsid w:val="00D671D6"/>
    <w:rPr>
      <w:rFonts w:ascii="Arial,Bold" w:hAnsi="Arial,Bold"/>
      <w:b/>
      <w:bCs/>
      <w:sz w:val="22"/>
      <w:szCs w:val="22"/>
      <w:u w:val="single"/>
      <w:lang w:eastAsia="en-US"/>
    </w:rPr>
  </w:style>
  <w:style w:type="table" w:customStyle="1" w:styleId="TableGrid1">
    <w:name w:val="Table Grid1"/>
    <w:basedOn w:val="TableNormal"/>
    <w:next w:val="TableGrid"/>
    <w:uiPriority w:val="59"/>
    <w:rsid w:val="00D671D6"/>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D70AR,Info rubrik 1,titel 1"/>
    <w:basedOn w:val="Normal"/>
    <w:next w:val="Normal"/>
    <w:qFormat/>
    <w:pPr>
      <w:keepNext/>
      <w:autoSpaceDE w:val="0"/>
      <w:autoSpaceDN w:val="0"/>
      <w:adjustRightInd w:val="0"/>
      <w:jc w:val="center"/>
      <w:outlineLvl w:val="0"/>
    </w:pPr>
    <w:rPr>
      <w:rFonts w:ascii="Arial,Bold" w:hAnsi="Arial,Bold"/>
      <w:b/>
      <w:bCs/>
      <w:sz w:val="22"/>
      <w:szCs w:val="22"/>
    </w:rPr>
  </w:style>
  <w:style w:type="paragraph" w:styleId="Heading2">
    <w:name w:val="heading 2"/>
    <w:basedOn w:val="Normal"/>
    <w:next w:val="Normal"/>
    <w:link w:val="Heading2Char"/>
    <w:qFormat/>
    <w:pPr>
      <w:keepNext/>
      <w:autoSpaceDE w:val="0"/>
      <w:autoSpaceDN w:val="0"/>
      <w:adjustRightInd w:val="0"/>
      <w:outlineLvl w:val="1"/>
    </w:pPr>
    <w:rPr>
      <w:rFonts w:ascii="Arial,Bold" w:hAnsi="Arial,Bold"/>
      <w:b/>
      <w:bCs/>
      <w:sz w:val="22"/>
      <w:szCs w:val="22"/>
      <w:u w:val="single"/>
    </w:rPr>
  </w:style>
  <w:style w:type="paragraph" w:styleId="Heading3">
    <w:name w:val="heading 3"/>
    <w:basedOn w:val="Normal"/>
    <w:next w:val="Normal"/>
    <w:qFormat/>
    <w:pPr>
      <w:keepNext/>
      <w:autoSpaceDE w:val="0"/>
      <w:autoSpaceDN w:val="0"/>
      <w:adjustRightInd w:val="0"/>
      <w:outlineLvl w:val="2"/>
    </w:pPr>
    <w:rPr>
      <w:rFonts w:ascii="Arial" w:hAnsi="Arial" w:cs="Arial"/>
      <w:b/>
      <w:bCs/>
      <w:sz w:val="20"/>
      <w:szCs w:val="22"/>
      <w:u w:val="single"/>
    </w:rPr>
  </w:style>
  <w:style w:type="paragraph" w:styleId="Heading4">
    <w:name w:val="heading 4"/>
    <w:basedOn w:val="Normal"/>
    <w:next w:val="Normal"/>
    <w:qFormat/>
    <w:pPr>
      <w:keepNext/>
      <w:autoSpaceDE w:val="0"/>
      <w:autoSpaceDN w:val="0"/>
      <w:adjustRightInd w:val="0"/>
      <w:jc w:val="center"/>
      <w:outlineLvl w:val="3"/>
    </w:pPr>
    <w:rPr>
      <w:rFonts w:ascii="Arial" w:hAnsi="Arial" w:cs="Arial"/>
      <w:b/>
      <w:bCs/>
      <w:sz w:val="20"/>
      <w:szCs w:val="22"/>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sz w:val="18"/>
      <w:szCs w:val="22"/>
    </w:rPr>
  </w:style>
  <w:style w:type="paragraph" w:styleId="Heading6">
    <w:name w:val="heading 6"/>
    <w:basedOn w:val="Normal"/>
    <w:next w:val="Normal"/>
    <w:qFormat/>
    <w:pPr>
      <w:keepNext/>
      <w:autoSpaceDE w:val="0"/>
      <w:autoSpaceDN w:val="0"/>
      <w:adjustRightInd w:val="0"/>
      <w:outlineLvl w:val="5"/>
    </w:pPr>
    <w:rPr>
      <w:rFonts w:ascii="Arial" w:hAnsi="Arial" w:cs="Arial"/>
      <w:b/>
      <w:bCs/>
      <w:i/>
      <w:iCs/>
      <w:sz w:val="20"/>
      <w:szCs w:val="22"/>
    </w:rPr>
  </w:style>
  <w:style w:type="paragraph" w:styleId="Heading7">
    <w:name w:val="heading 7"/>
    <w:basedOn w:val="Normal"/>
    <w:next w:val="Normal"/>
    <w:qFormat/>
    <w:pPr>
      <w:keepNext/>
      <w:autoSpaceDE w:val="0"/>
      <w:autoSpaceDN w:val="0"/>
      <w:adjustRightInd w:val="0"/>
      <w:outlineLvl w:val="6"/>
    </w:pPr>
    <w:rPr>
      <w:rFonts w:ascii="Arial" w:hAnsi="Arial" w:cs="Arial"/>
      <w:b/>
      <w:bCs/>
      <w:sz w:val="20"/>
      <w:szCs w:val="22"/>
    </w:rPr>
  </w:style>
  <w:style w:type="paragraph" w:styleId="Heading8">
    <w:name w:val="heading 8"/>
    <w:basedOn w:val="Normal"/>
    <w:next w:val="Normal"/>
    <w:qFormat/>
    <w:pPr>
      <w:keepNext/>
      <w:autoSpaceDE w:val="0"/>
      <w:autoSpaceDN w:val="0"/>
      <w:adjustRightInd w:val="0"/>
      <w:outlineLvl w:val="7"/>
    </w:pPr>
    <w:rPr>
      <w:rFonts w:ascii="Arial" w:hAnsi="Arial"/>
      <w:b/>
      <w:bCs/>
      <w:i/>
      <w:iCs/>
      <w:color w:val="FF00FF"/>
      <w:sz w:val="20"/>
    </w:rPr>
  </w:style>
  <w:style w:type="paragraph" w:styleId="Heading9">
    <w:name w:val="heading 9"/>
    <w:basedOn w:val="Normal"/>
    <w:next w:val="Normal"/>
    <w:qFormat/>
    <w:pPr>
      <w:keepNext/>
      <w:autoSpaceDE w:val="0"/>
      <w:autoSpaceDN w:val="0"/>
      <w:adjustRightInd w:val="0"/>
      <w:jc w:val="both"/>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8"/>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autoSpaceDE w:val="0"/>
      <w:autoSpaceDN w:val="0"/>
      <w:adjustRightInd w:val="0"/>
    </w:pPr>
    <w:rPr>
      <w:rFonts w:ascii="Arial" w:hAnsi="Arial" w:cs="Arial"/>
      <w:sz w:val="20"/>
      <w:szCs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2">
    <w:name w:val="Body Text 2"/>
    <w:basedOn w:val="Normal"/>
    <w:pPr>
      <w:autoSpaceDE w:val="0"/>
      <w:autoSpaceDN w:val="0"/>
      <w:adjustRightInd w:val="0"/>
    </w:pPr>
    <w:rPr>
      <w:rFonts w:ascii="Arial" w:hAnsi="Arial"/>
      <w:b/>
      <w:bCs/>
      <w:color w:val="FF00FF"/>
      <w:sz w:val="20"/>
    </w:rPr>
  </w:style>
  <w:style w:type="paragraph" w:styleId="BodyText3">
    <w:name w:val="Body Text 3"/>
    <w:basedOn w:val="Normal"/>
    <w:rPr>
      <w:strike/>
      <w:u w:val="dotted"/>
    </w:rPr>
  </w:style>
  <w:style w:type="paragraph" w:customStyle="1" w:styleId="BodyText1">
    <w:name w:val="Body Text1"/>
    <w:pPr>
      <w:tabs>
        <w:tab w:val="left" w:pos="1152"/>
        <w:tab w:val="left" w:pos="1872"/>
      </w:tabs>
      <w:overflowPunct w:val="0"/>
      <w:autoSpaceDE w:val="0"/>
      <w:autoSpaceDN w:val="0"/>
      <w:adjustRightInd w:val="0"/>
      <w:spacing w:after="240" w:line="288" w:lineRule="auto"/>
      <w:ind w:left="1151"/>
      <w:jc w:val="both"/>
      <w:textAlignment w:val="baseline"/>
    </w:pPr>
    <w:rPr>
      <w:sz w:val="24"/>
      <w:lang w:val="en-US" w:eastAsia="en-US"/>
    </w:rPr>
  </w:style>
  <w:style w:type="paragraph" w:customStyle="1" w:styleId="In-texttabletitle">
    <w:name w:val="In-text table title"/>
    <w:basedOn w:val="Normal"/>
    <w:pPr>
      <w:keepNext/>
      <w:tabs>
        <w:tab w:val="left" w:pos="2304"/>
      </w:tabs>
      <w:spacing w:after="160" w:line="288" w:lineRule="auto"/>
      <w:ind w:left="1152" w:hanging="1152"/>
      <w:jc w:val="both"/>
    </w:pPr>
    <w:rPr>
      <w:rFonts w:ascii="Arial" w:hAnsi="Arial"/>
      <w:b/>
      <w:sz w:val="16"/>
      <w:szCs w:val="20"/>
    </w:rPr>
  </w:style>
  <w:style w:type="paragraph" w:customStyle="1" w:styleId="In-texttable">
    <w:name w:val="In-text table"/>
    <w:basedOn w:val="Normal"/>
    <w:pPr>
      <w:keepNext/>
      <w:spacing w:line="288" w:lineRule="auto"/>
    </w:pPr>
    <w:rPr>
      <w:rFonts w:ascii="Arial" w:hAnsi="Arial"/>
      <w:sz w:val="16"/>
      <w:szCs w:val="20"/>
    </w:rPr>
  </w:style>
  <w:style w:type="paragraph" w:styleId="DocumentMap">
    <w:name w:val="Document Map"/>
    <w:basedOn w:val="Normal"/>
    <w:semiHidden/>
    <w:pPr>
      <w:shd w:val="clear" w:color="auto" w:fill="000080"/>
    </w:pPr>
    <w:rPr>
      <w:rFonts w:ascii="Tahoma" w:hAnsi="Tahoma" w:cs="Tahoma"/>
    </w:rPr>
  </w:style>
  <w:style w:type="paragraph" w:customStyle="1" w:styleId="CaptionTable">
    <w:name w:val="CaptionTable"/>
    <w:next w:val="TableText"/>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TableNote">
    <w:name w:val="Table Note"/>
    <w:pPr>
      <w:tabs>
        <w:tab w:val="left" w:pos="360"/>
      </w:tabs>
      <w:suppressAutoHyphens/>
      <w:spacing w:before="40" w:line="240" w:lineRule="exact"/>
      <w:ind w:left="360" w:hanging="360"/>
    </w:pPr>
    <w:rPr>
      <w:lang w:val="en-US" w:eastAsia="en-US"/>
    </w:rPr>
  </w:style>
  <w:style w:type="paragraph" w:customStyle="1" w:styleId="TableText">
    <w:name w:val="Table Text"/>
    <w:pPr>
      <w:keepNext/>
      <w:keepLines/>
      <w:tabs>
        <w:tab w:val="left" w:pos="360"/>
      </w:tabs>
      <w:suppressAutoHyphens/>
      <w:spacing w:before="40" w:after="40" w:line="240" w:lineRule="exact"/>
    </w:pPr>
    <w:rPr>
      <w:lang w:val="en-US" w:eastAsia="en-US"/>
    </w:rPr>
  </w:style>
  <w:style w:type="paragraph" w:customStyle="1" w:styleId="TableText9Point">
    <w:name w:val="Table Text 9 Point"/>
    <w:pPr>
      <w:keepNext/>
      <w:keepLines/>
      <w:tabs>
        <w:tab w:val="left" w:pos="360"/>
      </w:tabs>
      <w:suppressAutoHyphens/>
      <w:spacing w:before="40" w:after="40" w:line="220" w:lineRule="exact"/>
    </w:pPr>
    <w:rPr>
      <w:sz w:val="18"/>
      <w:lang w:val="en-US" w:eastAsia="en-US"/>
    </w:rPr>
  </w:style>
  <w:style w:type="paragraph" w:customStyle="1" w:styleId="CaptionFigure">
    <w:name w:val="CaptionFigure"/>
    <w:next w:val="Normal"/>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DefaultText">
    <w:name w:val="Default Text"/>
    <w:basedOn w:val="Normal"/>
    <w:pPr>
      <w:overflowPunct w:val="0"/>
      <w:autoSpaceDE w:val="0"/>
      <w:autoSpaceDN w:val="0"/>
      <w:adjustRightInd w:val="0"/>
      <w:textAlignment w:val="baseline"/>
    </w:pPr>
    <w:rPr>
      <w:rFonts w:ascii="Arial" w:hAnsi="Arial"/>
      <w:bCs/>
      <w:iCs/>
      <w:sz w:val="22"/>
      <w:szCs w:val="20"/>
    </w:rPr>
  </w:style>
  <w:style w:type="paragraph" w:customStyle="1" w:styleId="a">
    <w:name w:val="_"/>
    <w:pPr>
      <w:widowControl w:val="0"/>
    </w:pPr>
    <w:rPr>
      <w:rFonts w:ascii="Roman" w:hAnsi="Roman"/>
      <w:sz w:val="24"/>
      <w:lang w:val="en-US" w:eastAsia="en-US"/>
    </w:rPr>
  </w:style>
  <w:style w:type="paragraph" w:styleId="BlockText">
    <w:name w:val="Block Text"/>
    <w:basedOn w:val="Normal"/>
    <w:pPr>
      <w:pBdr>
        <w:top w:val="single" w:sz="4" w:space="1" w:color="auto"/>
      </w:pBdr>
      <w:autoSpaceDE w:val="0"/>
      <w:autoSpaceDN w:val="0"/>
      <w:adjustRightInd w:val="0"/>
      <w:ind w:left="2160" w:right="1079" w:hanging="1260"/>
    </w:pPr>
    <w:rPr>
      <w:rFonts w:ascii="Arial,Bold" w:hAnsi="Arial,Bold"/>
      <w:b/>
      <w:bCs/>
      <w:sz w:val="20"/>
      <w:szCs w:val="18"/>
    </w:rPr>
  </w:style>
  <w:style w:type="paragraph" w:customStyle="1" w:styleId="EMEANormal">
    <w:name w:val="EMEA Normal"/>
    <w:pPr>
      <w:tabs>
        <w:tab w:val="left" w:pos="562"/>
      </w:tabs>
      <w:suppressAutoHyphens/>
    </w:pPr>
    <w:rPr>
      <w:sz w:val="22"/>
      <w:lang w:val="en-US" w:eastAsia="en-US"/>
    </w:rPr>
  </w:style>
  <w:style w:type="character" w:styleId="Hyperlink">
    <w:name w:val="Hyperlink"/>
    <w:rPr>
      <w:color w:val="0000FF"/>
      <w:u w:val="single"/>
    </w:rPr>
  </w:style>
  <w:style w:type="paragraph" w:customStyle="1" w:styleId="EMEAFigureTitle">
    <w:name w:val="EMEA Figure Title"/>
    <w:basedOn w:val="Normal"/>
    <w:next w:val="Normal"/>
    <w:pPr>
      <w:tabs>
        <w:tab w:val="left" w:pos="562"/>
      </w:tabs>
      <w:suppressAutoHyphens/>
    </w:pPr>
    <w:rPr>
      <w:sz w:val="22"/>
      <w:szCs w:val="20"/>
    </w:rPr>
  </w:style>
  <w:style w:type="character" w:styleId="FollowedHyperlink">
    <w:name w:val="FollowedHyperlink"/>
    <w:rPr>
      <w:color w:val="800080"/>
      <w:u w:val="single"/>
    </w:rPr>
  </w:style>
  <w:style w:type="paragraph" w:styleId="NormalWeb">
    <w:name w:val="Normal (Web)"/>
    <w:basedOn w:val="Normal"/>
    <w:pPr>
      <w:spacing w:before="144" w:line="264" w:lineRule="atLeast"/>
    </w:pPr>
    <w:rPr>
      <w:rFonts w:ascii="Arial Unicode MS" w:eastAsia="Arial Unicode MS" w:hAnsi="Arial Unicode MS" w:cs="Arial Unicode MS"/>
      <w:lang w:val="en-US"/>
    </w:rPr>
  </w:style>
  <w:style w:type="character" w:customStyle="1" w:styleId="xmchange">
    <w:name w:val="xmchange"/>
  </w:style>
  <w:style w:type="paragraph" w:customStyle="1" w:styleId="NormalWeb1">
    <w:name w:val="Normal (Web)1"/>
    <w:basedOn w:val="Normal"/>
    <w:pPr>
      <w:spacing w:line="264" w:lineRule="atLeast"/>
    </w:pPr>
    <w:rPr>
      <w:rFonts w:ascii="Arial Unicode MS" w:eastAsia="Arial Unicode MS" w:hAnsi="Arial Unicode MS" w:cs="Arial Unicode MS"/>
      <w:lang w:val="en-US"/>
    </w:rPr>
  </w:style>
  <w:style w:type="character" w:customStyle="1" w:styleId="bold4">
    <w:name w:val="bold4"/>
    <w:rPr>
      <w:b/>
      <w:bCs/>
    </w:rPr>
  </w:style>
  <w:style w:type="paragraph" w:customStyle="1" w:styleId="first">
    <w:name w:val="first"/>
    <w:basedOn w:val="Normal"/>
    <w:pPr>
      <w:spacing w:before="144" w:line="264" w:lineRule="atLeast"/>
    </w:pPr>
    <w:rPr>
      <w:rFonts w:ascii="Arial Unicode MS" w:eastAsia="Arial Unicode MS" w:hAnsi="Arial Unicode MS" w:cs="Arial Unicode MS"/>
      <w:lang w:val="en-US"/>
    </w:rPr>
  </w:style>
  <w:style w:type="character" w:customStyle="1" w:styleId="174ageanalgesicsarthritisasbasedbebelowcontinueddoseduringforglucocorticoids">
    <w:name w:val="174ageanalgesicsarthritisasbasedbebelow.continueddoseduringforglucocorticoids"/>
    <w:aliases w:val="humirahumira.idiopathicisjuvenilemaymethotrexate,nsaidsofofonorpatientspolyarticularrecommendedsalicylates,shownthetotreatmentweightwithwithyears"/>
    <w:basedOn w:val="DefaultParagraphFont"/>
  </w:style>
  <w:style w:type="character" w:customStyle="1" w:styleId="patientspediatric">
    <w:name w:val="patientspediatric"/>
    <w:basedOn w:val="DefaultParagraphFont"/>
  </w:style>
  <w:style w:type="character" w:customStyle="1" w:styleId="33661530kgkglbslbsto">
    <w:name w:val="(33(6615&lt;30kgkglbs)lbs)to"/>
    <w:basedOn w:val="DefaultParagraphFont"/>
  </w:style>
  <w:style w:type="character" w:customStyle="1" w:styleId="20everymgotherweek">
    <w:name w:val="20everymgotherweek"/>
    <w:basedOn w:val="DefaultParagraphFont"/>
  </w:style>
  <w:style w:type="character" w:customStyle="1" w:styleId="20mgprefilledsyringe">
    <w:name w:val="(20mgprefilledsyringe)"/>
    <w:basedOn w:val="DefaultParagraphFont"/>
  </w:style>
  <w:style w:type="character" w:customStyle="1" w:styleId="a0">
    <w:name w:val="≥"/>
    <w:basedOn w:val="DefaultParagraphFont"/>
  </w:style>
  <w:style w:type="character" w:customStyle="1" w:styleId="6630kglbs">
    <w:name w:val="(6630kglbs)"/>
    <w:basedOn w:val="DefaultParagraphFont"/>
  </w:style>
  <w:style w:type="character" w:customStyle="1" w:styleId="40everymgotherweek">
    <w:name w:val="40everymgotherweek"/>
    <w:basedOn w:val="DefaultParagraphFont"/>
  </w:style>
  <w:style w:type="character" w:customStyle="1" w:styleId="humira40mgorpenprefilledsyringe">
    <w:name w:val="(humira40mgorpenprefilledsyringe)"/>
    <w:basedOn w:val="DefaultParagraphFont"/>
  </w:style>
  <w:style w:type="character" w:customStyle="1" w:styleId="15aareavailablebelowdataforhumirainkglimitedpatientspediatrictreatmentweightwith">
    <w:name w:val="15aareavailablebelowdataforhumirainkg.limitedpatientspediatrictreatmentweightwith"/>
    <w:basedOn w:val="DefaultParagraphFont"/>
  </w:style>
  <w:style w:type="paragraph" w:styleId="BodyTextIndent">
    <w:name w:val="Body Text Indent"/>
    <w:basedOn w:val="Normal"/>
    <w:pPr>
      <w:suppressAutoHyphens/>
      <w:ind w:left="567" w:hanging="567"/>
    </w:pPr>
    <w:rPr>
      <w:b/>
      <w:color w:val="808080"/>
      <w:sz w:val="22"/>
      <w:lang w:val="en-US"/>
    </w:rPr>
  </w:style>
  <w:style w:type="character" w:customStyle="1" w:styleId="italics5">
    <w:name w:val="italics5"/>
    <w:rPr>
      <w:i/>
      <w:iCs/>
    </w:rPr>
  </w:style>
  <w:style w:type="character" w:customStyle="1" w:styleId="sup1">
    <w:name w:val="sup1"/>
    <w:rPr>
      <w:sz w:val="19"/>
      <w:szCs w:val="19"/>
    </w:rPr>
  </w:style>
  <w:style w:type="character" w:customStyle="1" w:styleId="underline4">
    <w:name w:val="underline4"/>
    <w:rPr>
      <w:u w:val="single"/>
    </w:rPr>
  </w:style>
  <w:style w:type="paragraph" w:styleId="BalloonText">
    <w:name w:val="Balloon Text"/>
    <w:basedOn w:val="Normal"/>
    <w:semiHidden/>
    <w:rPr>
      <w:rFonts w:ascii="Tahoma" w:hAnsi="Tahoma" w:cs="Tahoma"/>
      <w:sz w:val="16"/>
      <w:szCs w:val="16"/>
    </w:rPr>
  </w:style>
  <w:style w:type="character" w:customStyle="1" w:styleId="005">
    <w:name w:val="(0.05"/>
    <w:aliases w:val="(0.2,(0.3,(0.47,(95%(95%(median0.20.40.60.80.82)/1001.0)/1001.1)/1001.24)/100157028875.55.7aaabilityagents,amongamongamongamongamongandandandandandandandandandandandankylosingankylosingarthritis,arthritis,atbebeenblockersblocki"/>
    <w:basedOn w:val="DefaultParagraphFont"/>
  </w:style>
  <w:style w:type="paragraph" w:customStyle="1" w:styleId="EMEAHeadingUnderline">
    <w:name w:val="EMEA Heading Underline"/>
    <w:next w:val="EMEANormal"/>
    <w:pPr>
      <w:tabs>
        <w:tab w:val="left" w:pos="562"/>
      </w:tabs>
      <w:suppressAutoHyphens/>
      <w:spacing w:beforeLines="100" w:before="100" w:afterLines="100" w:after="100"/>
    </w:pPr>
    <w:rPr>
      <w:sz w:val="22"/>
      <w:u w:val="single"/>
      <w:lang w:val="en-US" w:eastAsia="en-US"/>
    </w:rPr>
  </w:style>
  <w:style w:type="character" w:customStyle="1" w:styleId="TableLeftChar">
    <w:name w:val="Table Left Char"/>
    <w:link w:val="TableLeft"/>
    <w:locked/>
    <w:rsid w:val="006855E4"/>
    <w:rPr>
      <w:rFonts w:eastAsia="MS Mincho"/>
      <w:lang w:val="en-US" w:eastAsia="ja-JP" w:bidi="ar-SA"/>
    </w:rPr>
  </w:style>
  <w:style w:type="paragraph" w:customStyle="1" w:styleId="Paragraph">
    <w:name w:val="Paragraph"/>
    <w:rsid w:val="006855E4"/>
    <w:pPr>
      <w:spacing w:after="240" w:line="360" w:lineRule="exact"/>
    </w:pPr>
    <w:rPr>
      <w:rFonts w:eastAsia="MS Mincho"/>
      <w:sz w:val="24"/>
      <w:szCs w:val="24"/>
      <w:lang w:val="en-US" w:eastAsia="ja-JP"/>
    </w:rPr>
  </w:style>
  <w:style w:type="paragraph" w:customStyle="1" w:styleId="TableCenter">
    <w:name w:val="Table Center"/>
    <w:rsid w:val="006855E4"/>
    <w:pPr>
      <w:keepNext/>
      <w:keepLines/>
      <w:spacing w:before="40" w:after="40" w:line="240" w:lineRule="exact"/>
      <w:jc w:val="center"/>
    </w:pPr>
    <w:rPr>
      <w:rFonts w:eastAsia="MS Mincho"/>
      <w:lang w:val="en-US" w:eastAsia="ja-JP"/>
    </w:rPr>
  </w:style>
  <w:style w:type="paragraph" w:customStyle="1" w:styleId="TableLeft">
    <w:name w:val="Table Left"/>
    <w:link w:val="TableLeftChar"/>
    <w:rsid w:val="006855E4"/>
    <w:pPr>
      <w:keepNext/>
      <w:keepLines/>
      <w:tabs>
        <w:tab w:val="left" w:pos="360"/>
      </w:tabs>
      <w:spacing w:before="40" w:after="40" w:line="240" w:lineRule="exact"/>
    </w:pPr>
    <w:rPr>
      <w:rFonts w:eastAsia="MS Mincho"/>
      <w:lang w:val="en-US" w:eastAsia="ja-JP"/>
    </w:rPr>
  </w:style>
  <w:style w:type="paragraph" w:customStyle="1" w:styleId="TableHead">
    <w:name w:val="Table Head"/>
    <w:rsid w:val="006855E4"/>
    <w:pPr>
      <w:keepNext/>
      <w:keepLines/>
      <w:tabs>
        <w:tab w:val="left" w:pos="360"/>
      </w:tabs>
      <w:spacing w:before="40" w:after="40" w:line="240" w:lineRule="exact"/>
    </w:pPr>
    <w:rPr>
      <w:rFonts w:eastAsia="MS Mincho"/>
      <w:b/>
      <w:bCs/>
      <w:lang w:val="en-US" w:eastAsia="ja-JP"/>
    </w:rPr>
  </w:style>
  <w:style w:type="table" w:styleId="TableGrid">
    <w:name w:val="Table Grid"/>
    <w:basedOn w:val="TableNormal"/>
    <w:rsid w:val="00F36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2954C6"/>
    <w:rPr>
      <w:b/>
      <w:bCs/>
    </w:rPr>
  </w:style>
  <w:style w:type="character" w:styleId="LineNumber">
    <w:name w:val="line number"/>
    <w:rsid w:val="0059155E"/>
  </w:style>
  <w:style w:type="character" w:customStyle="1" w:styleId="Heading2Char">
    <w:name w:val="Heading 2 Char"/>
    <w:link w:val="Heading2"/>
    <w:rsid w:val="00D671D6"/>
    <w:rPr>
      <w:rFonts w:ascii="Arial,Bold" w:hAnsi="Arial,Bold"/>
      <w:b/>
      <w:bCs/>
      <w:sz w:val="22"/>
      <w:szCs w:val="22"/>
      <w:u w:val="single"/>
      <w:lang w:eastAsia="en-US"/>
    </w:rPr>
  </w:style>
  <w:style w:type="table" w:customStyle="1" w:styleId="TableGrid1">
    <w:name w:val="Table Grid1"/>
    <w:basedOn w:val="TableNormal"/>
    <w:next w:val="TableGrid"/>
    <w:uiPriority w:val="59"/>
    <w:rsid w:val="00D671D6"/>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21162">
      <w:bodyDiv w:val="1"/>
      <w:marLeft w:val="0"/>
      <w:marRight w:val="0"/>
      <w:marTop w:val="0"/>
      <w:marBottom w:val="0"/>
      <w:divBdr>
        <w:top w:val="none" w:sz="0" w:space="0" w:color="auto"/>
        <w:left w:val="none" w:sz="0" w:space="0" w:color="auto"/>
        <w:bottom w:val="none" w:sz="0" w:space="0" w:color="auto"/>
        <w:right w:val="none" w:sz="0" w:space="0" w:color="auto"/>
      </w:divBdr>
    </w:div>
    <w:div w:id="1233538365">
      <w:bodyDiv w:val="1"/>
      <w:marLeft w:val="0"/>
      <w:marRight w:val="0"/>
      <w:marTop w:val="0"/>
      <w:marBottom w:val="0"/>
      <w:divBdr>
        <w:top w:val="none" w:sz="0" w:space="0" w:color="auto"/>
        <w:left w:val="none" w:sz="0" w:space="0" w:color="auto"/>
        <w:bottom w:val="none" w:sz="0" w:space="0" w:color="auto"/>
        <w:right w:val="none" w:sz="0" w:space="0" w:color="auto"/>
      </w:divBdr>
    </w:div>
    <w:div w:id="1979530643">
      <w:bodyDiv w:val="1"/>
      <w:marLeft w:val="0"/>
      <w:marRight w:val="0"/>
      <w:marTop w:val="0"/>
      <w:marBottom w:val="0"/>
      <w:divBdr>
        <w:top w:val="none" w:sz="0" w:space="0" w:color="auto"/>
        <w:left w:val="none" w:sz="0" w:space="0" w:color="auto"/>
        <w:bottom w:val="none" w:sz="0" w:space="0" w:color="auto"/>
        <w:right w:val="none" w:sz="0" w:space="0" w:color="auto"/>
      </w:divBdr>
    </w:div>
    <w:div w:id="21436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17647058823529"/>
          <c:y val="0.10774410774410774"/>
          <c:w val="0.45882352941176469"/>
          <c:h val="0.65993265993265993"/>
        </c:manualLayout>
      </c:layout>
      <c:scatterChart>
        <c:scatterStyle val="lineMarker"/>
        <c:varyColors val="0"/>
        <c:ser>
          <c:idx val="1"/>
          <c:order val="0"/>
          <c:tx>
            <c:strRef>
              <c:f>'Study II'!$B$1</c:f>
              <c:strCache>
                <c:ptCount val="1"/>
                <c:pt idx="0">
                  <c:v>40 mg fortnightly</c:v>
                </c:pt>
              </c:strCache>
            </c:strRef>
          </c:tx>
          <c:spPr>
            <a:ln w="12700">
              <a:solidFill>
                <a:srgbClr val="0000FF"/>
              </a:solidFill>
              <a:prstDash val="solid"/>
            </a:ln>
          </c:spPr>
          <c:marker>
            <c:symbol val="square"/>
            <c:size val="5"/>
            <c:spPr>
              <a:solidFill>
                <a:srgbClr val="0000FF"/>
              </a:solidFill>
              <a:ln>
                <a:solidFill>
                  <a:srgbClr val="0000FF"/>
                </a:solidFill>
                <a:prstDash val="solid"/>
              </a:ln>
            </c:spPr>
          </c:marker>
          <c:xVal>
            <c:numRef>
              <c:f>'Study II'!$A$2:$A$10</c:f>
              <c:numCache>
                <c:formatCode>General</c:formatCode>
                <c:ptCount val="9"/>
                <c:pt idx="0">
                  <c:v>0</c:v>
                </c:pt>
                <c:pt idx="1">
                  <c:v>2</c:v>
                </c:pt>
                <c:pt idx="2">
                  <c:v>4</c:v>
                </c:pt>
                <c:pt idx="3">
                  <c:v>8</c:v>
                </c:pt>
                <c:pt idx="4">
                  <c:v>12</c:v>
                </c:pt>
                <c:pt idx="5">
                  <c:v>16</c:v>
                </c:pt>
                <c:pt idx="6">
                  <c:v>20</c:v>
                </c:pt>
                <c:pt idx="7">
                  <c:v>24</c:v>
                </c:pt>
                <c:pt idx="8">
                  <c:v>26</c:v>
                </c:pt>
              </c:numCache>
            </c:numRef>
          </c:xVal>
          <c:yVal>
            <c:numRef>
              <c:f>'Study II'!$B$2:$B$10</c:f>
              <c:numCache>
                <c:formatCode>General</c:formatCode>
                <c:ptCount val="9"/>
                <c:pt idx="0">
                  <c:v>0</c:v>
                </c:pt>
                <c:pt idx="1">
                  <c:v>35.4</c:v>
                </c:pt>
                <c:pt idx="2">
                  <c:v>43.4</c:v>
                </c:pt>
                <c:pt idx="3">
                  <c:v>40.700000000000003</c:v>
                </c:pt>
                <c:pt idx="4">
                  <c:v>45.1</c:v>
                </c:pt>
                <c:pt idx="5">
                  <c:v>49.6</c:v>
                </c:pt>
                <c:pt idx="6">
                  <c:v>41.6</c:v>
                </c:pt>
                <c:pt idx="7">
                  <c:v>43.4</c:v>
                </c:pt>
                <c:pt idx="8">
                  <c:v>46</c:v>
                </c:pt>
              </c:numCache>
            </c:numRef>
          </c:yVal>
          <c:smooth val="0"/>
        </c:ser>
        <c:ser>
          <c:idx val="2"/>
          <c:order val="1"/>
          <c:tx>
            <c:strRef>
              <c:f>'Study II'!$C$1</c:f>
              <c:strCache>
                <c:ptCount val="1"/>
                <c:pt idx="0">
                  <c:v>40 mg every week</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xVal>
            <c:numRef>
              <c:f>'Study II'!$A$2:$A$10</c:f>
              <c:numCache>
                <c:formatCode>General</c:formatCode>
                <c:ptCount val="9"/>
                <c:pt idx="0">
                  <c:v>0</c:v>
                </c:pt>
                <c:pt idx="1">
                  <c:v>2</c:v>
                </c:pt>
                <c:pt idx="2">
                  <c:v>4</c:v>
                </c:pt>
                <c:pt idx="3">
                  <c:v>8</c:v>
                </c:pt>
                <c:pt idx="4">
                  <c:v>12</c:v>
                </c:pt>
                <c:pt idx="5">
                  <c:v>16</c:v>
                </c:pt>
                <c:pt idx="6">
                  <c:v>20</c:v>
                </c:pt>
                <c:pt idx="7">
                  <c:v>24</c:v>
                </c:pt>
                <c:pt idx="8">
                  <c:v>26</c:v>
                </c:pt>
              </c:numCache>
            </c:numRef>
          </c:xVal>
          <c:yVal>
            <c:numRef>
              <c:f>'Study II'!$C$2:$C$10</c:f>
              <c:numCache>
                <c:formatCode>General</c:formatCode>
                <c:ptCount val="9"/>
                <c:pt idx="0">
                  <c:v>0</c:v>
                </c:pt>
                <c:pt idx="1">
                  <c:v>33</c:v>
                </c:pt>
                <c:pt idx="2">
                  <c:v>35</c:v>
                </c:pt>
                <c:pt idx="3">
                  <c:v>43.7</c:v>
                </c:pt>
                <c:pt idx="4">
                  <c:v>53.4</c:v>
                </c:pt>
                <c:pt idx="5">
                  <c:v>54.4</c:v>
                </c:pt>
                <c:pt idx="6">
                  <c:v>56.3</c:v>
                </c:pt>
                <c:pt idx="7">
                  <c:v>54.4</c:v>
                </c:pt>
                <c:pt idx="8">
                  <c:v>53.4</c:v>
                </c:pt>
              </c:numCache>
            </c:numRef>
          </c:yVal>
          <c:smooth val="0"/>
        </c:ser>
        <c:ser>
          <c:idx val="3"/>
          <c:order val="2"/>
          <c:tx>
            <c:strRef>
              <c:f>'Study II'!$D$1</c:f>
              <c:strCache>
                <c:ptCount val="1"/>
                <c:pt idx="0">
                  <c:v>Placebo</c:v>
                </c:pt>
              </c:strCache>
            </c:strRef>
          </c:tx>
          <c:spPr>
            <a:ln w="12700">
              <a:solidFill>
                <a:srgbClr val="800080"/>
              </a:solidFill>
              <a:prstDash val="sysDash"/>
            </a:ln>
          </c:spPr>
          <c:marker>
            <c:symbol val="circle"/>
            <c:size val="5"/>
            <c:spPr>
              <a:noFill/>
              <a:ln>
                <a:solidFill>
                  <a:srgbClr val="800080"/>
                </a:solidFill>
                <a:prstDash val="solid"/>
              </a:ln>
            </c:spPr>
          </c:marker>
          <c:xVal>
            <c:numRef>
              <c:f>'Study II'!$A$2:$A$10</c:f>
              <c:numCache>
                <c:formatCode>General</c:formatCode>
                <c:ptCount val="9"/>
                <c:pt idx="0">
                  <c:v>0</c:v>
                </c:pt>
                <c:pt idx="1">
                  <c:v>2</c:v>
                </c:pt>
                <c:pt idx="2">
                  <c:v>4</c:v>
                </c:pt>
                <c:pt idx="3">
                  <c:v>8</c:v>
                </c:pt>
                <c:pt idx="4">
                  <c:v>12</c:v>
                </c:pt>
                <c:pt idx="5">
                  <c:v>16</c:v>
                </c:pt>
                <c:pt idx="6">
                  <c:v>20</c:v>
                </c:pt>
                <c:pt idx="7">
                  <c:v>24</c:v>
                </c:pt>
                <c:pt idx="8">
                  <c:v>26</c:v>
                </c:pt>
              </c:numCache>
            </c:numRef>
          </c:xVal>
          <c:yVal>
            <c:numRef>
              <c:f>'Study II'!$D$2:$D$10</c:f>
              <c:numCache>
                <c:formatCode>General</c:formatCode>
                <c:ptCount val="9"/>
                <c:pt idx="0">
                  <c:v>0</c:v>
                </c:pt>
                <c:pt idx="1">
                  <c:v>7.3</c:v>
                </c:pt>
                <c:pt idx="2">
                  <c:v>13.6</c:v>
                </c:pt>
                <c:pt idx="3">
                  <c:v>14.5</c:v>
                </c:pt>
                <c:pt idx="4">
                  <c:v>18.2</c:v>
                </c:pt>
                <c:pt idx="5">
                  <c:v>15.5</c:v>
                </c:pt>
                <c:pt idx="6">
                  <c:v>20.9</c:v>
                </c:pt>
                <c:pt idx="7">
                  <c:v>20</c:v>
                </c:pt>
                <c:pt idx="8">
                  <c:v>19.100000000000001</c:v>
                </c:pt>
              </c:numCache>
            </c:numRef>
          </c:yVal>
          <c:smooth val="0"/>
        </c:ser>
        <c:dLbls>
          <c:showLegendKey val="0"/>
          <c:showVal val="0"/>
          <c:showCatName val="0"/>
          <c:showSerName val="0"/>
          <c:showPercent val="0"/>
          <c:showBubbleSize val="0"/>
        </c:dLbls>
        <c:axId val="56030336"/>
        <c:axId val="56115200"/>
      </c:scatterChart>
      <c:valAx>
        <c:axId val="56030336"/>
        <c:scaling>
          <c:orientation val="minMax"/>
          <c:max val="26"/>
        </c:scaling>
        <c:delete val="0"/>
        <c:axPos val="b"/>
        <c:title>
          <c:tx>
            <c:rich>
              <a:bodyPr/>
              <a:lstStyle/>
              <a:p>
                <a:pPr>
                  <a:defRPr sz="850" b="1" i="0" u="none" strike="noStrike" baseline="0">
                    <a:solidFill>
                      <a:srgbClr val="000000"/>
                    </a:solidFill>
                    <a:latin typeface="Arial"/>
                    <a:ea typeface="Arial"/>
                    <a:cs typeface="Arial"/>
                  </a:defRPr>
                </a:pPr>
                <a:r>
                  <a:t>Time (Weeks)</a:t>
                </a:r>
              </a:p>
            </c:rich>
          </c:tx>
          <c:layout>
            <c:manualLayout>
              <c:xMode val="edge"/>
              <c:yMode val="edge"/>
              <c:x val="0.29019607843137257"/>
              <c:y val="0.85521885521885521"/>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56115200"/>
        <c:crosses val="autoZero"/>
        <c:crossBetween val="midCat"/>
        <c:majorUnit val="2"/>
        <c:minorUnit val="2"/>
      </c:valAx>
      <c:valAx>
        <c:axId val="56115200"/>
        <c:scaling>
          <c:orientation val="minMax"/>
        </c:scaling>
        <c:delete val="0"/>
        <c:axPos val="l"/>
        <c:title>
          <c:tx>
            <c:rich>
              <a:bodyPr/>
              <a:lstStyle/>
              <a:p>
                <a:pPr>
                  <a:defRPr sz="850" b="1" i="0" u="none" strike="noStrike" baseline="0">
                    <a:solidFill>
                      <a:srgbClr val="000000"/>
                    </a:solidFill>
                    <a:latin typeface="Arial"/>
                    <a:ea typeface="Arial"/>
                    <a:cs typeface="Arial"/>
                  </a:defRPr>
                </a:pPr>
                <a:r>
                  <a:t>Percent ACR20 Responders</a:t>
                </a:r>
              </a:p>
            </c:rich>
          </c:tx>
          <c:layout>
            <c:manualLayout>
              <c:xMode val="edge"/>
              <c:yMode val="edge"/>
              <c:x val="5.4901960784313725E-2"/>
              <c:y val="0.17171717171717171"/>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56030336"/>
        <c:crosses val="autoZero"/>
        <c:crossBetween val="midCat"/>
      </c:valAx>
      <c:spPr>
        <a:noFill/>
        <a:ln w="25401">
          <a:noFill/>
        </a:ln>
      </c:spPr>
    </c:plotArea>
    <c:legend>
      <c:legendPos val="r"/>
      <c:layout>
        <c:manualLayout>
          <c:xMode val="edge"/>
          <c:yMode val="edge"/>
          <c:x val="0.6098039215686275"/>
          <c:y val="0.32996632996632996"/>
          <c:w val="0.27647058823529413"/>
          <c:h val="0.19528619528619529"/>
        </c:manualLayout>
      </c:layout>
      <c:overlay val="0"/>
      <c:spPr>
        <a:solidFill>
          <a:srgbClr val="FFFFFF"/>
        </a:solidFill>
        <a:ln w="25401">
          <a:noFill/>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44444444444444"/>
          <c:y val="7.9847908745247151E-2"/>
          <c:w val="0.44666666666666666"/>
          <c:h val="0.69581749049429653"/>
        </c:manualLayout>
      </c:layout>
      <c:scatterChart>
        <c:scatterStyle val="lineMarker"/>
        <c:varyColors val="0"/>
        <c:ser>
          <c:idx val="0"/>
          <c:order val="0"/>
          <c:tx>
            <c:strRef>
              <c:f>'Study III'!$K$2</c:f>
              <c:strCache>
                <c:ptCount val="1"/>
                <c:pt idx="0">
                  <c:v>40 mg fortnightly/MTX</c:v>
                </c:pt>
              </c:strCache>
            </c:strRef>
          </c:tx>
          <c:spPr>
            <a:ln w="12700">
              <a:solidFill>
                <a:srgbClr val="000080"/>
              </a:solidFill>
              <a:prstDash val="solid"/>
            </a:ln>
          </c:spPr>
          <c:marker>
            <c:symbol val="square"/>
            <c:size val="5"/>
            <c:spPr>
              <a:solidFill>
                <a:srgbClr val="000000"/>
              </a:solidFill>
              <a:ln>
                <a:solidFill>
                  <a:srgbClr val="000000"/>
                </a:solidFill>
                <a:prstDash val="solid"/>
              </a:ln>
            </c:spPr>
          </c:marker>
          <c:xVal>
            <c:numRef>
              <c:f>'Study III'!$J$3:$J$14</c:f>
              <c:numCache>
                <c:formatCode>General</c:formatCode>
                <c:ptCount val="12"/>
                <c:pt idx="0">
                  <c:v>0</c:v>
                </c:pt>
                <c:pt idx="1">
                  <c:v>2</c:v>
                </c:pt>
                <c:pt idx="2">
                  <c:v>4</c:v>
                </c:pt>
                <c:pt idx="3">
                  <c:v>8</c:v>
                </c:pt>
                <c:pt idx="4">
                  <c:v>12</c:v>
                </c:pt>
                <c:pt idx="5">
                  <c:v>16</c:v>
                </c:pt>
                <c:pt idx="6">
                  <c:v>20</c:v>
                </c:pt>
                <c:pt idx="7">
                  <c:v>24</c:v>
                </c:pt>
                <c:pt idx="8">
                  <c:v>32</c:v>
                </c:pt>
                <c:pt idx="9">
                  <c:v>40</c:v>
                </c:pt>
                <c:pt idx="10">
                  <c:v>48</c:v>
                </c:pt>
                <c:pt idx="11">
                  <c:v>52</c:v>
                </c:pt>
              </c:numCache>
            </c:numRef>
          </c:xVal>
          <c:yVal>
            <c:numRef>
              <c:f>'Study III'!$K$3:$K$14</c:f>
              <c:numCache>
                <c:formatCode>General</c:formatCode>
                <c:ptCount val="12"/>
                <c:pt idx="0">
                  <c:v>0</c:v>
                </c:pt>
                <c:pt idx="1">
                  <c:v>25.6</c:v>
                </c:pt>
                <c:pt idx="2">
                  <c:v>45.9</c:v>
                </c:pt>
                <c:pt idx="3">
                  <c:v>54.1</c:v>
                </c:pt>
                <c:pt idx="4">
                  <c:v>56.5</c:v>
                </c:pt>
                <c:pt idx="5">
                  <c:v>58</c:v>
                </c:pt>
                <c:pt idx="6">
                  <c:v>56</c:v>
                </c:pt>
                <c:pt idx="7">
                  <c:v>62.3</c:v>
                </c:pt>
                <c:pt idx="8">
                  <c:v>58.9</c:v>
                </c:pt>
                <c:pt idx="9">
                  <c:v>58</c:v>
                </c:pt>
                <c:pt idx="10">
                  <c:v>57</c:v>
                </c:pt>
                <c:pt idx="11">
                  <c:v>58</c:v>
                </c:pt>
              </c:numCache>
            </c:numRef>
          </c:yVal>
          <c:smooth val="0"/>
        </c:ser>
        <c:ser>
          <c:idx val="1"/>
          <c:order val="1"/>
          <c:tx>
            <c:strRef>
              <c:f>'Study III'!$L$2</c:f>
              <c:strCache>
                <c:ptCount val="1"/>
                <c:pt idx="0">
                  <c:v>Placebo/MTX</c:v>
                </c:pt>
              </c:strCache>
            </c:strRef>
          </c:tx>
          <c:spPr>
            <a:ln w="12700">
              <a:solidFill>
                <a:srgbClr val="660066"/>
              </a:solidFill>
              <a:prstDash val="sysDash"/>
            </a:ln>
          </c:spPr>
          <c:marker>
            <c:symbol val="circle"/>
            <c:size val="5"/>
            <c:spPr>
              <a:noFill/>
              <a:ln>
                <a:solidFill>
                  <a:srgbClr val="660066"/>
                </a:solidFill>
                <a:prstDash val="solid"/>
              </a:ln>
            </c:spPr>
          </c:marker>
          <c:xVal>
            <c:numRef>
              <c:f>'Study III'!$J$3:$J$14</c:f>
              <c:numCache>
                <c:formatCode>General</c:formatCode>
                <c:ptCount val="12"/>
                <c:pt idx="0">
                  <c:v>0</c:v>
                </c:pt>
                <c:pt idx="1">
                  <c:v>2</c:v>
                </c:pt>
                <c:pt idx="2">
                  <c:v>4</c:v>
                </c:pt>
                <c:pt idx="3">
                  <c:v>8</c:v>
                </c:pt>
                <c:pt idx="4">
                  <c:v>12</c:v>
                </c:pt>
                <c:pt idx="5">
                  <c:v>16</c:v>
                </c:pt>
                <c:pt idx="6">
                  <c:v>20</c:v>
                </c:pt>
                <c:pt idx="7">
                  <c:v>24</c:v>
                </c:pt>
                <c:pt idx="8">
                  <c:v>32</c:v>
                </c:pt>
                <c:pt idx="9">
                  <c:v>40</c:v>
                </c:pt>
                <c:pt idx="10">
                  <c:v>48</c:v>
                </c:pt>
                <c:pt idx="11">
                  <c:v>52</c:v>
                </c:pt>
              </c:numCache>
            </c:numRef>
          </c:xVal>
          <c:yVal>
            <c:numRef>
              <c:f>'Study III'!$L$3:$L$14</c:f>
              <c:numCache>
                <c:formatCode>General</c:formatCode>
                <c:ptCount val="12"/>
                <c:pt idx="0">
                  <c:v>0</c:v>
                </c:pt>
                <c:pt idx="1">
                  <c:v>12</c:v>
                </c:pt>
                <c:pt idx="2">
                  <c:v>21.5</c:v>
                </c:pt>
                <c:pt idx="3">
                  <c:v>26</c:v>
                </c:pt>
                <c:pt idx="4">
                  <c:v>24</c:v>
                </c:pt>
                <c:pt idx="5">
                  <c:v>28</c:v>
                </c:pt>
                <c:pt idx="6">
                  <c:v>29</c:v>
                </c:pt>
                <c:pt idx="7">
                  <c:v>30</c:v>
                </c:pt>
                <c:pt idx="8">
                  <c:v>26</c:v>
                </c:pt>
                <c:pt idx="9">
                  <c:v>28.5</c:v>
                </c:pt>
                <c:pt idx="10">
                  <c:v>22.5</c:v>
                </c:pt>
                <c:pt idx="11">
                  <c:v>24</c:v>
                </c:pt>
              </c:numCache>
            </c:numRef>
          </c:yVal>
          <c:smooth val="0"/>
        </c:ser>
        <c:dLbls>
          <c:showLegendKey val="0"/>
          <c:showVal val="0"/>
          <c:showCatName val="0"/>
          <c:showSerName val="0"/>
          <c:showPercent val="0"/>
          <c:showBubbleSize val="0"/>
        </c:dLbls>
        <c:axId val="212198528"/>
        <c:axId val="227188736"/>
      </c:scatterChart>
      <c:valAx>
        <c:axId val="212198528"/>
        <c:scaling>
          <c:orientation val="minMax"/>
          <c:max val="52"/>
        </c:scaling>
        <c:delete val="0"/>
        <c:axPos val="b"/>
        <c:title>
          <c:tx>
            <c:rich>
              <a:bodyPr/>
              <a:lstStyle/>
              <a:p>
                <a:pPr>
                  <a:defRPr sz="850" b="1" i="0" u="none" strike="noStrike" baseline="0">
                    <a:solidFill>
                      <a:srgbClr val="000000"/>
                    </a:solidFill>
                    <a:latin typeface="Arial"/>
                    <a:ea typeface="Arial"/>
                    <a:cs typeface="Arial"/>
                  </a:defRPr>
                </a:pPr>
                <a:r>
                  <a:t>Time (Weeks)</a:t>
                </a:r>
              </a:p>
            </c:rich>
          </c:tx>
          <c:layout>
            <c:manualLayout>
              <c:xMode val="edge"/>
              <c:yMode val="edge"/>
              <c:x val="0.25555555555555554"/>
              <c:y val="0.8745247148288973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227188736"/>
        <c:crosses val="autoZero"/>
        <c:crossBetween val="midCat"/>
        <c:majorUnit val="4"/>
        <c:minorUnit val="4"/>
      </c:valAx>
      <c:valAx>
        <c:axId val="227188736"/>
        <c:scaling>
          <c:orientation val="minMax"/>
        </c:scaling>
        <c:delete val="0"/>
        <c:axPos val="l"/>
        <c:title>
          <c:tx>
            <c:rich>
              <a:bodyPr/>
              <a:lstStyle/>
              <a:p>
                <a:pPr>
                  <a:defRPr sz="850" b="1" i="0" u="none" strike="noStrike" baseline="0">
                    <a:solidFill>
                      <a:srgbClr val="000000"/>
                    </a:solidFill>
                    <a:latin typeface="Arial"/>
                    <a:ea typeface="Arial"/>
                    <a:cs typeface="Arial"/>
                  </a:defRPr>
                </a:pPr>
                <a:r>
                  <a:t>Percent ACR20 Responders</a:t>
                </a:r>
              </a:p>
            </c:rich>
          </c:tx>
          <c:layout>
            <c:manualLayout>
              <c:xMode val="edge"/>
              <c:yMode val="edge"/>
              <c:x val="2.6666666666666668E-2"/>
              <c:y val="0.1254752851711026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212198528"/>
        <c:crosses val="autoZero"/>
        <c:crossBetween val="midCat"/>
      </c:valAx>
      <c:spPr>
        <a:noFill/>
        <a:ln w="25400">
          <a:noFill/>
        </a:ln>
      </c:spPr>
    </c:plotArea>
    <c:legend>
      <c:legendPos val="r"/>
      <c:layout>
        <c:manualLayout>
          <c:xMode val="edge"/>
          <c:yMode val="edge"/>
          <c:x val="0.55555555555555558"/>
          <c:y val="0.34600760456273766"/>
          <c:w val="0.34444444444444444"/>
          <c:h val="0.14828897338403041"/>
        </c:manualLayout>
      </c:layout>
      <c:overlay val="0"/>
      <c:spPr>
        <a:solidFill>
          <a:srgbClr val="FFFFFF"/>
        </a:solidFill>
        <a:ln w="25400">
          <a:noFill/>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925"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75098814229249"/>
          <c:y val="0.16909620991253643"/>
          <c:w val="0.61462450592885376"/>
          <c:h val="0.57725947521865895"/>
        </c:manualLayout>
      </c:layout>
      <c:scatterChart>
        <c:scatterStyle val="lineMarker"/>
        <c:varyColors val="0"/>
        <c:ser>
          <c:idx val="0"/>
          <c:order val="0"/>
          <c:tx>
            <c:strRef>
              <c:f>Sheet1!$A$2</c:f>
              <c:strCache>
                <c:ptCount val="1"/>
                <c:pt idx="0">
                  <c:v>Placebo (N=107)</c:v>
                </c:pt>
              </c:strCache>
            </c:strRef>
          </c:tx>
          <c:spPr>
            <a:ln w="12700">
              <a:solidFill>
                <a:srgbClr val="000080"/>
              </a:solidFill>
              <a:prstDash val="sysDash"/>
            </a:ln>
          </c:spPr>
          <c:marker>
            <c:symbol val="circle"/>
            <c:size val="4"/>
            <c:spPr>
              <a:noFill/>
              <a:ln>
                <a:solidFill>
                  <a:srgbClr val="000080"/>
                </a:solidFill>
                <a:prstDash val="solid"/>
              </a:ln>
            </c:spPr>
          </c:marker>
          <c:xVal>
            <c:numRef>
              <c:f>Sheet1!$B$1:$I$1</c:f>
              <c:numCache>
                <c:formatCode>General</c:formatCode>
                <c:ptCount val="8"/>
                <c:pt idx="0">
                  <c:v>0</c:v>
                </c:pt>
                <c:pt idx="1">
                  <c:v>2</c:v>
                </c:pt>
                <c:pt idx="2">
                  <c:v>4</c:v>
                </c:pt>
                <c:pt idx="3">
                  <c:v>8</c:v>
                </c:pt>
                <c:pt idx="4">
                  <c:v>12</c:v>
                </c:pt>
                <c:pt idx="5">
                  <c:v>16</c:v>
                </c:pt>
                <c:pt idx="6">
                  <c:v>20</c:v>
                </c:pt>
                <c:pt idx="7">
                  <c:v>24</c:v>
                </c:pt>
              </c:numCache>
            </c:numRef>
          </c:xVal>
          <c:yVal>
            <c:numRef>
              <c:f>Sheet1!$B$2:$I$2</c:f>
              <c:numCache>
                <c:formatCode>General</c:formatCode>
                <c:ptCount val="8"/>
                <c:pt idx="0">
                  <c:v>0</c:v>
                </c:pt>
                <c:pt idx="1">
                  <c:v>15.9</c:v>
                </c:pt>
                <c:pt idx="2">
                  <c:v>18.7</c:v>
                </c:pt>
                <c:pt idx="3">
                  <c:v>29</c:v>
                </c:pt>
                <c:pt idx="4">
                  <c:v>20.6</c:v>
                </c:pt>
                <c:pt idx="5">
                  <c:v>18.7</c:v>
                </c:pt>
                <c:pt idx="6">
                  <c:v>15.9</c:v>
                </c:pt>
                <c:pt idx="7">
                  <c:v>18.7</c:v>
                </c:pt>
              </c:numCache>
            </c:numRef>
          </c:yVal>
          <c:smooth val="0"/>
        </c:ser>
        <c:ser>
          <c:idx val="1"/>
          <c:order val="1"/>
          <c:tx>
            <c:strRef>
              <c:f>Sheet1!$A$3</c:f>
              <c:strCache>
                <c:ptCount val="1"/>
                <c:pt idx="0">
                  <c:v>HUMIRA (N=208)</c:v>
                </c:pt>
              </c:strCache>
            </c:strRef>
          </c:tx>
          <c:spPr>
            <a:ln w="12700">
              <a:solidFill>
                <a:srgbClr val="660066"/>
              </a:solidFill>
              <a:prstDash val="solid"/>
            </a:ln>
          </c:spPr>
          <c:marker>
            <c:symbol val="square"/>
            <c:size val="4"/>
            <c:spPr>
              <a:solidFill>
                <a:srgbClr val="660066"/>
              </a:solidFill>
              <a:ln>
                <a:solidFill>
                  <a:srgbClr val="660066"/>
                </a:solidFill>
                <a:prstDash val="solid"/>
              </a:ln>
            </c:spPr>
          </c:marker>
          <c:xVal>
            <c:numRef>
              <c:f>Sheet1!$B$1:$I$1</c:f>
              <c:numCache>
                <c:formatCode>General</c:formatCode>
                <c:ptCount val="8"/>
                <c:pt idx="0">
                  <c:v>0</c:v>
                </c:pt>
                <c:pt idx="1">
                  <c:v>2</c:v>
                </c:pt>
                <c:pt idx="2">
                  <c:v>4</c:v>
                </c:pt>
                <c:pt idx="3">
                  <c:v>8</c:v>
                </c:pt>
                <c:pt idx="4">
                  <c:v>12</c:v>
                </c:pt>
                <c:pt idx="5">
                  <c:v>16</c:v>
                </c:pt>
                <c:pt idx="6">
                  <c:v>20</c:v>
                </c:pt>
                <c:pt idx="7">
                  <c:v>24</c:v>
                </c:pt>
              </c:numCache>
            </c:numRef>
          </c:xVal>
          <c:yVal>
            <c:numRef>
              <c:f>Sheet1!$B$3:$I$3</c:f>
              <c:numCache>
                <c:formatCode>General</c:formatCode>
                <c:ptCount val="8"/>
                <c:pt idx="0">
                  <c:v>0</c:v>
                </c:pt>
                <c:pt idx="1">
                  <c:v>42.3</c:v>
                </c:pt>
                <c:pt idx="2">
                  <c:v>51</c:v>
                </c:pt>
                <c:pt idx="3">
                  <c:v>57.7</c:v>
                </c:pt>
                <c:pt idx="4">
                  <c:v>58.2</c:v>
                </c:pt>
                <c:pt idx="5">
                  <c:v>53.4</c:v>
                </c:pt>
                <c:pt idx="6">
                  <c:v>51.4</c:v>
                </c:pt>
                <c:pt idx="7">
                  <c:v>50.5</c:v>
                </c:pt>
              </c:numCache>
            </c:numRef>
          </c:yVal>
          <c:smooth val="0"/>
        </c:ser>
        <c:dLbls>
          <c:showLegendKey val="0"/>
          <c:showVal val="0"/>
          <c:showCatName val="0"/>
          <c:showSerName val="0"/>
          <c:showPercent val="0"/>
          <c:showBubbleSize val="0"/>
        </c:dLbls>
        <c:axId val="75410432"/>
        <c:axId val="75466240"/>
      </c:scatterChart>
      <c:valAx>
        <c:axId val="75410432"/>
        <c:scaling>
          <c:orientation val="minMax"/>
        </c:scaling>
        <c:delete val="0"/>
        <c:axPos val="b"/>
        <c:title>
          <c:tx>
            <c:rich>
              <a:bodyPr/>
              <a:lstStyle/>
              <a:p>
                <a:pPr>
                  <a:defRPr sz="1050" b="1" i="0" u="none" strike="noStrike" baseline="0">
                    <a:solidFill>
                      <a:srgbClr val="000000"/>
                    </a:solidFill>
                    <a:latin typeface="Arial"/>
                    <a:ea typeface="Arial"/>
                    <a:cs typeface="Arial"/>
                  </a:defRPr>
                </a:pPr>
                <a:r>
                  <a:t>Time (Weeks)</a:t>
                </a:r>
              </a:p>
            </c:rich>
          </c:tx>
          <c:layout>
            <c:manualLayout>
              <c:xMode val="edge"/>
              <c:yMode val="edge"/>
              <c:x val="0.42094861660079053"/>
              <c:y val="0.83965014577259478"/>
            </c:manualLayout>
          </c:layout>
          <c:overlay val="0"/>
          <c:spPr>
            <a:noFill/>
            <a:ln w="25399">
              <a:noFill/>
            </a:ln>
          </c:spPr>
        </c:title>
        <c:numFmt formatCode="General" sourceLinked="1"/>
        <c:majorTickMark val="out"/>
        <c:minorTickMark val="out"/>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75466240"/>
        <c:crosses val="autoZero"/>
        <c:crossBetween val="midCat"/>
        <c:majorUnit val="2"/>
      </c:valAx>
      <c:valAx>
        <c:axId val="75466240"/>
        <c:scaling>
          <c:orientation val="minMax"/>
        </c:scaling>
        <c:delete val="0"/>
        <c:axPos val="l"/>
        <c:title>
          <c:tx>
            <c:rich>
              <a:bodyPr/>
              <a:lstStyle/>
              <a:p>
                <a:pPr>
                  <a:defRPr sz="1050" b="1" i="0" u="none" strike="noStrike" baseline="0">
                    <a:solidFill>
                      <a:srgbClr val="000000"/>
                    </a:solidFill>
                    <a:latin typeface="Arial"/>
                    <a:ea typeface="Arial"/>
                    <a:cs typeface="Arial"/>
                  </a:defRPr>
                </a:pPr>
                <a:r>
                  <a:t>% ASAS20 Response</a:t>
                </a:r>
              </a:p>
            </c:rich>
          </c:tx>
          <c:layout>
            <c:manualLayout>
              <c:xMode val="edge"/>
              <c:yMode val="edge"/>
              <c:x val="0.11462450592885376"/>
              <c:y val="0.24489795918367346"/>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75410432"/>
        <c:crosses val="autoZero"/>
        <c:crossBetween val="midCat"/>
      </c:valAx>
      <c:spPr>
        <a:noFill/>
        <a:ln w="25399">
          <a:noFill/>
        </a:ln>
      </c:spPr>
    </c:plotArea>
    <c:legend>
      <c:legendPos val="r"/>
      <c:legendEntry>
        <c:idx val="0"/>
        <c:txPr>
          <a:bodyPr/>
          <a:lstStyle/>
          <a:p>
            <a:pPr>
              <a:defRPr sz="825" b="0" i="0" u="none" strike="noStrike" baseline="0">
                <a:solidFill>
                  <a:srgbClr val="000000"/>
                </a:solidFill>
                <a:latin typeface="Arial"/>
                <a:ea typeface="Arial"/>
                <a:cs typeface="Arial"/>
              </a:defRPr>
            </a:pPr>
            <a:endParaRPr lang="en-US"/>
          </a:p>
        </c:txPr>
      </c:legendEntry>
      <c:legendEntry>
        <c:idx val="1"/>
        <c:txPr>
          <a:bodyPr/>
          <a:lstStyle/>
          <a:p>
            <a:pPr>
              <a:defRPr sz="825" b="0" i="0" u="none" strike="noStrike" baseline="0">
                <a:solidFill>
                  <a:srgbClr val="000000"/>
                </a:solidFill>
                <a:latin typeface="Arial"/>
                <a:ea typeface="Arial"/>
                <a:cs typeface="Arial"/>
              </a:defRPr>
            </a:pPr>
            <a:endParaRPr lang="en-US"/>
          </a:p>
        </c:txPr>
      </c:legendEntry>
      <c:layout>
        <c:manualLayout>
          <c:xMode val="edge"/>
          <c:yMode val="edge"/>
          <c:x val="0.25296442687747034"/>
          <c:y val="0.119533527696793"/>
          <c:w val="0.56916996047430835"/>
          <c:h val="6.1224489795918366E-2"/>
        </c:manualLayout>
      </c:layout>
      <c:overlay val="0"/>
      <c:spPr>
        <a:solidFill>
          <a:srgbClr val="FFFFFF"/>
        </a:solidFill>
        <a:ln w="25399">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1050" b="0" i="0" u="none" strike="noStrike" baseline="0">
          <a:solidFill>
            <a:srgbClr val="000000"/>
          </a:solidFill>
          <a:latin typeface="Arial"/>
          <a:ea typeface="Arial"/>
          <a:cs typeface="Aria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0.45175</cdr:x>
      <cdr:y>0.49025</cdr:y>
    </cdr:from>
    <cdr:to>
      <cdr:x>0.46825</cdr:x>
      <cdr:y>0.54975</cdr:y>
    </cdr:to>
    <cdr:sp macro="" textlink="">
      <cdr:nvSpPr>
        <cdr:cNvPr id="22529" name="Text Box 1"/>
        <cdr:cNvSpPr txBox="1">
          <a:spLocks xmlns:a="http://schemas.openxmlformats.org/drawingml/2006/main" noChangeArrowheads="1"/>
        </cdr:cNvSpPr>
      </cdr:nvSpPr>
      <cdr:spPr bwMode="auto">
        <a:xfrm xmlns:a="http://schemas.openxmlformats.org/drawingml/2006/main">
          <a:off x="2194489" y="1386880"/>
          <a:ext cx="80152" cy="16832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AU" sz="950" b="0" i="0" u="none" strike="noStrike" baseline="0">
              <a:solidFill>
                <a:srgbClr val="000000"/>
              </a:solidFill>
              <a:latin typeface="Arial"/>
              <a:cs typeface="Arial"/>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45</Pages>
  <Words>19133</Words>
  <Characters>108781</Characters>
  <Application>Microsoft Office Word</Application>
  <DocSecurity>0</DocSecurity>
  <Lines>906</Lines>
  <Paragraphs>255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Attachment 1. Product Information for adalimumab</vt:lpstr>
      <vt:lpstr>New Zealand Datasheet</vt:lpstr>
    </vt:vector>
  </TitlesOfParts>
  <Company>AbbVie Pty Ltd</Company>
  <LinksUpToDate>false</LinksUpToDate>
  <CharactersWithSpaces>127659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adalimumab</dc:title>
  <dc:subject>prescription medicine regulation</dc:subject>
  <dc:creator>AbbVie Pty Ltd</dc:creator>
  <cp:keywords>product, information, prescription, medicine, regulation, adalimumab, humira, abbvie</cp:keywords>
  <cp:lastModifiedBy>Sheppard, Fran</cp:lastModifiedBy>
  <cp:revision>4</cp:revision>
  <cp:lastPrinted>2013-10-14T05:47:00Z</cp:lastPrinted>
  <dcterms:created xsi:type="dcterms:W3CDTF">2014-08-20T03:15:00Z</dcterms:created>
  <dcterms:modified xsi:type="dcterms:W3CDTF">2014-08-25T00:29:00Z</dcterms:modified>
</cp:coreProperties>
</file>