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6"/>
      </w:tblGrid>
      <w:tr w:rsidR="008E7846" w:rsidRPr="00487162" w14:paraId="49ABBF9D" w14:textId="77777777" w:rsidTr="007C0FDC">
        <w:trPr>
          <w:trHeight w:val="1724"/>
        </w:trPr>
        <w:tc>
          <w:tcPr>
            <w:tcW w:w="7876" w:type="dxa"/>
            <w:tcBorders>
              <w:top w:val="nil"/>
              <w:left w:val="nil"/>
              <w:bottom w:val="nil"/>
              <w:right w:val="nil"/>
            </w:tcBorders>
          </w:tcPr>
          <w:p w14:paraId="3DA7DA85" w14:textId="39F26056" w:rsidR="007C0FDC" w:rsidRPr="005A5972" w:rsidRDefault="002E64CE" w:rsidP="005A5972">
            <w:pPr>
              <w:pStyle w:val="Date"/>
              <w:framePr w:hSpace="0" w:wrap="auto" w:vAnchor="margin" w:hAnchor="text" w:yAlign="inline"/>
              <w:suppressOverlap w:val="0"/>
            </w:pPr>
            <w:bookmarkStart w:id="0" w:name="_GoBack"/>
            <w:bookmarkEnd w:id="0"/>
            <w:r>
              <w:t>F</w:t>
            </w:r>
            <w:r w:rsidR="007C0FDC" w:rsidRPr="005274AD">
              <w:t xml:space="preserve">irst </w:t>
            </w:r>
            <w:r w:rsidR="007C0FDC" w:rsidRPr="005A5972">
              <w:t>round report: 9 September 2016</w:t>
            </w:r>
          </w:p>
          <w:p w14:paraId="4D762D11" w14:textId="53605A6C" w:rsidR="008E7846" w:rsidRPr="0017078F" w:rsidRDefault="002E64CE" w:rsidP="005A5972">
            <w:pPr>
              <w:pStyle w:val="Date"/>
              <w:framePr w:hSpace="0" w:wrap="auto" w:vAnchor="margin" w:hAnchor="text" w:yAlign="inline"/>
              <w:suppressOverlap w:val="0"/>
              <w:rPr>
                <w:sz w:val="36"/>
                <w:szCs w:val="36"/>
              </w:rPr>
            </w:pPr>
            <w:r w:rsidRPr="005A5972">
              <w:t>Second</w:t>
            </w:r>
            <w:r w:rsidR="007C0FDC" w:rsidRPr="005A5972">
              <w:t xml:space="preserve"> round report: 23 December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3E2CA25" w14:textId="77777777" w:rsidTr="00E07F15">
        <w:trPr>
          <w:trHeight w:val="1548"/>
        </w:trPr>
        <w:tc>
          <w:tcPr>
            <w:tcW w:w="9079" w:type="dxa"/>
          </w:tcPr>
          <w:p w14:paraId="5CE2CD17" w14:textId="77777777" w:rsidR="0032583B" w:rsidRPr="00A964D1" w:rsidRDefault="00E07F15" w:rsidP="005A5972">
            <w:pPr>
              <w:pStyle w:val="Title"/>
              <w:framePr w:hSpace="0" w:wrap="auto" w:vAnchor="margin" w:yAlign="inline"/>
            </w:pPr>
            <w:proofErr w:type="spellStart"/>
            <w:r>
              <w:t>AusPAR</w:t>
            </w:r>
            <w:proofErr w:type="spellEnd"/>
            <w:r>
              <w:t xml:space="preserve"> </w:t>
            </w:r>
            <w:r w:rsidRPr="005A5972">
              <w:t>Attachment</w:t>
            </w:r>
            <w:r>
              <w:t xml:space="preserve"> 2</w:t>
            </w:r>
          </w:p>
        </w:tc>
      </w:tr>
      <w:tr w:rsidR="00E07F15" w:rsidRPr="00A964D1" w14:paraId="56EC97EA" w14:textId="77777777" w:rsidTr="00E07F15">
        <w:trPr>
          <w:trHeight w:val="868"/>
        </w:trPr>
        <w:tc>
          <w:tcPr>
            <w:tcW w:w="9079" w:type="dxa"/>
          </w:tcPr>
          <w:p w14:paraId="2E71984D" w14:textId="77777777" w:rsidR="00E07F15" w:rsidRPr="00A964D1" w:rsidRDefault="00E07F15" w:rsidP="005A5972">
            <w:pPr>
              <w:pStyle w:val="Title"/>
              <w:framePr w:hSpace="0" w:wrap="auto" w:vAnchor="margin" w:yAlign="inline"/>
            </w:pPr>
            <w:r>
              <w:t>Extract from the Clinical Evaluation Report</w:t>
            </w:r>
            <w:r w:rsidRPr="00A964D1">
              <w:t xml:space="preserve"> for </w:t>
            </w:r>
            <w:r w:rsidR="007C0FDC" w:rsidRPr="007C0FDC">
              <w:t>Adalimumab</w:t>
            </w:r>
          </w:p>
        </w:tc>
      </w:tr>
      <w:tr w:rsidR="00E07F15" w:rsidRPr="00B64760" w14:paraId="2E85F0E0" w14:textId="77777777" w:rsidTr="00E07F15">
        <w:tc>
          <w:tcPr>
            <w:tcW w:w="9079" w:type="dxa"/>
          </w:tcPr>
          <w:p w14:paraId="4D8CD2F5" w14:textId="77777777" w:rsidR="00E07F15" w:rsidRPr="008E7846" w:rsidRDefault="00E07F15" w:rsidP="005A5972">
            <w:pPr>
              <w:pStyle w:val="Subtitle"/>
              <w:framePr w:hSpace="0" w:wrap="auto" w:vAnchor="margin" w:yAlign="inline"/>
            </w:pPr>
            <w:r w:rsidRPr="008E7846">
              <w:t xml:space="preserve">Proprietary Product Name: </w:t>
            </w:r>
            <w:r w:rsidR="007C0FDC">
              <w:t>Amgevita</w:t>
            </w:r>
          </w:p>
        </w:tc>
      </w:tr>
      <w:tr w:rsidR="00E07F15" w:rsidRPr="00B64760" w14:paraId="53847452" w14:textId="77777777" w:rsidTr="00E07F15">
        <w:trPr>
          <w:trHeight w:val="486"/>
        </w:trPr>
        <w:tc>
          <w:tcPr>
            <w:tcW w:w="9079" w:type="dxa"/>
          </w:tcPr>
          <w:p w14:paraId="63767C1E" w14:textId="77777777" w:rsidR="00E07F15" w:rsidRPr="008E7846" w:rsidRDefault="00E07F15" w:rsidP="005A5972">
            <w:pPr>
              <w:pStyle w:val="Subtitle"/>
              <w:framePr w:hSpace="0" w:wrap="auto" w:vAnchor="margin" w:yAlign="inline"/>
            </w:pPr>
            <w:r w:rsidRPr="008E7846">
              <w:t xml:space="preserve">Sponsor: </w:t>
            </w:r>
            <w:r w:rsidR="007C0FDC" w:rsidRPr="007C0FDC">
              <w:t>Amgen Australia Pty Ltd</w:t>
            </w:r>
          </w:p>
        </w:tc>
      </w:tr>
    </w:tbl>
    <w:p w14:paraId="1B6F5D6F" w14:textId="77777777" w:rsidR="008E7846" w:rsidRDefault="008E7846" w:rsidP="008E7846">
      <w:pPr>
        <w:pStyle w:val="NonTOCHeading2"/>
      </w:pPr>
      <w:r>
        <w:br w:type="page"/>
      </w:r>
    </w:p>
    <w:p w14:paraId="1A603787" w14:textId="77777777" w:rsidR="008E7846" w:rsidRPr="001F6CBA" w:rsidRDefault="008E7846" w:rsidP="008E7846">
      <w:pPr>
        <w:pStyle w:val="NonTOCHeading2"/>
      </w:pPr>
      <w:r w:rsidRPr="001F6CBA">
        <w:lastRenderedPageBreak/>
        <w:t>About the Therapeutic Goods Administration (TGA)</w:t>
      </w:r>
    </w:p>
    <w:p w14:paraId="783F0577" w14:textId="77777777" w:rsidR="008E7846" w:rsidRDefault="008E7846" w:rsidP="007C0FD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4C194C0" w14:textId="77777777" w:rsidR="008E7846" w:rsidRDefault="00C811C0" w:rsidP="007C0FD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31746098" w14:textId="77777777" w:rsidR="008E7846" w:rsidRDefault="008E7846" w:rsidP="007C0FD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8AA6EB3" w14:textId="77777777" w:rsidR="008E7846" w:rsidRDefault="008E7846" w:rsidP="007C0FD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D65ADCF" w14:textId="77777777" w:rsidR="008E7846" w:rsidRDefault="008E7846" w:rsidP="007C0FD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60C99D70"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31A9B737"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56E6978A" w14:textId="77777777" w:rsidR="003D0A3B" w:rsidRDefault="003D0A3B" w:rsidP="003D0A3B">
      <w:pPr>
        <w:pStyle w:val="ListBullet"/>
      </w:pPr>
      <w:r w:rsidRPr="003D0A3B">
        <w:t>The words [Information redacted], where they appear in this document, indicate that confidential information has been deleted.</w:t>
      </w:r>
    </w:p>
    <w:p w14:paraId="67506BD0"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344ECDF" w14:textId="77777777" w:rsidR="00924482" w:rsidRPr="00DF1D7F" w:rsidRDefault="00924482" w:rsidP="00533472">
      <w:pPr>
        <w:pStyle w:val="LegalSubheading"/>
        <w:spacing w:before="4080"/>
      </w:pPr>
      <w:r w:rsidRPr="00DF1D7F">
        <w:t>Copyright</w:t>
      </w:r>
    </w:p>
    <w:p w14:paraId="563FE67A"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C79AA63"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28A9087" w14:textId="77777777" w:rsidR="0089635C" w:rsidRPr="0089635C" w:rsidRDefault="0089635C" w:rsidP="0010788A">
          <w:pPr>
            <w:pStyle w:val="Contents"/>
          </w:pPr>
          <w:r w:rsidRPr="0010788A">
            <w:t>Contents</w:t>
          </w:r>
        </w:p>
        <w:p w14:paraId="68D7488F" w14:textId="77777777" w:rsidR="00A356C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9822376" w:history="1">
            <w:r w:rsidR="00A356C5" w:rsidRPr="00D13B03">
              <w:rPr>
                <w:rStyle w:val="Hyperlink"/>
                <w:noProof/>
              </w:rPr>
              <w:t>List of common abbreviations</w:t>
            </w:r>
            <w:r w:rsidR="00A356C5">
              <w:rPr>
                <w:noProof/>
                <w:webHidden/>
              </w:rPr>
              <w:tab/>
            </w:r>
            <w:r w:rsidR="00A356C5">
              <w:rPr>
                <w:noProof/>
                <w:webHidden/>
              </w:rPr>
              <w:fldChar w:fldCharType="begin"/>
            </w:r>
            <w:r w:rsidR="00A356C5">
              <w:rPr>
                <w:noProof/>
                <w:webHidden/>
              </w:rPr>
              <w:instrText xml:space="preserve"> PAGEREF _Toc509822376 \h </w:instrText>
            </w:r>
            <w:r w:rsidR="00A356C5">
              <w:rPr>
                <w:noProof/>
                <w:webHidden/>
              </w:rPr>
            </w:r>
            <w:r w:rsidR="00A356C5">
              <w:rPr>
                <w:noProof/>
                <w:webHidden/>
              </w:rPr>
              <w:fldChar w:fldCharType="separate"/>
            </w:r>
            <w:r w:rsidR="00682FD2">
              <w:rPr>
                <w:noProof/>
                <w:webHidden/>
              </w:rPr>
              <w:t>5</w:t>
            </w:r>
            <w:r w:rsidR="00A356C5">
              <w:rPr>
                <w:noProof/>
                <w:webHidden/>
              </w:rPr>
              <w:fldChar w:fldCharType="end"/>
            </w:r>
          </w:hyperlink>
        </w:p>
        <w:p w14:paraId="260774A9"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377" w:history="1">
            <w:r w:rsidR="00A356C5" w:rsidRPr="00D13B03">
              <w:rPr>
                <w:rStyle w:val="Hyperlink"/>
                <w:noProof/>
                <w:lang w:eastAsia="en-AU"/>
              </w:rPr>
              <w:t>1.</w:t>
            </w:r>
            <w:r w:rsidR="00A356C5">
              <w:rPr>
                <w:rFonts w:asciiTheme="minorHAnsi" w:eastAsiaTheme="minorEastAsia" w:hAnsiTheme="minorHAnsi" w:cstheme="minorBidi"/>
                <w:b w:val="0"/>
                <w:noProof/>
                <w:sz w:val="22"/>
                <w:lang w:eastAsia="en-AU"/>
              </w:rPr>
              <w:tab/>
            </w:r>
            <w:r w:rsidR="00A356C5" w:rsidRPr="00D13B03">
              <w:rPr>
                <w:rStyle w:val="Hyperlink"/>
                <w:noProof/>
                <w:lang w:eastAsia="en-AU"/>
              </w:rPr>
              <w:t>Submission details</w:t>
            </w:r>
            <w:r w:rsidR="00A356C5">
              <w:rPr>
                <w:noProof/>
                <w:webHidden/>
              </w:rPr>
              <w:tab/>
            </w:r>
            <w:r w:rsidR="00A356C5">
              <w:rPr>
                <w:noProof/>
                <w:webHidden/>
              </w:rPr>
              <w:fldChar w:fldCharType="begin"/>
            </w:r>
            <w:r w:rsidR="00A356C5">
              <w:rPr>
                <w:noProof/>
                <w:webHidden/>
              </w:rPr>
              <w:instrText xml:space="preserve"> PAGEREF _Toc509822377 \h </w:instrText>
            </w:r>
            <w:r w:rsidR="00A356C5">
              <w:rPr>
                <w:noProof/>
                <w:webHidden/>
              </w:rPr>
            </w:r>
            <w:r w:rsidR="00A356C5">
              <w:rPr>
                <w:noProof/>
                <w:webHidden/>
              </w:rPr>
              <w:fldChar w:fldCharType="separate"/>
            </w:r>
            <w:r w:rsidR="00682FD2">
              <w:rPr>
                <w:noProof/>
                <w:webHidden/>
              </w:rPr>
              <w:t>8</w:t>
            </w:r>
            <w:r w:rsidR="00A356C5">
              <w:rPr>
                <w:noProof/>
                <w:webHidden/>
              </w:rPr>
              <w:fldChar w:fldCharType="end"/>
            </w:r>
          </w:hyperlink>
        </w:p>
        <w:p w14:paraId="071341A7"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78" w:history="1">
            <w:r w:rsidR="00A356C5" w:rsidRPr="00D13B03">
              <w:rPr>
                <w:rStyle w:val="Hyperlink"/>
                <w:noProof/>
              </w:rPr>
              <w:t>1.1.</w:t>
            </w:r>
            <w:r w:rsidR="00A356C5">
              <w:rPr>
                <w:rFonts w:asciiTheme="minorHAnsi" w:eastAsiaTheme="minorEastAsia" w:hAnsiTheme="minorHAnsi" w:cstheme="minorBidi"/>
                <w:noProof/>
                <w:lang w:eastAsia="en-AU"/>
              </w:rPr>
              <w:tab/>
            </w:r>
            <w:r w:rsidR="00A356C5" w:rsidRPr="00D13B03">
              <w:rPr>
                <w:rStyle w:val="Hyperlink"/>
                <w:noProof/>
              </w:rPr>
              <w:t>Identifying information</w:t>
            </w:r>
            <w:r w:rsidR="00A356C5">
              <w:rPr>
                <w:noProof/>
                <w:webHidden/>
              </w:rPr>
              <w:tab/>
            </w:r>
            <w:r w:rsidR="00A356C5">
              <w:rPr>
                <w:noProof/>
                <w:webHidden/>
              </w:rPr>
              <w:fldChar w:fldCharType="begin"/>
            </w:r>
            <w:r w:rsidR="00A356C5">
              <w:rPr>
                <w:noProof/>
                <w:webHidden/>
              </w:rPr>
              <w:instrText xml:space="preserve"> PAGEREF _Toc509822378 \h </w:instrText>
            </w:r>
            <w:r w:rsidR="00A356C5">
              <w:rPr>
                <w:noProof/>
                <w:webHidden/>
              </w:rPr>
            </w:r>
            <w:r w:rsidR="00A356C5">
              <w:rPr>
                <w:noProof/>
                <w:webHidden/>
              </w:rPr>
              <w:fldChar w:fldCharType="separate"/>
            </w:r>
            <w:r w:rsidR="00682FD2">
              <w:rPr>
                <w:noProof/>
                <w:webHidden/>
              </w:rPr>
              <w:t>8</w:t>
            </w:r>
            <w:r w:rsidR="00A356C5">
              <w:rPr>
                <w:noProof/>
                <w:webHidden/>
              </w:rPr>
              <w:fldChar w:fldCharType="end"/>
            </w:r>
          </w:hyperlink>
        </w:p>
        <w:p w14:paraId="08CA575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79" w:history="1">
            <w:r w:rsidR="00A356C5" w:rsidRPr="00D13B03">
              <w:rPr>
                <w:rStyle w:val="Hyperlink"/>
                <w:noProof/>
              </w:rPr>
              <w:t>1.2.</w:t>
            </w:r>
            <w:r w:rsidR="00A356C5">
              <w:rPr>
                <w:rFonts w:asciiTheme="minorHAnsi" w:eastAsiaTheme="minorEastAsia" w:hAnsiTheme="minorHAnsi" w:cstheme="minorBidi"/>
                <w:noProof/>
                <w:lang w:eastAsia="en-AU"/>
              </w:rPr>
              <w:tab/>
            </w:r>
            <w:r w:rsidR="00A356C5" w:rsidRPr="00D13B03">
              <w:rPr>
                <w:rStyle w:val="Hyperlink"/>
                <w:noProof/>
              </w:rPr>
              <w:t>Submission type</w:t>
            </w:r>
            <w:r w:rsidR="00A356C5">
              <w:rPr>
                <w:noProof/>
                <w:webHidden/>
              </w:rPr>
              <w:tab/>
            </w:r>
            <w:r w:rsidR="00A356C5">
              <w:rPr>
                <w:noProof/>
                <w:webHidden/>
              </w:rPr>
              <w:fldChar w:fldCharType="begin"/>
            </w:r>
            <w:r w:rsidR="00A356C5">
              <w:rPr>
                <w:noProof/>
                <w:webHidden/>
              </w:rPr>
              <w:instrText xml:space="preserve"> PAGEREF _Toc509822379 \h </w:instrText>
            </w:r>
            <w:r w:rsidR="00A356C5">
              <w:rPr>
                <w:noProof/>
                <w:webHidden/>
              </w:rPr>
            </w:r>
            <w:r w:rsidR="00A356C5">
              <w:rPr>
                <w:noProof/>
                <w:webHidden/>
              </w:rPr>
              <w:fldChar w:fldCharType="separate"/>
            </w:r>
            <w:r w:rsidR="00682FD2">
              <w:rPr>
                <w:noProof/>
                <w:webHidden/>
              </w:rPr>
              <w:t>8</w:t>
            </w:r>
            <w:r w:rsidR="00A356C5">
              <w:rPr>
                <w:noProof/>
                <w:webHidden/>
              </w:rPr>
              <w:fldChar w:fldCharType="end"/>
            </w:r>
          </w:hyperlink>
        </w:p>
        <w:p w14:paraId="558697B9"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0" w:history="1">
            <w:r w:rsidR="00A356C5" w:rsidRPr="00D13B03">
              <w:rPr>
                <w:rStyle w:val="Hyperlink"/>
                <w:noProof/>
              </w:rPr>
              <w:t>1.3.</w:t>
            </w:r>
            <w:r w:rsidR="00A356C5">
              <w:rPr>
                <w:rFonts w:asciiTheme="minorHAnsi" w:eastAsiaTheme="minorEastAsia" w:hAnsiTheme="minorHAnsi" w:cstheme="minorBidi"/>
                <w:noProof/>
                <w:lang w:eastAsia="en-AU"/>
              </w:rPr>
              <w:tab/>
            </w:r>
            <w:r w:rsidR="00A356C5" w:rsidRPr="00D13B03">
              <w:rPr>
                <w:rStyle w:val="Hyperlink"/>
                <w:noProof/>
              </w:rPr>
              <w:t>Drug class and therapeutic indication</w:t>
            </w:r>
            <w:r w:rsidR="00A356C5">
              <w:rPr>
                <w:noProof/>
                <w:webHidden/>
              </w:rPr>
              <w:tab/>
            </w:r>
            <w:r w:rsidR="00A356C5">
              <w:rPr>
                <w:noProof/>
                <w:webHidden/>
              </w:rPr>
              <w:fldChar w:fldCharType="begin"/>
            </w:r>
            <w:r w:rsidR="00A356C5">
              <w:rPr>
                <w:noProof/>
                <w:webHidden/>
              </w:rPr>
              <w:instrText xml:space="preserve"> PAGEREF _Toc509822380 \h </w:instrText>
            </w:r>
            <w:r w:rsidR="00A356C5">
              <w:rPr>
                <w:noProof/>
                <w:webHidden/>
              </w:rPr>
            </w:r>
            <w:r w:rsidR="00A356C5">
              <w:rPr>
                <w:noProof/>
                <w:webHidden/>
              </w:rPr>
              <w:fldChar w:fldCharType="separate"/>
            </w:r>
            <w:r w:rsidR="00682FD2">
              <w:rPr>
                <w:noProof/>
                <w:webHidden/>
              </w:rPr>
              <w:t>9</w:t>
            </w:r>
            <w:r w:rsidR="00A356C5">
              <w:rPr>
                <w:noProof/>
                <w:webHidden/>
              </w:rPr>
              <w:fldChar w:fldCharType="end"/>
            </w:r>
          </w:hyperlink>
        </w:p>
        <w:p w14:paraId="27778799"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1" w:history="1">
            <w:r w:rsidR="00A356C5" w:rsidRPr="00D13B03">
              <w:rPr>
                <w:rStyle w:val="Hyperlink"/>
                <w:noProof/>
              </w:rPr>
              <w:t>1.4.</w:t>
            </w:r>
            <w:r w:rsidR="00A356C5">
              <w:rPr>
                <w:rFonts w:asciiTheme="minorHAnsi" w:eastAsiaTheme="minorEastAsia" w:hAnsiTheme="minorHAnsi" w:cstheme="minorBidi"/>
                <w:noProof/>
                <w:lang w:eastAsia="en-AU"/>
              </w:rPr>
              <w:tab/>
            </w:r>
            <w:r w:rsidR="00A356C5" w:rsidRPr="00D13B03">
              <w:rPr>
                <w:rStyle w:val="Hyperlink"/>
                <w:noProof/>
              </w:rPr>
              <w:t>Dosage forms and strengths</w:t>
            </w:r>
            <w:r w:rsidR="00A356C5">
              <w:rPr>
                <w:noProof/>
                <w:webHidden/>
              </w:rPr>
              <w:tab/>
            </w:r>
            <w:r w:rsidR="00A356C5">
              <w:rPr>
                <w:noProof/>
                <w:webHidden/>
              </w:rPr>
              <w:fldChar w:fldCharType="begin"/>
            </w:r>
            <w:r w:rsidR="00A356C5">
              <w:rPr>
                <w:noProof/>
                <w:webHidden/>
              </w:rPr>
              <w:instrText xml:space="preserve"> PAGEREF _Toc509822381 \h </w:instrText>
            </w:r>
            <w:r w:rsidR="00A356C5">
              <w:rPr>
                <w:noProof/>
                <w:webHidden/>
              </w:rPr>
            </w:r>
            <w:r w:rsidR="00A356C5">
              <w:rPr>
                <w:noProof/>
                <w:webHidden/>
              </w:rPr>
              <w:fldChar w:fldCharType="separate"/>
            </w:r>
            <w:r w:rsidR="00682FD2">
              <w:rPr>
                <w:noProof/>
                <w:webHidden/>
              </w:rPr>
              <w:t>10</w:t>
            </w:r>
            <w:r w:rsidR="00A356C5">
              <w:rPr>
                <w:noProof/>
                <w:webHidden/>
              </w:rPr>
              <w:fldChar w:fldCharType="end"/>
            </w:r>
          </w:hyperlink>
        </w:p>
        <w:p w14:paraId="2F99C7E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2" w:history="1">
            <w:r w:rsidR="00A356C5" w:rsidRPr="00D13B03">
              <w:rPr>
                <w:rStyle w:val="Hyperlink"/>
                <w:noProof/>
              </w:rPr>
              <w:t>1.5.</w:t>
            </w:r>
            <w:r w:rsidR="00A356C5">
              <w:rPr>
                <w:rFonts w:asciiTheme="minorHAnsi" w:eastAsiaTheme="minorEastAsia" w:hAnsiTheme="minorHAnsi" w:cstheme="minorBidi"/>
                <w:noProof/>
                <w:lang w:eastAsia="en-AU"/>
              </w:rPr>
              <w:tab/>
            </w:r>
            <w:r w:rsidR="00A356C5" w:rsidRPr="00D13B03">
              <w:rPr>
                <w:rStyle w:val="Hyperlink"/>
                <w:noProof/>
              </w:rPr>
              <w:t>Dosage and administration</w:t>
            </w:r>
            <w:r w:rsidR="00A356C5">
              <w:rPr>
                <w:noProof/>
                <w:webHidden/>
              </w:rPr>
              <w:tab/>
            </w:r>
            <w:r w:rsidR="00A356C5">
              <w:rPr>
                <w:noProof/>
                <w:webHidden/>
              </w:rPr>
              <w:fldChar w:fldCharType="begin"/>
            </w:r>
            <w:r w:rsidR="00A356C5">
              <w:rPr>
                <w:noProof/>
                <w:webHidden/>
              </w:rPr>
              <w:instrText xml:space="preserve"> PAGEREF _Toc509822382 \h </w:instrText>
            </w:r>
            <w:r w:rsidR="00A356C5">
              <w:rPr>
                <w:noProof/>
                <w:webHidden/>
              </w:rPr>
            </w:r>
            <w:r w:rsidR="00A356C5">
              <w:rPr>
                <w:noProof/>
                <w:webHidden/>
              </w:rPr>
              <w:fldChar w:fldCharType="separate"/>
            </w:r>
            <w:r w:rsidR="00682FD2">
              <w:rPr>
                <w:noProof/>
                <w:webHidden/>
              </w:rPr>
              <w:t>10</w:t>
            </w:r>
            <w:r w:rsidR="00A356C5">
              <w:rPr>
                <w:noProof/>
                <w:webHidden/>
              </w:rPr>
              <w:fldChar w:fldCharType="end"/>
            </w:r>
          </w:hyperlink>
        </w:p>
        <w:p w14:paraId="3997DD03"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383" w:history="1">
            <w:r w:rsidR="00A356C5" w:rsidRPr="00D13B03">
              <w:rPr>
                <w:rStyle w:val="Hyperlink"/>
                <w:noProof/>
              </w:rPr>
              <w:t>2.</w:t>
            </w:r>
            <w:r w:rsidR="00A356C5">
              <w:rPr>
                <w:rFonts w:asciiTheme="minorHAnsi" w:eastAsiaTheme="minorEastAsia" w:hAnsiTheme="minorHAnsi" w:cstheme="minorBidi"/>
                <w:b w:val="0"/>
                <w:noProof/>
                <w:sz w:val="22"/>
                <w:lang w:eastAsia="en-AU"/>
              </w:rPr>
              <w:tab/>
            </w:r>
            <w:r w:rsidR="00A356C5" w:rsidRPr="00D13B03">
              <w:rPr>
                <w:rStyle w:val="Hyperlink"/>
                <w:noProof/>
              </w:rPr>
              <w:t>Background</w:t>
            </w:r>
            <w:r w:rsidR="00A356C5">
              <w:rPr>
                <w:noProof/>
                <w:webHidden/>
              </w:rPr>
              <w:tab/>
            </w:r>
            <w:r w:rsidR="00A356C5">
              <w:rPr>
                <w:noProof/>
                <w:webHidden/>
              </w:rPr>
              <w:fldChar w:fldCharType="begin"/>
            </w:r>
            <w:r w:rsidR="00A356C5">
              <w:rPr>
                <w:noProof/>
                <w:webHidden/>
              </w:rPr>
              <w:instrText xml:space="preserve"> PAGEREF _Toc509822383 \h </w:instrText>
            </w:r>
            <w:r w:rsidR="00A356C5">
              <w:rPr>
                <w:noProof/>
                <w:webHidden/>
              </w:rPr>
            </w:r>
            <w:r w:rsidR="00A356C5">
              <w:rPr>
                <w:noProof/>
                <w:webHidden/>
              </w:rPr>
              <w:fldChar w:fldCharType="separate"/>
            </w:r>
            <w:r w:rsidR="00682FD2">
              <w:rPr>
                <w:noProof/>
                <w:webHidden/>
              </w:rPr>
              <w:t>12</w:t>
            </w:r>
            <w:r w:rsidR="00A356C5">
              <w:rPr>
                <w:noProof/>
                <w:webHidden/>
              </w:rPr>
              <w:fldChar w:fldCharType="end"/>
            </w:r>
          </w:hyperlink>
        </w:p>
        <w:p w14:paraId="120696F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4" w:history="1">
            <w:r w:rsidR="00A356C5" w:rsidRPr="00D13B03">
              <w:rPr>
                <w:rStyle w:val="Hyperlink"/>
                <w:noProof/>
              </w:rPr>
              <w:t>2.1.</w:t>
            </w:r>
            <w:r w:rsidR="00A356C5">
              <w:rPr>
                <w:rFonts w:asciiTheme="minorHAnsi" w:eastAsiaTheme="minorEastAsia" w:hAnsiTheme="minorHAnsi" w:cstheme="minorBidi"/>
                <w:noProof/>
                <w:lang w:eastAsia="en-AU"/>
              </w:rPr>
              <w:tab/>
            </w:r>
            <w:r w:rsidR="00A356C5" w:rsidRPr="00D13B03">
              <w:rPr>
                <w:rStyle w:val="Hyperlink"/>
                <w:noProof/>
              </w:rPr>
              <w:t>Information on the condition being treated</w:t>
            </w:r>
            <w:r w:rsidR="00A356C5">
              <w:rPr>
                <w:noProof/>
                <w:webHidden/>
              </w:rPr>
              <w:tab/>
            </w:r>
            <w:r w:rsidR="00A356C5">
              <w:rPr>
                <w:noProof/>
                <w:webHidden/>
              </w:rPr>
              <w:fldChar w:fldCharType="begin"/>
            </w:r>
            <w:r w:rsidR="00A356C5">
              <w:rPr>
                <w:noProof/>
                <w:webHidden/>
              </w:rPr>
              <w:instrText xml:space="preserve"> PAGEREF _Toc509822384 \h </w:instrText>
            </w:r>
            <w:r w:rsidR="00A356C5">
              <w:rPr>
                <w:noProof/>
                <w:webHidden/>
              </w:rPr>
            </w:r>
            <w:r w:rsidR="00A356C5">
              <w:rPr>
                <w:noProof/>
                <w:webHidden/>
              </w:rPr>
              <w:fldChar w:fldCharType="separate"/>
            </w:r>
            <w:r w:rsidR="00682FD2">
              <w:rPr>
                <w:noProof/>
                <w:webHidden/>
              </w:rPr>
              <w:t>12</w:t>
            </w:r>
            <w:r w:rsidR="00A356C5">
              <w:rPr>
                <w:noProof/>
                <w:webHidden/>
              </w:rPr>
              <w:fldChar w:fldCharType="end"/>
            </w:r>
          </w:hyperlink>
        </w:p>
        <w:p w14:paraId="21DADB53"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5" w:history="1">
            <w:r w:rsidR="00A356C5" w:rsidRPr="00D13B03">
              <w:rPr>
                <w:rStyle w:val="Hyperlink"/>
                <w:noProof/>
              </w:rPr>
              <w:t>2.2.</w:t>
            </w:r>
            <w:r w:rsidR="00A356C5">
              <w:rPr>
                <w:rFonts w:asciiTheme="minorHAnsi" w:eastAsiaTheme="minorEastAsia" w:hAnsiTheme="minorHAnsi" w:cstheme="minorBidi"/>
                <w:noProof/>
                <w:lang w:eastAsia="en-AU"/>
              </w:rPr>
              <w:tab/>
            </w:r>
            <w:r w:rsidR="00A356C5" w:rsidRPr="00D13B03">
              <w:rPr>
                <w:rStyle w:val="Hyperlink"/>
                <w:noProof/>
              </w:rPr>
              <w:t>Current treatment options</w:t>
            </w:r>
            <w:r w:rsidR="00A356C5">
              <w:rPr>
                <w:noProof/>
                <w:webHidden/>
              </w:rPr>
              <w:tab/>
            </w:r>
            <w:r w:rsidR="00A356C5">
              <w:rPr>
                <w:noProof/>
                <w:webHidden/>
              </w:rPr>
              <w:fldChar w:fldCharType="begin"/>
            </w:r>
            <w:r w:rsidR="00A356C5">
              <w:rPr>
                <w:noProof/>
                <w:webHidden/>
              </w:rPr>
              <w:instrText xml:space="preserve"> PAGEREF _Toc509822385 \h </w:instrText>
            </w:r>
            <w:r w:rsidR="00A356C5">
              <w:rPr>
                <w:noProof/>
                <w:webHidden/>
              </w:rPr>
            </w:r>
            <w:r w:rsidR="00A356C5">
              <w:rPr>
                <w:noProof/>
                <w:webHidden/>
              </w:rPr>
              <w:fldChar w:fldCharType="separate"/>
            </w:r>
            <w:r w:rsidR="00682FD2">
              <w:rPr>
                <w:noProof/>
                <w:webHidden/>
              </w:rPr>
              <w:t>12</w:t>
            </w:r>
            <w:r w:rsidR="00A356C5">
              <w:rPr>
                <w:noProof/>
                <w:webHidden/>
              </w:rPr>
              <w:fldChar w:fldCharType="end"/>
            </w:r>
          </w:hyperlink>
        </w:p>
        <w:p w14:paraId="641CC535"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6" w:history="1">
            <w:r w:rsidR="00A356C5" w:rsidRPr="00D13B03">
              <w:rPr>
                <w:rStyle w:val="Hyperlink"/>
                <w:noProof/>
              </w:rPr>
              <w:t>2.3.</w:t>
            </w:r>
            <w:r w:rsidR="00A356C5">
              <w:rPr>
                <w:rFonts w:asciiTheme="minorHAnsi" w:eastAsiaTheme="minorEastAsia" w:hAnsiTheme="minorHAnsi" w:cstheme="minorBidi"/>
                <w:noProof/>
                <w:lang w:eastAsia="en-AU"/>
              </w:rPr>
              <w:tab/>
            </w:r>
            <w:r w:rsidR="00A356C5" w:rsidRPr="00D13B03">
              <w:rPr>
                <w:rStyle w:val="Hyperlink"/>
                <w:noProof/>
              </w:rPr>
              <w:t>Clinical rationale</w:t>
            </w:r>
            <w:r w:rsidR="00A356C5">
              <w:rPr>
                <w:noProof/>
                <w:webHidden/>
              </w:rPr>
              <w:tab/>
            </w:r>
            <w:r w:rsidR="00A356C5">
              <w:rPr>
                <w:noProof/>
                <w:webHidden/>
              </w:rPr>
              <w:fldChar w:fldCharType="begin"/>
            </w:r>
            <w:r w:rsidR="00A356C5">
              <w:rPr>
                <w:noProof/>
                <w:webHidden/>
              </w:rPr>
              <w:instrText xml:space="preserve"> PAGEREF _Toc509822386 \h </w:instrText>
            </w:r>
            <w:r w:rsidR="00A356C5">
              <w:rPr>
                <w:noProof/>
                <w:webHidden/>
              </w:rPr>
            </w:r>
            <w:r w:rsidR="00A356C5">
              <w:rPr>
                <w:noProof/>
                <w:webHidden/>
              </w:rPr>
              <w:fldChar w:fldCharType="separate"/>
            </w:r>
            <w:r w:rsidR="00682FD2">
              <w:rPr>
                <w:noProof/>
                <w:webHidden/>
              </w:rPr>
              <w:t>14</w:t>
            </w:r>
            <w:r w:rsidR="00A356C5">
              <w:rPr>
                <w:noProof/>
                <w:webHidden/>
              </w:rPr>
              <w:fldChar w:fldCharType="end"/>
            </w:r>
          </w:hyperlink>
        </w:p>
        <w:p w14:paraId="3EC67C16"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7" w:history="1">
            <w:r w:rsidR="00A356C5" w:rsidRPr="00D13B03">
              <w:rPr>
                <w:rStyle w:val="Hyperlink"/>
                <w:noProof/>
              </w:rPr>
              <w:t>2.4.</w:t>
            </w:r>
            <w:r w:rsidR="00A356C5">
              <w:rPr>
                <w:rFonts w:asciiTheme="minorHAnsi" w:eastAsiaTheme="minorEastAsia" w:hAnsiTheme="minorHAnsi" w:cstheme="minorBidi"/>
                <w:noProof/>
                <w:lang w:eastAsia="en-AU"/>
              </w:rPr>
              <w:tab/>
            </w:r>
            <w:r w:rsidR="00A356C5" w:rsidRPr="00D13B03">
              <w:rPr>
                <w:rStyle w:val="Hyperlink"/>
                <w:noProof/>
              </w:rPr>
              <w:t>Formulation</w:t>
            </w:r>
            <w:r w:rsidR="00A356C5">
              <w:rPr>
                <w:noProof/>
                <w:webHidden/>
              </w:rPr>
              <w:tab/>
            </w:r>
            <w:r w:rsidR="00A356C5">
              <w:rPr>
                <w:noProof/>
                <w:webHidden/>
              </w:rPr>
              <w:fldChar w:fldCharType="begin"/>
            </w:r>
            <w:r w:rsidR="00A356C5">
              <w:rPr>
                <w:noProof/>
                <w:webHidden/>
              </w:rPr>
              <w:instrText xml:space="preserve"> PAGEREF _Toc509822387 \h </w:instrText>
            </w:r>
            <w:r w:rsidR="00A356C5">
              <w:rPr>
                <w:noProof/>
                <w:webHidden/>
              </w:rPr>
            </w:r>
            <w:r w:rsidR="00A356C5">
              <w:rPr>
                <w:noProof/>
                <w:webHidden/>
              </w:rPr>
              <w:fldChar w:fldCharType="separate"/>
            </w:r>
            <w:r w:rsidR="00682FD2">
              <w:rPr>
                <w:noProof/>
                <w:webHidden/>
              </w:rPr>
              <w:t>14</w:t>
            </w:r>
            <w:r w:rsidR="00A356C5">
              <w:rPr>
                <w:noProof/>
                <w:webHidden/>
              </w:rPr>
              <w:fldChar w:fldCharType="end"/>
            </w:r>
          </w:hyperlink>
        </w:p>
        <w:p w14:paraId="5F933F2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8" w:history="1">
            <w:r w:rsidR="00A356C5" w:rsidRPr="00D13B03">
              <w:rPr>
                <w:rStyle w:val="Hyperlink"/>
                <w:noProof/>
              </w:rPr>
              <w:t>2.5.</w:t>
            </w:r>
            <w:r w:rsidR="00A356C5">
              <w:rPr>
                <w:rFonts w:asciiTheme="minorHAnsi" w:eastAsiaTheme="minorEastAsia" w:hAnsiTheme="minorHAnsi" w:cstheme="minorBidi"/>
                <w:noProof/>
                <w:lang w:eastAsia="en-AU"/>
              </w:rPr>
              <w:tab/>
            </w:r>
            <w:r w:rsidR="00A356C5" w:rsidRPr="00D13B03">
              <w:rPr>
                <w:rStyle w:val="Hyperlink"/>
                <w:noProof/>
              </w:rPr>
              <w:t>Guidance</w:t>
            </w:r>
            <w:r w:rsidR="00A356C5">
              <w:rPr>
                <w:noProof/>
                <w:webHidden/>
              </w:rPr>
              <w:tab/>
            </w:r>
            <w:r w:rsidR="00A356C5">
              <w:rPr>
                <w:noProof/>
                <w:webHidden/>
              </w:rPr>
              <w:fldChar w:fldCharType="begin"/>
            </w:r>
            <w:r w:rsidR="00A356C5">
              <w:rPr>
                <w:noProof/>
                <w:webHidden/>
              </w:rPr>
              <w:instrText xml:space="preserve"> PAGEREF _Toc509822388 \h </w:instrText>
            </w:r>
            <w:r w:rsidR="00A356C5">
              <w:rPr>
                <w:noProof/>
                <w:webHidden/>
              </w:rPr>
            </w:r>
            <w:r w:rsidR="00A356C5">
              <w:rPr>
                <w:noProof/>
                <w:webHidden/>
              </w:rPr>
              <w:fldChar w:fldCharType="separate"/>
            </w:r>
            <w:r w:rsidR="00682FD2">
              <w:rPr>
                <w:noProof/>
                <w:webHidden/>
              </w:rPr>
              <w:t>14</w:t>
            </w:r>
            <w:r w:rsidR="00A356C5">
              <w:rPr>
                <w:noProof/>
                <w:webHidden/>
              </w:rPr>
              <w:fldChar w:fldCharType="end"/>
            </w:r>
          </w:hyperlink>
        </w:p>
        <w:p w14:paraId="2EEB3308"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89" w:history="1">
            <w:r w:rsidR="00A356C5" w:rsidRPr="00D13B03">
              <w:rPr>
                <w:rStyle w:val="Hyperlink"/>
                <w:noProof/>
              </w:rPr>
              <w:t>2.6.</w:t>
            </w:r>
            <w:r w:rsidR="00A356C5">
              <w:rPr>
                <w:rFonts w:asciiTheme="minorHAnsi" w:eastAsiaTheme="minorEastAsia" w:hAnsiTheme="minorHAnsi" w:cstheme="minorBidi"/>
                <w:noProof/>
                <w:lang w:eastAsia="en-AU"/>
              </w:rPr>
              <w:tab/>
            </w:r>
            <w:r w:rsidR="00A356C5" w:rsidRPr="00D13B03">
              <w:rPr>
                <w:rStyle w:val="Hyperlink"/>
                <w:noProof/>
              </w:rPr>
              <w:t>Evaluator’s commentary on the background information</w:t>
            </w:r>
            <w:r w:rsidR="00A356C5">
              <w:rPr>
                <w:noProof/>
                <w:webHidden/>
              </w:rPr>
              <w:tab/>
            </w:r>
            <w:r w:rsidR="00A356C5">
              <w:rPr>
                <w:noProof/>
                <w:webHidden/>
              </w:rPr>
              <w:fldChar w:fldCharType="begin"/>
            </w:r>
            <w:r w:rsidR="00A356C5">
              <w:rPr>
                <w:noProof/>
                <w:webHidden/>
              </w:rPr>
              <w:instrText xml:space="preserve"> PAGEREF _Toc509822389 \h </w:instrText>
            </w:r>
            <w:r w:rsidR="00A356C5">
              <w:rPr>
                <w:noProof/>
                <w:webHidden/>
              </w:rPr>
            </w:r>
            <w:r w:rsidR="00A356C5">
              <w:rPr>
                <w:noProof/>
                <w:webHidden/>
              </w:rPr>
              <w:fldChar w:fldCharType="separate"/>
            </w:r>
            <w:r w:rsidR="00682FD2">
              <w:rPr>
                <w:noProof/>
                <w:webHidden/>
              </w:rPr>
              <w:t>15</w:t>
            </w:r>
            <w:r w:rsidR="00A356C5">
              <w:rPr>
                <w:noProof/>
                <w:webHidden/>
              </w:rPr>
              <w:fldChar w:fldCharType="end"/>
            </w:r>
          </w:hyperlink>
        </w:p>
        <w:p w14:paraId="10118EA7"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390" w:history="1">
            <w:r w:rsidR="00A356C5" w:rsidRPr="00D13B03">
              <w:rPr>
                <w:rStyle w:val="Hyperlink"/>
                <w:noProof/>
              </w:rPr>
              <w:t>3.</w:t>
            </w:r>
            <w:r w:rsidR="00A356C5">
              <w:rPr>
                <w:rFonts w:asciiTheme="minorHAnsi" w:eastAsiaTheme="minorEastAsia" w:hAnsiTheme="minorHAnsi" w:cstheme="minorBidi"/>
                <w:b w:val="0"/>
                <w:noProof/>
                <w:sz w:val="22"/>
                <w:lang w:eastAsia="en-AU"/>
              </w:rPr>
              <w:tab/>
            </w:r>
            <w:r w:rsidR="00A356C5" w:rsidRPr="00D13B03">
              <w:rPr>
                <w:rStyle w:val="Hyperlink"/>
                <w:noProof/>
              </w:rPr>
              <w:t>Contents of the clinical dossier</w:t>
            </w:r>
            <w:r w:rsidR="00A356C5">
              <w:rPr>
                <w:noProof/>
                <w:webHidden/>
              </w:rPr>
              <w:tab/>
            </w:r>
            <w:r w:rsidR="00A356C5">
              <w:rPr>
                <w:noProof/>
                <w:webHidden/>
              </w:rPr>
              <w:fldChar w:fldCharType="begin"/>
            </w:r>
            <w:r w:rsidR="00A356C5">
              <w:rPr>
                <w:noProof/>
                <w:webHidden/>
              </w:rPr>
              <w:instrText xml:space="preserve"> PAGEREF _Toc509822390 \h </w:instrText>
            </w:r>
            <w:r w:rsidR="00A356C5">
              <w:rPr>
                <w:noProof/>
                <w:webHidden/>
              </w:rPr>
            </w:r>
            <w:r w:rsidR="00A356C5">
              <w:rPr>
                <w:noProof/>
                <w:webHidden/>
              </w:rPr>
              <w:fldChar w:fldCharType="separate"/>
            </w:r>
            <w:r w:rsidR="00682FD2">
              <w:rPr>
                <w:noProof/>
                <w:webHidden/>
              </w:rPr>
              <w:t>16</w:t>
            </w:r>
            <w:r w:rsidR="00A356C5">
              <w:rPr>
                <w:noProof/>
                <w:webHidden/>
              </w:rPr>
              <w:fldChar w:fldCharType="end"/>
            </w:r>
          </w:hyperlink>
        </w:p>
        <w:p w14:paraId="0C9A60D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1" w:history="1">
            <w:r w:rsidR="00A356C5" w:rsidRPr="00D13B03">
              <w:rPr>
                <w:rStyle w:val="Hyperlink"/>
                <w:noProof/>
              </w:rPr>
              <w:t>3.1.</w:t>
            </w:r>
            <w:r w:rsidR="00A356C5">
              <w:rPr>
                <w:rFonts w:asciiTheme="minorHAnsi" w:eastAsiaTheme="minorEastAsia" w:hAnsiTheme="minorHAnsi" w:cstheme="minorBidi"/>
                <w:noProof/>
                <w:lang w:eastAsia="en-AU"/>
              </w:rPr>
              <w:tab/>
            </w:r>
            <w:r w:rsidR="00A356C5" w:rsidRPr="00D13B03">
              <w:rPr>
                <w:rStyle w:val="Hyperlink"/>
                <w:noProof/>
              </w:rPr>
              <w:t>Scope of the clinical dossier</w:t>
            </w:r>
            <w:r w:rsidR="00A356C5">
              <w:rPr>
                <w:noProof/>
                <w:webHidden/>
              </w:rPr>
              <w:tab/>
            </w:r>
            <w:r w:rsidR="00A356C5">
              <w:rPr>
                <w:noProof/>
                <w:webHidden/>
              </w:rPr>
              <w:fldChar w:fldCharType="begin"/>
            </w:r>
            <w:r w:rsidR="00A356C5">
              <w:rPr>
                <w:noProof/>
                <w:webHidden/>
              </w:rPr>
              <w:instrText xml:space="preserve"> PAGEREF _Toc509822391 \h </w:instrText>
            </w:r>
            <w:r w:rsidR="00A356C5">
              <w:rPr>
                <w:noProof/>
                <w:webHidden/>
              </w:rPr>
            </w:r>
            <w:r w:rsidR="00A356C5">
              <w:rPr>
                <w:noProof/>
                <w:webHidden/>
              </w:rPr>
              <w:fldChar w:fldCharType="separate"/>
            </w:r>
            <w:r w:rsidR="00682FD2">
              <w:rPr>
                <w:noProof/>
                <w:webHidden/>
              </w:rPr>
              <w:t>16</w:t>
            </w:r>
            <w:r w:rsidR="00A356C5">
              <w:rPr>
                <w:noProof/>
                <w:webHidden/>
              </w:rPr>
              <w:fldChar w:fldCharType="end"/>
            </w:r>
          </w:hyperlink>
        </w:p>
        <w:p w14:paraId="19827047"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2" w:history="1">
            <w:r w:rsidR="00A356C5" w:rsidRPr="00D13B03">
              <w:rPr>
                <w:rStyle w:val="Hyperlink"/>
                <w:noProof/>
              </w:rPr>
              <w:t>3.2.</w:t>
            </w:r>
            <w:r w:rsidR="00A356C5">
              <w:rPr>
                <w:rFonts w:asciiTheme="minorHAnsi" w:eastAsiaTheme="minorEastAsia" w:hAnsiTheme="minorHAnsi" w:cstheme="minorBidi"/>
                <w:noProof/>
                <w:lang w:eastAsia="en-AU"/>
              </w:rPr>
              <w:tab/>
            </w:r>
            <w:r w:rsidR="00A356C5" w:rsidRPr="00D13B03">
              <w:rPr>
                <w:rStyle w:val="Hyperlink"/>
                <w:noProof/>
              </w:rPr>
              <w:t>Paediatric data</w:t>
            </w:r>
            <w:r w:rsidR="00A356C5">
              <w:rPr>
                <w:noProof/>
                <w:webHidden/>
              </w:rPr>
              <w:tab/>
            </w:r>
            <w:r w:rsidR="00A356C5">
              <w:rPr>
                <w:noProof/>
                <w:webHidden/>
              </w:rPr>
              <w:fldChar w:fldCharType="begin"/>
            </w:r>
            <w:r w:rsidR="00A356C5">
              <w:rPr>
                <w:noProof/>
                <w:webHidden/>
              </w:rPr>
              <w:instrText xml:space="preserve"> PAGEREF _Toc509822392 \h </w:instrText>
            </w:r>
            <w:r w:rsidR="00A356C5">
              <w:rPr>
                <w:noProof/>
                <w:webHidden/>
              </w:rPr>
            </w:r>
            <w:r w:rsidR="00A356C5">
              <w:rPr>
                <w:noProof/>
                <w:webHidden/>
              </w:rPr>
              <w:fldChar w:fldCharType="separate"/>
            </w:r>
            <w:r w:rsidR="00682FD2">
              <w:rPr>
                <w:noProof/>
                <w:webHidden/>
              </w:rPr>
              <w:t>16</w:t>
            </w:r>
            <w:r w:rsidR="00A356C5">
              <w:rPr>
                <w:noProof/>
                <w:webHidden/>
              </w:rPr>
              <w:fldChar w:fldCharType="end"/>
            </w:r>
          </w:hyperlink>
        </w:p>
        <w:p w14:paraId="3C1A088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3" w:history="1">
            <w:r w:rsidR="00A356C5" w:rsidRPr="00D13B03">
              <w:rPr>
                <w:rStyle w:val="Hyperlink"/>
                <w:noProof/>
              </w:rPr>
              <w:t>3.3.</w:t>
            </w:r>
            <w:r w:rsidR="00A356C5">
              <w:rPr>
                <w:rFonts w:asciiTheme="minorHAnsi" w:eastAsiaTheme="minorEastAsia" w:hAnsiTheme="minorHAnsi" w:cstheme="minorBidi"/>
                <w:noProof/>
                <w:lang w:eastAsia="en-AU"/>
              </w:rPr>
              <w:tab/>
            </w:r>
            <w:r w:rsidR="00A356C5" w:rsidRPr="00D13B03">
              <w:rPr>
                <w:rStyle w:val="Hyperlink"/>
                <w:noProof/>
              </w:rPr>
              <w:t>Good clinical practice</w:t>
            </w:r>
            <w:r w:rsidR="00A356C5">
              <w:rPr>
                <w:noProof/>
                <w:webHidden/>
              </w:rPr>
              <w:tab/>
            </w:r>
            <w:r w:rsidR="00A356C5">
              <w:rPr>
                <w:noProof/>
                <w:webHidden/>
              </w:rPr>
              <w:fldChar w:fldCharType="begin"/>
            </w:r>
            <w:r w:rsidR="00A356C5">
              <w:rPr>
                <w:noProof/>
                <w:webHidden/>
              </w:rPr>
              <w:instrText xml:space="preserve"> PAGEREF _Toc509822393 \h </w:instrText>
            </w:r>
            <w:r w:rsidR="00A356C5">
              <w:rPr>
                <w:noProof/>
                <w:webHidden/>
              </w:rPr>
            </w:r>
            <w:r w:rsidR="00A356C5">
              <w:rPr>
                <w:noProof/>
                <w:webHidden/>
              </w:rPr>
              <w:fldChar w:fldCharType="separate"/>
            </w:r>
            <w:r w:rsidR="00682FD2">
              <w:rPr>
                <w:noProof/>
                <w:webHidden/>
              </w:rPr>
              <w:t>16</w:t>
            </w:r>
            <w:r w:rsidR="00A356C5">
              <w:rPr>
                <w:noProof/>
                <w:webHidden/>
              </w:rPr>
              <w:fldChar w:fldCharType="end"/>
            </w:r>
          </w:hyperlink>
        </w:p>
        <w:p w14:paraId="4DC6918A"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4" w:history="1">
            <w:r w:rsidR="00A356C5" w:rsidRPr="00D13B03">
              <w:rPr>
                <w:rStyle w:val="Hyperlink"/>
                <w:noProof/>
              </w:rPr>
              <w:t>3.4.</w:t>
            </w:r>
            <w:r w:rsidR="00A356C5">
              <w:rPr>
                <w:rFonts w:asciiTheme="minorHAnsi" w:eastAsiaTheme="minorEastAsia" w:hAnsiTheme="minorHAnsi" w:cstheme="minorBidi"/>
                <w:noProof/>
                <w:lang w:eastAsia="en-AU"/>
              </w:rPr>
              <w:tab/>
            </w:r>
            <w:r w:rsidR="00A356C5" w:rsidRPr="00D13B03">
              <w:rPr>
                <w:rStyle w:val="Hyperlink"/>
                <w:noProof/>
              </w:rPr>
              <w:t>Evaluator’s commentary on the clinical dossier</w:t>
            </w:r>
            <w:r w:rsidR="00A356C5">
              <w:rPr>
                <w:noProof/>
                <w:webHidden/>
              </w:rPr>
              <w:tab/>
            </w:r>
            <w:r w:rsidR="00A356C5">
              <w:rPr>
                <w:noProof/>
                <w:webHidden/>
              </w:rPr>
              <w:fldChar w:fldCharType="begin"/>
            </w:r>
            <w:r w:rsidR="00A356C5">
              <w:rPr>
                <w:noProof/>
                <w:webHidden/>
              </w:rPr>
              <w:instrText xml:space="preserve"> PAGEREF _Toc509822394 \h </w:instrText>
            </w:r>
            <w:r w:rsidR="00A356C5">
              <w:rPr>
                <w:noProof/>
                <w:webHidden/>
              </w:rPr>
            </w:r>
            <w:r w:rsidR="00A356C5">
              <w:rPr>
                <w:noProof/>
                <w:webHidden/>
              </w:rPr>
              <w:fldChar w:fldCharType="separate"/>
            </w:r>
            <w:r w:rsidR="00682FD2">
              <w:rPr>
                <w:noProof/>
                <w:webHidden/>
              </w:rPr>
              <w:t>17</w:t>
            </w:r>
            <w:r w:rsidR="00A356C5">
              <w:rPr>
                <w:noProof/>
                <w:webHidden/>
              </w:rPr>
              <w:fldChar w:fldCharType="end"/>
            </w:r>
          </w:hyperlink>
        </w:p>
        <w:p w14:paraId="55CA3B31"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395" w:history="1">
            <w:r w:rsidR="00A356C5" w:rsidRPr="00D13B03">
              <w:rPr>
                <w:rStyle w:val="Hyperlink"/>
                <w:noProof/>
              </w:rPr>
              <w:t>4.</w:t>
            </w:r>
            <w:r w:rsidR="00A356C5">
              <w:rPr>
                <w:rFonts w:asciiTheme="minorHAnsi" w:eastAsiaTheme="minorEastAsia" w:hAnsiTheme="minorHAnsi" w:cstheme="minorBidi"/>
                <w:b w:val="0"/>
                <w:noProof/>
                <w:sz w:val="22"/>
                <w:lang w:eastAsia="en-AU"/>
              </w:rPr>
              <w:tab/>
            </w:r>
            <w:r w:rsidR="00A356C5" w:rsidRPr="00D13B03">
              <w:rPr>
                <w:rStyle w:val="Hyperlink"/>
                <w:noProof/>
              </w:rPr>
              <w:t>Pharmacokinetics</w:t>
            </w:r>
            <w:r w:rsidR="00A356C5">
              <w:rPr>
                <w:noProof/>
                <w:webHidden/>
              </w:rPr>
              <w:tab/>
            </w:r>
            <w:r w:rsidR="00A356C5">
              <w:rPr>
                <w:noProof/>
                <w:webHidden/>
              </w:rPr>
              <w:fldChar w:fldCharType="begin"/>
            </w:r>
            <w:r w:rsidR="00A356C5">
              <w:rPr>
                <w:noProof/>
                <w:webHidden/>
              </w:rPr>
              <w:instrText xml:space="preserve"> PAGEREF _Toc509822395 \h </w:instrText>
            </w:r>
            <w:r w:rsidR="00A356C5">
              <w:rPr>
                <w:noProof/>
                <w:webHidden/>
              </w:rPr>
            </w:r>
            <w:r w:rsidR="00A356C5">
              <w:rPr>
                <w:noProof/>
                <w:webHidden/>
              </w:rPr>
              <w:fldChar w:fldCharType="separate"/>
            </w:r>
            <w:r w:rsidR="00682FD2">
              <w:rPr>
                <w:noProof/>
                <w:webHidden/>
              </w:rPr>
              <w:t>17</w:t>
            </w:r>
            <w:r w:rsidR="00A356C5">
              <w:rPr>
                <w:noProof/>
                <w:webHidden/>
              </w:rPr>
              <w:fldChar w:fldCharType="end"/>
            </w:r>
          </w:hyperlink>
        </w:p>
        <w:p w14:paraId="4A4D9B65"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6" w:history="1">
            <w:r w:rsidR="00A356C5" w:rsidRPr="00D13B03">
              <w:rPr>
                <w:rStyle w:val="Hyperlink"/>
                <w:noProof/>
              </w:rPr>
              <w:t>4.1.</w:t>
            </w:r>
            <w:r w:rsidR="00A356C5">
              <w:rPr>
                <w:rFonts w:asciiTheme="minorHAnsi" w:eastAsiaTheme="minorEastAsia" w:hAnsiTheme="minorHAnsi" w:cstheme="minorBidi"/>
                <w:noProof/>
                <w:lang w:eastAsia="en-AU"/>
              </w:rPr>
              <w:tab/>
            </w:r>
            <w:r w:rsidR="00A356C5" w:rsidRPr="00D13B03">
              <w:rPr>
                <w:rStyle w:val="Hyperlink"/>
                <w:noProof/>
              </w:rPr>
              <w:t>Studies providing pharmacokinetic information</w:t>
            </w:r>
            <w:r w:rsidR="00A356C5">
              <w:rPr>
                <w:noProof/>
                <w:webHidden/>
              </w:rPr>
              <w:tab/>
            </w:r>
            <w:r w:rsidR="00A356C5">
              <w:rPr>
                <w:noProof/>
                <w:webHidden/>
              </w:rPr>
              <w:fldChar w:fldCharType="begin"/>
            </w:r>
            <w:r w:rsidR="00A356C5">
              <w:rPr>
                <w:noProof/>
                <w:webHidden/>
              </w:rPr>
              <w:instrText xml:space="preserve"> PAGEREF _Toc509822396 \h </w:instrText>
            </w:r>
            <w:r w:rsidR="00A356C5">
              <w:rPr>
                <w:noProof/>
                <w:webHidden/>
              </w:rPr>
            </w:r>
            <w:r w:rsidR="00A356C5">
              <w:rPr>
                <w:noProof/>
                <w:webHidden/>
              </w:rPr>
              <w:fldChar w:fldCharType="separate"/>
            </w:r>
            <w:r w:rsidR="00682FD2">
              <w:rPr>
                <w:noProof/>
                <w:webHidden/>
              </w:rPr>
              <w:t>17</w:t>
            </w:r>
            <w:r w:rsidR="00A356C5">
              <w:rPr>
                <w:noProof/>
                <w:webHidden/>
              </w:rPr>
              <w:fldChar w:fldCharType="end"/>
            </w:r>
          </w:hyperlink>
        </w:p>
        <w:p w14:paraId="1E4F4E4E"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7" w:history="1">
            <w:r w:rsidR="00A356C5" w:rsidRPr="00D13B03">
              <w:rPr>
                <w:rStyle w:val="Hyperlink"/>
                <w:noProof/>
              </w:rPr>
              <w:t>4.2.</w:t>
            </w:r>
            <w:r w:rsidR="00A356C5">
              <w:rPr>
                <w:rFonts w:asciiTheme="minorHAnsi" w:eastAsiaTheme="minorEastAsia" w:hAnsiTheme="minorHAnsi" w:cstheme="minorBidi"/>
                <w:noProof/>
                <w:lang w:eastAsia="en-AU"/>
              </w:rPr>
              <w:tab/>
            </w:r>
            <w:r w:rsidR="00A356C5" w:rsidRPr="00D13B03">
              <w:rPr>
                <w:rStyle w:val="Hyperlink"/>
                <w:noProof/>
              </w:rPr>
              <w:t>Summary of pharmacokinetics</w:t>
            </w:r>
            <w:r w:rsidR="00A356C5">
              <w:rPr>
                <w:noProof/>
                <w:webHidden/>
              </w:rPr>
              <w:tab/>
            </w:r>
            <w:r w:rsidR="00A356C5">
              <w:rPr>
                <w:noProof/>
                <w:webHidden/>
              </w:rPr>
              <w:fldChar w:fldCharType="begin"/>
            </w:r>
            <w:r w:rsidR="00A356C5">
              <w:rPr>
                <w:noProof/>
                <w:webHidden/>
              </w:rPr>
              <w:instrText xml:space="preserve"> PAGEREF _Toc509822397 \h </w:instrText>
            </w:r>
            <w:r w:rsidR="00A356C5">
              <w:rPr>
                <w:noProof/>
                <w:webHidden/>
              </w:rPr>
            </w:r>
            <w:r w:rsidR="00A356C5">
              <w:rPr>
                <w:noProof/>
                <w:webHidden/>
              </w:rPr>
              <w:fldChar w:fldCharType="separate"/>
            </w:r>
            <w:r w:rsidR="00682FD2">
              <w:rPr>
                <w:noProof/>
                <w:webHidden/>
              </w:rPr>
              <w:t>26</w:t>
            </w:r>
            <w:r w:rsidR="00A356C5">
              <w:rPr>
                <w:noProof/>
                <w:webHidden/>
              </w:rPr>
              <w:fldChar w:fldCharType="end"/>
            </w:r>
          </w:hyperlink>
        </w:p>
        <w:p w14:paraId="637BCD4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398" w:history="1">
            <w:r w:rsidR="00A356C5" w:rsidRPr="00D13B03">
              <w:rPr>
                <w:rStyle w:val="Hyperlink"/>
                <w:noProof/>
              </w:rPr>
              <w:t>4.3.</w:t>
            </w:r>
            <w:r w:rsidR="00A356C5">
              <w:rPr>
                <w:rFonts w:asciiTheme="minorHAnsi" w:eastAsiaTheme="minorEastAsia" w:hAnsiTheme="minorHAnsi" w:cstheme="minorBidi"/>
                <w:noProof/>
                <w:lang w:eastAsia="en-AU"/>
              </w:rPr>
              <w:tab/>
            </w:r>
            <w:r w:rsidR="00A356C5" w:rsidRPr="00D13B03">
              <w:rPr>
                <w:rStyle w:val="Hyperlink"/>
                <w:noProof/>
              </w:rPr>
              <w:t>Evaluator’s overall conclusions on pharmacokinetics</w:t>
            </w:r>
            <w:r w:rsidR="00A356C5">
              <w:rPr>
                <w:noProof/>
                <w:webHidden/>
              </w:rPr>
              <w:tab/>
            </w:r>
            <w:r w:rsidR="00A356C5">
              <w:rPr>
                <w:noProof/>
                <w:webHidden/>
              </w:rPr>
              <w:fldChar w:fldCharType="begin"/>
            </w:r>
            <w:r w:rsidR="00A356C5">
              <w:rPr>
                <w:noProof/>
                <w:webHidden/>
              </w:rPr>
              <w:instrText xml:space="preserve"> PAGEREF _Toc509822398 \h </w:instrText>
            </w:r>
            <w:r w:rsidR="00A356C5">
              <w:rPr>
                <w:noProof/>
                <w:webHidden/>
              </w:rPr>
            </w:r>
            <w:r w:rsidR="00A356C5">
              <w:rPr>
                <w:noProof/>
                <w:webHidden/>
              </w:rPr>
              <w:fldChar w:fldCharType="separate"/>
            </w:r>
            <w:r w:rsidR="00682FD2">
              <w:rPr>
                <w:noProof/>
                <w:webHidden/>
              </w:rPr>
              <w:t>28</w:t>
            </w:r>
            <w:r w:rsidR="00A356C5">
              <w:rPr>
                <w:noProof/>
                <w:webHidden/>
              </w:rPr>
              <w:fldChar w:fldCharType="end"/>
            </w:r>
          </w:hyperlink>
        </w:p>
        <w:p w14:paraId="1F7F909D"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399" w:history="1">
            <w:r w:rsidR="00A356C5" w:rsidRPr="00D13B03">
              <w:rPr>
                <w:rStyle w:val="Hyperlink"/>
                <w:noProof/>
              </w:rPr>
              <w:t>5.</w:t>
            </w:r>
            <w:r w:rsidR="00A356C5">
              <w:rPr>
                <w:rFonts w:asciiTheme="minorHAnsi" w:eastAsiaTheme="minorEastAsia" w:hAnsiTheme="minorHAnsi" w:cstheme="minorBidi"/>
                <w:b w:val="0"/>
                <w:noProof/>
                <w:sz w:val="22"/>
                <w:lang w:eastAsia="en-AU"/>
              </w:rPr>
              <w:tab/>
            </w:r>
            <w:r w:rsidR="00A356C5" w:rsidRPr="00D13B03">
              <w:rPr>
                <w:rStyle w:val="Hyperlink"/>
                <w:noProof/>
              </w:rPr>
              <w:t>Pharmacodynamics</w:t>
            </w:r>
            <w:r w:rsidR="00A356C5">
              <w:rPr>
                <w:noProof/>
                <w:webHidden/>
              </w:rPr>
              <w:tab/>
            </w:r>
            <w:r w:rsidR="00A356C5">
              <w:rPr>
                <w:noProof/>
                <w:webHidden/>
              </w:rPr>
              <w:fldChar w:fldCharType="begin"/>
            </w:r>
            <w:r w:rsidR="00A356C5">
              <w:rPr>
                <w:noProof/>
                <w:webHidden/>
              </w:rPr>
              <w:instrText xml:space="preserve"> PAGEREF _Toc509822399 \h </w:instrText>
            </w:r>
            <w:r w:rsidR="00A356C5">
              <w:rPr>
                <w:noProof/>
                <w:webHidden/>
              </w:rPr>
            </w:r>
            <w:r w:rsidR="00A356C5">
              <w:rPr>
                <w:noProof/>
                <w:webHidden/>
              </w:rPr>
              <w:fldChar w:fldCharType="separate"/>
            </w:r>
            <w:r w:rsidR="00682FD2">
              <w:rPr>
                <w:noProof/>
                <w:webHidden/>
              </w:rPr>
              <w:t>29</w:t>
            </w:r>
            <w:r w:rsidR="00A356C5">
              <w:rPr>
                <w:noProof/>
                <w:webHidden/>
              </w:rPr>
              <w:fldChar w:fldCharType="end"/>
            </w:r>
          </w:hyperlink>
        </w:p>
        <w:p w14:paraId="7BDB8CC1"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400" w:history="1">
            <w:r w:rsidR="00A356C5" w:rsidRPr="00D13B03">
              <w:rPr>
                <w:rStyle w:val="Hyperlink"/>
                <w:noProof/>
              </w:rPr>
              <w:t>6.</w:t>
            </w:r>
            <w:r w:rsidR="00A356C5">
              <w:rPr>
                <w:rFonts w:asciiTheme="minorHAnsi" w:eastAsiaTheme="minorEastAsia" w:hAnsiTheme="minorHAnsi" w:cstheme="minorBidi"/>
                <w:b w:val="0"/>
                <w:noProof/>
                <w:sz w:val="22"/>
                <w:lang w:eastAsia="en-AU"/>
              </w:rPr>
              <w:tab/>
            </w:r>
            <w:r w:rsidR="00A356C5" w:rsidRPr="00D13B03">
              <w:rPr>
                <w:rStyle w:val="Hyperlink"/>
                <w:noProof/>
              </w:rPr>
              <w:t>Dosage selection for the pivotal studies</w:t>
            </w:r>
            <w:r w:rsidR="00A356C5">
              <w:rPr>
                <w:noProof/>
                <w:webHidden/>
              </w:rPr>
              <w:tab/>
            </w:r>
            <w:r w:rsidR="00A356C5">
              <w:rPr>
                <w:noProof/>
                <w:webHidden/>
              </w:rPr>
              <w:fldChar w:fldCharType="begin"/>
            </w:r>
            <w:r w:rsidR="00A356C5">
              <w:rPr>
                <w:noProof/>
                <w:webHidden/>
              </w:rPr>
              <w:instrText xml:space="preserve"> PAGEREF _Toc509822400 \h </w:instrText>
            </w:r>
            <w:r w:rsidR="00A356C5">
              <w:rPr>
                <w:noProof/>
                <w:webHidden/>
              </w:rPr>
            </w:r>
            <w:r w:rsidR="00A356C5">
              <w:rPr>
                <w:noProof/>
                <w:webHidden/>
              </w:rPr>
              <w:fldChar w:fldCharType="separate"/>
            </w:r>
            <w:r w:rsidR="00682FD2">
              <w:rPr>
                <w:noProof/>
                <w:webHidden/>
              </w:rPr>
              <w:t>29</w:t>
            </w:r>
            <w:r w:rsidR="00A356C5">
              <w:rPr>
                <w:noProof/>
                <w:webHidden/>
              </w:rPr>
              <w:fldChar w:fldCharType="end"/>
            </w:r>
          </w:hyperlink>
        </w:p>
        <w:p w14:paraId="30B3D162"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401" w:history="1">
            <w:r w:rsidR="00A356C5" w:rsidRPr="00D13B03">
              <w:rPr>
                <w:rStyle w:val="Hyperlink"/>
                <w:noProof/>
              </w:rPr>
              <w:t>7.</w:t>
            </w:r>
            <w:r w:rsidR="00A356C5">
              <w:rPr>
                <w:rFonts w:asciiTheme="minorHAnsi" w:eastAsiaTheme="minorEastAsia" w:hAnsiTheme="minorHAnsi" w:cstheme="minorBidi"/>
                <w:b w:val="0"/>
                <w:noProof/>
                <w:sz w:val="22"/>
                <w:lang w:eastAsia="en-AU"/>
              </w:rPr>
              <w:tab/>
            </w:r>
            <w:r w:rsidR="00A356C5" w:rsidRPr="00D13B03">
              <w:rPr>
                <w:rStyle w:val="Hyperlink"/>
                <w:noProof/>
              </w:rPr>
              <w:t>Clinical efficacy</w:t>
            </w:r>
            <w:r w:rsidR="00A356C5">
              <w:rPr>
                <w:noProof/>
                <w:webHidden/>
              </w:rPr>
              <w:tab/>
            </w:r>
            <w:r w:rsidR="00A356C5">
              <w:rPr>
                <w:noProof/>
                <w:webHidden/>
              </w:rPr>
              <w:fldChar w:fldCharType="begin"/>
            </w:r>
            <w:r w:rsidR="00A356C5">
              <w:rPr>
                <w:noProof/>
                <w:webHidden/>
              </w:rPr>
              <w:instrText xml:space="preserve"> PAGEREF _Toc509822401 \h </w:instrText>
            </w:r>
            <w:r w:rsidR="00A356C5">
              <w:rPr>
                <w:noProof/>
                <w:webHidden/>
              </w:rPr>
            </w:r>
            <w:r w:rsidR="00A356C5">
              <w:rPr>
                <w:noProof/>
                <w:webHidden/>
              </w:rPr>
              <w:fldChar w:fldCharType="separate"/>
            </w:r>
            <w:r w:rsidR="00682FD2">
              <w:rPr>
                <w:noProof/>
                <w:webHidden/>
              </w:rPr>
              <w:t>29</w:t>
            </w:r>
            <w:r w:rsidR="00A356C5">
              <w:rPr>
                <w:noProof/>
                <w:webHidden/>
              </w:rPr>
              <w:fldChar w:fldCharType="end"/>
            </w:r>
          </w:hyperlink>
        </w:p>
        <w:p w14:paraId="7D746D72"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2" w:history="1">
            <w:r w:rsidR="00A356C5" w:rsidRPr="00D13B03">
              <w:rPr>
                <w:rStyle w:val="Hyperlink"/>
                <w:noProof/>
              </w:rPr>
              <w:t>7.1.</w:t>
            </w:r>
            <w:r w:rsidR="00A356C5">
              <w:rPr>
                <w:rFonts w:asciiTheme="minorHAnsi" w:eastAsiaTheme="minorEastAsia" w:hAnsiTheme="minorHAnsi" w:cstheme="minorBidi"/>
                <w:noProof/>
                <w:lang w:eastAsia="en-AU"/>
              </w:rPr>
              <w:tab/>
            </w:r>
            <w:r w:rsidR="00A356C5" w:rsidRPr="00D13B03">
              <w:rPr>
                <w:rStyle w:val="Hyperlink"/>
                <w:noProof/>
              </w:rPr>
              <w:t>Studies providing evaluable efficacy data</w:t>
            </w:r>
            <w:r w:rsidR="00A356C5">
              <w:rPr>
                <w:noProof/>
                <w:webHidden/>
              </w:rPr>
              <w:tab/>
            </w:r>
            <w:r w:rsidR="00A356C5">
              <w:rPr>
                <w:noProof/>
                <w:webHidden/>
              </w:rPr>
              <w:fldChar w:fldCharType="begin"/>
            </w:r>
            <w:r w:rsidR="00A356C5">
              <w:rPr>
                <w:noProof/>
                <w:webHidden/>
              </w:rPr>
              <w:instrText xml:space="preserve"> PAGEREF _Toc509822402 \h </w:instrText>
            </w:r>
            <w:r w:rsidR="00A356C5">
              <w:rPr>
                <w:noProof/>
                <w:webHidden/>
              </w:rPr>
            </w:r>
            <w:r w:rsidR="00A356C5">
              <w:rPr>
                <w:noProof/>
                <w:webHidden/>
              </w:rPr>
              <w:fldChar w:fldCharType="separate"/>
            </w:r>
            <w:r w:rsidR="00682FD2">
              <w:rPr>
                <w:noProof/>
                <w:webHidden/>
              </w:rPr>
              <w:t>29</w:t>
            </w:r>
            <w:r w:rsidR="00A356C5">
              <w:rPr>
                <w:noProof/>
                <w:webHidden/>
              </w:rPr>
              <w:fldChar w:fldCharType="end"/>
            </w:r>
          </w:hyperlink>
        </w:p>
        <w:p w14:paraId="7697AE3D"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3" w:history="1">
            <w:r w:rsidR="00A356C5" w:rsidRPr="00D13B03">
              <w:rPr>
                <w:rStyle w:val="Hyperlink"/>
                <w:noProof/>
              </w:rPr>
              <w:t>7.2.</w:t>
            </w:r>
            <w:r w:rsidR="00A356C5">
              <w:rPr>
                <w:rFonts w:asciiTheme="minorHAnsi" w:eastAsiaTheme="minorEastAsia" w:hAnsiTheme="minorHAnsi" w:cstheme="minorBidi"/>
                <w:noProof/>
                <w:lang w:eastAsia="en-AU"/>
              </w:rPr>
              <w:tab/>
            </w:r>
            <w:r w:rsidR="00A356C5" w:rsidRPr="00D13B03">
              <w:rPr>
                <w:rStyle w:val="Hyperlink"/>
                <w:noProof/>
              </w:rPr>
              <w:t>Indication: Rheumatoid Arthritis</w:t>
            </w:r>
            <w:r w:rsidR="00A356C5">
              <w:rPr>
                <w:noProof/>
                <w:webHidden/>
              </w:rPr>
              <w:tab/>
            </w:r>
            <w:r w:rsidR="00A356C5">
              <w:rPr>
                <w:noProof/>
                <w:webHidden/>
              </w:rPr>
              <w:fldChar w:fldCharType="begin"/>
            </w:r>
            <w:r w:rsidR="00A356C5">
              <w:rPr>
                <w:noProof/>
                <w:webHidden/>
              </w:rPr>
              <w:instrText xml:space="preserve"> PAGEREF _Toc509822403 \h </w:instrText>
            </w:r>
            <w:r w:rsidR="00A356C5">
              <w:rPr>
                <w:noProof/>
                <w:webHidden/>
              </w:rPr>
            </w:r>
            <w:r w:rsidR="00A356C5">
              <w:rPr>
                <w:noProof/>
                <w:webHidden/>
              </w:rPr>
              <w:fldChar w:fldCharType="separate"/>
            </w:r>
            <w:r w:rsidR="00682FD2">
              <w:rPr>
                <w:noProof/>
                <w:webHidden/>
              </w:rPr>
              <w:t>29</w:t>
            </w:r>
            <w:r w:rsidR="00A356C5">
              <w:rPr>
                <w:noProof/>
                <w:webHidden/>
              </w:rPr>
              <w:fldChar w:fldCharType="end"/>
            </w:r>
          </w:hyperlink>
        </w:p>
        <w:p w14:paraId="340455DE"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4" w:history="1">
            <w:r w:rsidR="00A356C5" w:rsidRPr="00D13B03">
              <w:rPr>
                <w:rStyle w:val="Hyperlink"/>
                <w:noProof/>
              </w:rPr>
              <w:t>7.3.</w:t>
            </w:r>
            <w:r w:rsidR="00A356C5">
              <w:rPr>
                <w:rFonts w:asciiTheme="minorHAnsi" w:eastAsiaTheme="minorEastAsia" w:hAnsiTheme="minorHAnsi" w:cstheme="minorBidi"/>
                <w:noProof/>
                <w:lang w:eastAsia="en-AU"/>
              </w:rPr>
              <w:tab/>
            </w:r>
            <w:r w:rsidR="00A356C5" w:rsidRPr="00D13B03">
              <w:rPr>
                <w:rStyle w:val="Hyperlink"/>
                <w:noProof/>
              </w:rPr>
              <w:t>Indication: Psoriasis</w:t>
            </w:r>
            <w:r w:rsidR="00A356C5">
              <w:rPr>
                <w:noProof/>
                <w:webHidden/>
              </w:rPr>
              <w:tab/>
            </w:r>
            <w:r w:rsidR="00A356C5">
              <w:rPr>
                <w:noProof/>
                <w:webHidden/>
              </w:rPr>
              <w:fldChar w:fldCharType="begin"/>
            </w:r>
            <w:r w:rsidR="00A356C5">
              <w:rPr>
                <w:noProof/>
                <w:webHidden/>
              </w:rPr>
              <w:instrText xml:space="preserve"> PAGEREF _Toc509822404 \h </w:instrText>
            </w:r>
            <w:r w:rsidR="00A356C5">
              <w:rPr>
                <w:noProof/>
                <w:webHidden/>
              </w:rPr>
            </w:r>
            <w:r w:rsidR="00A356C5">
              <w:rPr>
                <w:noProof/>
                <w:webHidden/>
              </w:rPr>
              <w:fldChar w:fldCharType="separate"/>
            </w:r>
            <w:r w:rsidR="00682FD2">
              <w:rPr>
                <w:noProof/>
                <w:webHidden/>
              </w:rPr>
              <w:t>43</w:t>
            </w:r>
            <w:r w:rsidR="00A356C5">
              <w:rPr>
                <w:noProof/>
                <w:webHidden/>
              </w:rPr>
              <w:fldChar w:fldCharType="end"/>
            </w:r>
          </w:hyperlink>
        </w:p>
        <w:p w14:paraId="255EFB4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5" w:history="1">
            <w:r w:rsidR="00A356C5" w:rsidRPr="00D13B03">
              <w:rPr>
                <w:rStyle w:val="Hyperlink"/>
                <w:noProof/>
              </w:rPr>
              <w:t>7.4.</w:t>
            </w:r>
            <w:r w:rsidR="00A356C5">
              <w:rPr>
                <w:rFonts w:asciiTheme="minorHAnsi" w:eastAsiaTheme="minorEastAsia" w:hAnsiTheme="minorHAnsi" w:cstheme="minorBidi"/>
                <w:noProof/>
                <w:lang w:eastAsia="en-AU"/>
              </w:rPr>
              <w:tab/>
            </w:r>
            <w:r w:rsidR="00A356C5" w:rsidRPr="00D13B03">
              <w:rPr>
                <w:rStyle w:val="Hyperlink"/>
                <w:noProof/>
              </w:rPr>
              <w:t>Justification for extrapolation to other indications approved for the reference product</w:t>
            </w:r>
            <w:r w:rsidR="00A356C5">
              <w:rPr>
                <w:noProof/>
                <w:webHidden/>
              </w:rPr>
              <w:tab/>
            </w:r>
            <w:r w:rsidR="00A356C5">
              <w:rPr>
                <w:noProof/>
                <w:webHidden/>
              </w:rPr>
              <w:fldChar w:fldCharType="begin"/>
            </w:r>
            <w:r w:rsidR="00A356C5">
              <w:rPr>
                <w:noProof/>
                <w:webHidden/>
              </w:rPr>
              <w:instrText xml:space="preserve"> PAGEREF _Toc509822405 \h </w:instrText>
            </w:r>
            <w:r w:rsidR="00A356C5">
              <w:rPr>
                <w:noProof/>
                <w:webHidden/>
              </w:rPr>
            </w:r>
            <w:r w:rsidR="00A356C5">
              <w:rPr>
                <w:noProof/>
                <w:webHidden/>
              </w:rPr>
              <w:fldChar w:fldCharType="separate"/>
            </w:r>
            <w:r w:rsidR="00682FD2">
              <w:rPr>
                <w:noProof/>
                <w:webHidden/>
              </w:rPr>
              <w:t>60</w:t>
            </w:r>
            <w:r w:rsidR="00A356C5">
              <w:rPr>
                <w:noProof/>
                <w:webHidden/>
              </w:rPr>
              <w:fldChar w:fldCharType="end"/>
            </w:r>
          </w:hyperlink>
        </w:p>
        <w:p w14:paraId="47DB3753"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6" w:history="1">
            <w:r w:rsidR="00A356C5" w:rsidRPr="00D13B03">
              <w:rPr>
                <w:rStyle w:val="Hyperlink"/>
                <w:noProof/>
              </w:rPr>
              <w:t>7.5.</w:t>
            </w:r>
            <w:r w:rsidR="00A356C5">
              <w:rPr>
                <w:rFonts w:asciiTheme="minorHAnsi" w:eastAsiaTheme="minorEastAsia" w:hAnsiTheme="minorHAnsi" w:cstheme="minorBidi"/>
                <w:noProof/>
                <w:lang w:eastAsia="en-AU"/>
              </w:rPr>
              <w:tab/>
            </w:r>
            <w:r w:rsidR="00A356C5" w:rsidRPr="00D13B03">
              <w:rPr>
                <w:rStyle w:val="Hyperlink"/>
                <w:noProof/>
              </w:rPr>
              <w:t>Other efficacy studies</w:t>
            </w:r>
            <w:r w:rsidR="00A356C5">
              <w:rPr>
                <w:noProof/>
                <w:webHidden/>
              </w:rPr>
              <w:tab/>
            </w:r>
            <w:r w:rsidR="00A356C5">
              <w:rPr>
                <w:noProof/>
                <w:webHidden/>
              </w:rPr>
              <w:fldChar w:fldCharType="begin"/>
            </w:r>
            <w:r w:rsidR="00A356C5">
              <w:rPr>
                <w:noProof/>
                <w:webHidden/>
              </w:rPr>
              <w:instrText xml:space="preserve"> PAGEREF _Toc509822406 \h </w:instrText>
            </w:r>
            <w:r w:rsidR="00A356C5">
              <w:rPr>
                <w:noProof/>
                <w:webHidden/>
              </w:rPr>
            </w:r>
            <w:r w:rsidR="00A356C5">
              <w:rPr>
                <w:noProof/>
                <w:webHidden/>
              </w:rPr>
              <w:fldChar w:fldCharType="separate"/>
            </w:r>
            <w:r w:rsidR="00682FD2">
              <w:rPr>
                <w:noProof/>
                <w:webHidden/>
              </w:rPr>
              <w:t>63</w:t>
            </w:r>
            <w:r w:rsidR="00A356C5">
              <w:rPr>
                <w:noProof/>
                <w:webHidden/>
              </w:rPr>
              <w:fldChar w:fldCharType="end"/>
            </w:r>
          </w:hyperlink>
        </w:p>
        <w:p w14:paraId="3FE64524"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7" w:history="1">
            <w:r w:rsidR="00A356C5" w:rsidRPr="00D13B03">
              <w:rPr>
                <w:rStyle w:val="Hyperlink"/>
                <w:noProof/>
              </w:rPr>
              <w:t>7.6.</w:t>
            </w:r>
            <w:r w:rsidR="00A356C5">
              <w:rPr>
                <w:rFonts w:asciiTheme="minorHAnsi" w:eastAsiaTheme="minorEastAsia" w:hAnsiTheme="minorHAnsi" w:cstheme="minorBidi"/>
                <w:noProof/>
                <w:lang w:eastAsia="en-AU"/>
              </w:rPr>
              <w:tab/>
            </w:r>
            <w:r w:rsidR="00A356C5" w:rsidRPr="00D13B03">
              <w:rPr>
                <w:rStyle w:val="Hyperlink"/>
                <w:noProof/>
              </w:rPr>
              <w:t>Analyses performed across trials: pooled and meta analyses</w:t>
            </w:r>
            <w:r w:rsidR="00A356C5">
              <w:rPr>
                <w:noProof/>
                <w:webHidden/>
              </w:rPr>
              <w:tab/>
            </w:r>
            <w:r w:rsidR="00A356C5">
              <w:rPr>
                <w:noProof/>
                <w:webHidden/>
              </w:rPr>
              <w:fldChar w:fldCharType="begin"/>
            </w:r>
            <w:r w:rsidR="00A356C5">
              <w:rPr>
                <w:noProof/>
                <w:webHidden/>
              </w:rPr>
              <w:instrText xml:space="preserve"> PAGEREF _Toc509822407 \h </w:instrText>
            </w:r>
            <w:r w:rsidR="00A356C5">
              <w:rPr>
                <w:noProof/>
                <w:webHidden/>
              </w:rPr>
            </w:r>
            <w:r w:rsidR="00A356C5">
              <w:rPr>
                <w:noProof/>
                <w:webHidden/>
              </w:rPr>
              <w:fldChar w:fldCharType="separate"/>
            </w:r>
            <w:r w:rsidR="00682FD2">
              <w:rPr>
                <w:noProof/>
                <w:webHidden/>
              </w:rPr>
              <w:t>63</w:t>
            </w:r>
            <w:r w:rsidR="00A356C5">
              <w:rPr>
                <w:noProof/>
                <w:webHidden/>
              </w:rPr>
              <w:fldChar w:fldCharType="end"/>
            </w:r>
          </w:hyperlink>
        </w:p>
        <w:p w14:paraId="7FF755A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08" w:history="1">
            <w:r w:rsidR="00A356C5" w:rsidRPr="00D13B03">
              <w:rPr>
                <w:rStyle w:val="Hyperlink"/>
                <w:noProof/>
              </w:rPr>
              <w:t>7.7.</w:t>
            </w:r>
            <w:r w:rsidR="00A356C5">
              <w:rPr>
                <w:rFonts w:asciiTheme="minorHAnsi" w:eastAsiaTheme="minorEastAsia" w:hAnsiTheme="minorHAnsi" w:cstheme="minorBidi"/>
                <w:noProof/>
                <w:lang w:eastAsia="en-AU"/>
              </w:rPr>
              <w:tab/>
            </w:r>
            <w:r w:rsidR="00A356C5" w:rsidRPr="00D13B03">
              <w:rPr>
                <w:rStyle w:val="Hyperlink"/>
                <w:noProof/>
              </w:rPr>
              <w:t>Evaluator’s conclusions on clinical efficacy</w:t>
            </w:r>
            <w:r w:rsidR="00A356C5">
              <w:rPr>
                <w:noProof/>
                <w:webHidden/>
              </w:rPr>
              <w:tab/>
            </w:r>
            <w:r w:rsidR="00A356C5">
              <w:rPr>
                <w:noProof/>
                <w:webHidden/>
              </w:rPr>
              <w:fldChar w:fldCharType="begin"/>
            </w:r>
            <w:r w:rsidR="00A356C5">
              <w:rPr>
                <w:noProof/>
                <w:webHidden/>
              </w:rPr>
              <w:instrText xml:space="preserve"> PAGEREF _Toc509822408 \h </w:instrText>
            </w:r>
            <w:r w:rsidR="00A356C5">
              <w:rPr>
                <w:noProof/>
                <w:webHidden/>
              </w:rPr>
            </w:r>
            <w:r w:rsidR="00A356C5">
              <w:rPr>
                <w:noProof/>
                <w:webHidden/>
              </w:rPr>
              <w:fldChar w:fldCharType="separate"/>
            </w:r>
            <w:r w:rsidR="00682FD2">
              <w:rPr>
                <w:noProof/>
                <w:webHidden/>
              </w:rPr>
              <w:t>63</w:t>
            </w:r>
            <w:r w:rsidR="00A356C5">
              <w:rPr>
                <w:noProof/>
                <w:webHidden/>
              </w:rPr>
              <w:fldChar w:fldCharType="end"/>
            </w:r>
          </w:hyperlink>
        </w:p>
        <w:p w14:paraId="4E9F1216"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409" w:history="1">
            <w:r w:rsidR="00A356C5" w:rsidRPr="00D13B03">
              <w:rPr>
                <w:rStyle w:val="Hyperlink"/>
                <w:noProof/>
              </w:rPr>
              <w:t>8.</w:t>
            </w:r>
            <w:r w:rsidR="00A356C5">
              <w:rPr>
                <w:rFonts w:asciiTheme="minorHAnsi" w:eastAsiaTheme="minorEastAsia" w:hAnsiTheme="minorHAnsi" w:cstheme="minorBidi"/>
                <w:b w:val="0"/>
                <w:noProof/>
                <w:sz w:val="22"/>
                <w:lang w:eastAsia="en-AU"/>
              </w:rPr>
              <w:tab/>
            </w:r>
            <w:r w:rsidR="00A356C5" w:rsidRPr="00D13B03">
              <w:rPr>
                <w:rStyle w:val="Hyperlink"/>
                <w:noProof/>
              </w:rPr>
              <w:t>Clinical safety</w:t>
            </w:r>
            <w:r w:rsidR="00A356C5">
              <w:rPr>
                <w:noProof/>
                <w:webHidden/>
              </w:rPr>
              <w:tab/>
            </w:r>
            <w:r w:rsidR="00A356C5">
              <w:rPr>
                <w:noProof/>
                <w:webHidden/>
              </w:rPr>
              <w:fldChar w:fldCharType="begin"/>
            </w:r>
            <w:r w:rsidR="00A356C5">
              <w:rPr>
                <w:noProof/>
                <w:webHidden/>
              </w:rPr>
              <w:instrText xml:space="preserve"> PAGEREF _Toc509822409 \h </w:instrText>
            </w:r>
            <w:r w:rsidR="00A356C5">
              <w:rPr>
                <w:noProof/>
                <w:webHidden/>
              </w:rPr>
            </w:r>
            <w:r w:rsidR="00A356C5">
              <w:rPr>
                <w:noProof/>
                <w:webHidden/>
              </w:rPr>
              <w:fldChar w:fldCharType="separate"/>
            </w:r>
            <w:r w:rsidR="00682FD2">
              <w:rPr>
                <w:noProof/>
                <w:webHidden/>
              </w:rPr>
              <w:t>64</w:t>
            </w:r>
            <w:r w:rsidR="00A356C5">
              <w:rPr>
                <w:noProof/>
                <w:webHidden/>
              </w:rPr>
              <w:fldChar w:fldCharType="end"/>
            </w:r>
          </w:hyperlink>
        </w:p>
        <w:p w14:paraId="4785A50B"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0" w:history="1">
            <w:r w:rsidR="00A356C5" w:rsidRPr="00D13B03">
              <w:rPr>
                <w:rStyle w:val="Hyperlink"/>
                <w:noProof/>
              </w:rPr>
              <w:t>8.1.</w:t>
            </w:r>
            <w:r w:rsidR="00A356C5">
              <w:rPr>
                <w:rFonts w:asciiTheme="minorHAnsi" w:eastAsiaTheme="minorEastAsia" w:hAnsiTheme="minorHAnsi" w:cstheme="minorBidi"/>
                <w:noProof/>
                <w:lang w:eastAsia="en-AU"/>
              </w:rPr>
              <w:tab/>
            </w:r>
            <w:r w:rsidR="00A356C5" w:rsidRPr="00D13B03">
              <w:rPr>
                <w:rStyle w:val="Hyperlink"/>
                <w:noProof/>
              </w:rPr>
              <w:t>Studies providing evaluable safety data</w:t>
            </w:r>
            <w:r w:rsidR="00A356C5">
              <w:rPr>
                <w:noProof/>
                <w:webHidden/>
              </w:rPr>
              <w:tab/>
            </w:r>
            <w:r w:rsidR="00A356C5">
              <w:rPr>
                <w:noProof/>
                <w:webHidden/>
              </w:rPr>
              <w:fldChar w:fldCharType="begin"/>
            </w:r>
            <w:r w:rsidR="00A356C5">
              <w:rPr>
                <w:noProof/>
                <w:webHidden/>
              </w:rPr>
              <w:instrText xml:space="preserve"> PAGEREF _Toc509822410 \h </w:instrText>
            </w:r>
            <w:r w:rsidR="00A356C5">
              <w:rPr>
                <w:noProof/>
                <w:webHidden/>
              </w:rPr>
            </w:r>
            <w:r w:rsidR="00A356C5">
              <w:rPr>
                <w:noProof/>
                <w:webHidden/>
              </w:rPr>
              <w:fldChar w:fldCharType="separate"/>
            </w:r>
            <w:r w:rsidR="00682FD2">
              <w:rPr>
                <w:noProof/>
                <w:webHidden/>
              </w:rPr>
              <w:t>64</w:t>
            </w:r>
            <w:r w:rsidR="00A356C5">
              <w:rPr>
                <w:noProof/>
                <w:webHidden/>
              </w:rPr>
              <w:fldChar w:fldCharType="end"/>
            </w:r>
          </w:hyperlink>
        </w:p>
        <w:p w14:paraId="6D1962AC"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1" w:history="1">
            <w:r w:rsidR="00A356C5" w:rsidRPr="00D13B03">
              <w:rPr>
                <w:rStyle w:val="Hyperlink"/>
                <w:noProof/>
              </w:rPr>
              <w:t>8.2.</w:t>
            </w:r>
            <w:r w:rsidR="00A356C5">
              <w:rPr>
                <w:rFonts w:asciiTheme="minorHAnsi" w:eastAsiaTheme="minorEastAsia" w:hAnsiTheme="minorHAnsi" w:cstheme="minorBidi"/>
                <w:noProof/>
                <w:lang w:eastAsia="en-AU"/>
              </w:rPr>
              <w:tab/>
            </w:r>
            <w:r w:rsidR="00A356C5" w:rsidRPr="00D13B03">
              <w:rPr>
                <w:rStyle w:val="Hyperlink"/>
                <w:noProof/>
              </w:rPr>
              <w:t>Patient exposure</w:t>
            </w:r>
            <w:r w:rsidR="00A356C5">
              <w:rPr>
                <w:noProof/>
                <w:webHidden/>
              </w:rPr>
              <w:tab/>
            </w:r>
            <w:r w:rsidR="00A356C5">
              <w:rPr>
                <w:noProof/>
                <w:webHidden/>
              </w:rPr>
              <w:fldChar w:fldCharType="begin"/>
            </w:r>
            <w:r w:rsidR="00A356C5">
              <w:rPr>
                <w:noProof/>
                <w:webHidden/>
              </w:rPr>
              <w:instrText xml:space="preserve"> PAGEREF _Toc509822411 \h </w:instrText>
            </w:r>
            <w:r w:rsidR="00A356C5">
              <w:rPr>
                <w:noProof/>
                <w:webHidden/>
              </w:rPr>
            </w:r>
            <w:r w:rsidR="00A356C5">
              <w:rPr>
                <w:noProof/>
                <w:webHidden/>
              </w:rPr>
              <w:fldChar w:fldCharType="separate"/>
            </w:r>
            <w:r w:rsidR="00682FD2">
              <w:rPr>
                <w:noProof/>
                <w:webHidden/>
              </w:rPr>
              <w:t>67</w:t>
            </w:r>
            <w:r w:rsidR="00A356C5">
              <w:rPr>
                <w:noProof/>
                <w:webHidden/>
              </w:rPr>
              <w:fldChar w:fldCharType="end"/>
            </w:r>
          </w:hyperlink>
        </w:p>
        <w:p w14:paraId="01EB4BDC"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2" w:history="1">
            <w:r w:rsidR="00A356C5" w:rsidRPr="00D13B03">
              <w:rPr>
                <w:rStyle w:val="Hyperlink"/>
                <w:noProof/>
              </w:rPr>
              <w:t>8.3.</w:t>
            </w:r>
            <w:r w:rsidR="00A356C5">
              <w:rPr>
                <w:rFonts w:asciiTheme="minorHAnsi" w:eastAsiaTheme="minorEastAsia" w:hAnsiTheme="minorHAnsi" w:cstheme="minorBidi"/>
                <w:noProof/>
                <w:lang w:eastAsia="en-AU"/>
              </w:rPr>
              <w:tab/>
            </w:r>
            <w:r w:rsidR="00A356C5" w:rsidRPr="00D13B03">
              <w:rPr>
                <w:rStyle w:val="Hyperlink"/>
                <w:noProof/>
              </w:rPr>
              <w:t>Adverse events</w:t>
            </w:r>
            <w:r w:rsidR="00A356C5">
              <w:rPr>
                <w:noProof/>
                <w:webHidden/>
              </w:rPr>
              <w:tab/>
            </w:r>
            <w:r w:rsidR="00A356C5">
              <w:rPr>
                <w:noProof/>
                <w:webHidden/>
              </w:rPr>
              <w:fldChar w:fldCharType="begin"/>
            </w:r>
            <w:r w:rsidR="00A356C5">
              <w:rPr>
                <w:noProof/>
                <w:webHidden/>
              </w:rPr>
              <w:instrText xml:space="preserve"> PAGEREF _Toc509822412 \h </w:instrText>
            </w:r>
            <w:r w:rsidR="00A356C5">
              <w:rPr>
                <w:noProof/>
                <w:webHidden/>
              </w:rPr>
            </w:r>
            <w:r w:rsidR="00A356C5">
              <w:rPr>
                <w:noProof/>
                <w:webHidden/>
              </w:rPr>
              <w:fldChar w:fldCharType="separate"/>
            </w:r>
            <w:r w:rsidR="00682FD2">
              <w:rPr>
                <w:noProof/>
                <w:webHidden/>
              </w:rPr>
              <w:t>68</w:t>
            </w:r>
            <w:r w:rsidR="00A356C5">
              <w:rPr>
                <w:noProof/>
                <w:webHidden/>
              </w:rPr>
              <w:fldChar w:fldCharType="end"/>
            </w:r>
          </w:hyperlink>
        </w:p>
        <w:p w14:paraId="3AC9F5A3"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3" w:history="1">
            <w:r w:rsidR="00A356C5" w:rsidRPr="00D13B03">
              <w:rPr>
                <w:rStyle w:val="Hyperlink"/>
                <w:noProof/>
              </w:rPr>
              <w:t>8.4.</w:t>
            </w:r>
            <w:r w:rsidR="00A356C5">
              <w:rPr>
                <w:rFonts w:asciiTheme="minorHAnsi" w:eastAsiaTheme="minorEastAsia" w:hAnsiTheme="minorHAnsi" w:cstheme="minorBidi"/>
                <w:noProof/>
                <w:lang w:eastAsia="en-AU"/>
              </w:rPr>
              <w:tab/>
            </w:r>
            <w:r w:rsidR="00A356C5" w:rsidRPr="00D13B03">
              <w:rPr>
                <w:rStyle w:val="Hyperlink"/>
                <w:noProof/>
              </w:rPr>
              <w:t>Evaluation of issues with possible regulatory impact</w:t>
            </w:r>
            <w:r w:rsidR="00A356C5">
              <w:rPr>
                <w:noProof/>
                <w:webHidden/>
              </w:rPr>
              <w:tab/>
            </w:r>
            <w:r w:rsidR="00A356C5">
              <w:rPr>
                <w:noProof/>
                <w:webHidden/>
              </w:rPr>
              <w:fldChar w:fldCharType="begin"/>
            </w:r>
            <w:r w:rsidR="00A356C5">
              <w:rPr>
                <w:noProof/>
                <w:webHidden/>
              </w:rPr>
              <w:instrText xml:space="preserve"> PAGEREF _Toc509822413 \h </w:instrText>
            </w:r>
            <w:r w:rsidR="00A356C5">
              <w:rPr>
                <w:noProof/>
                <w:webHidden/>
              </w:rPr>
            </w:r>
            <w:r w:rsidR="00A356C5">
              <w:rPr>
                <w:noProof/>
                <w:webHidden/>
              </w:rPr>
              <w:fldChar w:fldCharType="separate"/>
            </w:r>
            <w:r w:rsidR="00682FD2">
              <w:rPr>
                <w:noProof/>
                <w:webHidden/>
              </w:rPr>
              <w:t>72</w:t>
            </w:r>
            <w:r w:rsidR="00A356C5">
              <w:rPr>
                <w:noProof/>
                <w:webHidden/>
              </w:rPr>
              <w:fldChar w:fldCharType="end"/>
            </w:r>
          </w:hyperlink>
        </w:p>
        <w:p w14:paraId="70E14954"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4" w:history="1">
            <w:r w:rsidR="00A356C5" w:rsidRPr="00D13B03">
              <w:rPr>
                <w:rStyle w:val="Hyperlink"/>
                <w:noProof/>
              </w:rPr>
              <w:t>8.5.</w:t>
            </w:r>
            <w:r w:rsidR="00A356C5">
              <w:rPr>
                <w:rFonts w:asciiTheme="minorHAnsi" w:eastAsiaTheme="minorEastAsia" w:hAnsiTheme="minorHAnsi" w:cstheme="minorBidi"/>
                <w:noProof/>
                <w:lang w:eastAsia="en-AU"/>
              </w:rPr>
              <w:tab/>
            </w:r>
            <w:r w:rsidR="00A356C5" w:rsidRPr="00D13B03">
              <w:rPr>
                <w:rStyle w:val="Hyperlink"/>
                <w:noProof/>
              </w:rPr>
              <w:t>Other safety issues</w:t>
            </w:r>
            <w:r w:rsidR="00A356C5">
              <w:rPr>
                <w:noProof/>
                <w:webHidden/>
              </w:rPr>
              <w:tab/>
            </w:r>
            <w:r w:rsidR="00A356C5">
              <w:rPr>
                <w:noProof/>
                <w:webHidden/>
              </w:rPr>
              <w:fldChar w:fldCharType="begin"/>
            </w:r>
            <w:r w:rsidR="00A356C5">
              <w:rPr>
                <w:noProof/>
                <w:webHidden/>
              </w:rPr>
              <w:instrText xml:space="preserve"> PAGEREF _Toc509822414 \h </w:instrText>
            </w:r>
            <w:r w:rsidR="00A356C5">
              <w:rPr>
                <w:noProof/>
                <w:webHidden/>
              </w:rPr>
            </w:r>
            <w:r w:rsidR="00A356C5">
              <w:rPr>
                <w:noProof/>
                <w:webHidden/>
              </w:rPr>
              <w:fldChar w:fldCharType="separate"/>
            </w:r>
            <w:r w:rsidR="00682FD2">
              <w:rPr>
                <w:noProof/>
                <w:webHidden/>
              </w:rPr>
              <w:t>81</w:t>
            </w:r>
            <w:r w:rsidR="00A356C5">
              <w:rPr>
                <w:noProof/>
                <w:webHidden/>
              </w:rPr>
              <w:fldChar w:fldCharType="end"/>
            </w:r>
          </w:hyperlink>
        </w:p>
        <w:p w14:paraId="0DC70791"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5" w:history="1">
            <w:r w:rsidR="00A356C5" w:rsidRPr="00D13B03">
              <w:rPr>
                <w:rStyle w:val="Hyperlink"/>
                <w:noProof/>
              </w:rPr>
              <w:t>8.6.</w:t>
            </w:r>
            <w:r w:rsidR="00A356C5">
              <w:rPr>
                <w:rFonts w:asciiTheme="minorHAnsi" w:eastAsiaTheme="minorEastAsia" w:hAnsiTheme="minorHAnsi" w:cstheme="minorBidi"/>
                <w:noProof/>
                <w:lang w:eastAsia="en-AU"/>
              </w:rPr>
              <w:tab/>
            </w:r>
            <w:r w:rsidR="00A356C5" w:rsidRPr="00D13B03">
              <w:rPr>
                <w:rStyle w:val="Hyperlink"/>
                <w:noProof/>
              </w:rPr>
              <w:t>Post marketing experience</w:t>
            </w:r>
            <w:r w:rsidR="00A356C5">
              <w:rPr>
                <w:noProof/>
                <w:webHidden/>
              </w:rPr>
              <w:tab/>
            </w:r>
            <w:r w:rsidR="00A356C5">
              <w:rPr>
                <w:noProof/>
                <w:webHidden/>
              </w:rPr>
              <w:fldChar w:fldCharType="begin"/>
            </w:r>
            <w:r w:rsidR="00A356C5">
              <w:rPr>
                <w:noProof/>
                <w:webHidden/>
              </w:rPr>
              <w:instrText xml:space="preserve"> PAGEREF _Toc509822415 \h </w:instrText>
            </w:r>
            <w:r w:rsidR="00A356C5">
              <w:rPr>
                <w:noProof/>
                <w:webHidden/>
              </w:rPr>
            </w:r>
            <w:r w:rsidR="00A356C5">
              <w:rPr>
                <w:noProof/>
                <w:webHidden/>
              </w:rPr>
              <w:fldChar w:fldCharType="separate"/>
            </w:r>
            <w:r w:rsidR="00682FD2">
              <w:rPr>
                <w:noProof/>
                <w:webHidden/>
              </w:rPr>
              <w:t>82</w:t>
            </w:r>
            <w:r w:rsidR="00A356C5">
              <w:rPr>
                <w:noProof/>
                <w:webHidden/>
              </w:rPr>
              <w:fldChar w:fldCharType="end"/>
            </w:r>
          </w:hyperlink>
        </w:p>
        <w:p w14:paraId="2779F675"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6" w:history="1">
            <w:r w:rsidR="00A356C5" w:rsidRPr="00D13B03">
              <w:rPr>
                <w:rStyle w:val="Hyperlink"/>
                <w:noProof/>
              </w:rPr>
              <w:t>8.7.</w:t>
            </w:r>
            <w:r w:rsidR="00A356C5">
              <w:rPr>
                <w:rFonts w:asciiTheme="minorHAnsi" w:eastAsiaTheme="minorEastAsia" w:hAnsiTheme="minorHAnsi" w:cstheme="minorBidi"/>
                <w:noProof/>
                <w:lang w:eastAsia="en-AU"/>
              </w:rPr>
              <w:tab/>
            </w:r>
            <w:r w:rsidR="00A356C5" w:rsidRPr="00D13B03">
              <w:rPr>
                <w:rStyle w:val="Hyperlink"/>
                <w:noProof/>
              </w:rPr>
              <w:t>Evaluator’s overall conclusions on clinical safety</w:t>
            </w:r>
            <w:r w:rsidR="00A356C5">
              <w:rPr>
                <w:noProof/>
                <w:webHidden/>
              </w:rPr>
              <w:tab/>
            </w:r>
            <w:r w:rsidR="00A356C5">
              <w:rPr>
                <w:noProof/>
                <w:webHidden/>
              </w:rPr>
              <w:fldChar w:fldCharType="begin"/>
            </w:r>
            <w:r w:rsidR="00A356C5">
              <w:rPr>
                <w:noProof/>
                <w:webHidden/>
              </w:rPr>
              <w:instrText xml:space="preserve"> PAGEREF _Toc509822416 \h </w:instrText>
            </w:r>
            <w:r w:rsidR="00A356C5">
              <w:rPr>
                <w:noProof/>
                <w:webHidden/>
              </w:rPr>
            </w:r>
            <w:r w:rsidR="00A356C5">
              <w:rPr>
                <w:noProof/>
                <w:webHidden/>
              </w:rPr>
              <w:fldChar w:fldCharType="separate"/>
            </w:r>
            <w:r w:rsidR="00682FD2">
              <w:rPr>
                <w:noProof/>
                <w:webHidden/>
              </w:rPr>
              <w:t>82</w:t>
            </w:r>
            <w:r w:rsidR="00A356C5">
              <w:rPr>
                <w:noProof/>
                <w:webHidden/>
              </w:rPr>
              <w:fldChar w:fldCharType="end"/>
            </w:r>
          </w:hyperlink>
        </w:p>
        <w:p w14:paraId="0CF0A380" w14:textId="77777777" w:rsidR="00A356C5" w:rsidRDefault="00E94FE8">
          <w:pPr>
            <w:pStyle w:val="TOC2"/>
            <w:tabs>
              <w:tab w:val="left" w:pos="1100"/>
            </w:tabs>
            <w:rPr>
              <w:rFonts w:asciiTheme="minorHAnsi" w:eastAsiaTheme="minorEastAsia" w:hAnsiTheme="minorHAnsi" w:cstheme="minorBidi"/>
              <w:b w:val="0"/>
              <w:noProof/>
              <w:sz w:val="22"/>
              <w:lang w:eastAsia="en-AU"/>
            </w:rPr>
          </w:pPr>
          <w:hyperlink w:anchor="_Toc509822417" w:history="1">
            <w:r w:rsidR="00A356C5" w:rsidRPr="00D13B03">
              <w:rPr>
                <w:rStyle w:val="Hyperlink"/>
                <w:noProof/>
              </w:rPr>
              <w:t>9.</w:t>
            </w:r>
            <w:r w:rsidR="00A356C5">
              <w:rPr>
                <w:rFonts w:asciiTheme="minorHAnsi" w:eastAsiaTheme="minorEastAsia" w:hAnsiTheme="minorHAnsi" w:cstheme="minorBidi"/>
                <w:b w:val="0"/>
                <w:noProof/>
                <w:sz w:val="22"/>
                <w:lang w:eastAsia="en-AU"/>
              </w:rPr>
              <w:tab/>
            </w:r>
            <w:r w:rsidR="00A356C5" w:rsidRPr="00D13B03">
              <w:rPr>
                <w:rStyle w:val="Hyperlink"/>
                <w:noProof/>
              </w:rPr>
              <w:t>First round benefit-risk assessment</w:t>
            </w:r>
            <w:r w:rsidR="00A356C5">
              <w:rPr>
                <w:noProof/>
                <w:webHidden/>
              </w:rPr>
              <w:tab/>
            </w:r>
            <w:r w:rsidR="00A356C5">
              <w:rPr>
                <w:noProof/>
                <w:webHidden/>
              </w:rPr>
              <w:fldChar w:fldCharType="begin"/>
            </w:r>
            <w:r w:rsidR="00A356C5">
              <w:rPr>
                <w:noProof/>
                <w:webHidden/>
              </w:rPr>
              <w:instrText xml:space="preserve"> PAGEREF _Toc509822417 \h </w:instrText>
            </w:r>
            <w:r w:rsidR="00A356C5">
              <w:rPr>
                <w:noProof/>
                <w:webHidden/>
              </w:rPr>
            </w:r>
            <w:r w:rsidR="00A356C5">
              <w:rPr>
                <w:noProof/>
                <w:webHidden/>
              </w:rPr>
              <w:fldChar w:fldCharType="separate"/>
            </w:r>
            <w:r w:rsidR="00682FD2">
              <w:rPr>
                <w:noProof/>
                <w:webHidden/>
              </w:rPr>
              <w:t>85</w:t>
            </w:r>
            <w:r w:rsidR="00A356C5">
              <w:rPr>
                <w:noProof/>
                <w:webHidden/>
              </w:rPr>
              <w:fldChar w:fldCharType="end"/>
            </w:r>
          </w:hyperlink>
        </w:p>
        <w:p w14:paraId="06BD136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8" w:history="1">
            <w:r w:rsidR="00A356C5" w:rsidRPr="00D13B03">
              <w:rPr>
                <w:rStyle w:val="Hyperlink"/>
                <w:noProof/>
              </w:rPr>
              <w:t>9.1.</w:t>
            </w:r>
            <w:r w:rsidR="00A356C5">
              <w:rPr>
                <w:rFonts w:asciiTheme="minorHAnsi" w:eastAsiaTheme="minorEastAsia" w:hAnsiTheme="minorHAnsi" w:cstheme="minorBidi"/>
                <w:noProof/>
                <w:lang w:eastAsia="en-AU"/>
              </w:rPr>
              <w:tab/>
            </w:r>
            <w:r w:rsidR="00A356C5" w:rsidRPr="00D13B03">
              <w:rPr>
                <w:rStyle w:val="Hyperlink"/>
                <w:noProof/>
              </w:rPr>
              <w:t>First round assessment of benefits</w:t>
            </w:r>
            <w:r w:rsidR="00A356C5">
              <w:rPr>
                <w:noProof/>
                <w:webHidden/>
              </w:rPr>
              <w:tab/>
            </w:r>
            <w:r w:rsidR="00A356C5">
              <w:rPr>
                <w:noProof/>
                <w:webHidden/>
              </w:rPr>
              <w:fldChar w:fldCharType="begin"/>
            </w:r>
            <w:r w:rsidR="00A356C5">
              <w:rPr>
                <w:noProof/>
                <w:webHidden/>
              </w:rPr>
              <w:instrText xml:space="preserve"> PAGEREF _Toc509822418 \h </w:instrText>
            </w:r>
            <w:r w:rsidR="00A356C5">
              <w:rPr>
                <w:noProof/>
                <w:webHidden/>
              </w:rPr>
            </w:r>
            <w:r w:rsidR="00A356C5">
              <w:rPr>
                <w:noProof/>
                <w:webHidden/>
              </w:rPr>
              <w:fldChar w:fldCharType="separate"/>
            </w:r>
            <w:r w:rsidR="00682FD2">
              <w:rPr>
                <w:noProof/>
                <w:webHidden/>
              </w:rPr>
              <w:t>85</w:t>
            </w:r>
            <w:r w:rsidR="00A356C5">
              <w:rPr>
                <w:noProof/>
                <w:webHidden/>
              </w:rPr>
              <w:fldChar w:fldCharType="end"/>
            </w:r>
          </w:hyperlink>
        </w:p>
        <w:p w14:paraId="1E9F4A11"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19" w:history="1">
            <w:r w:rsidR="00A356C5" w:rsidRPr="00D13B03">
              <w:rPr>
                <w:rStyle w:val="Hyperlink"/>
                <w:noProof/>
              </w:rPr>
              <w:t>9.2.</w:t>
            </w:r>
            <w:r w:rsidR="00A356C5">
              <w:rPr>
                <w:rFonts w:asciiTheme="minorHAnsi" w:eastAsiaTheme="minorEastAsia" w:hAnsiTheme="minorHAnsi" w:cstheme="minorBidi"/>
                <w:noProof/>
                <w:lang w:eastAsia="en-AU"/>
              </w:rPr>
              <w:tab/>
            </w:r>
            <w:r w:rsidR="00A356C5" w:rsidRPr="00D13B03">
              <w:rPr>
                <w:rStyle w:val="Hyperlink"/>
                <w:noProof/>
              </w:rPr>
              <w:t>First round assessment of risks</w:t>
            </w:r>
            <w:r w:rsidR="00A356C5">
              <w:rPr>
                <w:noProof/>
                <w:webHidden/>
              </w:rPr>
              <w:tab/>
            </w:r>
            <w:r w:rsidR="00A356C5">
              <w:rPr>
                <w:noProof/>
                <w:webHidden/>
              </w:rPr>
              <w:fldChar w:fldCharType="begin"/>
            </w:r>
            <w:r w:rsidR="00A356C5">
              <w:rPr>
                <w:noProof/>
                <w:webHidden/>
              </w:rPr>
              <w:instrText xml:space="preserve"> PAGEREF _Toc509822419 \h </w:instrText>
            </w:r>
            <w:r w:rsidR="00A356C5">
              <w:rPr>
                <w:noProof/>
                <w:webHidden/>
              </w:rPr>
            </w:r>
            <w:r w:rsidR="00A356C5">
              <w:rPr>
                <w:noProof/>
                <w:webHidden/>
              </w:rPr>
              <w:fldChar w:fldCharType="separate"/>
            </w:r>
            <w:r w:rsidR="00682FD2">
              <w:rPr>
                <w:noProof/>
                <w:webHidden/>
              </w:rPr>
              <w:t>87</w:t>
            </w:r>
            <w:r w:rsidR="00A356C5">
              <w:rPr>
                <w:noProof/>
                <w:webHidden/>
              </w:rPr>
              <w:fldChar w:fldCharType="end"/>
            </w:r>
          </w:hyperlink>
        </w:p>
        <w:p w14:paraId="5FE91F41"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0" w:history="1">
            <w:r w:rsidR="00A356C5" w:rsidRPr="00D13B03">
              <w:rPr>
                <w:rStyle w:val="Hyperlink"/>
                <w:noProof/>
              </w:rPr>
              <w:t>9.3.</w:t>
            </w:r>
            <w:r w:rsidR="00A356C5">
              <w:rPr>
                <w:rFonts w:asciiTheme="minorHAnsi" w:eastAsiaTheme="minorEastAsia" w:hAnsiTheme="minorHAnsi" w:cstheme="minorBidi"/>
                <w:noProof/>
                <w:lang w:eastAsia="en-AU"/>
              </w:rPr>
              <w:tab/>
            </w:r>
            <w:r w:rsidR="00A356C5" w:rsidRPr="00D13B03">
              <w:rPr>
                <w:rStyle w:val="Hyperlink"/>
                <w:noProof/>
              </w:rPr>
              <w:t>First round assessment of benefit-risk balance</w:t>
            </w:r>
            <w:r w:rsidR="00A356C5">
              <w:rPr>
                <w:noProof/>
                <w:webHidden/>
              </w:rPr>
              <w:tab/>
            </w:r>
            <w:r w:rsidR="00A356C5">
              <w:rPr>
                <w:noProof/>
                <w:webHidden/>
              </w:rPr>
              <w:fldChar w:fldCharType="begin"/>
            </w:r>
            <w:r w:rsidR="00A356C5">
              <w:rPr>
                <w:noProof/>
                <w:webHidden/>
              </w:rPr>
              <w:instrText xml:space="preserve"> PAGEREF _Toc509822420 \h </w:instrText>
            </w:r>
            <w:r w:rsidR="00A356C5">
              <w:rPr>
                <w:noProof/>
                <w:webHidden/>
              </w:rPr>
            </w:r>
            <w:r w:rsidR="00A356C5">
              <w:rPr>
                <w:noProof/>
                <w:webHidden/>
              </w:rPr>
              <w:fldChar w:fldCharType="separate"/>
            </w:r>
            <w:r w:rsidR="00682FD2">
              <w:rPr>
                <w:noProof/>
                <w:webHidden/>
              </w:rPr>
              <w:t>87</w:t>
            </w:r>
            <w:r w:rsidR="00A356C5">
              <w:rPr>
                <w:noProof/>
                <w:webHidden/>
              </w:rPr>
              <w:fldChar w:fldCharType="end"/>
            </w:r>
          </w:hyperlink>
        </w:p>
        <w:p w14:paraId="0D60D97B"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21" w:history="1">
            <w:r w:rsidR="00A356C5" w:rsidRPr="00D13B03">
              <w:rPr>
                <w:rStyle w:val="Hyperlink"/>
                <w:noProof/>
              </w:rPr>
              <w:t>10.</w:t>
            </w:r>
            <w:r w:rsidR="00A356C5">
              <w:rPr>
                <w:rFonts w:asciiTheme="minorHAnsi" w:eastAsiaTheme="minorEastAsia" w:hAnsiTheme="minorHAnsi" w:cstheme="minorBidi"/>
                <w:b w:val="0"/>
                <w:noProof/>
                <w:sz w:val="22"/>
                <w:lang w:eastAsia="en-AU"/>
              </w:rPr>
              <w:tab/>
            </w:r>
            <w:r w:rsidR="00A356C5" w:rsidRPr="00D13B03">
              <w:rPr>
                <w:rStyle w:val="Hyperlink"/>
                <w:noProof/>
              </w:rPr>
              <w:t>First round recommendation regarding authorisation</w:t>
            </w:r>
            <w:r w:rsidR="00A356C5">
              <w:rPr>
                <w:noProof/>
                <w:webHidden/>
              </w:rPr>
              <w:tab/>
            </w:r>
            <w:r w:rsidR="00A356C5">
              <w:rPr>
                <w:noProof/>
                <w:webHidden/>
              </w:rPr>
              <w:fldChar w:fldCharType="begin"/>
            </w:r>
            <w:r w:rsidR="00A356C5">
              <w:rPr>
                <w:noProof/>
                <w:webHidden/>
              </w:rPr>
              <w:instrText xml:space="preserve"> PAGEREF _Toc509822421 \h </w:instrText>
            </w:r>
            <w:r w:rsidR="00A356C5">
              <w:rPr>
                <w:noProof/>
                <w:webHidden/>
              </w:rPr>
            </w:r>
            <w:r w:rsidR="00A356C5">
              <w:rPr>
                <w:noProof/>
                <w:webHidden/>
              </w:rPr>
              <w:fldChar w:fldCharType="separate"/>
            </w:r>
            <w:r w:rsidR="00682FD2">
              <w:rPr>
                <w:noProof/>
                <w:webHidden/>
              </w:rPr>
              <w:t>88</w:t>
            </w:r>
            <w:r w:rsidR="00A356C5">
              <w:rPr>
                <w:noProof/>
                <w:webHidden/>
              </w:rPr>
              <w:fldChar w:fldCharType="end"/>
            </w:r>
          </w:hyperlink>
        </w:p>
        <w:p w14:paraId="5784077E"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22" w:history="1">
            <w:r w:rsidR="00A356C5" w:rsidRPr="00D13B03">
              <w:rPr>
                <w:rStyle w:val="Hyperlink"/>
                <w:noProof/>
              </w:rPr>
              <w:t>11.</w:t>
            </w:r>
            <w:r w:rsidR="00A356C5">
              <w:rPr>
                <w:rFonts w:asciiTheme="minorHAnsi" w:eastAsiaTheme="minorEastAsia" w:hAnsiTheme="minorHAnsi" w:cstheme="minorBidi"/>
                <w:b w:val="0"/>
                <w:noProof/>
                <w:sz w:val="22"/>
                <w:lang w:eastAsia="en-AU"/>
              </w:rPr>
              <w:tab/>
            </w:r>
            <w:r w:rsidR="00A356C5" w:rsidRPr="00D13B03">
              <w:rPr>
                <w:rStyle w:val="Hyperlink"/>
                <w:noProof/>
              </w:rPr>
              <w:t>Clinical questions</w:t>
            </w:r>
            <w:r w:rsidR="00A356C5">
              <w:rPr>
                <w:noProof/>
                <w:webHidden/>
              </w:rPr>
              <w:tab/>
            </w:r>
            <w:r w:rsidR="00A356C5">
              <w:rPr>
                <w:noProof/>
                <w:webHidden/>
              </w:rPr>
              <w:fldChar w:fldCharType="begin"/>
            </w:r>
            <w:r w:rsidR="00A356C5">
              <w:rPr>
                <w:noProof/>
                <w:webHidden/>
              </w:rPr>
              <w:instrText xml:space="preserve"> PAGEREF _Toc509822422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7F20555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3" w:history="1">
            <w:r w:rsidR="00A356C5" w:rsidRPr="00D13B03">
              <w:rPr>
                <w:rStyle w:val="Hyperlink"/>
                <w:noProof/>
              </w:rPr>
              <w:t>11.1.</w:t>
            </w:r>
            <w:r w:rsidR="00A356C5">
              <w:rPr>
                <w:rFonts w:asciiTheme="minorHAnsi" w:eastAsiaTheme="minorEastAsia" w:hAnsiTheme="minorHAnsi" w:cstheme="minorBidi"/>
                <w:noProof/>
                <w:lang w:eastAsia="en-AU"/>
              </w:rPr>
              <w:tab/>
            </w:r>
            <w:r w:rsidR="00A356C5" w:rsidRPr="00D13B03">
              <w:rPr>
                <w:rStyle w:val="Hyperlink"/>
                <w:noProof/>
              </w:rPr>
              <w:t>Pharmacokinetics</w:t>
            </w:r>
            <w:r w:rsidR="00A356C5">
              <w:rPr>
                <w:noProof/>
                <w:webHidden/>
              </w:rPr>
              <w:tab/>
            </w:r>
            <w:r w:rsidR="00A356C5">
              <w:rPr>
                <w:noProof/>
                <w:webHidden/>
              </w:rPr>
              <w:fldChar w:fldCharType="begin"/>
            </w:r>
            <w:r w:rsidR="00A356C5">
              <w:rPr>
                <w:noProof/>
                <w:webHidden/>
              </w:rPr>
              <w:instrText xml:space="preserve"> PAGEREF _Toc509822423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16780D3C"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4" w:history="1">
            <w:r w:rsidR="00A356C5" w:rsidRPr="00D13B03">
              <w:rPr>
                <w:rStyle w:val="Hyperlink"/>
                <w:noProof/>
              </w:rPr>
              <w:t>11.2.</w:t>
            </w:r>
            <w:r w:rsidR="00A356C5">
              <w:rPr>
                <w:rFonts w:asciiTheme="minorHAnsi" w:eastAsiaTheme="minorEastAsia" w:hAnsiTheme="minorHAnsi" w:cstheme="minorBidi"/>
                <w:noProof/>
                <w:lang w:eastAsia="en-AU"/>
              </w:rPr>
              <w:tab/>
            </w:r>
            <w:r w:rsidR="00A356C5" w:rsidRPr="00D13B03">
              <w:rPr>
                <w:rStyle w:val="Hyperlink"/>
                <w:noProof/>
              </w:rPr>
              <w:t>Pharmacodynamics</w:t>
            </w:r>
            <w:r w:rsidR="00A356C5">
              <w:rPr>
                <w:noProof/>
                <w:webHidden/>
              </w:rPr>
              <w:tab/>
            </w:r>
            <w:r w:rsidR="00A356C5">
              <w:rPr>
                <w:noProof/>
                <w:webHidden/>
              </w:rPr>
              <w:fldChar w:fldCharType="begin"/>
            </w:r>
            <w:r w:rsidR="00A356C5">
              <w:rPr>
                <w:noProof/>
                <w:webHidden/>
              </w:rPr>
              <w:instrText xml:space="preserve"> PAGEREF _Toc509822424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16A063A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5" w:history="1">
            <w:r w:rsidR="00A356C5" w:rsidRPr="00D13B03">
              <w:rPr>
                <w:rStyle w:val="Hyperlink"/>
                <w:noProof/>
              </w:rPr>
              <w:t>11.3.</w:t>
            </w:r>
            <w:r w:rsidR="00A356C5">
              <w:rPr>
                <w:rFonts w:asciiTheme="minorHAnsi" w:eastAsiaTheme="minorEastAsia" w:hAnsiTheme="minorHAnsi" w:cstheme="minorBidi"/>
                <w:noProof/>
                <w:lang w:eastAsia="en-AU"/>
              </w:rPr>
              <w:tab/>
            </w:r>
            <w:r w:rsidR="00A356C5" w:rsidRPr="00D13B03">
              <w:rPr>
                <w:rStyle w:val="Hyperlink"/>
                <w:noProof/>
              </w:rPr>
              <w:t>Efficacy</w:t>
            </w:r>
            <w:r w:rsidR="00A356C5">
              <w:rPr>
                <w:noProof/>
                <w:webHidden/>
              </w:rPr>
              <w:tab/>
            </w:r>
            <w:r w:rsidR="00A356C5">
              <w:rPr>
                <w:noProof/>
                <w:webHidden/>
              </w:rPr>
              <w:fldChar w:fldCharType="begin"/>
            </w:r>
            <w:r w:rsidR="00A356C5">
              <w:rPr>
                <w:noProof/>
                <w:webHidden/>
              </w:rPr>
              <w:instrText xml:space="preserve"> PAGEREF _Toc509822425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221CDC7C"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6" w:history="1">
            <w:r w:rsidR="00A356C5" w:rsidRPr="00D13B03">
              <w:rPr>
                <w:rStyle w:val="Hyperlink"/>
                <w:noProof/>
              </w:rPr>
              <w:t>11.4.</w:t>
            </w:r>
            <w:r w:rsidR="00A356C5">
              <w:rPr>
                <w:rFonts w:asciiTheme="minorHAnsi" w:eastAsiaTheme="minorEastAsia" w:hAnsiTheme="minorHAnsi" w:cstheme="minorBidi"/>
                <w:noProof/>
                <w:lang w:eastAsia="en-AU"/>
              </w:rPr>
              <w:tab/>
            </w:r>
            <w:r w:rsidR="00A356C5" w:rsidRPr="00D13B03">
              <w:rPr>
                <w:rStyle w:val="Hyperlink"/>
                <w:noProof/>
              </w:rPr>
              <w:t>Safety</w:t>
            </w:r>
            <w:r w:rsidR="00A356C5">
              <w:rPr>
                <w:noProof/>
                <w:webHidden/>
              </w:rPr>
              <w:tab/>
            </w:r>
            <w:r w:rsidR="00A356C5">
              <w:rPr>
                <w:noProof/>
                <w:webHidden/>
              </w:rPr>
              <w:fldChar w:fldCharType="begin"/>
            </w:r>
            <w:r w:rsidR="00A356C5">
              <w:rPr>
                <w:noProof/>
                <w:webHidden/>
              </w:rPr>
              <w:instrText xml:space="preserve"> PAGEREF _Toc509822426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48434575"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27" w:history="1">
            <w:r w:rsidR="00A356C5" w:rsidRPr="00D13B03">
              <w:rPr>
                <w:rStyle w:val="Hyperlink"/>
                <w:noProof/>
              </w:rPr>
              <w:t>12.</w:t>
            </w:r>
            <w:r w:rsidR="00A356C5">
              <w:rPr>
                <w:rFonts w:asciiTheme="minorHAnsi" w:eastAsiaTheme="minorEastAsia" w:hAnsiTheme="minorHAnsi" w:cstheme="minorBidi"/>
                <w:b w:val="0"/>
                <w:noProof/>
                <w:sz w:val="22"/>
                <w:lang w:eastAsia="en-AU"/>
              </w:rPr>
              <w:tab/>
            </w:r>
            <w:r w:rsidR="00A356C5" w:rsidRPr="00D13B03">
              <w:rPr>
                <w:rStyle w:val="Hyperlink"/>
                <w:noProof/>
              </w:rPr>
              <w:t>Second round evaluation</w:t>
            </w:r>
            <w:r w:rsidR="00A356C5">
              <w:rPr>
                <w:noProof/>
                <w:webHidden/>
              </w:rPr>
              <w:tab/>
            </w:r>
            <w:r w:rsidR="00A356C5">
              <w:rPr>
                <w:noProof/>
                <w:webHidden/>
              </w:rPr>
              <w:fldChar w:fldCharType="begin"/>
            </w:r>
            <w:r w:rsidR="00A356C5">
              <w:rPr>
                <w:noProof/>
                <w:webHidden/>
              </w:rPr>
              <w:instrText xml:space="preserve"> PAGEREF _Toc509822427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57CC6D1F"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8" w:history="1">
            <w:r w:rsidR="00A356C5" w:rsidRPr="00D13B03">
              <w:rPr>
                <w:rStyle w:val="Hyperlink"/>
                <w:noProof/>
              </w:rPr>
              <w:t>12.1.</w:t>
            </w:r>
            <w:r w:rsidR="00A356C5">
              <w:rPr>
                <w:rFonts w:asciiTheme="minorHAnsi" w:eastAsiaTheme="minorEastAsia" w:hAnsiTheme="minorHAnsi" w:cstheme="minorBidi"/>
                <w:noProof/>
                <w:lang w:eastAsia="en-AU"/>
              </w:rPr>
              <w:tab/>
            </w:r>
            <w:r w:rsidR="00A356C5" w:rsidRPr="00D13B03">
              <w:rPr>
                <w:rStyle w:val="Hyperlink"/>
                <w:noProof/>
              </w:rPr>
              <w:t>Efficacy questions and answers</w:t>
            </w:r>
            <w:r w:rsidR="00A356C5">
              <w:rPr>
                <w:noProof/>
                <w:webHidden/>
              </w:rPr>
              <w:tab/>
            </w:r>
            <w:r w:rsidR="00A356C5">
              <w:rPr>
                <w:noProof/>
                <w:webHidden/>
              </w:rPr>
              <w:fldChar w:fldCharType="begin"/>
            </w:r>
            <w:r w:rsidR="00A356C5">
              <w:rPr>
                <w:noProof/>
                <w:webHidden/>
              </w:rPr>
              <w:instrText xml:space="preserve"> PAGEREF _Toc509822428 \h </w:instrText>
            </w:r>
            <w:r w:rsidR="00A356C5">
              <w:rPr>
                <w:noProof/>
                <w:webHidden/>
              </w:rPr>
            </w:r>
            <w:r w:rsidR="00A356C5">
              <w:rPr>
                <w:noProof/>
                <w:webHidden/>
              </w:rPr>
              <w:fldChar w:fldCharType="separate"/>
            </w:r>
            <w:r w:rsidR="00682FD2">
              <w:rPr>
                <w:noProof/>
                <w:webHidden/>
              </w:rPr>
              <w:t>89</w:t>
            </w:r>
            <w:r w:rsidR="00A356C5">
              <w:rPr>
                <w:noProof/>
                <w:webHidden/>
              </w:rPr>
              <w:fldChar w:fldCharType="end"/>
            </w:r>
          </w:hyperlink>
        </w:p>
        <w:p w14:paraId="58833360"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29" w:history="1">
            <w:r w:rsidR="00A356C5" w:rsidRPr="00D13B03">
              <w:rPr>
                <w:rStyle w:val="Hyperlink"/>
                <w:noProof/>
              </w:rPr>
              <w:t>12.2.</w:t>
            </w:r>
            <w:r w:rsidR="00A356C5">
              <w:rPr>
                <w:rFonts w:asciiTheme="minorHAnsi" w:eastAsiaTheme="minorEastAsia" w:hAnsiTheme="minorHAnsi" w:cstheme="minorBidi"/>
                <w:noProof/>
                <w:lang w:eastAsia="en-AU"/>
              </w:rPr>
              <w:tab/>
            </w:r>
            <w:r w:rsidR="00A356C5" w:rsidRPr="00D13B03">
              <w:rPr>
                <w:rStyle w:val="Hyperlink"/>
                <w:noProof/>
              </w:rPr>
              <w:t>Extrapolation to uveitis</w:t>
            </w:r>
            <w:r w:rsidR="00A356C5">
              <w:rPr>
                <w:noProof/>
                <w:webHidden/>
              </w:rPr>
              <w:tab/>
            </w:r>
            <w:r w:rsidR="00A356C5">
              <w:rPr>
                <w:noProof/>
                <w:webHidden/>
              </w:rPr>
              <w:fldChar w:fldCharType="begin"/>
            </w:r>
            <w:r w:rsidR="00A356C5">
              <w:rPr>
                <w:noProof/>
                <w:webHidden/>
              </w:rPr>
              <w:instrText xml:space="preserve"> PAGEREF _Toc509822429 \h </w:instrText>
            </w:r>
            <w:r w:rsidR="00A356C5">
              <w:rPr>
                <w:noProof/>
                <w:webHidden/>
              </w:rPr>
            </w:r>
            <w:r w:rsidR="00A356C5">
              <w:rPr>
                <w:noProof/>
                <w:webHidden/>
              </w:rPr>
              <w:fldChar w:fldCharType="separate"/>
            </w:r>
            <w:r w:rsidR="00682FD2">
              <w:rPr>
                <w:noProof/>
                <w:webHidden/>
              </w:rPr>
              <w:t>95</w:t>
            </w:r>
            <w:r w:rsidR="00A356C5">
              <w:rPr>
                <w:noProof/>
                <w:webHidden/>
              </w:rPr>
              <w:fldChar w:fldCharType="end"/>
            </w:r>
          </w:hyperlink>
        </w:p>
        <w:p w14:paraId="3C56C00B"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30" w:history="1">
            <w:r w:rsidR="00A356C5" w:rsidRPr="00D13B03">
              <w:rPr>
                <w:rStyle w:val="Hyperlink"/>
                <w:noProof/>
              </w:rPr>
              <w:t>13.</w:t>
            </w:r>
            <w:r w:rsidR="00A356C5">
              <w:rPr>
                <w:rFonts w:asciiTheme="minorHAnsi" w:eastAsiaTheme="minorEastAsia" w:hAnsiTheme="minorHAnsi" w:cstheme="minorBidi"/>
                <w:b w:val="0"/>
                <w:noProof/>
                <w:sz w:val="22"/>
                <w:lang w:eastAsia="en-AU"/>
              </w:rPr>
              <w:tab/>
            </w:r>
            <w:r w:rsidR="00A356C5" w:rsidRPr="00D13B03">
              <w:rPr>
                <w:rStyle w:val="Hyperlink"/>
                <w:noProof/>
              </w:rPr>
              <w:t>Second round benefit-risk assessment</w:t>
            </w:r>
            <w:r w:rsidR="00A356C5">
              <w:rPr>
                <w:noProof/>
                <w:webHidden/>
              </w:rPr>
              <w:tab/>
            </w:r>
            <w:r w:rsidR="00A356C5">
              <w:rPr>
                <w:noProof/>
                <w:webHidden/>
              </w:rPr>
              <w:fldChar w:fldCharType="begin"/>
            </w:r>
            <w:r w:rsidR="00A356C5">
              <w:rPr>
                <w:noProof/>
                <w:webHidden/>
              </w:rPr>
              <w:instrText xml:space="preserve"> PAGEREF _Toc509822430 \h </w:instrText>
            </w:r>
            <w:r w:rsidR="00A356C5">
              <w:rPr>
                <w:noProof/>
                <w:webHidden/>
              </w:rPr>
            </w:r>
            <w:r w:rsidR="00A356C5">
              <w:rPr>
                <w:noProof/>
                <w:webHidden/>
              </w:rPr>
              <w:fldChar w:fldCharType="separate"/>
            </w:r>
            <w:r w:rsidR="00682FD2">
              <w:rPr>
                <w:noProof/>
                <w:webHidden/>
              </w:rPr>
              <w:t>96</w:t>
            </w:r>
            <w:r w:rsidR="00A356C5">
              <w:rPr>
                <w:noProof/>
                <w:webHidden/>
              </w:rPr>
              <w:fldChar w:fldCharType="end"/>
            </w:r>
          </w:hyperlink>
        </w:p>
        <w:p w14:paraId="67123B7D"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31" w:history="1">
            <w:r w:rsidR="00A356C5" w:rsidRPr="00D13B03">
              <w:rPr>
                <w:rStyle w:val="Hyperlink"/>
                <w:noProof/>
              </w:rPr>
              <w:t>13.1.</w:t>
            </w:r>
            <w:r w:rsidR="00A356C5">
              <w:rPr>
                <w:rFonts w:asciiTheme="minorHAnsi" w:eastAsiaTheme="minorEastAsia" w:hAnsiTheme="minorHAnsi" w:cstheme="minorBidi"/>
                <w:noProof/>
                <w:lang w:eastAsia="en-AU"/>
              </w:rPr>
              <w:tab/>
            </w:r>
            <w:r w:rsidR="00A356C5" w:rsidRPr="00D13B03">
              <w:rPr>
                <w:rStyle w:val="Hyperlink"/>
                <w:noProof/>
              </w:rPr>
              <w:t>Second round assessment of benefits</w:t>
            </w:r>
            <w:r w:rsidR="00A356C5">
              <w:rPr>
                <w:noProof/>
                <w:webHidden/>
              </w:rPr>
              <w:tab/>
            </w:r>
            <w:r w:rsidR="00A356C5">
              <w:rPr>
                <w:noProof/>
                <w:webHidden/>
              </w:rPr>
              <w:fldChar w:fldCharType="begin"/>
            </w:r>
            <w:r w:rsidR="00A356C5">
              <w:rPr>
                <w:noProof/>
                <w:webHidden/>
              </w:rPr>
              <w:instrText xml:space="preserve"> PAGEREF _Toc509822431 \h </w:instrText>
            </w:r>
            <w:r w:rsidR="00A356C5">
              <w:rPr>
                <w:noProof/>
                <w:webHidden/>
              </w:rPr>
            </w:r>
            <w:r w:rsidR="00A356C5">
              <w:rPr>
                <w:noProof/>
                <w:webHidden/>
              </w:rPr>
              <w:fldChar w:fldCharType="separate"/>
            </w:r>
            <w:r w:rsidR="00682FD2">
              <w:rPr>
                <w:noProof/>
                <w:webHidden/>
              </w:rPr>
              <w:t>96</w:t>
            </w:r>
            <w:r w:rsidR="00A356C5">
              <w:rPr>
                <w:noProof/>
                <w:webHidden/>
              </w:rPr>
              <w:fldChar w:fldCharType="end"/>
            </w:r>
          </w:hyperlink>
        </w:p>
        <w:p w14:paraId="41810DEA"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32" w:history="1">
            <w:r w:rsidR="00A356C5" w:rsidRPr="00D13B03">
              <w:rPr>
                <w:rStyle w:val="Hyperlink"/>
                <w:noProof/>
              </w:rPr>
              <w:t>13.2.</w:t>
            </w:r>
            <w:r w:rsidR="00A356C5">
              <w:rPr>
                <w:rFonts w:asciiTheme="minorHAnsi" w:eastAsiaTheme="minorEastAsia" w:hAnsiTheme="minorHAnsi" w:cstheme="minorBidi"/>
                <w:noProof/>
                <w:lang w:eastAsia="en-AU"/>
              </w:rPr>
              <w:tab/>
            </w:r>
            <w:r w:rsidR="00A356C5" w:rsidRPr="00D13B03">
              <w:rPr>
                <w:rStyle w:val="Hyperlink"/>
                <w:noProof/>
              </w:rPr>
              <w:t>Second round assessment of risks</w:t>
            </w:r>
            <w:r w:rsidR="00A356C5">
              <w:rPr>
                <w:noProof/>
                <w:webHidden/>
              </w:rPr>
              <w:tab/>
            </w:r>
            <w:r w:rsidR="00A356C5">
              <w:rPr>
                <w:noProof/>
                <w:webHidden/>
              </w:rPr>
              <w:fldChar w:fldCharType="begin"/>
            </w:r>
            <w:r w:rsidR="00A356C5">
              <w:rPr>
                <w:noProof/>
                <w:webHidden/>
              </w:rPr>
              <w:instrText xml:space="preserve"> PAGEREF _Toc509822432 \h </w:instrText>
            </w:r>
            <w:r w:rsidR="00A356C5">
              <w:rPr>
                <w:noProof/>
                <w:webHidden/>
              </w:rPr>
            </w:r>
            <w:r w:rsidR="00A356C5">
              <w:rPr>
                <w:noProof/>
                <w:webHidden/>
              </w:rPr>
              <w:fldChar w:fldCharType="separate"/>
            </w:r>
            <w:r w:rsidR="00682FD2">
              <w:rPr>
                <w:noProof/>
                <w:webHidden/>
              </w:rPr>
              <w:t>96</w:t>
            </w:r>
            <w:r w:rsidR="00A356C5">
              <w:rPr>
                <w:noProof/>
                <w:webHidden/>
              </w:rPr>
              <w:fldChar w:fldCharType="end"/>
            </w:r>
          </w:hyperlink>
        </w:p>
        <w:p w14:paraId="0EFFAC3E"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33" w:history="1">
            <w:r w:rsidR="00A356C5" w:rsidRPr="00D13B03">
              <w:rPr>
                <w:rStyle w:val="Hyperlink"/>
                <w:noProof/>
              </w:rPr>
              <w:t>13.3.</w:t>
            </w:r>
            <w:r w:rsidR="00A356C5">
              <w:rPr>
                <w:rFonts w:asciiTheme="minorHAnsi" w:eastAsiaTheme="minorEastAsia" w:hAnsiTheme="minorHAnsi" w:cstheme="minorBidi"/>
                <w:noProof/>
                <w:lang w:eastAsia="en-AU"/>
              </w:rPr>
              <w:tab/>
            </w:r>
            <w:r w:rsidR="00A356C5" w:rsidRPr="00D13B03">
              <w:rPr>
                <w:rStyle w:val="Hyperlink"/>
                <w:noProof/>
              </w:rPr>
              <w:t>Second round assessment of benefit-risk balance</w:t>
            </w:r>
            <w:r w:rsidR="00A356C5">
              <w:rPr>
                <w:noProof/>
                <w:webHidden/>
              </w:rPr>
              <w:tab/>
            </w:r>
            <w:r w:rsidR="00A356C5">
              <w:rPr>
                <w:noProof/>
                <w:webHidden/>
              </w:rPr>
              <w:fldChar w:fldCharType="begin"/>
            </w:r>
            <w:r w:rsidR="00A356C5">
              <w:rPr>
                <w:noProof/>
                <w:webHidden/>
              </w:rPr>
              <w:instrText xml:space="preserve"> PAGEREF _Toc509822433 \h </w:instrText>
            </w:r>
            <w:r w:rsidR="00A356C5">
              <w:rPr>
                <w:noProof/>
                <w:webHidden/>
              </w:rPr>
            </w:r>
            <w:r w:rsidR="00A356C5">
              <w:rPr>
                <w:noProof/>
                <w:webHidden/>
              </w:rPr>
              <w:fldChar w:fldCharType="separate"/>
            </w:r>
            <w:r w:rsidR="00682FD2">
              <w:rPr>
                <w:noProof/>
                <w:webHidden/>
              </w:rPr>
              <w:t>96</w:t>
            </w:r>
            <w:r w:rsidR="00A356C5">
              <w:rPr>
                <w:noProof/>
                <w:webHidden/>
              </w:rPr>
              <w:fldChar w:fldCharType="end"/>
            </w:r>
          </w:hyperlink>
        </w:p>
        <w:p w14:paraId="017F7F06"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34" w:history="1">
            <w:r w:rsidR="00A356C5" w:rsidRPr="00D13B03">
              <w:rPr>
                <w:rStyle w:val="Hyperlink"/>
                <w:noProof/>
              </w:rPr>
              <w:t>14.</w:t>
            </w:r>
            <w:r w:rsidR="00A356C5">
              <w:rPr>
                <w:rFonts w:asciiTheme="minorHAnsi" w:eastAsiaTheme="minorEastAsia" w:hAnsiTheme="minorHAnsi" w:cstheme="minorBidi"/>
                <w:b w:val="0"/>
                <w:noProof/>
                <w:sz w:val="22"/>
                <w:lang w:eastAsia="en-AU"/>
              </w:rPr>
              <w:tab/>
            </w:r>
            <w:r w:rsidR="00A356C5" w:rsidRPr="00D13B03">
              <w:rPr>
                <w:rStyle w:val="Hyperlink"/>
                <w:noProof/>
              </w:rPr>
              <w:t>Second round recommendation regarding authorisation</w:t>
            </w:r>
            <w:r w:rsidR="00A356C5">
              <w:rPr>
                <w:noProof/>
                <w:webHidden/>
              </w:rPr>
              <w:tab/>
            </w:r>
            <w:r w:rsidR="00A356C5">
              <w:rPr>
                <w:noProof/>
                <w:webHidden/>
              </w:rPr>
              <w:fldChar w:fldCharType="begin"/>
            </w:r>
            <w:r w:rsidR="00A356C5">
              <w:rPr>
                <w:noProof/>
                <w:webHidden/>
              </w:rPr>
              <w:instrText xml:space="preserve"> PAGEREF _Toc509822434 \h </w:instrText>
            </w:r>
            <w:r w:rsidR="00A356C5">
              <w:rPr>
                <w:noProof/>
                <w:webHidden/>
              </w:rPr>
            </w:r>
            <w:r w:rsidR="00A356C5">
              <w:rPr>
                <w:noProof/>
                <w:webHidden/>
              </w:rPr>
              <w:fldChar w:fldCharType="separate"/>
            </w:r>
            <w:r w:rsidR="00682FD2">
              <w:rPr>
                <w:noProof/>
                <w:webHidden/>
              </w:rPr>
              <w:t>96</w:t>
            </w:r>
            <w:r w:rsidR="00A356C5">
              <w:rPr>
                <w:noProof/>
                <w:webHidden/>
              </w:rPr>
              <w:fldChar w:fldCharType="end"/>
            </w:r>
          </w:hyperlink>
        </w:p>
        <w:p w14:paraId="1338BB03"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35" w:history="1">
            <w:r w:rsidR="00A356C5" w:rsidRPr="00D13B03">
              <w:rPr>
                <w:rStyle w:val="Hyperlink"/>
                <w:noProof/>
              </w:rPr>
              <w:t>15.</w:t>
            </w:r>
            <w:r w:rsidR="00A356C5">
              <w:rPr>
                <w:rFonts w:asciiTheme="minorHAnsi" w:eastAsiaTheme="minorEastAsia" w:hAnsiTheme="minorHAnsi" w:cstheme="minorBidi"/>
                <w:b w:val="0"/>
                <w:noProof/>
                <w:sz w:val="22"/>
                <w:lang w:eastAsia="en-AU"/>
              </w:rPr>
              <w:tab/>
            </w:r>
            <w:r w:rsidR="00A356C5" w:rsidRPr="00D13B03">
              <w:rPr>
                <w:rStyle w:val="Hyperlink"/>
                <w:noProof/>
              </w:rPr>
              <w:t>Second round comments on product documentation</w:t>
            </w:r>
            <w:r w:rsidR="00A356C5">
              <w:rPr>
                <w:noProof/>
                <w:webHidden/>
              </w:rPr>
              <w:tab/>
            </w:r>
            <w:r w:rsidR="00A356C5">
              <w:rPr>
                <w:noProof/>
                <w:webHidden/>
              </w:rPr>
              <w:fldChar w:fldCharType="begin"/>
            </w:r>
            <w:r w:rsidR="00A356C5">
              <w:rPr>
                <w:noProof/>
                <w:webHidden/>
              </w:rPr>
              <w:instrText xml:space="preserve"> PAGEREF _Toc509822435 \h </w:instrText>
            </w:r>
            <w:r w:rsidR="00A356C5">
              <w:rPr>
                <w:noProof/>
                <w:webHidden/>
              </w:rPr>
            </w:r>
            <w:r w:rsidR="00A356C5">
              <w:rPr>
                <w:noProof/>
                <w:webHidden/>
              </w:rPr>
              <w:fldChar w:fldCharType="separate"/>
            </w:r>
            <w:r w:rsidR="00682FD2">
              <w:rPr>
                <w:noProof/>
                <w:webHidden/>
              </w:rPr>
              <w:t>97</w:t>
            </w:r>
            <w:r w:rsidR="00A356C5">
              <w:rPr>
                <w:noProof/>
                <w:webHidden/>
              </w:rPr>
              <w:fldChar w:fldCharType="end"/>
            </w:r>
          </w:hyperlink>
        </w:p>
        <w:p w14:paraId="026B0D8E" w14:textId="77777777" w:rsidR="00A356C5" w:rsidRDefault="00E94FE8">
          <w:pPr>
            <w:pStyle w:val="TOC3"/>
            <w:tabs>
              <w:tab w:val="left" w:pos="1760"/>
            </w:tabs>
            <w:rPr>
              <w:rFonts w:asciiTheme="minorHAnsi" w:eastAsiaTheme="minorEastAsia" w:hAnsiTheme="minorHAnsi" w:cstheme="minorBidi"/>
              <w:noProof/>
              <w:lang w:eastAsia="en-AU"/>
            </w:rPr>
          </w:pPr>
          <w:hyperlink w:anchor="_Toc509822436" w:history="1">
            <w:r w:rsidR="00A356C5" w:rsidRPr="00D13B03">
              <w:rPr>
                <w:rStyle w:val="Hyperlink"/>
                <w:noProof/>
              </w:rPr>
              <w:t>15.1.</w:t>
            </w:r>
            <w:r w:rsidR="00A356C5">
              <w:rPr>
                <w:rFonts w:asciiTheme="minorHAnsi" w:eastAsiaTheme="minorEastAsia" w:hAnsiTheme="minorHAnsi" w:cstheme="minorBidi"/>
                <w:noProof/>
                <w:lang w:eastAsia="en-AU"/>
              </w:rPr>
              <w:tab/>
            </w:r>
            <w:r w:rsidR="00A356C5" w:rsidRPr="00D13B03">
              <w:rPr>
                <w:rStyle w:val="Hyperlink"/>
                <w:noProof/>
              </w:rPr>
              <w:t>Second round comments on draft PI (clinical aspects)</w:t>
            </w:r>
            <w:r w:rsidR="00A356C5">
              <w:rPr>
                <w:noProof/>
                <w:webHidden/>
              </w:rPr>
              <w:tab/>
            </w:r>
            <w:r w:rsidR="00A356C5">
              <w:rPr>
                <w:noProof/>
                <w:webHidden/>
              </w:rPr>
              <w:fldChar w:fldCharType="begin"/>
            </w:r>
            <w:r w:rsidR="00A356C5">
              <w:rPr>
                <w:noProof/>
                <w:webHidden/>
              </w:rPr>
              <w:instrText xml:space="preserve"> PAGEREF _Toc509822436 \h </w:instrText>
            </w:r>
            <w:r w:rsidR="00A356C5">
              <w:rPr>
                <w:noProof/>
                <w:webHidden/>
              </w:rPr>
            </w:r>
            <w:r w:rsidR="00A356C5">
              <w:rPr>
                <w:noProof/>
                <w:webHidden/>
              </w:rPr>
              <w:fldChar w:fldCharType="separate"/>
            </w:r>
            <w:r w:rsidR="00682FD2">
              <w:rPr>
                <w:noProof/>
                <w:webHidden/>
              </w:rPr>
              <w:t>97</w:t>
            </w:r>
            <w:r w:rsidR="00A356C5">
              <w:rPr>
                <w:noProof/>
                <w:webHidden/>
              </w:rPr>
              <w:fldChar w:fldCharType="end"/>
            </w:r>
          </w:hyperlink>
        </w:p>
        <w:p w14:paraId="5FF3A6AF" w14:textId="77777777" w:rsidR="00A356C5" w:rsidRDefault="00E94FE8">
          <w:pPr>
            <w:pStyle w:val="TOC2"/>
            <w:tabs>
              <w:tab w:val="left" w:pos="1320"/>
            </w:tabs>
            <w:rPr>
              <w:rFonts w:asciiTheme="minorHAnsi" w:eastAsiaTheme="minorEastAsia" w:hAnsiTheme="minorHAnsi" w:cstheme="minorBidi"/>
              <w:b w:val="0"/>
              <w:noProof/>
              <w:sz w:val="22"/>
              <w:lang w:eastAsia="en-AU"/>
            </w:rPr>
          </w:pPr>
          <w:hyperlink w:anchor="_Toc509822437" w:history="1">
            <w:r w:rsidR="00A356C5" w:rsidRPr="00D13B03">
              <w:rPr>
                <w:rStyle w:val="Hyperlink"/>
                <w:noProof/>
              </w:rPr>
              <w:t>16.</w:t>
            </w:r>
            <w:r w:rsidR="00A356C5">
              <w:rPr>
                <w:rFonts w:asciiTheme="minorHAnsi" w:eastAsiaTheme="minorEastAsia" w:hAnsiTheme="minorHAnsi" w:cstheme="minorBidi"/>
                <w:b w:val="0"/>
                <w:noProof/>
                <w:sz w:val="22"/>
                <w:lang w:eastAsia="en-AU"/>
              </w:rPr>
              <w:tab/>
            </w:r>
            <w:r w:rsidR="00A356C5" w:rsidRPr="00D13B03">
              <w:rPr>
                <w:rStyle w:val="Hyperlink"/>
                <w:noProof/>
              </w:rPr>
              <w:t>References</w:t>
            </w:r>
            <w:r w:rsidR="00A356C5">
              <w:rPr>
                <w:noProof/>
                <w:webHidden/>
              </w:rPr>
              <w:tab/>
            </w:r>
            <w:r w:rsidR="00A356C5">
              <w:rPr>
                <w:noProof/>
                <w:webHidden/>
              </w:rPr>
              <w:fldChar w:fldCharType="begin"/>
            </w:r>
            <w:r w:rsidR="00A356C5">
              <w:rPr>
                <w:noProof/>
                <w:webHidden/>
              </w:rPr>
              <w:instrText xml:space="preserve"> PAGEREF _Toc509822437 \h </w:instrText>
            </w:r>
            <w:r w:rsidR="00A356C5">
              <w:rPr>
                <w:noProof/>
                <w:webHidden/>
              </w:rPr>
            </w:r>
            <w:r w:rsidR="00A356C5">
              <w:rPr>
                <w:noProof/>
                <w:webHidden/>
              </w:rPr>
              <w:fldChar w:fldCharType="separate"/>
            </w:r>
            <w:r w:rsidR="00682FD2">
              <w:rPr>
                <w:noProof/>
                <w:webHidden/>
              </w:rPr>
              <w:t>98</w:t>
            </w:r>
            <w:r w:rsidR="00A356C5">
              <w:rPr>
                <w:noProof/>
                <w:webHidden/>
              </w:rPr>
              <w:fldChar w:fldCharType="end"/>
            </w:r>
          </w:hyperlink>
        </w:p>
        <w:p w14:paraId="214E8293" w14:textId="77777777" w:rsidR="003A7F6C" w:rsidRPr="00B811C6" w:rsidRDefault="004F4AF5" w:rsidP="00B811C6">
          <w:pPr>
            <w:pStyle w:val="TOC2"/>
          </w:pPr>
          <w:r>
            <w:fldChar w:fldCharType="end"/>
          </w:r>
        </w:p>
      </w:sdtContent>
    </w:sdt>
    <w:bookmarkStart w:id="3" w:name="_Toc314842482" w:displacedByCustomXml="prev"/>
    <w:p w14:paraId="666622A3" w14:textId="774BB9C7" w:rsidR="00B379C9" w:rsidRPr="00B379C9" w:rsidRDefault="00B379C9" w:rsidP="00533472">
      <w:pPr>
        <w:spacing w:before="0" w:after="200" w:line="0" w:lineRule="auto"/>
      </w:pPr>
      <w:bookmarkStart w:id="4" w:name="_Toc470272263"/>
      <w:bookmarkStart w:id="5" w:name="_Toc509822376"/>
      <w:bookmarkEnd w:id="3"/>
      <w:bookmarkEnd w:id="2"/>
      <w:bookmarkEnd w:id="1"/>
      <w:r>
        <w:br w:type="page"/>
      </w:r>
    </w:p>
    <w:p w14:paraId="5BF3FEEB" w14:textId="77777777" w:rsidR="007C0FDC" w:rsidRDefault="007C0FDC" w:rsidP="007C0FDC">
      <w:pPr>
        <w:pStyle w:val="Heading2"/>
        <w:numPr>
          <w:ilvl w:val="0"/>
          <w:numId w:val="0"/>
        </w:numPr>
      </w:pPr>
      <w:r>
        <w:t>List of common abbreviations</w:t>
      </w:r>
      <w:bookmarkEnd w:id="4"/>
      <w:bookmarkEnd w:id="5"/>
    </w:p>
    <w:tbl>
      <w:tblPr>
        <w:tblStyle w:val="TableTGAblue"/>
        <w:tblW w:w="0" w:type="auto"/>
        <w:tblLook w:val="04A0" w:firstRow="1" w:lastRow="0" w:firstColumn="1" w:lastColumn="0" w:noHBand="0" w:noVBand="1"/>
      </w:tblPr>
      <w:tblGrid>
        <w:gridCol w:w="1890"/>
        <w:gridCol w:w="6911"/>
      </w:tblGrid>
      <w:tr w:rsidR="007C0FDC" w14:paraId="54A5C72A" w14:textId="77777777" w:rsidTr="002E64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3A875C15" w14:textId="77777777" w:rsidR="007C0FDC" w:rsidRDefault="007C0FDC" w:rsidP="002E64CE">
            <w:r>
              <w:t>Abbreviation</w:t>
            </w:r>
          </w:p>
        </w:tc>
        <w:tc>
          <w:tcPr>
            <w:tcW w:w="6911" w:type="dxa"/>
          </w:tcPr>
          <w:p w14:paraId="75E45BE1" w14:textId="77777777" w:rsidR="007C0FDC" w:rsidRDefault="007C0FDC" w:rsidP="002E64CE">
            <w:pPr>
              <w:cnfStyle w:val="100000000000" w:firstRow="1" w:lastRow="0" w:firstColumn="0" w:lastColumn="0" w:oddVBand="0" w:evenVBand="0" w:oddHBand="0" w:evenHBand="0" w:firstRowFirstColumn="0" w:firstRowLastColumn="0" w:lastRowFirstColumn="0" w:lastRowLastColumn="0"/>
            </w:pPr>
            <w:r>
              <w:t>Meaning</w:t>
            </w:r>
          </w:p>
        </w:tc>
      </w:tr>
      <w:tr w:rsidR="007C0FDC" w14:paraId="2BEB2AD9"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6D67CFB" w14:textId="77777777" w:rsidR="007C0FDC" w:rsidRDefault="007C0FDC" w:rsidP="002E64CE">
            <w:r>
              <w:t>Ab</w:t>
            </w:r>
          </w:p>
        </w:tc>
        <w:tc>
          <w:tcPr>
            <w:tcW w:w="6911" w:type="dxa"/>
          </w:tcPr>
          <w:p w14:paraId="1D85AA83"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Antibody</w:t>
            </w:r>
          </w:p>
        </w:tc>
      </w:tr>
      <w:tr w:rsidR="007C0FDC" w14:paraId="117FAC8A"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7D796B4" w14:textId="77777777" w:rsidR="007C0FDC" w:rsidRDefault="007C0FDC" w:rsidP="002E64CE">
            <w:r w:rsidRPr="006F497A">
              <w:t>ABN</w:t>
            </w:r>
          </w:p>
        </w:tc>
        <w:tc>
          <w:tcPr>
            <w:tcW w:w="6911" w:type="dxa"/>
          </w:tcPr>
          <w:p w14:paraId="24BD695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Australian Biological Name</w:t>
            </w:r>
          </w:p>
        </w:tc>
      </w:tr>
      <w:tr w:rsidR="007C0FDC" w14:paraId="710D91E2"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A0AF3DC" w14:textId="77777777" w:rsidR="007C0FDC" w:rsidRDefault="007C0FDC" w:rsidP="002E64CE">
            <w:r>
              <w:t>ABP 501</w:t>
            </w:r>
          </w:p>
        </w:tc>
        <w:tc>
          <w:tcPr>
            <w:tcW w:w="6911" w:type="dxa"/>
          </w:tcPr>
          <w:p w14:paraId="413A34EF"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Amgevita (adalimumab)</w:t>
            </w:r>
          </w:p>
        </w:tc>
      </w:tr>
      <w:tr w:rsidR="007C0FDC" w14:paraId="3ED82D83"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30A27BDF" w14:textId="77777777" w:rsidR="007C0FDC" w:rsidRDefault="007C0FDC" w:rsidP="002E64CE">
            <w:r>
              <w:t>ACR</w:t>
            </w:r>
          </w:p>
        </w:tc>
        <w:tc>
          <w:tcPr>
            <w:tcW w:w="6911" w:type="dxa"/>
          </w:tcPr>
          <w:p w14:paraId="6476DBB9" w14:textId="77777777" w:rsidR="007C0FDC" w:rsidRPr="007F409D" w:rsidRDefault="007C0FDC" w:rsidP="002E64CE">
            <w:pPr>
              <w:cnfStyle w:val="000000000000" w:firstRow="0" w:lastRow="0" w:firstColumn="0" w:lastColumn="0" w:oddVBand="0" w:evenVBand="0" w:oddHBand="0" w:evenHBand="0" w:firstRowFirstColumn="0" w:firstRowLastColumn="0" w:lastRowFirstColumn="0" w:lastRowLastColumn="0"/>
            </w:pPr>
            <w:r w:rsidRPr="007F409D">
              <w:t>American College of Rheumatology</w:t>
            </w:r>
          </w:p>
        </w:tc>
      </w:tr>
      <w:tr w:rsidR="007C0FDC" w14:paraId="037F34D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656C440" w14:textId="77777777" w:rsidR="007C0FDC" w:rsidRDefault="007C0FDC" w:rsidP="002E64CE">
            <w:r>
              <w:t>ACR20</w:t>
            </w:r>
          </w:p>
        </w:tc>
        <w:tc>
          <w:tcPr>
            <w:tcW w:w="6911" w:type="dxa"/>
          </w:tcPr>
          <w:p w14:paraId="49B36D9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7F409D">
              <w:t>American College of Rheumatology 20% improvement criteria</w:t>
            </w:r>
          </w:p>
        </w:tc>
      </w:tr>
      <w:tr w:rsidR="007C0FDC" w14:paraId="3A3AF30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21BA5F4" w14:textId="77777777" w:rsidR="007C0FDC" w:rsidRDefault="007C0FDC" w:rsidP="002E64CE">
            <w:r>
              <w:t>ADA</w:t>
            </w:r>
          </w:p>
        </w:tc>
        <w:tc>
          <w:tcPr>
            <w:tcW w:w="6911" w:type="dxa"/>
          </w:tcPr>
          <w:p w14:paraId="39BA46CD" w14:textId="77777777" w:rsidR="007C0FDC" w:rsidRPr="00DB60AA" w:rsidRDefault="007C0FDC" w:rsidP="002E64CE">
            <w:pPr>
              <w:cnfStyle w:val="000000000000" w:firstRow="0" w:lastRow="0" w:firstColumn="0" w:lastColumn="0" w:oddVBand="0" w:evenVBand="0" w:oddHBand="0" w:evenHBand="0" w:firstRowFirstColumn="0" w:firstRowLastColumn="0" w:lastRowFirstColumn="0" w:lastRowLastColumn="0"/>
            </w:pPr>
            <w:r>
              <w:t>Anti-drug antibody</w:t>
            </w:r>
          </w:p>
        </w:tc>
      </w:tr>
      <w:tr w:rsidR="007C0FDC" w14:paraId="4BBF494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28B05A1" w14:textId="77777777" w:rsidR="007C0FDC" w:rsidRDefault="007C0FDC" w:rsidP="002E64CE">
            <w:r>
              <w:t>AE</w:t>
            </w:r>
          </w:p>
        </w:tc>
        <w:tc>
          <w:tcPr>
            <w:tcW w:w="6911" w:type="dxa"/>
          </w:tcPr>
          <w:p w14:paraId="2A63A50A"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Adverse event (not necessarily treatment-related)</w:t>
            </w:r>
          </w:p>
        </w:tc>
      </w:tr>
      <w:tr w:rsidR="007C0FDC" w14:paraId="5A7F3127"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46AEEB4" w14:textId="77777777" w:rsidR="007C0FDC" w:rsidRPr="00AB6217" w:rsidRDefault="007C0FDC" w:rsidP="002E64CE">
            <w:r>
              <w:t>Anti-CCP</w:t>
            </w:r>
          </w:p>
        </w:tc>
        <w:tc>
          <w:tcPr>
            <w:tcW w:w="6911" w:type="dxa"/>
          </w:tcPr>
          <w:p w14:paraId="155434ED"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Anti-cyclic citrullinated peptide</w:t>
            </w:r>
          </w:p>
        </w:tc>
      </w:tr>
      <w:tr w:rsidR="007C0FDC" w14:paraId="3C36D7DE"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C8D82D4" w14:textId="77777777" w:rsidR="007C0FDC" w:rsidRDefault="007C0FDC" w:rsidP="002E64CE">
            <w:r w:rsidRPr="00AB6217">
              <w:t>ALT</w:t>
            </w:r>
          </w:p>
        </w:tc>
        <w:tc>
          <w:tcPr>
            <w:tcW w:w="6911" w:type="dxa"/>
          </w:tcPr>
          <w:p w14:paraId="3BE0DACE" w14:textId="77777777" w:rsidR="007C0FDC" w:rsidRPr="00DB60AA" w:rsidRDefault="007C0FDC" w:rsidP="002E64CE">
            <w:pPr>
              <w:cnfStyle w:val="000000000000" w:firstRow="0" w:lastRow="0" w:firstColumn="0" w:lastColumn="0" w:oddVBand="0" w:evenVBand="0" w:oddHBand="0" w:evenHBand="0" w:firstRowFirstColumn="0" w:firstRowLastColumn="0" w:lastRowFirstColumn="0" w:lastRowLastColumn="0"/>
            </w:pPr>
            <w:r>
              <w:t>A</w:t>
            </w:r>
            <w:r w:rsidRPr="00AB6217">
              <w:t>lanine aminotransferase</w:t>
            </w:r>
          </w:p>
        </w:tc>
      </w:tr>
      <w:tr w:rsidR="007C0FDC" w14:paraId="375B561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F0440FC" w14:textId="77777777" w:rsidR="007C0FDC" w:rsidRDefault="007C0FDC" w:rsidP="002E64CE">
            <w:r>
              <w:t>ARTG</w:t>
            </w:r>
          </w:p>
        </w:tc>
        <w:tc>
          <w:tcPr>
            <w:tcW w:w="6911" w:type="dxa"/>
          </w:tcPr>
          <w:p w14:paraId="013DB527"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DB60AA">
              <w:t>Australian Register of Therapeutic Goods</w:t>
            </w:r>
          </w:p>
        </w:tc>
      </w:tr>
      <w:tr w:rsidR="007C0FDC" w14:paraId="481CE89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6025752" w14:textId="77777777" w:rsidR="007C0FDC" w:rsidRPr="00AB6217" w:rsidRDefault="007C0FDC" w:rsidP="002E64CE">
            <w:r w:rsidRPr="00AB6217">
              <w:t>AST</w:t>
            </w:r>
          </w:p>
        </w:tc>
        <w:tc>
          <w:tcPr>
            <w:tcW w:w="6911" w:type="dxa"/>
          </w:tcPr>
          <w:p w14:paraId="62DCB51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Aspartate aminotransferase</w:t>
            </w:r>
          </w:p>
        </w:tc>
      </w:tr>
      <w:tr w:rsidR="007C0FDC" w14:paraId="1A13DF48"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8138E2C" w14:textId="77777777" w:rsidR="007C0FDC" w:rsidRDefault="007C0FDC" w:rsidP="002E64CE">
            <w:r w:rsidRPr="00AB6217">
              <w:t>BCC</w:t>
            </w:r>
          </w:p>
        </w:tc>
        <w:tc>
          <w:tcPr>
            <w:tcW w:w="6911" w:type="dxa"/>
          </w:tcPr>
          <w:p w14:paraId="4141F2F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8D468D">
              <w:t>Basal cell carcinoma</w:t>
            </w:r>
          </w:p>
        </w:tc>
      </w:tr>
      <w:tr w:rsidR="007C0FDC" w14:paraId="7198B660"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7697AF1" w14:textId="77777777" w:rsidR="007C0FDC" w:rsidRDefault="007C0FDC" w:rsidP="002E64CE">
            <w:r>
              <w:t>BMI</w:t>
            </w:r>
          </w:p>
        </w:tc>
        <w:tc>
          <w:tcPr>
            <w:tcW w:w="6911" w:type="dxa"/>
          </w:tcPr>
          <w:p w14:paraId="749E2259"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Body-mass index</w:t>
            </w:r>
          </w:p>
        </w:tc>
      </w:tr>
      <w:tr w:rsidR="007C0FDC" w14:paraId="34886FDB"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A997F6F" w14:textId="77777777" w:rsidR="007C0FDC" w:rsidRDefault="007C0FDC" w:rsidP="002E64CE">
            <w:r>
              <w:t>BSA</w:t>
            </w:r>
          </w:p>
        </w:tc>
        <w:tc>
          <w:tcPr>
            <w:tcW w:w="6911" w:type="dxa"/>
          </w:tcPr>
          <w:p w14:paraId="3DBA70D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Body surface area</w:t>
            </w:r>
          </w:p>
        </w:tc>
      </w:tr>
      <w:tr w:rsidR="007C0FDC" w14:paraId="05B23C1A"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137E66B" w14:textId="77777777" w:rsidR="007C0FDC" w:rsidRDefault="007C0FDC" w:rsidP="002E64CE">
            <w:r>
              <w:t>CNS</w:t>
            </w:r>
          </w:p>
        </w:tc>
        <w:tc>
          <w:tcPr>
            <w:tcW w:w="6911" w:type="dxa"/>
          </w:tcPr>
          <w:p w14:paraId="088F8A1D"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Central nervous system</w:t>
            </w:r>
          </w:p>
        </w:tc>
      </w:tr>
      <w:tr w:rsidR="007C0FDC" w14:paraId="231E5FC8"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21B86273" w14:textId="77777777" w:rsidR="007C0FDC" w:rsidRDefault="007C0FDC" w:rsidP="002E64CE">
            <w:r>
              <w:t>COX-2</w:t>
            </w:r>
          </w:p>
        </w:tc>
        <w:tc>
          <w:tcPr>
            <w:tcW w:w="6911" w:type="dxa"/>
          </w:tcPr>
          <w:p w14:paraId="39A5A7AD"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C</w:t>
            </w:r>
            <w:r w:rsidRPr="00131251">
              <w:t>yclooxygenase-2</w:t>
            </w:r>
          </w:p>
        </w:tc>
      </w:tr>
      <w:tr w:rsidR="007C0FDC" w14:paraId="2E681394"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F4D3D84" w14:textId="77777777" w:rsidR="007C0FDC" w:rsidRDefault="007C0FDC" w:rsidP="002E64CE">
            <w:r>
              <w:t>CPU</w:t>
            </w:r>
          </w:p>
        </w:tc>
        <w:tc>
          <w:tcPr>
            <w:tcW w:w="6911" w:type="dxa"/>
          </w:tcPr>
          <w:p w14:paraId="313DE43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Clinical pharmacology unit</w:t>
            </w:r>
          </w:p>
        </w:tc>
      </w:tr>
      <w:tr w:rsidR="007C0FDC" w14:paraId="3E3BBD85"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9C3DE31" w14:textId="77777777" w:rsidR="007C0FDC" w:rsidRDefault="007C0FDC" w:rsidP="002E64CE">
            <w:r>
              <w:t>CRP</w:t>
            </w:r>
          </w:p>
        </w:tc>
        <w:tc>
          <w:tcPr>
            <w:tcW w:w="6911" w:type="dxa"/>
          </w:tcPr>
          <w:p w14:paraId="1A2FFE4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C-reactive protein</w:t>
            </w:r>
          </w:p>
        </w:tc>
      </w:tr>
      <w:tr w:rsidR="007C0FDC" w14:paraId="43D871FE"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4E26039" w14:textId="77777777" w:rsidR="007C0FDC" w:rsidRDefault="007C0FDC" w:rsidP="002E64CE">
            <w:r>
              <w:t>CSR</w:t>
            </w:r>
          </w:p>
        </w:tc>
        <w:tc>
          <w:tcPr>
            <w:tcW w:w="6911" w:type="dxa"/>
          </w:tcPr>
          <w:p w14:paraId="4B923A6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Clinical study report</w:t>
            </w:r>
          </w:p>
        </w:tc>
      </w:tr>
      <w:tr w:rsidR="007C0FDC" w14:paraId="2501062F"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199E38E" w14:textId="77777777" w:rsidR="007C0FDC" w:rsidRDefault="007C0FDC" w:rsidP="002E64CE">
            <w:r w:rsidRPr="000A743B">
              <w:t>CTCAE</w:t>
            </w:r>
          </w:p>
        </w:tc>
        <w:tc>
          <w:tcPr>
            <w:tcW w:w="6911" w:type="dxa"/>
          </w:tcPr>
          <w:p w14:paraId="67BBA6F5"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0A743B">
              <w:t>Common Terminolo</w:t>
            </w:r>
            <w:r>
              <w:t>gy Criteria for Adverse Events</w:t>
            </w:r>
          </w:p>
        </w:tc>
      </w:tr>
      <w:tr w:rsidR="007C0FDC" w14:paraId="4CD2D045"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3356F23F" w14:textId="77777777" w:rsidR="007C0FDC" w:rsidRDefault="007C0FDC" w:rsidP="002E64CE">
            <w:r w:rsidRPr="00EC4B7F">
              <w:t>DAS28-CRP</w:t>
            </w:r>
          </w:p>
        </w:tc>
        <w:tc>
          <w:tcPr>
            <w:tcW w:w="6911" w:type="dxa"/>
          </w:tcPr>
          <w:p w14:paraId="2998251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EC4B7F">
              <w:t>Disease Activity Score 28-CRP</w:t>
            </w:r>
          </w:p>
        </w:tc>
      </w:tr>
      <w:tr w:rsidR="007C0FDC" w14:paraId="4DBE5C6E"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E8CD1C4" w14:textId="77777777" w:rsidR="007C0FDC" w:rsidRDefault="007C0FDC" w:rsidP="002E64CE">
            <w:r>
              <w:t>DMARD</w:t>
            </w:r>
          </w:p>
        </w:tc>
        <w:tc>
          <w:tcPr>
            <w:tcW w:w="6911" w:type="dxa"/>
          </w:tcPr>
          <w:p w14:paraId="0B5818D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Disease-modifying anti-rheumatic drug</w:t>
            </w:r>
          </w:p>
        </w:tc>
      </w:tr>
      <w:tr w:rsidR="007C0FDC" w14:paraId="1AE5B9B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AECBDC2" w14:textId="77777777" w:rsidR="007C0FDC" w:rsidRDefault="007C0FDC" w:rsidP="002E64CE">
            <w:r>
              <w:t>ECG</w:t>
            </w:r>
          </w:p>
        </w:tc>
        <w:tc>
          <w:tcPr>
            <w:tcW w:w="6911" w:type="dxa"/>
          </w:tcPr>
          <w:p w14:paraId="07386E2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Electrocardiogram</w:t>
            </w:r>
          </w:p>
        </w:tc>
      </w:tr>
      <w:tr w:rsidR="007C0FDC" w14:paraId="29A1CEEB"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A1341A7" w14:textId="77777777" w:rsidR="007C0FDC" w:rsidRDefault="007C0FDC" w:rsidP="002E64CE">
            <w:r>
              <w:t>ESR</w:t>
            </w:r>
          </w:p>
        </w:tc>
        <w:tc>
          <w:tcPr>
            <w:tcW w:w="6911" w:type="dxa"/>
          </w:tcPr>
          <w:p w14:paraId="4FCA942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Erythrocyte sedimentation rate</w:t>
            </w:r>
          </w:p>
        </w:tc>
      </w:tr>
      <w:tr w:rsidR="007C0FDC" w14:paraId="336E7579"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3F8BDCCC" w14:textId="77777777" w:rsidR="007C0FDC" w:rsidRDefault="007C0FDC" w:rsidP="002E64CE">
            <w:r>
              <w:lastRenderedPageBreak/>
              <w:t>EU</w:t>
            </w:r>
          </w:p>
        </w:tc>
        <w:tc>
          <w:tcPr>
            <w:tcW w:w="6911" w:type="dxa"/>
          </w:tcPr>
          <w:p w14:paraId="73A24643"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European Union</w:t>
            </w:r>
          </w:p>
        </w:tc>
      </w:tr>
      <w:tr w:rsidR="007C0FDC" w14:paraId="596729C8"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2F9D639F" w14:textId="77777777" w:rsidR="007C0FDC" w:rsidRDefault="007C0FDC" w:rsidP="002E64CE">
            <w:r>
              <w:t>EULAR</w:t>
            </w:r>
          </w:p>
        </w:tc>
        <w:tc>
          <w:tcPr>
            <w:tcW w:w="6911" w:type="dxa"/>
          </w:tcPr>
          <w:p w14:paraId="44039B3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European League Against Rheumatism</w:t>
            </w:r>
          </w:p>
        </w:tc>
      </w:tr>
      <w:tr w:rsidR="007C0FDC" w14:paraId="323E7D4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5BAC774" w14:textId="77777777" w:rsidR="007C0FDC" w:rsidRDefault="007C0FDC" w:rsidP="002E64CE">
            <w:r>
              <w:t>IP</w:t>
            </w:r>
          </w:p>
        </w:tc>
        <w:tc>
          <w:tcPr>
            <w:tcW w:w="6911" w:type="dxa"/>
          </w:tcPr>
          <w:p w14:paraId="49829943"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Investigational product</w:t>
            </w:r>
          </w:p>
        </w:tc>
      </w:tr>
      <w:tr w:rsidR="007C0FDC" w14:paraId="5E60C4A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2259C446" w14:textId="77777777" w:rsidR="007C0FDC" w:rsidRDefault="007C0FDC" w:rsidP="002E64CE">
            <w:r>
              <w:t>IV</w:t>
            </w:r>
          </w:p>
        </w:tc>
        <w:tc>
          <w:tcPr>
            <w:tcW w:w="6911" w:type="dxa"/>
          </w:tcPr>
          <w:p w14:paraId="68CB67FA"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Intravenous</w:t>
            </w:r>
          </w:p>
        </w:tc>
      </w:tr>
      <w:tr w:rsidR="007C0FDC" w14:paraId="64BD863B"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165048C" w14:textId="77777777" w:rsidR="007C0FDC" w:rsidRPr="00AB6217" w:rsidRDefault="007C0FDC" w:rsidP="002E64CE">
            <w:r>
              <w:t>JIA</w:t>
            </w:r>
          </w:p>
        </w:tc>
        <w:tc>
          <w:tcPr>
            <w:tcW w:w="6911" w:type="dxa"/>
          </w:tcPr>
          <w:p w14:paraId="5B6C4C7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Juvenile idiopathic arthritis</w:t>
            </w:r>
          </w:p>
        </w:tc>
      </w:tr>
      <w:tr w:rsidR="007C0FDC" w14:paraId="5845BE48"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5D376F3" w14:textId="77777777" w:rsidR="007C0FDC" w:rsidRDefault="007C0FDC" w:rsidP="002E64CE">
            <w:r w:rsidRPr="00AB6217">
              <w:t>Hb</w:t>
            </w:r>
          </w:p>
        </w:tc>
        <w:tc>
          <w:tcPr>
            <w:tcW w:w="6911" w:type="dxa"/>
          </w:tcPr>
          <w:p w14:paraId="2C87293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Haemoglobin</w:t>
            </w:r>
          </w:p>
        </w:tc>
      </w:tr>
      <w:tr w:rsidR="007C0FDC" w14:paraId="71D1273E"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6A1C80C" w14:textId="77777777" w:rsidR="007C0FDC" w:rsidRDefault="007C0FDC" w:rsidP="002E64CE">
            <w:r>
              <w:t>HBsAg</w:t>
            </w:r>
          </w:p>
        </w:tc>
        <w:tc>
          <w:tcPr>
            <w:tcW w:w="6911" w:type="dxa"/>
          </w:tcPr>
          <w:p w14:paraId="07841974"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Hepatitis B virus surface antigen</w:t>
            </w:r>
          </w:p>
        </w:tc>
      </w:tr>
      <w:tr w:rsidR="007C0FDC" w14:paraId="6C614781"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FDB66E3" w14:textId="77777777" w:rsidR="007C0FDC" w:rsidRDefault="007C0FDC" w:rsidP="002E64CE">
            <w:r>
              <w:t>HBV</w:t>
            </w:r>
          </w:p>
        </w:tc>
        <w:tc>
          <w:tcPr>
            <w:tcW w:w="6911" w:type="dxa"/>
          </w:tcPr>
          <w:p w14:paraId="1F070BED"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Hepatitis B virus</w:t>
            </w:r>
          </w:p>
        </w:tc>
      </w:tr>
      <w:tr w:rsidR="007C0FDC" w14:paraId="2F3DF25F"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B0119D8" w14:textId="77777777" w:rsidR="007C0FDC" w:rsidRDefault="007C0FDC" w:rsidP="002E64CE">
            <w:r>
              <w:t>HCV</w:t>
            </w:r>
          </w:p>
        </w:tc>
        <w:tc>
          <w:tcPr>
            <w:tcW w:w="6911" w:type="dxa"/>
          </w:tcPr>
          <w:p w14:paraId="24496895"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Hepatitis C virus</w:t>
            </w:r>
          </w:p>
        </w:tc>
      </w:tr>
      <w:tr w:rsidR="007C0FDC" w14:paraId="67A5BFC9"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68802F8" w14:textId="77777777" w:rsidR="007C0FDC" w:rsidRDefault="007C0FDC" w:rsidP="002E64CE">
            <w:r>
              <w:t>HIV</w:t>
            </w:r>
          </w:p>
        </w:tc>
        <w:tc>
          <w:tcPr>
            <w:tcW w:w="6911" w:type="dxa"/>
          </w:tcPr>
          <w:p w14:paraId="5AE6E9D7"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Human immunodeficiency virus</w:t>
            </w:r>
          </w:p>
        </w:tc>
      </w:tr>
      <w:tr w:rsidR="007C0FDC" w14:paraId="79F9D640"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CBB6453" w14:textId="77777777" w:rsidR="007C0FDC" w:rsidRDefault="007C0FDC" w:rsidP="002E64CE">
            <w:r w:rsidRPr="00E02BEA">
              <w:t>INN</w:t>
            </w:r>
          </w:p>
        </w:tc>
        <w:tc>
          <w:tcPr>
            <w:tcW w:w="6911" w:type="dxa"/>
          </w:tcPr>
          <w:p w14:paraId="1C04A9FB" w14:textId="486F3D5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E02BEA">
              <w:t>International Non</w:t>
            </w:r>
            <w:r>
              <w:t>-</w:t>
            </w:r>
            <w:r w:rsidR="005A5972">
              <w:t>proprietary Name</w:t>
            </w:r>
          </w:p>
        </w:tc>
      </w:tr>
      <w:tr w:rsidR="007C0FDC" w14:paraId="0EF3F7FB"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09D4DD0" w14:textId="77777777" w:rsidR="007C0FDC" w:rsidRPr="00120F17" w:rsidRDefault="007C0FDC" w:rsidP="002E64CE">
            <w:r w:rsidRPr="00623243">
              <w:t>LLOQ</w:t>
            </w:r>
          </w:p>
        </w:tc>
        <w:tc>
          <w:tcPr>
            <w:tcW w:w="6911" w:type="dxa"/>
          </w:tcPr>
          <w:p w14:paraId="2DBEE214"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Lower limit of quantification</w:t>
            </w:r>
          </w:p>
        </w:tc>
      </w:tr>
      <w:tr w:rsidR="007C0FDC" w14:paraId="4FB7EE7C"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07D0793" w14:textId="77777777" w:rsidR="007C0FDC" w:rsidRPr="00120F17" w:rsidRDefault="007C0FDC" w:rsidP="002E64CE">
            <w:r w:rsidRPr="00006FD8">
              <w:t>LOCF</w:t>
            </w:r>
          </w:p>
        </w:tc>
        <w:tc>
          <w:tcPr>
            <w:tcW w:w="6911" w:type="dxa"/>
          </w:tcPr>
          <w:p w14:paraId="17987B1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Last observation carried forward</w:t>
            </w:r>
          </w:p>
        </w:tc>
      </w:tr>
      <w:tr w:rsidR="007C0FDC" w14:paraId="102275F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E44FAEA" w14:textId="77777777" w:rsidR="007C0FDC" w:rsidRDefault="007C0FDC" w:rsidP="002E64CE">
            <w:r w:rsidRPr="00120F17">
              <w:t>LPLV</w:t>
            </w:r>
          </w:p>
        </w:tc>
        <w:tc>
          <w:tcPr>
            <w:tcW w:w="6911" w:type="dxa"/>
          </w:tcPr>
          <w:p w14:paraId="175AC41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Last patient, last visit</w:t>
            </w:r>
          </w:p>
        </w:tc>
      </w:tr>
      <w:tr w:rsidR="007C0FDC" w14:paraId="15F565A7"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51427A6" w14:textId="77777777" w:rsidR="007C0FDC" w:rsidRPr="00853E3D" w:rsidRDefault="007C0FDC" w:rsidP="002E64CE">
            <w:proofErr w:type="spellStart"/>
            <w:r w:rsidRPr="00006FD8">
              <w:t>mbTNF</w:t>
            </w:r>
            <w:proofErr w:type="spellEnd"/>
            <w:r w:rsidRPr="00006FD8">
              <w:t>-α</w:t>
            </w:r>
          </w:p>
        </w:tc>
        <w:tc>
          <w:tcPr>
            <w:tcW w:w="6911" w:type="dxa"/>
          </w:tcPr>
          <w:p w14:paraId="4141D782" w14:textId="77777777" w:rsidR="007C0FDC" w:rsidRPr="00853E3D" w:rsidRDefault="007C0FDC" w:rsidP="002E64CE">
            <w:pPr>
              <w:cnfStyle w:val="000000000000" w:firstRow="0" w:lastRow="0" w:firstColumn="0" w:lastColumn="0" w:oddVBand="0" w:evenVBand="0" w:oddHBand="0" w:evenHBand="0" w:firstRowFirstColumn="0" w:firstRowLastColumn="0" w:lastRowFirstColumn="0" w:lastRowLastColumn="0"/>
            </w:pPr>
            <w:r>
              <w:t>transmembrane TNF alpha</w:t>
            </w:r>
          </w:p>
        </w:tc>
      </w:tr>
      <w:tr w:rsidR="007C0FDC" w14:paraId="631927C0"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02497FD4" w14:textId="77777777" w:rsidR="007C0FDC" w:rsidRDefault="007C0FDC" w:rsidP="002E64CE">
            <w:r w:rsidRPr="00853E3D">
              <w:t>MedDRA</w:t>
            </w:r>
          </w:p>
        </w:tc>
        <w:tc>
          <w:tcPr>
            <w:tcW w:w="6911" w:type="dxa"/>
          </w:tcPr>
          <w:p w14:paraId="58B9986B"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853E3D">
              <w:t>Medical Dictionary for Regulatory Activities</w:t>
            </w:r>
          </w:p>
        </w:tc>
      </w:tr>
      <w:tr w:rsidR="007C0FDC" w14:paraId="6ADA70DE"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716CA4A" w14:textId="77777777" w:rsidR="007C0FDC" w:rsidRDefault="007C0FDC" w:rsidP="002E64CE">
            <w:r>
              <w:t>MTX</w:t>
            </w:r>
          </w:p>
        </w:tc>
        <w:tc>
          <w:tcPr>
            <w:tcW w:w="6911" w:type="dxa"/>
          </w:tcPr>
          <w:p w14:paraId="205B550C"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M</w:t>
            </w:r>
            <w:r w:rsidRPr="007619E5">
              <w:t>ethotrexate</w:t>
            </w:r>
          </w:p>
        </w:tc>
      </w:tr>
      <w:tr w:rsidR="007C0FDC" w14:paraId="22455B2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928E7BD" w14:textId="77777777" w:rsidR="007C0FDC" w:rsidRDefault="007C0FDC" w:rsidP="002E64CE">
            <w:r>
              <w:t>NSAID</w:t>
            </w:r>
          </w:p>
        </w:tc>
        <w:tc>
          <w:tcPr>
            <w:tcW w:w="6911" w:type="dxa"/>
          </w:tcPr>
          <w:p w14:paraId="114F178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Non-steroidal anti-inflammatory drug</w:t>
            </w:r>
          </w:p>
        </w:tc>
      </w:tr>
      <w:tr w:rsidR="007C0FDC" w14:paraId="445AFE33"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9C7805F" w14:textId="77777777" w:rsidR="007C0FDC" w:rsidRDefault="007C0FDC" w:rsidP="002E64CE">
            <w:r>
              <w:rPr>
                <w:lang w:eastAsia="ja-JP"/>
              </w:rPr>
              <w:t>NYHA</w:t>
            </w:r>
          </w:p>
        </w:tc>
        <w:tc>
          <w:tcPr>
            <w:tcW w:w="6911" w:type="dxa"/>
          </w:tcPr>
          <w:p w14:paraId="5594B119"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E50B3E">
              <w:t>New York Heart Association</w:t>
            </w:r>
          </w:p>
        </w:tc>
      </w:tr>
      <w:tr w:rsidR="007C0FDC" w14:paraId="6DAD9AFA"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1D6B680" w14:textId="77777777" w:rsidR="007C0FDC" w:rsidRDefault="007C0FDC" w:rsidP="002E64CE">
            <w:r>
              <w:t>PASI</w:t>
            </w:r>
          </w:p>
        </w:tc>
        <w:tc>
          <w:tcPr>
            <w:tcW w:w="6911" w:type="dxa"/>
          </w:tcPr>
          <w:p w14:paraId="552453BF"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Psoriasis Area and Severity Index</w:t>
            </w:r>
          </w:p>
        </w:tc>
      </w:tr>
      <w:tr w:rsidR="007C0FDC" w14:paraId="00AEBE8B"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381F6BCC" w14:textId="77777777" w:rsidR="007C0FDC" w:rsidRDefault="007C0FDC" w:rsidP="002E64CE">
            <w:r>
              <w:t>PBRER</w:t>
            </w:r>
          </w:p>
        </w:tc>
        <w:tc>
          <w:tcPr>
            <w:tcW w:w="6911" w:type="dxa"/>
          </w:tcPr>
          <w:p w14:paraId="2877381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P</w:t>
            </w:r>
            <w:r w:rsidRPr="00EF6D21">
              <w:t>eriodic benefit-risk evaluation report</w:t>
            </w:r>
          </w:p>
        </w:tc>
      </w:tr>
      <w:tr w:rsidR="007C0FDC" w14:paraId="426C4E90"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AD09038" w14:textId="77777777" w:rsidR="007C0FDC" w:rsidRDefault="007C0FDC" w:rsidP="002E64CE">
            <w:r>
              <w:t>PSUR</w:t>
            </w:r>
          </w:p>
        </w:tc>
        <w:tc>
          <w:tcPr>
            <w:tcW w:w="6911" w:type="dxa"/>
          </w:tcPr>
          <w:p w14:paraId="3E399740"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P</w:t>
            </w:r>
            <w:r w:rsidRPr="00EF6D21">
              <w:t xml:space="preserve">eriodic </w:t>
            </w:r>
            <w:r>
              <w:t>safety update</w:t>
            </w:r>
            <w:r w:rsidRPr="00EF6D21">
              <w:t xml:space="preserve"> report</w:t>
            </w:r>
          </w:p>
        </w:tc>
      </w:tr>
      <w:tr w:rsidR="007C0FDC" w14:paraId="758806B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00EBBC2" w14:textId="77777777" w:rsidR="007C0FDC" w:rsidRPr="00120F17" w:rsidRDefault="007C0FDC" w:rsidP="002E64CE">
            <w:r>
              <w:t>RA</w:t>
            </w:r>
          </w:p>
        </w:tc>
        <w:tc>
          <w:tcPr>
            <w:tcW w:w="6911" w:type="dxa"/>
          </w:tcPr>
          <w:p w14:paraId="6045EC53"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Rheumatoid arthritis</w:t>
            </w:r>
          </w:p>
        </w:tc>
      </w:tr>
      <w:tr w:rsidR="007C0FDC" w14:paraId="5FD8EBA9"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E7771A6" w14:textId="77777777" w:rsidR="007C0FDC" w:rsidRPr="00120F17" w:rsidRDefault="007C0FDC" w:rsidP="002E64CE">
            <w:r w:rsidRPr="007619E5">
              <w:t>RF</w:t>
            </w:r>
          </w:p>
        </w:tc>
        <w:tc>
          <w:tcPr>
            <w:tcW w:w="6911" w:type="dxa"/>
          </w:tcPr>
          <w:p w14:paraId="474FEA36"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R</w:t>
            </w:r>
            <w:r w:rsidRPr="007619E5">
              <w:t>heumatoid factor</w:t>
            </w:r>
          </w:p>
        </w:tc>
      </w:tr>
      <w:tr w:rsidR="007C0FDC" w14:paraId="020BCFC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FD5AEA1" w14:textId="77777777" w:rsidR="007C0FDC" w:rsidRDefault="007C0FDC" w:rsidP="002E64CE">
            <w:r w:rsidRPr="00120F17">
              <w:t>SAP</w:t>
            </w:r>
          </w:p>
        </w:tc>
        <w:tc>
          <w:tcPr>
            <w:tcW w:w="6911" w:type="dxa"/>
          </w:tcPr>
          <w:p w14:paraId="6399101B"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S</w:t>
            </w:r>
            <w:r w:rsidRPr="00120F17">
              <w:t>tatistical analysis plan</w:t>
            </w:r>
          </w:p>
        </w:tc>
      </w:tr>
      <w:tr w:rsidR="007C0FDC" w14:paraId="052CE59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1A2FA5D8" w14:textId="77777777" w:rsidR="007C0FDC" w:rsidRDefault="007C0FDC" w:rsidP="002E64CE">
            <w:r>
              <w:lastRenderedPageBreak/>
              <w:t>SC</w:t>
            </w:r>
          </w:p>
        </w:tc>
        <w:tc>
          <w:tcPr>
            <w:tcW w:w="6911" w:type="dxa"/>
          </w:tcPr>
          <w:p w14:paraId="30FA160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Subcutaneous(ly)</w:t>
            </w:r>
          </w:p>
        </w:tc>
      </w:tr>
      <w:tr w:rsidR="007C0FDC" w14:paraId="499AC99C"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2671794D" w14:textId="77777777" w:rsidR="007C0FDC" w:rsidRDefault="007C0FDC" w:rsidP="002E64CE">
            <w:pPr>
              <w:rPr>
                <w:lang w:eastAsia="ja-JP"/>
              </w:rPr>
            </w:pPr>
            <w:r>
              <w:rPr>
                <w:lang w:eastAsia="ja-JP"/>
              </w:rPr>
              <w:t>SCC</w:t>
            </w:r>
          </w:p>
        </w:tc>
        <w:tc>
          <w:tcPr>
            <w:tcW w:w="6911" w:type="dxa"/>
          </w:tcPr>
          <w:p w14:paraId="6A473A77"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Squamous</w:t>
            </w:r>
            <w:r w:rsidRPr="008D468D">
              <w:t xml:space="preserve"> cell carcinoma</w:t>
            </w:r>
          </w:p>
        </w:tc>
      </w:tr>
      <w:tr w:rsidR="007C0FDC" w14:paraId="1EDAC812"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52355278" w14:textId="77777777" w:rsidR="007C0FDC" w:rsidRDefault="007C0FDC" w:rsidP="002E64CE">
            <w:pPr>
              <w:rPr>
                <w:lang w:eastAsia="ja-JP"/>
              </w:rPr>
            </w:pPr>
            <w:r>
              <w:rPr>
                <w:lang w:eastAsia="ja-JP"/>
              </w:rPr>
              <w:t>SD</w:t>
            </w:r>
          </w:p>
        </w:tc>
        <w:tc>
          <w:tcPr>
            <w:tcW w:w="6911" w:type="dxa"/>
          </w:tcPr>
          <w:p w14:paraId="62A9958A"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Standard deviation</w:t>
            </w:r>
          </w:p>
        </w:tc>
      </w:tr>
      <w:tr w:rsidR="007C0FDC" w14:paraId="0E66149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A3A1475" w14:textId="77777777" w:rsidR="007C0FDC" w:rsidRDefault="007C0FDC" w:rsidP="002E64CE">
            <w:pPr>
              <w:rPr>
                <w:lang w:eastAsia="ja-JP"/>
              </w:rPr>
            </w:pPr>
            <w:r>
              <w:rPr>
                <w:lang w:eastAsia="ja-JP"/>
              </w:rPr>
              <w:t>sPGA</w:t>
            </w:r>
          </w:p>
        </w:tc>
        <w:tc>
          <w:tcPr>
            <w:tcW w:w="6911" w:type="dxa"/>
          </w:tcPr>
          <w:p w14:paraId="312FB60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s</w:t>
            </w:r>
            <w:r w:rsidRPr="008D468D">
              <w:t>tatic Physician</w:t>
            </w:r>
            <w:r>
              <w:t>’</w:t>
            </w:r>
            <w:r w:rsidRPr="008D468D">
              <w:t>s Global Assessment</w:t>
            </w:r>
          </w:p>
        </w:tc>
      </w:tr>
      <w:tr w:rsidR="007C0FDC" w14:paraId="147858BD"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D31931D" w14:textId="77777777" w:rsidR="007C0FDC" w:rsidRDefault="007C0FDC" w:rsidP="002E64CE">
            <w:r w:rsidRPr="00BC31FD">
              <w:t>sTNF-α</w:t>
            </w:r>
          </w:p>
        </w:tc>
        <w:tc>
          <w:tcPr>
            <w:tcW w:w="6911" w:type="dxa"/>
          </w:tcPr>
          <w:p w14:paraId="71E5B5B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rsidRPr="00BC31FD">
              <w:t>solubl</w:t>
            </w:r>
            <w:r>
              <w:t>e tumour necrosis factor alpha</w:t>
            </w:r>
          </w:p>
        </w:tc>
      </w:tr>
      <w:tr w:rsidR="007C0FDC" w14:paraId="148CE1A6"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67F113DD" w14:textId="77777777" w:rsidR="007C0FDC" w:rsidRDefault="007C0FDC" w:rsidP="002E64CE">
            <w:r>
              <w:t>TB</w:t>
            </w:r>
          </w:p>
        </w:tc>
        <w:tc>
          <w:tcPr>
            <w:tcW w:w="6911" w:type="dxa"/>
          </w:tcPr>
          <w:p w14:paraId="2693F0E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Tuberculosis</w:t>
            </w:r>
          </w:p>
        </w:tc>
      </w:tr>
      <w:tr w:rsidR="007C0FDC" w14:paraId="34BABA5A"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BB96515" w14:textId="77777777" w:rsidR="007C0FDC" w:rsidRDefault="007C0FDC" w:rsidP="002E64CE">
            <w:r>
              <w:t>TEAE</w:t>
            </w:r>
          </w:p>
        </w:tc>
        <w:tc>
          <w:tcPr>
            <w:tcW w:w="6911" w:type="dxa"/>
          </w:tcPr>
          <w:p w14:paraId="1267D749"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T</w:t>
            </w:r>
            <w:r w:rsidRPr="006158ED">
              <w:t>reatment emergent adverse events</w:t>
            </w:r>
          </w:p>
        </w:tc>
      </w:tr>
      <w:tr w:rsidR="007C0FDC" w14:paraId="56BBC215"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A8BD653" w14:textId="77777777" w:rsidR="007C0FDC" w:rsidRDefault="007C0FDC" w:rsidP="002E64CE">
            <w:r>
              <w:t>TNF</w:t>
            </w:r>
          </w:p>
        </w:tc>
        <w:tc>
          <w:tcPr>
            <w:tcW w:w="6911" w:type="dxa"/>
          </w:tcPr>
          <w:p w14:paraId="61AA20DE"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Tumour necrosis factor</w:t>
            </w:r>
          </w:p>
        </w:tc>
      </w:tr>
      <w:tr w:rsidR="007C0FDC" w14:paraId="2FFFA5DA"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C118CDF" w14:textId="77777777" w:rsidR="007C0FDC" w:rsidRDefault="007C0FDC" w:rsidP="002E64CE">
            <w:pPr>
              <w:rPr>
                <w:lang w:eastAsia="ja-JP"/>
              </w:rPr>
            </w:pPr>
            <w:r>
              <w:rPr>
                <w:lang w:eastAsia="ja-JP"/>
              </w:rPr>
              <w:t>ULN</w:t>
            </w:r>
          </w:p>
        </w:tc>
        <w:tc>
          <w:tcPr>
            <w:tcW w:w="6911" w:type="dxa"/>
          </w:tcPr>
          <w:p w14:paraId="485640C5"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Upper limit of normal</w:t>
            </w:r>
          </w:p>
        </w:tc>
      </w:tr>
      <w:tr w:rsidR="007C0FDC" w14:paraId="590F8A25"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7D8A5F54" w14:textId="77777777" w:rsidR="007C0FDC" w:rsidRDefault="007C0FDC" w:rsidP="002E64CE">
            <w:r>
              <w:t>US</w:t>
            </w:r>
          </w:p>
        </w:tc>
        <w:tc>
          <w:tcPr>
            <w:tcW w:w="6911" w:type="dxa"/>
          </w:tcPr>
          <w:p w14:paraId="40781021"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United States</w:t>
            </w:r>
          </w:p>
        </w:tc>
      </w:tr>
      <w:tr w:rsidR="007C0FDC" w14:paraId="1A9AF6E4" w14:textId="77777777" w:rsidTr="002E64CE">
        <w:tc>
          <w:tcPr>
            <w:cnfStyle w:val="001000000000" w:firstRow="0" w:lastRow="0" w:firstColumn="1" w:lastColumn="0" w:oddVBand="0" w:evenVBand="0" w:oddHBand="0" w:evenHBand="0" w:firstRowFirstColumn="0" w:firstRowLastColumn="0" w:lastRowFirstColumn="0" w:lastRowLastColumn="0"/>
            <w:tcW w:w="1890" w:type="dxa"/>
          </w:tcPr>
          <w:p w14:paraId="44338435" w14:textId="77777777" w:rsidR="007C0FDC" w:rsidRDefault="007C0FDC" w:rsidP="002E64CE">
            <w:r>
              <w:t>UVB</w:t>
            </w:r>
          </w:p>
        </w:tc>
        <w:tc>
          <w:tcPr>
            <w:tcW w:w="6911" w:type="dxa"/>
          </w:tcPr>
          <w:p w14:paraId="0763CC22" w14:textId="77777777" w:rsidR="007C0FDC" w:rsidRDefault="007C0FDC" w:rsidP="002E64CE">
            <w:pPr>
              <w:cnfStyle w:val="000000000000" w:firstRow="0" w:lastRow="0" w:firstColumn="0" w:lastColumn="0" w:oddVBand="0" w:evenVBand="0" w:oddHBand="0" w:evenHBand="0" w:firstRowFirstColumn="0" w:firstRowLastColumn="0" w:lastRowFirstColumn="0" w:lastRowLastColumn="0"/>
            </w:pPr>
            <w:r>
              <w:t>Ultraviolet B</w:t>
            </w:r>
          </w:p>
        </w:tc>
      </w:tr>
    </w:tbl>
    <w:p w14:paraId="45FE47B1" w14:textId="77777777" w:rsidR="007C0FDC" w:rsidRDefault="007C0FDC" w:rsidP="007C0FDC">
      <w:pPr>
        <w:rPr>
          <w:lang w:eastAsia="ja-JP"/>
        </w:rPr>
      </w:pPr>
      <w:bookmarkStart w:id="6" w:name="_Toc351718900"/>
      <w:bookmarkStart w:id="7" w:name="_Toc355338635"/>
      <w:r>
        <w:br w:type="page"/>
      </w:r>
    </w:p>
    <w:p w14:paraId="47113A5A" w14:textId="77777777" w:rsidR="007C0FDC" w:rsidRDefault="007C0FDC" w:rsidP="00F90336">
      <w:pPr>
        <w:pStyle w:val="Heading2"/>
        <w:rPr>
          <w:lang w:eastAsia="en-AU"/>
        </w:rPr>
      </w:pPr>
      <w:bookmarkStart w:id="8" w:name="_Toc470272266"/>
      <w:bookmarkStart w:id="9" w:name="_Toc509822377"/>
      <w:r>
        <w:rPr>
          <w:lang w:eastAsia="en-AU"/>
        </w:rPr>
        <w:lastRenderedPageBreak/>
        <w:t>Submission details</w:t>
      </w:r>
      <w:bookmarkEnd w:id="8"/>
      <w:bookmarkEnd w:id="9"/>
    </w:p>
    <w:p w14:paraId="7AF85B7E" w14:textId="77777777" w:rsidR="007C0FDC" w:rsidRDefault="007C0FDC" w:rsidP="00F90336">
      <w:pPr>
        <w:pStyle w:val="Heading3"/>
      </w:pPr>
      <w:bookmarkStart w:id="10" w:name="_Toc470272267"/>
      <w:bookmarkStart w:id="11" w:name="_Toc509822378"/>
      <w:r w:rsidRPr="00F90336">
        <w:t>Identifying</w:t>
      </w:r>
      <w:r>
        <w:t xml:space="preserve"> information</w:t>
      </w:r>
      <w:bookmarkEnd w:id="10"/>
      <w:bookmarkEnd w:id="11"/>
    </w:p>
    <w:tbl>
      <w:tblPr>
        <w:tblStyle w:val="TableGrid"/>
        <w:tblW w:w="0" w:type="auto"/>
        <w:tblLook w:val="04A0" w:firstRow="1" w:lastRow="0" w:firstColumn="1" w:lastColumn="0" w:noHBand="0" w:noVBand="1"/>
      </w:tblPr>
      <w:tblGrid>
        <w:gridCol w:w="2802"/>
        <w:gridCol w:w="6440"/>
      </w:tblGrid>
      <w:tr w:rsidR="007C0FDC" w14:paraId="25BECAFF" w14:textId="77777777" w:rsidTr="002E64CE">
        <w:tc>
          <w:tcPr>
            <w:tcW w:w="2802" w:type="dxa"/>
            <w:shd w:val="clear" w:color="auto" w:fill="0070C0"/>
          </w:tcPr>
          <w:p w14:paraId="24DAF7F2" w14:textId="77777777" w:rsidR="007C0FDC" w:rsidRPr="00A00009" w:rsidRDefault="007C0FDC" w:rsidP="002E64CE">
            <w:pPr>
              <w:rPr>
                <w:b/>
                <w:color w:val="FFFFFF" w:themeColor="background1"/>
                <w:sz w:val="22"/>
                <w:szCs w:val="22"/>
              </w:rPr>
            </w:pPr>
            <w:r w:rsidRPr="00A00009">
              <w:rPr>
                <w:b/>
                <w:color w:val="FFFFFF" w:themeColor="background1"/>
                <w:sz w:val="22"/>
                <w:szCs w:val="22"/>
              </w:rPr>
              <w:t>Submission number</w:t>
            </w:r>
          </w:p>
        </w:tc>
        <w:tc>
          <w:tcPr>
            <w:tcW w:w="6440" w:type="dxa"/>
          </w:tcPr>
          <w:p w14:paraId="7F66CC76" w14:textId="77777777" w:rsidR="007C0FDC" w:rsidRPr="00B85BBB" w:rsidRDefault="007C0FDC" w:rsidP="002E64CE">
            <w:pPr>
              <w:rPr>
                <w:sz w:val="22"/>
                <w:szCs w:val="22"/>
              </w:rPr>
            </w:pPr>
            <w:r w:rsidRPr="00CF633A">
              <w:rPr>
                <w:sz w:val="22"/>
                <w:szCs w:val="22"/>
              </w:rPr>
              <w:t>PM-2016-00845-1-1</w:t>
            </w:r>
          </w:p>
        </w:tc>
      </w:tr>
      <w:tr w:rsidR="007C0FDC" w14:paraId="32A3C688" w14:textId="77777777" w:rsidTr="002E64CE">
        <w:tc>
          <w:tcPr>
            <w:tcW w:w="2802" w:type="dxa"/>
            <w:shd w:val="clear" w:color="auto" w:fill="0070C0"/>
          </w:tcPr>
          <w:p w14:paraId="237E637E" w14:textId="77777777" w:rsidR="007C0FDC" w:rsidRPr="00A00009" w:rsidRDefault="007C0FDC" w:rsidP="002E64CE">
            <w:pPr>
              <w:rPr>
                <w:b/>
                <w:color w:val="FFFFFF" w:themeColor="background1"/>
                <w:sz w:val="22"/>
                <w:szCs w:val="22"/>
              </w:rPr>
            </w:pPr>
            <w:r w:rsidRPr="00A00009">
              <w:rPr>
                <w:b/>
                <w:color w:val="FFFFFF" w:themeColor="background1"/>
                <w:sz w:val="22"/>
                <w:szCs w:val="22"/>
              </w:rPr>
              <w:t>Sponsor</w:t>
            </w:r>
          </w:p>
        </w:tc>
        <w:tc>
          <w:tcPr>
            <w:tcW w:w="6440" w:type="dxa"/>
          </w:tcPr>
          <w:p w14:paraId="42BB9DDC" w14:textId="77777777" w:rsidR="007C0FDC" w:rsidRPr="00B85BBB" w:rsidRDefault="007C0FDC" w:rsidP="002E64CE">
            <w:pPr>
              <w:rPr>
                <w:sz w:val="22"/>
                <w:szCs w:val="22"/>
              </w:rPr>
            </w:pPr>
            <w:r w:rsidRPr="0091183F">
              <w:rPr>
                <w:sz w:val="22"/>
                <w:szCs w:val="22"/>
              </w:rPr>
              <w:t>Amgen Australia Pty Ltd</w:t>
            </w:r>
          </w:p>
        </w:tc>
      </w:tr>
      <w:tr w:rsidR="007C0FDC" w14:paraId="4E8542A9" w14:textId="77777777" w:rsidTr="002E64CE">
        <w:tc>
          <w:tcPr>
            <w:tcW w:w="2802" w:type="dxa"/>
            <w:shd w:val="clear" w:color="auto" w:fill="0070C0"/>
          </w:tcPr>
          <w:p w14:paraId="50041F6E" w14:textId="77777777" w:rsidR="007C0FDC" w:rsidRPr="00A00009" w:rsidRDefault="007C0FDC" w:rsidP="002E64CE">
            <w:pPr>
              <w:rPr>
                <w:b/>
                <w:color w:val="FFFFFF" w:themeColor="background1"/>
                <w:sz w:val="22"/>
                <w:szCs w:val="22"/>
              </w:rPr>
            </w:pPr>
            <w:r w:rsidRPr="00A00009">
              <w:rPr>
                <w:b/>
                <w:color w:val="FFFFFF" w:themeColor="background1"/>
                <w:sz w:val="22"/>
                <w:szCs w:val="22"/>
              </w:rPr>
              <w:t>Trade name</w:t>
            </w:r>
          </w:p>
        </w:tc>
        <w:tc>
          <w:tcPr>
            <w:tcW w:w="6440" w:type="dxa"/>
          </w:tcPr>
          <w:p w14:paraId="49369880" w14:textId="77777777" w:rsidR="007C0FDC" w:rsidRPr="00B85BBB" w:rsidRDefault="007C0FDC" w:rsidP="002E64CE">
            <w:pPr>
              <w:rPr>
                <w:sz w:val="22"/>
                <w:szCs w:val="22"/>
              </w:rPr>
            </w:pPr>
            <w:r>
              <w:rPr>
                <w:sz w:val="22"/>
                <w:szCs w:val="22"/>
              </w:rPr>
              <w:t>Amgevita</w:t>
            </w:r>
          </w:p>
        </w:tc>
      </w:tr>
      <w:tr w:rsidR="007C0FDC" w14:paraId="7AFE2B95" w14:textId="77777777" w:rsidTr="002E64CE">
        <w:tc>
          <w:tcPr>
            <w:tcW w:w="2802" w:type="dxa"/>
            <w:shd w:val="clear" w:color="auto" w:fill="0070C0"/>
          </w:tcPr>
          <w:p w14:paraId="695B3744" w14:textId="77777777" w:rsidR="007C0FDC" w:rsidRPr="00A00009" w:rsidRDefault="007C0FDC" w:rsidP="002E64CE">
            <w:pPr>
              <w:rPr>
                <w:b/>
                <w:color w:val="FFFFFF" w:themeColor="background1"/>
                <w:sz w:val="22"/>
                <w:szCs w:val="22"/>
              </w:rPr>
            </w:pPr>
            <w:r w:rsidRPr="00A00009">
              <w:rPr>
                <w:b/>
                <w:color w:val="FFFFFF" w:themeColor="background1"/>
                <w:sz w:val="22"/>
                <w:szCs w:val="22"/>
              </w:rPr>
              <w:t>Active substance</w:t>
            </w:r>
          </w:p>
        </w:tc>
        <w:tc>
          <w:tcPr>
            <w:tcW w:w="6440" w:type="dxa"/>
          </w:tcPr>
          <w:p w14:paraId="6B641ECA" w14:textId="77777777" w:rsidR="007C0FDC" w:rsidRPr="00B85BBB" w:rsidRDefault="007C0FDC" w:rsidP="002E64CE">
            <w:pPr>
              <w:rPr>
                <w:sz w:val="22"/>
                <w:szCs w:val="22"/>
              </w:rPr>
            </w:pPr>
            <w:r>
              <w:rPr>
                <w:sz w:val="22"/>
                <w:szCs w:val="22"/>
              </w:rPr>
              <w:t>Adalimumab</w:t>
            </w:r>
          </w:p>
        </w:tc>
      </w:tr>
    </w:tbl>
    <w:p w14:paraId="03DAEB3E" w14:textId="77777777" w:rsidR="007C0FDC" w:rsidRDefault="007C0FDC" w:rsidP="00F90336">
      <w:pPr>
        <w:pStyle w:val="Heading3"/>
      </w:pPr>
      <w:bookmarkStart w:id="12" w:name="_Toc470272268"/>
      <w:bookmarkStart w:id="13" w:name="_Toc509822379"/>
      <w:r w:rsidRPr="00F90336">
        <w:t>Submission</w:t>
      </w:r>
      <w:r>
        <w:t xml:space="preserve"> type</w:t>
      </w:r>
      <w:bookmarkEnd w:id="12"/>
      <w:bookmarkEnd w:id="13"/>
    </w:p>
    <w:p w14:paraId="007F6399" w14:textId="06FE6C0E" w:rsidR="007C0FDC" w:rsidRDefault="007C0FDC" w:rsidP="007C0FDC">
      <w:pPr>
        <w:rPr>
          <w:lang w:eastAsia="ja-JP"/>
        </w:rPr>
      </w:pPr>
      <w:r>
        <w:rPr>
          <w:lang w:eastAsia="ja-JP"/>
        </w:rPr>
        <w:t xml:space="preserve">This is a </w:t>
      </w:r>
      <w:r w:rsidR="002E64CE">
        <w:rPr>
          <w:lang w:eastAsia="ja-JP"/>
        </w:rPr>
        <w:t>new</w:t>
      </w:r>
      <w:r>
        <w:rPr>
          <w:lang w:eastAsia="ja-JP"/>
        </w:rPr>
        <w:t xml:space="preserve"> application to register </w:t>
      </w:r>
      <w:r w:rsidRPr="0091183F">
        <w:rPr>
          <w:lang w:eastAsia="ja-JP"/>
        </w:rPr>
        <w:t>Amgevita (company code ABP 501; INN adalimumab)</w:t>
      </w:r>
      <w:r w:rsidRPr="00BC7498">
        <w:rPr>
          <w:lang w:eastAsia="ja-JP"/>
        </w:rPr>
        <w:t xml:space="preserve"> </w:t>
      </w:r>
      <w:r w:rsidRPr="0091183F">
        <w:rPr>
          <w:lang w:eastAsia="ja-JP"/>
        </w:rPr>
        <w:t xml:space="preserve">as a </w:t>
      </w:r>
      <w:r>
        <w:rPr>
          <w:lang w:eastAsia="ja-JP"/>
        </w:rPr>
        <w:t>medicinal product</w:t>
      </w:r>
      <w:r w:rsidRPr="0091183F">
        <w:rPr>
          <w:lang w:eastAsia="ja-JP"/>
        </w:rPr>
        <w:t xml:space="preserve"> </w:t>
      </w:r>
      <w:r>
        <w:rPr>
          <w:lang w:eastAsia="ja-JP"/>
        </w:rPr>
        <w:t>bio</w:t>
      </w:r>
      <w:r w:rsidRPr="0091183F">
        <w:rPr>
          <w:lang w:eastAsia="ja-JP"/>
        </w:rPr>
        <w:t xml:space="preserve">similar to </w:t>
      </w:r>
      <w:r>
        <w:rPr>
          <w:lang w:eastAsia="ja-JP"/>
        </w:rPr>
        <w:t>Humira.</w:t>
      </w:r>
    </w:p>
    <w:p w14:paraId="321C8F4B" w14:textId="77777777" w:rsidR="007C0FDC" w:rsidRPr="00D75CB9" w:rsidRDefault="007C0FDC" w:rsidP="00F90336">
      <w:pPr>
        <w:pStyle w:val="Heading4"/>
      </w:pPr>
      <w:r w:rsidRPr="00F90336">
        <w:t>Reference</w:t>
      </w:r>
      <w:r>
        <w:t xml:space="preserve"> product sourcing</w:t>
      </w:r>
    </w:p>
    <w:p w14:paraId="0CB1F842" w14:textId="77777777" w:rsidR="007C0FDC" w:rsidRDefault="007C0FDC" w:rsidP="007C0FDC">
      <w:pPr>
        <w:rPr>
          <w:lang w:eastAsia="ja-JP"/>
        </w:rPr>
      </w:pPr>
      <w:r>
        <w:rPr>
          <w:lang w:eastAsia="ja-JP"/>
        </w:rPr>
        <w:t xml:space="preserve">The sponsor supports their application with bioequivalence studies that compare their product, Amgevita, to the reference product, Humira. However, the reference product was sourced in the EU and US. The sponsor has provided </w:t>
      </w:r>
      <w:r w:rsidRPr="00C22ABF">
        <w:rPr>
          <w:lang w:eastAsia="ja-JP"/>
        </w:rPr>
        <w:t xml:space="preserve">justification </w:t>
      </w:r>
      <w:r>
        <w:rPr>
          <w:lang w:eastAsia="ja-JP"/>
        </w:rPr>
        <w:t xml:space="preserve">for this </w:t>
      </w:r>
      <w:r w:rsidRPr="00C22ABF">
        <w:rPr>
          <w:lang w:eastAsia="ja-JP"/>
        </w:rPr>
        <w:t>(</w:t>
      </w:r>
      <w:r>
        <w:rPr>
          <w:lang w:eastAsia="ja-JP"/>
        </w:rPr>
        <w:t xml:space="preserve">under </w:t>
      </w:r>
      <w:r w:rsidRPr="00C22ABF">
        <w:rPr>
          <w:lang w:eastAsia="ja-JP"/>
        </w:rPr>
        <w:t>‘Rationale for using EU and/or US-sourced Humira as A</w:t>
      </w:r>
      <w:r>
        <w:rPr>
          <w:lang w:eastAsia="ja-JP"/>
        </w:rPr>
        <w:t>ustralian Reference Standard’).</w:t>
      </w:r>
    </w:p>
    <w:p w14:paraId="228DA9F2" w14:textId="77777777" w:rsidR="007C0FDC" w:rsidRDefault="007C0FDC" w:rsidP="00F90336">
      <w:pPr>
        <w:pStyle w:val="Heading4"/>
      </w:pPr>
      <w:r w:rsidRPr="00F90336">
        <w:t>Clarification</w:t>
      </w:r>
      <w:r w:rsidRPr="002B59AC">
        <w:t xml:space="preserve"> on naming conventions</w:t>
      </w:r>
    </w:p>
    <w:p w14:paraId="2FBD8052" w14:textId="69840F4E" w:rsidR="007C0FDC" w:rsidRPr="00A00009" w:rsidRDefault="007C0FDC" w:rsidP="00F90336">
      <w:r w:rsidRPr="002B59AC">
        <w:t xml:space="preserve">Throughout the dossier, the sponsor also refers to </w:t>
      </w:r>
      <w:r w:rsidR="002E64CE" w:rsidRPr="002B59AC">
        <w:t>Amgevita</w:t>
      </w:r>
      <w:r w:rsidRPr="002B59AC">
        <w:t xml:space="preserve"> as ABP 501. Consequently, for the purposes of this report,</w:t>
      </w:r>
      <w:r w:rsidRPr="00A00009">
        <w:t xml:space="preserve"> ABP 501 and Amgevita can be and are used interchangeably. The reference product Humira (where sourced from the US) is also referred to as adalimumab (US). The reference product Humira (where sourced from the EU) is also referred to as adalimumab (EU). Under the TGA’s current interim naming policy, </w:t>
      </w:r>
      <w:r w:rsidR="002E64CE">
        <w:t>the sponsor</w:t>
      </w:r>
      <w:r w:rsidR="002E64CE" w:rsidRPr="00A00009">
        <w:t xml:space="preserve"> </w:t>
      </w:r>
      <w:r w:rsidRPr="00A00009">
        <w:t>is permitted to refer to Amgevita as adalimumab (the International Nonproprietary Name (INN)/Australian Biological Name (ABN) without the beta extension); however, the sponsor has not done so in their documentation, and for the purposes of this report Amgevita will not be referred to as adalimumab to avoid confusion. An overview of interchangeable names is given in</w:t>
      </w:r>
      <w:r>
        <w:t xml:space="preserve"> Table 1.</w:t>
      </w:r>
    </w:p>
    <w:p w14:paraId="13F08BFE" w14:textId="77777777" w:rsidR="007C0FDC" w:rsidRPr="00A00009" w:rsidRDefault="007C0FDC" w:rsidP="00F90336">
      <w:pPr>
        <w:pStyle w:val="Tabletitle"/>
      </w:pPr>
      <w:r>
        <w:t>Table 1</w:t>
      </w:r>
      <w:r w:rsidRPr="00A00009">
        <w:t>:</w:t>
      </w:r>
      <w:bookmarkStart w:id="14" w:name="_Toc471285591"/>
      <w:r w:rsidRPr="00A00009">
        <w:t xml:space="preserve"> Overview of interchangeable names for adalimumab products (for the purposes of this report)</w:t>
      </w:r>
      <w:bookmarkEnd w:id="14"/>
    </w:p>
    <w:tbl>
      <w:tblPr>
        <w:tblStyle w:val="TableTGAblue"/>
        <w:tblW w:w="0" w:type="auto"/>
        <w:tblLook w:val="04A0" w:firstRow="1" w:lastRow="0" w:firstColumn="1" w:lastColumn="0" w:noHBand="0" w:noVBand="1"/>
      </w:tblPr>
      <w:tblGrid>
        <w:gridCol w:w="9242"/>
      </w:tblGrid>
      <w:tr w:rsidR="007C0FDC" w14:paraId="78EA62C7" w14:textId="77777777" w:rsidTr="002E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E3741F7" w14:textId="77777777" w:rsidR="007C0FDC" w:rsidRPr="00BB4E0C" w:rsidRDefault="007C0FDC" w:rsidP="002E64CE">
            <w:pPr>
              <w:rPr>
                <w:lang w:eastAsia="ja-JP"/>
              </w:rPr>
            </w:pPr>
            <w:r>
              <w:rPr>
                <w:lang w:eastAsia="ja-JP"/>
              </w:rPr>
              <w:t>Interchangeable names</w:t>
            </w:r>
          </w:p>
        </w:tc>
      </w:tr>
      <w:tr w:rsidR="007C0FDC" w:rsidRPr="00BB4E0C" w14:paraId="6B063F55" w14:textId="77777777" w:rsidTr="002E64CE">
        <w:tc>
          <w:tcPr>
            <w:cnfStyle w:val="001000000000" w:firstRow="0" w:lastRow="0" w:firstColumn="1" w:lastColumn="0" w:oddVBand="0" w:evenVBand="0" w:oddHBand="0" w:evenHBand="0" w:firstRowFirstColumn="0" w:firstRowLastColumn="0" w:lastRowFirstColumn="0" w:lastRowLastColumn="0"/>
            <w:tcW w:w="9242" w:type="dxa"/>
          </w:tcPr>
          <w:p w14:paraId="52DC5DC5" w14:textId="77777777" w:rsidR="007C0FDC" w:rsidRPr="00BB4E0C" w:rsidRDefault="007C0FDC" w:rsidP="002E64CE">
            <w:pPr>
              <w:spacing w:line="240" w:lineRule="auto"/>
              <w:rPr>
                <w:color w:val="auto"/>
                <w:lang w:eastAsia="ja-JP"/>
              </w:rPr>
            </w:pPr>
            <w:r>
              <w:rPr>
                <w:b/>
                <w:color w:val="auto"/>
                <w:lang w:eastAsia="ja-JP"/>
              </w:rPr>
              <w:t>Amgevita</w:t>
            </w:r>
            <w:r w:rsidRPr="00BB4E0C">
              <w:rPr>
                <w:color w:val="auto"/>
                <w:lang w:eastAsia="ja-JP"/>
              </w:rPr>
              <w:t xml:space="preserve">, </w:t>
            </w:r>
            <w:r w:rsidRPr="008213C0">
              <w:rPr>
                <w:b/>
                <w:color w:val="auto"/>
                <w:lang w:eastAsia="ja-JP"/>
              </w:rPr>
              <w:t>ABP 501</w:t>
            </w:r>
            <w:r>
              <w:rPr>
                <w:color w:val="auto"/>
                <w:lang w:eastAsia="ja-JP"/>
              </w:rPr>
              <w:t xml:space="preserve">, </w:t>
            </w:r>
            <w:r w:rsidRPr="008213C0">
              <w:rPr>
                <w:b/>
                <w:color w:val="auto"/>
                <w:lang w:eastAsia="ja-JP"/>
              </w:rPr>
              <w:t>adalimumab beta</w:t>
            </w:r>
            <w:r>
              <w:rPr>
                <w:color w:val="auto"/>
                <w:lang w:eastAsia="ja-JP"/>
              </w:rPr>
              <w:t>*</w:t>
            </w:r>
          </w:p>
        </w:tc>
      </w:tr>
      <w:tr w:rsidR="007C0FDC" w:rsidRPr="00BB4E0C" w14:paraId="6741A112" w14:textId="77777777" w:rsidTr="002E64CE">
        <w:tc>
          <w:tcPr>
            <w:cnfStyle w:val="001000000000" w:firstRow="0" w:lastRow="0" w:firstColumn="1" w:lastColumn="0" w:oddVBand="0" w:evenVBand="0" w:oddHBand="0" w:evenHBand="0" w:firstRowFirstColumn="0" w:firstRowLastColumn="0" w:lastRowFirstColumn="0" w:lastRowLastColumn="0"/>
            <w:tcW w:w="9242" w:type="dxa"/>
          </w:tcPr>
          <w:p w14:paraId="69B887E1" w14:textId="2102D019" w:rsidR="007C0FDC" w:rsidRPr="00BB4E0C" w:rsidRDefault="007C0FDC" w:rsidP="002E64CE">
            <w:pPr>
              <w:spacing w:line="240" w:lineRule="auto"/>
              <w:rPr>
                <w:color w:val="auto"/>
                <w:lang w:eastAsia="ja-JP"/>
              </w:rPr>
            </w:pPr>
            <w:r>
              <w:rPr>
                <w:b/>
                <w:color w:val="auto"/>
                <w:lang w:eastAsia="ja-JP"/>
              </w:rPr>
              <w:t>Humira</w:t>
            </w:r>
            <w:r>
              <w:rPr>
                <w:color w:val="auto"/>
                <w:lang w:eastAsia="ja-JP"/>
              </w:rPr>
              <w:t xml:space="preserve"> </w:t>
            </w:r>
            <w:r w:rsidR="002E64CE">
              <w:rPr>
                <w:color w:val="auto"/>
                <w:lang w:eastAsia="ja-JP"/>
              </w:rPr>
              <w:t>(</w:t>
            </w:r>
            <w:r>
              <w:rPr>
                <w:color w:val="auto"/>
                <w:lang w:eastAsia="ja-JP"/>
              </w:rPr>
              <w:t>sourced from US</w:t>
            </w:r>
            <w:r w:rsidR="002E64CE">
              <w:rPr>
                <w:color w:val="auto"/>
                <w:lang w:eastAsia="ja-JP"/>
              </w:rPr>
              <w:t>)</w:t>
            </w:r>
            <w:r>
              <w:rPr>
                <w:color w:val="auto"/>
                <w:lang w:eastAsia="ja-JP"/>
              </w:rPr>
              <w:t xml:space="preserve">, </w:t>
            </w:r>
            <w:r w:rsidRPr="008213C0">
              <w:rPr>
                <w:b/>
                <w:color w:val="auto"/>
                <w:lang w:eastAsia="ja-JP"/>
              </w:rPr>
              <w:t>adalimumab (US)</w:t>
            </w:r>
          </w:p>
        </w:tc>
      </w:tr>
      <w:tr w:rsidR="007C0FDC" w:rsidRPr="00BB4E0C" w14:paraId="67DE9284" w14:textId="77777777" w:rsidTr="002E64CE">
        <w:tc>
          <w:tcPr>
            <w:cnfStyle w:val="001000000000" w:firstRow="0" w:lastRow="0" w:firstColumn="1" w:lastColumn="0" w:oddVBand="0" w:evenVBand="0" w:oddHBand="0" w:evenHBand="0" w:firstRowFirstColumn="0" w:firstRowLastColumn="0" w:lastRowFirstColumn="0" w:lastRowLastColumn="0"/>
            <w:tcW w:w="9242" w:type="dxa"/>
          </w:tcPr>
          <w:p w14:paraId="5BCD23AD" w14:textId="131CF379" w:rsidR="007C0FDC" w:rsidRPr="00BB4E0C" w:rsidRDefault="007C0FDC" w:rsidP="002E64CE">
            <w:pPr>
              <w:spacing w:line="240" w:lineRule="auto"/>
              <w:rPr>
                <w:color w:val="auto"/>
                <w:lang w:eastAsia="ja-JP"/>
              </w:rPr>
            </w:pPr>
            <w:r>
              <w:rPr>
                <w:b/>
                <w:color w:val="auto"/>
                <w:lang w:eastAsia="ja-JP"/>
              </w:rPr>
              <w:t>Humira</w:t>
            </w:r>
            <w:r>
              <w:rPr>
                <w:color w:val="auto"/>
                <w:lang w:eastAsia="ja-JP"/>
              </w:rPr>
              <w:t xml:space="preserve"> </w:t>
            </w:r>
            <w:r w:rsidR="002E64CE">
              <w:rPr>
                <w:color w:val="auto"/>
                <w:lang w:eastAsia="ja-JP"/>
              </w:rPr>
              <w:t>(</w:t>
            </w:r>
            <w:r>
              <w:rPr>
                <w:color w:val="auto"/>
                <w:lang w:eastAsia="ja-JP"/>
              </w:rPr>
              <w:t>sourced from EU</w:t>
            </w:r>
            <w:r w:rsidR="002E64CE">
              <w:rPr>
                <w:color w:val="auto"/>
                <w:lang w:eastAsia="ja-JP"/>
              </w:rPr>
              <w:t>)</w:t>
            </w:r>
            <w:r>
              <w:rPr>
                <w:color w:val="auto"/>
                <w:lang w:eastAsia="ja-JP"/>
              </w:rPr>
              <w:t xml:space="preserve">, </w:t>
            </w:r>
            <w:r w:rsidRPr="008213C0">
              <w:rPr>
                <w:b/>
                <w:color w:val="auto"/>
                <w:lang w:eastAsia="ja-JP"/>
              </w:rPr>
              <w:t>adalimumab (EU)</w:t>
            </w:r>
          </w:p>
        </w:tc>
      </w:tr>
      <w:tr w:rsidR="007C0FDC" w:rsidRPr="00BB4E0C" w14:paraId="1D1729AB" w14:textId="77777777" w:rsidTr="002E64CE">
        <w:tc>
          <w:tcPr>
            <w:cnfStyle w:val="001000000000" w:firstRow="0" w:lastRow="0" w:firstColumn="1" w:lastColumn="0" w:oddVBand="0" w:evenVBand="0" w:oddHBand="0" w:evenHBand="0" w:firstRowFirstColumn="0" w:firstRowLastColumn="0" w:lastRowFirstColumn="0" w:lastRowLastColumn="0"/>
            <w:tcW w:w="9242" w:type="dxa"/>
          </w:tcPr>
          <w:p w14:paraId="60A7B6A8" w14:textId="38C86C36" w:rsidR="007C0FDC" w:rsidRDefault="007C0FDC" w:rsidP="002E64CE">
            <w:pPr>
              <w:spacing w:line="240" w:lineRule="auto"/>
              <w:rPr>
                <w:lang w:eastAsia="ja-JP"/>
              </w:rPr>
            </w:pPr>
            <w:r>
              <w:rPr>
                <w:b/>
                <w:lang w:eastAsia="ja-JP"/>
              </w:rPr>
              <w:t>Humira</w:t>
            </w:r>
            <w:r>
              <w:rPr>
                <w:lang w:eastAsia="ja-JP"/>
              </w:rPr>
              <w:t xml:space="preserve"> </w:t>
            </w:r>
            <w:r w:rsidR="002E64CE">
              <w:rPr>
                <w:lang w:eastAsia="ja-JP"/>
              </w:rPr>
              <w:t>(</w:t>
            </w:r>
            <w:r>
              <w:rPr>
                <w:lang w:eastAsia="ja-JP"/>
              </w:rPr>
              <w:t>unspecified source</w:t>
            </w:r>
            <w:r w:rsidR="002E64CE">
              <w:rPr>
                <w:lang w:eastAsia="ja-JP"/>
              </w:rPr>
              <w:t>)</w:t>
            </w:r>
            <w:r>
              <w:rPr>
                <w:lang w:eastAsia="ja-JP"/>
              </w:rPr>
              <w:t xml:space="preserve">, </w:t>
            </w:r>
            <w:r w:rsidRPr="008213C0">
              <w:rPr>
                <w:b/>
                <w:lang w:eastAsia="ja-JP"/>
              </w:rPr>
              <w:t>adalimumab</w:t>
            </w:r>
          </w:p>
        </w:tc>
      </w:tr>
    </w:tbl>
    <w:p w14:paraId="1CA64869" w14:textId="77777777" w:rsidR="007C0FDC" w:rsidRDefault="007C0FDC" w:rsidP="00F90336">
      <w:pPr>
        <w:pStyle w:val="TableDescription"/>
        <w:rPr>
          <w:lang w:eastAsia="ja-JP"/>
        </w:rPr>
      </w:pPr>
      <w:r w:rsidRPr="00E02BEA">
        <w:rPr>
          <w:lang w:eastAsia="ja-JP"/>
        </w:rPr>
        <w:t xml:space="preserve">*adalimumab beta can be </w:t>
      </w:r>
      <w:r w:rsidRPr="00F90336">
        <w:t>used</w:t>
      </w:r>
      <w:r w:rsidRPr="00E02BEA">
        <w:rPr>
          <w:lang w:eastAsia="ja-JP"/>
        </w:rPr>
        <w:t xml:space="preserve"> for interim use pending approval as an INN and ABN</w:t>
      </w:r>
    </w:p>
    <w:p w14:paraId="32349BF8" w14:textId="77777777" w:rsidR="007C0FDC" w:rsidRDefault="007C0FDC" w:rsidP="00F90336">
      <w:pPr>
        <w:pStyle w:val="Heading3"/>
      </w:pPr>
      <w:bookmarkStart w:id="15" w:name="_Toc470272269"/>
      <w:bookmarkStart w:id="16" w:name="_Toc509822380"/>
      <w:r>
        <w:lastRenderedPageBreak/>
        <w:t xml:space="preserve">Drug </w:t>
      </w:r>
      <w:r w:rsidRPr="00F90336">
        <w:t>class</w:t>
      </w:r>
      <w:r>
        <w:t xml:space="preserve"> and therapeutic indication</w:t>
      </w:r>
      <w:bookmarkEnd w:id="15"/>
      <w:bookmarkEnd w:id="16"/>
    </w:p>
    <w:p w14:paraId="275038EF" w14:textId="77777777" w:rsidR="007C0FDC" w:rsidRPr="008D5FBB" w:rsidRDefault="007C0FDC" w:rsidP="00F90336">
      <w:pPr>
        <w:rPr>
          <w:lang w:eastAsia="ja-JP"/>
        </w:rPr>
      </w:pPr>
      <w:r w:rsidRPr="008D5FBB">
        <w:rPr>
          <w:lang w:eastAsia="ja-JP"/>
        </w:rPr>
        <w:t xml:space="preserve">Adalimumab is a recombinant </w:t>
      </w:r>
      <w:r w:rsidRPr="00797ABF">
        <w:rPr>
          <w:lang w:eastAsia="ja-JP"/>
        </w:rPr>
        <w:t xml:space="preserve">human immunoglobulin G1 </w:t>
      </w:r>
      <w:r w:rsidRPr="008D5FBB">
        <w:rPr>
          <w:lang w:eastAsia="ja-JP"/>
        </w:rPr>
        <w:t>anti-TNFα monoclonal antibody. It binds to human tumour necrosis factor alpha (TNFα) through tumour necrosis factor receptor superfamily (TNFRSF) 1A (p55) and 1B (p75).</w:t>
      </w:r>
    </w:p>
    <w:p w14:paraId="4BA4F95F" w14:textId="77777777" w:rsidR="007C0FDC" w:rsidRPr="008D5FBB" w:rsidRDefault="007C0FDC" w:rsidP="007C0FDC">
      <w:pPr>
        <w:rPr>
          <w:lang w:eastAsia="ja-JP"/>
        </w:rPr>
      </w:pPr>
      <w:r w:rsidRPr="008D5FBB">
        <w:rPr>
          <w:lang w:eastAsia="ja-JP"/>
        </w:rPr>
        <w:t xml:space="preserve">Adalimumab is produced by recombinant DNA technology in a mammalian cell expression system. Both </w:t>
      </w:r>
      <w:r>
        <w:rPr>
          <w:lang w:eastAsia="ja-JP"/>
        </w:rPr>
        <w:t>Amgevita</w:t>
      </w:r>
      <w:r w:rsidRPr="008D5FBB">
        <w:rPr>
          <w:lang w:eastAsia="ja-JP"/>
        </w:rPr>
        <w:t xml:space="preserve"> and </w:t>
      </w:r>
      <w:r>
        <w:rPr>
          <w:lang w:eastAsia="ja-JP"/>
        </w:rPr>
        <w:t>Humira</w:t>
      </w:r>
      <w:r w:rsidRPr="008D5FBB">
        <w:rPr>
          <w:lang w:eastAsia="ja-JP"/>
        </w:rPr>
        <w:t xml:space="preserve"> were manufactured with the use of a Chinese hamster ovary (CHO) cell line. The amino acid sequence of </w:t>
      </w:r>
      <w:r>
        <w:rPr>
          <w:lang w:eastAsia="ja-JP"/>
        </w:rPr>
        <w:t>Amgevita</w:t>
      </w:r>
      <w:r w:rsidRPr="008D5FBB">
        <w:rPr>
          <w:lang w:eastAsia="ja-JP"/>
        </w:rPr>
        <w:t xml:space="preserve"> is identical to that of </w:t>
      </w:r>
      <w:r>
        <w:rPr>
          <w:lang w:eastAsia="ja-JP"/>
        </w:rPr>
        <w:t>Humira</w:t>
      </w:r>
      <w:r w:rsidRPr="008D5FBB">
        <w:rPr>
          <w:lang w:eastAsia="ja-JP"/>
        </w:rPr>
        <w:t>.</w:t>
      </w:r>
    </w:p>
    <w:p w14:paraId="12FF9578" w14:textId="33D2EB98" w:rsidR="007C0FDC" w:rsidRDefault="007C0FDC" w:rsidP="007C0FDC">
      <w:pPr>
        <w:rPr>
          <w:lang w:eastAsia="ja-JP"/>
        </w:rPr>
      </w:pPr>
      <w:r>
        <w:rPr>
          <w:lang w:eastAsia="ja-JP"/>
        </w:rPr>
        <w:t>The sponsor states that the proposed indications for Amgevita are aligned with those currently approved for Humira in Australia, namely:</w:t>
      </w:r>
    </w:p>
    <w:p w14:paraId="7215DBE8" w14:textId="77777777" w:rsidR="007C0FDC" w:rsidRDefault="007C0FDC" w:rsidP="00F90336">
      <w:pPr>
        <w:pStyle w:val="ListBullet"/>
        <w:rPr>
          <w:lang w:eastAsia="ja-JP"/>
        </w:rPr>
      </w:pPr>
      <w:r w:rsidRPr="00246886">
        <w:rPr>
          <w:lang w:eastAsia="ja-JP"/>
        </w:rPr>
        <w:t xml:space="preserve">Rheumatoid </w:t>
      </w:r>
      <w:r w:rsidRPr="00F90336">
        <w:t>Arthritis</w:t>
      </w:r>
      <w:r>
        <w:rPr>
          <w:lang w:eastAsia="ja-JP"/>
        </w:rPr>
        <w:t>;</w:t>
      </w:r>
    </w:p>
    <w:p w14:paraId="4BA23FC7" w14:textId="77777777" w:rsidR="007C0FDC" w:rsidRDefault="007C0FDC" w:rsidP="007C0FDC">
      <w:pPr>
        <w:pStyle w:val="ListBullet"/>
        <w:numPr>
          <w:ilvl w:val="0"/>
          <w:numId w:val="1"/>
        </w:numPr>
        <w:rPr>
          <w:lang w:eastAsia="ja-JP"/>
        </w:rPr>
      </w:pPr>
      <w:r w:rsidRPr="00246886">
        <w:rPr>
          <w:lang w:eastAsia="ja-JP"/>
        </w:rPr>
        <w:t>Polyarticular Juvenile Idiopathic Arthritis</w:t>
      </w:r>
      <w:r>
        <w:rPr>
          <w:lang w:eastAsia="ja-JP"/>
        </w:rPr>
        <w:t>;</w:t>
      </w:r>
    </w:p>
    <w:p w14:paraId="2A758FBC" w14:textId="77777777" w:rsidR="007C0FDC" w:rsidRDefault="007C0FDC" w:rsidP="007C0FDC">
      <w:pPr>
        <w:pStyle w:val="ListBullet"/>
        <w:numPr>
          <w:ilvl w:val="0"/>
          <w:numId w:val="1"/>
        </w:numPr>
        <w:rPr>
          <w:lang w:eastAsia="ja-JP"/>
        </w:rPr>
      </w:pPr>
      <w:r w:rsidRPr="00246886">
        <w:rPr>
          <w:lang w:eastAsia="ja-JP"/>
        </w:rPr>
        <w:t>Psoriatic Arthritis</w:t>
      </w:r>
      <w:r>
        <w:rPr>
          <w:lang w:eastAsia="ja-JP"/>
        </w:rPr>
        <w:t>;</w:t>
      </w:r>
    </w:p>
    <w:p w14:paraId="7B17DBFC" w14:textId="77777777" w:rsidR="007C0FDC" w:rsidRDefault="007C0FDC" w:rsidP="007C0FDC">
      <w:pPr>
        <w:pStyle w:val="ListBullet"/>
        <w:numPr>
          <w:ilvl w:val="0"/>
          <w:numId w:val="1"/>
        </w:numPr>
        <w:rPr>
          <w:lang w:eastAsia="ja-JP"/>
        </w:rPr>
      </w:pPr>
      <w:r w:rsidRPr="00246886">
        <w:rPr>
          <w:lang w:eastAsia="ja-JP"/>
        </w:rPr>
        <w:t>Ankylosing Spondylitis</w:t>
      </w:r>
      <w:r>
        <w:rPr>
          <w:lang w:eastAsia="ja-JP"/>
        </w:rPr>
        <w:t>;</w:t>
      </w:r>
    </w:p>
    <w:p w14:paraId="5D5F57B1" w14:textId="77777777" w:rsidR="007C0FDC" w:rsidRDefault="007C0FDC" w:rsidP="007C0FDC">
      <w:pPr>
        <w:pStyle w:val="ListBullet"/>
        <w:numPr>
          <w:ilvl w:val="0"/>
          <w:numId w:val="1"/>
        </w:numPr>
        <w:rPr>
          <w:lang w:eastAsia="ja-JP"/>
        </w:rPr>
      </w:pPr>
      <w:r w:rsidRPr="00246886">
        <w:rPr>
          <w:lang w:eastAsia="ja-JP"/>
        </w:rPr>
        <w:t>Crohn’s Disease</w:t>
      </w:r>
      <w:r>
        <w:rPr>
          <w:lang w:eastAsia="ja-JP"/>
        </w:rPr>
        <w:t xml:space="preserve"> in Adults and Children (≥6 years);</w:t>
      </w:r>
    </w:p>
    <w:p w14:paraId="2DB418F6" w14:textId="77777777" w:rsidR="007C0FDC" w:rsidRDefault="007C0FDC" w:rsidP="007C0FDC">
      <w:pPr>
        <w:pStyle w:val="ListBullet"/>
        <w:numPr>
          <w:ilvl w:val="0"/>
          <w:numId w:val="1"/>
        </w:numPr>
        <w:rPr>
          <w:lang w:eastAsia="ja-JP"/>
        </w:rPr>
      </w:pPr>
      <w:r w:rsidRPr="00246886">
        <w:rPr>
          <w:lang w:eastAsia="ja-JP"/>
        </w:rPr>
        <w:t>Ulcerative colitis</w:t>
      </w:r>
      <w:r>
        <w:rPr>
          <w:lang w:eastAsia="ja-JP"/>
        </w:rPr>
        <w:t>;</w:t>
      </w:r>
    </w:p>
    <w:p w14:paraId="712E7247" w14:textId="77777777" w:rsidR="007C0FDC" w:rsidRDefault="007C0FDC" w:rsidP="007C0FDC">
      <w:pPr>
        <w:pStyle w:val="ListBullet"/>
        <w:numPr>
          <w:ilvl w:val="0"/>
          <w:numId w:val="1"/>
        </w:numPr>
        <w:rPr>
          <w:lang w:eastAsia="ja-JP"/>
        </w:rPr>
      </w:pPr>
      <w:r w:rsidRPr="00246886">
        <w:rPr>
          <w:lang w:eastAsia="ja-JP"/>
        </w:rPr>
        <w:t>Psoriasis</w:t>
      </w:r>
      <w:r>
        <w:rPr>
          <w:lang w:eastAsia="ja-JP"/>
        </w:rPr>
        <w:t>.</w:t>
      </w:r>
    </w:p>
    <w:p w14:paraId="1DE2F0A0" w14:textId="77777777" w:rsidR="007C0FDC" w:rsidRDefault="007C0FDC" w:rsidP="007C0FDC">
      <w:pPr>
        <w:rPr>
          <w:lang w:eastAsia="ja-JP"/>
        </w:rPr>
      </w:pPr>
      <w:r>
        <w:rPr>
          <w:lang w:eastAsia="ja-JP"/>
        </w:rPr>
        <w:t xml:space="preserve">The proposed indications for Amgevita as outlined in the proposed product information (PI) </w:t>
      </w:r>
      <w:proofErr w:type="gramStart"/>
      <w:r>
        <w:rPr>
          <w:lang w:eastAsia="ja-JP"/>
        </w:rPr>
        <w:t>document,</w:t>
      </w:r>
      <w:proofErr w:type="gramEnd"/>
      <w:r>
        <w:rPr>
          <w:lang w:eastAsia="ja-JP"/>
        </w:rPr>
        <w:t xml:space="preserve"> are as follows:</w:t>
      </w:r>
    </w:p>
    <w:p w14:paraId="2635F415" w14:textId="77777777" w:rsidR="007C0FDC" w:rsidRPr="00246886" w:rsidRDefault="007C0FDC" w:rsidP="007C0FDC">
      <w:pPr>
        <w:spacing w:line="240" w:lineRule="auto"/>
        <w:ind w:left="720"/>
        <w:rPr>
          <w:i/>
          <w:u w:val="single"/>
          <w:lang w:eastAsia="ja-JP"/>
        </w:rPr>
      </w:pPr>
      <w:r w:rsidRPr="00246886">
        <w:rPr>
          <w:i/>
          <w:u w:val="single"/>
          <w:lang w:eastAsia="ja-JP"/>
        </w:rPr>
        <w:t>Rheumatoid Arthritis</w:t>
      </w:r>
    </w:p>
    <w:p w14:paraId="7EE187D1"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2D2453FD"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can be used alone or in combination with methotrexate.</w:t>
      </w:r>
    </w:p>
    <w:p w14:paraId="65B6DC83" w14:textId="77777777" w:rsidR="007C0FDC" w:rsidRPr="00246886" w:rsidRDefault="007C0FDC" w:rsidP="007C0FDC">
      <w:pPr>
        <w:spacing w:line="240" w:lineRule="auto"/>
        <w:ind w:left="720"/>
        <w:rPr>
          <w:i/>
          <w:u w:val="single"/>
          <w:lang w:eastAsia="ja-JP"/>
        </w:rPr>
      </w:pPr>
      <w:r w:rsidRPr="00246886">
        <w:rPr>
          <w:i/>
          <w:u w:val="single"/>
          <w:lang w:eastAsia="ja-JP"/>
        </w:rPr>
        <w:t>Polyarticular Juvenile Idiopathic Arthritis</w:t>
      </w:r>
    </w:p>
    <w:p w14:paraId="333671FF"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r>
        <w:rPr>
          <w:i/>
          <w:lang w:eastAsia="ja-JP"/>
        </w:rPr>
        <w:t>Amgevita</w:t>
      </w:r>
      <w:r w:rsidRPr="00246886">
        <w:rPr>
          <w:i/>
          <w:lang w:eastAsia="ja-JP"/>
        </w:rPr>
        <w:t xml:space="preserve"> can be given as monotherapy in case of intolerance to methotrexate or when continued treatment with methotrexate is inappropriate.</w:t>
      </w:r>
    </w:p>
    <w:p w14:paraId="4AC00666" w14:textId="77777777" w:rsidR="007C0FDC" w:rsidRPr="00246886" w:rsidRDefault="007C0FDC" w:rsidP="007C0FDC">
      <w:pPr>
        <w:spacing w:line="240" w:lineRule="auto"/>
        <w:ind w:left="720"/>
        <w:rPr>
          <w:i/>
          <w:u w:val="single"/>
          <w:lang w:eastAsia="ja-JP"/>
        </w:rPr>
      </w:pPr>
      <w:r w:rsidRPr="00246886">
        <w:rPr>
          <w:i/>
          <w:u w:val="single"/>
          <w:lang w:eastAsia="ja-JP"/>
        </w:rPr>
        <w:t>Psoriatic Arthritis</w:t>
      </w:r>
    </w:p>
    <w:p w14:paraId="43C24AD3"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0FBD5D58" w14:textId="77777777" w:rsidR="007C0FDC" w:rsidRPr="00246886" w:rsidRDefault="007C0FDC" w:rsidP="007C0FDC">
      <w:pPr>
        <w:spacing w:line="240" w:lineRule="auto"/>
        <w:ind w:left="720"/>
        <w:rPr>
          <w:i/>
          <w:u w:val="single"/>
          <w:lang w:eastAsia="ja-JP"/>
        </w:rPr>
      </w:pPr>
      <w:r w:rsidRPr="00246886">
        <w:rPr>
          <w:i/>
          <w:u w:val="single"/>
          <w:lang w:eastAsia="ja-JP"/>
        </w:rPr>
        <w:t>Ankylosing Spondylitis</w:t>
      </w:r>
    </w:p>
    <w:p w14:paraId="6EB2A087"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reducing signs and symptoms in patients with active ankylosing spondylitis.</w:t>
      </w:r>
    </w:p>
    <w:p w14:paraId="55C557A6" w14:textId="77777777" w:rsidR="007C0FDC" w:rsidRPr="00246886" w:rsidRDefault="007C0FDC" w:rsidP="007C0FDC">
      <w:pPr>
        <w:spacing w:line="240" w:lineRule="auto"/>
        <w:ind w:left="720"/>
        <w:rPr>
          <w:i/>
          <w:u w:val="single"/>
          <w:lang w:eastAsia="ja-JP"/>
        </w:rPr>
      </w:pPr>
      <w:r w:rsidRPr="00246886">
        <w:rPr>
          <w:i/>
          <w:u w:val="single"/>
          <w:lang w:eastAsia="ja-JP"/>
        </w:rPr>
        <w:t>Crohn’s Disease in Adults and Children (≥6 years)</w:t>
      </w:r>
    </w:p>
    <w:p w14:paraId="0EC057D8"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Crohn’s disease, to reduce the signs and symptoms of the disease and to induce and maintain clinical remission in patients;</w:t>
      </w:r>
    </w:p>
    <w:p w14:paraId="03F6B976" w14:textId="49C37CC6" w:rsidR="007C0FDC" w:rsidRPr="0005219C" w:rsidRDefault="007C0FDC" w:rsidP="0005219C">
      <w:pPr>
        <w:pStyle w:val="ListBullet"/>
        <w:ind w:left="1134"/>
        <w:rPr>
          <w:i/>
          <w:lang w:eastAsia="ja-JP"/>
        </w:rPr>
      </w:pPr>
      <w:r w:rsidRPr="0005219C">
        <w:rPr>
          <w:i/>
          <w:lang w:eastAsia="ja-JP"/>
        </w:rPr>
        <w:lastRenderedPageBreak/>
        <w:t>who have had an inadequate response to conventional therapies or,</w:t>
      </w:r>
    </w:p>
    <w:p w14:paraId="2B359BFD" w14:textId="721A2964" w:rsidR="007C0FDC" w:rsidRPr="0005219C" w:rsidRDefault="007C0FDC" w:rsidP="0005219C">
      <w:pPr>
        <w:pStyle w:val="ListBullet"/>
        <w:ind w:left="1134"/>
        <w:rPr>
          <w:i/>
          <w:lang w:eastAsia="ja-JP"/>
        </w:rPr>
      </w:pPr>
      <w:proofErr w:type="gramStart"/>
      <w:r w:rsidRPr="0005219C">
        <w:rPr>
          <w:i/>
          <w:lang w:eastAsia="ja-JP"/>
        </w:rPr>
        <w:t>who</w:t>
      </w:r>
      <w:proofErr w:type="gramEnd"/>
      <w:r w:rsidRPr="0005219C">
        <w:rPr>
          <w:i/>
          <w:lang w:eastAsia="ja-JP"/>
        </w:rPr>
        <w:t xml:space="preserve"> have lost response to or are intolerant of infliximab.</w:t>
      </w:r>
    </w:p>
    <w:p w14:paraId="42AE149F" w14:textId="77777777" w:rsidR="007C0FDC" w:rsidRPr="00246886" w:rsidRDefault="007C0FDC" w:rsidP="007C0FDC">
      <w:pPr>
        <w:spacing w:line="240" w:lineRule="auto"/>
        <w:ind w:left="720"/>
        <w:rPr>
          <w:i/>
          <w:u w:val="single"/>
          <w:lang w:eastAsia="ja-JP"/>
        </w:rPr>
      </w:pPr>
      <w:r w:rsidRPr="00246886">
        <w:rPr>
          <w:i/>
          <w:u w:val="single"/>
          <w:lang w:eastAsia="ja-JP"/>
        </w:rPr>
        <w:t>Ulcerative colitis</w:t>
      </w:r>
    </w:p>
    <w:p w14:paraId="2B59FE31"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Pr="00246886">
        <w:rPr>
          <w:i/>
          <w:lang w:eastAsia="ja-JP"/>
        </w:rPr>
        <w:t>see</w:t>
      </w:r>
      <w:proofErr w:type="gramEnd"/>
      <w:r w:rsidRPr="00246886">
        <w:rPr>
          <w:i/>
          <w:lang w:eastAsia="ja-JP"/>
        </w:rPr>
        <w:t xml:space="preserve"> CLINICAL TRIALS).</w:t>
      </w:r>
    </w:p>
    <w:p w14:paraId="36795CE4" w14:textId="77777777" w:rsidR="007C0FDC" w:rsidRPr="00246886" w:rsidRDefault="007C0FDC" w:rsidP="007C0FDC">
      <w:pPr>
        <w:spacing w:line="240" w:lineRule="auto"/>
        <w:ind w:left="720"/>
        <w:rPr>
          <w:i/>
          <w:u w:val="single"/>
          <w:lang w:eastAsia="ja-JP"/>
        </w:rPr>
      </w:pPr>
      <w:r w:rsidRPr="00246886">
        <w:rPr>
          <w:i/>
          <w:u w:val="single"/>
          <w:lang w:eastAsia="ja-JP"/>
        </w:rPr>
        <w:t>Psoriasis</w:t>
      </w:r>
    </w:p>
    <w:p w14:paraId="68ED6E6B" w14:textId="77777777" w:rsidR="007C0FDC"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chronic plaque psoriasis in adult patients who are candidates for sy</w:t>
      </w:r>
      <w:r>
        <w:rPr>
          <w:i/>
          <w:lang w:eastAsia="ja-JP"/>
        </w:rPr>
        <w:t>stemic therapy or phototherapy.</w:t>
      </w:r>
    </w:p>
    <w:p w14:paraId="77B1E5AB" w14:textId="4C4E15D7" w:rsidR="007C0FDC" w:rsidRDefault="00EC3232" w:rsidP="00533472">
      <w:pPr>
        <w:pStyle w:val="Comment"/>
        <w:rPr>
          <w:i/>
          <w:lang w:eastAsia="ja-JP"/>
        </w:rPr>
      </w:pPr>
      <w:r w:rsidRPr="00EC3232">
        <w:rPr>
          <w:b/>
          <w:lang w:eastAsia="ja-JP"/>
        </w:rPr>
        <w:t>C</w:t>
      </w:r>
      <w:r w:rsidR="007C0FDC" w:rsidRPr="00EC3232">
        <w:rPr>
          <w:b/>
          <w:lang w:eastAsia="ja-JP"/>
        </w:rPr>
        <w:t>omment:</w:t>
      </w:r>
      <w:r>
        <w:rPr>
          <w:b/>
          <w:lang w:eastAsia="ja-JP"/>
        </w:rPr>
        <w:t xml:space="preserve"> </w:t>
      </w:r>
      <w:r w:rsidR="00E00067">
        <w:rPr>
          <w:b/>
          <w:lang w:eastAsia="ja-JP"/>
        </w:rPr>
        <w:t xml:space="preserve"> </w:t>
      </w:r>
      <w:r w:rsidR="007C0FDC" w:rsidRPr="009259C5">
        <w:rPr>
          <w:lang w:eastAsia="ja-JP"/>
        </w:rPr>
        <w:t xml:space="preserve">It is noted the proposed indications for </w:t>
      </w:r>
      <w:r w:rsidR="007C0FDC">
        <w:rPr>
          <w:lang w:eastAsia="ja-JP"/>
        </w:rPr>
        <w:t>Amgevita</w:t>
      </w:r>
      <w:r w:rsidR="007C0FDC" w:rsidRPr="009259C5">
        <w:rPr>
          <w:lang w:eastAsia="ja-JP"/>
        </w:rPr>
        <w:t xml:space="preserve"> do not in</w:t>
      </w:r>
      <w:r w:rsidR="007C0FDC">
        <w:rPr>
          <w:lang w:eastAsia="ja-JP"/>
        </w:rPr>
        <w:t xml:space="preserve">clude hidradenitis </w:t>
      </w:r>
      <w:proofErr w:type="spellStart"/>
      <w:r w:rsidR="007C0FDC">
        <w:rPr>
          <w:lang w:eastAsia="ja-JP"/>
        </w:rPr>
        <w:t>suppurativa</w:t>
      </w:r>
      <w:proofErr w:type="spellEnd"/>
      <w:r w:rsidR="007C0FDC">
        <w:rPr>
          <w:lang w:eastAsia="ja-JP"/>
        </w:rPr>
        <w:t xml:space="preserve">. </w:t>
      </w:r>
      <w:r w:rsidR="007C0FDC" w:rsidRPr="009259C5">
        <w:rPr>
          <w:lang w:eastAsia="ja-JP"/>
        </w:rPr>
        <w:t xml:space="preserve">Hidradenitis </w:t>
      </w:r>
      <w:proofErr w:type="spellStart"/>
      <w:r w:rsidR="007C0FDC" w:rsidRPr="009259C5">
        <w:rPr>
          <w:lang w:eastAsia="ja-JP"/>
        </w:rPr>
        <w:t>suppurativa</w:t>
      </w:r>
      <w:proofErr w:type="spellEnd"/>
      <w:r w:rsidR="007C0FDC">
        <w:rPr>
          <w:lang w:eastAsia="ja-JP"/>
        </w:rPr>
        <w:t xml:space="preserve"> was added as an indication for the reference product Humira </w:t>
      </w:r>
      <w:r w:rsidR="007C0FDC" w:rsidRPr="009259C5">
        <w:rPr>
          <w:lang w:eastAsia="ja-JP"/>
        </w:rPr>
        <w:t>(approved on 6 April 2016).</w:t>
      </w:r>
    </w:p>
    <w:p w14:paraId="7EC4D96A" w14:textId="77777777" w:rsidR="007C0FDC" w:rsidRDefault="007C0FDC" w:rsidP="00E00067">
      <w:pPr>
        <w:pStyle w:val="Heading3"/>
      </w:pPr>
      <w:bookmarkStart w:id="17" w:name="_Ref455479354"/>
      <w:bookmarkStart w:id="18" w:name="_Toc470272270"/>
      <w:bookmarkStart w:id="19" w:name="_Toc509822381"/>
      <w:r>
        <w:t>Dosage forms and strengths</w:t>
      </w:r>
      <w:bookmarkEnd w:id="17"/>
      <w:bookmarkEnd w:id="18"/>
      <w:bookmarkEnd w:id="19"/>
    </w:p>
    <w:p w14:paraId="60D5A0EE" w14:textId="457BA853" w:rsidR="007C0FDC" w:rsidRDefault="007C0FDC" w:rsidP="007C0FDC">
      <w:pPr>
        <w:rPr>
          <w:lang w:eastAsia="ja-JP"/>
        </w:rPr>
      </w:pPr>
      <w:r>
        <w:rPr>
          <w:lang w:eastAsia="ja-JP"/>
        </w:rPr>
        <w:t>Amgevita</w:t>
      </w:r>
      <w:r w:rsidRPr="0091183F">
        <w:rPr>
          <w:lang w:eastAsia="ja-JP"/>
        </w:rPr>
        <w:t xml:space="preserve"> will be supplied as a sterile, preservative-free solution of adalimumab for subcutaneous administ</w:t>
      </w:r>
      <w:r>
        <w:rPr>
          <w:lang w:eastAsia="ja-JP"/>
        </w:rPr>
        <w:t xml:space="preserve">ration, supplied as either a 50 </w:t>
      </w:r>
      <w:r w:rsidRPr="0091183F">
        <w:rPr>
          <w:lang w:eastAsia="ja-JP"/>
        </w:rPr>
        <w:t xml:space="preserve">mg/mL pre-filled syringe or pre-filled pen </w:t>
      </w:r>
      <w:r w:rsidR="00EC3232">
        <w:rPr>
          <w:lang w:eastAsia="ja-JP"/>
        </w:rPr>
        <w:t>(</w:t>
      </w:r>
      <w:r w:rsidRPr="0091183F">
        <w:rPr>
          <w:lang w:eastAsia="ja-JP"/>
        </w:rPr>
        <w:t xml:space="preserve">referred to as an </w:t>
      </w:r>
      <w:proofErr w:type="spellStart"/>
      <w:r w:rsidRPr="0091183F">
        <w:rPr>
          <w:lang w:eastAsia="ja-JP"/>
        </w:rPr>
        <w:t>autoinjector</w:t>
      </w:r>
      <w:proofErr w:type="spellEnd"/>
      <w:r w:rsidRPr="0091183F">
        <w:rPr>
          <w:lang w:eastAsia="ja-JP"/>
        </w:rPr>
        <w:t xml:space="preserve"> (AI) in the application</w:t>
      </w:r>
      <w:r w:rsidR="00EC3232">
        <w:rPr>
          <w:lang w:eastAsia="ja-JP"/>
        </w:rPr>
        <w:t>)</w:t>
      </w:r>
      <w:r w:rsidRPr="0091183F">
        <w:rPr>
          <w:lang w:eastAsia="ja-JP"/>
        </w:rPr>
        <w:t>.</w:t>
      </w:r>
      <w:r>
        <w:rPr>
          <w:lang w:eastAsia="ja-JP"/>
        </w:rPr>
        <w:t xml:space="preserve"> Amgevita will not have </w:t>
      </w:r>
      <w:proofErr w:type="gramStart"/>
      <w:r>
        <w:rPr>
          <w:lang w:eastAsia="ja-JP"/>
        </w:rPr>
        <w:t>a 10</w:t>
      </w:r>
      <w:proofErr w:type="gramEnd"/>
      <w:r>
        <w:rPr>
          <w:lang w:eastAsia="ja-JP"/>
        </w:rPr>
        <w:t xml:space="preserve"> mg strength or a single-use vial as dosage </w:t>
      </w:r>
      <w:r w:rsidRPr="00636E72">
        <w:rPr>
          <w:lang w:eastAsia="ja-JP"/>
        </w:rPr>
        <w:t>form</w:t>
      </w:r>
      <w:r>
        <w:rPr>
          <w:lang w:eastAsia="ja-JP"/>
        </w:rPr>
        <w:t>.</w:t>
      </w:r>
    </w:p>
    <w:p w14:paraId="7E8BBA2D" w14:textId="77777777" w:rsidR="007C0FDC" w:rsidRPr="00BB6E95" w:rsidRDefault="007C0FDC" w:rsidP="00E00067">
      <w:pPr>
        <w:pStyle w:val="Tabletitle"/>
        <w:rPr>
          <w:lang w:eastAsia="ja-JP"/>
        </w:rPr>
      </w:pPr>
      <w:bookmarkStart w:id="20" w:name="_Ref454809307"/>
      <w:bookmarkStart w:id="21" w:name="_Toc471285592"/>
      <w:r w:rsidRPr="00BB6E95">
        <w:t>Table</w:t>
      </w:r>
      <w:bookmarkEnd w:id="20"/>
      <w:r>
        <w:t xml:space="preserve"> 2:</w:t>
      </w:r>
      <w:r w:rsidRPr="00BB6E95">
        <w:t xml:space="preserve"> </w:t>
      </w:r>
      <w:r w:rsidRPr="00E00067">
        <w:t>Comparison</w:t>
      </w:r>
      <w:r w:rsidRPr="00BB6E95">
        <w:t xml:space="preserve"> of dosage forms and strengths for </w:t>
      </w:r>
      <w:r>
        <w:t>Humira</w:t>
      </w:r>
      <w:r w:rsidRPr="00BB6E95">
        <w:t xml:space="preserve"> and </w:t>
      </w:r>
      <w:r>
        <w:t>Amgevita</w:t>
      </w:r>
      <w:bookmarkEnd w:id="21"/>
    </w:p>
    <w:tbl>
      <w:tblPr>
        <w:tblStyle w:val="TableTGAblue"/>
        <w:tblW w:w="0" w:type="auto"/>
        <w:tblLook w:val="04A0" w:firstRow="1" w:lastRow="0" w:firstColumn="1" w:lastColumn="0" w:noHBand="0" w:noVBand="1"/>
      </w:tblPr>
      <w:tblGrid>
        <w:gridCol w:w="1951"/>
        <w:gridCol w:w="3402"/>
        <w:gridCol w:w="3889"/>
      </w:tblGrid>
      <w:tr w:rsidR="007C0FDC" w14:paraId="25E27F9B" w14:textId="77777777" w:rsidTr="002E64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14:paraId="517249E1" w14:textId="77777777" w:rsidR="007C0FDC" w:rsidRPr="002B59AC" w:rsidRDefault="007C0FDC" w:rsidP="002E64CE">
            <w:pPr>
              <w:rPr>
                <w:sz w:val="20"/>
                <w:szCs w:val="20"/>
                <w:lang w:eastAsia="ja-JP"/>
              </w:rPr>
            </w:pPr>
          </w:p>
        </w:tc>
        <w:tc>
          <w:tcPr>
            <w:tcW w:w="3402" w:type="dxa"/>
          </w:tcPr>
          <w:p w14:paraId="28892E8E" w14:textId="77777777" w:rsidR="007C0FDC" w:rsidRPr="002B59AC"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Humira</w:t>
            </w:r>
          </w:p>
          <w:p w14:paraId="31CBD40E" w14:textId="77777777" w:rsidR="007C0FDC" w:rsidRPr="002B59AC"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Reference product</w:t>
            </w:r>
          </w:p>
        </w:tc>
        <w:tc>
          <w:tcPr>
            <w:tcW w:w="3889" w:type="dxa"/>
          </w:tcPr>
          <w:p w14:paraId="7392E816" w14:textId="77777777" w:rsidR="007C0FDC" w:rsidRPr="002B59AC"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Amgevita</w:t>
            </w:r>
          </w:p>
          <w:p w14:paraId="65DE8D60" w14:textId="77777777" w:rsidR="007C0FDC" w:rsidRPr="002B59AC"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Biosimilar medicine to Humira</w:t>
            </w:r>
          </w:p>
        </w:tc>
      </w:tr>
      <w:tr w:rsidR="007C0FDC" w14:paraId="3D0D4FC9" w14:textId="77777777" w:rsidTr="002E64CE">
        <w:tc>
          <w:tcPr>
            <w:cnfStyle w:val="001000000000" w:firstRow="0" w:lastRow="0" w:firstColumn="1" w:lastColumn="0" w:oddVBand="0" w:evenVBand="0" w:oddHBand="0" w:evenHBand="0" w:firstRowFirstColumn="0" w:firstRowLastColumn="0" w:lastRowFirstColumn="0" w:lastRowLastColumn="0"/>
            <w:tcW w:w="1951" w:type="dxa"/>
          </w:tcPr>
          <w:p w14:paraId="7D462E14" w14:textId="77777777" w:rsidR="007C0FDC" w:rsidRPr="002B59AC" w:rsidRDefault="007C0FDC" w:rsidP="002E64CE">
            <w:pPr>
              <w:rPr>
                <w:sz w:val="20"/>
                <w:szCs w:val="20"/>
                <w:lang w:eastAsia="ja-JP"/>
              </w:rPr>
            </w:pPr>
            <w:r w:rsidRPr="002B59AC">
              <w:rPr>
                <w:sz w:val="20"/>
                <w:szCs w:val="20"/>
                <w:lang w:eastAsia="ja-JP"/>
              </w:rPr>
              <w:t>Dosage forms</w:t>
            </w:r>
          </w:p>
        </w:tc>
        <w:tc>
          <w:tcPr>
            <w:tcW w:w="3402" w:type="dxa"/>
          </w:tcPr>
          <w:p w14:paraId="0862AE21" w14:textId="33F5409C"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 xml:space="preserve">single-use pre-filled syringe </w:t>
            </w:r>
            <w:r w:rsidRPr="00EC3232">
              <w:rPr>
                <w:sz w:val="20"/>
                <w:szCs w:val="20"/>
                <w:lang w:eastAsia="ja-JP"/>
              </w:rPr>
              <w:t>(</w:t>
            </w:r>
            <w:r w:rsidRPr="00533472">
              <w:rPr>
                <w:sz w:val="20"/>
                <w:szCs w:val="20"/>
                <w:lang w:eastAsia="ja-JP"/>
              </w:rPr>
              <w:t>10</w:t>
            </w:r>
            <w:r w:rsidR="00EC3232">
              <w:rPr>
                <w:sz w:val="20"/>
                <w:szCs w:val="20"/>
                <w:lang w:eastAsia="ja-JP"/>
              </w:rPr>
              <w:t> </w:t>
            </w:r>
            <w:r w:rsidRPr="00533472">
              <w:rPr>
                <w:sz w:val="20"/>
                <w:szCs w:val="20"/>
                <w:lang w:eastAsia="ja-JP"/>
              </w:rPr>
              <w:t>mg</w:t>
            </w:r>
            <w:r w:rsidRPr="00EC3232">
              <w:rPr>
                <w:sz w:val="20"/>
                <w:szCs w:val="20"/>
                <w:lang w:eastAsia="ja-JP"/>
              </w:rPr>
              <w:t>*</w:t>
            </w:r>
            <w:r w:rsidRPr="002B59AC">
              <w:rPr>
                <w:sz w:val="20"/>
                <w:szCs w:val="20"/>
                <w:lang w:eastAsia="ja-JP"/>
              </w:rPr>
              <w:t>; 20 mg; 40 mg)</w:t>
            </w:r>
          </w:p>
          <w:p w14:paraId="4CBEDB04" w14:textId="01379686"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single-use pre-filled pen (40</w:t>
            </w:r>
            <w:r w:rsidR="00EC3232">
              <w:rPr>
                <w:sz w:val="20"/>
                <w:szCs w:val="20"/>
                <w:lang w:eastAsia="ja-JP"/>
              </w:rPr>
              <w:t> </w:t>
            </w:r>
            <w:r w:rsidRPr="002B59AC">
              <w:rPr>
                <w:sz w:val="20"/>
                <w:szCs w:val="20"/>
                <w:lang w:eastAsia="ja-JP"/>
              </w:rPr>
              <w:t>mg</w:t>
            </w:r>
            <w:r w:rsidR="00EC3232">
              <w:rPr>
                <w:sz w:val="20"/>
                <w:szCs w:val="20"/>
                <w:lang w:eastAsia="ja-JP"/>
              </w:rPr>
              <w:t> </w:t>
            </w:r>
            <w:r w:rsidRPr="002B59AC">
              <w:rPr>
                <w:sz w:val="20"/>
                <w:szCs w:val="20"/>
                <w:lang w:eastAsia="ja-JP"/>
              </w:rPr>
              <w:t>only)</w:t>
            </w:r>
          </w:p>
          <w:p w14:paraId="50E4F6AD"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33472">
              <w:rPr>
                <w:sz w:val="20"/>
                <w:szCs w:val="20"/>
                <w:lang w:eastAsia="ja-JP"/>
              </w:rPr>
              <w:t>single-use vial</w:t>
            </w:r>
            <w:r w:rsidRPr="00EC3232">
              <w:rPr>
                <w:sz w:val="20"/>
                <w:szCs w:val="20"/>
                <w:lang w:eastAsia="ja-JP"/>
              </w:rPr>
              <w:t>*</w:t>
            </w:r>
            <w:r w:rsidRPr="002B59AC">
              <w:rPr>
                <w:sz w:val="20"/>
                <w:szCs w:val="20"/>
                <w:lang w:eastAsia="ja-JP"/>
              </w:rPr>
              <w:t xml:space="preserve"> (4</w:t>
            </w:r>
            <w:r>
              <w:rPr>
                <w:sz w:val="20"/>
                <w:szCs w:val="20"/>
                <w:lang w:eastAsia="ja-JP"/>
              </w:rPr>
              <w:t>0 mg</w:t>
            </w:r>
            <w:r w:rsidRPr="002B59AC">
              <w:rPr>
                <w:sz w:val="20"/>
                <w:szCs w:val="20"/>
                <w:lang w:eastAsia="ja-JP"/>
              </w:rPr>
              <w:t xml:space="preserve"> only)</w:t>
            </w:r>
          </w:p>
        </w:tc>
        <w:tc>
          <w:tcPr>
            <w:tcW w:w="3889" w:type="dxa"/>
          </w:tcPr>
          <w:p w14:paraId="7AD83CF6" w14:textId="3BA6C2DC"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single-use pre-filled syringe (20</w:t>
            </w:r>
            <w:r w:rsidR="00EC3232">
              <w:rPr>
                <w:sz w:val="20"/>
                <w:szCs w:val="20"/>
                <w:lang w:eastAsia="ja-JP"/>
              </w:rPr>
              <w:t> </w:t>
            </w:r>
            <w:r w:rsidRPr="002B59AC">
              <w:rPr>
                <w:sz w:val="20"/>
                <w:szCs w:val="20"/>
                <w:lang w:eastAsia="ja-JP"/>
              </w:rPr>
              <w:t>mg;</w:t>
            </w:r>
            <w:r w:rsidR="00EC3232">
              <w:rPr>
                <w:sz w:val="20"/>
                <w:szCs w:val="20"/>
                <w:lang w:eastAsia="ja-JP"/>
              </w:rPr>
              <w:t> </w:t>
            </w:r>
            <w:r w:rsidRPr="002B59AC">
              <w:rPr>
                <w:sz w:val="20"/>
                <w:szCs w:val="20"/>
                <w:lang w:eastAsia="ja-JP"/>
              </w:rPr>
              <w:t>40 mg)</w:t>
            </w:r>
          </w:p>
          <w:p w14:paraId="54A79BB5"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single-use pre-filled pen (40 mg only)</w:t>
            </w:r>
          </w:p>
        </w:tc>
      </w:tr>
      <w:tr w:rsidR="007C0FDC" w14:paraId="2CE0AC8B" w14:textId="77777777" w:rsidTr="002E64CE">
        <w:tc>
          <w:tcPr>
            <w:cnfStyle w:val="001000000000" w:firstRow="0" w:lastRow="0" w:firstColumn="1" w:lastColumn="0" w:oddVBand="0" w:evenVBand="0" w:oddHBand="0" w:evenHBand="0" w:firstRowFirstColumn="0" w:firstRowLastColumn="0" w:lastRowFirstColumn="0" w:lastRowLastColumn="0"/>
            <w:tcW w:w="1951" w:type="dxa"/>
          </w:tcPr>
          <w:p w14:paraId="0FAA79B9" w14:textId="078E51AF" w:rsidR="007C0FDC" w:rsidRPr="002B59AC" w:rsidRDefault="007C0FDC" w:rsidP="00EC3232">
            <w:pPr>
              <w:rPr>
                <w:sz w:val="20"/>
                <w:szCs w:val="20"/>
                <w:lang w:eastAsia="ja-JP"/>
              </w:rPr>
            </w:pPr>
            <w:r w:rsidRPr="002B59AC">
              <w:rPr>
                <w:sz w:val="20"/>
                <w:szCs w:val="20"/>
                <w:lang w:eastAsia="ja-JP"/>
              </w:rPr>
              <w:t>Strengths</w:t>
            </w:r>
          </w:p>
        </w:tc>
        <w:tc>
          <w:tcPr>
            <w:tcW w:w="3402" w:type="dxa"/>
          </w:tcPr>
          <w:p w14:paraId="1A0C7A09" w14:textId="77777777" w:rsidR="007C0FDC" w:rsidRPr="00533472"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33472">
              <w:rPr>
                <w:sz w:val="20"/>
                <w:szCs w:val="20"/>
                <w:lang w:eastAsia="ja-JP"/>
              </w:rPr>
              <w:t>10 mg</w:t>
            </w:r>
            <w:r w:rsidRPr="00EC3232">
              <w:rPr>
                <w:sz w:val="20"/>
                <w:szCs w:val="20"/>
                <w:lang w:eastAsia="ja-JP"/>
              </w:rPr>
              <w:t>*</w:t>
            </w:r>
          </w:p>
          <w:p w14:paraId="6BB27E36"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20 mg</w:t>
            </w:r>
          </w:p>
          <w:p w14:paraId="39A0E0BE"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40 mg</w:t>
            </w:r>
          </w:p>
        </w:tc>
        <w:tc>
          <w:tcPr>
            <w:tcW w:w="3889" w:type="dxa"/>
          </w:tcPr>
          <w:p w14:paraId="6BDAAE11"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20 mg</w:t>
            </w:r>
          </w:p>
          <w:p w14:paraId="3F54A23C" w14:textId="77777777" w:rsidR="007C0FDC" w:rsidRPr="002B59AC"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B59AC">
              <w:rPr>
                <w:sz w:val="20"/>
                <w:szCs w:val="20"/>
                <w:lang w:eastAsia="ja-JP"/>
              </w:rPr>
              <w:t>40 mg</w:t>
            </w:r>
          </w:p>
        </w:tc>
      </w:tr>
    </w:tbl>
    <w:p w14:paraId="424814AE" w14:textId="77777777" w:rsidR="007C0FDC" w:rsidRDefault="007C0FDC" w:rsidP="007C0FDC">
      <w:pPr>
        <w:pStyle w:val="TableDescription"/>
        <w:rPr>
          <w:lang w:eastAsia="ja-JP"/>
        </w:rPr>
      </w:pPr>
      <w:proofErr w:type="gramStart"/>
      <w:r>
        <w:rPr>
          <w:lang w:eastAsia="ja-JP"/>
        </w:rPr>
        <w:t>*not available for Amgevita</w:t>
      </w:r>
      <w:r w:rsidR="00EC3232">
        <w:rPr>
          <w:lang w:eastAsia="ja-JP"/>
        </w:rPr>
        <w:t>.</w:t>
      </w:r>
      <w:proofErr w:type="gramEnd"/>
    </w:p>
    <w:p w14:paraId="624E3C4A" w14:textId="77777777" w:rsidR="007C0FDC" w:rsidRDefault="007C0FDC" w:rsidP="00E00067">
      <w:pPr>
        <w:pStyle w:val="Heading3"/>
      </w:pPr>
      <w:bookmarkStart w:id="22" w:name="_Ref455479366"/>
      <w:bookmarkStart w:id="23" w:name="_Toc470272271"/>
      <w:bookmarkStart w:id="24" w:name="_Toc509822382"/>
      <w:r>
        <w:t xml:space="preserve">Dosage </w:t>
      </w:r>
      <w:r w:rsidRPr="002B59AC">
        <w:t>and</w:t>
      </w:r>
      <w:r>
        <w:t xml:space="preserve"> administration</w:t>
      </w:r>
      <w:bookmarkEnd w:id="22"/>
      <w:bookmarkEnd w:id="23"/>
      <w:bookmarkEnd w:id="24"/>
    </w:p>
    <w:p w14:paraId="6E6BBDFE" w14:textId="0C271297" w:rsidR="007C0FDC" w:rsidRDefault="007C0FDC" w:rsidP="00E00067">
      <w:pPr>
        <w:rPr>
          <w:lang w:eastAsia="ja-JP"/>
        </w:rPr>
      </w:pPr>
      <w:r>
        <w:rPr>
          <w:lang w:eastAsia="ja-JP"/>
        </w:rPr>
        <w:t>The submission proposes registration of the same dosage and administration as the reference product.</w:t>
      </w:r>
    </w:p>
    <w:p w14:paraId="3664B4AE" w14:textId="77777777" w:rsidR="007C0FDC" w:rsidRPr="00BB6E95" w:rsidRDefault="007C0FDC" w:rsidP="00E00067">
      <w:pPr>
        <w:pStyle w:val="Tabletitle"/>
        <w:rPr>
          <w:lang w:eastAsia="ja-JP"/>
        </w:rPr>
      </w:pPr>
      <w:bookmarkStart w:id="25" w:name="_Ref454869280"/>
      <w:bookmarkStart w:id="26" w:name="_Toc471285593"/>
      <w:r w:rsidRPr="00BB6E95">
        <w:lastRenderedPageBreak/>
        <w:t xml:space="preserve">Table </w:t>
      </w:r>
      <w:r>
        <w:t>3:</w:t>
      </w:r>
      <w:bookmarkEnd w:id="25"/>
      <w:r w:rsidRPr="00BB6E95">
        <w:t xml:space="preserve"> Recommended dosages for the </w:t>
      </w:r>
      <w:r w:rsidRPr="00E00067">
        <w:t>proposed</w:t>
      </w:r>
      <w:r w:rsidRPr="00BB6E95">
        <w:t xml:space="preserve"> indications of </w:t>
      </w:r>
      <w:proofErr w:type="spellStart"/>
      <w:r>
        <w:t>Amgevita</w:t>
      </w:r>
      <w:bookmarkEnd w:id="26"/>
      <w:proofErr w:type="spellEnd"/>
    </w:p>
    <w:tbl>
      <w:tblPr>
        <w:tblStyle w:val="TableTGAblue"/>
        <w:tblW w:w="9288" w:type="dxa"/>
        <w:tblLook w:val="04A0" w:firstRow="1" w:lastRow="0" w:firstColumn="1" w:lastColumn="0" w:noHBand="0" w:noVBand="1"/>
      </w:tblPr>
      <w:tblGrid>
        <w:gridCol w:w="1848"/>
        <w:gridCol w:w="1662"/>
        <w:gridCol w:w="2034"/>
        <w:gridCol w:w="3744"/>
      </w:tblGrid>
      <w:tr w:rsidR="00EC3232" w14:paraId="28CD604F" w14:textId="77777777" w:rsidTr="005334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8" w:type="dxa"/>
          </w:tcPr>
          <w:p w14:paraId="50745758" w14:textId="77777777" w:rsidR="007C0FDC" w:rsidRDefault="007C0FDC" w:rsidP="002E64CE">
            <w:pPr>
              <w:keepNext/>
              <w:rPr>
                <w:lang w:eastAsia="ja-JP"/>
              </w:rPr>
            </w:pPr>
            <w:r>
              <w:rPr>
                <w:lang w:eastAsia="ja-JP"/>
              </w:rPr>
              <w:t>Indication</w:t>
            </w:r>
          </w:p>
        </w:tc>
        <w:tc>
          <w:tcPr>
            <w:tcW w:w="1662" w:type="dxa"/>
          </w:tcPr>
          <w:p w14:paraId="1A47A689" w14:textId="77777777" w:rsidR="007C0FDC" w:rsidRDefault="007C0FDC" w:rsidP="002E64C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Stage</w:t>
            </w:r>
          </w:p>
        </w:tc>
        <w:tc>
          <w:tcPr>
            <w:tcW w:w="2034" w:type="dxa"/>
          </w:tcPr>
          <w:p w14:paraId="49CC87E5" w14:textId="77777777" w:rsidR="007C0FDC" w:rsidRDefault="007C0FDC" w:rsidP="002E64C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Weight </w:t>
            </w:r>
            <w:r w:rsidRPr="0047355E">
              <w:rPr>
                <w:sz w:val="18"/>
                <w:szCs w:val="18"/>
                <w:lang w:eastAsia="ja-JP"/>
              </w:rPr>
              <w:t>(paediatric indications only)</w:t>
            </w:r>
          </w:p>
        </w:tc>
        <w:tc>
          <w:tcPr>
            <w:tcW w:w="3744" w:type="dxa"/>
          </w:tcPr>
          <w:p w14:paraId="468649E3" w14:textId="77777777" w:rsidR="007C0FDC" w:rsidRDefault="007C0FDC" w:rsidP="002E64C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Dose</w:t>
            </w:r>
          </w:p>
        </w:tc>
      </w:tr>
      <w:tr w:rsidR="00EC3232" w14:paraId="7577B7F4" w14:textId="77777777" w:rsidTr="00533472">
        <w:tc>
          <w:tcPr>
            <w:cnfStyle w:val="001000000000" w:firstRow="0" w:lastRow="0" w:firstColumn="1" w:lastColumn="0" w:oddVBand="0" w:evenVBand="0" w:oddHBand="0" w:evenHBand="0" w:firstRowFirstColumn="0" w:firstRowLastColumn="0" w:lastRowFirstColumn="0" w:lastRowLastColumn="0"/>
            <w:tcW w:w="1848" w:type="dxa"/>
          </w:tcPr>
          <w:p w14:paraId="69F47E2E" w14:textId="77777777" w:rsidR="007C0FDC" w:rsidRPr="00E00067" w:rsidRDefault="007C0FDC" w:rsidP="002E64CE">
            <w:pPr>
              <w:keepNext/>
              <w:ind w:left="0"/>
              <w:rPr>
                <w:rFonts w:asciiTheme="minorHAnsi" w:hAnsiTheme="minorHAnsi"/>
                <w:sz w:val="20"/>
                <w:szCs w:val="20"/>
                <w:lang w:eastAsia="ja-JP"/>
              </w:rPr>
            </w:pPr>
            <w:r w:rsidRPr="00E00067">
              <w:rPr>
                <w:rFonts w:asciiTheme="minorHAnsi" w:hAnsiTheme="minorHAnsi"/>
                <w:sz w:val="20"/>
                <w:szCs w:val="20"/>
                <w:lang w:eastAsia="ja-JP"/>
              </w:rPr>
              <w:t>Rheumatoid Arthritis</w:t>
            </w:r>
          </w:p>
        </w:tc>
        <w:tc>
          <w:tcPr>
            <w:tcW w:w="1662" w:type="dxa"/>
          </w:tcPr>
          <w:p w14:paraId="63998F7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2034" w:type="dxa"/>
          </w:tcPr>
          <w:p w14:paraId="1522940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6A951C9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 (weekly if not on concomitant methotrexate)</w:t>
            </w:r>
          </w:p>
        </w:tc>
      </w:tr>
      <w:tr w:rsidR="00EC3232" w14:paraId="29BA77CA"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val="restart"/>
          </w:tcPr>
          <w:p w14:paraId="0CD914B0"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Polyarticular Juvenile Idiopathic Arthritis</w:t>
            </w:r>
          </w:p>
        </w:tc>
        <w:tc>
          <w:tcPr>
            <w:tcW w:w="1662" w:type="dxa"/>
            <w:vMerge w:val="restart"/>
          </w:tcPr>
          <w:p w14:paraId="7EFB5FF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2034" w:type="dxa"/>
          </w:tcPr>
          <w:p w14:paraId="0C9D0071"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10 kg to &lt;</w:t>
            </w:r>
            <w:r w:rsidR="00EC3232" w:rsidRPr="00E00067">
              <w:rPr>
                <w:rFonts w:asciiTheme="minorHAnsi" w:hAnsiTheme="minorHAnsi"/>
                <w:sz w:val="20"/>
                <w:szCs w:val="20"/>
                <w:lang w:eastAsia="ja-JP"/>
              </w:rPr>
              <w:t xml:space="preserve"> </w:t>
            </w:r>
            <w:r w:rsidRPr="00E00067">
              <w:rPr>
                <w:rFonts w:asciiTheme="minorHAnsi" w:hAnsiTheme="minorHAnsi"/>
                <w:sz w:val="20"/>
                <w:szCs w:val="20"/>
                <w:lang w:eastAsia="ja-JP"/>
              </w:rPr>
              <w:t>15 kg</w:t>
            </w:r>
          </w:p>
        </w:tc>
        <w:tc>
          <w:tcPr>
            <w:tcW w:w="3744" w:type="dxa"/>
          </w:tcPr>
          <w:p w14:paraId="7E2698A2"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ja-JP"/>
              </w:rPr>
            </w:pPr>
            <w:r w:rsidRPr="00E00067">
              <w:rPr>
                <w:rFonts w:asciiTheme="minorHAnsi" w:hAnsiTheme="minorHAnsi"/>
                <w:sz w:val="20"/>
                <w:szCs w:val="20"/>
                <w:lang w:eastAsia="ja-JP"/>
              </w:rPr>
              <w:t>10 mg fortnightly</w:t>
            </w:r>
            <w:r w:rsidRPr="00E00067">
              <w:rPr>
                <w:rFonts w:asciiTheme="minorHAnsi" w:hAnsiTheme="minorHAnsi"/>
                <w:b/>
                <w:sz w:val="20"/>
                <w:szCs w:val="20"/>
                <w:lang w:eastAsia="ja-JP"/>
              </w:rPr>
              <w:t>*</w:t>
            </w:r>
          </w:p>
        </w:tc>
      </w:tr>
      <w:tr w:rsidR="00EC3232" w14:paraId="58E5058F"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71923A73" w14:textId="77777777" w:rsidR="007C0FDC" w:rsidRPr="00E00067" w:rsidRDefault="007C0FDC" w:rsidP="002E64CE">
            <w:pPr>
              <w:rPr>
                <w:rFonts w:asciiTheme="minorHAnsi" w:hAnsiTheme="minorHAnsi"/>
                <w:sz w:val="20"/>
                <w:szCs w:val="20"/>
                <w:lang w:eastAsia="ja-JP"/>
              </w:rPr>
            </w:pPr>
          </w:p>
        </w:tc>
        <w:tc>
          <w:tcPr>
            <w:tcW w:w="1662" w:type="dxa"/>
            <w:vMerge/>
          </w:tcPr>
          <w:p w14:paraId="11D94537" w14:textId="77777777" w:rsidR="007C0FDC" w:rsidRPr="00E00067" w:rsidRDefault="007C0FDC" w:rsidP="002E64C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2034" w:type="dxa"/>
          </w:tcPr>
          <w:p w14:paraId="57411723"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15 kg to &lt;</w:t>
            </w:r>
            <w:r w:rsidR="00EC3232" w:rsidRPr="00E00067">
              <w:rPr>
                <w:rFonts w:asciiTheme="minorHAnsi" w:hAnsiTheme="minorHAnsi"/>
                <w:sz w:val="20"/>
                <w:szCs w:val="20"/>
                <w:lang w:eastAsia="ja-JP"/>
              </w:rPr>
              <w:t xml:space="preserve"> </w:t>
            </w:r>
            <w:r w:rsidRPr="00E00067">
              <w:rPr>
                <w:rFonts w:asciiTheme="minorHAnsi" w:hAnsiTheme="minorHAnsi"/>
                <w:sz w:val="20"/>
                <w:szCs w:val="20"/>
                <w:lang w:eastAsia="ja-JP"/>
              </w:rPr>
              <w:t>30 kg</w:t>
            </w:r>
          </w:p>
        </w:tc>
        <w:tc>
          <w:tcPr>
            <w:tcW w:w="3744" w:type="dxa"/>
          </w:tcPr>
          <w:p w14:paraId="7721707B"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20 mg fortnightly</w:t>
            </w:r>
          </w:p>
        </w:tc>
      </w:tr>
      <w:tr w:rsidR="00EC3232" w14:paraId="7D0EC225"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651327EC" w14:textId="77777777" w:rsidR="007C0FDC" w:rsidRPr="00E00067" w:rsidRDefault="007C0FDC" w:rsidP="002E64CE">
            <w:pPr>
              <w:rPr>
                <w:rFonts w:asciiTheme="minorHAnsi" w:hAnsiTheme="minorHAnsi"/>
                <w:sz w:val="20"/>
                <w:szCs w:val="20"/>
                <w:lang w:eastAsia="ja-JP"/>
              </w:rPr>
            </w:pPr>
          </w:p>
        </w:tc>
        <w:tc>
          <w:tcPr>
            <w:tcW w:w="1662" w:type="dxa"/>
            <w:vMerge/>
          </w:tcPr>
          <w:p w14:paraId="2AEF74EF" w14:textId="77777777" w:rsidR="007C0FDC" w:rsidRPr="00E00067" w:rsidRDefault="007C0FDC" w:rsidP="002E64C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2034" w:type="dxa"/>
          </w:tcPr>
          <w:p w14:paraId="3F65B36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 30 kg</w:t>
            </w:r>
          </w:p>
        </w:tc>
        <w:tc>
          <w:tcPr>
            <w:tcW w:w="3744" w:type="dxa"/>
          </w:tcPr>
          <w:p w14:paraId="3B9FD081"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w:t>
            </w:r>
          </w:p>
        </w:tc>
      </w:tr>
      <w:tr w:rsidR="00EC3232" w14:paraId="4CC6B758" w14:textId="77777777" w:rsidTr="00533472">
        <w:tc>
          <w:tcPr>
            <w:cnfStyle w:val="001000000000" w:firstRow="0" w:lastRow="0" w:firstColumn="1" w:lastColumn="0" w:oddVBand="0" w:evenVBand="0" w:oddHBand="0" w:evenHBand="0" w:firstRowFirstColumn="0" w:firstRowLastColumn="0" w:lastRowFirstColumn="0" w:lastRowLastColumn="0"/>
            <w:tcW w:w="1848" w:type="dxa"/>
          </w:tcPr>
          <w:p w14:paraId="3A3B0B1D"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Psoriatic Arthritis</w:t>
            </w:r>
          </w:p>
        </w:tc>
        <w:tc>
          <w:tcPr>
            <w:tcW w:w="1662" w:type="dxa"/>
          </w:tcPr>
          <w:p w14:paraId="0626332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2034" w:type="dxa"/>
          </w:tcPr>
          <w:p w14:paraId="0285FE72"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697F1E9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w:t>
            </w:r>
          </w:p>
        </w:tc>
      </w:tr>
      <w:tr w:rsidR="00EC3232" w14:paraId="79F70D1E" w14:textId="77777777" w:rsidTr="00533472">
        <w:tc>
          <w:tcPr>
            <w:cnfStyle w:val="001000000000" w:firstRow="0" w:lastRow="0" w:firstColumn="1" w:lastColumn="0" w:oddVBand="0" w:evenVBand="0" w:oddHBand="0" w:evenHBand="0" w:firstRowFirstColumn="0" w:firstRowLastColumn="0" w:lastRowFirstColumn="0" w:lastRowLastColumn="0"/>
            <w:tcW w:w="1848" w:type="dxa"/>
          </w:tcPr>
          <w:p w14:paraId="7E7485EE"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Ankylosing Spondylitis</w:t>
            </w:r>
          </w:p>
        </w:tc>
        <w:tc>
          <w:tcPr>
            <w:tcW w:w="1662" w:type="dxa"/>
          </w:tcPr>
          <w:p w14:paraId="5742E8E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2034" w:type="dxa"/>
          </w:tcPr>
          <w:p w14:paraId="3CEEDAD6"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324E1E8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w:t>
            </w:r>
          </w:p>
        </w:tc>
      </w:tr>
      <w:tr w:rsidR="00EC3232" w14:paraId="1A09EC3D"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val="restart"/>
          </w:tcPr>
          <w:p w14:paraId="15BF2872"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Crohn’s Disease</w:t>
            </w:r>
          </w:p>
        </w:tc>
        <w:tc>
          <w:tcPr>
            <w:tcW w:w="1662" w:type="dxa"/>
          </w:tcPr>
          <w:p w14:paraId="617F4A4B"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Induction</w:t>
            </w:r>
          </w:p>
        </w:tc>
        <w:tc>
          <w:tcPr>
            <w:tcW w:w="2034" w:type="dxa"/>
          </w:tcPr>
          <w:p w14:paraId="6B5217E1"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476AFD83"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160 mg (initial (first) dose)</w:t>
            </w:r>
          </w:p>
          <w:p w14:paraId="6E8C5E48"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80 mg (second dose at Day 14)</w:t>
            </w:r>
          </w:p>
        </w:tc>
      </w:tr>
      <w:tr w:rsidR="00EC3232" w14:paraId="71A2AA52"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09B8B236" w14:textId="77777777" w:rsidR="007C0FDC" w:rsidRPr="00E00067" w:rsidRDefault="007C0FDC" w:rsidP="002E64CE">
            <w:pPr>
              <w:rPr>
                <w:rFonts w:asciiTheme="minorHAnsi" w:hAnsiTheme="minorHAnsi"/>
                <w:sz w:val="20"/>
                <w:szCs w:val="20"/>
                <w:lang w:eastAsia="ja-JP"/>
              </w:rPr>
            </w:pPr>
          </w:p>
        </w:tc>
        <w:tc>
          <w:tcPr>
            <w:tcW w:w="1662" w:type="dxa"/>
          </w:tcPr>
          <w:p w14:paraId="0D997120"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Maintenance</w:t>
            </w:r>
          </w:p>
        </w:tc>
        <w:tc>
          <w:tcPr>
            <w:tcW w:w="2034" w:type="dxa"/>
          </w:tcPr>
          <w:p w14:paraId="5295923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4F184883"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 (from Day 28)</w:t>
            </w:r>
          </w:p>
        </w:tc>
      </w:tr>
      <w:tr w:rsidR="00EC3232" w14:paraId="425B1AF0"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val="restart"/>
          </w:tcPr>
          <w:p w14:paraId="086CF8BD"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Paediatric Crohn’s Disease</w:t>
            </w:r>
          </w:p>
        </w:tc>
        <w:tc>
          <w:tcPr>
            <w:tcW w:w="1662" w:type="dxa"/>
            <w:vMerge w:val="restart"/>
          </w:tcPr>
          <w:p w14:paraId="578F2255"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Induction</w:t>
            </w:r>
          </w:p>
        </w:tc>
        <w:tc>
          <w:tcPr>
            <w:tcW w:w="2034" w:type="dxa"/>
          </w:tcPr>
          <w:p w14:paraId="2924EF25"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&lt; 40 kg</w:t>
            </w:r>
          </w:p>
        </w:tc>
        <w:tc>
          <w:tcPr>
            <w:tcW w:w="3744" w:type="dxa"/>
          </w:tcPr>
          <w:p w14:paraId="08F7373C"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80 mg (initial (first) dose)</w:t>
            </w:r>
          </w:p>
          <w:p w14:paraId="0F0EB5A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(second dose at Day 14)</w:t>
            </w:r>
          </w:p>
        </w:tc>
      </w:tr>
      <w:tr w:rsidR="00EC3232" w14:paraId="1CF5588A"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3C25322B" w14:textId="77777777" w:rsidR="007C0FDC" w:rsidRPr="00E00067" w:rsidRDefault="007C0FDC" w:rsidP="002E64CE">
            <w:pPr>
              <w:rPr>
                <w:rFonts w:asciiTheme="minorHAnsi" w:hAnsiTheme="minorHAnsi"/>
                <w:sz w:val="20"/>
                <w:szCs w:val="20"/>
                <w:lang w:eastAsia="ja-JP"/>
              </w:rPr>
            </w:pPr>
          </w:p>
        </w:tc>
        <w:tc>
          <w:tcPr>
            <w:tcW w:w="1662" w:type="dxa"/>
            <w:vMerge/>
          </w:tcPr>
          <w:p w14:paraId="7A02724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2034" w:type="dxa"/>
          </w:tcPr>
          <w:p w14:paraId="4AE846F8"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 40 kg</w:t>
            </w:r>
          </w:p>
        </w:tc>
        <w:tc>
          <w:tcPr>
            <w:tcW w:w="3744" w:type="dxa"/>
          </w:tcPr>
          <w:p w14:paraId="4BF7851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160 mg (initial (first) dose)</w:t>
            </w:r>
          </w:p>
          <w:p w14:paraId="71BA8E63"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80 mg (second dose at Day 14)</w:t>
            </w:r>
          </w:p>
        </w:tc>
      </w:tr>
      <w:tr w:rsidR="00EC3232" w14:paraId="1B496871"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0B526141" w14:textId="77777777" w:rsidR="007C0FDC" w:rsidRPr="00E00067" w:rsidRDefault="007C0FDC" w:rsidP="002E64CE">
            <w:pPr>
              <w:rPr>
                <w:rFonts w:asciiTheme="minorHAnsi" w:hAnsiTheme="minorHAnsi"/>
                <w:sz w:val="20"/>
                <w:szCs w:val="20"/>
                <w:lang w:eastAsia="ja-JP"/>
              </w:rPr>
            </w:pPr>
          </w:p>
        </w:tc>
        <w:tc>
          <w:tcPr>
            <w:tcW w:w="1662" w:type="dxa"/>
            <w:vMerge w:val="restart"/>
          </w:tcPr>
          <w:p w14:paraId="7269BA26"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Maintenance</w:t>
            </w:r>
          </w:p>
        </w:tc>
        <w:tc>
          <w:tcPr>
            <w:tcW w:w="2034" w:type="dxa"/>
          </w:tcPr>
          <w:p w14:paraId="5D17453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&lt; 40 kg</w:t>
            </w:r>
          </w:p>
        </w:tc>
        <w:tc>
          <w:tcPr>
            <w:tcW w:w="3744" w:type="dxa"/>
          </w:tcPr>
          <w:p w14:paraId="60C6D067"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Moderate CD: 10 mg fortnightly (from Day 28)*</w:t>
            </w:r>
          </w:p>
          <w:p w14:paraId="4635EA91"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Severe CD: 20 mg fortnightly (from Day 28)</w:t>
            </w:r>
          </w:p>
          <w:p w14:paraId="1D748CC7"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Treatment may be changed to weekly during flares</w:t>
            </w:r>
          </w:p>
        </w:tc>
      </w:tr>
      <w:tr w:rsidR="00EC3232" w14:paraId="44141BB9"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6A3868BA" w14:textId="77777777" w:rsidR="007C0FDC" w:rsidRPr="00E00067" w:rsidRDefault="007C0FDC" w:rsidP="002E64CE">
            <w:pPr>
              <w:rPr>
                <w:rFonts w:asciiTheme="minorHAnsi" w:hAnsiTheme="minorHAnsi"/>
                <w:sz w:val="20"/>
                <w:szCs w:val="20"/>
                <w:lang w:eastAsia="ja-JP"/>
              </w:rPr>
            </w:pPr>
          </w:p>
        </w:tc>
        <w:tc>
          <w:tcPr>
            <w:tcW w:w="1662" w:type="dxa"/>
            <w:vMerge/>
          </w:tcPr>
          <w:p w14:paraId="111691D2"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2034" w:type="dxa"/>
          </w:tcPr>
          <w:p w14:paraId="29E4EE7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 40 kg</w:t>
            </w:r>
          </w:p>
        </w:tc>
        <w:tc>
          <w:tcPr>
            <w:tcW w:w="3744" w:type="dxa"/>
          </w:tcPr>
          <w:p w14:paraId="4E9E435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Moderate CD: 20 mg fortnightly (from Day 28)</w:t>
            </w:r>
          </w:p>
          <w:p w14:paraId="288B670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Severe CD: 40 mg fortnightly (from Day 28)</w:t>
            </w:r>
          </w:p>
          <w:p w14:paraId="06FD723C"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Treatment may be changed to weekly during flares</w:t>
            </w:r>
          </w:p>
        </w:tc>
      </w:tr>
      <w:tr w:rsidR="00EC3232" w14:paraId="5A59E6CA"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val="restart"/>
          </w:tcPr>
          <w:p w14:paraId="52785D53"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Ulcerative colitis</w:t>
            </w:r>
          </w:p>
        </w:tc>
        <w:tc>
          <w:tcPr>
            <w:tcW w:w="1662" w:type="dxa"/>
          </w:tcPr>
          <w:p w14:paraId="6EA1202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Induction</w:t>
            </w:r>
          </w:p>
        </w:tc>
        <w:tc>
          <w:tcPr>
            <w:tcW w:w="2034" w:type="dxa"/>
          </w:tcPr>
          <w:p w14:paraId="365C552F"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0F3CC937"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160 mg (initial (first) dose)</w:t>
            </w:r>
          </w:p>
          <w:p w14:paraId="29FFEDF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80 mg (second dose at Day 14)</w:t>
            </w:r>
          </w:p>
        </w:tc>
      </w:tr>
      <w:tr w:rsidR="00EC3232" w14:paraId="30B1584B"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45F7B218" w14:textId="77777777" w:rsidR="007C0FDC" w:rsidRPr="00E00067" w:rsidRDefault="007C0FDC" w:rsidP="002E64CE">
            <w:pPr>
              <w:rPr>
                <w:rFonts w:asciiTheme="minorHAnsi" w:hAnsiTheme="minorHAnsi"/>
                <w:sz w:val="20"/>
                <w:szCs w:val="20"/>
                <w:lang w:eastAsia="ja-JP"/>
              </w:rPr>
            </w:pPr>
          </w:p>
        </w:tc>
        <w:tc>
          <w:tcPr>
            <w:tcW w:w="1662" w:type="dxa"/>
          </w:tcPr>
          <w:p w14:paraId="4A780CF9"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Maintenance</w:t>
            </w:r>
          </w:p>
        </w:tc>
        <w:tc>
          <w:tcPr>
            <w:tcW w:w="2034" w:type="dxa"/>
          </w:tcPr>
          <w:p w14:paraId="7A968685"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7BB382E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 (from Day 28)</w:t>
            </w:r>
          </w:p>
        </w:tc>
      </w:tr>
      <w:tr w:rsidR="00EC3232" w14:paraId="5DF0C6AF"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val="restart"/>
          </w:tcPr>
          <w:p w14:paraId="1E950BA4" w14:textId="77777777" w:rsidR="007C0FDC" w:rsidRPr="00E00067" w:rsidRDefault="007C0FDC" w:rsidP="002E64CE">
            <w:pPr>
              <w:ind w:left="0"/>
              <w:rPr>
                <w:rFonts w:asciiTheme="minorHAnsi" w:hAnsiTheme="minorHAnsi"/>
                <w:sz w:val="20"/>
                <w:szCs w:val="20"/>
                <w:lang w:eastAsia="ja-JP"/>
              </w:rPr>
            </w:pPr>
            <w:r w:rsidRPr="00E00067">
              <w:rPr>
                <w:rFonts w:asciiTheme="minorHAnsi" w:hAnsiTheme="minorHAnsi"/>
                <w:sz w:val="20"/>
                <w:szCs w:val="20"/>
                <w:lang w:eastAsia="ja-JP"/>
              </w:rPr>
              <w:t>Psoriasis</w:t>
            </w:r>
          </w:p>
        </w:tc>
        <w:tc>
          <w:tcPr>
            <w:tcW w:w="1662" w:type="dxa"/>
          </w:tcPr>
          <w:p w14:paraId="56EC569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Induction</w:t>
            </w:r>
          </w:p>
        </w:tc>
        <w:tc>
          <w:tcPr>
            <w:tcW w:w="2034" w:type="dxa"/>
          </w:tcPr>
          <w:p w14:paraId="43C39C2D"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424B4DB4"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80 mg (initial (first) dose)</w:t>
            </w:r>
          </w:p>
        </w:tc>
      </w:tr>
      <w:tr w:rsidR="00EC3232" w14:paraId="77156E96" w14:textId="77777777" w:rsidTr="00533472">
        <w:tc>
          <w:tcPr>
            <w:cnfStyle w:val="001000000000" w:firstRow="0" w:lastRow="0" w:firstColumn="1" w:lastColumn="0" w:oddVBand="0" w:evenVBand="0" w:oddHBand="0" w:evenHBand="0" w:firstRowFirstColumn="0" w:firstRowLastColumn="0" w:lastRowFirstColumn="0" w:lastRowLastColumn="0"/>
            <w:tcW w:w="1848" w:type="dxa"/>
            <w:vMerge/>
          </w:tcPr>
          <w:p w14:paraId="79030EAC" w14:textId="77777777" w:rsidR="007C0FDC" w:rsidRPr="00E00067" w:rsidRDefault="007C0FDC" w:rsidP="002E64CE">
            <w:pPr>
              <w:rPr>
                <w:rFonts w:asciiTheme="minorHAnsi" w:hAnsiTheme="minorHAnsi"/>
                <w:sz w:val="20"/>
                <w:szCs w:val="20"/>
                <w:lang w:eastAsia="ja-JP"/>
              </w:rPr>
            </w:pPr>
          </w:p>
        </w:tc>
        <w:tc>
          <w:tcPr>
            <w:tcW w:w="1662" w:type="dxa"/>
          </w:tcPr>
          <w:p w14:paraId="0556DA4B"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Maintenance</w:t>
            </w:r>
          </w:p>
        </w:tc>
        <w:tc>
          <w:tcPr>
            <w:tcW w:w="2034" w:type="dxa"/>
          </w:tcPr>
          <w:p w14:paraId="700121D2"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N/A</w:t>
            </w:r>
          </w:p>
        </w:tc>
        <w:tc>
          <w:tcPr>
            <w:tcW w:w="3744" w:type="dxa"/>
          </w:tcPr>
          <w:p w14:paraId="767B666E" w14:textId="77777777" w:rsidR="007C0FDC" w:rsidRPr="00E00067" w:rsidRDefault="007C0FDC" w:rsidP="002E64C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E00067">
              <w:rPr>
                <w:rFonts w:asciiTheme="minorHAnsi" w:hAnsiTheme="minorHAnsi"/>
                <w:sz w:val="20"/>
                <w:szCs w:val="20"/>
                <w:lang w:eastAsia="ja-JP"/>
              </w:rPr>
              <w:t>40 mg fortnightly (from Day 7)</w:t>
            </w:r>
          </w:p>
        </w:tc>
      </w:tr>
    </w:tbl>
    <w:p w14:paraId="0C406E9A" w14:textId="77777777" w:rsidR="007C0FDC" w:rsidRDefault="007C0FDC" w:rsidP="00E00067">
      <w:pPr>
        <w:pStyle w:val="TableDescription"/>
        <w:rPr>
          <w:lang w:eastAsia="ja-JP"/>
        </w:rPr>
      </w:pPr>
      <w:r>
        <w:rPr>
          <w:lang w:eastAsia="ja-JP"/>
        </w:rPr>
        <w:t>*no suitable Amgevita presentation available</w:t>
      </w:r>
    </w:p>
    <w:p w14:paraId="1EDFB209" w14:textId="77777777" w:rsidR="007C0FDC" w:rsidRDefault="007C0FDC" w:rsidP="00E00067">
      <w:pPr>
        <w:pStyle w:val="Heading2"/>
      </w:pPr>
      <w:bookmarkStart w:id="27" w:name="_Toc470272273"/>
      <w:bookmarkStart w:id="28" w:name="_Toc509822383"/>
      <w:r w:rsidRPr="00E00067">
        <w:t>Background</w:t>
      </w:r>
      <w:bookmarkEnd w:id="27"/>
      <w:bookmarkEnd w:id="28"/>
    </w:p>
    <w:p w14:paraId="06BDBD91" w14:textId="77777777" w:rsidR="007C0FDC" w:rsidRDefault="007C0FDC" w:rsidP="00E00067">
      <w:pPr>
        <w:pStyle w:val="Heading3"/>
      </w:pPr>
      <w:bookmarkStart w:id="29" w:name="_Toc470272274"/>
      <w:bookmarkStart w:id="30" w:name="_Toc509822384"/>
      <w:r w:rsidRPr="00E00067">
        <w:t>Information</w:t>
      </w:r>
      <w:r w:rsidRPr="00E709B3">
        <w:t xml:space="preserve"> on the condition being treated</w:t>
      </w:r>
      <w:bookmarkEnd w:id="29"/>
      <w:bookmarkEnd w:id="30"/>
    </w:p>
    <w:p w14:paraId="381E234A" w14:textId="77777777" w:rsidR="007C0FDC" w:rsidRPr="0020355A" w:rsidRDefault="007C0FDC" w:rsidP="00E00067">
      <w:pPr>
        <w:pStyle w:val="Heading4"/>
      </w:pPr>
      <w:r w:rsidRPr="0020355A">
        <w:t>Rheumatoid arthritis</w:t>
      </w:r>
    </w:p>
    <w:p w14:paraId="773CAFE3" w14:textId="77777777" w:rsidR="007C0FDC" w:rsidRPr="00731ABD" w:rsidRDefault="007C0FDC" w:rsidP="007C0FDC">
      <w:pPr>
        <w:rPr>
          <w:rFonts w:asciiTheme="minorHAnsi" w:hAnsiTheme="minorHAnsi" w:cstheme="minorHAnsi"/>
        </w:rPr>
      </w:pPr>
      <w:r w:rsidRPr="00731ABD">
        <w:rPr>
          <w:rFonts w:asciiTheme="minorHAnsi" w:hAnsiTheme="minorHAnsi" w:cstheme="minorHAnsi"/>
        </w:rPr>
        <w:t>Rheumatoid arthritis (RA) is an autoimmune multi-system disease, but mainly affects the small joints, symmetrically on both sides. Its main feature is persistent synovitis, leading to irreversible damage to soft tissues and bones in later stages.</w:t>
      </w:r>
    </w:p>
    <w:p w14:paraId="6E3487C8" w14:textId="77777777" w:rsidR="007C0FDC" w:rsidRPr="0020355A" w:rsidRDefault="007C0FDC" w:rsidP="007C0FDC">
      <w:pPr>
        <w:pStyle w:val="Heading4"/>
        <w:numPr>
          <w:ilvl w:val="2"/>
          <w:numId w:val="5"/>
        </w:numPr>
      </w:pPr>
      <w:r w:rsidRPr="0020355A">
        <w:t>Crohn</w:t>
      </w:r>
      <w:r>
        <w:t>’s d</w:t>
      </w:r>
      <w:r w:rsidRPr="0020355A">
        <w:t>isease</w:t>
      </w:r>
    </w:p>
    <w:p w14:paraId="7049E848" w14:textId="77777777" w:rsidR="007C0FDC" w:rsidRPr="00C22ABF" w:rsidRDefault="007C0FDC" w:rsidP="007C0FDC">
      <w:pPr>
        <w:rPr>
          <w:rFonts w:asciiTheme="minorHAnsi" w:hAnsiTheme="minorHAnsi" w:cstheme="minorHAnsi"/>
        </w:rPr>
      </w:pPr>
      <w:r w:rsidRPr="00731ABD">
        <w:rPr>
          <w:rFonts w:asciiTheme="minorHAnsi" w:hAnsiTheme="minorHAnsi" w:cstheme="minorHAnsi"/>
        </w:rPr>
        <w:t>Crohn</w:t>
      </w:r>
      <w:r>
        <w:rPr>
          <w:rFonts w:asciiTheme="minorHAnsi" w:hAnsiTheme="minorHAnsi" w:cstheme="minorHAnsi"/>
        </w:rPr>
        <w:t>’s</w:t>
      </w:r>
      <w:r w:rsidRPr="00731ABD">
        <w:rPr>
          <w:rFonts w:asciiTheme="minorHAnsi" w:hAnsiTheme="minorHAnsi" w:cstheme="minorHAnsi"/>
        </w:rPr>
        <w:t xml:space="preserve"> disease is a chronic inflammatory disease of the gastrointestinal system of unknown aetiology and characterised by transmural inflammation. It is part of the inflammatory bowel disease (IBD) spectrum. Any part of the GI system may be involved, but the terminal ileum and proximal colon are mostly affected.</w:t>
      </w:r>
    </w:p>
    <w:p w14:paraId="5E611042" w14:textId="77777777" w:rsidR="007C0FDC" w:rsidRPr="0020355A" w:rsidRDefault="007C0FDC" w:rsidP="007C0FDC">
      <w:pPr>
        <w:pStyle w:val="Heading4"/>
        <w:numPr>
          <w:ilvl w:val="2"/>
          <w:numId w:val="5"/>
        </w:numPr>
      </w:pPr>
      <w:r w:rsidRPr="0020355A">
        <w:t>Ulcerative colitis</w:t>
      </w:r>
    </w:p>
    <w:p w14:paraId="4CB9A8CA" w14:textId="77777777" w:rsidR="007C0FDC" w:rsidRPr="00C22ABF" w:rsidRDefault="007C0FDC" w:rsidP="007C0FDC">
      <w:pPr>
        <w:rPr>
          <w:rFonts w:asciiTheme="minorHAnsi" w:hAnsiTheme="minorHAnsi" w:cstheme="minorHAnsi"/>
        </w:rPr>
      </w:pPr>
      <w:r w:rsidRPr="00731ABD">
        <w:rPr>
          <w:rFonts w:asciiTheme="minorHAnsi" w:hAnsiTheme="minorHAnsi" w:cstheme="minorHAnsi"/>
        </w:rPr>
        <w:t>Ulcerative colitis is a relapsing and remitting colitis of unknown aetiology affecting the colonic mucosa. It is part of the inflammatory bowel disease (IBD) spectrum. In approximately half of the cases, only the rectum is affected, but the disease may extend to the colon, or may affect the whole colon.</w:t>
      </w:r>
    </w:p>
    <w:p w14:paraId="098D2E0B" w14:textId="77777777" w:rsidR="007C0FDC" w:rsidRPr="0020355A" w:rsidRDefault="007C0FDC" w:rsidP="007C0FDC">
      <w:pPr>
        <w:pStyle w:val="Heading4"/>
        <w:numPr>
          <w:ilvl w:val="2"/>
          <w:numId w:val="5"/>
        </w:numPr>
      </w:pPr>
      <w:r w:rsidRPr="0020355A">
        <w:t>Ankylosing spondylitis</w:t>
      </w:r>
    </w:p>
    <w:p w14:paraId="082C1B9D" w14:textId="77777777" w:rsidR="007C0FDC" w:rsidRPr="00C22ABF" w:rsidRDefault="007C0FDC" w:rsidP="007C0FDC">
      <w:pPr>
        <w:rPr>
          <w:rFonts w:asciiTheme="minorHAnsi" w:hAnsiTheme="minorHAnsi" w:cstheme="minorHAnsi"/>
        </w:rPr>
      </w:pPr>
      <w:r w:rsidRPr="00731ABD">
        <w:rPr>
          <w:rFonts w:asciiTheme="minorHAnsi" w:hAnsiTheme="minorHAnsi" w:cstheme="minorHAnsi"/>
        </w:rPr>
        <w:t>Ankylosing spondylitis (AS) is a chronic inflammatory spondyloarthritis of unknown aetiology, but with genetic predisposition. It mainly affects the axial skeleton including the sacroiliac region. Its main clinical features are back pain and progressive stiffness of the spine.</w:t>
      </w:r>
    </w:p>
    <w:p w14:paraId="1F2C11AE" w14:textId="77777777" w:rsidR="007C0FDC" w:rsidRPr="0020355A" w:rsidRDefault="007C0FDC" w:rsidP="007C0FDC">
      <w:pPr>
        <w:pStyle w:val="Heading4"/>
        <w:numPr>
          <w:ilvl w:val="2"/>
          <w:numId w:val="5"/>
        </w:numPr>
      </w:pPr>
      <w:r w:rsidRPr="0020355A">
        <w:t>Psoriasis and psoriatic arthritis</w:t>
      </w:r>
    </w:p>
    <w:p w14:paraId="78AF0A29" w14:textId="77777777" w:rsidR="007C0FDC" w:rsidRPr="0020355A" w:rsidRDefault="007C0FDC" w:rsidP="007C0FDC">
      <w:pPr>
        <w:rPr>
          <w:rFonts w:asciiTheme="minorHAnsi" w:hAnsiTheme="minorHAnsi" w:cstheme="minorHAnsi"/>
        </w:rPr>
      </w:pPr>
      <w:r w:rsidRPr="00731ABD">
        <w:rPr>
          <w:rFonts w:asciiTheme="minorHAnsi" w:hAnsiTheme="minorHAnsi" w:cstheme="minorHAnsi"/>
        </w:rPr>
        <w:t>Psoriasis is a chronic inflammatory skin disorder mainly characterised by erythematous papules and plaques with a silvery scale (p</w:t>
      </w:r>
      <w:r w:rsidRPr="00731ABD">
        <w:rPr>
          <w:rFonts w:asciiTheme="minorHAnsi" w:hAnsiTheme="minorHAnsi" w:cstheme="minorHAnsi" w:hint="eastAsia"/>
        </w:rPr>
        <w:t>laque psoriasis</w:t>
      </w:r>
      <w:r w:rsidRPr="00731ABD">
        <w:rPr>
          <w:rFonts w:asciiTheme="minorHAnsi" w:hAnsiTheme="minorHAnsi" w:cstheme="minorHAnsi"/>
        </w:rPr>
        <w:t>). However, the disease may also manifest itself as g</w:t>
      </w:r>
      <w:r w:rsidRPr="00731ABD">
        <w:rPr>
          <w:rFonts w:asciiTheme="minorHAnsi" w:hAnsiTheme="minorHAnsi" w:cstheme="minorHAnsi" w:hint="eastAsia"/>
        </w:rPr>
        <w:t>uttate psoriasis</w:t>
      </w:r>
      <w:r w:rsidRPr="00731ABD">
        <w:rPr>
          <w:rFonts w:asciiTheme="minorHAnsi" w:hAnsiTheme="minorHAnsi" w:cstheme="minorHAnsi"/>
        </w:rPr>
        <w:t>, p</w:t>
      </w:r>
      <w:r w:rsidRPr="00731ABD">
        <w:rPr>
          <w:rFonts w:asciiTheme="minorHAnsi" w:hAnsiTheme="minorHAnsi" w:cstheme="minorHAnsi" w:hint="eastAsia"/>
        </w:rPr>
        <w:t>ustular psoriasis</w:t>
      </w:r>
      <w:r w:rsidRPr="00731ABD">
        <w:rPr>
          <w:rFonts w:asciiTheme="minorHAnsi" w:hAnsiTheme="minorHAnsi" w:cstheme="minorHAnsi"/>
        </w:rPr>
        <w:t>, i</w:t>
      </w:r>
      <w:r w:rsidRPr="00731ABD">
        <w:rPr>
          <w:rFonts w:asciiTheme="minorHAnsi" w:hAnsiTheme="minorHAnsi" w:cstheme="minorHAnsi" w:hint="eastAsia"/>
        </w:rPr>
        <w:t>nverse psoriasis</w:t>
      </w:r>
      <w:r w:rsidRPr="00731ABD">
        <w:rPr>
          <w:rFonts w:asciiTheme="minorHAnsi" w:hAnsiTheme="minorHAnsi" w:cstheme="minorHAnsi"/>
        </w:rPr>
        <w:t>,</w:t>
      </w:r>
      <w:r w:rsidRPr="00731ABD">
        <w:rPr>
          <w:rFonts w:asciiTheme="minorHAnsi" w:hAnsiTheme="minorHAnsi" w:cstheme="minorHAnsi" w:hint="eastAsia"/>
        </w:rPr>
        <w:t xml:space="preserve"> </w:t>
      </w:r>
      <w:r w:rsidRPr="00731ABD">
        <w:rPr>
          <w:rFonts w:asciiTheme="minorHAnsi" w:hAnsiTheme="minorHAnsi" w:cstheme="minorHAnsi"/>
        </w:rPr>
        <w:t>e</w:t>
      </w:r>
      <w:r w:rsidRPr="00731ABD">
        <w:rPr>
          <w:rFonts w:asciiTheme="minorHAnsi" w:hAnsiTheme="minorHAnsi" w:cstheme="minorHAnsi" w:hint="eastAsia"/>
        </w:rPr>
        <w:t>rythrodermic psoriasis</w:t>
      </w:r>
      <w:r w:rsidRPr="00731ABD">
        <w:rPr>
          <w:rFonts w:asciiTheme="minorHAnsi" w:hAnsiTheme="minorHAnsi" w:cstheme="minorHAnsi"/>
        </w:rPr>
        <w:t>, or n</w:t>
      </w:r>
      <w:r w:rsidRPr="00731ABD">
        <w:rPr>
          <w:rFonts w:asciiTheme="minorHAnsi" w:hAnsiTheme="minorHAnsi" w:cstheme="minorHAnsi" w:hint="eastAsia"/>
        </w:rPr>
        <w:t>ail psoriasis</w:t>
      </w:r>
      <w:r w:rsidRPr="00731ABD">
        <w:rPr>
          <w:rFonts w:asciiTheme="minorHAnsi" w:hAnsiTheme="minorHAnsi" w:cstheme="minorHAnsi"/>
        </w:rPr>
        <w:t xml:space="preserve">. In some individuals, the inflammatory changes extend into joints, </w:t>
      </w:r>
      <w:r>
        <w:rPr>
          <w:rFonts w:asciiTheme="minorHAnsi" w:hAnsiTheme="minorHAnsi" w:cstheme="minorHAnsi"/>
        </w:rPr>
        <w:t>leading to psoriatic arthritis.</w:t>
      </w:r>
    </w:p>
    <w:p w14:paraId="6E25D1CF" w14:textId="77777777" w:rsidR="007C0FDC" w:rsidRDefault="007C0FDC" w:rsidP="00E00067">
      <w:pPr>
        <w:pStyle w:val="Heading3"/>
      </w:pPr>
      <w:bookmarkStart w:id="31" w:name="_Toc470272275"/>
      <w:bookmarkStart w:id="32" w:name="_Toc509822385"/>
      <w:r>
        <w:t xml:space="preserve">Current </w:t>
      </w:r>
      <w:r w:rsidRPr="00E00067">
        <w:t>treatment</w:t>
      </w:r>
      <w:r>
        <w:t xml:space="preserve"> options</w:t>
      </w:r>
      <w:bookmarkEnd w:id="31"/>
      <w:bookmarkEnd w:id="32"/>
    </w:p>
    <w:p w14:paraId="3BEEE969" w14:textId="77777777" w:rsidR="007C0FDC" w:rsidRPr="0020355A" w:rsidRDefault="007C0FDC" w:rsidP="00E00067">
      <w:pPr>
        <w:pStyle w:val="Heading4"/>
      </w:pPr>
      <w:r w:rsidRPr="00E00067">
        <w:t>Rheumatoid</w:t>
      </w:r>
      <w:r w:rsidRPr="0020355A">
        <w:t xml:space="preserve"> arthritis</w:t>
      </w:r>
    </w:p>
    <w:p w14:paraId="577D3AAF" w14:textId="77777777" w:rsidR="007C0FDC" w:rsidRPr="00731ABD" w:rsidRDefault="007C0FDC" w:rsidP="007C0FDC">
      <w:pPr>
        <w:rPr>
          <w:rFonts w:asciiTheme="minorHAnsi" w:hAnsiTheme="minorHAnsi" w:cstheme="minorHAnsi"/>
        </w:rPr>
      </w:pPr>
      <w:r w:rsidRPr="00731ABD">
        <w:rPr>
          <w:rFonts w:asciiTheme="minorHAnsi" w:hAnsiTheme="minorHAnsi" w:cstheme="minorHAnsi"/>
        </w:rPr>
        <w:t>Pharmacological treatment options include:</w:t>
      </w:r>
    </w:p>
    <w:p w14:paraId="7A4127BC" w14:textId="79E05F4B" w:rsidR="007C0FDC" w:rsidRPr="00731ABD" w:rsidRDefault="007C0FDC" w:rsidP="00E00067">
      <w:pPr>
        <w:pStyle w:val="ListBullet"/>
      </w:pPr>
      <w:r w:rsidRPr="00731ABD">
        <w:lastRenderedPageBreak/>
        <w:t xml:space="preserve">Anti-inflammatory medications, </w:t>
      </w:r>
      <w:r>
        <w:t>for example,</w:t>
      </w:r>
      <w:r w:rsidRPr="00731ABD">
        <w:t xml:space="preserve"> nonsteroidal anti-inflammatory drugs (NSAIDs) and </w:t>
      </w:r>
      <w:r w:rsidRPr="00E00067">
        <w:t>glucocorticoids</w:t>
      </w:r>
    </w:p>
    <w:p w14:paraId="309E412C" w14:textId="77777777" w:rsidR="007C0FDC" w:rsidRPr="00731ABD" w:rsidRDefault="007C0FDC" w:rsidP="007C0FDC">
      <w:pPr>
        <w:pStyle w:val="ListBullet"/>
        <w:numPr>
          <w:ilvl w:val="0"/>
          <w:numId w:val="1"/>
        </w:numPr>
      </w:pPr>
      <w:r w:rsidRPr="00731ABD">
        <w:t>Non-biological disease-modifying antirheumatic drugs (DMARDs)(</w:t>
      </w:r>
      <w:r>
        <w:t>for example,</w:t>
      </w:r>
      <w:r w:rsidRPr="00731ABD">
        <w:t xml:space="preserve"> methotrexate, hydroxychloroquine, sulfasalazine, and leflunomide)</w:t>
      </w:r>
    </w:p>
    <w:p w14:paraId="423701C9" w14:textId="77777777" w:rsidR="007C0FDC" w:rsidRPr="00731ABD" w:rsidRDefault="007C0FDC" w:rsidP="007C0FDC">
      <w:pPr>
        <w:pStyle w:val="ListBullet"/>
        <w:numPr>
          <w:ilvl w:val="0"/>
          <w:numId w:val="1"/>
        </w:numPr>
      </w:pPr>
      <w:r w:rsidRPr="00731ABD">
        <w:t>Biological DMARDs:</w:t>
      </w:r>
    </w:p>
    <w:p w14:paraId="534C5CD3" w14:textId="77777777" w:rsidR="007C0FDC" w:rsidRPr="00731ABD" w:rsidRDefault="007C0FDC" w:rsidP="007C0FDC">
      <w:pPr>
        <w:pStyle w:val="ListBullet2"/>
        <w:numPr>
          <w:ilvl w:val="1"/>
          <w:numId w:val="1"/>
        </w:numPr>
      </w:pPr>
      <w:r w:rsidRPr="00731ABD">
        <w:t>Tumour necrosis factor (TNF)-alpha inhibitors (</w:t>
      </w:r>
      <w:r>
        <w:t>for example,</w:t>
      </w:r>
      <w:r w:rsidRPr="00731ABD">
        <w:t xml:space="preserve"> infliximab, adalimumab, etanercept, golimumab, and certolizumab pegol)</w:t>
      </w:r>
    </w:p>
    <w:p w14:paraId="3391FE91" w14:textId="77777777" w:rsidR="007C0FDC" w:rsidRPr="00731ABD" w:rsidRDefault="007C0FDC" w:rsidP="007C0FDC">
      <w:pPr>
        <w:pStyle w:val="ListBullet2"/>
        <w:numPr>
          <w:ilvl w:val="1"/>
          <w:numId w:val="1"/>
        </w:numPr>
      </w:pPr>
      <w:r w:rsidRPr="00731ABD">
        <w:t>Interleukin-1 (IL-1) receptor antagonists (</w:t>
      </w:r>
      <w:r>
        <w:t>for example,</w:t>
      </w:r>
      <w:r w:rsidRPr="00731ABD">
        <w:t xml:space="preserve"> anakinra)</w:t>
      </w:r>
    </w:p>
    <w:p w14:paraId="02DFDA72" w14:textId="77777777" w:rsidR="007C0FDC" w:rsidRPr="00731ABD" w:rsidRDefault="007C0FDC" w:rsidP="007C0FDC">
      <w:pPr>
        <w:pStyle w:val="ListBullet2"/>
        <w:numPr>
          <w:ilvl w:val="1"/>
          <w:numId w:val="1"/>
        </w:numPr>
      </w:pPr>
      <w:r w:rsidRPr="00731ABD">
        <w:t>Interleukin-6 (IL-6) receptor antagonists (</w:t>
      </w:r>
      <w:r>
        <w:t>for example,</w:t>
      </w:r>
      <w:r w:rsidRPr="00731ABD">
        <w:t xml:space="preserve"> tocilizumab)</w:t>
      </w:r>
    </w:p>
    <w:p w14:paraId="60CBEBC1" w14:textId="77777777" w:rsidR="007C0FDC" w:rsidRPr="00731ABD" w:rsidRDefault="007C0FDC" w:rsidP="007C0FDC">
      <w:pPr>
        <w:pStyle w:val="ListBullet2"/>
        <w:numPr>
          <w:ilvl w:val="1"/>
          <w:numId w:val="1"/>
        </w:numPr>
      </w:pPr>
      <w:r w:rsidRPr="00731ABD">
        <w:t>T-cell co-stimulation modulators (</w:t>
      </w:r>
      <w:r>
        <w:t>for example,</w:t>
      </w:r>
      <w:r w:rsidRPr="00731ABD">
        <w:t xml:space="preserve"> abatacept)</w:t>
      </w:r>
    </w:p>
    <w:p w14:paraId="0A2028A1" w14:textId="77777777" w:rsidR="007C0FDC" w:rsidRPr="00731ABD" w:rsidRDefault="007C0FDC" w:rsidP="007C0FDC">
      <w:pPr>
        <w:pStyle w:val="ListBullet2"/>
        <w:numPr>
          <w:ilvl w:val="1"/>
          <w:numId w:val="1"/>
        </w:numPr>
      </w:pPr>
      <w:r w:rsidRPr="00731ABD">
        <w:t>Anti-CD20 monoclonal antibodies (</w:t>
      </w:r>
      <w:r>
        <w:t>for example,</w:t>
      </w:r>
      <w:r w:rsidRPr="00731ABD">
        <w:t xml:space="preserve"> rituximab)</w:t>
      </w:r>
    </w:p>
    <w:p w14:paraId="0EC366FB" w14:textId="77777777" w:rsidR="007C0FDC" w:rsidRPr="0020355A" w:rsidRDefault="007C0FDC" w:rsidP="007C0FDC">
      <w:pPr>
        <w:pStyle w:val="ListBullet2"/>
        <w:numPr>
          <w:ilvl w:val="1"/>
          <w:numId w:val="1"/>
        </w:numPr>
      </w:pPr>
      <w:r w:rsidRPr="00731ABD">
        <w:t>Janus kinase inhibitors (</w:t>
      </w:r>
      <w:r>
        <w:t>for example,</w:t>
      </w:r>
      <w:r w:rsidRPr="00731ABD">
        <w:t xml:space="preserve"> tofacitinib)</w:t>
      </w:r>
    </w:p>
    <w:p w14:paraId="79527163" w14:textId="77777777" w:rsidR="007C0FDC" w:rsidRPr="0020355A" w:rsidRDefault="007C0FDC" w:rsidP="00E00067">
      <w:pPr>
        <w:pStyle w:val="Heading4"/>
      </w:pPr>
      <w:r w:rsidRPr="0020355A">
        <w:t>Crohn</w:t>
      </w:r>
      <w:r>
        <w:t xml:space="preserve">’s </w:t>
      </w:r>
      <w:r w:rsidRPr="00E00067">
        <w:t>disease</w:t>
      </w:r>
      <w:r w:rsidRPr="0020355A">
        <w:t xml:space="preserve"> and ulcerative colitis</w:t>
      </w:r>
    </w:p>
    <w:p w14:paraId="6AD4EABC" w14:textId="77777777" w:rsidR="007C0FDC" w:rsidRPr="00731ABD" w:rsidRDefault="007C0FDC" w:rsidP="00E00067">
      <w:r w:rsidRPr="00731ABD">
        <w:t>Pharmacological treatment options include:</w:t>
      </w:r>
    </w:p>
    <w:p w14:paraId="053E0D3C" w14:textId="77777777" w:rsidR="007C0FDC" w:rsidRPr="00E00067" w:rsidRDefault="007C0FDC" w:rsidP="00E00067">
      <w:pPr>
        <w:pStyle w:val="ListBullet"/>
      </w:pPr>
      <w:r w:rsidRPr="00E00067">
        <w:t>Glucocorticoids (for example, prednisone, budesonide)</w:t>
      </w:r>
    </w:p>
    <w:p w14:paraId="388E6FAB" w14:textId="77777777" w:rsidR="007C0FDC" w:rsidRPr="00E00067" w:rsidRDefault="007C0FDC" w:rsidP="00E00067">
      <w:pPr>
        <w:pStyle w:val="ListBullet"/>
      </w:pPr>
      <w:r w:rsidRPr="00E00067">
        <w:t xml:space="preserve">5-aminosalicylic acid (5-ASA) drugs (for example, </w:t>
      </w:r>
      <w:proofErr w:type="spellStart"/>
      <w:r w:rsidRPr="00E00067">
        <w:t>mesalamine</w:t>
      </w:r>
      <w:proofErr w:type="spellEnd"/>
      <w:r w:rsidRPr="00E00067">
        <w:t xml:space="preserve">) or </w:t>
      </w:r>
      <w:proofErr w:type="spellStart"/>
      <w:r w:rsidRPr="00E00067">
        <w:t>sulfa</w:t>
      </w:r>
      <w:proofErr w:type="spellEnd"/>
      <w:r w:rsidRPr="00E00067">
        <w:t xml:space="preserve"> drugs (for example, sulfasalazine)</w:t>
      </w:r>
    </w:p>
    <w:p w14:paraId="4B5EC7CA" w14:textId="77777777" w:rsidR="007C0FDC" w:rsidRPr="00E00067" w:rsidRDefault="007C0FDC" w:rsidP="00E00067">
      <w:pPr>
        <w:pStyle w:val="ListBullet"/>
      </w:pPr>
      <w:r w:rsidRPr="00E00067">
        <w:t>Antimicrobials</w:t>
      </w:r>
    </w:p>
    <w:p w14:paraId="0E2373F7" w14:textId="77777777" w:rsidR="007C0FDC" w:rsidRPr="00E00067" w:rsidRDefault="007C0FDC" w:rsidP="00E00067">
      <w:pPr>
        <w:pStyle w:val="ListBullet"/>
      </w:pPr>
      <w:proofErr w:type="spellStart"/>
      <w:r w:rsidRPr="00E00067">
        <w:t>Antidiarrhoeals</w:t>
      </w:r>
      <w:proofErr w:type="spellEnd"/>
      <w:r w:rsidRPr="00E00067">
        <w:t xml:space="preserve"> (for example, </w:t>
      </w:r>
      <w:proofErr w:type="spellStart"/>
      <w:r w:rsidRPr="00E00067">
        <w:t>loperamide</w:t>
      </w:r>
      <w:proofErr w:type="spellEnd"/>
      <w:r w:rsidRPr="00E00067">
        <w:t>)</w:t>
      </w:r>
    </w:p>
    <w:p w14:paraId="01248D92" w14:textId="77777777" w:rsidR="007C0FDC" w:rsidRPr="00E00067" w:rsidRDefault="007C0FDC" w:rsidP="00E00067">
      <w:pPr>
        <w:pStyle w:val="ListBullet"/>
      </w:pPr>
      <w:r w:rsidRPr="00E00067">
        <w:t xml:space="preserve">Non-biological </w:t>
      </w:r>
      <w:proofErr w:type="spellStart"/>
      <w:r w:rsidRPr="00E00067">
        <w:t>immunomodulators</w:t>
      </w:r>
      <w:proofErr w:type="spellEnd"/>
      <w:r w:rsidRPr="00E00067">
        <w:t xml:space="preserve"> (for example, azathioprine, 6-mercaptopurine)</w:t>
      </w:r>
    </w:p>
    <w:p w14:paraId="7257CE69" w14:textId="77777777" w:rsidR="007C0FDC" w:rsidRPr="0020355A" w:rsidRDefault="007C0FDC" w:rsidP="00E00067">
      <w:pPr>
        <w:pStyle w:val="ListBullet"/>
      </w:pPr>
      <w:r w:rsidRPr="00E00067">
        <w:t xml:space="preserve">Biological </w:t>
      </w:r>
      <w:proofErr w:type="spellStart"/>
      <w:r w:rsidRPr="00E00067">
        <w:t>immunomodulators</w:t>
      </w:r>
      <w:proofErr w:type="spellEnd"/>
      <w:r w:rsidRPr="00731ABD">
        <w:t xml:space="preserve"> (</w:t>
      </w:r>
      <w:r>
        <w:t>for example,</w:t>
      </w:r>
      <w:r w:rsidRPr="00731ABD">
        <w:t xml:space="preserve"> infliximab, adalimumab, certolizumab pegol)</w:t>
      </w:r>
    </w:p>
    <w:p w14:paraId="2D969113" w14:textId="77777777" w:rsidR="007C0FDC" w:rsidRPr="0020355A" w:rsidRDefault="007C0FDC" w:rsidP="007C0FDC">
      <w:pPr>
        <w:pStyle w:val="Heading4"/>
        <w:numPr>
          <w:ilvl w:val="2"/>
          <w:numId w:val="5"/>
        </w:numPr>
      </w:pPr>
      <w:r w:rsidRPr="0020355A">
        <w:t>Ankylosing spondylitis</w:t>
      </w:r>
    </w:p>
    <w:p w14:paraId="04485FBF" w14:textId="77777777" w:rsidR="007C0FDC" w:rsidRPr="00731ABD" w:rsidRDefault="007C0FDC" w:rsidP="007C0FDC">
      <w:pPr>
        <w:rPr>
          <w:rFonts w:asciiTheme="minorHAnsi" w:hAnsiTheme="minorHAnsi" w:cstheme="minorHAnsi"/>
        </w:rPr>
      </w:pPr>
      <w:r w:rsidRPr="00731ABD">
        <w:rPr>
          <w:rFonts w:asciiTheme="minorHAnsi" w:hAnsiTheme="minorHAnsi" w:cstheme="minorHAnsi"/>
        </w:rPr>
        <w:t>Pharmacological treatment options include:</w:t>
      </w:r>
    </w:p>
    <w:p w14:paraId="678DCDB1" w14:textId="77777777" w:rsidR="007C0FDC" w:rsidRPr="00731ABD" w:rsidRDefault="007C0FDC" w:rsidP="007C0FDC">
      <w:pPr>
        <w:pStyle w:val="ListBullet"/>
        <w:numPr>
          <w:ilvl w:val="0"/>
          <w:numId w:val="1"/>
        </w:numPr>
      </w:pPr>
      <w:r w:rsidRPr="00731ABD">
        <w:t xml:space="preserve">Anti-inflammatory medications, </w:t>
      </w:r>
      <w:r>
        <w:t>for example,</w:t>
      </w:r>
      <w:r w:rsidRPr="00731ABD">
        <w:t xml:space="preserve"> nonsteroidal anti-inflammatory drugs (NSAIDs), selective COX-2 inhibitors, and glucocorticoids</w:t>
      </w:r>
    </w:p>
    <w:p w14:paraId="4618FF0E" w14:textId="77777777" w:rsidR="007C0FDC" w:rsidRPr="00731ABD" w:rsidRDefault="007C0FDC" w:rsidP="007C0FDC">
      <w:pPr>
        <w:pStyle w:val="ListBullet"/>
        <w:numPr>
          <w:ilvl w:val="0"/>
          <w:numId w:val="1"/>
        </w:numPr>
      </w:pPr>
      <w:r w:rsidRPr="00731ABD">
        <w:t>Non-biological disease-modifying antirheumatic drugs (DMARDs), often only in conjunction with biological DMARDs</w:t>
      </w:r>
    </w:p>
    <w:p w14:paraId="47FD8A50" w14:textId="77777777" w:rsidR="007C0FDC" w:rsidRPr="00731ABD" w:rsidRDefault="007C0FDC" w:rsidP="007C0FDC">
      <w:pPr>
        <w:pStyle w:val="ListBullet"/>
        <w:numPr>
          <w:ilvl w:val="0"/>
          <w:numId w:val="1"/>
        </w:numPr>
      </w:pPr>
      <w:r w:rsidRPr="00731ABD">
        <w:t>Biological DMARDs:</w:t>
      </w:r>
    </w:p>
    <w:p w14:paraId="64AFEAD0" w14:textId="77777777" w:rsidR="007C0FDC" w:rsidRPr="0020355A" w:rsidRDefault="007C0FDC" w:rsidP="00E00067">
      <w:pPr>
        <w:pStyle w:val="ListBullet2"/>
      </w:pPr>
      <w:r w:rsidRPr="00731ABD">
        <w:t>Tumour necrosis factor (TNF)-alpha inhibitors (</w:t>
      </w:r>
      <w:r>
        <w:t>for example,</w:t>
      </w:r>
      <w:r w:rsidRPr="00731ABD">
        <w:t xml:space="preserve"> infliximab, adalimumab, </w:t>
      </w:r>
      <w:proofErr w:type="spellStart"/>
      <w:r w:rsidRPr="00E00067">
        <w:t>etanercept</w:t>
      </w:r>
      <w:proofErr w:type="spellEnd"/>
      <w:r w:rsidRPr="00731ABD">
        <w:t xml:space="preserve">, </w:t>
      </w:r>
      <w:proofErr w:type="spellStart"/>
      <w:r w:rsidRPr="00731ABD">
        <w:t>golimumab</w:t>
      </w:r>
      <w:proofErr w:type="spellEnd"/>
      <w:r w:rsidRPr="00731ABD">
        <w:t xml:space="preserve">, and </w:t>
      </w:r>
      <w:proofErr w:type="spellStart"/>
      <w:r w:rsidRPr="00731ABD">
        <w:t>certolizumab</w:t>
      </w:r>
      <w:proofErr w:type="spellEnd"/>
      <w:r w:rsidRPr="00731ABD">
        <w:t xml:space="preserve"> pegol)</w:t>
      </w:r>
    </w:p>
    <w:p w14:paraId="4BD01FE7" w14:textId="77777777" w:rsidR="007C0FDC" w:rsidRPr="0020355A" w:rsidRDefault="007C0FDC" w:rsidP="00E94FE8">
      <w:pPr>
        <w:pStyle w:val="Heading4"/>
      </w:pPr>
      <w:r w:rsidRPr="00E94FE8">
        <w:t>Psoriasis</w:t>
      </w:r>
      <w:r w:rsidRPr="0020355A">
        <w:t xml:space="preserve"> and psoriatic arthritis</w:t>
      </w:r>
    </w:p>
    <w:p w14:paraId="0A64C1CE" w14:textId="77777777" w:rsidR="007C0FDC" w:rsidRPr="00731ABD" w:rsidRDefault="007C0FDC" w:rsidP="007C0FDC">
      <w:pPr>
        <w:rPr>
          <w:rFonts w:asciiTheme="minorHAnsi" w:hAnsiTheme="minorHAnsi" w:cstheme="minorHAnsi"/>
        </w:rPr>
      </w:pPr>
      <w:r>
        <w:rPr>
          <w:rFonts w:asciiTheme="minorHAnsi" w:hAnsiTheme="minorHAnsi" w:cstheme="minorHAnsi"/>
        </w:rPr>
        <w:t>T</w:t>
      </w:r>
      <w:r w:rsidRPr="00731ABD">
        <w:rPr>
          <w:rFonts w:asciiTheme="minorHAnsi" w:hAnsiTheme="minorHAnsi" w:cstheme="minorHAnsi"/>
        </w:rPr>
        <w:t>reatment options include:</w:t>
      </w:r>
    </w:p>
    <w:p w14:paraId="566BA9FE" w14:textId="77777777" w:rsidR="007C0FDC" w:rsidRDefault="007C0FDC" w:rsidP="007C0FDC">
      <w:pPr>
        <w:pStyle w:val="ListBullet"/>
        <w:numPr>
          <w:ilvl w:val="0"/>
          <w:numId w:val="1"/>
        </w:numPr>
        <w:rPr>
          <w:lang w:eastAsia="ja-JP"/>
        </w:rPr>
      </w:pPr>
      <w:r>
        <w:rPr>
          <w:lang w:eastAsia="ja-JP"/>
        </w:rPr>
        <w:t>T</w:t>
      </w:r>
      <w:r w:rsidRPr="00731ABD">
        <w:rPr>
          <w:lang w:eastAsia="ja-JP"/>
        </w:rPr>
        <w:t xml:space="preserve">opical </w:t>
      </w:r>
      <w:r>
        <w:rPr>
          <w:lang w:eastAsia="ja-JP"/>
        </w:rPr>
        <w:t>corticosteroids and emollients</w:t>
      </w:r>
    </w:p>
    <w:p w14:paraId="7B654AEA" w14:textId="77777777" w:rsidR="007C0FDC" w:rsidRDefault="007C0FDC" w:rsidP="007C0FDC">
      <w:pPr>
        <w:pStyle w:val="ListBullet"/>
        <w:numPr>
          <w:ilvl w:val="0"/>
          <w:numId w:val="1"/>
        </w:numPr>
        <w:rPr>
          <w:lang w:eastAsia="ja-JP"/>
        </w:rPr>
      </w:pPr>
      <w:r>
        <w:rPr>
          <w:lang w:eastAsia="ja-JP"/>
        </w:rPr>
        <w:t>V</w:t>
      </w:r>
      <w:r w:rsidRPr="00731ABD">
        <w:rPr>
          <w:lang w:eastAsia="ja-JP"/>
        </w:rPr>
        <w:t xml:space="preserve">itamin D analogues </w:t>
      </w:r>
      <w:r>
        <w:rPr>
          <w:lang w:eastAsia="ja-JP"/>
        </w:rPr>
        <w:t xml:space="preserve">(for example, </w:t>
      </w:r>
      <w:proofErr w:type="spellStart"/>
      <w:r w:rsidRPr="00731ABD">
        <w:rPr>
          <w:lang w:eastAsia="ja-JP"/>
        </w:rPr>
        <w:t>calcipotriene</w:t>
      </w:r>
      <w:proofErr w:type="spellEnd"/>
      <w:r w:rsidRPr="00731ABD">
        <w:rPr>
          <w:lang w:eastAsia="ja-JP"/>
        </w:rPr>
        <w:t>, calcitriol</w:t>
      </w:r>
      <w:r>
        <w:rPr>
          <w:lang w:eastAsia="ja-JP"/>
        </w:rPr>
        <w:t>)</w:t>
      </w:r>
    </w:p>
    <w:p w14:paraId="77F7E472" w14:textId="77777777" w:rsidR="007C0FDC" w:rsidRDefault="007C0FDC" w:rsidP="007C0FDC">
      <w:pPr>
        <w:pStyle w:val="ListBullet"/>
        <w:numPr>
          <w:ilvl w:val="0"/>
          <w:numId w:val="1"/>
        </w:numPr>
        <w:rPr>
          <w:lang w:eastAsia="ja-JP"/>
        </w:rPr>
      </w:pPr>
      <w:r>
        <w:rPr>
          <w:lang w:eastAsia="ja-JP"/>
        </w:rPr>
        <w:t xml:space="preserve">Topical/systemic </w:t>
      </w:r>
      <w:proofErr w:type="spellStart"/>
      <w:r>
        <w:rPr>
          <w:lang w:eastAsia="ja-JP"/>
        </w:rPr>
        <w:t>retinoids</w:t>
      </w:r>
      <w:proofErr w:type="spellEnd"/>
      <w:r>
        <w:rPr>
          <w:lang w:eastAsia="ja-JP"/>
        </w:rPr>
        <w:t xml:space="preserve"> (for example, </w:t>
      </w:r>
      <w:proofErr w:type="spellStart"/>
      <w:r>
        <w:rPr>
          <w:lang w:eastAsia="ja-JP"/>
        </w:rPr>
        <w:t>tazarotene</w:t>
      </w:r>
      <w:proofErr w:type="spellEnd"/>
      <w:r>
        <w:rPr>
          <w:lang w:eastAsia="ja-JP"/>
        </w:rPr>
        <w:t>)</w:t>
      </w:r>
    </w:p>
    <w:p w14:paraId="7C03E9EA" w14:textId="0562DCA1" w:rsidR="007C0FDC" w:rsidRDefault="007C0FDC" w:rsidP="007C0FDC">
      <w:pPr>
        <w:pStyle w:val="ListBullet"/>
        <w:numPr>
          <w:ilvl w:val="0"/>
          <w:numId w:val="1"/>
        </w:numPr>
        <w:rPr>
          <w:lang w:eastAsia="ja-JP"/>
        </w:rPr>
      </w:pPr>
      <w:r>
        <w:rPr>
          <w:lang w:eastAsia="ja-JP"/>
        </w:rPr>
        <w:t>T</w:t>
      </w:r>
      <w:r w:rsidRPr="00731ABD">
        <w:rPr>
          <w:lang w:eastAsia="ja-JP"/>
        </w:rPr>
        <w:t>op</w:t>
      </w:r>
      <w:r w:rsidR="00E00067">
        <w:rPr>
          <w:lang w:eastAsia="ja-JP"/>
        </w:rPr>
        <w:t xml:space="preserve">ical tacrolimus or </w:t>
      </w:r>
      <w:proofErr w:type="spellStart"/>
      <w:r w:rsidR="00E00067">
        <w:rPr>
          <w:lang w:eastAsia="ja-JP"/>
        </w:rPr>
        <w:t>pimecrolimus</w:t>
      </w:r>
      <w:proofErr w:type="spellEnd"/>
    </w:p>
    <w:p w14:paraId="3D31A3A1" w14:textId="77777777" w:rsidR="007C0FDC" w:rsidRDefault="007C0FDC" w:rsidP="007C0FDC">
      <w:pPr>
        <w:pStyle w:val="ListBullet"/>
        <w:numPr>
          <w:ilvl w:val="0"/>
          <w:numId w:val="1"/>
        </w:numPr>
        <w:rPr>
          <w:lang w:eastAsia="ja-JP"/>
        </w:rPr>
      </w:pPr>
      <w:r w:rsidRPr="00731ABD">
        <w:rPr>
          <w:lang w:eastAsia="ja-JP"/>
        </w:rPr>
        <w:t>UVB phototherapy</w:t>
      </w:r>
    </w:p>
    <w:p w14:paraId="345F2770" w14:textId="77777777" w:rsidR="007C0FDC" w:rsidRDefault="007C0FDC" w:rsidP="007C0FDC">
      <w:pPr>
        <w:pStyle w:val="ListBullet"/>
        <w:numPr>
          <w:ilvl w:val="0"/>
          <w:numId w:val="1"/>
        </w:numPr>
        <w:rPr>
          <w:lang w:eastAsia="ja-JP"/>
        </w:rPr>
      </w:pPr>
      <w:r>
        <w:rPr>
          <w:lang w:eastAsia="ja-JP"/>
        </w:rPr>
        <w:t xml:space="preserve">Non-biological agents (for example, </w:t>
      </w:r>
      <w:r w:rsidRPr="00731ABD">
        <w:rPr>
          <w:lang w:eastAsia="ja-JP"/>
        </w:rPr>
        <w:t xml:space="preserve">methotrexate, cyclosporine, </w:t>
      </w:r>
      <w:proofErr w:type="spellStart"/>
      <w:r w:rsidRPr="00731ABD">
        <w:rPr>
          <w:lang w:eastAsia="ja-JP"/>
        </w:rPr>
        <w:t>apremilast</w:t>
      </w:r>
      <w:proofErr w:type="spellEnd"/>
      <w:r>
        <w:rPr>
          <w:lang w:eastAsia="ja-JP"/>
        </w:rPr>
        <w:t>)</w:t>
      </w:r>
    </w:p>
    <w:p w14:paraId="4178C642" w14:textId="77777777" w:rsidR="007C0FDC" w:rsidRDefault="007C0FDC" w:rsidP="007C0FDC">
      <w:pPr>
        <w:pStyle w:val="ListBullet"/>
        <w:numPr>
          <w:ilvl w:val="0"/>
          <w:numId w:val="1"/>
        </w:numPr>
        <w:rPr>
          <w:rFonts w:asciiTheme="minorHAnsi" w:hAnsiTheme="minorHAnsi" w:cstheme="minorHAnsi"/>
        </w:rPr>
      </w:pPr>
      <w:r w:rsidRPr="00731ABD">
        <w:rPr>
          <w:rFonts w:asciiTheme="minorHAnsi" w:hAnsiTheme="minorHAnsi" w:cstheme="minorHAnsi"/>
        </w:rPr>
        <w:lastRenderedPageBreak/>
        <w:t>Biological immunomodulators (</w:t>
      </w:r>
      <w:r>
        <w:rPr>
          <w:rFonts w:asciiTheme="minorHAnsi" w:hAnsiTheme="minorHAnsi" w:cstheme="minorHAnsi"/>
        </w:rPr>
        <w:t>for example,</w:t>
      </w:r>
      <w:r w:rsidRPr="00731ABD">
        <w:rPr>
          <w:rFonts w:asciiTheme="minorHAnsi" w:hAnsiTheme="minorHAnsi" w:cstheme="minorHAnsi"/>
        </w:rPr>
        <w:t xml:space="preserve"> infliximab, adalimumab, </w:t>
      </w:r>
      <w:proofErr w:type="spellStart"/>
      <w:r w:rsidRPr="00731ABD">
        <w:rPr>
          <w:lang w:eastAsia="ja-JP"/>
        </w:rPr>
        <w:t>etanercept</w:t>
      </w:r>
      <w:proofErr w:type="spellEnd"/>
      <w:r>
        <w:rPr>
          <w:lang w:eastAsia="ja-JP"/>
        </w:rPr>
        <w:t>,</w:t>
      </w:r>
      <w:r w:rsidRPr="00731ABD">
        <w:rPr>
          <w:rFonts w:asciiTheme="minorHAnsi" w:hAnsiTheme="minorHAnsi" w:cstheme="minorHAnsi"/>
        </w:rPr>
        <w:t xml:space="preserve"> </w:t>
      </w:r>
      <w:proofErr w:type="spellStart"/>
      <w:r w:rsidRPr="00731ABD">
        <w:rPr>
          <w:lang w:eastAsia="ja-JP"/>
        </w:rPr>
        <w:t>ustekinumab</w:t>
      </w:r>
      <w:proofErr w:type="spellEnd"/>
      <w:r w:rsidRPr="009D3DB6">
        <w:rPr>
          <w:lang w:eastAsia="ja-JP"/>
        </w:rPr>
        <w:t xml:space="preserve"> </w:t>
      </w:r>
      <w:proofErr w:type="spellStart"/>
      <w:r>
        <w:rPr>
          <w:lang w:eastAsia="ja-JP"/>
        </w:rPr>
        <w:t>secukinumab</w:t>
      </w:r>
      <w:proofErr w:type="spellEnd"/>
      <w:r>
        <w:rPr>
          <w:lang w:eastAsia="ja-JP"/>
        </w:rPr>
        <w:t xml:space="preserve">, </w:t>
      </w:r>
      <w:proofErr w:type="spellStart"/>
      <w:r>
        <w:rPr>
          <w:lang w:eastAsia="ja-JP"/>
        </w:rPr>
        <w:t>ixekizumab</w:t>
      </w:r>
      <w:proofErr w:type="spellEnd"/>
      <w:r>
        <w:rPr>
          <w:lang w:eastAsia="ja-JP"/>
        </w:rPr>
        <w:t>)</w:t>
      </w:r>
    </w:p>
    <w:p w14:paraId="515AB242" w14:textId="77777777" w:rsidR="007C0FDC" w:rsidRDefault="007C0FDC" w:rsidP="00E94FE8">
      <w:pPr>
        <w:pStyle w:val="Heading3"/>
      </w:pPr>
      <w:bookmarkStart w:id="33" w:name="_Toc470272276"/>
      <w:bookmarkStart w:id="34" w:name="_Toc509822386"/>
      <w:r w:rsidRPr="00E94FE8">
        <w:t>Clinical</w:t>
      </w:r>
      <w:r>
        <w:t xml:space="preserve"> rationale</w:t>
      </w:r>
      <w:bookmarkEnd w:id="33"/>
      <w:bookmarkEnd w:id="34"/>
    </w:p>
    <w:p w14:paraId="1F75777A" w14:textId="621E9CE1" w:rsidR="007C0FDC" w:rsidRDefault="007C0FDC" w:rsidP="007C0FDC">
      <w:pPr>
        <w:rPr>
          <w:lang w:eastAsia="ja-JP"/>
        </w:rPr>
      </w:pPr>
      <w:r>
        <w:rPr>
          <w:lang w:eastAsia="ja-JP"/>
        </w:rPr>
        <w:t>ABP 501 (Amgevita)</w:t>
      </w:r>
      <w:r w:rsidRPr="004E5045">
        <w:rPr>
          <w:lang w:eastAsia="ja-JP"/>
        </w:rPr>
        <w:t xml:space="preserve"> has been developed by </w:t>
      </w:r>
      <w:r w:rsidR="00EC3232">
        <w:rPr>
          <w:lang w:eastAsia="ja-JP"/>
        </w:rPr>
        <w:t xml:space="preserve">the sponsor </w:t>
      </w:r>
      <w:r w:rsidRPr="004E5045">
        <w:rPr>
          <w:lang w:eastAsia="ja-JP"/>
        </w:rPr>
        <w:t xml:space="preserve">as a similar biological product to </w:t>
      </w:r>
      <w:r>
        <w:rPr>
          <w:lang w:eastAsia="ja-JP"/>
        </w:rPr>
        <w:t>the reference product Humira. It can serve as an alternative to the reference prod</w:t>
      </w:r>
      <w:r w:rsidR="00E94FE8">
        <w:rPr>
          <w:lang w:eastAsia="ja-JP"/>
        </w:rPr>
        <w:t>uct, if found to be biosimilar.</w:t>
      </w:r>
    </w:p>
    <w:p w14:paraId="78755391" w14:textId="77777777" w:rsidR="007C0FDC" w:rsidRDefault="007C0FDC" w:rsidP="00E94FE8">
      <w:pPr>
        <w:pStyle w:val="Heading3"/>
        <w:spacing w:before="280"/>
      </w:pPr>
      <w:bookmarkStart w:id="35" w:name="_Toc470272277"/>
      <w:bookmarkStart w:id="36" w:name="_Toc509822387"/>
      <w:r w:rsidRPr="00E94FE8">
        <w:t>Formulation</w:t>
      </w:r>
      <w:bookmarkEnd w:id="35"/>
      <w:bookmarkEnd w:id="36"/>
    </w:p>
    <w:p w14:paraId="4813D01F" w14:textId="77777777" w:rsidR="007C0FDC" w:rsidRDefault="007C0FDC" w:rsidP="007C0FDC">
      <w:pPr>
        <w:pStyle w:val="Heading4"/>
        <w:numPr>
          <w:ilvl w:val="2"/>
          <w:numId w:val="5"/>
        </w:numPr>
      </w:pPr>
      <w:r>
        <w:t>Formulation development</w:t>
      </w:r>
    </w:p>
    <w:p w14:paraId="3B240536" w14:textId="397E140C" w:rsidR="007C0FDC" w:rsidRDefault="007C0FDC" w:rsidP="00EC3232">
      <w:pPr>
        <w:rPr>
          <w:lang w:eastAsia="ja-JP"/>
        </w:rPr>
      </w:pPr>
      <w:r>
        <w:rPr>
          <w:lang w:eastAsia="ja-JP"/>
        </w:rPr>
        <w:t>In the Clinical Overview, the sponsor states that t</w:t>
      </w:r>
      <w:r w:rsidRPr="00C23267">
        <w:rPr>
          <w:lang w:eastAsia="ja-JP"/>
        </w:rPr>
        <w:t>he goal of the ABP 501 f</w:t>
      </w:r>
      <w:r>
        <w:rPr>
          <w:lang w:eastAsia="ja-JP"/>
        </w:rPr>
        <w:t>ormulation development plan was</w:t>
      </w:r>
      <w:r w:rsidR="00EC3232">
        <w:rPr>
          <w:lang w:eastAsia="ja-JP"/>
        </w:rPr>
        <w:t xml:space="preserve">: </w:t>
      </w:r>
      <w:r w:rsidRPr="001F379E">
        <w:rPr>
          <w:i/>
          <w:lang w:eastAsia="ja-JP"/>
        </w:rPr>
        <w:t>‘to preserve elements of the Humira formulation that may affect purity, safety, potency, and bioavailability’</w:t>
      </w:r>
      <w:r>
        <w:rPr>
          <w:lang w:eastAsia="ja-JP"/>
        </w:rPr>
        <w:t xml:space="preserve"> and ‘</w:t>
      </w:r>
      <w:r w:rsidRPr="001F379E">
        <w:rPr>
          <w:i/>
          <w:lang w:eastAsia="ja-JP"/>
        </w:rPr>
        <w:t>to maximize ABP 501 stability over shelf life and preserve critical quality attributes under conditions of transportation, light exposure, and patient handling.</w:t>
      </w:r>
      <w:r>
        <w:rPr>
          <w:lang w:eastAsia="ja-JP"/>
        </w:rPr>
        <w:t>’</w:t>
      </w:r>
    </w:p>
    <w:p w14:paraId="20C27C6C" w14:textId="77777777" w:rsidR="007C0FDC" w:rsidRDefault="007C0FDC" w:rsidP="00E94FE8">
      <w:pPr>
        <w:pStyle w:val="Heading3"/>
        <w:numPr>
          <w:ilvl w:val="1"/>
          <w:numId w:val="5"/>
        </w:numPr>
        <w:spacing w:before="360"/>
        <w:ind w:left="1134" w:hanging="1021"/>
      </w:pPr>
      <w:bookmarkStart w:id="37" w:name="_Toc470272279"/>
      <w:bookmarkStart w:id="38" w:name="_Toc509822388"/>
      <w:r>
        <w:t>Guidance</w:t>
      </w:r>
      <w:bookmarkEnd w:id="37"/>
      <w:bookmarkEnd w:id="38"/>
    </w:p>
    <w:p w14:paraId="602BEC16" w14:textId="77777777" w:rsidR="007C0FDC" w:rsidRDefault="007C0FDC" w:rsidP="007C0FDC">
      <w:r>
        <w:t>The following guidelines have been considered in relation to this submission:</w:t>
      </w:r>
    </w:p>
    <w:p w14:paraId="100CF252" w14:textId="6F713E46" w:rsidR="007C0FDC" w:rsidRDefault="00E94FE8" w:rsidP="007C0FDC">
      <w:pPr>
        <w:pStyle w:val="Heading6"/>
        <w:rPr>
          <w:lang w:eastAsia="ja-JP"/>
        </w:rPr>
      </w:pPr>
      <w:r>
        <w:rPr>
          <w:lang w:eastAsia="ja-JP"/>
        </w:rPr>
        <w:t>General guidelines</w:t>
      </w:r>
    </w:p>
    <w:tbl>
      <w:tblPr>
        <w:tblStyle w:val="TableGrid"/>
        <w:tblW w:w="0" w:type="auto"/>
        <w:tblLook w:val="04A0" w:firstRow="1" w:lastRow="0" w:firstColumn="1" w:lastColumn="0" w:noHBand="0" w:noVBand="1"/>
      </w:tblPr>
      <w:tblGrid>
        <w:gridCol w:w="3510"/>
        <w:gridCol w:w="5732"/>
      </w:tblGrid>
      <w:tr w:rsidR="007C0FDC" w14:paraId="2AFFF95F" w14:textId="77777777" w:rsidTr="002E64CE">
        <w:tc>
          <w:tcPr>
            <w:tcW w:w="3510" w:type="dxa"/>
          </w:tcPr>
          <w:p w14:paraId="5BB8DD99" w14:textId="77777777" w:rsidR="007C0FDC" w:rsidRDefault="007C0FDC" w:rsidP="002E64CE">
            <w:r w:rsidRPr="00533472">
              <w:t>CPMP/ICH/135/95 with TGA comments</w:t>
            </w:r>
          </w:p>
        </w:tc>
        <w:tc>
          <w:tcPr>
            <w:tcW w:w="5732" w:type="dxa"/>
          </w:tcPr>
          <w:p w14:paraId="5E1A1E0E" w14:textId="77777777" w:rsidR="007C0FDC" w:rsidRDefault="007C0FDC" w:rsidP="002E64CE">
            <w:r w:rsidRPr="00724582">
              <w:t>Note for guidance on good clinical practice (CPMP/ICH/135/95</w:t>
            </w:r>
            <w:r>
              <w:t xml:space="preserve"> - Annotated with TGA comments)</w:t>
            </w:r>
          </w:p>
        </w:tc>
      </w:tr>
    </w:tbl>
    <w:p w14:paraId="390E75C6" w14:textId="77777777" w:rsidR="007C0FDC" w:rsidRDefault="007C0FDC" w:rsidP="007C0FDC">
      <w:pPr>
        <w:pStyle w:val="Heading6"/>
        <w:rPr>
          <w:lang w:eastAsia="ja-JP"/>
        </w:rPr>
      </w:pPr>
      <w:r>
        <w:rPr>
          <w:lang w:eastAsia="ja-JP"/>
        </w:rPr>
        <w:t xml:space="preserve">Guidelines regarding </w:t>
      </w:r>
      <w:r w:rsidRPr="00724582">
        <w:rPr>
          <w:lang w:eastAsia="ja-JP"/>
        </w:rPr>
        <w:t>similar biological medicinal products</w:t>
      </w:r>
    </w:p>
    <w:tbl>
      <w:tblPr>
        <w:tblStyle w:val="TableGrid"/>
        <w:tblW w:w="0" w:type="auto"/>
        <w:tblLook w:val="04A0" w:firstRow="1" w:lastRow="0" w:firstColumn="1" w:lastColumn="0" w:noHBand="0" w:noVBand="1"/>
      </w:tblPr>
      <w:tblGrid>
        <w:gridCol w:w="3510"/>
        <w:gridCol w:w="5732"/>
      </w:tblGrid>
      <w:tr w:rsidR="007C0FDC" w14:paraId="2295DEC7" w14:textId="77777777" w:rsidTr="002E64CE">
        <w:tc>
          <w:tcPr>
            <w:tcW w:w="3510" w:type="dxa"/>
          </w:tcPr>
          <w:p w14:paraId="0A104808" w14:textId="5ADF39BD" w:rsidR="007C0FDC" w:rsidRDefault="007C0FDC" w:rsidP="002E64CE">
            <w:r w:rsidRPr="00533472">
              <w:t>Regulation of biosimilar medicines</w:t>
            </w:r>
          </w:p>
        </w:tc>
        <w:tc>
          <w:tcPr>
            <w:tcW w:w="5732" w:type="dxa"/>
          </w:tcPr>
          <w:p w14:paraId="2DA80A0A" w14:textId="40B6DFC7" w:rsidR="007C0FDC" w:rsidRDefault="007C0FDC" w:rsidP="002E64CE">
            <w:r>
              <w:t>TGA guidance on regulation of biosimilar medicines, Version</w:t>
            </w:r>
            <w:r w:rsidR="00E42EF5">
              <w:t> </w:t>
            </w:r>
            <w:r>
              <w:t>2.0, December 2015</w:t>
            </w:r>
          </w:p>
        </w:tc>
      </w:tr>
      <w:tr w:rsidR="007C0FDC" w14:paraId="4DF21528" w14:textId="77777777" w:rsidTr="002E64CE">
        <w:tc>
          <w:tcPr>
            <w:tcW w:w="3510" w:type="dxa"/>
          </w:tcPr>
          <w:p w14:paraId="392DE7C1" w14:textId="42B3A026" w:rsidR="007C0FDC" w:rsidRDefault="007C0FDC" w:rsidP="002E64CE">
            <w:r w:rsidRPr="00533472">
              <w:t>CHMP/437/04 Rev. 1</w:t>
            </w:r>
          </w:p>
        </w:tc>
        <w:tc>
          <w:tcPr>
            <w:tcW w:w="5732" w:type="dxa"/>
          </w:tcPr>
          <w:p w14:paraId="3120AF4E" w14:textId="77777777" w:rsidR="007C0FDC" w:rsidRDefault="007C0FDC" w:rsidP="002E64CE">
            <w:r>
              <w:t>G</w:t>
            </w:r>
            <w:r w:rsidRPr="002B0537">
              <w:t xml:space="preserve">uideline on similar biological medicinal </w:t>
            </w:r>
            <w:r>
              <w:t>products</w:t>
            </w:r>
          </w:p>
        </w:tc>
      </w:tr>
      <w:tr w:rsidR="007C0FDC" w14:paraId="49E46FC8" w14:textId="77777777" w:rsidTr="002E64CE">
        <w:tc>
          <w:tcPr>
            <w:tcW w:w="3510" w:type="dxa"/>
          </w:tcPr>
          <w:p w14:paraId="5B2286DB" w14:textId="77777777" w:rsidR="007C0FDC" w:rsidRDefault="007C0FDC" w:rsidP="002E64CE">
            <w:r w:rsidRPr="00533472">
              <w:t>EMEA/CHMP/BMWP/42832/2005 Rev</w:t>
            </w:r>
            <w:r w:rsidR="00E42EF5">
              <w:t xml:space="preserve"> </w:t>
            </w:r>
            <w:r w:rsidRPr="00533472">
              <w:t>1</w:t>
            </w:r>
          </w:p>
        </w:tc>
        <w:tc>
          <w:tcPr>
            <w:tcW w:w="5732" w:type="dxa"/>
          </w:tcPr>
          <w:p w14:paraId="569C6BE7" w14:textId="77777777" w:rsidR="007C0FDC" w:rsidRDefault="007C0FDC" w:rsidP="002E64CE">
            <w:r w:rsidRPr="002B0537">
              <w:t>Guideline on similar biological medicinal products containing biotechnology-derived proteins as active substance: non-clinical and clinical issues</w:t>
            </w:r>
          </w:p>
        </w:tc>
      </w:tr>
      <w:tr w:rsidR="007C0FDC" w14:paraId="12E1211E" w14:textId="77777777" w:rsidTr="002E64CE">
        <w:tc>
          <w:tcPr>
            <w:tcW w:w="3510" w:type="dxa"/>
          </w:tcPr>
          <w:p w14:paraId="5BA136F4" w14:textId="77777777" w:rsidR="007C0FDC" w:rsidRDefault="007C0FDC" w:rsidP="002E64CE">
            <w:r w:rsidRPr="00533472">
              <w:t>EMA/CHMP/BWP/247713/2012</w:t>
            </w:r>
          </w:p>
        </w:tc>
        <w:tc>
          <w:tcPr>
            <w:tcW w:w="5732" w:type="dxa"/>
          </w:tcPr>
          <w:p w14:paraId="52C60CAD" w14:textId="77777777" w:rsidR="007C0FDC" w:rsidRDefault="007C0FDC" w:rsidP="002E64CE">
            <w:r w:rsidRPr="002B0537">
              <w:t>Guideline on similar biological medicinal products containing biotechnology-derived proteins as active substance: quality issues (revision 1)</w:t>
            </w:r>
          </w:p>
        </w:tc>
      </w:tr>
      <w:tr w:rsidR="007C0FDC" w14:paraId="2979D4C8" w14:textId="77777777" w:rsidTr="002E64CE">
        <w:tc>
          <w:tcPr>
            <w:tcW w:w="3510" w:type="dxa"/>
          </w:tcPr>
          <w:p w14:paraId="61C02E53" w14:textId="77777777" w:rsidR="007C0FDC" w:rsidRDefault="007C0FDC" w:rsidP="002E64CE">
            <w:r w:rsidRPr="00533472">
              <w:t>EMA/CHMP/BMWP/403543/2010</w:t>
            </w:r>
          </w:p>
        </w:tc>
        <w:tc>
          <w:tcPr>
            <w:tcW w:w="5732" w:type="dxa"/>
          </w:tcPr>
          <w:p w14:paraId="24BE095C" w14:textId="001396E5" w:rsidR="007C0FDC" w:rsidRDefault="007C0FDC" w:rsidP="002E64CE">
            <w:r w:rsidRPr="002B0537">
              <w:t>Guideline on similar biological medicinal products containing monoclonal antibodies</w:t>
            </w:r>
            <w:r w:rsidR="00E42EF5">
              <w:t>:</w:t>
            </w:r>
            <w:r w:rsidRPr="002B0537">
              <w:t xml:space="preserve"> non-clinical and clinical issues</w:t>
            </w:r>
          </w:p>
        </w:tc>
      </w:tr>
      <w:tr w:rsidR="007C0FDC" w14:paraId="1CBAA831" w14:textId="77777777" w:rsidTr="002E64CE">
        <w:tc>
          <w:tcPr>
            <w:tcW w:w="3510" w:type="dxa"/>
          </w:tcPr>
          <w:p w14:paraId="41E4C5A3" w14:textId="0A906E71" w:rsidR="007C0FDC" w:rsidRDefault="007C0FDC" w:rsidP="002E64CE">
            <w:r w:rsidRPr="00533472">
              <w:t>CPMP/EWP/QWP/1401/98 Rev 1/ Corr **</w:t>
            </w:r>
          </w:p>
        </w:tc>
        <w:tc>
          <w:tcPr>
            <w:tcW w:w="5732" w:type="dxa"/>
          </w:tcPr>
          <w:p w14:paraId="007ED4E9" w14:textId="61E98EB6" w:rsidR="007C0FDC" w:rsidRPr="00724582" w:rsidRDefault="007C0FDC" w:rsidP="002E64CE">
            <w:r w:rsidRPr="00724582">
              <w:rPr>
                <w:rFonts w:eastAsia="Times New Roman"/>
              </w:rPr>
              <w:t xml:space="preserve">Guideline on </w:t>
            </w:r>
            <w:r w:rsidR="00E42EF5" w:rsidRPr="00724582">
              <w:rPr>
                <w:rFonts w:eastAsia="Times New Roman"/>
              </w:rPr>
              <w:t>the investigation of bioequivalence</w:t>
            </w:r>
          </w:p>
        </w:tc>
      </w:tr>
    </w:tbl>
    <w:p w14:paraId="3FD32676" w14:textId="77777777" w:rsidR="007C0FDC" w:rsidRDefault="007C0FDC" w:rsidP="00E94FE8">
      <w:pPr>
        <w:pStyle w:val="Heading6"/>
        <w:rPr>
          <w:lang w:eastAsia="ja-JP"/>
        </w:rPr>
      </w:pPr>
      <w:r>
        <w:rPr>
          <w:lang w:eastAsia="ja-JP"/>
        </w:rPr>
        <w:t xml:space="preserve">General guidelines regarding biological </w:t>
      </w:r>
      <w:r w:rsidRPr="00E94FE8">
        <w:t>medicinal</w:t>
      </w:r>
      <w:r>
        <w:rPr>
          <w:lang w:eastAsia="ja-JP"/>
        </w:rPr>
        <w:t xml:space="preserve"> products/therapeutic proteins</w:t>
      </w:r>
    </w:p>
    <w:tbl>
      <w:tblPr>
        <w:tblStyle w:val="TableGrid"/>
        <w:tblW w:w="0" w:type="auto"/>
        <w:tblLook w:val="04A0" w:firstRow="1" w:lastRow="0" w:firstColumn="1" w:lastColumn="0" w:noHBand="0" w:noVBand="1"/>
      </w:tblPr>
      <w:tblGrid>
        <w:gridCol w:w="3500"/>
        <w:gridCol w:w="5742"/>
      </w:tblGrid>
      <w:tr w:rsidR="007C0FDC" w14:paraId="1F68562E" w14:textId="77777777" w:rsidTr="002E64CE">
        <w:tc>
          <w:tcPr>
            <w:tcW w:w="3375" w:type="dxa"/>
          </w:tcPr>
          <w:p w14:paraId="227746DC" w14:textId="77777777" w:rsidR="007C0FDC" w:rsidRDefault="007C0FDC" w:rsidP="002E64CE">
            <w:r w:rsidRPr="00533472">
              <w:t>EMEA/CHMP/BMWP/101695/2006</w:t>
            </w:r>
          </w:p>
        </w:tc>
        <w:tc>
          <w:tcPr>
            <w:tcW w:w="5867" w:type="dxa"/>
          </w:tcPr>
          <w:p w14:paraId="54E63ABD" w14:textId="5814C350" w:rsidR="007C0FDC" w:rsidRDefault="007C0FDC" w:rsidP="002E64CE">
            <w:r w:rsidRPr="002B0537">
              <w:t xml:space="preserve">Guideline on </w:t>
            </w:r>
            <w:r w:rsidR="00E42EF5" w:rsidRPr="002B0537">
              <w:t>comparability of biotechnology-derived medicinal products after a change in the manufacturing process</w:t>
            </w:r>
            <w:r w:rsidR="00E42EF5">
              <w:t>:</w:t>
            </w:r>
            <w:r w:rsidR="00E42EF5" w:rsidRPr="002B0537">
              <w:t xml:space="preserve"> non-clinical and clinical issues</w:t>
            </w:r>
          </w:p>
        </w:tc>
      </w:tr>
      <w:tr w:rsidR="007C0FDC" w14:paraId="79BD742C" w14:textId="77777777" w:rsidTr="002E64CE">
        <w:tc>
          <w:tcPr>
            <w:tcW w:w="3375" w:type="dxa"/>
          </w:tcPr>
          <w:p w14:paraId="00BEDD4F" w14:textId="77777777" w:rsidR="007C0FDC" w:rsidRDefault="007C0FDC" w:rsidP="002E64CE">
            <w:r w:rsidRPr="00533472">
              <w:lastRenderedPageBreak/>
              <w:t>EMEA/CHMP/BMWP/14327/2006</w:t>
            </w:r>
          </w:p>
        </w:tc>
        <w:tc>
          <w:tcPr>
            <w:tcW w:w="5867" w:type="dxa"/>
          </w:tcPr>
          <w:p w14:paraId="353CD4D3" w14:textId="77777777" w:rsidR="007C0FDC" w:rsidRDefault="007C0FDC" w:rsidP="002E64CE">
            <w:r w:rsidRPr="002B0537">
              <w:t xml:space="preserve">Guideline on </w:t>
            </w:r>
            <w:r w:rsidR="00E42EF5" w:rsidRPr="002B0537">
              <w:t>immunogenicity assessment of biotechnolo</w:t>
            </w:r>
            <w:r w:rsidR="00E42EF5">
              <w:t>gy-derived therapeutic proteins</w:t>
            </w:r>
          </w:p>
        </w:tc>
      </w:tr>
      <w:tr w:rsidR="007C0FDC" w14:paraId="752321A6" w14:textId="77777777" w:rsidTr="002E64CE">
        <w:tc>
          <w:tcPr>
            <w:tcW w:w="3375" w:type="dxa"/>
          </w:tcPr>
          <w:p w14:paraId="741EB94D" w14:textId="2F95AA9B" w:rsidR="007C0FDC" w:rsidRDefault="007C0FDC" w:rsidP="002E64CE">
            <w:r w:rsidRPr="00533472">
              <w:t>CHMP/EWP/14327/2004</w:t>
            </w:r>
          </w:p>
        </w:tc>
        <w:tc>
          <w:tcPr>
            <w:tcW w:w="5867" w:type="dxa"/>
          </w:tcPr>
          <w:p w14:paraId="59B7A433" w14:textId="1BBECE48" w:rsidR="007C0FDC" w:rsidRDefault="007C0FDC" w:rsidP="002E64CE">
            <w:r w:rsidRPr="008242B3">
              <w:rPr>
                <w:rFonts w:eastAsia="Times New Roman"/>
              </w:rPr>
              <w:t xml:space="preserve">Guideline on the </w:t>
            </w:r>
            <w:r w:rsidR="00E42EF5" w:rsidRPr="008242B3">
              <w:rPr>
                <w:rFonts w:eastAsia="Times New Roman"/>
              </w:rPr>
              <w:t>clinical investigation of the pharmacokinetics of therapeutic proteins</w:t>
            </w:r>
          </w:p>
        </w:tc>
      </w:tr>
    </w:tbl>
    <w:p w14:paraId="5FCED770" w14:textId="77777777" w:rsidR="007C0FDC" w:rsidRDefault="007C0FDC" w:rsidP="007C0FDC">
      <w:pPr>
        <w:pStyle w:val="Heading6"/>
        <w:rPr>
          <w:lang w:eastAsia="ja-JP"/>
        </w:rPr>
      </w:pPr>
      <w:r>
        <w:rPr>
          <w:lang w:eastAsia="ja-JP"/>
        </w:rPr>
        <w:t xml:space="preserve">Guidelines regarding </w:t>
      </w:r>
      <w:r w:rsidRPr="00656278">
        <w:rPr>
          <w:lang w:eastAsia="ja-JP"/>
        </w:rPr>
        <w:t>products containing monoclonal antibodies</w:t>
      </w:r>
    </w:p>
    <w:tbl>
      <w:tblPr>
        <w:tblStyle w:val="TableGrid"/>
        <w:tblW w:w="0" w:type="auto"/>
        <w:tblLook w:val="04A0" w:firstRow="1" w:lastRow="0" w:firstColumn="1" w:lastColumn="0" w:noHBand="0" w:noVBand="1"/>
      </w:tblPr>
      <w:tblGrid>
        <w:gridCol w:w="3510"/>
        <w:gridCol w:w="5732"/>
      </w:tblGrid>
      <w:tr w:rsidR="007C0FDC" w14:paraId="4DD2927F" w14:textId="77777777" w:rsidTr="002E64CE">
        <w:tc>
          <w:tcPr>
            <w:tcW w:w="3510" w:type="dxa"/>
          </w:tcPr>
          <w:p w14:paraId="1D2BC087" w14:textId="77777777" w:rsidR="007C0FDC" w:rsidRDefault="007C0FDC" w:rsidP="002E64CE">
            <w:r w:rsidRPr="00533472">
              <w:t>EMA/CHMP/BMWP/86289/2010</w:t>
            </w:r>
          </w:p>
        </w:tc>
        <w:tc>
          <w:tcPr>
            <w:tcW w:w="5732" w:type="dxa"/>
          </w:tcPr>
          <w:p w14:paraId="3285B08B" w14:textId="77777777" w:rsidR="007C0FDC" w:rsidRDefault="007C0FDC" w:rsidP="002E64CE">
            <w:r w:rsidRPr="002B0537">
              <w:t>Guideline on immunogenicity assessment of monoclonal antibodies in</w:t>
            </w:r>
            <w:r>
              <w:t>tended for in vivo clinical use</w:t>
            </w:r>
          </w:p>
        </w:tc>
      </w:tr>
      <w:tr w:rsidR="007C0FDC" w14:paraId="66C6033E" w14:textId="77777777" w:rsidTr="002E64CE">
        <w:tc>
          <w:tcPr>
            <w:tcW w:w="3510" w:type="dxa"/>
          </w:tcPr>
          <w:p w14:paraId="224AEF5A" w14:textId="77777777" w:rsidR="007C0FDC" w:rsidRDefault="007C0FDC" w:rsidP="002E64CE">
            <w:r w:rsidRPr="00533472">
              <w:t>CPMP/ICH/5721/03</w:t>
            </w:r>
          </w:p>
        </w:tc>
        <w:tc>
          <w:tcPr>
            <w:tcW w:w="5732" w:type="dxa"/>
          </w:tcPr>
          <w:p w14:paraId="2FCD01AC" w14:textId="77777777" w:rsidR="007C0FDC" w:rsidRDefault="007C0FDC" w:rsidP="002E64CE">
            <w:r w:rsidRPr="002B0537">
              <w:t xml:space="preserve">ICH Topic Q 5 E: Comparability </w:t>
            </w:r>
            <w:r w:rsidR="00E42EF5" w:rsidRPr="002B0537">
              <w:t>of biotechnological/ biological products</w:t>
            </w:r>
            <w:r w:rsidR="00E42EF5" w:rsidRPr="002B0537">
              <w:br/>
            </w:r>
            <w:r w:rsidRPr="002B0537">
              <w:t xml:space="preserve">Note for Guidance </w:t>
            </w:r>
            <w:r w:rsidR="00E42EF5" w:rsidRPr="002B0537">
              <w:t>on biotechnological/biological products subject to changes in their manufacturing process</w:t>
            </w:r>
          </w:p>
        </w:tc>
      </w:tr>
    </w:tbl>
    <w:p w14:paraId="5577409B" w14:textId="77777777" w:rsidR="007C0FDC" w:rsidRDefault="007C0FDC" w:rsidP="007C0FDC">
      <w:pPr>
        <w:pStyle w:val="Heading6"/>
        <w:rPr>
          <w:lang w:eastAsia="ja-JP"/>
        </w:rPr>
      </w:pPr>
      <w:r>
        <w:rPr>
          <w:lang w:eastAsia="ja-JP"/>
        </w:rPr>
        <w:t>Indication-specific guidelines</w:t>
      </w:r>
    </w:p>
    <w:tbl>
      <w:tblPr>
        <w:tblStyle w:val="TableGrid"/>
        <w:tblW w:w="0" w:type="auto"/>
        <w:tblLook w:val="04A0" w:firstRow="1" w:lastRow="0" w:firstColumn="1" w:lastColumn="0" w:noHBand="0" w:noVBand="1"/>
      </w:tblPr>
      <w:tblGrid>
        <w:gridCol w:w="3510"/>
        <w:gridCol w:w="5732"/>
      </w:tblGrid>
      <w:tr w:rsidR="007C0FDC" w14:paraId="5866FA9C" w14:textId="77777777" w:rsidTr="002E64CE">
        <w:tc>
          <w:tcPr>
            <w:tcW w:w="3510" w:type="dxa"/>
          </w:tcPr>
          <w:p w14:paraId="5AF66767" w14:textId="77777777" w:rsidR="007C0FDC" w:rsidRDefault="007C0FDC" w:rsidP="002E64CE">
            <w:r w:rsidRPr="00533472">
              <w:t xml:space="preserve">CHMP/EWP/2454/02 </w:t>
            </w:r>
            <w:proofErr w:type="spellStart"/>
            <w:r w:rsidRPr="00533472">
              <w:t>corr</w:t>
            </w:r>
            <w:proofErr w:type="spellEnd"/>
          </w:p>
        </w:tc>
        <w:tc>
          <w:tcPr>
            <w:tcW w:w="5732" w:type="dxa"/>
          </w:tcPr>
          <w:p w14:paraId="39E9C63E" w14:textId="77777777" w:rsidR="007C0FDC" w:rsidRDefault="007C0FDC" w:rsidP="002E64CE">
            <w:r>
              <w:t>Guideline on clinical investigation of medicinal products indicated for the treatment of Psoriasis</w:t>
            </w:r>
          </w:p>
        </w:tc>
      </w:tr>
      <w:tr w:rsidR="007C0FDC" w14:paraId="7FB0EF23" w14:textId="77777777" w:rsidTr="002E64CE">
        <w:tc>
          <w:tcPr>
            <w:tcW w:w="3510" w:type="dxa"/>
          </w:tcPr>
          <w:p w14:paraId="01A91475" w14:textId="77777777" w:rsidR="007C0FDC" w:rsidRDefault="007C0FDC" w:rsidP="002E64CE">
            <w:r w:rsidRPr="00533472">
              <w:t>CPMP/EWP/556/95 rev 1/Final</w:t>
            </w:r>
          </w:p>
        </w:tc>
        <w:tc>
          <w:tcPr>
            <w:tcW w:w="5732" w:type="dxa"/>
          </w:tcPr>
          <w:p w14:paraId="4E82818D" w14:textId="77777777" w:rsidR="007C0FDC" w:rsidRDefault="007C0FDC" w:rsidP="002E64CE">
            <w:r w:rsidRPr="002C17CF">
              <w:t xml:space="preserve">Points to </w:t>
            </w:r>
            <w:r w:rsidR="00E42EF5" w:rsidRPr="002C17CF">
              <w:t xml:space="preserve">consider on clinical investigation of medicinal products other than </w:t>
            </w:r>
            <w:r w:rsidRPr="002C17CF">
              <w:t xml:space="preserve">NSAIDS </w:t>
            </w:r>
            <w:r w:rsidR="00E42EF5" w:rsidRPr="002C17CF">
              <w:t>for treatment of rheumatoid arthritis</w:t>
            </w:r>
          </w:p>
        </w:tc>
      </w:tr>
    </w:tbl>
    <w:p w14:paraId="41D3131E" w14:textId="77777777" w:rsidR="007C0FDC" w:rsidRDefault="007C0FDC" w:rsidP="007C0FDC">
      <w:pPr>
        <w:pStyle w:val="Heading6"/>
        <w:rPr>
          <w:lang w:eastAsia="ja-JP"/>
        </w:rPr>
      </w:pPr>
      <w:r>
        <w:rPr>
          <w:lang w:eastAsia="ja-JP"/>
        </w:rPr>
        <w:t>Guidelines regarding products for long-term use</w:t>
      </w:r>
    </w:p>
    <w:tbl>
      <w:tblPr>
        <w:tblStyle w:val="TableGrid"/>
        <w:tblW w:w="0" w:type="auto"/>
        <w:tblLook w:val="04A0" w:firstRow="1" w:lastRow="0" w:firstColumn="1" w:lastColumn="0" w:noHBand="0" w:noVBand="1"/>
      </w:tblPr>
      <w:tblGrid>
        <w:gridCol w:w="3510"/>
        <w:gridCol w:w="5732"/>
      </w:tblGrid>
      <w:tr w:rsidR="007C0FDC" w14:paraId="71089A52" w14:textId="77777777" w:rsidTr="002E64CE">
        <w:tc>
          <w:tcPr>
            <w:tcW w:w="3510" w:type="dxa"/>
          </w:tcPr>
          <w:p w14:paraId="5991340C" w14:textId="77777777" w:rsidR="007C0FDC" w:rsidRDefault="007C0FDC" w:rsidP="002E64CE">
            <w:r w:rsidRPr="00533472">
              <w:t>Rules 1998 (3C) - 3CC6a (pp. 127–132)</w:t>
            </w:r>
          </w:p>
        </w:tc>
        <w:tc>
          <w:tcPr>
            <w:tcW w:w="5732" w:type="dxa"/>
          </w:tcPr>
          <w:p w14:paraId="32869B82" w14:textId="77777777" w:rsidR="007C0FDC" w:rsidRPr="0032116C" w:rsidRDefault="007C0FDC" w:rsidP="002E64CE">
            <w:pPr>
              <w:pStyle w:val="Heading6"/>
              <w:ind w:left="0"/>
              <w:outlineLvl w:val="5"/>
              <w:rPr>
                <w:i w:val="0"/>
                <w:lang w:eastAsia="ja-JP"/>
              </w:rPr>
            </w:pPr>
            <w:r w:rsidRPr="0032116C">
              <w:rPr>
                <w:i w:val="0"/>
                <w:lang w:eastAsia="ja-JP"/>
              </w:rPr>
              <w:t>Clinical Investigation of Medicinal Products for Long-Term Use</w:t>
            </w:r>
          </w:p>
        </w:tc>
      </w:tr>
    </w:tbl>
    <w:p w14:paraId="721542A8" w14:textId="77777777" w:rsidR="007C0FDC" w:rsidRDefault="007C0FDC" w:rsidP="00F14441">
      <w:pPr>
        <w:pStyle w:val="Heading3"/>
      </w:pPr>
      <w:bookmarkStart w:id="39" w:name="_Toc470272280"/>
      <w:bookmarkStart w:id="40" w:name="_Toc509822389"/>
      <w:r w:rsidRPr="00F14441">
        <w:t>Evaluator’s</w:t>
      </w:r>
      <w:r>
        <w:t xml:space="preserve"> commentary on the background information</w:t>
      </w:r>
      <w:bookmarkEnd w:id="39"/>
      <w:bookmarkEnd w:id="40"/>
    </w:p>
    <w:p w14:paraId="34AB2570" w14:textId="77777777" w:rsidR="007C0FDC" w:rsidRPr="0040069C" w:rsidRDefault="007C0FDC" w:rsidP="00F14441">
      <w:pPr>
        <w:pStyle w:val="Heading4"/>
      </w:pPr>
      <w:r w:rsidRPr="0040069C">
        <w:t>Lack of 10</w:t>
      </w:r>
      <w:r>
        <w:t xml:space="preserve"> </w:t>
      </w:r>
      <w:r w:rsidRPr="0040069C">
        <w:t>mg presentation</w:t>
      </w:r>
    </w:p>
    <w:p w14:paraId="24C7FDA6" w14:textId="77777777" w:rsidR="007C0FDC" w:rsidRDefault="007C0FDC" w:rsidP="007C0FDC">
      <w:pPr>
        <w:rPr>
          <w:lang w:eastAsia="ja-JP"/>
        </w:rPr>
      </w:pPr>
      <w:r>
        <w:rPr>
          <w:lang w:eastAsia="ja-JP"/>
        </w:rPr>
        <w:t>There are paediatric subgroups within the proposed indications for which there is no appropriate dosage form of Amgevita:</w:t>
      </w:r>
    </w:p>
    <w:p w14:paraId="275A997B" w14:textId="4C3D5031" w:rsidR="007C0FDC" w:rsidRDefault="007C0FDC" w:rsidP="007C0FDC">
      <w:pPr>
        <w:pStyle w:val="ListBullet"/>
        <w:numPr>
          <w:ilvl w:val="0"/>
          <w:numId w:val="1"/>
        </w:numPr>
        <w:rPr>
          <w:lang w:eastAsia="ja-JP"/>
        </w:rPr>
      </w:pPr>
      <w:r w:rsidRPr="00D17273">
        <w:rPr>
          <w:lang w:eastAsia="ja-JP"/>
        </w:rPr>
        <w:t xml:space="preserve">For the Crohn’s </w:t>
      </w:r>
      <w:r w:rsidR="00E42EF5">
        <w:rPr>
          <w:lang w:eastAsia="ja-JP"/>
        </w:rPr>
        <w:t>d</w:t>
      </w:r>
      <w:r w:rsidR="00E42EF5" w:rsidRPr="00D17273">
        <w:rPr>
          <w:lang w:eastAsia="ja-JP"/>
        </w:rPr>
        <w:t xml:space="preserve">isease </w:t>
      </w:r>
      <w:r w:rsidRPr="00D17273">
        <w:rPr>
          <w:lang w:eastAsia="ja-JP"/>
        </w:rPr>
        <w:t>indication, for paedi</w:t>
      </w:r>
      <w:r>
        <w:rPr>
          <w:lang w:eastAsia="ja-JP"/>
        </w:rPr>
        <w:t xml:space="preserve">atric patients with moderate CD, </w:t>
      </w:r>
      <w:r w:rsidRPr="00D17273">
        <w:rPr>
          <w:lang w:eastAsia="ja-JP"/>
        </w:rPr>
        <w:t>use will be restricted to patients 40</w:t>
      </w:r>
      <w:r>
        <w:rPr>
          <w:lang w:eastAsia="ja-JP"/>
        </w:rPr>
        <w:t xml:space="preserve"> </w:t>
      </w:r>
      <w:r w:rsidRPr="00D17273">
        <w:rPr>
          <w:lang w:eastAsia="ja-JP"/>
        </w:rPr>
        <w:t>kg and over, as there is no 1</w:t>
      </w:r>
      <w:r>
        <w:rPr>
          <w:lang w:eastAsia="ja-JP"/>
        </w:rPr>
        <w:t>0 mg</w:t>
      </w:r>
      <w:r w:rsidRPr="00D17273">
        <w:rPr>
          <w:lang w:eastAsia="ja-JP"/>
        </w:rPr>
        <w:t xml:space="preserve"> presentation. Paediatric patients with severe CD require 20 mg maintenance doses fortnightly and can </w:t>
      </w:r>
      <w:r>
        <w:rPr>
          <w:lang w:eastAsia="ja-JP"/>
        </w:rPr>
        <w:t>be accommodated with Amgevita.</w:t>
      </w:r>
    </w:p>
    <w:p w14:paraId="59BEC4CC" w14:textId="77777777" w:rsidR="007C0FDC" w:rsidRDefault="007C0FDC" w:rsidP="007C0FDC">
      <w:pPr>
        <w:pStyle w:val="ListBullet"/>
        <w:numPr>
          <w:ilvl w:val="0"/>
          <w:numId w:val="1"/>
        </w:numPr>
        <w:rPr>
          <w:lang w:eastAsia="ja-JP"/>
        </w:rPr>
      </w:pPr>
      <w:r>
        <w:rPr>
          <w:lang w:eastAsia="ja-JP"/>
        </w:rPr>
        <w:t>F</w:t>
      </w:r>
      <w:r w:rsidRPr="009527AB">
        <w:rPr>
          <w:lang w:eastAsia="ja-JP"/>
        </w:rPr>
        <w:t xml:space="preserve">or the </w:t>
      </w:r>
      <w:r w:rsidR="00E42EF5" w:rsidRPr="006B0E85">
        <w:rPr>
          <w:lang w:eastAsia="ja-JP"/>
        </w:rPr>
        <w:t xml:space="preserve">polyarticular juvenile idiopathic arthritis </w:t>
      </w:r>
      <w:r w:rsidRPr="009527AB">
        <w:rPr>
          <w:lang w:eastAsia="ja-JP"/>
        </w:rPr>
        <w:t xml:space="preserve">the use </w:t>
      </w:r>
      <w:r>
        <w:rPr>
          <w:lang w:eastAsia="ja-JP"/>
        </w:rPr>
        <w:t>will be</w:t>
      </w:r>
      <w:r w:rsidRPr="009527AB">
        <w:rPr>
          <w:lang w:eastAsia="ja-JP"/>
        </w:rPr>
        <w:t xml:space="preserve"> restricted to patients </w:t>
      </w:r>
      <w:r>
        <w:rPr>
          <w:lang w:eastAsia="ja-JP"/>
        </w:rPr>
        <w:t xml:space="preserve">15 </w:t>
      </w:r>
      <w:r w:rsidRPr="009527AB">
        <w:rPr>
          <w:lang w:eastAsia="ja-JP"/>
        </w:rPr>
        <w:t>kg and over</w:t>
      </w:r>
      <w:r>
        <w:rPr>
          <w:lang w:eastAsia="ja-JP"/>
        </w:rPr>
        <w:t xml:space="preserve">, as there is no 10 mg </w:t>
      </w:r>
      <w:r w:rsidRPr="009527AB">
        <w:rPr>
          <w:lang w:eastAsia="ja-JP"/>
        </w:rPr>
        <w:t>presentation</w:t>
      </w:r>
      <w:r>
        <w:rPr>
          <w:lang w:eastAsia="ja-JP"/>
        </w:rPr>
        <w:t>.</w:t>
      </w:r>
    </w:p>
    <w:p w14:paraId="06909A08" w14:textId="77777777" w:rsidR="007C0FDC" w:rsidRDefault="007C0FDC" w:rsidP="007C0FDC">
      <w:pPr>
        <w:rPr>
          <w:lang w:eastAsia="ja-JP"/>
        </w:rPr>
      </w:pPr>
      <w:r>
        <w:rPr>
          <w:lang w:eastAsia="ja-JP"/>
        </w:rPr>
        <w:t>This is not currently reflected in the indication wording, but relevant statements are present in the proposed PI document.</w:t>
      </w:r>
    </w:p>
    <w:p w14:paraId="7471E92A" w14:textId="77777777" w:rsidR="007C0FDC" w:rsidRDefault="007C0FDC" w:rsidP="00E94FE8">
      <w:pPr>
        <w:pStyle w:val="Heading4"/>
      </w:pPr>
      <w:r>
        <w:t>Alignment with indications of the reference product</w:t>
      </w:r>
    </w:p>
    <w:p w14:paraId="510ADC4E" w14:textId="77777777" w:rsidR="007C0FDC" w:rsidRDefault="007C0FDC" w:rsidP="007C0FDC">
      <w:r>
        <w:t xml:space="preserve">The sponsor states that the indications sought are fully aligned with those registered for Humira in Australia. However, </w:t>
      </w:r>
      <w:r w:rsidRPr="000A5A8F">
        <w:t xml:space="preserve">hidradenitis </w:t>
      </w:r>
      <w:proofErr w:type="spellStart"/>
      <w:r w:rsidRPr="000A5A8F">
        <w:t>suppurativa</w:t>
      </w:r>
      <w:proofErr w:type="spellEnd"/>
      <w:r>
        <w:t>, currently approved for the reference product Humira, as one of the indications, is not listed. The sponsor should be invited to align the indications of Amgevita with the indications of the reference product.</w:t>
      </w:r>
    </w:p>
    <w:p w14:paraId="28B2737B" w14:textId="77777777" w:rsidR="007C0FDC" w:rsidRPr="002C1E46" w:rsidRDefault="007C0FDC" w:rsidP="007C0FDC">
      <w:pPr>
        <w:pStyle w:val="Heading4"/>
        <w:numPr>
          <w:ilvl w:val="2"/>
          <w:numId w:val="5"/>
        </w:numPr>
      </w:pPr>
      <w:r w:rsidRPr="002C1E46">
        <w:lastRenderedPageBreak/>
        <w:t>Extrapolation of indications</w:t>
      </w:r>
    </w:p>
    <w:p w14:paraId="6104F2AC" w14:textId="673A350D" w:rsidR="007C0FDC" w:rsidRPr="0088754D" w:rsidRDefault="007C0FDC" w:rsidP="007C0FDC">
      <w:pPr>
        <w:rPr>
          <w:lang w:eastAsia="ja-JP"/>
        </w:rPr>
      </w:pPr>
      <w:r>
        <w:rPr>
          <w:lang w:eastAsia="ja-JP"/>
        </w:rPr>
        <w:t>The sponsor has conducted e</w:t>
      </w:r>
      <w:r w:rsidRPr="00DA6674">
        <w:rPr>
          <w:lang w:eastAsia="ja-JP"/>
        </w:rPr>
        <w:t>quivalence trials in rheumatoid arthritis and psoriasis patients only. The sponsor has proposed the extrapolation indications and prov</w:t>
      </w:r>
      <w:r>
        <w:rPr>
          <w:lang w:eastAsia="ja-JP"/>
        </w:rPr>
        <w:t>ided a justification for this.</w:t>
      </w:r>
    </w:p>
    <w:p w14:paraId="15DEAB25" w14:textId="77777777" w:rsidR="007C0FDC" w:rsidRPr="00D75CB9" w:rsidRDefault="007C0FDC" w:rsidP="00E94FE8">
      <w:pPr>
        <w:pStyle w:val="Heading4"/>
      </w:pPr>
      <w:r w:rsidRPr="00E94FE8">
        <w:t>Reference</w:t>
      </w:r>
      <w:r>
        <w:t xml:space="preserve"> product sourcing</w:t>
      </w:r>
    </w:p>
    <w:p w14:paraId="1A586B2F" w14:textId="37A1254E" w:rsidR="007C0FDC" w:rsidRPr="00270875" w:rsidRDefault="007C0FDC" w:rsidP="007C0FDC">
      <w:pPr>
        <w:rPr>
          <w:lang w:eastAsia="ja-JP"/>
        </w:rPr>
      </w:pPr>
      <w:r w:rsidRPr="00DA69EA">
        <w:rPr>
          <w:lang w:eastAsia="ja-JP"/>
        </w:rPr>
        <w:t xml:space="preserve">The </w:t>
      </w:r>
      <w:r>
        <w:rPr>
          <w:lang w:eastAsia="ja-JP"/>
        </w:rPr>
        <w:t>Humira</w:t>
      </w:r>
      <w:r w:rsidRPr="00DA69EA">
        <w:rPr>
          <w:lang w:eastAsia="ja-JP"/>
        </w:rPr>
        <w:t xml:space="preserve"> reference products used in the three bioequivalence studies were sourced either in the EU or in the US. A full justification demonstrating that </w:t>
      </w:r>
      <w:r>
        <w:rPr>
          <w:lang w:eastAsia="ja-JP"/>
        </w:rPr>
        <w:t>Humira</w:t>
      </w:r>
      <w:r w:rsidRPr="00DA69EA">
        <w:rPr>
          <w:lang w:eastAsia="ja-JP"/>
        </w:rPr>
        <w:t xml:space="preserve"> available in Australia is comparable to </w:t>
      </w:r>
      <w:r>
        <w:rPr>
          <w:lang w:eastAsia="ja-JP"/>
        </w:rPr>
        <w:t>Humira</w:t>
      </w:r>
      <w:r w:rsidRPr="00DA69EA">
        <w:rPr>
          <w:lang w:eastAsia="ja-JP"/>
        </w:rPr>
        <w:t xml:space="preserve"> available in the EU and US is provided by the sponsor.</w:t>
      </w:r>
      <w:r>
        <w:rPr>
          <w:lang w:eastAsia="ja-JP"/>
        </w:rPr>
        <w:t xml:space="preserve"> </w:t>
      </w:r>
      <w:r w:rsidRPr="00DA69EA">
        <w:rPr>
          <w:lang w:eastAsia="ja-JP"/>
        </w:rPr>
        <w:t>The justifications will be evaluated</w:t>
      </w:r>
      <w:r w:rsidR="00D175FA">
        <w:t xml:space="preserve"> in this report.</w:t>
      </w:r>
    </w:p>
    <w:p w14:paraId="4D149B27" w14:textId="77777777" w:rsidR="007C0FDC" w:rsidRDefault="007C0FDC" w:rsidP="00F14441">
      <w:pPr>
        <w:pStyle w:val="Heading2"/>
      </w:pPr>
      <w:bookmarkStart w:id="41" w:name="_Toc470272281"/>
      <w:bookmarkStart w:id="42" w:name="_Toc509822390"/>
      <w:r>
        <w:t>Contents of the clinical dossier</w:t>
      </w:r>
      <w:bookmarkEnd w:id="6"/>
      <w:bookmarkEnd w:id="7"/>
      <w:bookmarkEnd w:id="41"/>
      <w:bookmarkEnd w:id="42"/>
    </w:p>
    <w:p w14:paraId="2A910009" w14:textId="77777777" w:rsidR="007C0FDC" w:rsidRDefault="007C0FDC" w:rsidP="00F14441">
      <w:pPr>
        <w:pStyle w:val="Heading3"/>
      </w:pPr>
      <w:bookmarkStart w:id="43" w:name="_Toc470272282"/>
      <w:bookmarkStart w:id="44" w:name="_Toc509822391"/>
      <w:r w:rsidRPr="00F14441">
        <w:t>Scope</w:t>
      </w:r>
      <w:r>
        <w:t xml:space="preserve"> of the clinical dossier</w:t>
      </w:r>
      <w:bookmarkEnd w:id="43"/>
      <w:bookmarkEnd w:id="44"/>
    </w:p>
    <w:p w14:paraId="17BB1D15" w14:textId="77777777" w:rsidR="007C0FDC" w:rsidRDefault="007C0FDC" w:rsidP="007C0FDC">
      <w:pPr>
        <w:rPr>
          <w:lang w:eastAsia="ja-JP"/>
        </w:rPr>
      </w:pPr>
      <w:r>
        <w:rPr>
          <w:lang w:eastAsia="ja-JP"/>
        </w:rPr>
        <w:t xml:space="preserve">The dossier does not contain a full development program. </w:t>
      </w:r>
      <w:r w:rsidRPr="00503634">
        <w:rPr>
          <w:lang w:eastAsia="ja-JP"/>
        </w:rPr>
        <w:t xml:space="preserve">The sponsor supports their </w:t>
      </w:r>
      <w:r>
        <w:rPr>
          <w:lang w:eastAsia="ja-JP"/>
        </w:rPr>
        <w:t xml:space="preserve">biosimilar </w:t>
      </w:r>
      <w:r w:rsidRPr="00503634">
        <w:rPr>
          <w:lang w:eastAsia="ja-JP"/>
        </w:rPr>
        <w:t xml:space="preserve">application with </w:t>
      </w:r>
      <w:r>
        <w:rPr>
          <w:lang w:eastAsia="ja-JP"/>
        </w:rPr>
        <w:t xml:space="preserve">three </w:t>
      </w:r>
      <w:r w:rsidRPr="00503634">
        <w:rPr>
          <w:lang w:eastAsia="ja-JP"/>
        </w:rPr>
        <w:t xml:space="preserve">bioequivalence studies that compare their product, </w:t>
      </w:r>
      <w:r>
        <w:rPr>
          <w:lang w:eastAsia="ja-JP"/>
        </w:rPr>
        <w:t>Amgevita</w:t>
      </w:r>
      <w:r w:rsidRPr="00503634">
        <w:rPr>
          <w:lang w:eastAsia="ja-JP"/>
        </w:rPr>
        <w:t>, to</w:t>
      </w:r>
      <w:r>
        <w:rPr>
          <w:lang w:eastAsia="ja-JP"/>
        </w:rPr>
        <w:t xml:space="preserve"> the reference product, Humira:</w:t>
      </w:r>
    </w:p>
    <w:p w14:paraId="005770DF" w14:textId="39922032" w:rsidR="007C0FDC" w:rsidRDefault="00D175FA" w:rsidP="007C0FDC">
      <w:pPr>
        <w:pStyle w:val="ListBullet"/>
        <w:numPr>
          <w:ilvl w:val="0"/>
          <w:numId w:val="1"/>
        </w:numPr>
        <w:rPr>
          <w:lang w:eastAsia="ja-JP"/>
        </w:rPr>
      </w:pPr>
      <w:r>
        <w:rPr>
          <w:lang w:eastAsia="ja-JP"/>
        </w:rPr>
        <w:t xml:space="preserve">one </w:t>
      </w:r>
      <w:r w:rsidR="007C0FDC">
        <w:rPr>
          <w:lang w:eastAsia="ja-JP"/>
        </w:rPr>
        <w:t>pharmacokinetic similarity study (in healthy subjects) (</w:t>
      </w:r>
      <w:r w:rsidR="007C0FDC" w:rsidRPr="00533472">
        <w:t>Study 20110217</w:t>
      </w:r>
      <w:r w:rsidR="007C0FDC">
        <w:rPr>
          <w:lang w:eastAsia="ja-JP"/>
        </w:rPr>
        <w:t>); and</w:t>
      </w:r>
    </w:p>
    <w:p w14:paraId="3591BE01" w14:textId="35E9FE00" w:rsidR="007C0FDC" w:rsidRDefault="00D175FA" w:rsidP="007C0FDC">
      <w:pPr>
        <w:pStyle w:val="ListBullet"/>
        <w:numPr>
          <w:ilvl w:val="0"/>
          <w:numId w:val="1"/>
        </w:numPr>
        <w:rPr>
          <w:lang w:eastAsia="ja-JP"/>
        </w:rPr>
      </w:pPr>
      <w:proofErr w:type="gramStart"/>
      <w:r>
        <w:rPr>
          <w:lang w:eastAsia="ja-JP"/>
        </w:rPr>
        <w:t>two</w:t>
      </w:r>
      <w:proofErr w:type="gramEnd"/>
      <w:r>
        <w:rPr>
          <w:lang w:eastAsia="ja-JP"/>
        </w:rPr>
        <w:t xml:space="preserve"> </w:t>
      </w:r>
      <w:r w:rsidR="007C0FDC">
        <w:rPr>
          <w:lang w:eastAsia="ja-JP"/>
        </w:rPr>
        <w:t>efficacy and safety studies (one study with in patients with RA (</w:t>
      </w:r>
      <w:r w:rsidR="007C0FDC" w:rsidRPr="00533472">
        <w:t>Study 20120262</w:t>
      </w:r>
      <w:r w:rsidR="007C0FDC">
        <w:rPr>
          <w:lang w:eastAsia="ja-JP"/>
        </w:rPr>
        <w:t>), one study in patients with psoriasis (</w:t>
      </w:r>
      <w:r w:rsidR="007C0FDC" w:rsidRPr="00533472">
        <w:t>Study 20120263</w:t>
      </w:r>
      <w:r w:rsidR="007C0FDC">
        <w:rPr>
          <w:lang w:eastAsia="ja-JP"/>
        </w:rPr>
        <w:t>)).</w:t>
      </w:r>
    </w:p>
    <w:p w14:paraId="3332FF89" w14:textId="77777777" w:rsidR="007C0FDC" w:rsidRDefault="007C0FDC" w:rsidP="007C0FDC">
      <w:pPr>
        <w:rPr>
          <w:lang w:eastAsia="ja-JP"/>
        </w:rPr>
      </w:pPr>
      <w:r>
        <w:rPr>
          <w:lang w:eastAsia="ja-JP"/>
        </w:rPr>
        <w:t>Clinical study reports for:</w:t>
      </w:r>
    </w:p>
    <w:p w14:paraId="46820475" w14:textId="72065BE7" w:rsidR="007C0FDC" w:rsidRPr="00533472" w:rsidRDefault="007C0FDC" w:rsidP="00533472">
      <w:pPr>
        <w:pStyle w:val="ListBullet"/>
      </w:pPr>
      <w:r w:rsidRPr="00533472">
        <w:t>Study 20110217: a Phase I, 3</w:t>
      </w:r>
      <w:r w:rsidR="00D175FA">
        <w:t xml:space="preserve"> </w:t>
      </w:r>
      <w:r w:rsidRPr="00533472">
        <w:t xml:space="preserve">arm parallel </w:t>
      </w:r>
      <w:proofErr w:type="gramStart"/>
      <w:r w:rsidRPr="00533472">
        <w:t>group</w:t>
      </w:r>
      <w:proofErr w:type="gramEnd"/>
      <w:r w:rsidRPr="00533472">
        <w:t>, randomised, single</w:t>
      </w:r>
      <w:r w:rsidR="00D175FA">
        <w:t xml:space="preserve"> </w:t>
      </w:r>
      <w:r w:rsidRPr="00533472">
        <w:t>blind, single</w:t>
      </w:r>
      <w:r w:rsidR="00D175FA">
        <w:t xml:space="preserve"> </w:t>
      </w:r>
      <w:r w:rsidRPr="00533472">
        <w:t>dose PK similarity study that compared ABP 501 to adalimumab (US) and adalimumab (EU) in 203 healthy men and women.</w:t>
      </w:r>
    </w:p>
    <w:p w14:paraId="04F1E69B" w14:textId="77777777" w:rsidR="007C0FDC" w:rsidRPr="00533472" w:rsidRDefault="007C0FDC" w:rsidP="00533472">
      <w:pPr>
        <w:pStyle w:val="ListBullet"/>
      </w:pPr>
      <w:r w:rsidRPr="00533472">
        <w:t>Study 20120262: a Phase III, double-blind, randomised, active comparator-controlled study in 526 subjects with moderate to severe rheumatoid arthritis with concomitant methotrexate and oral corticosteroid use evaluating the efficacy and safety of ABP 501 compared with adalimumab (US).</w:t>
      </w:r>
    </w:p>
    <w:p w14:paraId="4F288394" w14:textId="79009C55" w:rsidR="007C0FDC" w:rsidRPr="00533472" w:rsidRDefault="007C0FDC" w:rsidP="00533472">
      <w:pPr>
        <w:pStyle w:val="ListBullet"/>
      </w:pPr>
      <w:r w:rsidRPr="00533472">
        <w:t>Study 20120263: a Phase III, double</w:t>
      </w:r>
      <w:r w:rsidR="00D175FA">
        <w:t xml:space="preserve"> </w:t>
      </w:r>
      <w:r w:rsidRPr="00533472">
        <w:t>blind, randomised, active comparator-controlled study in 350 subjects with moderate to severe psoriasis with no concomitant medications allowed for the treatment of psoriasis evaluating the efficacy and safety of ABP 501 compared with adalimumab (EU).</w:t>
      </w:r>
    </w:p>
    <w:p w14:paraId="604C923D" w14:textId="77777777" w:rsidR="007C0FDC" w:rsidRDefault="007C0FDC" w:rsidP="00F14441">
      <w:pPr>
        <w:pStyle w:val="Heading3"/>
      </w:pPr>
      <w:bookmarkStart w:id="45" w:name="_Toc470272283"/>
      <w:bookmarkStart w:id="46" w:name="_Toc509822392"/>
      <w:r>
        <w:t>Paediatric data</w:t>
      </w:r>
      <w:bookmarkEnd w:id="45"/>
      <w:bookmarkEnd w:id="46"/>
    </w:p>
    <w:p w14:paraId="74932751" w14:textId="1EB395A7" w:rsidR="007C0FDC" w:rsidRDefault="007C0FDC" w:rsidP="007C0FDC">
      <w:pPr>
        <w:rPr>
          <w:lang w:eastAsia="ja-JP"/>
        </w:rPr>
      </w:pPr>
      <w:r w:rsidRPr="002C7905">
        <w:rPr>
          <w:lang w:eastAsia="ja-JP"/>
        </w:rPr>
        <w:t>No paediatric data was submitted.</w:t>
      </w:r>
      <w:r>
        <w:rPr>
          <w:lang w:eastAsia="ja-JP"/>
        </w:rPr>
        <w:t xml:space="preserve"> Furthermore, there is no agreed </w:t>
      </w:r>
      <w:r w:rsidRPr="002C7905">
        <w:rPr>
          <w:lang w:eastAsia="ja-JP"/>
        </w:rPr>
        <w:t>Paediatric Investigation Plan (PIP)</w:t>
      </w:r>
      <w:r>
        <w:rPr>
          <w:lang w:eastAsia="ja-JP"/>
        </w:rPr>
        <w:t xml:space="preserve">, as this is not required for biosimilar applications in the EU. </w:t>
      </w:r>
      <w:r w:rsidR="00A356C5">
        <w:rPr>
          <w:lang w:eastAsia="ja-JP"/>
        </w:rPr>
        <w:t>At the time of this evaluation, t</w:t>
      </w:r>
      <w:r>
        <w:rPr>
          <w:lang w:eastAsia="ja-JP"/>
        </w:rPr>
        <w:t xml:space="preserve">he sponsor </w:t>
      </w:r>
      <w:r w:rsidR="00A356C5">
        <w:rPr>
          <w:lang w:eastAsia="ja-JP"/>
        </w:rPr>
        <w:t>wa</w:t>
      </w:r>
      <w:r>
        <w:rPr>
          <w:lang w:eastAsia="ja-JP"/>
        </w:rPr>
        <w:t>s awaiting a waiver from the FDA for not conducting a paediatric assessment.</w:t>
      </w:r>
      <w:r w:rsidR="00A356C5">
        <w:rPr>
          <w:rStyle w:val="FootnoteReference"/>
          <w:lang w:eastAsia="ja-JP"/>
        </w:rPr>
        <w:footnoteReference w:id="1"/>
      </w:r>
    </w:p>
    <w:p w14:paraId="4C58439D" w14:textId="77777777" w:rsidR="007C0FDC" w:rsidRDefault="007C0FDC" w:rsidP="00F14441">
      <w:pPr>
        <w:pStyle w:val="Heading3"/>
      </w:pPr>
      <w:bookmarkStart w:id="47" w:name="_Toc470272284"/>
      <w:bookmarkStart w:id="48" w:name="_Toc509822393"/>
      <w:r w:rsidRPr="00F14441">
        <w:t>Good</w:t>
      </w:r>
      <w:r>
        <w:t xml:space="preserve"> clinical practice</w:t>
      </w:r>
      <w:bookmarkEnd w:id="47"/>
      <w:bookmarkEnd w:id="48"/>
    </w:p>
    <w:p w14:paraId="7126BB2B" w14:textId="77777777" w:rsidR="007C0FDC" w:rsidRDefault="007C0FDC" w:rsidP="007C0FDC">
      <w:pPr>
        <w:rPr>
          <w:lang w:eastAsia="ja-JP"/>
        </w:rPr>
      </w:pPr>
      <w:r>
        <w:rPr>
          <w:lang w:eastAsia="ja-JP"/>
        </w:rPr>
        <w:t xml:space="preserve">All studies contained a statement claiming compliance with </w:t>
      </w:r>
      <w:r w:rsidR="00D175FA">
        <w:rPr>
          <w:lang w:eastAsia="ja-JP"/>
        </w:rPr>
        <w:t xml:space="preserve">Good Clinical Practice </w:t>
      </w:r>
      <w:r>
        <w:rPr>
          <w:lang w:eastAsia="ja-JP"/>
        </w:rPr>
        <w:t>guidelines.</w:t>
      </w:r>
    </w:p>
    <w:p w14:paraId="75E7585B" w14:textId="77777777" w:rsidR="007C0FDC" w:rsidRPr="009A141C" w:rsidRDefault="007C0FDC" w:rsidP="00F14441">
      <w:pPr>
        <w:pStyle w:val="Heading3"/>
      </w:pPr>
      <w:bookmarkStart w:id="49" w:name="_Toc470272285"/>
      <w:bookmarkStart w:id="50" w:name="_Toc509822394"/>
      <w:bookmarkStart w:id="51" w:name="_Toc355338639"/>
      <w:r w:rsidRPr="00F14441">
        <w:lastRenderedPageBreak/>
        <w:t>Evaluator’s</w:t>
      </w:r>
      <w:r>
        <w:t xml:space="preserve"> commentary on the clinical dossier</w:t>
      </w:r>
      <w:bookmarkEnd w:id="49"/>
      <w:bookmarkEnd w:id="50"/>
    </w:p>
    <w:p w14:paraId="47357F16" w14:textId="77777777" w:rsidR="007C0FDC" w:rsidRDefault="007C0FDC" w:rsidP="007C0FDC">
      <w:pPr>
        <w:rPr>
          <w:lang w:eastAsia="ja-JP"/>
        </w:rPr>
      </w:pPr>
      <w:r>
        <w:rPr>
          <w:lang w:eastAsia="ja-JP"/>
        </w:rPr>
        <w:t>The presentation of the dossier is acceptable.</w:t>
      </w:r>
    </w:p>
    <w:p w14:paraId="6A595BB6" w14:textId="77777777" w:rsidR="007C0FDC" w:rsidRDefault="007C0FDC" w:rsidP="00FD1528">
      <w:pPr>
        <w:pStyle w:val="Heading2"/>
      </w:pPr>
      <w:bookmarkStart w:id="52" w:name="_Toc470272286"/>
      <w:bookmarkStart w:id="53" w:name="_Toc509822395"/>
      <w:r w:rsidRPr="00FD1528">
        <w:t>Pharmacokinetics</w:t>
      </w:r>
      <w:bookmarkEnd w:id="51"/>
      <w:bookmarkEnd w:id="52"/>
      <w:bookmarkEnd w:id="53"/>
    </w:p>
    <w:p w14:paraId="01204477" w14:textId="77777777" w:rsidR="007C0FDC" w:rsidRPr="009A141C" w:rsidRDefault="007C0FDC" w:rsidP="00FD1528">
      <w:pPr>
        <w:pStyle w:val="Heading3"/>
      </w:pPr>
      <w:bookmarkStart w:id="54" w:name="_Toc470272287"/>
      <w:bookmarkStart w:id="55" w:name="_Toc509822396"/>
      <w:r w:rsidRPr="00FD1528">
        <w:t>Studies</w:t>
      </w:r>
      <w:r>
        <w:t xml:space="preserve"> providing pharmacokinetic information</w:t>
      </w:r>
      <w:bookmarkEnd w:id="54"/>
      <w:bookmarkEnd w:id="55"/>
    </w:p>
    <w:p w14:paraId="4DEF398F" w14:textId="49F30BC8" w:rsidR="007C0FDC" w:rsidRDefault="007C0FDC" w:rsidP="007C0FDC">
      <w:pPr>
        <w:pStyle w:val="Caption"/>
        <w:rPr>
          <w:sz w:val="22"/>
          <w:szCs w:val="22"/>
        </w:rPr>
      </w:pPr>
      <w:r w:rsidRPr="00D60261">
        <w:rPr>
          <w:sz w:val="22"/>
          <w:szCs w:val="22"/>
        </w:rPr>
        <w:t xml:space="preserve">Studies </w:t>
      </w:r>
      <w:r>
        <w:rPr>
          <w:sz w:val="22"/>
          <w:szCs w:val="22"/>
        </w:rPr>
        <w:t xml:space="preserve">20110217, 20120262, and </w:t>
      </w:r>
      <w:r w:rsidRPr="00D60261">
        <w:rPr>
          <w:sz w:val="22"/>
          <w:szCs w:val="22"/>
        </w:rPr>
        <w:t>20120263</w:t>
      </w:r>
      <w:r>
        <w:rPr>
          <w:sz w:val="22"/>
          <w:szCs w:val="22"/>
        </w:rPr>
        <w:t xml:space="preserve"> </w:t>
      </w:r>
      <w:r w:rsidRPr="00D60261">
        <w:rPr>
          <w:sz w:val="22"/>
          <w:szCs w:val="22"/>
        </w:rPr>
        <w:t>provided PK data</w:t>
      </w:r>
      <w:r>
        <w:rPr>
          <w:sz w:val="22"/>
          <w:szCs w:val="22"/>
        </w:rPr>
        <w:t xml:space="preserve"> (Table 4)</w:t>
      </w:r>
      <w:r w:rsidRPr="00D60261">
        <w:rPr>
          <w:sz w:val="22"/>
          <w:szCs w:val="22"/>
        </w:rPr>
        <w:t>.</w:t>
      </w:r>
    </w:p>
    <w:p w14:paraId="6D8002DB" w14:textId="77777777" w:rsidR="007C0FDC" w:rsidRDefault="007C0FDC" w:rsidP="007C0FDC">
      <w:pPr>
        <w:pStyle w:val="Caption"/>
        <w:rPr>
          <w:sz w:val="22"/>
          <w:szCs w:val="22"/>
        </w:rPr>
      </w:pPr>
      <w:r>
        <w:rPr>
          <w:sz w:val="22"/>
          <w:szCs w:val="22"/>
        </w:rPr>
        <w:t>Study 20110217 was a dedicated PK study that compared Amgevita to Humira in healthy subjects.</w:t>
      </w:r>
    </w:p>
    <w:p w14:paraId="62FA840B" w14:textId="77777777" w:rsidR="007C0FDC" w:rsidRPr="00277C4A" w:rsidRDefault="007C0FDC" w:rsidP="007C0FDC">
      <w:r>
        <w:t xml:space="preserve">Studies 20120262 and </w:t>
      </w:r>
      <w:r w:rsidRPr="00D60261">
        <w:t>20120263</w:t>
      </w:r>
      <w:r>
        <w:t xml:space="preserve"> were equivalence studies that compared Amgevita to Humira with regard to efficacy in rheumatoid arthritis and psoriasis </w:t>
      </w:r>
      <w:r w:rsidRPr="00277C4A">
        <w:t>respectively. The PK component was limited to a comparison of steady state trough concentrations.</w:t>
      </w:r>
    </w:p>
    <w:p w14:paraId="3FA876D5" w14:textId="77777777" w:rsidR="007C0FDC" w:rsidRPr="00BB6E95" w:rsidRDefault="007C0FDC" w:rsidP="00FD1528">
      <w:pPr>
        <w:pStyle w:val="Tabletitle"/>
      </w:pPr>
      <w:bookmarkStart w:id="56" w:name="_Ref455128339"/>
      <w:bookmarkStart w:id="57" w:name="_Ref452992595"/>
      <w:bookmarkStart w:id="58" w:name="_Toc471285595"/>
      <w:r w:rsidRPr="00BB6E95">
        <w:t xml:space="preserve">Table </w:t>
      </w:r>
      <w:r>
        <w:t>4</w:t>
      </w:r>
      <w:bookmarkEnd w:id="56"/>
      <w:r>
        <w:t>:</w:t>
      </w:r>
      <w:r w:rsidRPr="00BB6E95">
        <w:t xml:space="preserve"> Submitted pharmacokinetic studies</w:t>
      </w:r>
      <w:bookmarkEnd w:id="57"/>
      <w:bookmarkEnd w:id="58"/>
    </w:p>
    <w:tbl>
      <w:tblPr>
        <w:tblStyle w:val="TableTGAblue"/>
        <w:tblW w:w="8897" w:type="dxa"/>
        <w:tblLayout w:type="fixed"/>
        <w:tblLook w:val="04A0" w:firstRow="1" w:lastRow="0" w:firstColumn="1" w:lastColumn="0" w:noHBand="0" w:noVBand="1"/>
      </w:tblPr>
      <w:tblGrid>
        <w:gridCol w:w="1668"/>
        <w:gridCol w:w="1984"/>
        <w:gridCol w:w="1559"/>
        <w:gridCol w:w="3686"/>
      </w:tblGrid>
      <w:tr w:rsidR="007C0FDC" w:rsidRPr="00C37A1D" w14:paraId="62CECE61" w14:textId="77777777" w:rsidTr="002E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CE3A53E" w14:textId="77777777" w:rsidR="007C0FDC" w:rsidRPr="005D25BD" w:rsidRDefault="007C0FDC" w:rsidP="002E64CE">
            <w:pPr>
              <w:rPr>
                <w:b w:val="0"/>
                <w:sz w:val="20"/>
                <w:szCs w:val="20"/>
              </w:rPr>
            </w:pPr>
            <w:r w:rsidRPr="005D25BD">
              <w:rPr>
                <w:sz w:val="20"/>
                <w:szCs w:val="20"/>
              </w:rPr>
              <w:t>PK topic</w:t>
            </w:r>
          </w:p>
        </w:tc>
        <w:tc>
          <w:tcPr>
            <w:tcW w:w="1984" w:type="dxa"/>
          </w:tcPr>
          <w:p w14:paraId="04470987" w14:textId="77777777" w:rsidR="007C0FDC" w:rsidRPr="005D25BD" w:rsidRDefault="007C0FDC" w:rsidP="002E64CE">
            <w:pPr>
              <w:cnfStyle w:val="100000000000" w:firstRow="1" w:lastRow="0" w:firstColumn="0" w:lastColumn="0" w:oddVBand="0" w:evenVBand="0" w:oddHBand="0" w:evenHBand="0" w:firstRowFirstColumn="0" w:firstRowLastColumn="0" w:lastRowFirstColumn="0" w:lastRowLastColumn="0"/>
              <w:rPr>
                <w:b w:val="0"/>
                <w:sz w:val="20"/>
                <w:szCs w:val="20"/>
              </w:rPr>
            </w:pPr>
            <w:r w:rsidRPr="005D25BD">
              <w:rPr>
                <w:sz w:val="20"/>
                <w:szCs w:val="20"/>
              </w:rPr>
              <w:t>Subtopic</w:t>
            </w:r>
          </w:p>
        </w:tc>
        <w:tc>
          <w:tcPr>
            <w:tcW w:w="1559" w:type="dxa"/>
          </w:tcPr>
          <w:p w14:paraId="344536E4" w14:textId="77777777" w:rsidR="007C0FDC" w:rsidRPr="005D25BD" w:rsidRDefault="007C0FDC" w:rsidP="002E64CE">
            <w:pPr>
              <w:cnfStyle w:val="100000000000" w:firstRow="1" w:lastRow="0" w:firstColumn="0" w:lastColumn="0" w:oddVBand="0" w:evenVBand="0" w:oddHBand="0" w:evenHBand="0" w:firstRowFirstColumn="0" w:firstRowLastColumn="0" w:lastRowFirstColumn="0" w:lastRowLastColumn="0"/>
              <w:rPr>
                <w:b w:val="0"/>
                <w:sz w:val="20"/>
                <w:szCs w:val="20"/>
              </w:rPr>
            </w:pPr>
            <w:r w:rsidRPr="005D25BD">
              <w:rPr>
                <w:sz w:val="20"/>
                <w:szCs w:val="20"/>
              </w:rPr>
              <w:t>Study ID</w:t>
            </w:r>
          </w:p>
        </w:tc>
        <w:tc>
          <w:tcPr>
            <w:tcW w:w="3686" w:type="dxa"/>
          </w:tcPr>
          <w:p w14:paraId="5E57A12B" w14:textId="77777777" w:rsidR="007C0FDC" w:rsidRPr="005D25BD" w:rsidRDefault="007C0FDC" w:rsidP="002E64CE">
            <w:pPr>
              <w:cnfStyle w:val="100000000000" w:firstRow="1" w:lastRow="0" w:firstColumn="0" w:lastColumn="0" w:oddVBand="0" w:evenVBand="0" w:oddHBand="0" w:evenHBand="0" w:firstRowFirstColumn="0" w:firstRowLastColumn="0" w:lastRowFirstColumn="0" w:lastRowLastColumn="0"/>
              <w:rPr>
                <w:b w:val="0"/>
                <w:sz w:val="20"/>
                <w:szCs w:val="20"/>
              </w:rPr>
            </w:pPr>
            <w:r w:rsidRPr="005D25BD">
              <w:rPr>
                <w:sz w:val="20"/>
                <w:szCs w:val="20"/>
              </w:rPr>
              <w:t>*</w:t>
            </w:r>
          </w:p>
        </w:tc>
      </w:tr>
      <w:tr w:rsidR="007C0FDC" w:rsidRPr="00C37A1D" w14:paraId="6BE031DC" w14:textId="77777777" w:rsidTr="002E64CE">
        <w:tc>
          <w:tcPr>
            <w:cnfStyle w:val="001000000000" w:firstRow="0" w:lastRow="0" w:firstColumn="1" w:lastColumn="0" w:oddVBand="0" w:evenVBand="0" w:oddHBand="0" w:evenHBand="0" w:firstRowFirstColumn="0" w:firstRowLastColumn="0" w:lastRowFirstColumn="0" w:lastRowLastColumn="0"/>
            <w:tcW w:w="1668" w:type="dxa"/>
            <w:vMerge w:val="restart"/>
          </w:tcPr>
          <w:p w14:paraId="32D03E53" w14:textId="77777777" w:rsidR="007C0FDC" w:rsidRPr="005D25BD" w:rsidRDefault="007C0FDC" w:rsidP="002E64CE">
            <w:pPr>
              <w:rPr>
                <w:sz w:val="20"/>
                <w:szCs w:val="20"/>
              </w:rPr>
            </w:pPr>
            <w:r w:rsidRPr="005D25BD">
              <w:rPr>
                <w:sz w:val="20"/>
                <w:szCs w:val="20"/>
              </w:rPr>
              <w:t>PK in healthy adults</w:t>
            </w:r>
          </w:p>
        </w:tc>
        <w:tc>
          <w:tcPr>
            <w:tcW w:w="1984" w:type="dxa"/>
          </w:tcPr>
          <w:p w14:paraId="79F3BCE2" w14:textId="74F36A55" w:rsidR="007C0FDC" w:rsidRPr="005D25BD" w:rsidRDefault="00FD1528" w:rsidP="002E64C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 PK</w:t>
            </w:r>
          </w:p>
          <w:p w14:paraId="16A215ED"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Single dose</w:t>
            </w:r>
          </w:p>
        </w:tc>
        <w:tc>
          <w:tcPr>
            <w:tcW w:w="1559" w:type="dxa"/>
            <w:vMerge w:val="restart"/>
          </w:tcPr>
          <w:p w14:paraId="632FE742"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20110217</w:t>
            </w:r>
          </w:p>
        </w:tc>
        <w:tc>
          <w:tcPr>
            <w:tcW w:w="3686" w:type="dxa"/>
            <w:vMerge w:val="restart"/>
          </w:tcPr>
          <w:p w14:paraId="3FC7B7BA" w14:textId="14136709" w:rsidR="007C0FDC" w:rsidRPr="005D25BD" w:rsidRDefault="007C0FDC" w:rsidP="00D175FA">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xml:space="preserve">To </w:t>
            </w:r>
            <w:r w:rsidRPr="00533472">
              <w:rPr>
                <w:sz w:val="20"/>
                <w:szCs w:val="20"/>
              </w:rPr>
              <w:t>demonstrate bioequivalence</w:t>
            </w:r>
            <w:r w:rsidRPr="005D25BD">
              <w:rPr>
                <w:sz w:val="20"/>
                <w:szCs w:val="20"/>
              </w:rPr>
              <w:t xml:space="preserve"> (as assessed principally by area under the serum concentration-time curve </w:t>
            </w:r>
            <w:r w:rsidR="00D175FA">
              <w:rPr>
                <w:sz w:val="20"/>
                <w:szCs w:val="20"/>
              </w:rPr>
              <w:t>(</w:t>
            </w:r>
            <w:r w:rsidRPr="005D25BD">
              <w:rPr>
                <w:sz w:val="20"/>
                <w:szCs w:val="20"/>
              </w:rPr>
              <w:t>AUC</w:t>
            </w:r>
            <w:r w:rsidR="00D175FA">
              <w:rPr>
                <w:sz w:val="20"/>
                <w:szCs w:val="20"/>
              </w:rPr>
              <w:t>)</w:t>
            </w:r>
            <w:r w:rsidRPr="005D25BD">
              <w:rPr>
                <w:sz w:val="20"/>
                <w:szCs w:val="20"/>
              </w:rPr>
              <w:t xml:space="preserve"> from time 0 extrapolated to infinity </w:t>
            </w:r>
            <w:r w:rsidR="00D175FA">
              <w:rPr>
                <w:sz w:val="20"/>
                <w:szCs w:val="20"/>
              </w:rPr>
              <w:t>(</w:t>
            </w:r>
            <w:r w:rsidRPr="005D25BD">
              <w:rPr>
                <w:sz w:val="20"/>
                <w:szCs w:val="20"/>
              </w:rPr>
              <w:t>AUC</w:t>
            </w:r>
            <w:r w:rsidRPr="005D25BD">
              <w:rPr>
                <w:sz w:val="20"/>
                <w:szCs w:val="20"/>
                <w:vertAlign w:val="subscript"/>
              </w:rPr>
              <w:t>inf</w:t>
            </w:r>
            <w:r w:rsidR="00D175FA">
              <w:rPr>
                <w:sz w:val="20"/>
                <w:szCs w:val="20"/>
              </w:rPr>
              <w:t>)</w:t>
            </w:r>
            <w:r w:rsidRPr="005D25BD">
              <w:rPr>
                <w:sz w:val="20"/>
                <w:szCs w:val="20"/>
              </w:rPr>
              <w:t xml:space="preserve"> and the maximum observed serum concentration </w:t>
            </w:r>
            <w:r w:rsidR="00D175FA">
              <w:rPr>
                <w:sz w:val="20"/>
                <w:szCs w:val="20"/>
              </w:rPr>
              <w:t>(</w:t>
            </w:r>
            <w:r w:rsidRPr="005D25BD">
              <w:rPr>
                <w:sz w:val="20"/>
                <w:szCs w:val="20"/>
              </w:rPr>
              <w:t>C</w:t>
            </w:r>
            <w:r w:rsidRPr="005D25BD">
              <w:rPr>
                <w:sz w:val="20"/>
                <w:szCs w:val="20"/>
                <w:vertAlign w:val="subscript"/>
              </w:rPr>
              <w:t>max</w:t>
            </w:r>
            <w:r w:rsidR="00D175FA">
              <w:rPr>
                <w:sz w:val="20"/>
                <w:szCs w:val="20"/>
              </w:rPr>
              <w:t>)</w:t>
            </w:r>
            <w:r w:rsidRPr="005D25BD">
              <w:rPr>
                <w:sz w:val="20"/>
                <w:szCs w:val="20"/>
              </w:rPr>
              <w:t xml:space="preserve">) of ABP 501 following a 40 mg subcutaneous (SC) injection relative to that from a 40 mg SC injection of adalimumab (US) </w:t>
            </w:r>
            <w:r w:rsidR="00D175FA">
              <w:rPr>
                <w:sz w:val="20"/>
                <w:szCs w:val="20"/>
              </w:rPr>
              <w:t>(</w:t>
            </w:r>
            <w:r w:rsidRPr="005D25BD">
              <w:rPr>
                <w:sz w:val="20"/>
                <w:szCs w:val="20"/>
              </w:rPr>
              <w:t>Humira</w:t>
            </w:r>
            <w:r w:rsidR="00D175FA">
              <w:rPr>
                <w:sz w:val="20"/>
                <w:szCs w:val="20"/>
              </w:rPr>
              <w:t>)</w:t>
            </w:r>
            <w:r w:rsidRPr="005D25BD">
              <w:rPr>
                <w:sz w:val="20"/>
                <w:szCs w:val="20"/>
              </w:rPr>
              <w:t xml:space="preserve"> and adalimumab (EU) </w:t>
            </w:r>
            <w:r w:rsidR="00D175FA">
              <w:rPr>
                <w:sz w:val="20"/>
                <w:szCs w:val="20"/>
              </w:rPr>
              <w:t>(</w:t>
            </w:r>
            <w:r w:rsidRPr="005D25BD">
              <w:rPr>
                <w:sz w:val="20"/>
                <w:szCs w:val="20"/>
              </w:rPr>
              <w:t>Humira</w:t>
            </w:r>
            <w:r w:rsidR="00D175FA">
              <w:rPr>
                <w:sz w:val="20"/>
                <w:szCs w:val="20"/>
              </w:rPr>
              <w:t>)</w:t>
            </w:r>
          </w:p>
        </w:tc>
      </w:tr>
      <w:tr w:rsidR="007C0FDC" w:rsidRPr="00C37A1D" w14:paraId="6D18F13F" w14:textId="77777777" w:rsidTr="002E64CE">
        <w:tc>
          <w:tcPr>
            <w:cnfStyle w:val="001000000000" w:firstRow="0" w:lastRow="0" w:firstColumn="1" w:lastColumn="0" w:oddVBand="0" w:evenVBand="0" w:oddHBand="0" w:evenHBand="0" w:firstRowFirstColumn="0" w:firstRowLastColumn="0" w:lastRowFirstColumn="0" w:lastRowLastColumn="0"/>
            <w:tcW w:w="1668" w:type="dxa"/>
            <w:vMerge/>
          </w:tcPr>
          <w:p w14:paraId="12E5B637" w14:textId="77777777" w:rsidR="007C0FDC" w:rsidRPr="005D25BD" w:rsidRDefault="007C0FDC" w:rsidP="002E64CE">
            <w:pPr>
              <w:rPr>
                <w:sz w:val="20"/>
                <w:szCs w:val="20"/>
              </w:rPr>
            </w:pPr>
          </w:p>
        </w:tc>
        <w:tc>
          <w:tcPr>
            <w:tcW w:w="1984" w:type="dxa"/>
          </w:tcPr>
          <w:p w14:paraId="118C2809"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Bioequivalence†</w:t>
            </w:r>
          </w:p>
          <w:p w14:paraId="48E8A2C2"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Single dose</w:t>
            </w:r>
          </w:p>
        </w:tc>
        <w:tc>
          <w:tcPr>
            <w:tcW w:w="1559" w:type="dxa"/>
            <w:vMerge/>
          </w:tcPr>
          <w:p w14:paraId="1FB8BCE0"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p>
        </w:tc>
        <w:tc>
          <w:tcPr>
            <w:tcW w:w="3686" w:type="dxa"/>
            <w:vMerge/>
          </w:tcPr>
          <w:p w14:paraId="0D32B365"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p>
        </w:tc>
      </w:tr>
      <w:tr w:rsidR="007C0FDC" w:rsidRPr="00C37A1D" w14:paraId="1C91B9C8" w14:textId="77777777" w:rsidTr="002E64CE">
        <w:tc>
          <w:tcPr>
            <w:cnfStyle w:val="001000000000" w:firstRow="0" w:lastRow="0" w:firstColumn="1" w:lastColumn="0" w:oddVBand="0" w:evenVBand="0" w:oddHBand="0" w:evenHBand="0" w:firstRowFirstColumn="0" w:firstRowLastColumn="0" w:lastRowFirstColumn="0" w:lastRowLastColumn="0"/>
            <w:tcW w:w="1668" w:type="dxa"/>
            <w:vMerge w:val="restart"/>
          </w:tcPr>
          <w:p w14:paraId="70EBE9A2" w14:textId="77777777" w:rsidR="007C0FDC" w:rsidRPr="005D25BD" w:rsidRDefault="007C0FDC" w:rsidP="002E64CE">
            <w:pPr>
              <w:rPr>
                <w:sz w:val="20"/>
                <w:szCs w:val="20"/>
              </w:rPr>
            </w:pPr>
            <w:r w:rsidRPr="005D25BD">
              <w:rPr>
                <w:sz w:val="20"/>
                <w:szCs w:val="20"/>
              </w:rPr>
              <w:t>PK in special populations</w:t>
            </w:r>
          </w:p>
        </w:tc>
        <w:tc>
          <w:tcPr>
            <w:tcW w:w="1984" w:type="dxa"/>
          </w:tcPr>
          <w:p w14:paraId="256ECD7C"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Target population §</w:t>
            </w:r>
          </w:p>
          <w:p w14:paraId="26CDDB99"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Multi-dose</w:t>
            </w:r>
          </w:p>
        </w:tc>
        <w:tc>
          <w:tcPr>
            <w:tcW w:w="1559" w:type="dxa"/>
          </w:tcPr>
          <w:p w14:paraId="426E5659"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20120262</w:t>
            </w:r>
          </w:p>
        </w:tc>
        <w:tc>
          <w:tcPr>
            <w:tcW w:w="3686" w:type="dxa"/>
          </w:tcPr>
          <w:p w14:paraId="1DF35F0A"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xml:space="preserve">To demonstrate pharmacokinetic similarity of ABP 501 to Humira by comparing steady state trough concentrations in patients with </w:t>
            </w:r>
            <w:r w:rsidR="00D175FA" w:rsidRPr="005D25BD">
              <w:rPr>
                <w:sz w:val="20"/>
                <w:szCs w:val="20"/>
              </w:rPr>
              <w:t>rheumatoid arthritis</w:t>
            </w:r>
          </w:p>
        </w:tc>
      </w:tr>
      <w:tr w:rsidR="007C0FDC" w:rsidRPr="00C37A1D" w14:paraId="5589588C" w14:textId="77777777" w:rsidTr="002E64CE">
        <w:tc>
          <w:tcPr>
            <w:cnfStyle w:val="001000000000" w:firstRow="0" w:lastRow="0" w:firstColumn="1" w:lastColumn="0" w:oddVBand="0" w:evenVBand="0" w:oddHBand="0" w:evenHBand="0" w:firstRowFirstColumn="0" w:firstRowLastColumn="0" w:lastRowFirstColumn="0" w:lastRowLastColumn="0"/>
            <w:tcW w:w="1668" w:type="dxa"/>
            <w:vMerge/>
          </w:tcPr>
          <w:p w14:paraId="1D90FB82" w14:textId="77777777" w:rsidR="007C0FDC" w:rsidRPr="005D25BD" w:rsidRDefault="007C0FDC" w:rsidP="002E64CE">
            <w:pPr>
              <w:rPr>
                <w:sz w:val="20"/>
                <w:szCs w:val="20"/>
              </w:rPr>
            </w:pPr>
          </w:p>
        </w:tc>
        <w:tc>
          <w:tcPr>
            <w:tcW w:w="1984" w:type="dxa"/>
          </w:tcPr>
          <w:p w14:paraId="5E0D7980"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Target population §</w:t>
            </w:r>
          </w:p>
          <w:p w14:paraId="45FB0415" w14:textId="647BB2ED" w:rsidR="007C0FDC" w:rsidRPr="005D25BD" w:rsidRDefault="00FD1528" w:rsidP="002E64C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Multi-dose</w:t>
            </w:r>
          </w:p>
        </w:tc>
        <w:tc>
          <w:tcPr>
            <w:tcW w:w="1559" w:type="dxa"/>
          </w:tcPr>
          <w:p w14:paraId="49D878A3"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20120263</w:t>
            </w:r>
          </w:p>
        </w:tc>
        <w:tc>
          <w:tcPr>
            <w:tcW w:w="3686" w:type="dxa"/>
          </w:tcPr>
          <w:p w14:paraId="1098EB58" w14:textId="77777777" w:rsidR="007C0FDC" w:rsidRPr="005D25BD" w:rsidRDefault="007C0FDC" w:rsidP="002E64CE">
            <w:pPr>
              <w:cnfStyle w:val="000000000000" w:firstRow="0" w:lastRow="0" w:firstColumn="0" w:lastColumn="0" w:oddVBand="0" w:evenVBand="0" w:oddHBand="0" w:evenHBand="0" w:firstRowFirstColumn="0" w:firstRowLastColumn="0" w:lastRowFirstColumn="0" w:lastRowLastColumn="0"/>
              <w:rPr>
                <w:sz w:val="20"/>
                <w:szCs w:val="20"/>
              </w:rPr>
            </w:pPr>
            <w:r w:rsidRPr="005D25BD">
              <w:rPr>
                <w:sz w:val="20"/>
                <w:szCs w:val="20"/>
              </w:rPr>
              <w:t xml:space="preserve">To demonstrate pharmacokinetic similarity of ABP 501 to Humira by comparing steady state trough concentrations in patients with </w:t>
            </w:r>
            <w:r w:rsidR="00D175FA" w:rsidRPr="005D25BD">
              <w:rPr>
                <w:sz w:val="20"/>
                <w:szCs w:val="20"/>
              </w:rPr>
              <w:t>psoriasis</w:t>
            </w:r>
          </w:p>
        </w:tc>
      </w:tr>
    </w:tbl>
    <w:p w14:paraId="1116DAF0" w14:textId="77777777" w:rsidR="007C0FDC" w:rsidRPr="00952BDE" w:rsidRDefault="007C0FDC" w:rsidP="00FD1528">
      <w:pPr>
        <w:pStyle w:val="TableDescription"/>
      </w:pPr>
      <w:r w:rsidRPr="00C37A1D">
        <w:t>* Indicates the primary PK aim of the study.</w:t>
      </w:r>
      <w:r>
        <w:t xml:space="preserve"> </w:t>
      </w:r>
      <w:r w:rsidRPr="00C37A1D">
        <w:t>† Bioequivalence of different formulations.</w:t>
      </w:r>
      <w:r>
        <w:t xml:space="preserve"> </w:t>
      </w:r>
      <w:r w:rsidRPr="00C37A1D">
        <w:t>§ Subjects who would be eligible to receive the drug if approv</w:t>
      </w:r>
      <w:r>
        <w:t>ed for the proposed indication.</w:t>
      </w:r>
    </w:p>
    <w:p w14:paraId="34D9E821" w14:textId="77777777" w:rsidR="007C0FDC" w:rsidRDefault="007C0FDC" w:rsidP="007C0FDC">
      <w:r>
        <w:t>The sponsor is planning a further PK study:</w:t>
      </w:r>
    </w:p>
    <w:p w14:paraId="26AB03A5" w14:textId="77777777" w:rsidR="007C0FDC" w:rsidRDefault="007C0FDC" w:rsidP="00FD1528">
      <w:pPr>
        <w:pStyle w:val="ListBullet"/>
      </w:pPr>
      <w:r>
        <w:t>Study 20120176 (at the request of the regulatory authority of Japan): a randomised, single-blind, single-dose, 2-arm, parallel-group study to determine the PK bioequivalence of ABP 501 and adalimumab in 179 healthy adult Japanese subjects. No results for this study were submitted with the current application.</w:t>
      </w:r>
    </w:p>
    <w:p w14:paraId="09B799A0" w14:textId="34CFF5FC" w:rsidR="007C0FDC" w:rsidRDefault="007C0FDC" w:rsidP="00FD1528">
      <w:pPr>
        <w:pStyle w:val="Heading4"/>
      </w:pPr>
      <w:r w:rsidRPr="00A1102F">
        <w:lastRenderedPageBreak/>
        <w:t>Study 20110217</w:t>
      </w:r>
      <w:r>
        <w:t xml:space="preserve">: A </w:t>
      </w:r>
      <w:r w:rsidR="009B0FB8">
        <w:t xml:space="preserve">randomised, single blind, single dose, 3 arm, parallel group study to determine the pharmacokinetic equivalence of ABP 501 and </w:t>
      </w:r>
      <w:r w:rsidR="009B0FB8" w:rsidRPr="00FD1528">
        <w:t>adalimumab</w:t>
      </w:r>
      <w:r>
        <w:t xml:space="preserve"> (</w:t>
      </w:r>
      <w:proofErr w:type="spellStart"/>
      <w:r>
        <w:t>Humira</w:t>
      </w:r>
      <w:proofErr w:type="spellEnd"/>
      <w:r>
        <w:t xml:space="preserve">) in </w:t>
      </w:r>
      <w:r w:rsidR="009B0FB8">
        <w:t>healthy adult subjects</w:t>
      </w:r>
    </w:p>
    <w:p w14:paraId="638D49F1" w14:textId="77777777" w:rsidR="007C0FDC" w:rsidRPr="00891236" w:rsidRDefault="007C0FDC" w:rsidP="00FD1528">
      <w:pPr>
        <w:pStyle w:val="Heading5"/>
        <w:rPr>
          <w:lang w:eastAsia="ja-JP"/>
        </w:rPr>
      </w:pPr>
      <w:r w:rsidRPr="00FD1528">
        <w:t>Objectives</w:t>
      </w:r>
    </w:p>
    <w:p w14:paraId="3E5A92F2" w14:textId="77777777" w:rsidR="007C0FDC" w:rsidRPr="00635F65" w:rsidRDefault="007C0FDC" w:rsidP="007C0FDC">
      <w:pPr>
        <w:pStyle w:val="Heading6"/>
      </w:pPr>
      <w:r w:rsidRPr="00635F65">
        <w:t>Primary objective</w:t>
      </w:r>
    </w:p>
    <w:p w14:paraId="33C41313" w14:textId="1FF8AB37" w:rsidR="007C0FDC" w:rsidRDefault="007C0FDC" w:rsidP="007C0FDC">
      <w:pPr>
        <w:spacing w:before="0" w:after="0" w:line="240" w:lineRule="auto"/>
      </w:pPr>
      <w:r>
        <w:t xml:space="preserve">To demonstrate bioequivalence (as assessed principally by area under the serum concentration-time curve </w:t>
      </w:r>
      <w:r w:rsidR="00D175FA">
        <w:t>(</w:t>
      </w:r>
      <w:r>
        <w:t>AUC</w:t>
      </w:r>
      <w:r w:rsidR="00D175FA">
        <w:t>)</w:t>
      </w:r>
      <w:r>
        <w:t xml:space="preserve"> from time 0 extrapolated to infinity </w:t>
      </w:r>
      <w:r w:rsidR="00D175FA">
        <w:t>(</w:t>
      </w:r>
      <w:r>
        <w:t>AUC</w:t>
      </w:r>
      <w:r w:rsidRPr="00C22ABF">
        <w:rPr>
          <w:vertAlign w:val="subscript"/>
        </w:rPr>
        <w:t>inf</w:t>
      </w:r>
      <w:r w:rsidR="00D175FA">
        <w:t>)</w:t>
      </w:r>
      <w:r>
        <w:t xml:space="preserve"> and the maximum observed serum concentration </w:t>
      </w:r>
      <w:r w:rsidR="00D175FA">
        <w:t>(</w:t>
      </w:r>
      <w:r>
        <w:t>C</w:t>
      </w:r>
      <w:r w:rsidRPr="00C22ABF">
        <w:rPr>
          <w:vertAlign w:val="subscript"/>
        </w:rPr>
        <w:t>max</w:t>
      </w:r>
      <w:r w:rsidR="00D175FA">
        <w:t>)</w:t>
      </w:r>
      <w:r>
        <w:t>) of ABP 501 following a 40 mg subcutaneous (SC) injection relative to that from a 40 mg SC injection of adalimumab (US) and adalimumab (EU).</w:t>
      </w:r>
    </w:p>
    <w:p w14:paraId="041C8C7C" w14:textId="77777777" w:rsidR="007C0FDC" w:rsidRDefault="007C0FDC" w:rsidP="00FD1528">
      <w:pPr>
        <w:pStyle w:val="Heading6"/>
      </w:pPr>
      <w:r>
        <w:t xml:space="preserve">Secondary </w:t>
      </w:r>
      <w:r w:rsidRPr="00FD1528">
        <w:t>objective</w:t>
      </w:r>
    </w:p>
    <w:p w14:paraId="56461696" w14:textId="77777777" w:rsidR="007C0FDC" w:rsidRPr="004A65B3" w:rsidRDefault="007C0FDC" w:rsidP="007C0FDC">
      <w:pPr>
        <w:spacing w:before="0" w:after="0" w:line="240" w:lineRule="auto"/>
      </w:pPr>
      <w:r>
        <w:t>To determine the safety, tolerability, and immunogenicity of ABP 501 in healthy adult subjects compared with adalimumab (US) and adalimumab (EU).</w:t>
      </w:r>
    </w:p>
    <w:p w14:paraId="59DD5268" w14:textId="77777777" w:rsidR="007C0FDC" w:rsidRPr="00891236" w:rsidRDefault="007C0FDC" w:rsidP="007C0FDC">
      <w:pPr>
        <w:pStyle w:val="Heading6"/>
        <w:rPr>
          <w:lang w:eastAsia="ja-JP"/>
        </w:rPr>
      </w:pPr>
      <w:r w:rsidRPr="00891236">
        <w:rPr>
          <w:lang w:eastAsia="ja-JP"/>
        </w:rPr>
        <w:t>Methodology</w:t>
      </w:r>
    </w:p>
    <w:p w14:paraId="1AAF386D" w14:textId="77777777" w:rsidR="007C0FDC" w:rsidRDefault="007C0FDC" w:rsidP="007C0FDC">
      <w:r w:rsidRPr="00533472">
        <w:rPr>
          <w:i/>
        </w:rPr>
        <w:t>Design</w:t>
      </w:r>
      <w:r w:rsidRPr="00D175FA">
        <w:rPr>
          <w:b/>
        </w:rPr>
        <w:t>:</w:t>
      </w:r>
      <w:r>
        <w:t xml:space="preserve"> </w:t>
      </w:r>
      <w:r w:rsidRPr="00691744">
        <w:t xml:space="preserve">Phase 1, </w:t>
      </w:r>
      <w:r>
        <w:t>single-blind (subjects blind)</w:t>
      </w:r>
      <w:r w:rsidRPr="00691744">
        <w:t xml:space="preserve">, randomised, </w:t>
      </w:r>
      <w:r>
        <w:t xml:space="preserve">parallel group study in healthy adult male and female subjects </w:t>
      </w:r>
      <w:r w:rsidRPr="00691744">
        <w:t xml:space="preserve">undertaken in </w:t>
      </w:r>
      <w:r>
        <w:t>two</w:t>
      </w:r>
      <w:r w:rsidRPr="00691744">
        <w:t xml:space="preserve"> </w:t>
      </w:r>
      <w:r>
        <w:t>clinical pharmacology units (CPUs) (one in the US (Omaha, Nebraska) and one in the EU (Belfast, Northern Ireland)).</w:t>
      </w:r>
    </w:p>
    <w:p w14:paraId="4F145C81" w14:textId="77777777" w:rsidR="007C0FDC" w:rsidRDefault="007C0FDC" w:rsidP="007C0FDC">
      <w:r w:rsidRPr="00533472">
        <w:rPr>
          <w:i/>
        </w:rPr>
        <w:t>Entry criteria</w:t>
      </w:r>
      <w:r>
        <w:t>: consent form signed; healthy male/female between 18 to 45 years of age inclusive; highly effective birth control method and agreement not to donate sperm during the study plus 4 months; BMI between 18 and 30 kg/m</w:t>
      </w:r>
      <w:r w:rsidRPr="00DE7FB5">
        <w:rPr>
          <w:vertAlign w:val="superscript"/>
        </w:rPr>
        <w:t>2</w:t>
      </w:r>
      <w:r>
        <w:t>, inclusive; normal or clinically acceptable physical examination, clinical laboratory values, ECG, and vital signs; ability to communicate effectively with the study personnel.</w:t>
      </w:r>
    </w:p>
    <w:p w14:paraId="5B2D8F76" w14:textId="77777777" w:rsidR="007C0FDC" w:rsidRPr="00EF309B" w:rsidRDefault="007C0FDC" w:rsidP="007C0FDC">
      <w:r w:rsidRPr="00533472">
        <w:rPr>
          <w:i/>
        </w:rPr>
        <w:t>Exclusion criteria</w:t>
      </w:r>
      <w:r w:rsidR="00D175FA">
        <w:rPr>
          <w:i/>
        </w:rPr>
        <w:t>:</w:t>
      </w:r>
      <w:r w:rsidRPr="00462459">
        <w:t xml:space="preserve"> included</w:t>
      </w:r>
      <w:r>
        <w:t>: lactating women; planned or existing pregnancy; men with pregnant partners; evidence of any infections within the 30 days prior; Evidence of a recent (within 6 months) infection requiring admission or IV antibiotics;</w:t>
      </w:r>
      <w:r w:rsidRPr="004214C1">
        <w:t xml:space="preserve"> </w:t>
      </w:r>
      <w:r>
        <w:t>previous exposure to TB (if not treated with chemoprophylaxis); TB or fungal infection seen on available chest x-ray taken within 6 months; history of malignancy of any type, other than surgically excised non-</w:t>
      </w:r>
      <w:proofErr w:type="spellStart"/>
      <w:r>
        <w:t>melanomatous</w:t>
      </w:r>
      <w:proofErr w:type="spellEnd"/>
      <w:r>
        <w:t xml:space="preserve"> skin cancers, within 5 years prior to investigational product administration; Positive test for human immunodeficiency virus (HIV) antibodies, hepatitis B surface antigen (HBsAg), or hepatitis C virus (HCV) antibodies; positive screen for alcohol and/or potential </w:t>
      </w:r>
      <w:r w:rsidRPr="00EF309B">
        <w:t>drugs of abuse.</w:t>
      </w:r>
    </w:p>
    <w:p w14:paraId="7DE59075" w14:textId="77777777" w:rsidR="007C0FDC" w:rsidRPr="00EF309B" w:rsidRDefault="007C0FDC" w:rsidP="007C0FDC">
      <w:r w:rsidRPr="00533472">
        <w:rPr>
          <w:i/>
        </w:rPr>
        <w:t>Treatments</w:t>
      </w:r>
      <w:r w:rsidRPr="00EF309B">
        <w:rPr>
          <w:b/>
        </w:rPr>
        <w:t>:</w:t>
      </w:r>
      <w:r w:rsidRPr="00EF309B">
        <w:t xml:space="preserve"> Each subject received a single dose 4</w:t>
      </w:r>
      <w:r>
        <w:t>0 mg</w:t>
      </w:r>
      <w:r w:rsidRPr="00EF309B">
        <w:t xml:space="preserve"> SC injection into the abdomen of ABP 501, adalimumab (US), or adalimumab (EU) in the morning on day 1 following a light, low-fat breakfast.</w:t>
      </w:r>
    </w:p>
    <w:p w14:paraId="6AE3DC9A" w14:textId="77777777" w:rsidR="007C0FDC" w:rsidRPr="00EF309B" w:rsidRDefault="007C0FDC" w:rsidP="007C0FDC">
      <w:pPr>
        <w:pStyle w:val="Caption"/>
        <w:rPr>
          <w:sz w:val="22"/>
          <w:szCs w:val="22"/>
        </w:rPr>
      </w:pPr>
      <w:r w:rsidRPr="00533472">
        <w:rPr>
          <w:i/>
          <w:sz w:val="22"/>
          <w:szCs w:val="22"/>
        </w:rPr>
        <w:t>PK sampling and analysis</w:t>
      </w:r>
      <w:r>
        <w:rPr>
          <w:sz w:val="22"/>
          <w:szCs w:val="22"/>
        </w:rPr>
        <w:t xml:space="preserve">: A study design and treatment schema is shown in Figure 1. </w:t>
      </w:r>
      <w:r w:rsidRPr="00EF309B">
        <w:rPr>
          <w:sz w:val="22"/>
          <w:szCs w:val="22"/>
        </w:rPr>
        <w:t>The single dose was given on Day 1. Pharmacokinetic (PK) blood sample (2</w:t>
      </w:r>
      <w:r>
        <w:rPr>
          <w:sz w:val="22"/>
          <w:szCs w:val="22"/>
        </w:rPr>
        <w:t xml:space="preserve"> </w:t>
      </w:r>
      <w:r w:rsidRPr="00EF309B">
        <w:rPr>
          <w:sz w:val="22"/>
          <w:szCs w:val="22"/>
        </w:rPr>
        <w:t xml:space="preserve">mL) collection occurred pre-dose, then 1, 4, 8, 12 and 24 hours post-dose, and then on days 3, 4, 5, 6, 7, 8, 9, 11, 14, 16, 22, 29, 36, 43, 50, 57, and 63 post-dose. The serum concentration of adalimumab was determined using a validated electrochemiluminescent assay. The lower limit of quantification (LLOQ) was </w:t>
      </w:r>
      <w:proofErr w:type="gramStart"/>
      <w:r w:rsidRPr="00EF309B">
        <w:rPr>
          <w:sz w:val="22"/>
          <w:szCs w:val="22"/>
        </w:rPr>
        <w:t>5</w:t>
      </w:r>
      <w:r>
        <w:rPr>
          <w:sz w:val="22"/>
          <w:szCs w:val="22"/>
        </w:rPr>
        <w:t>0 ng</w:t>
      </w:r>
      <w:r w:rsidRPr="00EF309B">
        <w:rPr>
          <w:sz w:val="22"/>
          <w:szCs w:val="22"/>
        </w:rPr>
        <w:t>/mL</w:t>
      </w:r>
      <w:proofErr w:type="gramEnd"/>
      <w:r w:rsidRPr="00EF309B">
        <w:rPr>
          <w:sz w:val="22"/>
          <w:szCs w:val="22"/>
        </w:rPr>
        <w:t>.</w:t>
      </w:r>
    </w:p>
    <w:p w14:paraId="4292E2C7" w14:textId="005A0C94" w:rsidR="007C0FDC" w:rsidRDefault="007C0FDC" w:rsidP="007C0FDC">
      <w:r>
        <w:t>Pharmacokinetic parameters (C</w:t>
      </w:r>
      <w:r w:rsidRPr="00B119E0">
        <w:rPr>
          <w:vertAlign w:val="subscript"/>
        </w:rPr>
        <w:t>max</w:t>
      </w:r>
      <w:r>
        <w:t xml:space="preserve">, last measurable serum concentration </w:t>
      </w:r>
      <w:r w:rsidR="00D175FA">
        <w:t>(</w:t>
      </w:r>
      <w:r>
        <w:t>C</w:t>
      </w:r>
      <w:r w:rsidRPr="00633A5B">
        <w:rPr>
          <w:vertAlign w:val="subscript"/>
        </w:rPr>
        <w:t>last</w:t>
      </w:r>
      <w:r w:rsidR="00D175FA">
        <w:t>)</w:t>
      </w:r>
      <w:r>
        <w:t>, time at which C</w:t>
      </w:r>
      <w:r w:rsidRPr="00B119E0">
        <w:rPr>
          <w:vertAlign w:val="subscript"/>
        </w:rPr>
        <w:t>max</w:t>
      </w:r>
      <w:r>
        <w:t xml:space="preserve"> was observed </w:t>
      </w:r>
      <w:r w:rsidR="00D175FA">
        <w:t>(</w:t>
      </w:r>
      <w:r>
        <w:t>t</w:t>
      </w:r>
      <w:r w:rsidRPr="00B119E0">
        <w:rPr>
          <w:vertAlign w:val="subscript"/>
        </w:rPr>
        <w:t>max</w:t>
      </w:r>
      <w:r w:rsidR="00D175FA">
        <w:t>)</w:t>
      </w:r>
      <w:r>
        <w:t xml:space="preserve">, AUC from time 0 to the last quantifiable concentration </w:t>
      </w:r>
      <w:r w:rsidR="00D175FA">
        <w:t>(</w:t>
      </w:r>
      <w:r>
        <w:t>AUC</w:t>
      </w:r>
      <w:r w:rsidRPr="00B119E0">
        <w:rPr>
          <w:vertAlign w:val="subscript"/>
        </w:rPr>
        <w:t>last</w:t>
      </w:r>
      <w:r w:rsidR="00D175FA">
        <w:t>)</w:t>
      </w:r>
      <w:r>
        <w:t>, AUC</w:t>
      </w:r>
      <w:r w:rsidRPr="00B119E0">
        <w:rPr>
          <w:vertAlign w:val="subscript"/>
        </w:rPr>
        <w:t>inf</w:t>
      </w:r>
      <w:r>
        <w:t xml:space="preserve">, terminal elimination half-life </w:t>
      </w:r>
      <w:r w:rsidR="00D175FA">
        <w:t>(</w:t>
      </w:r>
      <w:r>
        <w:t>t</w:t>
      </w:r>
      <w:r w:rsidRPr="00607554">
        <w:rPr>
          <w:vertAlign w:val="subscript"/>
        </w:rPr>
        <w:t>½</w:t>
      </w:r>
      <w:r w:rsidR="00D175FA">
        <w:t>)</w:t>
      </w:r>
      <w:r>
        <w:t xml:space="preserve">, and the terminal elimination rate constant </w:t>
      </w:r>
      <w:r w:rsidR="00D175FA">
        <w:t>(</w:t>
      </w:r>
      <w:r>
        <w:t>λ</w:t>
      </w:r>
      <w:r w:rsidRPr="00B119E0">
        <w:rPr>
          <w:vertAlign w:val="subscript"/>
        </w:rPr>
        <w:t>z</w:t>
      </w:r>
      <w:r w:rsidR="00D175FA">
        <w:t>)</w:t>
      </w:r>
      <w:r>
        <w:t>) were calculated from serum adalimumab and ABP 501 concentration data using non-compartmental methods.</w:t>
      </w:r>
    </w:p>
    <w:p w14:paraId="1812B640" w14:textId="77777777" w:rsidR="007C0FDC" w:rsidRDefault="007C0FDC" w:rsidP="00FD1528">
      <w:pPr>
        <w:pStyle w:val="FigureTitle"/>
      </w:pPr>
      <w:r>
        <w:lastRenderedPageBreak/>
        <w:t>Figure 1</w:t>
      </w:r>
      <w:r w:rsidRPr="00CE75C3">
        <w:t>: Study 20110217</w:t>
      </w:r>
      <w:r>
        <w:t xml:space="preserve"> design and treatment schema</w:t>
      </w:r>
    </w:p>
    <w:p w14:paraId="20E67371" w14:textId="77777777" w:rsidR="007C0FDC" w:rsidRDefault="007C0FDC" w:rsidP="00A17FAD">
      <w:r>
        <w:rPr>
          <w:noProof/>
          <w:lang w:eastAsia="en-AU"/>
        </w:rPr>
        <w:drawing>
          <wp:inline distT="0" distB="0" distL="0" distR="0" wp14:anchorId="72AF7188" wp14:editId="4FA374D4">
            <wp:extent cx="5257800" cy="3343275"/>
            <wp:effectExtent l="0" t="0" r="0" b="9525"/>
            <wp:docPr id="3" name="Picture 3" descr="A study design and treatment schema is shown in Figure 1. The single dose was given on Day 1. Pharmacokinetic (PK) blood sample (2 mL) collection occurred pre-dose, then 1, 4, 8, 12 and 24 hours post-dose, and then on days 3, 4, 5, 6, 7, 8, 9, 11, 14, 16, 22, 29, 36, 43, 50, 57, and 63 post-dose. The serum concentration of adalimumab was determined using a validated electrochemiluminescent assay. The lower limit of quantification (LLOQ) was 50 ng/mL." title="Figure 1: Study 20110217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257800" cy="3343275"/>
                    </a:xfrm>
                    <a:prstGeom prst="rect">
                      <a:avLst/>
                    </a:prstGeom>
                  </pic:spPr>
                </pic:pic>
              </a:graphicData>
            </a:graphic>
          </wp:inline>
        </w:drawing>
      </w:r>
    </w:p>
    <w:p w14:paraId="43E786C0" w14:textId="77777777" w:rsidR="007C0FDC" w:rsidRDefault="007C0FDC" w:rsidP="007C0FDC">
      <w:r w:rsidRPr="00533472">
        <w:rPr>
          <w:i/>
        </w:rPr>
        <w:t>Statistical Analysis Plan (SAP):</w:t>
      </w:r>
      <w:r>
        <w:t xml:space="preserve"> An analysis of covariance (ANCOVA) was used for statistical analysis. Weight and region were used as a covariate in the ANCOVA model for comparison of PK parameters.</w:t>
      </w:r>
    </w:p>
    <w:p w14:paraId="24293F48" w14:textId="77777777" w:rsidR="007C0FDC" w:rsidRPr="00A40798" w:rsidRDefault="007C0FDC" w:rsidP="007C0FDC">
      <w:r w:rsidRPr="00533472">
        <w:rPr>
          <w:i/>
        </w:rPr>
        <w:t>Subgroup/sensitivity analyses:</w:t>
      </w:r>
      <w:r w:rsidRPr="00A40798">
        <w:t xml:space="preserve"> The following subgroup analyses of AUC</w:t>
      </w:r>
      <w:r w:rsidRPr="00A40798">
        <w:rPr>
          <w:vertAlign w:val="subscript"/>
        </w:rPr>
        <w:t>last</w:t>
      </w:r>
      <w:r w:rsidRPr="00A40798">
        <w:t>, AUC</w:t>
      </w:r>
      <w:r w:rsidRPr="00A40798">
        <w:rPr>
          <w:vertAlign w:val="subscript"/>
        </w:rPr>
        <w:t>inf</w:t>
      </w:r>
      <w:r w:rsidRPr="00A40798">
        <w:t>, and C</w:t>
      </w:r>
      <w:r w:rsidRPr="00A40798">
        <w:rPr>
          <w:vertAlign w:val="subscript"/>
        </w:rPr>
        <w:t>max</w:t>
      </w:r>
      <w:r w:rsidRPr="00A40798">
        <w:t xml:space="preserve"> were conducted (all on the PK Parameter Population (all subjects with an evaluable adalimumab or ABP 501 serum-concentration time profile)):</w:t>
      </w:r>
    </w:p>
    <w:p w14:paraId="5D6D643A" w14:textId="77777777" w:rsidR="007C0FDC" w:rsidRDefault="007C0FDC" w:rsidP="007C0FDC">
      <w:r w:rsidRPr="00533472">
        <w:rPr>
          <w:i/>
        </w:rPr>
        <w:t>Safety analyses:</w:t>
      </w:r>
      <w:r>
        <w:t xml:space="preserve"> </w:t>
      </w:r>
      <w:r w:rsidRPr="00A40798">
        <w:t>The Safety Population consisted of all subjects who received any amo</w:t>
      </w:r>
      <w:r>
        <w:t>unt of investigational product.</w:t>
      </w:r>
      <w:r w:rsidRPr="008A53F4">
        <w:t xml:space="preserve"> </w:t>
      </w:r>
      <w:r>
        <w:t xml:space="preserve">TEAEs (including ADAs and investigation results) were classified as per </w:t>
      </w:r>
      <w:r w:rsidRPr="00853E3D">
        <w:t>MedDRA</w:t>
      </w:r>
      <w:r>
        <w:t>, analysed, and summarised.</w:t>
      </w:r>
    </w:p>
    <w:p w14:paraId="48AAF251" w14:textId="061A0FF3" w:rsidR="007C0FDC" w:rsidRPr="00891236" w:rsidRDefault="007C0FDC" w:rsidP="00A17FAD">
      <w:pPr>
        <w:pStyle w:val="Heading6"/>
        <w:rPr>
          <w:lang w:eastAsia="ja-JP"/>
        </w:rPr>
      </w:pPr>
      <w:r w:rsidRPr="00891236">
        <w:rPr>
          <w:lang w:eastAsia="ja-JP"/>
        </w:rPr>
        <w:t xml:space="preserve">Study </w:t>
      </w:r>
      <w:r w:rsidR="00A17FAD" w:rsidRPr="00A17FAD">
        <w:t>p</w:t>
      </w:r>
      <w:r w:rsidRPr="00A17FAD">
        <w:t>articipants</w:t>
      </w:r>
    </w:p>
    <w:p w14:paraId="611EE0D2" w14:textId="19A146C3" w:rsidR="007C0FDC" w:rsidRPr="00A17FAD" w:rsidRDefault="007C0FDC" w:rsidP="00A17FAD">
      <w:pPr>
        <w:pStyle w:val="ListBullet"/>
      </w:pPr>
      <w:r w:rsidRPr="00533472">
        <w:t>Enrolled</w:t>
      </w:r>
      <w:r w:rsidRPr="00D175FA">
        <w:t xml:space="preserve">: </w:t>
      </w:r>
      <w:r w:rsidRPr="00A17FAD">
        <w:t>N</w:t>
      </w:r>
      <w:r w:rsidR="00D175FA" w:rsidRPr="00A17FAD">
        <w:t xml:space="preserve"> </w:t>
      </w:r>
      <w:r w:rsidRPr="00A17FAD">
        <w:t>=</w:t>
      </w:r>
      <w:r w:rsidR="00D175FA" w:rsidRPr="00A17FAD">
        <w:t xml:space="preserve"> </w:t>
      </w:r>
      <w:r w:rsidRPr="00A17FAD">
        <w:t>203</w:t>
      </w:r>
    </w:p>
    <w:p w14:paraId="78A3B87E" w14:textId="77777777" w:rsidR="007C0FDC" w:rsidRPr="00A17FAD" w:rsidRDefault="007C0FDC" w:rsidP="00A17FAD">
      <w:pPr>
        <w:pStyle w:val="ListBullet"/>
      </w:pPr>
      <w:r w:rsidRPr="00A17FAD">
        <w:t>Completed: N</w:t>
      </w:r>
      <w:r w:rsidR="00D175FA" w:rsidRPr="00A17FAD">
        <w:t xml:space="preserve"> </w:t>
      </w:r>
      <w:r w:rsidRPr="00A17FAD">
        <w:t>=</w:t>
      </w:r>
      <w:r w:rsidR="00D175FA" w:rsidRPr="00A17FAD">
        <w:t xml:space="preserve"> </w:t>
      </w:r>
      <w:r w:rsidRPr="00A17FAD">
        <w:t>196 (7 subjects did not complete the study; 4 of those were replaced)</w:t>
      </w:r>
    </w:p>
    <w:p w14:paraId="3BE9C2AB" w14:textId="755161C5" w:rsidR="007C0FDC" w:rsidRPr="00D175FA" w:rsidRDefault="007C0FDC" w:rsidP="00A17FAD">
      <w:pPr>
        <w:pStyle w:val="ListBullet"/>
      </w:pPr>
      <w:r w:rsidRPr="00A17FAD">
        <w:t>Analysed: N</w:t>
      </w:r>
      <w:r w:rsidR="00D175FA" w:rsidRPr="00A17FAD">
        <w:t xml:space="preserve"> </w:t>
      </w:r>
      <w:r w:rsidRPr="00A17FAD">
        <w:t>=</w:t>
      </w:r>
      <w:r w:rsidR="00D175FA">
        <w:t xml:space="preserve"> </w:t>
      </w:r>
      <w:r w:rsidR="00A17FAD">
        <w:t>203</w:t>
      </w:r>
    </w:p>
    <w:p w14:paraId="11DDEE92" w14:textId="1BD4FF0A" w:rsidR="007C0FDC" w:rsidRDefault="007C0FDC" w:rsidP="00A17FAD">
      <w:pPr>
        <w:pStyle w:val="Heading6"/>
        <w:rPr>
          <w:lang w:eastAsia="ja-JP"/>
        </w:rPr>
      </w:pPr>
      <w:r w:rsidRPr="00A62DD5">
        <w:rPr>
          <w:lang w:eastAsia="ja-JP"/>
        </w:rPr>
        <w:t>PK Results</w:t>
      </w:r>
      <w:r w:rsidR="00D175FA">
        <w:rPr>
          <w:lang w:eastAsia="ja-JP"/>
        </w:rPr>
        <w:t xml:space="preserve">; </w:t>
      </w:r>
      <w:r w:rsidRPr="00A17FAD">
        <w:t>primary</w:t>
      </w:r>
      <w:r>
        <w:rPr>
          <w:lang w:eastAsia="ja-JP"/>
        </w:rPr>
        <w:t xml:space="preserve"> analysis</w:t>
      </w:r>
    </w:p>
    <w:p w14:paraId="0A15FF5B" w14:textId="77777777" w:rsidR="007C0FDC" w:rsidRPr="00FF4B06" w:rsidRDefault="007C0FDC" w:rsidP="007C0FDC">
      <w:pPr>
        <w:rPr>
          <w:lang w:eastAsia="ja-JP"/>
        </w:rPr>
      </w:pPr>
      <w:r>
        <w:rPr>
          <w:lang w:eastAsia="ja-JP"/>
        </w:rPr>
        <w:t>Overall, the bioequivalence criteria for ABP 501 were met (for both reference products: adalimumab (US) and adalimumab (EU)).</w:t>
      </w:r>
    </w:p>
    <w:p w14:paraId="08F1EEE6" w14:textId="77777777" w:rsidR="007C0FDC" w:rsidRDefault="007C0FDC" w:rsidP="007C0FDC">
      <w:pPr>
        <w:rPr>
          <w:lang w:eastAsia="ja-JP"/>
        </w:rPr>
      </w:pPr>
      <w:r>
        <w:rPr>
          <w:lang w:eastAsia="ja-JP"/>
        </w:rPr>
        <w:t>The c</w:t>
      </w:r>
      <w:r w:rsidRPr="00F412FD">
        <w:rPr>
          <w:lang w:eastAsia="ja-JP"/>
        </w:rPr>
        <w:t>oncentration-time profiles (linear and semi-logarithmic)</w:t>
      </w:r>
      <w:r>
        <w:rPr>
          <w:lang w:eastAsia="ja-JP"/>
        </w:rPr>
        <w:t xml:space="preserve"> comparing ABP 501, adalimumab (US), and adalimumab (EU) are shown in Figure 2.</w:t>
      </w:r>
    </w:p>
    <w:p w14:paraId="4466A0CE" w14:textId="77777777" w:rsidR="007C0FDC" w:rsidRPr="00FF4B06" w:rsidRDefault="007C0FDC" w:rsidP="00A17FAD">
      <w:pPr>
        <w:pStyle w:val="FigureTitle"/>
      </w:pPr>
      <w:r w:rsidRPr="00FF4B06">
        <w:lastRenderedPageBreak/>
        <w:t xml:space="preserve">Figure 2: </w:t>
      </w:r>
      <w:r w:rsidRPr="00A17FAD">
        <w:t>Concentration</w:t>
      </w:r>
      <w:r w:rsidRPr="00FF4B06">
        <w:t>-time profiles (linear and semi-logarithmic) comparing the geometric means (+SD) of each treatment group of ABP 501, adalimumab (US), and adalimumab (EU)</w:t>
      </w:r>
    </w:p>
    <w:p w14:paraId="3033E1F8" w14:textId="77777777" w:rsidR="007C0FDC" w:rsidRPr="00FF4B06" w:rsidRDefault="007C0FDC" w:rsidP="007C0FDC">
      <w:r>
        <w:rPr>
          <w:noProof/>
          <w:lang w:eastAsia="en-AU"/>
        </w:rPr>
        <w:drawing>
          <wp:inline distT="0" distB="0" distL="0" distR="0" wp14:anchorId="4CC5BDC2" wp14:editId="590DA606">
            <wp:extent cx="5728343" cy="2527539"/>
            <wp:effectExtent l="0" t="0" r="5715" b="6350"/>
            <wp:docPr id="4" name="Picture 4" descr="Figure 2: Concentration-time profiles (linear and semi-logarithmic) comparing the geometric means (+SD) of each treatment group of ABP 501, adalimumab (US), and adalimumab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t="3618"/>
                    <a:stretch/>
                  </pic:blipFill>
                  <pic:spPr bwMode="auto">
                    <a:xfrm>
                      <a:off x="0" y="0"/>
                      <a:ext cx="5731510" cy="2528937"/>
                    </a:xfrm>
                    <a:prstGeom prst="rect">
                      <a:avLst/>
                    </a:prstGeom>
                    <a:ln>
                      <a:noFill/>
                    </a:ln>
                    <a:extLst>
                      <a:ext uri="{53640926-AAD7-44D8-BBD7-CCE9431645EC}">
                        <a14:shadowObscured xmlns:a14="http://schemas.microsoft.com/office/drawing/2010/main"/>
                      </a:ext>
                    </a:extLst>
                  </pic:spPr>
                </pic:pic>
              </a:graphicData>
            </a:graphic>
          </wp:inline>
        </w:drawing>
      </w:r>
    </w:p>
    <w:p w14:paraId="5170A67B" w14:textId="77777777" w:rsidR="007C0FDC" w:rsidRDefault="007C0FDC" w:rsidP="007C0FDC">
      <w:r>
        <w:t>Table 5 contains an overview of the main results, namely the c</w:t>
      </w:r>
      <w:r w:rsidRPr="00036F88">
        <w:t>omparison of geometric mean pharmacokinetic parameter ratios (C</w:t>
      </w:r>
      <w:r w:rsidRPr="00036F88">
        <w:rPr>
          <w:vertAlign w:val="subscript"/>
        </w:rPr>
        <w:t>max</w:t>
      </w:r>
      <w:r w:rsidRPr="00036F88">
        <w:t>, AUC</w:t>
      </w:r>
      <w:r w:rsidRPr="00036F88">
        <w:rPr>
          <w:vertAlign w:val="subscript"/>
        </w:rPr>
        <w:t>inf</w:t>
      </w:r>
      <w:r w:rsidRPr="00036F88">
        <w:t xml:space="preserve">, </w:t>
      </w:r>
      <w:proofErr w:type="gramStart"/>
      <w:r w:rsidRPr="00036F88">
        <w:t>AUC</w:t>
      </w:r>
      <w:r w:rsidRPr="00036F88">
        <w:rPr>
          <w:vertAlign w:val="subscript"/>
        </w:rPr>
        <w:t>last</w:t>
      </w:r>
      <w:proofErr w:type="gramEnd"/>
      <w:r w:rsidRPr="00036F88">
        <w:t xml:space="preserve">) and corresponding 90% CIs for </w:t>
      </w:r>
      <w:r>
        <w:t>the primary analysis.</w:t>
      </w:r>
    </w:p>
    <w:p w14:paraId="69AFB025" w14:textId="77777777" w:rsidR="007C0FDC" w:rsidRPr="004C5DE7" w:rsidRDefault="007C0FDC" w:rsidP="00A17FAD">
      <w:pPr>
        <w:pStyle w:val="Tabletitle"/>
      </w:pPr>
      <w:bookmarkStart w:id="59" w:name="_Ref456689104"/>
      <w:bookmarkStart w:id="60" w:name="_Toc471285596"/>
      <w:r w:rsidRPr="00B65C24">
        <w:t>Table</w:t>
      </w:r>
      <w:r>
        <w:t xml:space="preserve"> 5:</w:t>
      </w:r>
      <w:bookmarkEnd w:id="59"/>
      <w:r w:rsidRPr="00B65C24">
        <w:t xml:space="preserve"> Study 20110217: Comparison of geometric mean pharmacokinetic parameter ratios (C</w:t>
      </w:r>
      <w:r w:rsidRPr="00B65C24">
        <w:rPr>
          <w:vertAlign w:val="subscript"/>
        </w:rPr>
        <w:t>max</w:t>
      </w:r>
      <w:r w:rsidRPr="00B65C24">
        <w:t>,</w:t>
      </w:r>
      <w:r w:rsidRPr="004C5DE7">
        <w:t xml:space="preserve"> AUC</w:t>
      </w:r>
      <w:r w:rsidRPr="004C5DE7">
        <w:rPr>
          <w:vertAlign w:val="subscript"/>
        </w:rPr>
        <w:t>inf</w:t>
      </w:r>
      <w:r w:rsidRPr="004C5DE7">
        <w:t xml:space="preserve">, </w:t>
      </w:r>
      <w:proofErr w:type="gramStart"/>
      <w:r w:rsidRPr="004C5DE7">
        <w:t>AUC</w:t>
      </w:r>
      <w:r w:rsidRPr="004C5DE7">
        <w:rPr>
          <w:vertAlign w:val="subscript"/>
        </w:rPr>
        <w:t>last</w:t>
      </w:r>
      <w:proofErr w:type="gramEnd"/>
      <w:r w:rsidRPr="004C5DE7">
        <w:t xml:space="preserve">) </w:t>
      </w:r>
      <w:r>
        <w:t>and corresponding 90% CIs in the primary analysis.</w:t>
      </w:r>
      <w:bookmarkEnd w:id="60"/>
    </w:p>
    <w:tbl>
      <w:tblPr>
        <w:tblStyle w:val="TableTGAblue"/>
        <w:tblW w:w="9180" w:type="dxa"/>
        <w:tblLook w:val="04A0" w:firstRow="1" w:lastRow="0" w:firstColumn="1" w:lastColumn="0" w:noHBand="0" w:noVBand="1"/>
      </w:tblPr>
      <w:tblGrid>
        <w:gridCol w:w="2235"/>
        <w:gridCol w:w="3402"/>
        <w:gridCol w:w="3543"/>
      </w:tblGrid>
      <w:tr w:rsidR="007C0FDC" w:rsidRPr="008B1F30" w14:paraId="0CDDD44C" w14:textId="77777777" w:rsidTr="002E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4057820" w14:textId="77777777" w:rsidR="007C0FDC" w:rsidRPr="008B1F30" w:rsidRDefault="007C0FDC" w:rsidP="002E64CE">
            <w:pPr>
              <w:ind w:left="0"/>
              <w:jc w:val="center"/>
              <w:rPr>
                <w:sz w:val="20"/>
                <w:szCs w:val="20"/>
              </w:rPr>
            </w:pPr>
            <w:r w:rsidRPr="008B1F30">
              <w:rPr>
                <w:sz w:val="20"/>
                <w:szCs w:val="20"/>
              </w:rPr>
              <w:t>Ratio</w:t>
            </w:r>
          </w:p>
        </w:tc>
        <w:tc>
          <w:tcPr>
            <w:tcW w:w="3402" w:type="dxa"/>
          </w:tcPr>
          <w:p w14:paraId="30DE20B1"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ABP 501 vs adalimumab (US)</w:t>
            </w:r>
          </w:p>
        </w:tc>
        <w:tc>
          <w:tcPr>
            <w:tcW w:w="3543" w:type="dxa"/>
          </w:tcPr>
          <w:p w14:paraId="54990190"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ABP 501 vs adalimumab (EU)</w:t>
            </w:r>
          </w:p>
        </w:tc>
      </w:tr>
      <w:tr w:rsidR="007C0FDC" w:rsidRPr="008B1F30" w14:paraId="272A7D8F" w14:textId="77777777" w:rsidTr="002E64CE">
        <w:tc>
          <w:tcPr>
            <w:cnfStyle w:val="001000000000" w:firstRow="0" w:lastRow="0" w:firstColumn="1" w:lastColumn="0" w:oddVBand="0" w:evenVBand="0" w:oddHBand="0" w:evenHBand="0" w:firstRowFirstColumn="0" w:firstRowLastColumn="0" w:lastRowFirstColumn="0" w:lastRowLastColumn="0"/>
            <w:tcW w:w="2235" w:type="dxa"/>
          </w:tcPr>
          <w:p w14:paraId="35261910" w14:textId="77777777" w:rsidR="007C0FDC" w:rsidRPr="008B1F30" w:rsidRDefault="007C0FDC" w:rsidP="002E64CE">
            <w:pPr>
              <w:ind w:left="0"/>
              <w:jc w:val="center"/>
              <w:rPr>
                <w:sz w:val="20"/>
                <w:szCs w:val="20"/>
              </w:rPr>
            </w:pPr>
            <w:r w:rsidRPr="008B1F30">
              <w:rPr>
                <w:sz w:val="20"/>
                <w:szCs w:val="20"/>
              </w:rPr>
              <w:t>C</w:t>
            </w:r>
            <w:r w:rsidRPr="008B1F30">
              <w:rPr>
                <w:sz w:val="20"/>
                <w:szCs w:val="20"/>
                <w:vertAlign w:val="subscript"/>
              </w:rPr>
              <w:t>max</w:t>
            </w:r>
            <w:r w:rsidRPr="008B1F30">
              <w:rPr>
                <w:sz w:val="20"/>
                <w:szCs w:val="20"/>
              </w:rPr>
              <w:t xml:space="preserve"> ratio</w:t>
            </w:r>
          </w:p>
        </w:tc>
        <w:tc>
          <w:tcPr>
            <w:tcW w:w="3402" w:type="dxa"/>
          </w:tcPr>
          <w:p w14:paraId="119C5029" w14:textId="77777777" w:rsidR="007C0FDC" w:rsidRPr="00981A71" w:rsidRDefault="007C0FDC" w:rsidP="00533472">
            <w:pPr>
              <w:cnfStyle w:val="000000000000" w:firstRow="0" w:lastRow="0" w:firstColumn="0" w:lastColumn="0" w:oddVBand="0" w:evenVBand="0" w:oddHBand="0" w:evenHBand="0" w:firstRowFirstColumn="0" w:firstRowLastColumn="0" w:lastRowFirstColumn="0" w:lastRowLastColumn="0"/>
            </w:pPr>
            <w:r w:rsidRPr="00D175FA">
              <w:t>1.04 (0.964, 1.12)</w:t>
            </w:r>
          </w:p>
        </w:tc>
        <w:tc>
          <w:tcPr>
            <w:tcW w:w="3543" w:type="dxa"/>
          </w:tcPr>
          <w:p w14:paraId="34BBE41A" w14:textId="77777777" w:rsidR="007C0FDC" w:rsidRPr="002942EA" w:rsidRDefault="007C0FDC" w:rsidP="00533472">
            <w:pPr>
              <w:cnfStyle w:val="000000000000" w:firstRow="0" w:lastRow="0" w:firstColumn="0" w:lastColumn="0" w:oddVBand="0" w:evenVBand="0" w:oddHBand="0" w:evenHBand="0" w:firstRowFirstColumn="0" w:firstRowLastColumn="0" w:lastRowFirstColumn="0" w:lastRowLastColumn="0"/>
            </w:pPr>
            <w:r w:rsidRPr="002942EA">
              <w:t>0.96 (0.889, 1.03)</w:t>
            </w:r>
          </w:p>
        </w:tc>
      </w:tr>
      <w:tr w:rsidR="007C0FDC" w:rsidRPr="008B1F30" w14:paraId="1EC4F34A" w14:textId="77777777" w:rsidTr="002E64CE">
        <w:tc>
          <w:tcPr>
            <w:cnfStyle w:val="001000000000" w:firstRow="0" w:lastRow="0" w:firstColumn="1" w:lastColumn="0" w:oddVBand="0" w:evenVBand="0" w:oddHBand="0" w:evenHBand="0" w:firstRowFirstColumn="0" w:firstRowLastColumn="0" w:lastRowFirstColumn="0" w:lastRowLastColumn="0"/>
            <w:tcW w:w="2235" w:type="dxa"/>
          </w:tcPr>
          <w:p w14:paraId="241F8EB3" w14:textId="77777777" w:rsidR="007C0FDC" w:rsidRPr="008B1F30" w:rsidRDefault="007C0FDC" w:rsidP="002E64CE">
            <w:pPr>
              <w:ind w:left="0"/>
              <w:jc w:val="center"/>
              <w:rPr>
                <w:sz w:val="20"/>
                <w:szCs w:val="20"/>
              </w:rPr>
            </w:pPr>
            <w:r w:rsidRPr="008B1F30">
              <w:rPr>
                <w:sz w:val="20"/>
                <w:szCs w:val="20"/>
              </w:rPr>
              <w:t>AUC</w:t>
            </w:r>
            <w:r w:rsidRPr="008B1F30">
              <w:rPr>
                <w:sz w:val="20"/>
                <w:szCs w:val="20"/>
                <w:vertAlign w:val="subscript"/>
              </w:rPr>
              <w:t>inf</w:t>
            </w:r>
            <w:r w:rsidRPr="008B1F30">
              <w:rPr>
                <w:sz w:val="20"/>
                <w:szCs w:val="20"/>
              </w:rPr>
              <w:t xml:space="preserve"> ratio</w:t>
            </w:r>
          </w:p>
        </w:tc>
        <w:tc>
          <w:tcPr>
            <w:tcW w:w="3402" w:type="dxa"/>
          </w:tcPr>
          <w:p w14:paraId="69B221E5" w14:textId="77777777" w:rsidR="007C0FDC" w:rsidRPr="00981A71" w:rsidRDefault="007C0FDC" w:rsidP="00533472">
            <w:pPr>
              <w:cnfStyle w:val="000000000000" w:firstRow="0" w:lastRow="0" w:firstColumn="0" w:lastColumn="0" w:oddVBand="0" w:evenVBand="0" w:oddHBand="0" w:evenHBand="0" w:firstRowFirstColumn="0" w:firstRowLastColumn="0" w:lastRowFirstColumn="0" w:lastRowLastColumn="0"/>
            </w:pPr>
            <w:r w:rsidRPr="00D175FA">
              <w:t>1.11 (1.00, 1.24)</w:t>
            </w:r>
          </w:p>
        </w:tc>
        <w:tc>
          <w:tcPr>
            <w:tcW w:w="3543" w:type="dxa"/>
          </w:tcPr>
          <w:p w14:paraId="71CB4939" w14:textId="77777777" w:rsidR="007C0FDC" w:rsidRPr="002942EA" w:rsidRDefault="007C0FDC" w:rsidP="00533472">
            <w:pPr>
              <w:cnfStyle w:val="000000000000" w:firstRow="0" w:lastRow="0" w:firstColumn="0" w:lastColumn="0" w:oddVBand="0" w:evenVBand="0" w:oddHBand="0" w:evenHBand="0" w:firstRowFirstColumn="0" w:firstRowLastColumn="0" w:lastRowFirstColumn="0" w:lastRowLastColumn="0"/>
            </w:pPr>
            <w:r w:rsidRPr="002942EA">
              <w:t>1.04 (0.935, 1.17)</w:t>
            </w:r>
          </w:p>
        </w:tc>
      </w:tr>
      <w:tr w:rsidR="007C0FDC" w:rsidRPr="008B1F30" w14:paraId="7187FC2A" w14:textId="77777777" w:rsidTr="002E64CE">
        <w:tc>
          <w:tcPr>
            <w:cnfStyle w:val="001000000000" w:firstRow="0" w:lastRow="0" w:firstColumn="1" w:lastColumn="0" w:oddVBand="0" w:evenVBand="0" w:oddHBand="0" w:evenHBand="0" w:firstRowFirstColumn="0" w:firstRowLastColumn="0" w:lastRowFirstColumn="0" w:lastRowLastColumn="0"/>
            <w:tcW w:w="2235" w:type="dxa"/>
          </w:tcPr>
          <w:p w14:paraId="04B620CC" w14:textId="77777777" w:rsidR="007C0FDC" w:rsidRPr="008B1F30" w:rsidRDefault="007C0FDC" w:rsidP="002E64CE">
            <w:pPr>
              <w:ind w:left="0"/>
              <w:jc w:val="center"/>
              <w:rPr>
                <w:sz w:val="20"/>
                <w:szCs w:val="20"/>
              </w:rPr>
            </w:pPr>
            <w:r w:rsidRPr="008B1F30">
              <w:rPr>
                <w:sz w:val="20"/>
                <w:szCs w:val="20"/>
              </w:rPr>
              <w:t>AUC</w:t>
            </w:r>
            <w:r w:rsidRPr="008B1F30">
              <w:rPr>
                <w:sz w:val="20"/>
                <w:szCs w:val="20"/>
                <w:vertAlign w:val="subscript"/>
              </w:rPr>
              <w:t>last</w:t>
            </w:r>
            <w:r w:rsidRPr="008B1F30">
              <w:rPr>
                <w:sz w:val="20"/>
                <w:szCs w:val="20"/>
              </w:rPr>
              <w:t xml:space="preserve"> ratio</w:t>
            </w:r>
          </w:p>
        </w:tc>
        <w:tc>
          <w:tcPr>
            <w:tcW w:w="3402" w:type="dxa"/>
          </w:tcPr>
          <w:p w14:paraId="5A14ED74" w14:textId="77777777" w:rsidR="007C0FDC" w:rsidRPr="00981A71" w:rsidRDefault="007C0FDC" w:rsidP="00533472">
            <w:pPr>
              <w:cnfStyle w:val="000000000000" w:firstRow="0" w:lastRow="0" w:firstColumn="0" w:lastColumn="0" w:oddVBand="0" w:evenVBand="0" w:oddHBand="0" w:evenHBand="0" w:firstRowFirstColumn="0" w:firstRowLastColumn="0" w:lastRowFirstColumn="0" w:lastRowLastColumn="0"/>
            </w:pPr>
            <w:r w:rsidRPr="00D175FA">
              <w:t>1.07 (0.964, 1.18)</w:t>
            </w:r>
          </w:p>
        </w:tc>
        <w:tc>
          <w:tcPr>
            <w:tcW w:w="3543" w:type="dxa"/>
          </w:tcPr>
          <w:p w14:paraId="6FE64F95" w14:textId="77777777" w:rsidR="007C0FDC" w:rsidRPr="002942EA" w:rsidRDefault="007C0FDC" w:rsidP="00533472">
            <w:pPr>
              <w:cnfStyle w:val="000000000000" w:firstRow="0" w:lastRow="0" w:firstColumn="0" w:lastColumn="0" w:oddVBand="0" w:evenVBand="0" w:oddHBand="0" w:evenHBand="0" w:firstRowFirstColumn="0" w:firstRowLastColumn="0" w:lastRowFirstColumn="0" w:lastRowLastColumn="0"/>
            </w:pPr>
            <w:r w:rsidRPr="002942EA">
              <w:t>1.07 (0.964, 1.18)</w:t>
            </w:r>
          </w:p>
        </w:tc>
      </w:tr>
    </w:tbl>
    <w:p w14:paraId="08E1CCF9" w14:textId="77777777" w:rsidR="007C0FDC" w:rsidRPr="00BB6F2A" w:rsidRDefault="007C0FDC" w:rsidP="007C0FDC">
      <w:pPr>
        <w:rPr>
          <w:b/>
          <w:noProof/>
        </w:rPr>
      </w:pPr>
      <w:r w:rsidRPr="00BB6F2A">
        <w:t>When comparing ABP 501 to adalimumab (US), C</w:t>
      </w:r>
      <w:r w:rsidRPr="00BB6F2A">
        <w:rPr>
          <w:vertAlign w:val="subscript"/>
        </w:rPr>
        <w:t>max</w:t>
      </w:r>
      <w:r w:rsidRPr="00BB6F2A">
        <w:t>, AUC</w:t>
      </w:r>
      <w:r w:rsidRPr="00BB6F2A">
        <w:rPr>
          <w:vertAlign w:val="subscript"/>
        </w:rPr>
        <w:t>inf</w:t>
      </w:r>
      <w:r w:rsidRPr="00BB6F2A">
        <w:t>, AUC</w:t>
      </w:r>
      <w:r w:rsidRPr="00BB6F2A">
        <w:rPr>
          <w:vertAlign w:val="subscript"/>
        </w:rPr>
        <w:t>last</w:t>
      </w:r>
      <w:r w:rsidRPr="00BB6F2A">
        <w:t xml:space="preserve"> were, on average, 3%, 7%, and 3% higher respectively, in ABP 501 subjects. When comparing ABP 501 to adalimumab (EU), C</w:t>
      </w:r>
      <w:r w:rsidRPr="00BB6F2A">
        <w:rPr>
          <w:vertAlign w:val="subscript"/>
        </w:rPr>
        <w:t>max</w:t>
      </w:r>
      <w:r w:rsidRPr="00BB6F2A">
        <w:t>, AUC</w:t>
      </w:r>
      <w:r w:rsidRPr="00BB6F2A">
        <w:rPr>
          <w:vertAlign w:val="subscript"/>
        </w:rPr>
        <w:t>inf</w:t>
      </w:r>
      <w:r w:rsidRPr="00BB6F2A">
        <w:t>, AUC</w:t>
      </w:r>
      <w:r w:rsidRPr="00BB6F2A">
        <w:rPr>
          <w:vertAlign w:val="subscript"/>
        </w:rPr>
        <w:t>last</w:t>
      </w:r>
      <w:r w:rsidRPr="00BB6F2A">
        <w:t xml:space="preserve"> were, on average, 4% lower, 9% higher, and 3% higher respectively, in ABP 501 subjects.</w:t>
      </w:r>
    </w:p>
    <w:p w14:paraId="59812DB8" w14:textId="77777777" w:rsidR="007C0FDC" w:rsidRPr="00FF4B06" w:rsidRDefault="007C0FDC" w:rsidP="007C0FDC">
      <w:r>
        <w:t>The AUC</w:t>
      </w:r>
      <w:r w:rsidRPr="003D73AF">
        <w:rPr>
          <w:vertAlign w:val="subscript"/>
        </w:rPr>
        <w:t>inf</w:t>
      </w:r>
      <w:r>
        <w:t xml:space="preserve"> ratio 90% CIs (for ABP 501 vs Adalimumab (US) and ABP 501 vs Adalimumab (EU) were contained by the accepted CI range (0.8 to 1.25) in the whole </w:t>
      </w:r>
      <w:r w:rsidRPr="00EB29C5">
        <w:t>PK Parameter Population</w:t>
      </w:r>
      <w:bookmarkStart w:id="61" w:name="_Ref456008103"/>
      <w:r>
        <w:t xml:space="preserve">. </w:t>
      </w:r>
      <w:bookmarkEnd w:id="61"/>
      <w:r w:rsidRPr="00FF4B06">
        <w:t>This satisfies the requirement for bioequivalence.</w:t>
      </w:r>
    </w:p>
    <w:p w14:paraId="4BC3CDB3" w14:textId="77777777" w:rsidR="007C0FDC" w:rsidRDefault="007C0FDC" w:rsidP="007C0FDC">
      <w:proofErr w:type="spellStart"/>
      <w:r w:rsidRPr="00181BBA">
        <w:t>GeoCV</w:t>
      </w:r>
      <w:proofErr w:type="spellEnd"/>
      <w:r w:rsidRPr="00181BBA">
        <w:t xml:space="preserve">% values were </w:t>
      </w:r>
      <w:r>
        <w:t xml:space="preserve">calculated for </w:t>
      </w:r>
      <w:r w:rsidRPr="00036F88">
        <w:t>C</w:t>
      </w:r>
      <w:r w:rsidRPr="00036F88">
        <w:rPr>
          <w:vertAlign w:val="subscript"/>
        </w:rPr>
        <w:t>max</w:t>
      </w:r>
      <w:r w:rsidRPr="00036F88">
        <w:t>, AUC</w:t>
      </w:r>
      <w:r w:rsidRPr="00036F88">
        <w:rPr>
          <w:vertAlign w:val="subscript"/>
        </w:rPr>
        <w:t>inf</w:t>
      </w:r>
      <w:r w:rsidRPr="00036F88">
        <w:t xml:space="preserve">, </w:t>
      </w:r>
      <w:proofErr w:type="gramStart"/>
      <w:r w:rsidRPr="00036F88">
        <w:t>AUC</w:t>
      </w:r>
      <w:r w:rsidRPr="00036F88">
        <w:rPr>
          <w:vertAlign w:val="subscript"/>
        </w:rPr>
        <w:t>last</w:t>
      </w:r>
      <w:proofErr w:type="gramEnd"/>
      <w:r>
        <w:t xml:space="preserve">. They were </w:t>
      </w:r>
      <w:r w:rsidRPr="00181BBA">
        <w:t>above 30%</w:t>
      </w:r>
      <w:r>
        <w:t xml:space="preserve"> (range </w:t>
      </w:r>
      <w:r w:rsidRPr="00181BBA">
        <w:t>30.2</w:t>
      </w:r>
      <w:r>
        <w:t>%</w:t>
      </w:r>
      <w:r w:rsidRPr="00181BBA">
        <w:t xml:space="preserve"> to 41.7</w:t>
      </w:r>
      <w:r>
        <w:t>%) in all groups (ABP 501, adalimumab (EU), adalimumab (US).</w:t>
      </w:r>
    </w:p>
    <w:p w14:paraId="31B72E69" w14:textId="04866361" w:rsidR="007C0FDC" w:rsidRDefault="00A17FAD" w:rsidP="007C0FDC">
      <w:pPr>
        <w:pStyle w:val="Heading6"/>
        <w:rPr>
          <w:lang w:eastAsia="ja-JP"/>
        </w:rPr>
      </w:pPr>
      <w:r>
        <w:rPr>
          <w:lang w:eastAsia="ja-JP"/>
        </w:rPr>
        <w:t>PK r</w:t>
      </w:r>
      <w:r w:rsidR="007C0FDC" w:rsidRPr="00A62DD5">
        <w:rPr>
          <w:lang w:eastAsia="ja-JP"/>
        </w:rPr>
        <w:t>esults</w:t>
      </w:r>
      <w:r w:rsidR="007C0FDC">
        <w:rPr>
          <w:lang w:eastAsia="ja-JP"/>
        </w:rPr>
        <w:t xml:space="preserve"> – </w:t>
      </w:r>
      <w:r w:rsidR="007C0FDC" w:rsidRPr="00FF4B06">
        <w:t>subgroup</w:t>
      </w:r>
      <w:r w:rsidR="007C0FDC">
        <w:rPr>
          <w:lang w:eastAsia="ja-JP"/>
        </w:rPr>
        <w:t xml:space="preserve"> analyses</w:t>
      </w:r>
    </w:p>
    <w:p w14:paraId="5B7C3893" w14:textId="77777777" w:rsidR="007C0FDC" w:rsidRDefault="007C0FDC" w:rsidP="007C0FDC">
      <w:r>
        <w:t>Some planned subgroup analyses were not performed, as there were no outliers</w:t>
      </w:r>
      <w:r w:rsidRPr="0053313F">
        <w:t xml:space="preserve"> </w:t>
      </w:r>
      <w:r>
        <w:t xml:space="preserve">and </w:t>
      </w:r>
      <w:r w:rsidRPr="00D77850">
        <w:t>the Per-protocol PK Parameter Population matched the general population</w:t>
      </w:r>
      <w:r w:rsidRPr="00531E18">
        <w:t xml:space="preserve"> </w:t>
      </w:r>
      <w:r>
        <w:t xml:space="preserve">(as per sponsor Table </w:t>
      </w:r>
      <w:r w:rsidRPr="00F17499">
        <w:t>14.1.3</w:t>
      </w:r>
      <w:r w:rsidR="00981A71">
        <w:t xml:space="preserve"> [not included here]</w:t>
      </w:r>
      <w:r w:rsidRPr="00D77850">
        <w:t xml:space="preserve">). </w:t>
      </w:r>
      <w:r>
        <w:t xml:space="preserve">Furthermore, analysis by region was used in the primary analysis. </w:t>
      </w:r>
      <w:r w:rsidRPr="00D77850">
        <w:t>Consequently, no analyses were conducted for those subgroups.</w:t>
      </w:r>
    </w:p>
    <w:p w14:paraId="479355B7" w14:textId="5548D6C8" w:rsidR="007C0FDC" w:rsidRPr="004C5DE7" w:rsidRDefault="007C0FDC" w:rsidP="00E34BE1">
      <w:pPr>
        <w:pStyle w:val="Tabletitle"/>
      </w:pPr>
      <w:bookmarkStart w:id="62" w:name="_Ref455583784"/>
      <w:bookmarkStart w:id="63" w:name="_Ref456174810"/>
      <w:bookmarkStart w:id="64" w:name="_Toc471285597"/>
      <w:r w:rsidRPr="004C5DE7">
        <w:lastRenderedPageBreak/>
        <w:t xml:space="preserve">Table </w:t>
      </w:r>
      <w:r>
        <w:t>6:</w:t>
      </w:r>
      <w:bookmarkEnd w:id="62"/>
      <w:r w:rsidRPr="004C5DE7">
        <w:t xml:space="preserve"> Study 20110217: </w:t>
      </w:r>
      <w:r>
        <w:t>Comparison</w:t>
      </w:r>
      <w:r w:rsidRPr="004C5DE7">
        <w:t xml:space="preserve"> of </w:t>
      </w:r>
      <w:r>
        <w:t xml:space="preserve">geometric mean </w:t>
      </w:r>
      <w:r w:rsidRPr="004C5DE7">
        <w:t>pharmacokinetic parameter ratios (</w:t>
      </w:r>
      <w:proofErr w:type="spellStart"/>
      <w:r w:rsidRPr="004C5DE7">
        <w:t>C</w:t>
      </w:r>
      <w:r w:rsidRPr="004C5DE7">
        <w:rPr>
          <w:vertAlign w:val="subscript"/>
        </w:rPr>
        <w:t>max</w:t>
      </w:r>
      <w:proofErr w:type="spellEnd"/>
      <w:r w:rsidRPr="004C5DE7">
        <w:t xml:space="preserve">, </w:t>
      </w:r>
      <w:proofErr w:type="spellStart"/>
      <w:r w:rsidRPr="004C5DE7">
        <w:t>AUC</w:t>
      </w:r>
      <w:r w:rsidRPr="004C5DE7">
        <w:rPr>
          <w:vertAlign w:val="subscript"/>
        </w:rPr>
        <w:t>inf</w:t>
      </w:r>
      <w:proofErr w:type="spellEnd"/>
      <w:r w:rsidRPr="004C5DE7">
        <w:t xml:space="preserve">, </w:t>
      </w:r>
      <w:proofErr w:type="spellStart"/>
      <w:r w:rsidRPr="00E34BE1">
        <w:t>AUClast</w:t>
      </w:r>
      <w:proofErr w:type="spellEnd"/>
      <w:r w:rsidRPr="004C5DE7">
        <w:t xml:space="preserve">) </w:t>
      </w:r>
      <w:r>
        <w:t>and corresponding 90% CIs in subgroup analyses</w:t>
      </w:r>
      <w:r w:rsidRPr="004C5DE7">
        <w:t xml:space="preserve"> (protein content adjustment, </w:t>
      </w:r>
      <w:r>
        <w:t>a</w:t>
      </w:r>
      <w:r w:rsidRPr="004C5DE7">
        <w:t>ntibody status)</w:t>
      </w:r>
      <w:bookmarkEnd w:id="63"/>
      <w:bookmarkEnd w:id="64"/>
    </w:p>
    <w:tbl>
      <w:tblPr>
        <w:tblStyle w:val="TableTGAblue"/>
        <w:tblW w:w="9322" w:type="dxa"/>
        <w:tblLook w:val="04A0" w:firstRow="1" w:lastRow="0" w:firstColumn="1" w:lastColumn="0" w:noHBand="0" w:noVBand="1"/>
      </w:tblPr>
      <w:tblGrid>
        <w:gridCol w:w="1843"/>
        <w:gridCol w:w="959"/>
        <w:gridCol w:w="2243"/>
        <w:gridCol w:w="2127"/>
        <w:gridCol w:w="2150"/>
      </w:tblGrid>
      <w:tr w:rsidR="007C0FDC" w:rsidRPr="008B1F30" w14:paraId="23058A33" w14:textId="77777777" w:rsidTr="002E64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A4C200C" w14:textId="77777777" w:rsidR="007C0FDC" w:rsidRPr="008B1F30" w:rsidRDefault="007C0FDC" w:rsidP="002E64CE">
            <w:pPr>
              <w:ind w:left="0"/>
              <w:jc w:val="center"/>
              <w:rPr>
                <w:sz w:val="20"/>
                <w:szCs w:val="20"/>
              </w:rPr>
            </w:pPr>
            <w:r w:rsidRPr="008B1F30">
              <w:rPr>
                <w:sz w:val="20"/>
                <w:szCs w:val="20"/>
              </w:rPr>
              <w:t>Adjustment for protein content</w:t>
            </w:r>
          </w:p>
        </w:tc>
        <w:tc>
          <w:tcPr>
            <w:tcW w:w="959" w:type="dxa"/>
          </w:tcPr>
          <w:p w14:paraId="55767301"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Ratio</w:t>
            </w:r>
          </w:p>
        </w:tc>
        <w:tc>
          <w:tcPr>
            <w:tcW w:w="2243" w:type="dxa"/>
          </w:tcPr>
          <w:p w14:paraId="3C26D6F0"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Antibody status</w:t>
            </w:r>
          </w:p>
        </w:tc>
        <w:tc>
          <w:tcPr>
            <w:tcW w:w="2127" w:type="dxa"/>
          </w:tcPr>
          <w:p w14:paraId="39108C68"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ABP 501 vs adalimumab (US)</w:t>
            </w:r>
          </w:p>
        </w:tc>
        <w:tc>
          <w:tcPr>
            <w:tcW w:w="2150" w:type="dxa"/>
          </w:tcPr>
          <w:p w14:paraId="4AE735BE" w14:textId="77777777" w:rsidR="007C0FDC" w:rsidRPr="008B1F30" w:rsidRDefault="007C0FDC" w:rsidP="002E64CE">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8B1F30">
              <w:rPr>
                <w:sz w:val="20"/>
                <w:szCs w:val="20"/>
              </w:rPr>
              <w:t>ABP 501 vs adalimumab (EU)</w:t>
            </w:r>
          </w:p>
        </w:tc>
      </w:tr>
      <w:tr w:rsidR="007C0FDC" w:rsidRPr="008B1F30" w14:paraId="07E3F4A6"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val="restart"/>
          </w:tcPr>
          <w:p w14:paraId="269387A4" w14:textId="77777777" w:rsidR="007C0FDC" w:rsidRPr="008B1F30" w:rsidRDefault="007C0FDC" w:rsidP="002E64CE">
            <w:pPr>
              <w:ind w:left="0"/>
              <w:rPr>
                <w:sz w:val="20"/>
                <w:szCs w:val="20"/>
              </w:rPr>
            </w:pPr>
            <w:r w:rsidRPr="008B1F30">
              <w:rPr>
                <w:sz w:val="20"/>
                <w:szCs w:val="20"/>
              </w:rPr>
              <w:t>Unadjusted for protein content</w:t>
            </w:r>
          </w:p>
        </w:tc>
        <w:tc>
          <w:tcPr>
            <w:tcW w:w="959" w:type="dxa"/>
            <w:vMerge w:val="restart"/>
          </w:tcPr>
          <w:p w14:paraId="04C77280"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C</w:t>
            </w:r>
            <w:r w:rsidRPr="008B1F30">
              <w:rPr>
                <w:sz w:val="20"/>
                <w:szCs w:val="20"/>
                <w:vertAlign w:val="subscript"/>
              </w:rPr>
              <w:t>max</w:t>
            </w:r>
            <w:r w:rsidRPr="008B1F30">
              <w:rPr>
                <w:sz w:val="20"/>
                <w:szCs w:val="20"/>
              </w:rPr>
              <w:t xml:space="preserve"> ratio</w:t>
            </w:r>
          </w:p>
        </w:tc>
        <w:tc>
          <w:tcPr>
            <w:tcW w:w="2243" w:type="dxa"/>
          </w:tcPr>
          <w:p w14:paraId="72805CC2"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All subjects</w:t>
            </w:r>
          </w:p>
        </w:tc>
        <w:tc>
          <w:tcPr>
            <w:tcW w:w="2127" w:type="dxa"/>
          </w:tcPr>
          <w:p w14:paraId="41736A86"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1.04 (0.964, 1.12)</w:t>
            </w:r>
          </w:p>
        </w:tc>
        <w:tc>
          <w:tcPr>
            <w:tcW w:w="2150" w:type="dxa"/>
          </w:tcPr>
          <w:p w14:paraId="03CA6DD3"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0.96 (0.889, 1.03)</w:t>
            </w:r>
          </w:p>
        </w:tc>
      </w:tr>
      <w:tr w:rsidR="007C0FDC" w:rsidRPr="008B1F30" w14:paraId="23902216"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tcPr>
          <w:p w14:paraId="4F2D323C" w14:textId="77777777" w:rsidR="007C0FDC" w:rsidRPr="008B1F30" w:rsidRDefault="007C0FDC" w:rsidP="002E64CE">
            <w:pPr>
              <w:ind w:left="0"/>
              <w:rPr>
                <w:sz w:val="20"/>
                <w:szCs w:val="20"/>
              </w:rPr>
            </w:pPr>
          </w:p>
        </w:tc>
        <w:tc>
          <w:tcPr>
            <w:tcW w:w="959" w:type="dxa"/>
            <w:vMerge/>
          </w:tcPr>
          <w:p w14:paraId="13ED0EE7"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tcPr>
          <w:p w14:paraId="08616500"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Ab negative subjects</w:t>
            </w:r>
          </w:p>
        </w:tc>
        <w:tc>
          <w:tcPr>
            <w:tcW w:w="2127" w:type="dxa"/>
          </w:tcPr>
          <w:p w14:paraId="1B6C6381"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1.05 (0.947, 1.16)</w:t>
            </w:r>
          </w:p>
        </w:tc>
        <w:tc>
          <w:tcPr>
            <w:tcW w:w="2150" w:type="dxa"/>
          </w:tcPr>
          <w:p w14:paraId="28320FAD"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0.98 (0.875, 1.09)</w:t>
            </w:r>
          </w:p>
        </w:tc>
      </w:tr>
      <w:tr w:rsidR="007C0FDC" w:rsidRPr="008B1F30" w14:paraId="204D99EE"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tcPr>
          <w:p w14:paraId="6B786F58" w14:textId="77777777" w:rsidR="007C0FDC" w:rsidRPr="008B1F30" w:rsidRDefault="007C0FDC" w:rsidP="002E64CE">
            <w:pPr>
              <w:ind w:left="0"/>
              <w:rPr>
                <w:sz w:val="20"/>
                <w:szCs w:val="20"/>
              </w:rPr>
            </w:pPr>
          </w:p>
        </w:tc>
        <w:tc>
          <w:tcPr>
            <w:tcW w:w="959" w:type="dxa"/>
            <w:vMerge w:val="restart"/>
          </w:tcPr>
          <w:p w14:paraId="06547C82"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AUC</w:t>
            </w:r>
            <w:r w:rsidRPr="008B1F30">
              <w:rPr>
                <w:sz w:val="20"/>
                <w:szCs w:val="20"/>
                <w:vertAlign w:val="subscript"/>
              </w:rPr>
              <w:t>inf</w:t>
            </w:r>
            <w:r w:rsidRPr="008B1F30">
              <w:rPr>
                <w:sz w:val="20"/>
                <w:szCs w:val="20"/>
              </w:rPr>
              <w:t xml:space="preserve"> ratio</w:t>
            </w:r>
          </w:p>
        </w:tc>
        <w:tc>
          <w:tcPr>
            <w:tcW w:w="2243" w:type="dxa"/>
          </w:tcPr>
          <w:p w14:paraId="72392C50"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All subjects</w:t>
            </w:r>
          </w:p>
        </w:tc>
        <w:tc>
          <w:tcPr>
            <w:tcW w:w="2127" w:type="dxa"/>
          </w:tcPr>
          <w:p w14:paraId="1665F5E5"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1.11 (1.00, 1.24)</w:t>
            </w:r>
          </w:p>
        </w:tc>
        <w:tc>
          <w:tcPr>
            <w:tcW w:w="2150" w:type="dxa"/>
          </w:tcPr>
          <w:p w14:paraId="60971D58"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1.04 (0.935, 1.17)</w:t>
            </w:r>
          </w:p>
        </w:tc>
      </w:tr>
      <w:tr w:rsidR="007C0FDC" w:rsidRPr="008B1F30" w14:paraId="2F335569"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tcPr>
          <w:p w14:paraId="5C16F495" w14:textId="77777777" w:rsidR="007C0FDC" w:rsidRPr="008B1F30" w:rsidRDefault="007C0FDC" w:rsidP="002E64CE">
            <w:pPr>
              <w:ind w:left="0"/>
              <w:rPr>
                <w:sz w:val="20"/>
                <w:szCs w:val="20"/>
              </w:rPr>
            </w:pPr>
          </w:p>
        </w:tc>
        <w:tc>
          <w:tcPr>
            <w:tcW w:w="959" w:type="dxa"/>
            <w:vMerge/>
          </w:tcPr>
          <w:p w14:paraId="77B1F003"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tcPr>
          <w:p w14:paraId="005194E9"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Ab negative subjects</w:t>
            </w:r>
          </w:p>
        </w:tc>
        <w:tc>
          <w:tcPr>
            <w:tcW w:w="2127" w:type="dxa"/>
          </w:tcPr>
          <w:p w14:paraId="54CA5ED3"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1.19 (1.03, </w:t>
            </w:r>
            <w:r w:rsidRPr="00533472">
              <w:rPr>
                <w:color w:val="FF0000"/>
                <w:sz w:val="20"/>
                <w:szCs w:val="20"/>
                <w:u w:val="single"/>
              </w:rPr>
              <w:t>1.37</w:t>
            </w:r>
            <w:r w:rsidRPr="00533472">
              <w:rPr>
                <w:color w:val="FF0000"/>
                <w:sz w:val="20"/>
                <w:szCs w:val="20"/>
              </w:rPr>
              <w:t>)</w:t>
            </w:r>
          </w:p>
        </w:tc>
        <w:tc>
          <w:tcPr>
            <w:tcW w:w="2150" w:type="dxa"/>
          </w:tcPr>
          <w:p w14:paraId="72A4969F"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1.01 (0.865, 1.18)</w:t>
            </w:r>
          </w:p>
        </w:tc>
      </w:tr>
      <w:tr w:rsidR="007C0FDC" w:rsidRPr="008B1F30" w14:paraId="49E29A61"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tcPr>
          <w:p w14:paraId="5F607C87" w14:textId="77777777" w:rsidR="007C0FDC" w:rsidRPr="008B1F30" w:rsidRDefault="007C0FDC" w:rsidP="002E64CE">
            <w:pPr>
              <w:ind w:left="0"/>
              <w:rPr>
                <w:sz w:val="20"/>
                <w:szCs w:val="20"/>
              </w:rPr>
            </w:pPr>
          </w:p>
        </w:tc>
        <w:tc>
          <w:tcPr>
            <w:tcW w:w="959" w:type="dxa"/>
            <w:vMerge w:val="restart"/>
          </w:tcPr>
          <w:p w14:paraId="139629A7"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AUC</w:t>
            </w:r>
            <w:r w:rsidRPr="008B1F30">
              <w:rPr>
                <w:sz w:val="20"/>
                <w:szCs w:val="20"/>
                <w:vertAlign w:val="subscript"/>
              </w:rPr>
              <w:t>last</w:t>
            </w:r>
            <w:r w:rsidRPr="008B1F30">
              <w:rPr>
                <w:sz w:val="20"/>
                <w:szCs w:val="20"/>
              </w:rPr>
              <w:t xml:space="preserve"> ratio</w:t>
            </w:r>
          </w:p>
        </w:tc>
        <w:tc>
          <w:tcPr>
            <w:tcW w:w="2243" w:type="dxa"/>
          </w:tcPr>
          <w:p w14:paraId="02C8A0A5"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All subjects</w:t>
            </w:r>
          </w:p>
        </w:tc>
        <w:tc>
          <w:tcPr>
            <w:tcW w:w="2127" w:type="dxa"/>
          </w:tcPr>
          <w:p w14:paraId="65C79D86"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auto"/>
                <w:sz w:val="20"/>
                <w:szCs w:val="20"/>
              </w:rPr>
              <w:t>1.07 (0.964, 1.18)</w:t>
            </w:r>
          </w:p>
        </w:tc>
        <w:tc>
          <w:tcPr>
            <w:tcW w:w="2150" w:type="dxa"/>
          </w:tcPr>
          <w:p w14:paraId="35F317BE"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1.07 (0.964, 1.18)</w:t>
            </w:r>
          </w:p>
        </w:tc>
      </w:tr>
      <w:tr w:rsidR="007C0FDC" w:rsidRPr="008B1F30" w14:paraId="7EF76AAA" w14:textId="77777777" w:rsidTr="002E64CE">
        <w:tc>
          <w:tcPr>
            <w:cnfStyle w:val="001000000000" w:firstRow="0" w:lastRow="0" w:firstColumn="1" w:lastColumn="0" w:oddVBand="0" w:evenVBand="0" w:oddHBand="0" w:evenHBand="0" w:firstRowFirstColumn="0" w:firstRowLastColumn="0" w:lastRowFirstColumn="0" w:lastRowLastColumn="0"/>
            <w:tcW w:w="1843" w:type="dxa"/>
            <w:vMerge/>
            <w:tcBorders>
              <w:bottom w:val="single" w:sz="8" w:space="0" w:color="000000" w:themeColor="text1"/>
            </w:tcBorders>
          </w:tcPr>
          <w:p w14:paraId="15496A96" w14:textId="77777777" w:rsidR="007C0FDC" w:rsidRPr="008B1F30" w:rsidRDefault="007C0FDC" w:rsidP="002E64CE">
            <w:pPr>
              <w:ind w:left="0"/>
              <w:rPr>
                <w:sz w:val="20"/>
                <w:szCs w:val="20"/>
              </w:rPr>
            </w:pPr>
          </w:p>
        </w:tc>
        <w:tc>
          <w:tcPr>
            <w:tcW w:w="959" w:type="dxa"/>
            <w:vMerge/>
            <w:tcBorders>
              <w:bottom w:val="single" w:sz="8" w:space="0" w:color="000000" w:themeColor="text1"/>
            </w:tcBorders>
          </w:tcPr>
          <w:p w14:paraId="3C8AACD2"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tcBorders>
              <w:bottom w:val="single" w:sz="8" w:space="0" w:color="000000" w:themeColor="text1"/>
            </w:tcBorders>
          </w:tcPr>
          <w:p w14:paraId="2F14D433" w14:textId="77777777" w:rsidR="007C0FDC" w:rsidRPr="008B1F30"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8B1F30">
              <w:rPr>
                <w:sz w:val="20"/>
                <w:szCs w:val="20"/>
              </w:rPr>
              <w:t>Ab negative subjects</w:t>
            </w:r>
          </w:p>
        </w:tc>
        <w:tc>
          <w:tcPr>
            <w:tcW w:w="2127" w:type="dxa"/>
            <w:tcBorders>
              <w:bottom w:val="single" w:sz="8" w:space="0" w:color="000000" w:themeColor="text1"/>
            </w:tcBorders>
          </w:tcPr>
          <w:p w14:paraId="4D1D6F2F"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1.12 (0.988, </w:t>
            </w:r>
            <w:r w:rsidRPr="00533472">
              <w:rPr>
                <w:color w:val="FF0000"/>
                <w:sz w:val="20"/>
                <w:szCs w:val="20"/>
                <w:u w:val="single"/>
              </w:rPr>
              <w:t>1.27</w:t>
            </w:r>
            <w:r w:rsidRPr="00533472">
              <w:rPr>
                <w:color w:val="FF0000"/>
                <w:sz w:val="20"/>
                <w:szCs w:val="20"/>
              </w:rPr>
              <w:t>)</w:t>
            </w:r>
          </w:p>
        </w:tc>
        <w:tc>
          <w:tcPr>
            <w:tcW w:w="2150" w:type="dxa"/>
            <w:tcBorders>
              <w:bottom w:val="single" w:sz="8" w:space="0" w:color="000000" w:themeColor="text1"/>
            </w:tcBorders>
          </w:tcPr>
          <w:p w14:paraId="7D3F42ED"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0.97 (0.844, 1.11)</w:t>
            </w:r>
          </w:p>
        </w:tc>
      </w:tr>
      <w:tr w:rsidR="007C0FDC" w:rsidRPr="008B1F30" w14:paraId="75846B9E"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FFFFF" w:themeFill="background1"/>
          </w:tcPr>
          <w:p w14:paraId="74C4039A" w14:textId="77777777" w:rsidR="007C0FDC" w:rsidRPr="002942EA" w:rsidRDefault="007C0FDC" w:rsidP="002E64CE">
            <w:pPr>
              <w:ind w:left="0"/>
              <w:rPr>
                <w:sz w:val="20"/>
                <w:szCs w:val="20"/>
              </w:rPr>
            </w:pPr>
            <w:r w:rsidRPr="00C92E9B">
              <w:rPr>
                <w:sz w:val="20"/>
                <w:szCs w:val="20"/>
              </w:rPr>
              <w:t>Adjusted for protein content</w:t>
            </w:r>
            <w:r w:rsidRPr="002942EA">
              <w:rPr>
                <w:sz w:val="20"/>
                <w:szCs w:val="20"/>
              </w:rPr>
              <w:t>*</w:t>
            </w:r>
          </w:p>
          <w:p w14:paraId="6F550FD0" w14:textId="77777777" w:rsidR="007C0FDC" w:rsidRPr="002942EA" w:rsidRDefault="007C0FDC" w:rsidP="002E64CE">
            <w:pPr>
              <w:ind w:left="0"/>
              <w:rPr>
                <w:i/>
                <w:sz w:val="20"/>
                <w:szCs w:val="20"/>
              </w:rPr>
            </w:pPr>
            <w:r w:rsidRPr="002942EA">
              <w:rPr>
                <w:sz w:val="20"/>
                <w:szCs w:val="20"/>
              </w:rPr>
              <w:t>*</w:t>
            </w:r>
            <w:r w:rsidRPr="002942EA">
              <w:rPr>
                <w:i/>
                <w:sz w:val="20"/>
                <w:szCs w:val="20"/>
              </w:rPr>
              <w:t>results excluded due to inadequate methodology; shown for completeness only</w:t>
            </w:r>
          </w:p>
        </w:tc>
        <w:tc>
          <w:tcPr>
            <w:tcW w:w="959" w:type="dxa"/>
            <w:vMerge w:val="restart"/>
            <w:shd w:val="clear" w:color="auto" w:fill="FFFFFF" w:themeFill="background1"/>
          </w:tcPr>
          <w:p w14:paraId="2D4C95DA" w14:textId="77777777" w:rsidR="007C0FDC" w:rsidRPr="002942EA"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2942EA">
              <w:rPr>
                <w:sz w:val="20"/>
                <w:szCs w:val="20"/>
              </w:rPr>
              <w:t>C</w:t>
            </w:r>
            <w:r w:rsidRPr="002942EA">
              <w:rPr>
                <w:sz w:val="20"/>
                <w:szCs w:val="20"/>
                <w:vertAlign w:val="subscript"/>
              </w:rPr>
              <w:t>max</w:t>
            </w:r>
            <w:r w:rsidRPr="002942EA">
              <w:rPr>
                <w:sz w:val="20"/>
                <w:szCs w:val="20"/>
              </w:rPr>
              <w:t xml:space="preserve"> ratio</w:t>
            </w:r>
          </w:p>
        </w:tc>
        <w:tc>
          <w:tcPr>
            <w:tcW w:w="2243" w:type="dxa"/>
            <w:shd w:val="clear" w:color="auto" w:fill="FFFFFF" w:themeFill="background1"/>
          </w:tcPr>
          <w:p w14:paraId="6E1D8643" w14:textId="77777777" w:rsidR="007C0FDC" w:rsidRPr="002942EA"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2942EA">
              <w:rPr>
                <w:sz w:val="20"/>
                <w:szCs w:val="20"/>
              </w:rPr>
              <w:t>All subjects</w:t>
            </w:r>
          </w:p>
        </w:tc>
        <w:tc>
          <w:tcPr>
            <w:tcW w:w="2127" w:type="dxa"/>
            <w:shd w:val="clear" w:color="auto" w:fill="FFFFFF" w:themeFill="background1"/>
          </w:tcPr>
          <w:p w14:paraId="7DB4AFC6"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1.08 (1.00, 1.16)</w:t>
            </w:r>
          </w:p>
        </w:tc>
        <w:tc>
          <w:tcPr>
            <w:tcW w:w="2150" w:type="dxa"/>
            <w:shd w:val="clear" w:color="auto" w:fill="FFFFFF" w:themeFill="background1"/>
          </w:tcPr>
          <w:p w14:paraId="17C82D74"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1.07 (0.989, 1.15)</w:t>
            </w:r>
          </w:p>
        </w:tc>
      </w:tr>
      <w:tr w:rsidR="007C0FDC" w:rsidRPr="008B1F30" w14:paraId="75082E6F"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tcPr>
          <w:p w14:paraId="74217A3E" w14:textId="77777777" w:rsidR="007C0FDC" w:rsidRPr="00C92E9B" w:rsidRDefault="007C0FDC" w:rsidP="002E64CE">
            <w:pPr>
              <w:ind w:left="0"/>
              <w:rPr>
                <w:sz w:val="20"/>
                <w:szCs w:val="20"/>
              </w:rPr>
            </w:pPr>
          </w:p>
        </w:tc>
        <w:tc>
          <w:tcPr>
            <w:tcW w:w="959" w:type="dxa"/>
            <w:vMerge/>
            <w:shd w:val="clear" w:color="auto" w:fill="FFFFFF" w:themeFill="background1"/>
          </w:tcPr>
          <w:p w14:paraId="435B8174"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shd w:val="clear" w:color="auto" w:fill="FFFFFF" w:themeFill="background1"/>
          </w:tcPr>
          <w:p w14:paraId="28820C65"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Ab negative subjects</w:t>
            </w:r>
          </w:p>
        </w:tc>
        <w:tc>
          <w:tcPr>
            <w:tcW w:w="2127" w:type="dxa"/>
            <w:shd w:val="clear" w:color="auto" w:fill="FFFFFF" w:themeFill="background1"/>
          </w:tcPr>
          <w:p w14:paraId="20223C96"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1.09 (0.985, 1.21)</w:t>
            </w:r>
          </w:p>
        </w:tc>
        <w:tc>
          <w:tcPr>
            <w:tcW w:w="2150" w:type="dxa"/>
            <w:shd w:val="clear" w:color="auto" w:fill="FFFFFF" w:themeFill="background1"/>
          </w:tcPr>
          <w:p w14:paraId="5C7AFB51"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1.09 (0.974, 1.22)</w:t>
            </w:r>
          </w:p>
        </w:tc>
      </w:tr>
      <w:tr w:rsidR="007C0FDC" w:rsidRPr="008B1F30" w14:paraId="64E536BC"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tcPr>
          <w:p w14:paraId="55EA5AA0" w14:textId="77777777" w:rsidR="007C0FDC" w:rsidRPr="00C92E9B" w:rsidRDefault="007C0FDC" w:rsidP="002E64CE">
            <w:pPr>
              <w:ind w:left="0"/>
              <w:rPr>
                <w:sz w:val="20"/>
                <w:szCs w:val="20"/>
              </w:rPr>
            </w:pPr>
          </w:p>
        </w:tc>
        <w:tc>
          <w:tcPr>
            <w:tcW w:w="959" w:type="dxa"/>
            <w:vMerge w:val="restart"/>
            <w:shd w:val="clear" w:color="auto" w:fill="FFFFFF" w:themeFill="background1"/>
          </w:tcPr>
          <w:p w14:paraId="1AA3812C"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AUC</w:t>
            </w:r>
            <w:r w:rsidRPr="00C92E9B">
              <w:rPr>
                <w:sz w:val="20"/>
                <w:szCs w:val="20"/>
                <w:vertAlign w:val="subscript"/>
              </w:rPr>
              <w:t>inf</w:t>
            </w:r>
            <w:r w:rsidRPr="00C92E9B">
              <w:rPr>
                <w:sz w:val="20"/>
                <w:szCs w:val="20"/>
              </w:rPr>
              <w:t xml:space="preserve"> ratio</w:t>
            </w:r>
          </w:p>
        </w:tc>
        <w:tc>
          <w:tcPr>
            <w:tcW w:w="2243" w:type="dxa"/>
            <w:shd w:val="clear" w:color="auto" w:fill="FFFFFF" w:themeFill="background1"/>
          </w:tcPr>
          <w:p w14:paraId="0D9F2EAF"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All subjects</w:t>
            </w:r>
          </w:p>
        </w:tc>
        <w:tc>
          <w:tcPr>
            <w:tcW w:w="2127" w:type="dxa"/>
            <w:shd w:val="clear" w:color="auto" w:fill="FFFFFF" w:themeFill="background1"/>
          </w:tcPr>
          <w:p w14:paraId="2ECE9DCE"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1.16 (1.04, </w:t>
            </w:r>
            <w:r w:rsidRPr="00533472">
              <w:rPr>
                <w:color w:val="FF0000"/>
                <w:sz w:val="20"/>
                <w:szCs w:val="20"/>
                <w:u w:val="single"/>
              </w:rPr>
              <w:t>1.29</w:t>
            </w:r>
            <w:r w:rsidRPr="00533472">
              <w:rPr>
                <w:color w:val="FF0000"/>
                <w:sz w:val="20"/>
                <w:szCs w:val="20"/>
              </w:rPr>
              <w:t>)</w:t>
            </w:r>
          </w:p>
        </w:tc>
        <w:tc>
          <w:tcPr>
            <w:tcW w:w="2150" w:type="dxa"/>
            <w:shd w:val="clear" w:color="auto" w:fill="FFFFFF" w:themeFill="background1"/>
          </w:tcPr>
          <w:p w14:paraId="4788C472"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1.16 (1.04, </w:t>
            </w:r>
            <w:r w:rsidRPr="00533472">
              <w:rPr>
                <w:color w:val="FF0000"/>
                <w:sz w:val="20"/>
                <w:szCs w:val="20"/>
                <w:u w:val="single"/>
              </w:rPr>
              <w:t>1.30</w:t>
            </w:r>
            <w:r w:rsidRPr="00533472">
              <w:rPr>
                <w:color w:val="FF0000"/>
                <w:sz w:val="20"/>
                <w:szCs w:val="20"/>
              </w:rPr>
              <w:t>)</w:t>
            </w:r>
          </w:p>
        </w:tc>
      </w:tr>
      <w:tr w:rsidR="007C0FDC" w:rsidRPr="008B1F30" w14:paraId="50B071C0"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tcPr>
          <w:p w14:paraId="4871A4A9" w14:textId="77777777" w:rsidR="007C0FDC" w:rsidRPr="00C92E9B" w:rsidRDefault="007C0FDC" w:rsidP="002E64CE">
            <w:pPr>
              <w:ind w:left="0"/>
              <w:rPr>
                <w:sz w:val="20"/>
                <w:szCs w:val="20"/>
              </w:rPr>
            </w:pPr>
          </w:p>
        </w:tc>
        <w:tc>
          <w:tcPr>
            <w:tcW w:w="959" w:type="dxa"/>
            <w:vMerge/>
            <w:shd w:val="clear" w:color="auto" w:fill="FFFFFF" w:themeFill="background1"/>
          </w:tcPr>
          <w:p w14:paraId="4AC6C37B"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shd w:val="clear" w:color="auto" w:fill="FFFFFF" w:themeFill="background1"/>
          </w:tcPr>
          <w:p w14:paraId="46462897"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Ab negative subjects</w:t>
            </w:r>
          </w:p>
        </w:tc>
        <w:tc>
          <w:tcPr>
            <w:tcW w:w="2127" w:type="dxa"/>
            <w:shd w:val="clear" w:color="auto" w:fill="FFFFFF" w:themeFill="background1"/>
          </w:tcPr>
          <w:p w14:paraId="0C8FF9B5"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1.24 (1.07, </w:t>
            </w:r>
            <w:r w:rsidRPr="00533472">
              <w:rPr>
                <w:color w:val="FF0000"/>
                <w:sz w:val="20"/>
                <w:szCs w:val="20"/>
                <w:u w:val="single"/>
              </w:rPr>
              <w:t>1.43</w:t>
            </w:r>
            <w:r w:rsidRPr="00533472">
              <w:rPr>
                <w:color w:val="FF0000"/>
                <w:sz w:val="20"/>
                <w:szCs w:val="20"/>
              </w:rPr>
              <w:t>)</w:t>
            </w:r>
          </w:p>
        </w:tc>
        <w:tc>
          <w:tcPr>
            <w:tcW w:w="2150" w:type="dxa"/>
            <w:shd w:val="clear" w:color="auto" w:fill="FFFFFF" w:themeFill="background1"/>
          </w:tcPr>
          <w:p w14:paraId="0A6B47DC"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1.13 (0.962, </w:t>
            </w:r>
            <w:r w:rsidRPr="00533472">
              <w:rPr>
                <w:color w:val="FF0000"/>
                <w:sz w:val="20"/>
                <w:szCs w:val="20"/>
                <w:u w:val="single"/>
              </w:rPr>
              <w:t>1.32</w:t>
            </w:r>
            <w:r w:rsidRPr="00533472">
              <w:rPr>
                <w:color w:val="FF0000"/>
                <w:sz w:val="20"/>
                <w:szCs w:val="20"/>
              </w:rPr>
              <w:t>)</w:t>
            </w:r>
          </w:p>
        </w:tc>
      </w:tr>
      <w:tr w:rsidR="007C0FDC" w:rsidRPr="008B1F30" w14:paraId="6938EEA1"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tcPr>
          <w:p w14:paraId="1C08C0BF" w14:textId="77777777" w:rsidR="007C0FDC" w:rsidRPr="00C92E9B" w:rsidRDefault="007C0FDC" w:rsidP="002E64CE">
            <w:pPr>
              <w:ind w:left="0"/>
              <w:rPr>
                <w:sz w:val="20"/>
                <w:szCs w:val="20"/>
              </w:rPr>
            </w:pPr>
          </w:p>
        </w:tc>
        <w:tc>
          <w:tcPr>
            <w:tcW w:w="959" w:type="dxa"/>
            <w:vMerge w:val="restart"/>
            <w:shd w:val="clear" w:color="auto" w:fill="FFFFFF" w:themeFill="background1"/>
          </w:tcPr>
          <w:p w14:paraId="16D72BBE"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AUC</w:t>
            </w:r>
            <w:r w:rsidRPr="00C92E9B">
              <w:rPr>
                <w:sz w:val="20"/>
                <w:szCs w:val="20"/>
                <w:vertAlign w:val="subscript"/>
              </w:rPr>
              <w:t>last</w:t>
            </w:r>
            <w:r w:rsidRPr="00C92E9B">
              <w:rPr>
                <w:sz w:val="20"/>
                <w:szCs w:val="20"/>
              </w:rPr>
              <w:t xml:space="preserve"> ratio</w:t>
            </w:r>
          </w:p>
        </w:tc>
        <w:tc>
          <w:tcPr>
            <w:tcW w:w="2243" w:type="dxa"/>
            <w:shd w:val="clear" w:color="auto" w:fill="FFFFFF" w:themeFill="background1"/>
          </w:tcPr>
          <w:p w14:paraId="57B5CF05"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All subjects</w:t>
            </w:r>
          </w:p>
        </w:tc>
        <w:tc>
          <w:tcPr>
            <w:tcW w:w="2127" w:type="dxa"/>
            <w:shd w:val="clear" w:color="auto" w:fill="FFFFFF" w:themeFill="background1"/>
          </w:tcPr>
          <w:p w14:paraId="74D3D917"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1.11 (1.00, 1.23)</w:t>
            </w:r>
          </w:p>
        </w:tc>
        <w:tc>
          <w:tcPr>
            <w:tcW w:w="2150" w:type="dxa"/>
            <w:shd w:val="clear" w:color="auto" w:fill="FFFFFF" w:themeFill="background1"/>
          </w:tcPr>
          <w:p w14:paraId="7E3C453B"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533472">
              <w:rPr>
                <w:color w:val="auto"/>
                <w:sz w:val="20"/>
                <w:szCs w:val="20"/>
              </w:rPr>
              <w:t>1.10 (0.993, 1.22)</w:t>
            </w:r>
          </w:p>
        </w:tc>
      </w:tr>
      <w:tr w:rsidR="007C0FDC" w:rsidRPr="008B1F30" w14:paraId="2EF77F6E" w14:textId="77777777" w:rsidTr="00533472">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tcPr>
          <w:p w14:paraId="48277C9E" w14:textId="77777777" w:rsidR="007C0FDC" w:rsidRPr="00C92E9B" w:rsidRDefault="007C0FDC" w:rsidP="002E64CE">
            <w:pPr>
              <w:ind w:left="0"/>
              <w:rPr>
                <w:sz w:val="20"/>
                <w:szCs w:val="20"/>
              </w:rPr>
            </w:pPr>
          </w:p>
        </w:tc>
        <w:tc>
          <w:tcPr>
            <w:tcW w:w="959" w:type="dxa"/>
            <w:vMerge/>
            <w:shd w:val="clear" w:color="auto" w:fill="FFFFFF" w:themeFill="background1"/>
          </w:tcPr>
          <w:p w14:paraId="2DE482FB"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243" w:type="dxa"/>
            <w:shd w:val="clear" w:color="auto" w:fill="FFFFFF" w:themeFill="background1"/>
          </w:tcPr>
          <w:p w14:paraId="328198E6" w14:textId="77777777" w:rsidR="007C0FDC" w:rsidRPr="00C92E9B" w:rsidRDefault="007C0FDC" w:rsidP="002E64CE">
            <w:pPr>
              <w:ind w:left="0"/>
              <w:cnfStyle w:val="000000000000" w:firstRow="0" w:lastRow="0" w:firstColumn="0" w:lastColumn="0" w:oddVBand="0" w:evenVBand="0" w:oddHBand="0" w:evenHBand="0" w:firstRowFirstColumn="0" w:firstRowLastColumn="0" w:lastRowFirstColumn="0" w:lastRowLastColumn="0"/>
              <w:rPr>
                <w:sz w:val="20"/>
                <w:szCs w:val="20"/>
              </w:rPr>
            </w:pPr>
            <w:r w:rsidRPr="00C92E9B">
              <w:rPr>
                <w:sz w:val="20"/>
                <w:szCs w:val="20"/>
              </w:rPr>
              <w:t>Ab negative subjects</w:t>
            </w:r>
          </w:p>
        </w:tc>
        <w:tc>
          <w:tcPr>
            <w:tcW w:w="2127" w:type="dxa"/>
            <w:shd w:val="clear" w:color="auto" w:fill="FFFFFF" w:themeFill="background1"/>
          </w:tcPr>
          <w:p w14:paraId="30D36E7F" w14:textId="77777777" w:rsidR="007C0FDC" w:rsidRPr="00533472" w:rsidRDefault="007C0FDC" w:rsidP="002E64CE">
            <w:pPr>
              <w:ind w:left="0"/>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FF0000"/>
                <w:sz w:val="20"/>
                <w:szCs w:val="20"/>
              </w:rPr>
              <w:t xml:space="preserve">1.16 (1.03, </w:t>
            </w:r>
            <w:r w:rsidRPr="00533472">
              <w:rPr>
                <w:color w:val="FF0000"/>
                <w:sz w:val="20"/>
                <w:szCs w:val="20"/>
                <w:u w:val="single"/>
              </w:rPr>
              <w:t>1.32</w:t>
            </w:r>
            <w:r w:rsidRPr="00533472">
              <w:rPr>
                <w:color w:val="FF0000"/>
                <w:sz w:val="20"/>
                <w:szCs w:val="20"/>
              </w:rPr>
              <w:t>)</w:t>
            </w:r>
          </w:p>
        </w:tc>
        <w:tc>
          <w:tcPr>
            <w:tcW w:w="2150" w:type="dxa"/>
            <w:shd w:val="clear" w:color="auto" w:fill="FFFFFF" w:themeFill="background1"/>
          </w:tcPr>
          <w:p w14:paraId="3A42C7CB" w14:textId="77777777" w:rsidR="007C0FDC" w:rsidRPr="00533472" w:rsidRDefault="00981A71" w:rsidP="007C0FDC">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color w:val="346127" w:themeColor="accent6" w:themeTint="E6"/>
                <w:sz w:val="20"/>
                <w:szCs w:val="20"/>
              </w:rPr>
            </w:pPr>
            <w:r w:rsidRPr="00533472">
              <w:rPr>
                <w:color w:val="346127" w:themeColor="accent6" w:themeTint="E6"/>
                <w:sz w:val="20"/>
                <w:szCs w:val="20"/>
              </w:rPr>
              <w:t xml:space="preserve"> (</w:t>
            </w:r>
            <w:r w:rsidR="007C0FDC" w:rsidRPr="00533472">
              <w:rPr>
                <w:color w:val="346127" w:themeColor="accent6" w:themeTint="E6"/>
                <w:sz w:val="20"/>
                <w:szCs w:val="20"/>
              </w:rPr>
              <w:t>0.939, 1.24)</w:t>
            </w:r>
          </w:p>
        </w:tc>
      </w:tr>
    </w:tbl>
    <w:p w14:paraId="67E059C7" w14:textId="77777777" w:rsidR="007C0FDC" w:rsidRDefault="007C0FDC" w:rsidP="007C0FDC">
      <w:r>
        <w:t>Table 6 contains an overview of the subgroup analyses, namely the c</w:t>
      </w:r>
      <w:r w:rsidRPr="00036F88">
        <w:t>omparison of geometric mean pharmacokinetic parameter ratios (C</w:t>
      </w:r>
      <w:r w:rsidRPr="00036F88">
        <w:rPr>
          <w:vertAlign w:val="subscript"/>
        </w:rPr>
        <w:t>max</w:t>
      </w:r>
      <w:r w:rsidRPr="00036F88">
        <w:t>, AUC</w:t>
      </w:r>
      <w:r w:rsidRPr="00036F88">
        <w:rPr>
          <w:vertAlign w:val="subscript"/>
        </w:rPr>
        <w:t>inf</w:t>
      </w:r>
      <w:r w:rsidRPr="00036F88">
        <w:t xml:space="preserve">, </w:t>
      </w:r>
      <w:proofErr w:type="gramStart"/>
      <w:r w:rsidRPr="00036F88">
        <w:t>AUC</w:t>
      </w:r>
      <w:r w:rsidRPr="00036F88">
        <w:rPr>
          <w:vertAlign w:val="subscript"/>
        </w:rPr>
        <w:t>last</w:t>
      </w:r>
      <w:proofErr w:type="gramEnd"/>
      <w:r>
        <w:t>) and corresponding 90% CIs in different subgroups that generated results:</w:t>
      </w:r>
    </w:p>
    <w:p w14:paraId="24E117B0" w14:textId="6664A0AE" w:rsidR="007C0FDC" w:rsidRDefault="007C0FDC" w:rsidP="007C0FDC">
      <w:pPr>
        <w:pStyle w:val="ListBullet"/>
        <w:numPr>
          <w:ilvl w:val="0"/>
          <w:numId w:val="1"/>
        </w:numPr>
      </w:pPr>
      <w:r w:rsidRPr="00533472">
        <w:rPr>
          <w:i/>
        </w:rPr>
        <w:t xml:space="preserve">Negative </w:t>
      </w:r>
      <w:r w:rsidR="00981A71" w:rsidRPr="00533472">
        <w:rPr>
          <w:i/>
        </w:rPr>
        <w:t xml:space="preserve">antidrug antibody </w:t>
      </w:r>
      <w:r w:rsidRPr="00533472">
        <w:rPr>
          <w:i/>
        </w:rPr>
        <w:t>status</w:t>
      </w:r>
      <w:r>
        <w:t>: Two of the Ab negative subject subgroup PK parameter ratio 90% CIs were</w:t>
      </w:r>
      <w:r w:rsidRPr="009C0AE2">
        <w:t xml:space="preserve"> </w:t>
      </w:r>
      <w:r>
        <w:t>not contained by the accepted CI range limits (highlighted in red in Table 6), namely the AUC</w:t>
      </w:r>
      <w:r w:rsidRPr="00322E45">
        <w:rPr>
          <w:vertAlign w:val="subscript"/>
        </w:rPr>
        <w:t>inf</w:t>
      </w:r>
      <w:r w:rsidRPr="00322E45">
        <w:t xml:space="preserve"> </w:t>
      </w:r>
      <w:r>
        <w:t>ratio and the AUC</w:t>
      </w:r>
      <w:r w:rsidRPr="00322E45">
        <w:rPr>
          <w:vertAlign w:val="subscript"/>
        </w:rPr>
        <w:t xml:space="preserve">last </w:t>
      </w:r>
      <w:r>
        <w:t>ratio at 1.19 (1.03, 1.37) and 1.12 (0.988, 1.27) respectively.</w:t>
      </w:r>
    </w:p>
    <w:p w14:paraId="6A568018" w14:textId="77777777" w:rsidR="007C0FDC" w:rsidRDefault="007C0FDC" w:rsidP="007C0FDC">
      <w:pPr>
        <w:pStyle w:val="ListBullet"/>
        <w:numPr>
          <w:ilvl w:val="0"/>
          <w:numId w:val="1"/>
        </w:numPr>
      </w:pPr>
      <w:r>
        <w:t xml:space="preserve">The </w:t>
      </w:r>
      <w:r w:rsidRPr="00B342F5">
        <w:t xml:space="preserve">PK parameter data adjusted for serum protein content </w:t>
      </w:r>
      <w:r>
        <w:t xml:space="preserve">are also shown in Table 6 for completeness, but were excluded </w:t>
      </w:r>
      <w:r w:rsidRPr="00322E45">
        <w:t>due to inadequate methodology</w:t>
      </w:r>
      <w:r>
        <w:t xml:space="preserve"> in generating them.</w:t>
      </w:r>
    </w:p>
    <w:p w14:paraId="3F351E4C" w14:textId="4EA21BF9" w:rsidR="002942EA" w:rsidRPr="00533472" w:rsidRDefault="002942EA" w:rsidP="00533472">
      <w:r w:rsidRPr="00533472">
        <w:rPr>
          <w:b/>
          <w:lang w:eastAsia="ja-JP"/>
        </w:rPr>
        <w:t>Comment</w:t>
      </w:r>
      <w:r w:rsidR="007C0FDC" w:rsidRPr="00533472">
        <w:rPr>
          <w:b/>
          <w:lang w:eastAsia="ja-JP"/>
        </w:rPr>
        <w:t>:</w:t>
      </w:r>
    </w:p>
    <w:p w14:paraId="73D82385" w14:textId="77777777" w:rsidR="002942EA" w:rsidRPr="00533472" w:rsidRDefault="007C0FDC" w:rsidP="00533472">
      <w:pPr>
        <w:pStyle w:val="ListBullet"/>
        <w:rPr>
          <w:i/>
        </w:rPr>
      </w:pPr>
      <w:r w:rsidRPr="00533472">
        <w:rPr>
          <w:i/>
        </w:rPr>
        <w:t>Design</w:t>
      </w:r>
      <w:r w:rsidRPr="002942EA">
        <w:t xml:space="preserve">: </w:t>
      </w:r>
      <w:r w:rsidRPr="00C86A70">
        <w:t xml:space="preserve">The parallel group design is acceptable, given the long half-life and the risk of immunogenicity. The inclusion and exclusion criteria are acceptable. The use </w:t>
      </w:r>
      <w:proofErr w:type="gramStart"/>
      <w:r w:rsidRPr="00C86A70">
        <w:t>of one strength</w:t>
      </w:r>
      <w:proofErr w:type="gramEnd"/>
      <w:r w:rsidRPr="00C86A70">
        <w:t xml:space="preserve"> is acceptable in a drug displaying linear pharmacokinetics.</w:t>
      </w:r>
    </w:p>
    <w:p w14:paraId="7CC7B321" w14:textId="3C17F1E1" w:rsidR="007C0FDC" w:rsidRPr="00C86A70" w:rsidRDefault="007C0FDC" w:rsidP="00533472">
      <w:pPr>
        <w:pStyle w:val="ListBullet"/>
      </w:pPr>
      <w:r w:rsidRPr="00533472">
        <w:rPr>
          <w:i/>
        </w:rPr>
        <w:t>Blinding</w:t>
      </w:r>
      <w:r w:rsidRPr="00C86A70">
        <w:t xml:space="preserve"> The study was single-blind (subjects were blind). This is suboptimal. Furthermore, allocation concealment was not discussed.</w:t>
      </w:r>
    </w:p>
    <w:p w14:paraId="142FF4EC" w14:textId="77777777" w:rsidR="007C0FDC" w:rsidRPr="00C86A70" w:rsidRDefault="007C0FDC" w:rsidP="00533472">
      <w:pPr>
        <w:pStyle w:val="ListBullet"/>
      </w:pPr>
      <w:r w:rsidRPr="00533472">
        <w:rPr>
          <w:i/>
        </w:rPr>
        <w:t>Unknown subject replacement method</w:t>
      </w:r>
      <w:r w:rsidRPr="00C86A70">
        <w:t>: 4 of the 7 subjects that did not complete the study were replaced by the study investigators. It is unclear which method was employed for that purpose.</w:t>
      </w:r>
    </w:p>
    <w:p w14:paraId="0ED3C5FF" w14:textId="7DA71715" w:rsidR="007C0FDC" w:rsidRPr="00C86A70" w:rsidRDefault="007C0FDC" w:rsidP="00533472">
      <w:pPr>
        <w:pStyle w:val="ListBullet"/>
      </w:pPr>
      <w:r w:rsidRPr="00533472">
        <w:rPr>
          <w:i/>
        </w:rPr>
        <w:lastRenderedPageBreak/>
        <w:t xml:space="preserve">Dosing: </w:t>
      </w:r>
      <w:r w:rsidRPr="00C86A70">
        <w:t>This was a single-dose study only. Analyses of bioequivalence at steady state during the maintenance phase were not possible. Results from the clinical equivalence studies allowed a comparison of steady state PK.</w:t>
      </w:r>
    </w:p>
    <w:p w14:paraId="6D5F8D51" w14:textId="6FC0BF77" w:rsidR="007C0FDC" w:rsidRPr="00C86A70" w:rsidRDefault="007C0FDC" w:rsidP="00533472">
      <w:pPr>
        <w:pStyle w:val="ListBullet"/>
      </w:pPr>
      <w:r w:rsidRPr="00533472">
        <w:rPr>
          <w:i/>
        </w:rPr>
        <w:t>PK sampling and analysis</w:t>
      </w:r>
      <w:r w:rsidRPr="00C86A70">
        <w:t>: was acceptable. Regarding sampling windows, there was no information given whether the actual sampling time was recorded and whether this was sufficiently c</w:t>
      </w:r>
      <w:r w:rsidR="00E34BE1">
        <w:t>onsidered in the data analysis.</w:t>
      </w:r>
    </w:p>
    <w:p w14:paraId="05BD59C9" w14:textId="77777777" w:rsidR="007C0FDC" w:rsidRPr="00C86A70" w:rsidRDefault="007C0FDC" w:rsidP="00533472">
      <w:pPr>
        <w:pStyle w:val="ListBullet"/>
      </w:pPr>
      <w:r w:rsidRPr="00533472">
        <w:rPr>
          <w:i/>
        </w:rPr>
        <w:t>Statistical methods</w:t>
      </w:r>
      <w:r w:rsidRPr="00C86A70">
        <w:t>: The statistical methods used are compliant with TGA regulatory guidance.</w:t>
      </w:r>
    </w:p>
    <w:p w14:paraId="4C2A2326" w14:textId="00897604" w:rsidR="007C0FDC" w:rsidRPr="00C86A70" w:rsidRDefault="007C0FDC" w:rsidP="00533472">
      <w:pPr>
        <w:pStyle w:val="ListBullet"/>
      </w:pPr>
      <w:r w:rsidRPr="00533472">
        <w:rPr>
          <w:i/>
        </w:rPr>
        <w:t>Summary on methodology</w:t>
      </w:r>
      <w:r w:rsidRPr="00C86A70">
        <w:t xml:space="preserve">: The methodology has minor deficiencies (for example, single-blinding, single dosing only), and not all of the methods used have been described in sufficient detail (for example, allocation concealment, subject replacement methods). However, the methodology of the study is acceptable overall. The PK parameter data adjusted for serum protein content were excluded from analysis due to inadequate methodology in generating them, but advice on the issue may be sought from the </w:t>
      </w:r>
      <w:r w:rsidR="002942EA">
        <w:t>quality</w:t>
      </w:r>
      <w:r w:rsidRPr="00C86A70">
        <w:t xml:space="preserve"> </w:t>
      </w:r>
      <w:r w:rsidR="002942EA">
        <w:t>e</w:t>
      </w:r>
      <w:r w:rsidR="002942EA" w:rsidRPr="00C86A70">
        <w:t>valuator</w:t>
      </w:r>
      <w:r w:rsidRPr="00C86A70">
        <w:t>.</w:t>
      </w:r>
    </w:p>
    <w:p w14:paraId="38E354EE" w14:textId="34812037" w:rsidR="007C0FDC" w:rsidRPr="00C86A70" w:rsidRDefault="007C0FDC" w:rsidP="00533472">
      <w:pPr>
        <w:pStyle w:val="ListBullet"/>
      </w:pPr>
      <w:r w:rsidRPr="00533472">
        <w:rPr>
          <w:i/>
        </w:rPr>
        <w:t>Results:</w:t>
      </w:r>
      <w:r w:rsidR="00A8449A">
        <w:rPr>
          <w:i/>
        </w:rPr>
        <w:t xml:space="preserve"> </w:t>
      </w:r>
      <w:r w:rsidRPr="00C86A70">
        <w:t>The geometric mean pharmacokinetic parameter ratios (C</w:t>
      </w:r>
      <w:r w:rsidRPr="00A8449A">
        <w:rPr>
          <w:vertAlign w:val="subscript"/>
        </w:rPr>
        <w:t>max</w:t>
      </w:r>
      <w:r w:rsidRPr="00C86A70">
        <w:t>, AUC</w:t>
      </w:r>
      <w:r w:rsidRPr="00A8449A">
        <w:rPr>
          <w:vertAlign w:val="subscript"/>
        </w:rPr>
        <w:t>inf</w:t>
      </w:r>
      <w:r w:rsidRPr="00C86A70">
        <w:t>, AUC</w:t>
      </w:r>
      <w:r w:rsidRPr="00A8449A">
        <w:rPr>
          <w:vertAlign w:val="subscript"/>
        </w:rPr>
        <w:t>last</w:t>
      </w:r>
      <w:r w:rsidRPr="00C86A70">
        <w:t>) comparing ABP 501 to either adalimumab (US) and adalimumab (EU) form the basis of the bioequivalence assessment.</w:t>
      </w:r>
    </w:p>
    <w:p w14:paraId="5B91DAFA" w14:textId="58BDB0A0" w:rsidR="007C0FDC" w:rsidRPr="00C86A70" w:rsidRDefault="007C0FDC" w:rsidP="00533472">
      <w:pPr>
        <w:pStyle w:val="ListBullet"/>
      </w:pPr>
      <w:r w:rsidRPr="00533472">
        <w:rPr>
          <w:i/>
        </w:rPr>
        <w:t>Main result:</w:t>
      </w:r>
      <w:r w:rsidR="00A8449A">
        <w:rPr>
          <w:i/>
        </w:rPr>
        <w:t xml:space="preserve"> </w:t>
      </w:r>
      <w:r w:rsidRPr="00C86A70">
        <w:t>With regard to the complete patient population (subjects with and without ADAs combined), the results (unadjusted for protein content) support bioequivalence of ABP 501 to both reference products tested (adalimumab (US) and adalimumab (EU)). The geometric mean pharmacokinetic parameter ratios (C</w:t>
      </w:r>
      <w:r w:rsidRPr="00A8449A">
        <w:rPr>
          <w:vertAlign w:val="subscript"/>
        </w:rPr>
        <w:t>max</w:t>
      </w:r>
      <w:r w:rsidRPr="00C86A70">
        <w:t>, AUC</w:t>
      </w:r>
      <w:r w:rsidRPr="00A8449A">
        <w:rPr>
          <w:vertAlign w:val="subscript"/>
        </w:rPr>
        <w:t>inf</w:t>
      </w:r>
      <w:r w:rsidRPr="00C86A70">
        <w:t xml:space="preserve">, </w:t>
      </w:r>
      <w:proofErr w:type="gramStart"/>
      <w:r w:rsidRPr="00C86A70">
        <w:t>AUC</w:t>
      </w:r>
      <w:r w:rsidRPr="00A8449A">
        <w:rPr>
          <w:vertAlign w:val="subscript"/>
        </w:rPr>
        <w:t>last</w:t>
      </w:r>
      <w:proofErr w:type="gramEnd"/>
      <w:r w:rsidRPr="00C86A70">
        <w:t>) and corresponding 90% CIs for the primary analysis were contained within the reference range (0.8 to 1.25).</w:t>
      </w:r>
    </w:p>
    <w:p w14:paraId="324F8AB1" w14:textId="002DDCE2" w:rsidR="00A8449A" w:rsidRPr="00C86A70" w:rsidRDefault="007C0FDC" w:rsidP="00533472">
      <w:pPr>
        <w:pStyle w:val="ListBullet"/>
      </w:pPr>
      <w:r w:rsidRPr="00533472">
        <w:rPr>
          <w:i/>
        </w:rPr>
        <w:t>Comments on the subgroup analyses</w:t>
      </w:r>
      <w:r w:rsidRPr="00C86A70">
        <w:t>:</w:t>
      </w:r>
    </w:p>
    <w:p w14:paraId="30886E49" w14:textId="77777777" w:rsidR="007C0FDC" w:rsidRPr="00C86A70" w:rsidRDefault="007C0FDC" w:rsidP="00533472">
      <w:pPr>
        <w:pStyle w:val="ListBullet2"/>
      </w:pPr>
      <w:r w:rsidRPr="00C86A70">
        <w:t>Subgroup analysis by region: the primary analysis matched the subgroup analysis by region, as the comparison of ABP 501 to adalimumab (US/EU) was not pooled, but ABP 501 was compared to adalimumab (US) and adalimumab (EU) separately. The mean PK parameter ratios were within the required interval (0.8 to 1.25) in both groups independently.</w:t>
      </w:r>
    </w:p>
    <w:p w14:paraId="7CFBB305" w14:textId="77777777" w:rsidR="007C0FDC" w:rsidRPr="00C86A70" w:rsidRDefault="007C0FDC" w:rsidP="00533472">
      <w:pPr>
        <w:pStyle w:val="ListBullet2"/>
      </w:pPr>
      <w:r w:rsidRPr="00C86A70">
        <w:t>Subgroup analysis by negative antidrug antibody status: as expected, the PK parameter values in ADA negative subjects were higher compared to the values the total population. When comparing ABP 501 to adalimumab (EU), the mean PK parameter ratios were within the required interval (0.8 to 1.25). When comparing ABP 501 to adalimumab (US), the C</w:t>
      </w:r>
      <w:r w:rsidRPr="00C86A70">
        <w:rPr>
          <w:vertAlign w:val="subscript"/>
        </w:rPr>
        <w:t>max</w:t>
      </w:r>
      <w:r w:rsidRPr="00C86A70">
        <w:t xml:space="preserve"> ratio was within the required interval (0.8 to 1.25), but the AUC</w:t>
      </w:r>
      <w:r w:rsidRPr="00C86A70">
        <w:rPr>
          <w:vertAlign w:val="subscript"/>
        </w:rPr>
        <w:t>inf</w:t>
      </w:r>
      <w:r w:rsidRPr="00C86A70">
        <w:t xml:space="preserve"> and AUC</w:t>
      </w:r>
      <w:r w:rsidRPr="00C86A70">
        <w:rPr>
          <w:vertAlign w:val="subscript"/>
        </w:rPr>
        <w:t>last</w:t>
      </w:r>
      <w:r w:rsidRPr="00C86A70">
        <w:t xml:space="preserve"> ratios were outside the accepted bounds (1.19 (1.03, 1.37) and 1.12 (0.988, 1.27) respectively).</w:t>
      </w:r>
    </w:p>
    <w:p w14:paraId="5F0FB21D" w14:textId="77777777" w:rsidR="007C0FDC" w:rsidRPr="00C86A70" w:rsidRDefault="007C0FDC" w:rsidP="00533472">
      <w:pPr>
        <w:pStyle w:val="ListBullet"/>
      </w:pPr>
      <w:r w:rsidRPr="00533472">
        <w:rPr>
          <w:i/>
        </w:rPr>
        <w:t>Sensitivity analysis by protein content:</w:t>
      </w:r>
      <w:r w:rsidRPr="00C86A70">
        <w:t xml:space="preserve"> A subgroup analysis after adjustment for serum protein content was originally planned by the sponsor and abandoned after the LPLV date. The sponsor stated that due to the nature of nonlinearity in absorption and elimination after subcutaneous administration of adalimumab, a simple linear protein content correction of PK parameters would not have been appropriate.</w:t>
      </w:r>
    </w:p>
    <w:p w14:paraId="7830E091" w14:textId="77777777" w:rsidR="007C0FDC" w:rsidRPr="00C86A70" w:rsidRDefault="007C0FDC" w:rsidP="00533472">
      <w:pPr>
        <w:pStyle w:val="ListBullet"/>
      </w:pPr>
      <w:r w:rsidRPr="00C86A70">
        <w:t>It is documented in the reference product PI document that adalimumab exhibits linear pharmacokinetics over the dose range of 0.5 to 10 mg/kg following a single intravenous dose. However, in subcutaneous administration, the pharmacokinetics may not necessarily be linear. Furthermore, SC administration adds more variability, as absorption, distribution, and elimination would be different and would be dependent on individual patient characteristics (for example, sex and age) (</w:t>
      </w:r>
      <w:proofErr w:type="spellStart"/>
      <w:r w:rsidRPr="00C86A70">
        <w:t>Ternant</w:t>
      </w:r>
      <w:proofErr w:type="spellEnd"/>
      <w:r w:rsidRPr="00C86A70">
        <w:t xml:space="preserve"> </w:t>
      </w:r>
      <w:r w:rsidRPr="00C86A70">
        <w:rPr>
          <w:i/>
        </w:rPr>
        <w:t>et al.</w:t>
      </w:r>
      <w:r w:rsidRPr="00C86A70">
        <w:t xml:space="preserve">, 2015). Inter-individual variability (between-subject variability) was measured in </w:t>
      </w:r>
      <w:r>
        <w:t>Study 20</w:t>
      </w:r>
      <w:r w:rsidRPr="00C86A70">
        <w:t xml:space="preserve">110217. The </w:t>
      </w:r>
      <w:proofErr w:type="spellStart"/>
      <w:r w:rsidRPr="00C86A70">
        <w:t>GeoCV</w:t>
      </w:r>
      <w:proofErr w:type="spellEnd"/>
      <w:r w:rsidRPr="00C86A70">
        <w:t xml:space="preserve">% values were </w:t>
      </w:r>
      <w:r w:rsidRPr="00C86A70">
        <w:lastRenderedPageBreak/>
        <w:t>above 30% (range 30.2 to 41.7%) for all parameters for which a CV value was calculated (C</w:t>
      </w:r>
      <w:r w:rsidRPr="00C86A70">
        <w:rPr>
          <w:vertAlign w:val="subscript"/>
        </w:rPr>
        <w:t>max</w:t>
      </w:r>
      <w:r w:rsidRPr="00C86A70">
        <w:t>, AUC</w:t>
      </w:r>
      <w:r w:rsidRPr="00C86A70">
        <w:rPr>
          <w:vertAlign w:val="subscript"/>
        </w:rPr>
        <w:t>inf</w:t>
      </w:r>
      <w:r w:rsidRPr="00C86A70">
        <w:t>, AUC</w:t>
      </w:r>
      <w:r w:rsidRPr="00C86A70">
        <w:rPr>
          <w:vertAlign w:val="subscript"/>
        </w:rPr>
        <w:t>last</w:t>
      </w:r>
      <w:r w:rsidRPr="00C86A70">
        <w:t xml:space="preserve">). The values were similar for ABP 501 and adalimumab (US/EU). Intra-individual variability (within-subject variability) was not measured, but a PK study in Crohn’s disease patients over 28 weeks suggests this to be relatively stable (Lie </w:t>
      </w:r>
      <w:r w:rsidRPr="00C86A70">
        <w:rPr>
          <w:i/>
        </w:rPr>
        <w:t>et al.</w:t>
      </w:r>
      <w:r w:rsidRPr="00C86A70">
        <w:t>, 2014).</w:t>
      </w:r>
    </w:p>
    <w:p w14:paraId="0624194F" w14:textId="77777777" w:rsidR="007C0FDC" w:rsidRPr="00C86A70" w:rsidRDefault="007C0FDC" w:rsidP="00533472">
      <w:pPr>
        <w:pStyle w:val="ListBullet"/>
      </w:pPr>
      <w:r w:rsidRPr="00C86A70">
        <w:t>The unadjusted PK parameter results are preferred over a simple linear adjustment for serum protein content, and only the unadjusted results should be considered. The originally proposed method for protein adjustment may not have produced results that are easily comparable to other bioequivalence studies of PK studies in general. The use of unadjusted PK parameter results is consistent with current regulatory practice with regard to similar PK bioequivalence studies for comparable biosimilars with a relatively large inter-individual variability and a relatively wide therapeutic window.</w:t>
      </w:r>
    </w:p>
    <w:p w14:paraId="31EB9E47" w14:textId="507E37D5" w:rsidR="007C0FDC" w:rsidRPr="00C86A70" w:rsidRDefault="007C0FDC" w:rsidP="00533472">
      <w:pPr>
        <w:pStyle w:val="ListBullet"/>
      </w:pPr>
      <w:r w:rsidRPr="00533472">
        <w:rPr>
          <w:i/>
        </w:rPr>
        <w:t>Summary comment:</w:t>
      </w:r>
      <w:r w:rsidRPr="00C86A70">
        <w:t xml:space="preserve"> </w:t>
      </w:r>
      <w:r w:rsidRPr="00C86A70">
        <w:rPr>
          <w:lang w:eastAsia="ja-JP"/>
        </w:rPr>
        <w:t xml:space="preserve">Overall, the bioequivalence criteria for ABP 501 were met. The parameters assessed are </w:t>
      </w:r>
      <w:r w:rsidRPr="00C86A70">
        <w:t xml:space="preserve">within the prescribed bioequivalence margins and support bioequivalence. </w:t>
      </w:r>
      <w:r w:rsidRPr="00C86A70">
        <w:rPr>
          <w:lang w:eastAsia="ja-JP"/>
        </w:rPr>
        <w:t>The serum protein adjusted PK parameter results were excluded from analysis</w:t>
      </w:r>
      <w:r w:rsidR="00E34BE1">
        <w:rPr>
          <w:lang w:eastAsia="ja-JP"/>
        </w:rPr>
        <w:t>.</w:t>
      </w:r>
    </w:p>
    <w:p w14:paraId="3723D493" w14:textId="77777777" w:rsidR="00A8449A" w:rsidRDefault="007C0FDC" w:rsidP="005B4657">
      <w:pPr>
        <w:pStyle w:val="Heading4"/>
      </w:pPr>
      <w:bookmarkStart w:id="65" w:name="_Ref460830955"/>
      <w:r w:rsidRPr="005B4657">
        <w:t>Study</w:t>
      </w:r>
      <w:r w:rsidRPr="00A1102F">
        <w:t xml:space="preserve"> </w:t>
      </w:r>
      <w:r>
        <w:t>20120262</w:t>
      </w:r>
    </w:p>
    <w:p w14:paraId="749EC984" w14:textId="062FBD65" w:rsidR="007C0FDC" w:rsidRPr="00A8449A" w:rsidRDefault="007C0FDC" w:rsidP="00533472">
      <w:pPr>
        <w:pStyle w:val="ListBullet"/>
      </w:pPr>
      <w:r w:rsidRPr="00A8449A">
        <w:t>A Phase III, double-blind, randomised, active comparator-controlled study in 526 subjects with moderate to s</w:t>
      </w:r>
      <w:r w:rsidRPr="00E8540F">
        <w:t>evere rheumatoid arthritis with concomitant methotrexate and oral corticosteroid use evaluating the efficacy and safety of ABP 501 compared with adalimumab</w:t>
      </w:r>
      <w:r w:rsidR="00A8449A">
        <w:t> </w:t>
      </w:r>
      <w:r w:rsidRPr="00A8449A">
        <w:t>(US)</w:t>
      </w:r>
      <w:bookmarkEnd w:id="65"/>
      <w:r w:rsidR="00A8449A" w:rsidRPr="00A8449A">
        <w:t>.</w:t>
      </w:r>
    </w:p>
    <w:p w14:paraId="0AA5BD0D" w14:textId="77777777" w:rsidR="007C0FDC" w:rsidRDefault="007C0FDC" w:rsidP="007C0FDC">
      <w:r>
        <w:t>Supportive PK data was supplied by Study 20</w:t>
      </w:r>
      <w:r w:rsidRPr="00F733EF">
        <w:t>120262</w:t>
      </w:r>
      <w:r>
        <w:t>. One of the exploratory objectives was to assess the trough serum concentration for ABP 501 compared with adalimumab.</w:t>
      </w:r>
    </w:p>
    <w:p w14:paraId="13524503" w14:textId="77777777" w:rsidR="007C0FDC" w:rsidRDefault="007C0FDC" w:rsidP="00E34BE1">
      <w:r>
        <w:t>The study methods (other than for the purpose of measuring PK trough data) are described in detail in section Efficacy below. Pharmacokinetic samples were taken on Day 1, and then at Weeks 2, 4, 8, 12, 24, and 26.</w:t>
      </w:r>
    </w:p>
    <w:p w14:paraId="562E3AC9" w14:textId="77777777" w:rsidR="007C0FDC" w:rsidRDefault="007C0FDC" w:rsidP="007C0FDC">
      <w:r>
        <w:t>The Pharmacokinetic Analysis Set</w:t>
      </w:r>
      <w:r w:rsidRPr="00BE4AEA">
        <w:t xml:space="preserve"> consisted of the subset of subjects in the safety analysis set who had at least </w:t>
      </w:r>
      <w:r>
        <w:t>one</w:t>
      </w:r>
      <w:r w:rsidRPr="00BE4AEA">
        <w:t xml:space="preserve"> evaluable result for serum concentration of ABP 501 or adalimumab (including results</w:t>
      </w:r>
      <w:r>
        <w:t xml:space="preserve"> below the level of detection): N</w:t>
      </w:r>
      <w:r w:rsidR="00A8449A">
        <w:t xml:space="preserve"> </w:t>
      </w:r>
      <w:r>
        <w:t>=</w:t>
      </w:r>
      <w:r w:rsidR="00A8449A">
        <w:t xml:space="preserve"> </w:t>
      </w:r>
      <w:r>
        <w:t xml:space="preserve">526 (264 subjects in the ABP 501 group and </w:t>
      </w:r>
      <w:proofErr w:type="gramStart"/>
      <w:r>
        <w:t>262 subjects in the adalimumab group).</w:t>
      </w:r>
      <w:proofErr w:type="gramEnd"/>
      <w:r w:rsidRPr="00B00E48">
        <w:t xml:space="preserve"> </w:t>
      </w:r>
      <w:r>
        <w:t xml:space="preserve">However, as the study progressed, the number of subjects who provided results decreased. </w:t>
      </w:r>
      <w:r w:rsidRPr="00BE4AEA">
        <w:t>Pharmacokinetic concentration data from subjects were analysed according to the actual treatment received.</w:t>
      </w:r>
    </w:p>
    <w:p w14:paraId="469221C9" w14:textId="77777777" w:rsidR="007C0FDC" w:rsidRPr="00D66C0F" w:rsidRDefault="007C0FDC" w:rsidP="007C0FDC">
      <w:pPr>
        <w:pStyle w:val="Caption"/>
        <w:rPr>
          <w:b/>
          <w:sz w:val="22"/>
          <w:szCs w:val="22"/>
        </w:rPr>
      </w:pPr>
      <w:r w:rsidRPr="00D66C0F">
        <w:rPr>
          <w:sz w:val="22"/>
          <w:szCs w:val="22"/>
        </w:rPr>
        <w:t>The trough serum concentrations, the geometric mean, and the geometric coefficient of variability were similar between the ABP 501 and adalimumab groups across all study weeks, but the inter-individual variability was rather large (</w:t>
      </w:r>
      <w:r>
        <w:rPr>
          <w:sz w:val="22"/>
          <w:szCs w:val="22"/>
        </w:rPr>
        <w:t>Table 7</w:t>
      </w:r>
      <w:r w:rsidRPr="00D66C0F">
        <w:rPr>
          <w:sz w:val="22"/>
          <w:szCs w:val="22"/>
        </w:rPr>
        <w:t>).</w:t>
      </w:r>
    </w:p>
    <w:p w14:paraId="6F270404" w14:textId="4D7781C1" w:rsidR="007C0FDC" w:rsidRPr="00266743" w:rsidRDefault="007C0FDC" w:rsidP="00E34BE1">
      <w:pPr>
        <w:pStyle w:val="Tabletitle"/>
      </w:pPr>
      <w:bookmarkStart w:id="66" w:name="_Ref460670610"/>
      <w:bookmarkStart w:id="67" w:name="_Toc471285598"/>
      <w:r w:rsidRPr="00266743">
        <w:lastRenderedPageBreak/>
        <w:t xml:space="preserve">Table </w:t>
      </w:r>
      <w:r>
        <w:t>7:</w:t>
      </w:r>
      <w:bookmarkEnd w:id="66"/>
      <w:r w:rsidRPr="00266743">
        <w:t xml:space="preserve"> Study 20120262: Geometric </w:t>
      </w:r>
      <w:r w:rsidR="003745A2" w:rsidRPr="00266743">
        <w:t xml:space="preserve">mean summary of trough serum pharmacokinetics concentrations </w:t>
      </w:r>
      <w:r w:rsidRPr="00266743">
        <w:t xml:space="preserve">(ng/mL) by </w:t>
      </w:r>
      <w:r w:rsidR="003745A2">
        <w:t>v</w:t>
      </w:r>
      <w:r w:rsidR="003745A2" w:rsidRPr="00266743">
        <w:t xml:space="preserve">isit </w:t>
      </w:r>
      <w:r w:rsidRPr="00266743">
        <w:t xml:space="preserve">and </w:t>
      </w:r>
      <w:r w:rsidR="003745A2">
        <w:t>t</w:t>
      </w:r>
      <w:r w:rsidR="003745A2" w:rsidRPr="00266743">
        <w:t xml:space="preserve">reatment </w:t>
      </w:r>
      <w:r w:rsidRPr="00266743">
        <w:t>(Pharmacokinetic Analysis Set)</w:t>
      </w:r>
      <w:bookmarkEnd w:id="67"/>
    </w:p>
    <w:p w14:paraId="46D21227" w14:textId="77777777" w:rsidR="007C0FDC" w:rsidRDefault="007C0FDC" w:rsidP="007C0FDC">
      <w:r>
        <w:rPr>
          <w:noProof/>
          <w:lang w:eastAsia="en-AU"/>
        </w:rPr>
        <w:drawing>
          <wp:inline distT="0" distB="0" distL="0" distR="0" wp14:anchorId="7BA71941" wp14:editId="5480D417">
            <wp:extent cx="3644661" cy="4183811"/>
            <wp:effectExtent l="0" t="0" r="0" b="7620"/>
            <wp:docPr id="324" name="Picture 324" descr="Table 7: Study 20120262: Geometric Mean Summary of Trough Serum Pharmacokinetics Concentrations (ng/mL) by Visit and Treatment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b="3193"/>
                    <a:stretch/>
                  </pic:blipFill>
                  <pic:spPr bwMode="auto">
                    <a:xfrm>
                      <a:off x="0" y="0"/>
                      <a:ext cx="3655167" cy="4195871"/>
                    </a:xfrm>
                    <a:prstGeom prst="rect">
                      <a:avLst/>
                    </a:prstGeom>
                    <a:noFill/>
                    <a:ln>
                      <a:noFill/>
                    </a:ln>
                    <a:extLst>
                      <a:ext uri="{53640926-AAD7-44D8-BBD7-CCE9431645EC}">
                        <a14:shadowObscured xmlns:a14="http://schemas.microsoft.com/office/drawing/2010/main"/>
                      </a:ext>
                    </a:extLst>
                  </pic:spPr>
                </pic:pic>
              </a:graphicData>
            </a:graphic>
          </wp:inline>
        </w:drawing>
      </w:r>
    </w:p>
    <w:p w14:paraId="040F3006" w14:textId="77777777" w:rsidR="00A8449A" w:rsidRDefault="007C0FDC" w:rsidP="005B4657">
      <w:pPr>
        <w:pStyle w:val="Heading4"/>
      </w:pPr>
      <w:bookmarkStart w:id="68" w:name="_Ref460830964"/>
      <w:r w:rsidRPr="005B4657">
        <w:t>Study</w:t>
      </w:r>
      <w:r w:rsidRPr="00A1102F">
        <w:t xml:space="preserve"> </w:t>
      </w:r>
      <w:r>
        <w:t>20120263</w:t>
      </w:r>
    </w:p>
    <w:p w14:paraId="55B1FF17" w14:textId="1530CD1C" w:rsidR="007C0FDC" w:rsidRDefault="007C0FDC" w:rsidP="00533472">
      <w:pPr>
        <w:pStyle w:val="ListBullet"/>
      </w:pPr>
      <w:r>
        <w:t>A</w:t>
      </w:r>
      <w:r w:rsidRPr="00373615">
        <w:t xml:space="preserve"> </w:t>
      </w:r>
      <w:r>
        <w:t>Phase III</w:t>
      </w:r>
      <w:r w:rsidRPr="00373615">
        <w:t>, double-blind, randomised, active comparator-controlled study in 350 subjects with moderate to severe psoriasis with no concomitant medications allowed for the treatment of psoriasis evaluating the efficacy and safety of ABP 50</w:t>
      </w:r>
      <w:r>
        <w:t>1 compared with adalimumab (EU)</w:t>
      </w:r>
      <w:bookmarkEnd w:id="68"/>
      <w:r w:rsidR="00E34BE1">
        <w:t>.</w:t>
      </w:r>
    </w:p>
    <w:p w14:paraId="2893F5F1" w14:textId="77777777" w:rsidR="007C0FDC" w:rsidRDefault="007C0FDC" w:rsidP="007C0FDC">
      <w:r>
        <w:t>Supportive PK data was supplied by Study 20120263. One of the exploratory objectives was to assess the trough serum concentration for ABP 501 compared with adalimumab.</w:t>
      </w:r>
    </w:p>
    <w:p w14:paraId="4F4ED732" w14:textId="10F960D6" w:rsidR="007C0FDC" w:rsidRDefault="007C0FDC" w:rsidP="007C0FDC">
      <w:r>
        <w:t>The study methods (other than for the purpose of measuring PK data) are described in de</w:t>
      </w:r>
      <w:r w:rsidR="005B4657">
        <w:t>tail in section Efficacy below.</w:t>
      </w:r>
      <w:r>
        <w:t xml:space="preserve"> Pharmacokinetic samples were taken on Day 1, and then at Weeks 4, 16, 20, 32, and 52.</w:t>
      </w:r>
    </w:p>
    <w:p w14:paraId="1EA27F4B" w14:textId="77777777" w:rsidR="007C0FDC" w:rsidRDefault="007C0FDC" w:rsidP="007C0FDC">
      <w:r>
        <w:t xml:space="preserve">The Pharmacokinetic Analysis Set consisted of the subset of subjects in the safety analysis set who had at least one evaluable result for serum concentration of ABP 501 or adalimumab (including results below the level of detection): N=347 (initially 174 subjects in the ABP 501 group and 173 subjects in the adalimumab group; in the re-randomised group: 152 subjects (Group A: ABP 501/ABP 501); 79 subjects (Group B1: adalimumab/adalimumab); 77 subjects (Group B2: adalimumab/ABP 501). </w:t>
      </w:r>
      <w:r w:rsidRPr="00C4726A">
        <w:t xml:space="preserve">However, as the study progressed, </w:t>
      </w:r>
      <w:r>
        <w:t>there was a small amount of subject attrition</w:t>
      </w:r>
      <w:r w:rsidRPr="00C4726A">
        <w:t xml:space="preserve">. </w:t>
      </w:r>
      <w:r>
        <w:t>Pharmacokinetic concentration data from subjects were analysed according to the actual treatment received.</w:t>
      </w:r>
    </w:p>
    <w:p w14:paraId="5AFA29D3" w14:textId="7BB27985" w:rsidR="007C0FDC" w:rsidRPr="008A683F" w:rsidRDefault="007C0FDC" w:rsidP="007C0FDC">
      <w:r>
        <w:t>From baseline to Week 16, the geometric mean trough serum concentrations were similar between Treatment Group A (ABP 501) and Treatment Group B (adalimumab) (Table 8).</w:t>
      </w:r>
    </w:p>
    <w:p w14:paraId="4A236BBA" w14:textId="423E1BEC" w:rsidR="007C0FDC" w:rsidRPr="000506E9" w:rsidRDefault="007C0FDC" w:rsidP="00BA6187">
      <w:pPr>
        <w:pStyle w:val="Tabletitle"/>
      </w:pPr>
      <w:bookmarkStart w:id="69" w:name="_Ref460780119"/>
      <w:bookmarkStart w:id="70" w:name="_Toc471285599"/>
      <w:r w:rsidRPr="000506E9">
        <w:lastRenderedPageBreak/>
        <w:t xml:space="preserve">Table </w:t>
      </w:r>
      <w:r>
        <w:t>8:</w:t>
      </w:r>
      <w:bookmarkEnd w:id="69"/>
      <w:r w:rsidRPr="000506E9">
        <w:t xml:space="preserve"> Study 20120263: Geometric </w:t>
      </w:r>
      <w:r w:rsidR="003745A2" w:rsidRPr="000506E9">
        <w:t xml:space="preserve">mean summary of trough serum pharmacokinetics concentration </w:t>
      </w:r>
      <w:r w:rsidRPr="000506E9">
        <w:t xml:space="preserve">(ng/mL) by </w:t>
      </w:r>
      <w:r w:rsidR="003745A2">
        <w:t>v</w:t>
      </w:r>
      <w:r w:rsidR="003745A2" w:rsidRPr="000506E9">
        <w:t xml:space="preserve">isit </w:t>
      </w:r>
      <w:r w:rsidRPr="00BA6187">
        <w:t>and</w:t>
      </w:r>
      <w:r w:rsidRPr="000506E9">
        <w:t xml:space="preserve"> </w:t>
      </w:r>
      <w:r w:rsidR="003745A2">
        <w:t xml:space="preserve">treatment, </w:t>
      </w:r>
      <w:r w:rsidRPr="000506E9">
        <w:t>Baseline to Week 16 (</w:t>
      </w:r>
      <w:r>
        <w:t>Pharmacokinetic Analysis Set)</w:t>
      </w:r>
      <w:bookmarkEnd w:id="70"/>
    </w:p>
    <w:p w14:paraId="4BE8A3DF" w14:textId="77777777" w:rsidR="007C0FDC" w:rsidRDefault="007C0FDC" w:rsidP="007C0FDC">
      <w:r>
        <w:rPr>
          <w:noProof/>
          <w:lang w:eastAsia="en-AU"/>
        </w:rPr>
        <w:drawing>
          <wp:inline distT="0" distB="0" distL="0" distR="0" wp14:anchorId="6D554B66" wp14:editId="7C3A681C">
            <wp:extent cx="3563750" cy="2222696"/>
            <wp:effectExtent l="0" t="0" r="0" b="6350"/>
            <wp:docPr id="325" name="Picture 325" descr="Table 8: Study 20120263: Geometric Mean Summary of Trough Serum Pharmacokinetics Concentration (ng/mL) by Visit and Treatment – Baseline to Week 16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3574870" cy="2229631"/>
                    </a:xfrm>
                    <a:prstGeom prst="rect">
                      <a:avLst/>
                    </a:prstGeom>
                    <a:noFill/>
                    <a:ln>
                      <a:noFill/>
                    </a:ln>
                  </pic:spPr>
                </pic:pic>
              </a:graphicData>
            </a:graphic>
          </wp:inline>
        </w:drawing>
      </w:r>
    </w:p>
    <w:p w14:paraId="36E39208" w14:textId="63C208D2" w:rsidR="007C0FDC" w:rsidRDefault="007C0FDC" w:rsidP="007C0FDC">
      <w:r>
        <w:t>From baseline to the end of study, the geometric mean trough serum concentrations were similar between the re-randomised treatment groups for most time points (Table 9). T</w:t>
      </w:r>
      <w:r w:rsidRPr="008A683F">
        <w:t>he inter-individual variability was rather large</w:t>
      </w:r>
      <w:r>
        <w:t xml:space="preserve">, especially from </w:t>
      </w:r>
      <w:r w:rsidR="00A8449A">
        <w:t>W</w:t>
      </w:r>
      <w:r>
        <w:t>eek 16 onwards.</w:t>
      </w:r>
    </w:p>
    <w:p w14:paraId="53660596" w14:textId="10349A8F" w:rsidR="007C0FDC" w:rsidRPr="008A683F" w:rsidRDefault="007C0FDC" w:rsidP="00BA6187">
      <w:pPr>
        <w:pStyle w:val="Tabletitle"/>
      </w:pPr>
      <w:bookmarkStart w:id="71" w:name="_Ref460780133"/>
      <w:bookmarkStart w:id="72" w:name="_Toc471285600"/>
      <w:r w:rsidRPr="008A683F">
        <w:t xml:space="preserve">Table </w:t>
      </w:r>
      <w:r>
        <w:t>9</w:t>
      </w:r>
      <w:bookmarkEnd w:id="71"/>
      <w:r>
        <w:t>:</w:t>
      </w:r>
      <w:r w:rsidRPr="008A683F">
        <w:t xml:space="preserve"> Study 20120263: Geometric </w:t>
      </w:r>
      <w:r w:rsidR="003745A2" w:rsidRPr="008A683F">
        <w:t>mean summary of trough serum pharmacokinetics concentrations</w:t>
      </w:r>
      <w:r w:rsidRPr="008A683F">
        <w:t xml:space="preserve"> (ng/mL) by </w:t>
      </w:r>
      <w:r w:rsidR="003745A2" w:rsidRPr="008A683F">
        <w:t>visit and treatment group</w:t>
      </w:r>
      <w:r w:rsidR="00A8449A">
        <w:t xml:space="preserve">; </w:t>
      </w:r>
      <w:r w:rsidRPr="008A683F">
        <w:t xml:space="preserve">Baseline to </w:t>
      </w:r>
      <w:r w:rsidR="003745A2">
        <w:t>e</w:t>
      </w:r>
      <w:r w:rsidR="003745A2" w:rsidRPr="008A683F">
        <w:t xml:space="preserve">nd </w:t>
      </w:r>
      <w:r w:rsidRPr="008A683F">
        <w:t xml:space="preserve">of </w:t>
      </w:r>
      <w:r w:rsidR="003745A2">
        <w:t>s</w:t>
      </w:r>
      <w:r w:rsidR="003745A2" w:rsidRPr="008A683F">
        <w:t xml:space="preserve">tudy </w:t>
      </w:r>
      <w:r w:rsidRPr="008A683F">
        <w:t>(Pharmacokinetics Analysis Set).</w:t>
      </w:r>
      <w:bookmarkEnd w:id="72"/>
    </w:p>
    <w:p w14:paraId="0BF12CAD" w14:textId="77777777" w:rsidR="007C0FDC" w:rsidRDefault="007C0FDC" w:rsidP="007C0FDC">
      <w:r>
        <w:rPr>
          <w:noProof/>
          <w:lang w:eastAsia="en-AU"/>
        </w:rPr>
        <w:drawing>
          <wp:inline distT="0" distB="0" distL="0" distR="0" wp14:anchorId="67B8F547" wp14:editId="3DA68F6B">
            <wp:extent cx="3726209" cy="4192437"/>
            <wp:effectExtent l="0" t="0" r="7620" b="0"/>
            <wp:docPr id="326" name="Picture 326" descr="Table 9: Study 20120263: Geometric Mean Summary of Trough Serum Pharmacokinetics Concentrations (ng/mL) by Visit and Treatment Group – Baseline to End of Study (Pharmacokinetics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lum bright="-20000" contrast="40000"/>
                      <a:extLst>
                        <a:ext uri="{28A0092B-C50C-407E-A947-70E740481C1C}">
                          <a14:useLocalDpi xmlns:a14="http://schemas.microsoft.com/office/drawing/2010/main" val="0"/>
                        </a:ext>
                      </a:extLst>
                    </a:blip>
                    <a:srcRect b="2605"/>
                    <a:stretch/>
                  </pic:blipFill>
                  <pic:spPr bwMode="auto">
                    <a:xfrm>
                      <a:off x="0" y="0"/>
                      <a:ext cx="3733029" cy="4200111"/>
                    </a:xfrm>
                    <a:prstGeom prst="rect">
                      <a:avLst/>
                    </a:prstGeom>
                    <a:noFill/>
                    <a:ln>
                      <a:noFill/>
                    </a:ln>
                    <a:extLst>
                      <a:ext uri="{53640926-AAD7-44D8-BBD7-CCE9431645EC}">
                        <a14:shadowObscured xmlns:a14="http://schemas.microsoft.com/office/drawing/2010/main"/>
                      </a:ext>
                    </a:extLst>
                  </pic:spPr>
                </pic:pic>
              </a:graphicData>
            </a:graphic>
          </wp:inline>
        </w:drawing>
      </w:r>
    </w:p>
    <w:p w14:paraId="3E4BB2E1" w14:textId="77777777" w:rsidR="007C0FDC" w:rsidRPr="002B74F6" w:rsidRDefault="007C0FDC" w:rsidP="00BA6187">
      <w:pPr>
        <w:pStyle w:val="Heading3"/>
      </w:pPr>
      <w:bookmarkStart w:id="73" w:name="_Toc470272288"/>
      <w:bookmarkStart w:id="74" w:name="_Toc509822397"/>
      <w:r w:rsidRPr="00BA6187">
        <w:lastRenderedPageBreak/>
        <w:t>Summary</w:t>
      </w:r>
      <w:r w:rsidRPr="002B74F6">
        <w:t xml:space="preserve"> of pharmacokinetics</w:t>
      </w:r>
      <w:bookmarkEnd w:id="73"/>
      <w:bookmarkEnd w:id="74"/>
    </w:p>
    <w:p w14:paraId="791A26E5" w14:textId="77777777" w:rsidR="007C0FDC" w:rsidRDefault="007C0FDC" w:rsidP="005B4657">
      <w:pPr>
        <w:pStyle w:val="Heading4"/>
      </w:pPr>
      <w:bookmarkStart w:id="75" w:name="_Toc272414617"/>
      <w:bookmarkStart w:id="76" w:name="_Toc290888466"/>
      <w:bookmarkStart w:id="77" w:name="_Toc416353662"/>
      <w:bookmarkStart w:id="78" w:name="_Toc421005243"/>
      <w:bookmarkStart w:id="79" w:name="_Toc432079125"/>
      <w:bookmarkStart w:id="80" w:name="_Toc432080698"/>
      <w:r w:rsidRPr="005B4657">
        <w:t>Physicochemical</w:t>
      </w:r>
      <w:r w:rsidRPr="002B74F6">
        <w:t xml:space="preserve"> </w:t>
      </w:r>
      <w:r w:rsidRPr="00BA6187">
        <w:t>characteristics</w:t>
      </w:r>
      <w:r w:rsidRPr="002B74F6">
        <w:t xml:space="preserve"> of the active substance</w:t>
      </w:r>
      <w:bookmarkEnd w:id="75"/>
      <w:bookmarkEnd w:id="76"/>
      <w:bookmarkEnd w:id="77"/>
      <w:bookmarkEnd w:id="78"/>
      <w:bookmarkEnd w:id="79"/>
      <w:bookmarkEnd w:id="80"/>
    </w:p>
    <w:p w14:paraId="7B531221" w14:textId="77777777" w:rsidR="007C0FDC" w:rsidRDefault="007C0FDC" w:rsidP="007C0FDC">
      <w:pPr>
        <w:rPr>
          <w:lang w:eastAsia="ja-JP"/>
        </w:rPr>
      </w:pPr>
      <w:r w:rsidRPr="00112D82">
        <w:rPr>
          <w:lang w:eastAsia="ja-JP"/>
        </w:rPr>
        <w:t xml:space="preserve">The following information is derived from the </w:t>
      </w:r>
      <w:r>
        <w:rPr>
          <w:lang w:eastAsia="ja-JP"/>
        </w:rPr>
        <w:t>s</w:t>
      </w:r>
      <w:r w:rsidRPr="00112D82">
        <w:rPr>
          <w:lang w:eastAsia="ja-JP"/>
        </w:rPr>
        <w:t>ponsor’s summaries.</w:t>
      </w:r>
    </w:p>
    <w:p w14:paraId="3CEB6E68" w14:textId="77777777" w:rsidR="007C0FDC" w:rsidRPr="00BA6187" w:rsidRDefault="007C0FDC" w:rsidP="007C0FDC">
      <w:pPr>
        <w:rPr>
          <w:lang w:eastAsia="ja-JP"/>
        </w:rPr>
      </w:pPr>
      <w:r w:rsidRPr="00112D82">
        <w:rPr>
          <w:lang w:eastAsia="ja-JP"/>
        </w:rPr>
        <w:t xml:space="preserve">ABP 501 </w:t>
      </w:r>
      <w:r>
        <w:rPr>
          <w:lang w:eastAsia="ja-JP"/>
        </w:rPr>
        <w:t xml:space="preserve">is a </w:t>
      </w:r>
      <w:r w:rsidRPr="00112D82">
        <w:rPr>
          <w:lang w:eastAsia="ja-JP"/>
        </w:rPr>
        <w:t>f</w:t>
      </w:r>
      <w:r>
        <w:rPr>
          <w:lang w:eastAsia="ja-JP"/>
        </w:rPr>
        <w:t>ully human monoclonal antibody</w:t>
      </w:r>
      <w:r w:rsidRPr="00112D82">
        <w:rPr>
          <w:lang w:eastAsia="ja-JP"/>
        </w:rPr>
        <w:t xml:space="preserve"> of the immunoglobulin G1 (IgG1) subclass expressed in Chinese hamster ovary cells. </w:t>
      </w:r>
      <w:r w:rsidRPr="00D8022D">
        <w:rPr>
          <w:lang w:eastAsia="ja-JP"/>
        </w:rPr>
        <w:t>It specifically binds to human tumor necrosis factor α (TNFα) and prevents it from binding to TNFα receptor 1 (TNFR1, p55TNFR, or TNFRSF1A) and TNFα receptor 2 (TNFR2, p75TNFR, or TNFRSF1B).</w:t>
      </w:r>
    </w:p>
    <w:p w14:paraId="2EF74D58" w14:textId="77777777" w:rsidR="007C0FDC" w:rsidRDefault="007C0FDC" w:rsidP="007C0FDC">
      <w:pPr>
        <w:rPr>
          <w:lang w:eastAsia="ja-JP"/>
        </w:rPr>
      </w:pPr>
      <w:r>
        <w:rPr>
          <w:lang w:eastAsia="ja-JP"/>
        </w:rPr>
        <w:t xml:space="preserve">ABP 501 </w:t>
      </w:r>
      <w:r w:rsidRPr="00BA0C29">
        <w:rPr>
          <w:lang w:eastAsia="ja-JP"/>
        </w:rPr>
        <w:t xml:space="preserve">consists of 2 heavy chains (HC), and 2 light chains (LC) of the kappa subclass. ABP 501 contains 32 total cysteine residues involved in both </w:t>
      </w:r>
      <w:proofErr w:type="spellStart"/>
      <w:r w:rsidRPr="00BA0C29">
        <w:rPr>
          <w:lang w:eastAsia="ja-JP"/>
        </w:rPr>
        <w:t>intrachain</w:t>
      </w:r>
      <w:proofErr w:type="spellEnd"/>
      <w:r w:rsidRPr="00BA0C29">
        <w:rPr>
          <w:lang w:eastAsia="ja-JP"/>
        </w:rPr>
        <w:t xml:space="preserve"> and </w:t>
      </w:r>
      <w:proofErr w:type="spellStart"/>
      <w:r w:rsidRPr="00BA0C29">
        <w:rPr>
          <w:lang w:eastAsia="ja-JP"/>
        </w:rPr>
        <w:t>interchain</w:t>
      </w:r>
      <w:proofErr w:type="spellEnd"/>
      <w:r w:rsidRPr="00BA0C29">
        <w:rPr>
          <w:lang w:eastAsia="ja-JP"/>
        </w:rPr>
        <w:t xml:space="preserve"> </w:t>
      </w:r>
      <w:r>
        <w:rPr>
          <w:lang w:eastAsia="ja-JP"/>
        </w:rPr>
        <w:t>disulphide</w:t>
      </w:r>
      <w:r w:rsidRPr="00BA0C29">
        <w:rPr>
          <w:lang w:eastAsia="ja-JP"/>
        </w:rPr>
        <w:t xml:space="preserve"> bonds. Each HC contains 451 amino acids with 4 </w:t>
      </w:r>
      <w:proofErr w:type="spellStart"/>
      <w:r w:rsidRPr="00BA0C29">
        <w:rPr>
          <w:lang w:eastAsia="ja-JP"/>
        </w:rPr>
        <w:t>intrachain</w:t>
      </w:r>
      <w:proofErr w:type="spellEnd"/>
      <w:r w:rsidRPr="00BA0C29">
        <w:rPr>
          <w:lang w:eastAsia="ja-JP"/>
        </w:rPr>
        <w:t xml:space="preserve"> </w:t>
      </w:r>
      <w:r>
        <w:rPr>
          <w:lang w:eastAsia="ja-JP"/>
        </w:rPr>
        <w:t>disulphide</w:t>
      </w:r>
      <w:r w:rsidRPr="00BA0C29">
        <w:rPr>
          <w:lang w:eastAsia="ja-JP"/>
        </w:rPr>
        <w:t xml:space="preserve">s. Each LC contains 214 amino acids with 2 </w:t>
      </w:r>
      <w:proofErr w:type="spellStart"/>
      <w:r w:rsidRPr="00BA0C29">
        <w:rPr>
          <w:lang w:eastAsia="ja-JP"/>
        </w:rPr>
        <w:t>intrachain</w:t>
      </w:r>
      <w:proofErr w:type="spellEnd"/>
      <w:r w:rsidRPr="00BA0C29">
        <w:rPr>
          <w:lang w:eastAsia="ja-JP"/>
        </w:rPr>
        <w:t xml:space="preserve"> </w:t>
      </w:r>
      <w:r>
        <w:rPr>
          <w:lang w:eastAsia="ja-JP"/>
        </w:rPr>
        <w:t>disulphide</w:t>
      </w:r>
      <w:r w:rsidRPr="00BA0C29">
        <w:rPr>
          <w:lang w:eastAsia="ja-JP"/>
        </w:rPr>
        <w:t>s. Each HC contains an N-linked glycan at the consensus glycosylation site on Asn</w:t>
      </w:r>
      <w:r w:rsidRPr="00F94D0C">
        <w:rPr>
          <w:vertAlign w:val="superscript"/>
          <w:lang w:eastAsia="ja-JP"/>
        </w:rPr>
        <w:t>301</w:t>
      </w:r>
      <w:r>
        <w:rPr>
          <w:lang w:eastAsia="ja-JP"/>
        </w:rPr>
        <w:t>.</w:t>
      </w:r>
    </w:p>
    <w:p w14:paraId="605F0055" w14:textId="77777777" w:rsidR="007C0FDC" w:rsidRDefault="007C0FDC" w:rsidP="007C0FDC">
      <w:pPr>
        <w:rPr>
          <w:lang w:eastAsia="ja-JP"/>
        </w:rPr>
      </w:pPr>
      <w:r w:rsidRPr="00756D9C">
        <w:rPr>
          <w:lang w:eastAsia="ja-JP"/>
        </w:rPr>
        <w:t>The molecular formula for the predominant ABP 501 HC isoform (C-terminal glycine) is C</w:t>
      </w:r>
      <w:r w:rsidRPr="00756D9C">
        <w:rPr>
          <w:vertAlign w:val="subscript"/>
          <w:lang w:eastAsia="ja-JP"/>
        </w:rPr>
        <w:t>2191</w:t>
      </w:r>
      <w:r w:rsidRPr="00756D9C">
        <w:rPr>
          <w:lang w:eastAsia="ja-JP"/>
        </w:rPr>
        <w:t>H</w:t>
      </w:r>
      <w:r w:rsidRPr="00756D9C">
        <w:rPr>
          <w:vertAlign w:val="subscript"/>
          <w:lang w:eastAsia="ja-JP"/>
        </w:rPr>
        <w:t>3392</w:t>
      </w:r>
      <w:r w:rsidRPr="00756D9C">
        <w:rPr>
          <w:lang w:eastAsia="ja-JP"/>
        </w:rPr>
        <w:t>N</w:t>
      </w:r>
      <w:r w:rsidRPr="00756D9C">
        <w:rPr>
          <w:vertAlign w:val="subscript"/>
          <w:lang w:eastAsia="ja-JP"/>
        </w:rPr>
        <w:t>582</w:t>
      </w:r>
      <w:r w:rsidRPr="00756D9C">
        <w:rPr>
          <w:lang w:eastAsia="ja-JP"/>
        </w:rPr>
        <w:t>O</w:t>
      </w:r>
      <w:r w:rsidRPr="00756D9C">
        <w:rPr>
          <w:vertAlign w:val="subscript"/>
          <w:lang w:eastAsia="ja-JP"/>
        </w:rPr>
        <w:t>677</w:t>
      </w:r>
      <w:r w:rsidRPr="00756D9C">
        <w:rPr>
          <w:lang w:eastAsia="ja-JP"/>
        </w:rPr>
        <w:t>S</w:t>
      </w:r>
      <w:r w:rsidRPr="00756D9C">
        <w:rPr>
          <w:vertAlign w:val="subscript"/>
          <w:lang w:eastAsia="ja-JP"/>
        </w:rPr>
        <w:t>15</w:t>
      </w:r>
      <w:r>
        <w:rPr>
          <w:lang w:eastAsia="ja-JP"/>
        </w:rPr>
        <w:t xml:space="preserve"> (</w:t>
      </w:r>
      <w:r w:rsidRPr="00756D9C">
        <w:rPr>
          <w:lang w:eastAsia="ja-JP"/>
        </w:rPr>
        <w:t>not including N-linked glycans</w:t>
      </w:r>
      <w:r>
        <w:rPr>
          <w:lang w:eastAsia="ja-JP"/>
        </w:rPr>
        <w:t>)</w:t>
      </w:r>
      <w:r w:rsidRPr="00756D9C">
        <w:rPr>
          <w:lang w:eastAsia="ja-JP"/>
        </w:rPr>
        <w:t>. The theoretical mass of glycosylated ABP 501 containing 2 N-linked glycan</w:t>
      </w:r>
      <w:r>
        <w:rPr>
          <w:lang w:eastAsia="ja-JP"/>
        </w:rPr>
        <w:t>s (1 per HC) is 148,081 Da (</w:t>
      </w:r>
      <w:r w:rsidRPr="00756D9C">
        <w:rPr>
          <w:lang w:eastAsia="ja-JP"/>
        </w:rPr>
        <w:t>experimentally determined predominant ABP 501 mass</w:t>
      </w:r>
      <w:r>
        <w:rPr>
          <w:lang w:eastAsia="ja-JP"/>
        </w:rPr>
        <w:t>:</w:t>
      </w:r>
      <w:r w:rsidRPr="00756D9C">
        <w:rPr>
          <w:lang w:eastAsia="ja-JP"/>
        </w:rPr>
        <w:t xml:space="preserve"> 148,083 Da</w:t>
      </w:r>
      <w:r>
        <w:rPr>
          <w:lang w:eastAsia="ja-JP"/>
        </w:rPr>
        <w:t>). Important p</w:t>
      </w:r>
      <w:r w:rsidRPr="00756D9C">
        <w:rPr>
          <w:lang w:eastAsia="ja-JP"/>
        </w:rPr>
        <w:t>hysicochemical characteristics</w:t>
      </w:r>
      <w:r>
        <w:rPr>
          <w:lang w:eastAsia="ja-JP"/>
        </w:rPr>
        <w:t xml:space="preserve"> are summarised in Table 10.</w:t>
      </w:r>
    </w:p>
    <w:p w14:paraId="379CB524" w14:textId="4D1A0EC7" w:rsidR="007C0FDC" w:rsidRDefault="007C0FDC" w:rsidP="007C0FDC">
      <w:pPr>
        <w:rPr>
          <w:lang w:eastAsia="ja-JP"/>
        </w:rPr>
      </w:pPr>
      <w:r w:rsidRPr="00BA0C29">
        <w:rPr>
          <w:lang w:eastAsia="ja-JP"/>
        </w:rPr>
        <w:t xml:space="preserve">A schematic diagram of ABP 501 </w:t>
      </w:r>
      <w:r>
        <w:rPr>
          <w:lang w:eastAsia="ja-JP"/>
        </w:rPr>
        <w:t>has been provided by the sponsor and is reproduced</w:t>
      </w:r>
      <w:r w:rsidRPr="00BA0C29">
        <w:rPr>
          <w:lang w:eastAsia="ja-JP"/>
        </w:rPr>
        <w:t xml:space="preserve"> in </w:t>
      </w:r>
      <w:r>
        <w:rPr>
          <w:lang w:eastAsia="ja-JP"/>
        </w:rPr>
        <w:t>Figure</w:t>
      </w:r>
      <w:r w:rsidR="00A8449A">
        <w:rPr>
          <w:lang w:eastAsia="ja-JP"/>
        </w:rPr>
        <w:t> </w:t>
      </w:r>
      <w:r>
        <w:rPr>
          <w:lang w:eastAsia="ja-JP"/>
        </w:rPr>
        <w:t>3</w:t>
      </w:r>
      <w:r w:rsidRPr="00BA0C29">
        <w:rPr>
          <w:lang w:eastAsia="ja-JP"/>
        </w:rPr>
        <w:t>.</w:t>
      </w:r>
    </w:p>
    <w:p w14:paraId="11DDEE03" w14:textId="7BB5D649" w:rsidR="007C0FDC" w:rsidRPr="004D6DDC" w:rsidRDefault="007C0FDC" w:rsidP="00BA6187">
      <w:pPr>
        <w:pStyle w:val="FigureTitle"/>
        <w:rPr>
          <w:lang w:eastAsia="ja-JP"/>
        </w:rPr>
      </w:pPr>
      <w:bookmarkStart w:id="81" w:name="_Ref454548428"/>
      <w:bookmarkStart w:id="82" w:name="_Toc470272421"/>
      <w:r w:rsidRPr="004D6DDC">
        <w:t xml:space="preserve">Figure </w:t>
      </w:r>
      <w:bookmarkEnd w:id="81"/>
      <w:r w:rsidR="00A8449A">
        <w:t>3</w:t>
      </w:r>
      <w:r>
        <w:t>:</w:t>
      </w:r>
      <w:r w:rsidRPr="004D6DDC">
        <w:t xml:space="preserve"> Schematic structure of ABP 501 (Amgevita (adalimumab))</w:t>
      </w:r>
      <w:bookmarkEnd w:id="82"/>
    </w:p>
    <w:p w14:paraId="0A00AAF5" w14:textId="77777777" w:rsidR="007C0FDC" w:rsidRDefault="007C0FDC" w:rsidP="007C0FDC">
      <w:pPr>
        <w:rPr>
          <w:lang w:eastAsia="ja-JP"/>
        </w:rPr>
      </w:pPr>
      <w:bookmarkStart w:id="83" w:name="_Ref271189106"/>
      <w:bookmarkStart w:id="84" w:name="_Ref271189143"/>
      <w:bookmarkStart w:id="85" w:name="_Toc272414618"/>
      <w:bookmarkStart w:id="86" w:name="_Toc290888467"/>
      <w:bookmarkStart w:id="87" w:name="_Toc416353663"/>
      <w:bookmarkStart w:id="88" w:name="_Toc421005244"/>
      <w:bookmarkStart w:id="89" w:name="_Toc432079126"/>
      <w:bookmarkStart w:id="90" w:name="_Toc432080699"/>
      <w:r>
        <w:rPr>
          <w:noProof/>
          <w:lang w:eastAsia="en-AU"/>
        </w:rPr>
        <w:drawing>
          <wp:inline distT="0" distB="0" distL="0" distR="0" wp14:anchorId="39D8C18E" wp14:editId="4B863B94">
            <wp:extent cx="3295291" cy="3074499"/>
            <wp:effectExtent l="0" t="0" r="635" b="0"/>
            <wp:docPr id="13" name="Picture 13" descr="Figure 3: Schematic structure of ABP 501 (Amgevita (ada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3293433" cy="3072765"/>
                    </a:xfrm>
                    <a:prstGeom prst="rect">
                      <a:avLst/>
                    </a:prstGeom>
                    <a:noFill/>
                    <a:ln>
                      <a:noFill/>
                    </a:ln>
                  </pic:spPr>
                </pic:pic>
              </a:graphicData>
            </a:graphic>
          </wp:inline>
        </w:drawing>
      </w:r>
    </w:p>
    <w:p w14:paraId="56AB1F84" w14:textId="77777777" w:rsidR="007C0FDC" w:rsidRPr="00756D9C" w:rsidRDefault="007C0FDC" w:rsidP="00BA6187">
      <w:pPr>
        <w:pStyle w:val="Tabletitle"/>
        <w:rPr>
          <w:lang w:eastAsia="ja-JP"/>
        </w:rPr>
      </w:pPr>
      <w:bookmarkStart w:id="91" w:name="_Ref454549273"/>
      <w:bookmarkStart w:id="92" w:name="_Toc471285601"/>
      <w:r w:rsidRPr="00756D9C">
        <w:lastRenderedPageBreak/>
        <w:t xml:space="preserve">Table </w:t>
      </w:r>
      <w:r>
        <w:t>10:</w:t>
      </w:r>
      <w:bookmarkEnd w:id="91"/>
      <w:r w:rsidRPr="00756D9C">
        <w:t xml:space="preserve"> </w:t>
      </w:r>
      <w:r w:rsidRPr="00756D9C">
        <w:rPr>
          <w:lang w:eastAsia="ja-JP"/>
        </w:rPr>
        <w:t>Physicochemical characteristics of ABP 501</w:t>
      </w:r>
      <w:bookmarkEnd w:id="92"/>
    </w:p>
    <w:p w14:paraId="7DE4F2BA" w14:textId="77777777" w:rsidR="007C0FDC" w:rsidRDefault="007C0FDC" w:rsidP="007C0FDC">
      <w:pPr>
        <w:rPr>
          <w:lang w:eastAsia="ja-JP"/>
        </w:rPr>
      </w:pPr>
      <w:r>
        <w:rPr>
          <w:noProof/>
          <w:lang w:eastAsia="en-AU"/>
        </w:rPr>
        <w:drawing>
          <wp:inline distT="0" distB="0" distL="0" distR="0" wp14:anchorId="77A8722E" wp14:editId="1431519D">
            <wp:extent cx="4730250" cy="2623625"/>
            <wp:effectExtent l="0" t="0" r="0" b="5715"/>
            <wp:docPr id="15" name="Picture 15" descr="Table 10: Physicochemical characteristics of ABP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1342" cy="2624230"/>
                    </a:xfrm>
                    <a:prstGeom prst="rect">
                      <a:avLst/>
                    </a:prstGeom>
                    <a:noFill/>
                    <a:ln>
                      <a:noFill/>
                    </a:ln>
                  </pic:spPr>
                </pic:pic>
              </a:graphicData>
            </a:graphic>
          </wp:inline>
        </w:drawing>
      </w:r>
    </w:p>
    <w:p w14:paraId="5340B95D" w14:textId="77777777" w:rsidR="007C0FDC" w:rsidRDefault="007C0FDC" w:rsidP="00BA6187">
      <w:pPr>
        <w:rPr>
          <w:lang w:eastAsia="ja-JP"/>
        </w:rPr>
      </w:pPr>
      <w:r>
        <w:rPr>
          <w:lang w:eastAsia="ja-JP"/>
        </w:rPr>
        <w:t xml:space="preserve">The sponsor states that, based on a </w:t>
      </w:r>
      <w:r w:rsidRPr="008B36DE">
        <w:rPr>
          <w:lang w:eastAsia="ja-JP"/>
        </w:rPr>
        <w:t>comprehensive analytical similarity assessment</w:t>
      </w:r>
      <w:r>
        <w:rPr>
          <w:lang w:eastAsia="ja-JP"/>
        </w:rPr>
        <w:t>, ABP 501 is analytically similar to the reference product, and has the same primary amino acid sequence and the same strength as the reference product.</w:t>
      </w:r>
    </w:p>
    <w:p w14:paraId="7513FEEC" w14:textId="77777777" w:rsidR="007C0FDC" w:rsidRDefault="007C0FDC" w:rsidP="005B4657">
      <w:pPr>
        <w:pStyle w:val="Heading4"/>
      </w:pPr>
      <w:r w:rsidRPr="005B4657">
        <w:t>Pharmacokinetics</w:t>
      </w:r>
      <w:r w:rsidRPr="00545B14">
        <w:t xml:space="preserve"> in healthy subjects</w:t>
      </w:r>
      <w:bookmarkEnd w:id="83"/>
      <w:bookmarkEnd w:id="84"/>
      <w:bookmarkEnd w:id="85"/>
      <w:bookmarkEnd w:id="86"/>
      <w:bookmarkEnd w:id="87"/>
      <w:bookmarkEnd w:id="88"/>
      <w:bookmarkEnd w:id="89"/>
      <w:bookmarkEnd w:id="90"/>
      <w:r>
        <w:t xml:space="preserve"> and the target population</w:t>
      </w:r>
    </w:p>
    <w:p w14:paraId="1B279148" w14:textId="77777777" w:rsidR="007C0FDC" w:rsidRDefault="007C0FDC" w:rsidP="007C0FDC">
      <w:pPr>
        <w:rPr>
          <w:lang w:eastAsia="ja-JP"/>
        </w:rPr>
      </w:pPr>
      <w:r>
        <w:rPr>
          <w:lang w:eastAsia="ja-JP"/>
        </w:rPr>
        <w:t xml:space="preserve">The following information on pharmacokinetics is derived from the proposed product information (PI) document for </w:t>
      </w:r>
      <w:r w:rsidRPr="009B4651">
        <w:rPr>
          <w:lang w:eastAsia="ja-JP"/>
        </w:rPr>
        <w:t>ABP 501 (</w:t>
      </w:r>
      <w:r>
        <w:rPr>
          <w:lang w:eastAsia="ja-JP"/>
        </w:rPr>
        <w:t>Amgevita) and refers to the reference product Humira. The section with regard to pharmacokinetics is identical to the corresponding section in the reference product PI document, except for minor formatting changes and a statement that Amgevita</w:t>
      </w:r>
      <w:r w:rsidRPr="008C1559">
        <w:rPr>
          <w:lang w:eastAsia="ja-JP"/>
        </w:rPr>
        <w:t xml:space="preserve"> is pharmacokinetically similar to </w:t>
      </w:r>
      <w:r>
        <w:rPr>
          <w:lang w:eastAsia="ja-JP"/>
        </w:rPr>
        <w:t>Humira.</w:t>
      </w:r>
    </w:p>
    <w:p w14:paraId="57FD4036" w14:textId="77777777" w:rsidR="007C0FDC" w:rsidRDefault="007C0FDC" w:rsidP="007C0FDC">
      <w:pPr>
        <w:rPr>
          <w:lang w:eastAsia="ja-JP"/>
        </w:rPr>
      </w:pPr>
      <w:r>
        <w:rPr>
          <w:lang w:eastAsia="ja-JP"/>
        </w:rPr>
        <w:t>Healthy volunteers and patients with RA on adalimumab had similar pharmacokinetic profiles.</w:t>
      </w:r>
    </w:p>
    <w:p w14:paraId="29953547" w14:textId="77777777" w:rsidR="007C0FDC" w:rsidRPr="004C5F27" w:rsidRDefault="007C0FDC" w:rsidP="007C0FDC">
      <w:pPr>
        <w:rPr>
          <w:lang w:eastAsia="ja-JP"/>
        </w:rPr>
      </w:pPr>
      <w:r w:rsidRPr="00C474D8">
        <w:rPr>
          <w:lang w:eastAsia="ja-JP"/>
        </w:rPr>
        <w:t>No PK studies have examined the effects of food, the administration timing, or the use in patients with renal or hepatic impairment.</w:t>
      </w:r>
    </w:p>
    <w:p w14:paraId="5C29C094" w14:textId="77777777" w:rsidR="007C0FDC" w:rsidRPr="005B0142" w:rsidRDefault="007C0FDC" w:rsidP="005B4657">
      <w:pPr>
        <w:pStyle w:val="Heading5"/>
      </w:pPr>
      <w:bookmarkStart w:id="93" w:name="_Toc272414619"/>
      <w:bookmarkStart w:id="94" w:name="_Toc290888468"/>
      <w:bookmarkStart w:id="95" w:name="_Toc416353664"/>
      <w:r w:rsidRPr="005B4657">
        <w:t>Absorption</w:t>
      </w:r>
      <w:bookmarkEnd w:id="93"/>
      <w:bookmarkEnd w:id="94"/>
      <w:bookmarkEnd w:id="95"/>
    </w:p>
    <w:p w14:paraId="48CDDB29" w14:textId="77777777" w:rsidR="007C0FDC" w:rsidRDefault="007C0FDC" w:rsidP="007C0FDC">
      <w:pPr>
        <w:rPr>
          <w:lang w:eastAsia="ja-JP"/>
        </w:rPr>
      </w:pPr>
      <w:bookmarkStart w:id="96" w:name="_Toc241374287"/>
      <w:bookmarkStart w:id="97" w:name="_Toc272414620"/>
      <w:bookmarkStart w:id="98" w:name="_Toc290888469"/>
      <w:bookmarkStart w:id="99" w:name="_Toc416353665"/>
      <w:r>
        <w:rPr>
          <w:lang w:eastAsia="ja-JP"/>
        </w:rPr>
        <w:t xml:space="preserve">Humira is administered subcutaneously and absorbed relatively slowly. In a </w:t>
      </w:r>
      <w:r w:rsidRPr="00F834E1">
        <w:rPr>
          <w:lang w:eastAsia="ja-JP"/>
        </w:rPr>
        <w:t>study with 59</w:t>
      </w:r>
      <w:r>
        <w:rPr>
          <w:lang w:eastAsia="ja-JP"/>
        </w:rPr>
        <w:t xml:space="preserve"> healthy</w:t>
      </w:r>
      <w:r>
        <w:rPr>
          <w:i/>
          <w:lang w:eastAsia="ja-JP"/>
        </w:rPr>
        <w:t xml:space="preserve"> </w:t>
      </w:r>
      <w:r>
        <w:rPr>
          <w:lang w:eastAsia="ja-JP"/>
        </w:rPr>
        <w:t xml:space="preserve">adult subjects, mean peak serum concentration was reached about five days after administration. </w:t>
      </w:r>
      <w:bookmarkEnd w:id="96"/>
      <w:bookmarkEnd w:id="97"/>
      <w:bookmarkEnd w:id="98"/>
      <w:bookmarkEnd w:id="99"/>
      <w:r>
        <w:rPr>
          <w:lang w:eastAsia="ja-JP"/>
        </w:rPr>
        <w:t>Based on three studies following a single 40 mg subcutaneous dose, the average absolute bioavailability of Humira was estimated to be 64%. Humira demonstrated linear pharmacokinetics over the dose range of 0.5 to 10 mg/kg following a single intravenous dose.</w:t>
      </w:r>
    </w:p>
    <w:p w14:paraId="1C5D953B" w14:textId="77777777" w:rsidR="007C0FDC" w:rsidRPr="005B0142" w:rsidRDefault="007C0FDC" w:rsidP="005B4657">
      <w:pPr>
        <w:pStyle w:val="Heading5"/>
      </w:pPr>
      <w:r w:rsidRPr="005B4657">
        <w:t>Distribution</w:t>
      </w:r>
    </w:p>
    <w:p w14:paraId="4D32AA09" w14:textId="77777777" w:rsidR="007C0FDC" w:rsidRDefault="007C0FDC" w:rsidP="007C0FDC">
      <w:pPr>
        <w:rPr>
          <w:lang w:eastAsia="ja-JP"/>
        </w:rPr>
      </w:pPr>
      <w:r>
        <w:rPr>
          <w:lang w:eastAsia="ja-JP"/>
        </w:rPr>
        <w:t>In single-dose studies with</w:t>
      </w:r>
      <w:r w:rsidRPr="00B41516">
        <w:rPr>
          <w:lang w:eastAsia="ja-JP"/>
        </w:rPr>
        <w:t xml:space="preserve"> </w:t>
      </w:r>
      <w:r>
        <w:rPr>
          <w:lang w:eastAsia="ja-JP"/>
        </w:rPr>
        <w:t>rheumatoid arthritis (RA) patients given intravenous doses</w:t>
      </w:r>
      <w:r w:rsidRPr="00B41516">
        <w:rPr>
          <w:lang w:eastAsia="ja-JP"/>
        </w:rPr>
        <w:t xml:space="preserve"> </w:t>
      </w:r>
      <w:r>
        <w:rPr>
          <w:lang w:eastAsia="ja-JP"/>
        </w:rPr>
        <w:t>ranging from 0.25 to 10 mg/kg, the volume of distribution at steady state (V</w:t>
      </w:r>
      <w:r w:rsidRPr="00B00015">
        <w:rPr>
          <w:vertAlign w:val="subscript"/>
          <w:lang w:eastAsia="ja-JP"/>
        </w:rPr>
        <w:t>SS</w:t>
      </w:r>
      <w:r>
        <w:rPr>
          <w:lang w:eastAsia="ja-JP"/>
        </w:rPr>
        <w:t xml:space="preserve">) was found to be between 4.7 and 6.0 L. </w:t>
      </w:r>
      <w:bookmarkStart w:id="100" w:name="_Toc272414622"/>
      <w:bookmarkStart w:id="101" w:name="_Toc290888471"/>
      <w:bookmarkStart w:id="102" w:name="_Toc416353667"/>
      <w:r>
        <w:rPr>
          <w:lang w:eastAsia="ja-JP"/>
        </w:rPr>
        <w:t>Humira concentrations in the synovial fluid from five RA patients ranged from 31 to 96% of concentrations in serum.</w:t>
      </w:r>
      <w:bookmarkStart w:id="103" w:name="_Toc241374289"/>
      <w:bookmarkStart w:id="104" w:name="_Toc272414623"/>
      <w:bookmarkStart w:id="105" w:name="_Toc290888472"/>
      <w:bookmarkStart w:id="106" w:name="_Toc416353668"/>
      <w:bookmarkEnd w:id="100"/>
      <w:bookmarkEnd w:id="101"/>
      <w:bookmarkEnd w:id="102"/>
    </w:p>
    <w:p w14:paraId="2BB1FE8D" w14:textId="77777777" w:rsidR="007C0FDC" w:rsidRPr="005B0142" w:rsidRDefault="007C0FDC" w:rsidP="005B4657">
      <w:pPr>
        <w:pStyle w:val="Heading5"/>
      </w:pPr>
      <w:r w:rsidRPr="005B4657">
        <w:t>E</w:t>
      </w:r>
      <w:bookmarkEnd w:id="103"/>
      <w:r w:rsidRPr="005B4657">
        <w:t>xcretion</w:t>
      </w:r>
      <w:bookmarkEnd w:id="104"/>
      <w:bookmarkEnd w:id="105"/>
      <w:bookmarkEnd w:id="106"/>
    </w:p>
    <w:p w14:paraId="667F348C" w14:textId="1B27E4F5" w:rsidR="007C0FDC" w:rsidRDefault="007C0FDC" w:rsidP="007C0FDC">
      <w:r>
        <w:rPr>
          <w:lang w:eastAsia="ja-JP"/>
        </w:rPr>
        <w:t xml:space="preserve">Humira is slowly eliminated, with clearances typically under 12 mL/h. The mean terminal phase half-life (t½) was approximately two weeks, ranging from 10 to 20 days across studies. </w:t>
      </w:r>
      <w:bookmarkStart w:id="107" w:name="_Toc241374291"/>
      <w:bookmarkStart w:id="108" w:name="_Toc272414624"/>
      <w:bookmarkStart w:id="109" w:name="_Toc290888473"/>
      <w:bookmarkStart w:id="110" w:name="_Toc416353669"/>
      <w:r w:rsidRPr="00C474D8">
        <w:rPr>
          <w:lang w:eastAsia="ja-JP"/>
        </w:rPr>
        <w:t>The mechanism and route of elimination remain unknown, but it is expected that adalimumab is degraded into smaller peptides and amino acids via catabolic pathways/proteolytic degradation in a similar fashion to endogenous immunoglobulins.</w:t>
      </w:r>
      <w:bookmarkEnd w:id="107"/>
      <w:bookmarkEnd w:id="108"/>
      <w:bookmarkEnd w:id="109"/>
      <w:bookmarkEnd w:id="110"/>
    </w:p>
    <w:p w14:paraId="390FCA15" w14:textId="77777777" w:rsidR="007C0FDC" w:rsidRDefault="007C0FDC" w:rsidP="007C0FDC">
      <w:pPr>
        <w:pStyle w:val="Heading6"/>
      </w:pPr>
      <w:bookmarkStart w:id="111" w:name="_Toc241374293"/>
      <w:bookmarkStart w:id="112" w:name="_Toc272414626"/>
      <w:bookmarkStart w:id="113" w:name="_Toc290888475"/>
      <w:bookmarkStart w:id="114" w:name="_Toc416353671"/>
      <w:bookmarkStart w:id="115" w:name="_Toc421005246"/>
      <w:bookmarkStart w:id="116" w:name="_Toc432079128"/>
      <w:bookmarkStart w:id="117" w:name="_Toc432080701"/>
      <w:r>
        <w:lastRenderedPageBreak/>
        <w:t>Inter-individual variability</w:t>
      </w:r>
    </w:p>
    <w:p w14:paraId="2DC85EB2" w14:textId="77777777" w:rsidR="007C0FDC" w:rsidRDefault="007C0FDC" w:rsidP="007C0FDC">
      <w:pPr>
        <w:rPr>
          <w:lang w:eastAsia="ja-JP"/>
        </w:rPr>
      </w:pPr>
      <w:bookmarkStart w:id="118" w:name="_Toc241374292"/>
      <w:bookmarkStart w:id="119" w:name="_Ref271189131"/>
      <w:bookmarkStart w:id="120" w:name="_Ref271189136"/>
      <w:bookmarkStart w:id="121" w:name="_Toc272414625"/>
      <w:bookmarkStart w:id="122" w:name="_Toc290888474"/>
      <w:bookmarkStart w:id="123" w:name="_Toc416353670"/>
      <w:bookmarkStart w:id="124" w:name="_Toc421005245"/>
      <w:bookmarkStart w:id="125" w:name="_Toc432079127"/>
      <w:bookmarkStart w:id="126" w:name="_Toc432080700"/>
      <w:r>
        <w:rPr>
          <w:lang w:eastAsia="ja-JP"/>
        </w:rPr>
        <w:t>The following information on inter-</w:t>
      </w:r>
      <w:r w:rsidRPr="00E97D29">
        <w:rPr>
          <w:lang w:eastAsia="ja-JP"/>
        </w:rPr>
        <w:t xml:space="preserve">individual variability </w:t>
      </w:r>
      <w:r>
        <w:rPr>
          <w:lang w:eastAsia="ja-JP"/>
        </w:rPr>
        <w:t xml:space="preserve">(between subject variability; as indicated by a coefficient of variance (in %)) </w:t>
      </w:r>
      <w:r w:rsidRPr="00E97D29">
        <w:rPr>
          <w:lang w:eastAsia="ja-JP"/>
        </w:rPr>
        <w:t>of pharmacokinetics</w:t>
      </w:r>
      <w:r>
        <w:rPr>
          <w:lang w:eastAsia="ja-JP"/>
        </w:rPr>
        <w:t xml:space="preserve"> was provided</w:t>
      </w:r>
      <w:bookmarkEnd w:id="118"/>
      <w:bookmarkEnd w:id="119"/>
      <w:bookmarkEnd w:id="120"/>
      <w:bookmarkEnd w:id="121"/>
      <w:bookmarkEnd w:id="122"/>
      <w:bookmarkEnd w:id="123"/>
      <w:bookmarkEnd w:id="124"/>
      <w:bookmarkEnd w:id="125"/>
      <w:bookmarkEnd w:id="126"/>
      <w:r>
        <w:rPr>
          <w:lang w:eastAsia="ja-JP"/>
        </w:rPr>
        <w:t xml:space="preserve"> in the dossier of this application, but relates to data generated for Humira.</w:t>
      </w:r>
    </w:p>
    <w:p w14:paraId="7AE5AF0C" w14:textId="77777777" w:rsidR="007C0FDC" w:rsidRDefault="007C0FDC" w:rsidP="007C0FDC">
      <w:pPr>
        <w:rPr>
          <w:lang w:eastAsia="ja-JP"/>
        </w:rPr>
      </w:pPr>
      <w:r>
        <w:rPr>
          <w:lang w:eastAsia="ja-JP"/>
        </w:rPr>
        <w:t>In a single-dose bioequivalence study of 40 mg SC adalimumab, the post-dose inter-</w:t>
      </w:r>
      <w:r w:rsidRPr="00E97D29">
        <w:rPr>
          <w:lang w:eastAsia="ja-JP"/>
        </w:rPr>
        <w:t>individual variability</w:t>
      </w:r>
      <w:r>
        <w:rPr>
          <w:lang w:eastAsia="ja-JP"/>
        </w:rPr>
        <w:t xml:space="preserve"> was found to be 27.7% (AUC (time 0-360h)) and 33% (C</w:t>
      </w:r>
      <w:r w:rsidRPr="00B1555A">
        <w:rPr>
          <w:vertAlign w:val="subscript"/>
          <w:lang w:eastAsia="ja-JP"/>
        </w:rPr>
        <w:t>max</w:t>
      </w:r>
      <w:r>
        <w:rPr>
          <w:lang w:eastAsia="ja-JP"/>
        </w:rPr>
        <w:t>) for the market formulation.</w:t>
      </w:r>
    </w:p>
    <w:p w14:paraId="58795E23" w14:textId="77777777" w:rsidR="007C0FDC" w:rsidRDefault="007C0FDC" w:rsidP="007C0FDC">
      <w:pPr>
        <w:rPr>
          <w:lang w:eastAsia="ja-JP"/>
        </w:rPr>
      </w:pPr>
      <w:r>
        <w:rPr>
          <w:lang w:eastAsia="ja-JP"/>
        </w:rPr>
        <w:t>In a different relative bioavailability study with 16 subjects per treatment group, a single dose of 40 mg of 3 injectable formulations of adalimumab were compared. The post-dose inter-</w:t>
      </w:r>
      <w:r w:rsidRPr="00E97D29">
        <w:rPr>
          <w:lang w:eastAsia="ja-JP"/>
        </w:rPr>
        <w:t>individual variability</w:t>
      </w:r>
      <w:r w:rsidRPr="00B1555A">
        <w:rPr>
          <w:lang w:eastAsia="ja-JP"/>
        </w:rPr>
        <w:t xml:space="preserve"> </w:t>
      </w:r>
      <w:r>
        <w:rPr>
          <w:lang w:eastAsia="ja-JP"/>
        </w:rPr>
        <w:t>was found to be 25.2% (AUC (time 0-360h)), 24.9% (AUC</w:t>
      </w:r>
      <w:r w:rsidRPr="0071733B">
        <w:rPr>
          <w:vertAlign w:val="subscript"/>
          <w:lang w:eastAsia="ja-JP"/>
        </w:rPr>
        <w:t>last</w:t>
      </w:r>
      <w:r>
        <w:rPr>
          <w:lang w:eastAsia="ja-JP"/>
        </w:rPr>
        <w:t xml:space="preserve"> (all subjects)), 21.1%</w:t>
      </w:r>
      <w:r w:rsidRPr="0071733B">
        <w:rPr>
          <w:lang w:eastAsia="ja-JP"/>
        </w:rPr>
        <w:t xml:space="preserve"> </w:t>
      </w:r>
      <w:r>
        <w:rPr>
          <w:lang w:eastAsia="ja-JP"/>
        </w:rPr>
        <w:t>(AUC</w:t>
      </w:r>
      <w:r w:rsidRPr="0071733B">
        <w:rPr>
          <w:vertAlign w:val="subscript"/>
          <w:lang w:eastAsia="ja-JP"/>
        </w:rPr>
        <w:t>last</w:t>
      </w:r>
      <w:r>
        <w:rPr>
          <w:lang w:eastAsia="ja-JP"/>
        </w:rPr>
        <w:t xml:space="preserve"> with non-measurable human anti-human antibodies), and 8.1% (AUC</w:t>
      </w:r>
      <w:r w:rsidRPr="009E3BBD">
        <w:rPr>
          <w:vertAlign w:val="subscript"/>
          <w:lang w:eastAsia="ja-JP"/>
        </w:rPr>
        <w:t>inf</w:t>
      </w:r>
      <w:r>
        <w:rPr>
          <w:lang w:eastAsia="ja-JP"/>
        </w:rPr>
        <w:t>).</w:t>
      </w:r>
    </w:p>
    <w:p w14:paraId="431D4B71" w14:textId="5607C2C7" w:rsidR="007C0FDC" w:rsidRPr="00FB614C" w:rsidRDefault="007C0FDC" w:rsidP="007C0FDC">
      <w:pPr>
        <w:rPr>
          <w:lang w:eastAsia="ja-JP"/>
        </w:rPr>
      </w:pPr>
      <w:r>
        <w:rPr>
          <w:lang w:eastAsia="ja-JP"/>
        </w:rPr>
        <w:t>The inter-</w:t>
      </w:r>
      <w:r w:rsidRPr="00323444">
        <w:rPr>
          <w:lang w:eastAsia="ja-JP"/>
        </w:rPr>
        <w:t>individual variability</w:t>
      </w:r>
      <w:r>
        <w:rPr>
          <w:lang w:eastAsia="ja-JP"/>
        </w:rPr>
        <w:t xml:space="preserve"> (between-subject variability) data was a parameter used for the sample size calculation of Study 20</w:t>
      </w:r>
      <w:r w:rsidRPr="0014672A">
        <w:rPr>
          <w:lang w:eastAsia="ja-JP"/>
        </w:rPr>
        <w:t>110217</w:t>
      </w:r>
      <w:r>
        <w:rPr>
          <w:lang w:eastAsia="ja-JP"/>
        </w:rPr>
        <w:t xml:space="preserve"> using an assumption of inter-</w:t>
      </w:r>
      <w:r w:rsidRPr="00323444">
        <w:rPr>
          <w:lang w:eastAsia="ja-JP"/>
        </w:rPr>
        <w:t>individual variability</w:t>
      </w:r>
      <w:r>
        <w:rPr>
          <w:lang w:eastAsia="ja-JP"/>
        </w:rPr>
        <w:t xml:space="preserve"> of 38% to account for potential sources of variability for ABP 501, adalim</w:t>
      </w:r>
      <w:r w:rsidR="00227AA1">
        <w:rPr>
          <w:lang w:eastAsia="ja-JP"/>
        </w:rPr>
        <w:t>umab (US), and adalimumab (EU).</w:t>
      </w:r>
    </w:p>
    <w:p w14:paraId="55E40903" w14:textId="77777777" w:rsidR="007C0FDC" w:rsidRDefault="007C0FDC" w:rsidP="007C0FDC">
      <w:pPr>
        <w:pStyle w:val="Heading6"/>
      </w:pPr>
      <w:r>
        <w:t>Intra-individual variability</w:t>
      </w:r>
    </w:p>
    <w:p w14:paraId="283AA590" w14:textId="4AEDA229" w:rsidR="007C0FDC" w:rsidRDefault="007C0FDC" w:rsidP="007C0FDC">
      <w:pPr>
        <w:rPr>
          <w:lang w:eastAsia="ja-JP"/>
        </w:rPr>
      </w:pPr>
      <w:r w:rsidRPr="004A2B77">
        <w:rPr>
          <w:lang w:eastAsia="ja-JP"/>
        </w:rPr>
        <w:t xml:space="preserve">High </w:t>
      </w:r>
      <w:r w:rsidRPr="009E3BBD">
        <w:rPr>
          <w:lang w:eastAsia="ja-JP"/>
        </w:rPr>
        <w:t xml:space="preserve">inter-individual variability </w:t>
      </w:r>
      <w:r>
        <w:rPr>
          <w:lang w:eastAsia="ja-JP"/>
        </w:rPr>
        <w:t>(</w:t>
      </w:r>
      <w:r w:rsidRPr="004A2B77">
        <w:rPr>
          <w:lang w:eastAsia="ja-JP"/>
        </w:rPr>
        <w:t>between-subject variability</w:t>
      </w:r>
      <w:r>
        <w:rPr>
          <w:lang w:eastAsia="ja-JP"/>
        </w:rPr>
        <w:t>)</w:t>
      </w:r>
      <w:r w:rsidRPr="004A2B77">
        <w:rPr>
          <w:lang w:eastAsia="ja-JP"/>
        </w:rPr>
        <w:t xml:space="preserve"> does not necessarily imply high </w:t>
      </w:r>
      <w:r w:rsidRPr="009E3BBD">
        <w:rPr>
          <w:lang w:eastAsia="ja-JP"/>
        </w:rPr>
        <w:t xml:space="preserve">intra-individual variability </w:t>
      </w:r>
      <w:r w:rsidR="00ED2CB8">
        <w:rPr>
          <w:lang w:eastAsia="ja-JP"/>
        </w:rPr>
        <w:t>(within-subject variability).</w:t>
      </w:r>
    </w:p>
    <w:p w14:paraId="6CEE473F" w14:textId="77777777" w:rsidR="007C0FDC" w:rsidRDefault="007C0FDC" w:rsidP="007C0FDC">
      <w:pPr>
        <w:rPr>
          <w:lang w:eastAsia="ja-JP"/>
        </w:rPr>
      </w:pPr>
      <w:r>
        <w:rPr>
          <w:lang w:eastAsia="ja-JP"/>
        </w:rPr>
        <w:t>The following information on intra-</w:t>
      </w:r>
      <w:r w:rsidRPr="00E97D29">
        <w:rPr>
          <w:lang w:eastAsia="ja-JP"/>
        </w:rPr>
        <w:t xml:space="preserve">individual variability </w:t>
      </w:r>
      <w:r w:rsidRPr="00FB614C">
        <w:rPr>
          <w:lang w:eastAsia="ja-JP"/>
        </w:rPr>
        <w:t>(</w:t>
      </w:r>
      <w:r>
        <w:rPr>
          <w:lang w:eastAsia="ja-JP"/>
        </w:rPr>
        <w:t>within</w:t>
      </w:r>
      <w:r w:rsidRPr="00FB614C">
        <w:rPr>
          <w:lang w:eastAsia="ja-JP"/>
        </w:rPr>
        <w:t xml:space="preserve"> subject variability) </w:t>
      </w:r>
      <w:r w:rsidRPr="00E97D29">
        <w:rPr>
          <w:lang w:eastAsia="ja-JP"/>
        </w:rPr>
        <w:t xml:space="preserve">of </w:t>
      </w:r>
      <w:proofErr w:type="gramStart"/>
      <w:r w:rsidRPr="00E97D29">
        <w:rPr>
          <w:lang w:eastAsia="ja-JP"/>
        </w:rPr>
        <w:t>pharmacokinetics</w:t>
      </w:r>
      <w:proofErr w:type="gramEnd"/>
      <w:r>
        <w:rPr>
          <w:lang w:eastAsia="ja-JP"/>
        </w:rPr>
        <w:t xml:space="preserve"> was sourced from the literature and relates to Humira in Crohn’s disease (Lie </w:t>
      </w:r>
      <w:r w:rsidRPr="00F35B12">
        <w:rPr>
          <w:i/>
          <w:lang w:eastAsia="ja-JP"/>
        </w:rPr>
        <w:t>et al.</w:t>
      </w:r>
      <w:r>
        <w:rPr>
          <w:lang w:eastAsia="ja-JP"/>
        </w:rPr>
        <w:t>, 2014):</w:t>
      </w:r>
    </w:p>
    <w:p w14:paraId="0C303619" w14:textId="77777777" w:rsidR="007C0FDC" w:rsidRPr="00E3608B" w:rsidRDefault="007C0FDC" w:rsidP="00E3608B">
      <w:pPr>
        <w:ind w:left="284"/>
        <w:rPr>
          <w:i/>
          <w:lang w:eastAsia="ja-JP"/>
        </w:rPr>
      </w:pPr>
      <w:r w:rsidRPr="00E3608B">
        <w:rPr>
          <w:i/>
          <w:lang w:eastAsia="ja-JP"/>
        </w:rPr>
        <w:t xml:space="preserve">A retrospective cohort study with 76 patients with Crohn’s disease found that intra-individual </w:t>
      </w:r>
      <w:proofErr w:type="spellStart"/>
      <w:r w:rsidRPr="00E3608B">
        <w:rPr>
          <w:i/>
          <w:lang w:eastAsia="ja-JP"/>
        </w:rPr>
        <w:t>adalilumab</w:t>
      </w:r>
      <w:proofErr w:type="spellEnd"/>
      <w:r w:rsidRPr="00E3608B">
        <w:rPr>
          <w:i/>
          <w:lang w:eastAsia="ja-JP"/>
        </w:rPr>
        <w:t xml:space="preserve"> levels seemed stable during the study period (28 weeks), whereas inter-individual levels varied. However, in drugs with a long half-life relative to the dosing interval, intra-individual variability in AUC is likely to be reduced when measured at steady state.</w:t>
      </w:r>
      <w:bookmarkStart w:id="127" w:name="_Toc421005248"/>
      <w:bookmarkEnd w:id="111"/>
      <w:bookmarkEnd w:id="112"/>
      <w:bookmarkEnd w:id="113"/>
      <w:bookmarkEnd w:id="114"/>
      <w:bookmarkEnd w:id="115"/>
      <w:bookmarkEnd w:id="116"/>
      <w:bookmarkEnd w:id="117"/>
    </w:p>
    <w:p w14:paraId="30981A73" w14:textId="77777777" w:rsidR="007C0FDC" w:rsidRDefault="007C0FDC" w:rsidP="005B4657">
      <w:pPr>
        <w:pStyle w:val="Heading4"/>
      </w:pPr>
      <w:bookmarkStart w:id="128" w:name="_Toc241374294"/>
      <w:bookmarkStart w:id="129" w:name="_Toc272414632"/>
      <w:bookmarkStart w:id="130" w:name="_Toc290888481"/>
      <w:bookmarkStart w:id="131" w:name="_Toc416353678"/>
      <w:bookmarkStart w:id="132" w:name="_Toc421005249"/>
      <w:bookmarkStart w:id="133" w:name="_Toc432079130"/>
      <w:bookmarkStart w:id="134" w:name="_Toc432080703"/>
      <w:bookmarkEnd w:id="127"/>
      <w:r w:rsidRPr="005B4657">
        <w:t>Pharmacokinetic</w:t>
      </w:r>
      <w:r w:rsidRPr="00545B14">
        <w:t xml:space="preserve"> interactions</w:t>
      </w:r>
      <w:bookmarkEnd w:id="128"/>
      <w:bookmarkEnd w:id="129"/>
      <w:bookmarkEnd w:id="130"/>
      <w:bookmarkEnd w:id="131"/>
      <w:bookmarkEnd w:id="132"/>
      <w:bookmarkEnd w:id="133"/>
      <w:bookmarkEnd w:id="134"/>
    </w:p>
    <w:p w14:paraId="563B7E8D" w14:textId="77777777" w:rsidR="007C0FDC" w:rsidRPr="00793083" w:rsidRDefault="007C0FDC" w:rsidP="007C0FDC">
      <w:pPr>
        <w:rPr>
          <w:lang w:eastAsia="ja-JP"/>
        </w:rPr>
      </w:pPr>
      <w:r>
        <w:rPr>
          <w:lang w:eastAsia="ja-JP"/>
        </w:rPr>
        <w:t>Only i</w:t>
      </w:r>
      <w:r w:rsidRPr="005D7050">
        <w:rPr>
          <w:lang w:eastAsia="ja-JP"/>
        </w:rPr>
        <w:t xml:space="preserve">nteractions between </w:t>
      </w:r>
      <w:r>
        <w:rPr>
          <w:lang w:eastAsia="ja-JP"/>
        </w:rPr>
        <w:t>Humira</w:t>
      </w:r>
      <w:r w:rsidRPr="005D7050">
        <w:rPr>
          <w:lang w:eastAsia="ja-JP"/>
        </w:rPr>
        <w:t xml:space="preserve"> and methotrexate have </w:t>
      </w:r>
      <w:r>
        <w:rPr>
          <w:lang w:eastAsia="ja-JP"/>
        </w:rPr>
        <w:t xml:space="preserve">been </w:t>
      </w:r>
      <w:r w:rsidRPr="005D7050">
        <w:rPr>
          <w:lang w:eastAsia="ja-JP"/>
        </w:rPr>
        <w:t>evaluated in</w:t>
      </w:r>
      <w:r>
        <w:rPr>
          <w:lang w:eastAsia="ja-JP"/>
        </w:rPr>
        <w:t xml:space="preserve"> formal pharmacokinetic studies (see below).</w:t>
      </w:r>
    </w:p>
    <w:p w14:paraId="4372B9B8" w14:textId="77777777" w:rsidR="007C0FDC" w:rsidRPr="005B0142" w:rsidRDefault="007C0FDC" w:rsidP="008961FF">
      <w:pPr>
        <w:pStyle w:val="Heading5"/>
      </w:pPr>
      <w:bookmarkStart w:id="135" w:name="_Ref454872423"/>
      <w:r w:rsidRPr="008961FF">
        <w:t>Methotrexate</w:t>
      </w:r>
      <w:bookmarkEnd w:id="135"/>
    </w:p>
    <w:p w14:paraId="234BA129" w14:textId="09EAA13D" w:rsidR="007C0FDC" w:rsidRDefault="007C0FDC" w:rsidP="007C0FDC">
      <w:pPr>
        <w:rPr>
          <w:lang w:eastAsia="ja-JP"/>
        </w:rPr>
      </w:pPr>
      <w:r>
        <w:rPr>
          <w:lang w:eastAsia="ja-JP"/>
        </w:rPr>
        <w:t xml:space="preserve">In a study with 21 RA patients on stable methotrexate therapy, there were no statistically significant changes in the serum methotrexate concentration. However, methotrexate reduced </w:t>
      </w:r>
      <w:proofErr w:type="spellStart"/>
      <w:r>
        <w:rPr>
          <w:lang w:eastAsia="ja-JP"/>
        </w:rPr>
        <w:t>Humira’s</w:t>
      </w:r>
      <w:proofErr w:type="spellEnd"/>
      <w:r>
        <w:rPr>
          <w:lang w:eastAsia="ja-JP"/>
        </w:rPr>
        <w:t xml:space="preserve"> apparent clearances by 29% (single dosing) and 44% (multiple dosing).</w:t>
      </w:r>
    </w:p>
    <w:p w14:paraId="27726927" w14:textId="77777777" w:rsidR="007C0FDC" w:rsidRDefault="007C0FDC" w:rsidP="00424C66">
      <w:pPr>
        <w:pStyle w:val="Heading3"/>
      </w:pPr>
      <w:bookmarkStart w:id="136" w:name="_Toc241374296"/>
      <w:bookmarkStart w:id="137" w:name="_Ref269982040"/>
      <w:bookmarkStart w:id="138" w:name="_Ref271018704"/>
      <w:bookmarkStart w:id="139" w:name="_Ref271018755"/>
      <w:bookmarkStart w:id="140" w:name="_Toc272414635"/>
      <w:bookmarkStart w:id="141" w:name="_Toc290888484"/>
      <w:bookmarkStart w:id="142" w:name="_Toc416353681"/>
      <w:bookmarkStart w:id="143" w:name="_Toc421005250"/>
      <w:bookmarkStart w:id="144" w:name="_Toc432079132"/>
      <w:bookmarkStart w:id="145" w:name="_Toc432080705"/>
      <w:bookmarkStart w:id="146" w:name="_Toc470272289"/>
      <w:bookmarkStart w:id="147" w:name="_Toc509822398"/>
      <w:r w:rsidRPr="00424C66">
        <w:t>Evaluator’s</w:t>
      </w:r>
      <w:r w:rsidRPr="00545B14">
        <w:t xml:space="preserve"> overall conclusions on pharmacokinetics</w:t>
      </w:r>
      <w:bookmarkEnd w:id="136"/>
      <w:bookmarkEnd w:id="137"/>
      <w:bookmarkEnd w:id="138"/>
      <w:bookmarkEnd w:id="139"/>
      <w:bookmarkEnd w:id="140"/>
      <w:bookmarkEnd w:id="141"/>
      <w:bookmarkEnd w:id="142"/>
      <w:bookmarkEnd w:id="143"/>
      <w:bookmarkEnd w:id="144"/>
      <w:bookmarkEnd w:id="145"/>
      <w:bookmarkEnd w:id="146"/>
      <w:bookmarkEnd w:id="147"/>
    </w:p>
    <w:p w14:paraId="6B38CD0A" w14:textId="77777777" w:rsidR="007C0FDC" w:rsidRDefault="007C0FDC" w:rsidP="007C0FDC">
      <w:pPr>
        <w:rPr>
          <w:lang w:eastAsia="ja-JP"/>
        </w:rPr>
      </w:pPr>
      <w:r>
        <w:rPr>
          <w:lang w:eastAsia="ja-JP"/>
        </w:rPr>
        <w:t xml:space="preserve">Overall, the bioequivalence criteria for ABP 501 were met. The main results were </w:t>
      </w:r>
      <w:r>
        <w:t xml:space="preserve">within the prescribed bioequivalence margins and are acceptable. </w:t>
      </w:r>
      <w:r>
        <w:rPr>
          <w:lang w:eastAsia="ja-JP"/>
        </w:rPr>
        <w:t>The serum protein adjusted PK parameter results were excluded from analysis.</w:t>
      </w:r>
    </w:p>
    <w:p w14:paraId="7D1EEA98" w14:textId="77777777" w:rsidR="007C0FDC" w:rsidRPr="00E3608B" w:rsidRDefault="007C0FDC" w:rsidP="007C0FDC">
      <w:pPr>
        <w:rPr>
          <w:lang w:eastAsia="ja-JP"/>
        </w:rPr>
      </w:pPr>
      <w:r>
        <w:rPr>
          <w:lang w:eastAsia="ja-JP"/>
        </w:rPr>
        <w:t>Overall, the clinical efficacy studies support the results of the PK bioequivalence study.</w:t>
      </w:r>
    </w:p>
    <w:p w14:paraId="261AD410" w14:textId="77777777" w:rsidR="007C0FDC" w:rsidRDefault="007C0FDC" w:rsidP="007C0FDC">
      <w:pPr>
        <w:rPr>
          <w:lang w:eastAsia="ja-JP"/>
        </w:rPr>
      </w:pPr>
      <w:r>
        <w:rPr>
          <w:lang w:eastAsia="ja-JP"/>
        </w:rPr>
        <w:t xml:space="preserve">Humira is currently approved in Australia and its PK study data and their description in the product information (PI) document have previously been accepted by the TGA. Consequently, the product information (PI) document of any approved biosimilar to Humira without separate PK studies should contain the identical information </w:t>
      </w:r>
      <w:r w:rsidRPr="00976845">
        <w:rPr>
          <w:lang w:eastAsia="ja-JP"/>
        </w:rPr>
        <w:t xml:space="preserve">with regard to </w:t>
      </w:r>
      <w:r>
        <w:rPr>
          <w:lang w:eastAsia="ja-JP"/>
        </w:rPr>
        <w:t>pharmacokinetics. The proposed PI document for Humira fulfils this requirement.</w:t>
      </w:r>
    </w:p>
    <w:p w14:paraId="6E46339D" w14:textId="77777777" w:rsidR="007C0FDC" w:rsidRDefault="007C0FDC" w:rsidP="00424C66">
      <w:pPr>
        <w:pStyle w:val="Heading2"/>
      </w:pPr>
      <w:bookmarkStart w:id="148" w:name="_Toc470272290"/>
      <w:bookmarkStart w:id="149" w:name="_Toc509822399"/>
      <w:r w:rsidRPr="00424C66">
        <w:lastRenderedPageBreak/>
        <w:t>Pharmacodynamics</w:t>
      </w:r>
      <w:bookmarkEnd w:id="148"/>
      <w:bookmarkEnd w:id="149"/>
    </w:p>
    <w:p w14:paraId="16370B05" w14:textId="77777777" w:rsidR="007C0FDC" w:rsidRDefault="007C0FDC" w:rsidP="007C0FDC">
      <w:pPr>
        <w:rPr>
          <w:lang w:eastAsia="ja-JP"/>
        </w:rPr>
      </w:pPr>
      <w:r>
        <w:rPr>
          <w:lang w:eastAsia="ja-JP"/>
        </w:rPr>
        <w:t>No studies providing pharmacodynamics information were submitted with this application.</w:t>
      </w:r>
    </w:p>
    <w:p w14:paraId="58AE7164" w14:textId="77777777" w:rsidR="007C0FDC" w:rsidRDefault="007C0FDC" w:rsidP="007C0FDC">
      <w:pPr>
        <w:rPr>
          <w:lang w:eastAsia="ja-JP"/>
        </w:rPr>
      </w:pPr>
      <w:r>
        <w:rPr>
          <w:lang w:eastAsia="ja-JP"/>
        </w:rPr>
        <w:t>Pharmacodynamic data pertaining to Humira are proposed to be included in the Amgevita PI. In the proposed PI for Amgevita, the section with regard to pharmacodynamic data is identical to the corresponding section in the reference product PI document.</w:t>
      </w:r>
    </w:p>
    <w:p w14:paraId="3740FA78" w14:textId="77777777" w:rsidR="007C0FDC" w:rsidRDefault="007C0FDC" w:rsidP="007C0FDC">
      <w:pPr>
        <w:pStyle w:val="Heading2"/>
        <w:numPr>
          <w:ilvl w:val="0"/>
          <w:numId w:val="5"/>
        </w:numPr>
      </w:pPr>
      <w:bookmarkStart w:id="150" w:name="_Toc470272291"/>
      <w:bookmarkStart w:id="151" w:name="_Toc509822400"/>
      <w:r>
        <w:t>Dosage selection for the pivotal studies</w:t>
      </w:r>
      <w:bookmarkEnd w:id="150"/>
      <w:bookmarkEnd w:id="151"/>
    </w:p>
    <w:p w14:paraId="52D5B212" w14:textId="77777777" w:rsidR="007C0FDC" w:rsidRDefault="007C0FDC" w:rsidP="007C0FDC">
      <w:pPr>
        <w:rPr>
          <w:lang w:eastAsia="ja-JP"/>
        </w:rPr>
      </w:pPr>
      <w:bookmarkStart w:id="152" w:name="_Toc416353695"/>
      <w:bookmarkStart w:id="153" w:name="_Toc421005262"/>
      <w:bookmarkStart w:id="154" w:name="_Toc432079144"/>
      <w:bookmarkStart w:id="155" w:name="_Toc432080717"/>
      <w:r>
        <w:rPr>
          <w:lang w:eastAsia="ja-JP"/>
        </w:rPr>
        <w:t>The doses used in both clinical equivalence studies were identical to the recommended dosing regimen for the respective indications in the reference product Humira.</w:t>
      </w:r>
    </w:p>
    <w:p w14:paraId="6B1D4CA1" w14:textId="77777777" w:rsidR="007C0FDC" w:rsidRDefault="007C0FDC" w:rsidP="007C0FDC">
      <w:pPr>
        <w:pStyle w:val="Heading2"/>
        <w:numPr>
          <w:ilvl w:val="0"/>
          <w:numId w:val="5"/>
        </w:numPr>
      </w:pPr>
      <w:bookmarkStart w:id="156" w:name="_Toc470272292"/>
      <w:bookmarkStart w:id="157" w:name="_Toc509822401"/>
      <w:bookmarkEnd w:id="152"/>
      <w:bookmarkEnd w:id="153"/>
      <w:bookmarkEnd w:id="154"/>
      <w:bookmarkEnd w:id="155"/>
      <w:r>
        <w:t>Clinical efficacy</w:t>
      </w:r>
      <w:bookmarkEnd w:id="156"/>
      <w:bookmarkEnd w:id="157"/>
    </w:p>
    <w:p w14:paraId="5E11B280" w14:textId="77777777" w:rsidR="007C0FDC" w:rsidRPr="00574FA4" w:rsidRDefault="007C0FDC" w:rsidP="00424C66">
      <w:pPr>
        <w:pStyle w:val="Heading3"/>
      </w:pPr>
      <w:bookmarkStart w:id="158" w:name="_Toc470272293"/>
      <w:bookmarkStart w:id="159" w:name="_Toc509822402"/>
      <w:bookmarkStart w:id="160" w:name="_Ref271037274"/>
      <w:bookmarkStart w:id="161" w:name="_Toc272414652"/>
      <w:bookmarkStart w:id="162" w:name="_Toc290888500"/>
      <w:bookmarkStart w:id="163" w:name="_Toc416353716"/>
      <w:bookmarkStart w:id="164" w:name="_Toc421005269"/>
      <w:bookmarkStart w:id="165" w:name="_Toc432079151"/>
      <w:bookmarkStart w:id="166" w:name="_Toc432080724"/>
      <w:r w:rsidRPr="00424C66">
        <w:t>Studies</w:t>
      </w:r>
      <w:r w:rsidRPr="00545B14">
        <w:t xml:space="preserve"> providing evaluable </w:t>
      </w:r>
      <w:r>
        <w:t>efficacy</w:t>
      </w:r>
      <w:r w:rsidRPr="00545B14">
        <w:t xml:space="preserve"> data</w:t>
      </w:r>
      <w:bookmarkEnd w:id="158"/>
      <w:bookmarkEnd w:id="159"/>
    </w:p>
    <w:p w14:paraId="67F9B5A2" w14:textId="77777777" w:rsidR="007C0FDC" w:rsidRDefault="007C0FDC" w:rsidP="007C0FDC">
      <w:pPr>
        <w:rPr>
          <w:lang w:eastAsia="ja-JP"/>
        </w:rPr>
      </w:pPr>
      <w:r w:rsidRPr="00574FA4">
        <w:rPr>
          <w:lang w:eastAsia="ja-JP"/>
        </w:rPr>
        <w:t xml:space="preserve">The following two studies provided </w:t>
      </w:r>
      <w:r>
        <w:rPr>
          <w:lang w:eastAsia="ja-JP"/>
        </w:rPr>
        <w:t xml:space="preserve">evaluable </w:t>
      </w:r>
      <w:r w:rsidRPr="00574FA4">
        <w:rPr>
          <w:lang w:eastAsia="ja-JP"/>
        </w:rPr>
        <w:t>efficacy data:</w:t>
      </w:r>
    </w:p>
    <w:p w14:paraId="71B9FF96" w14:textId="77777777" w:rsidR="007C0FDC" w:rsidRPr="00574FA4" w:rsidRDefault="007C0FDC" w:rsidP="007C0FDC">
      <w:pPr>
        <w:pStyle w:val="Heading4"/>
        <w:numPr>
          <w:ilvl w:val="2"/>
          <w:numId w:val="5"/>
        </w:numPr>
      </w:pPr>
      <w:r>
        <w:t>Rheumatoid arthritis</w:t>
      </w:r>
    </w:p>
    <w:p w14:paraId="078F0160" w14:textId="77777777" w:rsidR="007C0FDC" w:rsidRDefault="007C0FDC" w:rsidP="007C0FDC">
      <w:pPr>
        <w:rPr>
          <w:lang w:eastAsia="ja-JP"/>
        </w:rPr>
      </w:pPr>
      <w:r w:rsidRPr="00533472">
        <w:rPr>
          <w:i/>
          <w:lang w:eastAsia="ja-JP"/>
        </w:rPr>
        <w:t>Study 20120262:</w:t>
      </w:r>
      <w:r w:rsidRPr="00527ABE">
        <w:rPr>
          <w:lang w:eastAsia="ja-JP"/>
        </w:rPr>
        <w:t xml:space="preserve"> a </w:t>
      </w:r>
      <w:r>
        <w:rPr>
          <w:lang w:eastAsia="ja-JP"/>
        </w:rPr>
        <w:t>Phase III</w:t>
      </w:r>
      <w:r w:rsidRPr="00527ABE">
        <w:rPr>
          <w:lang w:eastAsia="ja-JP"/>
        </w:rPr>
        <w:t>,</w:t>
      </w:r>
      <w:r>
        <w:rPr>
          <w:lang w:eastAsia="ja-JP"/>
        </w:rPr>
        <w:t xml:space="preserve"> double-blind, randomis</w:t>
      </w:r>
      <w:r w:rsidRPr="00527ABE">
        <w:rPr>
          <w:lang w:eastAsia="ja-JP"/>
        </w:rPr>
        <w:t xml:space="preserve">ed, active comparator-controlled study in 526 subjects with moderate to severe </w:t>
      </w:r>
      <w:r>
        <w:rPr>
          <w:lang w:eastAsia="ja-JP"/>
        </w:rPr>
        <w:t>rheumatoid a</w:t>
      </w:r>
      <w:r w:rsidRPr="00527ABE">
        <w:rPr>
          <w:lang w:eastAsia="ja-JP"/>
        </w:rPr>
        <w:t xml:space="preserve">rthritis with concomitant </w:t>
      </w:r>
      <w:r>
        <w:rPr>
          <w:lang w:eastAsia="ja-JP"/>
        </w:rPr>
        <w:t>methotrexate</w:t>
      </w:r>
      <w:r w:rsidRPr="00527ABE">
        <w:rPr>
          <w:lang w:eastAsia="ja-JP"/>
        </w:rPr>
        <w:t xml:space="preserve"> and oral </w:t>
      </w:r>
      <w:r>
        <w:rPr>
          <w:lang w:eastAsia="ja-JP"/>
        </w:rPr>
        <w:t xml:space="preserve">corticosteroid use </w:t>
      </w:r>
      <w:r w:rsidRPr="00650B0B">
        <w:rPr>
          <w:lang w:eastAsia="ja-JP"/>
        </w:rPr>
        <w:t>evaluating the efficacy and safety of ABP 501 compared with adalimumab</w:t>
      </w:r>
      <w:r>
        <w:rPr>
          <w:lang w:eastAsia="ja-JP"/>
        </w:rPr>
        <w:t xml:space="preserve"> (US)</w:t>
      </w:r>
      <w:r w:rsidRPr="00650B0B">
        <w:rPr>
          <w:lang w:eastAsia="ja-JP"/>
        </w:rPr>
        <w:t>.</w:t>
      </w:r>
    </w:p>
    <w:p w14:paraId="1434784D" w14:textId="77777777" w:rsidR="007C0FDC" w:rsidRDefault="007C0FDC" w:rsidP="008961FF">
      <w:pPr>
        <w:pStyle w:val="Heading4"/>
      </w:pPr>
      <w:r w:rsidRPr="008961FF">
        <w:t>Psoriasis</w:t>
      </w:r>
    </w:p>
    <w:p w14:paraId="3BF7CCD5" w14:textId="77777777" w:rsidR="007C0FDC" w:rsidRDefault="007C0FDC" w:rsidP="007C0FDC">
      <w:pPr>
        <w:rPr>
          <w:lang w:eastAsia="ja-JP"/>
        </w:rPr>
      </w:pPr>
      <w:r w:rsidRPr="00533472">
        <w:rPr>
          <w:i/>
          <w:lang w:eastAsia="ja-JP"/>
        </w:rPr>
        <w:t>Study 20120263:</w:t>
      </w:r>
      <w:r w:rsidRPr="00527ABE">
        <w:rPr>
          <w:lang w:eastAsia="ja-JP"/>
        </w:rPr>
        <w:t xml:space="preserve"> a </w:t>
      </w:r>
      <w:r>
        <w:rPr>
          <w:lang w:eastAsia="ja-JP"/>
        </w:rPr>
        <w:t>Phase III</w:t>
      </w:r>
      <w:r w:rsidRPr="00527ABE">
        <w:rPr>
          <w:lang w:eastAsia="ja-JP"/>
        </w:rPr>
        <w:t>,</w:t>
      </w:r>
      <w:r>
        <w:rPr>
          <w:lang w:eastAsia="ja-JP"/>
        </w:rPr>
        <w:t xml:space="preserve"> double-blind, randomis</w:t>
      </w:r>
      <w:r w:rsidRPr="00527ABE">
        <w:rPr>
          <w:lang w:eastAsia="ja-JP"/>
        </w:rPr>
        <w:t>ed, active comparator-controlled study in 350 subjects with moderate to severe psoriasis with no concomitant medications allowed</w:t>
      </w:r>
      <w:r>
        <w:rPr>
          <w:lang w:eastAsia="ja-JP"/>
        </w:rPr>
        <w:t xml:space="preserve"> for the treatment of psoriasis e</w:t>
      </w:r>
      <w:r w:rsidRPr="00650B0B">
        <w:rPr>
          <w:lang w:eastAsia="ja-JP"/>
        </w:rPr>
        <w:t xml:space="preserve">valuating the </w:t>
      </w:r>
      <w:r>
        <w:rPr>
          <w:lang w:eastAsia="ja-JP"/>
        </w:rPr>
        <w:t>efficacy and safety of ABP 501 compared with a</w:t>
      </w:r>
      <w:r w:rsidRPr="00650B0B">
        <w:rPr>
          <w:lang w:eastAsia="ja-JP"/>
        </w:rPr>
        <w:t>dalimumab</w:t>
      </w:r>
      <w:r>
        <w:rPr>
          <w:lang w:eastAsia="ja-JP"/>
        </w:rPr>
        <w:t xml:space="preserve"> (EU).</w:t>
      </w:r>
    </w:p>
    <w:p w14:paraId="2C79DD53" w14:textId="21CB1423" w:rsidR="007C0FDC" w:rsidRDefault="007C0FDC" w:rsidP="00424C66">
      <w:pPr>
        <w:pStyle w:val="Heading3"/>
      </w:pPr>
      <w:bookmarkStart w:id="167" w:name="_Toc470272294"/>
      <w:bookmarkStart w:id="168" w:name="_Toc509822403"/>
      <w:r>
        <w:t xml:space="preserve">Indication: Rheumatoid </w:t>
      </w:r>
      <w:r w:rsidR="00424C66">
        <w:t>a</w:t>
      </w:r>
      <w:r>
        <w:t>rthritis</w:t>
      </w:r>
      <w:bookmarkEnd w:id="167"/>
      <w:bookmarkEnd w:id="168"/>
    </w:p>
    <w:p w14:paraId="5A2C79BD" w14:textId="77777777" w:rsidR="007C0FDC" w:rsidRPr="005632DC" w:rsidRDefault="007C0FDC" w:rsidP="007C0FDC">
      <w:pPr>
        <w:pStyle w:val="Heading4"/>
        <w:numPr>
          <w:ilvl w:val="2"/>
          <w:numId w:val="5"/>
        </w:numPr>
      </w:pPr>
      <w:bookmarkStart w:id="169" w:name="_Ref460790049"/>
      <w:r w:rsidRPr="005632DC">
        <w:t>P</w:t>
      </w:r>
      <w:r w:rsidRPr="005B4657">
        <w:t>i</w:t>
      </w:r>
      <w:r w:rsidRPr="005632DC">
        <w:t>votal or main efficacy stud</w:t>
      </w:r>
      <w:r>
        <w:t xml:space="preserve">y: Study </w:t>
      </w:r>
      <w:r w:rsidRPr="001D7616">
        <w:t>20120262</w:t>
      </w:r>
      <w:bookmarkEnd w:id="169"/>
    </w:p>
    <w:p w14:paraId="77473786" w14:textId="77777777" w:rsidR="007C0FDC" w:rsidRDefault="007C0FDC" w:rsidP="005B4657">
      <w:pPr>
        <w:pStyle w:val="Heading5"/>
      </w:pPr>
      <w:r w:rsidRPr="005B4657">
        <w:t>Study</w:t>
      </w:r>
      <w:r w:rsidRPr="005632DC">
        <w:t xml:space="preserve"> design, </w:t>
      </w:r>
      <w:r>
        <w:t>objectives, locations and dates</w:t>
      </w:r>
    </w:p>
    <w:p w14:paraId="022A1727" w14:textId="77777777" w:rsidR="007C0FDC" w:rsidRPr="005E54EF" w:rsidRDefault="007C0FDC" w:rsidP="007C0FDC">
      <w:pPr>
        <w:pStyle w:val="Heading6"/>
      </w:pPr>
      <w:r>
        <w:t>Design</w:t>
      </w:r>
    </w:p>
    <w:p w14:paraId="23C6F63B" w14:textId="77777777" w:rsidR="007C0FDC" w:rsidRDefault="007C0FDC" w:rsidP="007C0FDC">
      <w:pPr>
        <w:rPr>
          <w:lang w:eastAsia="ja-JP"/>
        </w:rPr>
      </w:pPr>
      <w:r w:rsidRPr="008675D3">
        <w:rPr>
          <w:lang w:eastAsia="ja-JP"/>
        </w:rPr>
        <w:t>Study 20120262</w:t>
      </w:r>
      <w:r>
        <w:rPr>
          <w:lang w:eastAsia="ja-JP"/>
        </w:rPr>
        <w:t xml:space="preserve"> was </w:t>
      </w:r>
      <w:r w:rsidRPr="008675D3">
        <w:rPr>
          <w:lang w:eastAsia="ja-JP"/>
        </w:rPr>
        <w:t xml:space="preserve">a </w:t>
      </w:r>
      <w:r>
        <w:rPr>
          <w:lang w:eastAsia="ja-JP"/>
        </w:rPr>
        <w:t>Phase III</w:t>
      </w:r>
      <w:r w:rsidRPr="008675D3">
        <w:rPr>
          <w:lang w:eastAsia="ja-JP"/>
        </w:rPr>
        <w:t xml:space="preserve">, double-blind, </w:t>
      </w:r>
      <w:r>
        <w:rPr>
          <w:lang w:eastAsia="ja-JP"/>
        </w:rPr>
        <w:t xml:space="preserve">parallel-group, </w:t>
      </w:r>
      <w:r w:rsidRPr="008675D3">
        <w:rPr>
          <w:lang w:eastAsia="ja-JP"/>
        </w:rPr>
        <w:t>randomise</w:t>
      </w:r>
      <w:r>
        <w:rPr>
          <w:lang w:eastAsia="ja-JP"/>
        </w:rPr>
        <w:t xml:space="preserve">d, active comparator-controlled, comparative equivalence trial </w:t>
      </w:r>
      <w:r w:rsidRPr="008675D3">
        <w:rPr>
          <w:lang w:eastAsia="ja-JP"/>
        </w:rPr>
        <w:t xml:space="preserve">in 526 </w:t>
      </w:r>
      <w:r>
        <w:rPr>
          <w:lang w:eastAsia="ja-JP"/>
        </w:rPr>
        <w:t xml:space="preserve">adalimumab-naïve </w:t>
      </w:r>
      <w:r w:rsidRPr="008675D3">
        <w:rPr>
          <w:lang w:eastAsia="ja-JP"/>
        </w:rPr>
        <w:t xml:space="preserve">subjects with moderate to severe rheumatoid arthritis with concomitant methotrexate </w:t>
      </w:r>
      <w:r>
        <w:rPr>
          <w:lang w:eastAsia="ja-JP"/>
        </w:rPr>
        <w:t xml:space="preserve">(but inadequate response to it) </w:t>
      </w:r>
      <w:r w:rsidRPr="008675D3">
        <w:rPr>
          <w:lang w:eastAsia="ja-JP"/>
        </w:rPr>
        <w:t>and oral corticosteroid use evaluating the efficacy and safety of ABP 501 compared with adalimumab (US).</w:t>
      </w:r>
    </w:p>
    <w:p w14:paraId="22E0FEB8" w14:textId="0938583C" w:rsidR="007C0FDC" w:rsidRDefault="007C0FDC" w:rsidP="005B4657">
      <w:pPr>
        <w:pStyle w:val="FigureTitle"/>
        <w:rPr>
          <w:sz w:val="16"/>
          <w:szCs w:val="16"/>
        </w:rPr>
      </w:pPr>
      <w:bookmarkStart w:id="170" w:name="_Ref457302485"/>
      <w:bookmarkStart w:id="171" w:name="_Toc470272422"/>
      <w:r w:rsidRPr="001F7456">
        <w:lastRenderedPageBreak/>
        <w:t xml:space="preserve">Figure </w:t>
      </w:r>
      <w:bookmarkEnd w:id="170"/>
      <w:r w:rsidR="003745A2">
        <w:t>4</w:t>
      </w:r>
      <w:r>
        <w:t>:</w:t>
      </w:r>
      <w:r w:rsidRPr="001F7456">
        <w:t xml:space="preserve"> Study </w:t>
      </w:r>
      <w:r w:rsidRPr="005B4657">
        <w:t>20120262</w:t>
      </w:r>
      <w:r w:rsidRPr="001F7456">
        <w:t xml:space="preserve">: </w:t>
      </w:r>
      <w:r>
        <w:t>S</w:t>
      </w:r>
      <w:r w:rsidRPr="001F7456">
        <w:t xml:space="preserve">tudy design </w:t>
      </w:r>
      <w:r>
        <w:t>schema</w:t>
      </w:r>
      <w:r w:rsidRPr="001F7456">
        <w:t>.</w:t>
      </w:r>
      <w:bookmarkEnd w:id="171"/>
    </w:p>
    <w:p w14:paraId="2C9895B0" w14:textId="77777777" w:rsidR="007C0FDC" w:rsidRDefault="007C0FDC" w:rsidP="007C0FDC">
      <w:pPr>
        <w:rPr>
          <w:lang w:eastAsia="ja-JP"/>
        </w:rPr>
      </w:pPr>
      <w:r>
        <w:rPr>
          <w:noProof/>
          <w:lang w:eastAsia="en-AU"/>
        </w:rPr>
        <w:drawing>
          <wp:inline distT="0" distB="0" distL="0" distR="0" wp14:anchorId="4314B419" wp14:editId="0C4E088A">
            <wp:extent cx="4718050" cy="3009727"/>
            <wp:effectExtent l="0" t="0" r="6350" b="635"/>
            <wp:docPr id="14" name="Picture 14" descr="• Screening period: Subjects were screened and randomised up to 4 weeks before drug administration.&#10;• Administration period: Subjects received either ABP 501 or adalimumab at 40 mg subcutaneous (SC) every 2 weeks until week 22. The primary endpoint was assessed at week 24.&#10;• End of study period: Safety follow-ups occurred up to week 26 (end of study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4718050" cy="3009727"/>
                    </a:xfrm>
                    <a:prstGeom prst="rect">
                      <a:avLst/>
                    </a:prstGeom>
                    <a:noFill/>
                    <a:ln>
                      <a:noFill/>
                    </a:ln>
                  </pic:spPr>
                </pic:pic>
              </a:graphicData>
            </a:graphic>
          </wp:inline>
        </w:drawing>
      </w:r>
    </w:p>
    <w:p w14:paraId="74B3474B" w14:textId="77777777" w:rsidR="007C0FDC" w:rsidRDefault="007C0FDC" w:rsidP="007C0FDC">
      <w:pPr>
        <w:rPr>
          <w:lang w:eastAsia="ja-JP"/>
        </w:rPr>
      </w:pPr>
      <w:r>
        <w:rPr>
          <w:lang w:eastAsia="ja-JP"/>
        </w:rPr>
        <w:t>The outline of the study design is shown in Figure 4. The total duration of the study was up to 30 weeks:</w:t>
      </w:r>
    </w:p>
    <w:p w14:paraId="1CC2F798" w14:textId="77777777" w:rsidR="007C0FDC" w:rsidRPr="00A8449A" w:rsidRDefault="007C0FDC" w:rsidP="007C0FDC">
      <w:pPr>
        <w:pStyle w:val="ListParagraph"/>
        <w:numPr>
          <w:ilvl w:val="0"/>
          <w:numId w:val="12"/>
        </w:numPr>
        <w:rPr>
          <w:lang w:eastAsia="ja-JP"/>
        </w:rPr>
      </w:pPr>
      <w:r w:rsidRPr="00533472">
        <w:rPr>
          <w:i/>
          <w:lang w:eastAsia="ja-JP"/>
        </w:rPr>
        <w:t>Screening period</w:t>
      </w:r>
      <w:r w:rsidRPr="00A8449A">
        <w:rPr>
          <w:lang w:eastAsia="ja-JP"/>
        </w:rPr>
        <w:t>: Subjects were screened and randomised up to 4 weeks before drug administration.</w:t>
      </w:r>
    </w:p>
    <w:p w14:paraId="7EA132B2" w14:textId="77777777" w:rsidR="007C0FDC" w:rsidRPr="00A8449A" w:rsidRDefault="007C0FDC" w:rsidP="007C0FDC">
      <w:pPr>
        <w:pStyle w:val="ListParagraph"/>
        <w:numPr>
          <w:ilvl w:val="0"/>
          <w:numId w:val="12"/>
        </w:numPr>
        <w:rPr>
          <w:lang w:eastAsia="ja-JP"/>
        </w:rPr>
      </w:pPr>
      <w:r w:rsidRPr="00533472">
        <w:rPr>
          <w:i/>
          <w:lang w:eastAsia="ja-JP"/>
        </w:rPr>
        <w:t>Administration period</w:t>
      </w:r>
      <w:r w:rsidRPr="00A8449A">
        <w:rPr>
          <w:lang w:eastAsia="ja-JP"/>
        </w:rPr>
        <w:t>: Subjects received either ABP 501 or adalimumab at 40 mg subcutaneous (SC) every 2 weeks until week 22. The primary endpoint was assessed at Week 24.</w:t>
      </w:r>
    </w:p>
    <w:p w14:paraId="0922C483" w14:textId="77777777" w:rsidR="007C0FDC" w:rsidRDefault="007C0FDC" w:rsidP="007C0FDC">
      <w:pPr>
        <w:pStyle w:val="ListParagraph"/>
        <w:numPr>
          <w:ilvl w:val="0"/>
          <w:numId w:val="12"/>
        </w:numPr>
        <w:rPr>
          <w:lang w:eastAsia="ja-JP"/>
        </w:rPr>
      </w:pPr>
      <w:r w:rsidRPr="00533472">
        <w:rPr>
          <w:i/>
          <w:lang w:eastAsia="ja-JP"/>
        </w:rPr>
        <w:t>End of study period</w:t>
      </w:r>
      <w:r w:rsidRPr="00A8449A">
        <w:rPr>
          <w:lang w:eastAsia="ja-JP"/>
        </w:rPr>
        <w:t>: Safety</w:t>
      </w:r>
      <w:r w:rsidRPr="002039A0">
        <w:rPr>
          <w:lang w:eastAsia="ja-JP"/>
        </w:rPr>
        <w:t xml:space="preserve"> follow-ups</w:t>
      </w:r>
      <w:r>
        <w:rPr>
          <w:lang w:eastAsia="ja-JP"/>
        </w:rPr>
        <w:t xml:space="preserve"> occurred up to week 26 (end of study date).</w:t>
      </w:r>
    </w:p>
    <w:p w14:paraId="15D99428" w14:textId="77777777" w:rsidR="007C0FDC" w:rsidRDefault="007C0FDC" w:rsidP="007C0FDC">
      <w:pPr>
        <w:pStyle w:val="Heading6"/>
      </w:pPr>
      <w:r>
        <w:t>Objectives</w:t>
      </w:r>
    </w:p>
    <w:p w14:paraId="57158FB5" w14:textId="13BDF416" w:rsidR="007C0FDC" w:rsidRDefault="005B4657" w:rsidP="007C0FDC">
      <w:pPr>
        <w:rPr>
          <w:lang w:eastAsia="ja-JP"/>
        </w:rPr>
      </w:pPr>
      <w:r>
        <w:rPr>
          <w:i/>
          <w:lang w:eastAsia="ja-JP"/>
        </w:rPr>
        <w:t>Primary s</w:t>
      </w:r>
      <w:r w:rsidR="007C0FDC" w:rsidRPr="00533472">
        <w:rPr>
          <w:i/>
          <w:lang w:eastAsia="ja-JP"/>
        </w:rPr>
        <w:t xml:space="preserve">tudy </w:t>
      </w:r>
      <w:r>
        <w:rPr>
          <w:i/>
          <w:lang w:eastAsia="ja-JP"/>
        </w:rPr>
        <w:t>o</w:t>
      </w:r>
      <w:r w:rsidR="007C0FDC" w:rsidRPr="00533472">
        <w:rPr>
          <w:i/>
          <w:lang w:eastAsia="ja-JP"/>
        </w:rPr>
        <w:t>bjective</w:t>
      </w:r>
      <w:r w:rsidR="007C0FDC">
        <w:rPr>
          <w:lang w:eastAsia="ja-JP"/>
        </w:rPr>
        <w:t>: The primary objective for this study was to assess the efficacy of ABP 501 compared with adalimumab.</w:t>
      </w:r>
    </w:p>
    <w:p w14:paraId="7136F009" w14:textId="1D08AF2E" w:rsidR="007C0FDC" w:rsidRDefault="005B4657" w:rsidP="007C0FDC">
      <w:pPr>
        <w:rPr>
          <w:lang w:eastAsia="ja-JP"/>
        </w:rPr>
      </w:pPr>
      <w:r>
        <w:rPr>
          <w:i/>
          <w:lang w:eastAsia="ja-JP"/>
        </w:rPr>
        <w:t>Secondary s</w:t>
      </w:r>
      <w:r w:rsidR="007C0FDC" w:rsidRPr="00533472">
        <w:rPr>
          <w:i/>
          <w:lang w:eastAsia="ja-JP"/>
        </w:rPr>
        <w:t xml:space="preserve">tudy </w:t>
      </w:r>
      <w:r>
        <w:rPr>
          <w:i/>
          <w:lang w:eastAsia="ja-JP"/>
        </w:rPr>
        <w:t>o</w:t>
      </w:r>
      <w:r w:rsidR="007C0FDC" w:rsidRPr="00533472">
        <w:rPr>
          <w:i/>
          <w:lang w:eastAsia="ja-JP"/>
        </w:rPr>
        <w:t>bjectives</w:t>
      </w:r>
      <w:r w:rsidR="007C0FDC">
        <w:rPr>
          <w:lang w:eastAsia="ja-JP"/>
        </w:rPr>
        <w:t>: The secondary objectives were to assess the safety and immunogenicity of ABP 501 compared with adalimumab.</w:t>
      </w:r>
    </w:p>
    <w:p w14:paraId="63A38EF1" w14:textId="2247A546" w:rsidR="007C0FDC" w:rsidRDefault="007C0FDC" w:rsidP="007C0FDC">
      <w:pPr>
        <w:rPr>
          <w:lang w:eastAsia="ja-JP"/>
        </w:rPr>
      </w:pPr>
      <w:r w:rsidRPr="00533472">
        <w:rPr>
          <w:i/>
          <w:lang w:eastAsia="ja-JP"/>
        </w:rPr>
        <w:t xml:space="preserve">Exploratory </w:t>
      </w:r>
      <w:r w:rsidR="005B4657">
        <w:rPr>
          <w:i/>
          <w:lang w:eastAsia="ja-JP"/>
        </w:rPr>
        <w:t>o</w:t>
      </w:r>
      <w:r w:rsidRPr="00533472">
        <w:rPr>
          <w:i/>
          <w:lang w:eastAsia="ja-JP"/>
        </w:rPr>
        <w:t>bjectives</w:t>
      </w:r>
      <w:r>
        <w:rPr>
          <w:lang w:eastAsia="ja-JP"/>
        </w:rPr>
        <w:t>: The exploratory objectives were to assess the following:</w:t>
      </w:r>
    </w:p>
    <w:p w14:paraId="14AF8F31" w14:textId="77777777" w:rsidR="007C0FDC" w:rsidRDefault="007C0FDC" w:rsidP="005B4657">
      <w:pPr>
        <w:pStyle w:val="ListBullet"/>
        <w:rPr>
          <w:lang w:eastAsia="ja-JP"/>
        </w:rPr>
      </w:pPr>
      <w:r>
        <w:rPr>
          <w:lang w:eastAsia="ja-JP"/>
        </w:rPr>
        <w:t xml:space="preserve">Injection </w:t>
      </w:r>
      <w:r w:rsidRPr="005B4657">
        <w:t>site</w:t>
      </w:r>
      <w:r>
        <w:rPr>
          <w:lang w:eastAsia="ja-JP"/>
        </w:rPr>
        <w:t xml:space="preserve"> pain perception based on subject’s rankings for ABP 501 compared with adalimumab.</w:t>
      </w:r>
    </w:p>
    <w:p w14:paraId="2E1503E6" w14:textId="77777777" w:rsidR="007C0FDC" w:rsidRDefault="007C0FDC" w:rsidP="007C0FDC">
      <w:pPr>
        <w:pStyle w:val="ListBullet"/>
        <w:numPr>
          <w:ilvl w:val="0"/>
          <w:numId w:val="1"/>
        </w:numPr>
        <w:rPr>
          <w:lang w:eastAsia="ja-JP"/>
        </w:rPr>
      </w:pPr>
      <w:r>
        <w:rPr>
          <w:lang w:eastAsia="ja-JP"/>
        </w:rPr>
        <w:t>Trough serum concentration for ABP 501 compared with adalimumab.</w:t>
      </w:r>
    </w:p>
    <w:p w14:paraId="774351C3" w14:textId="77777777" w:rsidR="007C0FDC" w:rsidRDefault="007C0FDC" w:rsidP="005B4657">
      <w:pPr>
        <w:pStyle w:val="Heading6"/>
      </w:pPr>
      <w:r w:rsidRPr="005B4657">
        <w:t>Location</w:t>
      </w:r>
      <w:r>
        <w:t xml:space="preserve"> and dates</w:t>
      </w:r>
    </w:p>
    <w:p w14:paraId="6CA4A36B" w14:textId="77777777" w:rsidR="007C0FDC" w:rsidRDefault="007C0FDC" w:rsidP="007C0FDC">
      <w:pPr>
        <w:rPr>
          <w:lang w:eastAsia="ja-JP"/>
        </w:rPr>
      </w:pPr>
      <w:r>
        <w:rPr>
          <w:lang w:eastAsia="ja-JP"/>
        </w:rPr>
        <w:t>The study was conducted at 92 sites in 12 countries (in Europe and North America) between 24 October 2013 (first subject enrolled) and 19 November 2014 (last subject completed study).</w:t>
      </w:r>
    </w:p>
    <w:p w14:paraId="031E2A33" w14:textId="519DBCAE" w:rsidR="007C0FDC" w:rsidRDefault="00D15FF3" w:rsidP="007C0FDC">
      <w:pPr>
        <w:rPr>
          <w:lang w:eastAsia="ja-JP"/>
        </w:rPr>
      </w:pPr>
      <w:r>
        <w:rPr>
          <w:b/>
          <w:lang w:eastAsia="ja-JP"/>
        </w:rPr>
        <w:t>C</w:t>
      </w:r>
      <w:r w:rsidR="007C0FDC" w:rsidRPr="00885341">
        <w:rPr>
          <w:b/>
          <w:lang w:eastAsia="ja-JP"/>
        </w:rPr>
        <w:t>omment:</w:t>
      </w:r>
      <w:r w:rsidR="007C0FDC">
        <w:rPr>
          <w:b/>
          <w:lang w:eastAsia="ja-JP"/>
        </w:rPr>
        <w:t xml:space="preserve"> </w:t>
      </w:r>
      <w:r w:rsidR="007C0FDC" w:rsidRPr="00885341">
        <w:rPr>
          <w:lang w:eastAsia="ja-JP"/>
        </w:rPr>
        <w:t>Only 72 sites are listed in Appendix 16.1.4 of the CSR</w:t>
      </w:r>
      <w:r w:rsidR="007C0FDC">
        <w:rPr>
          <w:lang w:eastAsia="ja-JP"/>
        </w:rPr>
        <w:t>.</w:t>
      </w:r>
    </w:p>
    <w:p w14:paraId="3745906A" w14:textId="77777777" w:rsidR="007C0FDC" w:rsidRPr="005632DC" w:rsidRDefault="007C0FDC" w:rsidP="005B4657">
      <w:pPr>
        <w:pStyle w:val="Heading5"/>
      </w:pPr>
      <w:r w:rsidRPr="005B4657">
        <w:t>Inclusion</w:t>
      </w:r>
      <w:r w:rsidRPr="005632DC">
        <w:t xml:space="preserve"> and exclusion criteria</w:t>
      </w:r>
    </w:p>
    <w:p w14:paraId="02C1FA98" w14:textId="77777777" w:rsidR="007C0FDC" w:rsidRDefault="007C0FDC" w:rsidP="005B4657">
      <w:pPr>
        <w:rPr>
          <w:lang w:eastAsia="ja-JP"/>
        </w:rPr>
      </w:pPr>
      <w:r>
        <w:rPr>
          <w:lang w:eastAsia="ja-JP"/>
        </w:rPr>
        <w:t>The main inclusion criteria included:</w:t>
      </w:r>
    </w:p>
    <w:p w14:paraId="66B759A8" w14:textId="77777777" w:rsidR="007C0FDC" w:rsidRDefault="007C0FDC" w:rsidP="007C0FDC">
      <w:pPr>
        <w:pStyle w:val="ListBullet"/>
        <w:numPr>
          <w:ilvl w:val="0"/>
          <w:numId w:val="1"/>
        </w:numPr>
        <w:rPr>
          <w:lang w:eastAsia="ja-JP"/>
        </w:rPr>
      </w:pPr>
      <w:r>
        <w:rPr>
          <w:lang w:eastAsia="ja-JP"/>
        </w:rPr>
        <w:t>Men and women ≥ 18 to ≤ 80 years of age.</w:t>
      </w:r>
    </w:p>
    <w:p w14:paraId="22F763F8" w14:textId="77777777" w:rsidR="007C0FDC" w:rsidRDefault="007C0FDC" w:rsidP="005B4657">
      <w:pPr>
        <w:pStyle w:val="ListBullet"/>
        <w:rPr>
          <w:lang w:eastAsia="ja-JP"/>
        </w:rPr>
      </w:pPr>
      <w:r>
        <w:rPr>
          <w:lang w:eastAsia="ja-JP"/>
        </w:rPr>
        <w:t>Diagnosed with RA (2010 ACR or EULAR criteria for RA moderate to severe RA) for at least 3 months.</w:t>
      </w:r>
    </w:p>
    <w:p w14:paraId="07C2D4B9" w14:textId="77777777" w:rsidR="007C0FDC" w:rsidRDefault="007C0FDC" w:rsidP="007C0FDC">
      <w:pPr>
        <w:pStyle w:val="ListBullet"/>
        <w:numPr>
          <w:ilvl w:val="0"/>
          <w:numId w:val="1"/>
        </w:numPr>
        <w:rPr>
          <w:lang w:eastAsia="ja-JP"/>
        </w:rPr>
      </w:pPr>
      <w:r>
        <w:rPr>
          <w:lang w:eastAsia="ja-JP"/>
        </w:rPr>
        <w:lastRenderedPageBreak/>
        <w:t>Active RA defined as ≥ 6 swollen joints and ≥ 6 tender joints at screening and baseline and at least 1 of the following at screening: ESR ≥ 28 mm/hr or serum CRP &gt; 1.0 mg/dL.</w:t>
      </w:r>
    </w:p>
    <w:p w14:paraId="58677673" w14:textId="1A2F6D68" w:rsidR="007C0FDC" w:rsidRDefault="007C0FDC" w:rsidP="007C0FDC">
      <w:pPr>
        <w:pStyle w:val="ListBullet"/>
        <w:numPr>
          <w:ilvl w:val="0"/>
          <w:numId w:val="1"/>
        </w:numPr>
        <w:rPr>
          <w:lang w:eastAsia="ja-JP"/>
        </w:rPr>
      </w:pPr>
      <w:r>
        <w:rPr>
          <w:lang w:eastAsia="ja-JP"/>
        </w:rPr>
        <w:t xml:space="preserve">Positive </w:t>
      </w:r>
      <w:r w:rsidR="005B4657">
        <w:rPr>
          <w:lang w:eastAsia="ja-JP"/>
        </w:rPr>
        <w:t>for RF or Anti-CCP at screening</w:t>
      </w:r>
      <w:r>
        <w:rPr>
          <w:lang w:eastAsia="ja-JP"/>
        </w:rPr>
        <w:t>.</w:t>
      </w:r>
    </w:p>
    <w:p w14:paraId="1438114A" w14:textId="77777777" w:rsidR="007C0FDC" w:rsidRDefault="007C0FDC" w:rsidP="007C0FDC">
      <w:pPr>
        <w:pStyle w:val="ListBullet"/>
        <w:numPr>
          <w:ilvl w:val="0"/>
          <w:numId w:val="1"/>
        </w:numPr>
        <w:rPr>
          <w:lang w:eastAsia="ja-JP"/>
        </w:rPr>
      </w:pPr>
      <w:r>
        <w:rPr>
          <w:lang w:eastAsia="ja-JP"/>
        </w:rPr>
        <w:t>Received MTX for ≥ 12 consecutive weeks, and on a stable dose of 7.5 to 25 mg per week for ≥ 8 weeks before receiving investigational product. Subjects must be willing to remain on stable dose of MTX throughout the study.</w:t>
      </w:r>
    </w:p>
    <w:p w14:paraId="45FC12DB" w14:textId="77777777" w:rsidR="007C0FDC" w:rsidRDefault="007C0FDC" w:rsidP="007C0FDC">
      <w:pPr>
        <w:rPr>
          <w:lang w:eastAsia="ja-JP"/>
        </w:rPr>
      </w:pPr>
      <w:r>
        <w:rPr>
          <w:lang w:eastAsia="ja-JP"/>
        </w:rPr>
        <w:t>The main exclusion criteria included:</w:t>
      </w:r>
    </w:p>
    <w:p w14:paraId="726C46A1" w14:textId="2B5C329C" w:rsidR="007C0FDC" w:rsidRDefault="007C0FDC" w:rsidP="007C0FDC">
      <w:pPr>
        <w:pStyle w:val="ListBullet"/>
        <w:numPr>
          <w:ilvl w:val="0"/>
          <w:numId w:val="1"/>
        </w:numPr>
        <w:rPr>
          <w:lang w:eastAsia="ja-JP"/>
        </w:rPr>
      </w:pPr>
      <w:r>
        <w:rPr>
          <w:lang w:eastAsia="ja-JP"/>
        </w:rPr>
        <w:t>Prior use of 2 or more biological therapies for RA, Humira (adalimumab), or a biosimilar of adalimumab</w:t>
      </w:r>
      <w:r w:rsidRPr="0074233C">
        <w:rPr>
          <w:lang w:eastAsia="ja-JP"/>
        </w:rPr>
        <w:t>.</w:t>
      </w:r>
    </w:p>
    <w:p w14:paraId="3EDE7DFB" w14:textId="77777777" w:rsidR="007C0FDC" w:rsidRPr="004C69FC" w:rsidRDefault="007C0FDC" w:rsidP="007C0FDC">
      <w:pPr>
        <w:pStyle w:val="ListBullet"/>
        <w:numPr>
          <w:ilvl w:val="0"/>
          <w:numId w:val="1"/>
        </w:numPr>
        <w:rPr>
          <w:lang w:eastAsia="ja-JP"/>
        </w:rPr>
      </w:pPr>
      <w:r>
        <w:rPr>
          <w:lang w:eastAsia="ja-JP"/>
        </w:rPr>
        <w:t>Active</w:t>
      </w:r>
      <w:r w:rsidRPr="004C69FC">
        <w:rPr>
          <w:lang w:eastAsia="ja-JP"/>
        </w:rPr>
        <w:t>, recurrent, or chronic infections, history of serious infections (including HIV, HBV, HCV, and TB).</w:t>
      </w:r>
    </w:p>
    <w:p w14:paraId="7893EACF" w14:textId="77777777" w:rsidR="007C0FDC" w:rsidRDefault="007C0FDC" w:rsidP="007C0FDC">
      <w:pPr>
        <w:pStyle w:val="ListBullet"/>
        <w:numPr>
          <w:ilvl w:val="0"/>
          <w:numId w:val="1"/>
        </w:numPr>
        <w:rPr>
          <w:lang w:eastAsia="ja-JP"/>
        </w:rPr>
      </w:pPr>
      <w:r w:rsidRPr="004C69FC">
        <w:rPr>
          <w:lang w:eastAsia="ja-JP"/>
        </w:rPr>
        <w:t xml:space="preserve">Uncontrolled clinically significant systemic disease, NYHA III/IV </w:t>
      </w:r>
      <w:r w:rsidRPr="00242DBD">
        <w:rPr>
          <w:lang w:eastAsia="ja-JP"/>
        </w:rPr>
        <w:t>heart failure, or another potentially interfering</w:t>
      </w:r>
      <w:r>
        <w:rPr>
          <w:lang w:eastAsia="ja-JP"/>
        </w:rPr>
        <w:t xml:space="preserve"> disease (including CNS demyelinating disease, chronic inflammatory disease, or connective tissue disease</w:t>
      </w:r>
      <w:r w:rsidRPr="00242DBD">
        <w:rPr>
          <w:lang w:eastAsia="ja-JP"/>
        </w:rPr>
        <w:t>.</w:t>
      </w:r>
    </w:p>
    <w:p w14:paraId="5DA4053A" w14:textId="77777777" w:rsidR="007C0FDC" w:rsidRPr="002016B3" w:rsidRDefault="007C0FDC" w:rsidP="007C0FDC">
      <w:pPr>
        <w:pStyle w:val="ListBullet"/>
        <w:numPr>
          <w:ilvl w:val="0"/>
          <w:numId w:val="1"/>
        </w:numPr>
        <w:rPr>
          <w:lang w:eastAsia="ja-JP"/>
        </w:rPr>
      </w:pPr>
      <w:r w:rsidRPr="002016B3">
        <w:rPr>
          <w:lang w:eastAsia="ja-JP"/>
        </w:rPr>
        <w:t>History of malignancy within 5 years (except cured cutaneous SCC, BCC, in situ cervical cancer, or in situ breast ductal carcinoma).</w:t>
      </w:r>
    </w:p>
    <w:p w14:paraId="78696FFD" w14:textId="77777777" w:rsidR="007C0FDC" w:rsidRPr="002016B3" w:rsidRDefault="007C0FDC" w:rsidP="007C0FDC">
      <w:pPr>
        <w:pStyle w:val="ListBullet"/>
        <w:numPr>
          <w:ilvl w:val="0"/>
          <w:numId w:val="1"/>
        </w:numPr>
        <w:rPr>
          <w:lang w:eastAsia="ja-JP"/>
        </w:rPr>
      </w:pPr>
      <w:r w:rsidRPr="002016B3">
        <w:rPr>
          <w:lang w:eastAsia="ja-JP"/>
        </w:rPr>
        <w:t>Hypersensiti</w:t>
      </w:r>
      <w:r>
        <w:rPr>
          <w:lang w:eastAsia="ja-JP"/>
        </w:rPr>
        <w:t>vity to any active or excipient.</w:t>
      </w:r>
    </w:p>
    <w:p w14:paraId="7FFA28A7" w14:textId="0B0E4485" w:rsidR="007C0FDC" w:rsidRPr="00316490" w:rsidRDefault="007C0FDC" w:rsidP="007C0FDC">
      <w:pPr>
        <w:pStyle w:val="ListBullet"/>
        <w:numPr>
          <w:ilvl w:val="0"/>
          <w:numId w:val="1"/>
        </w:numPr>
        <w:rPr>
          <w:lang w:eastAsia="ja-JP"/>
        </w:rPr>
      </w:pPr>
      <w:r w:rsidRPr="00316490">
        <w:rPr>
          <w:lang w:eastAsia="ja-JP"/>
        </w:rPr>
        <w:t>Laboratory abnormalities (Hb &lt; 9 g/dL; platelets &lt; 100,000/mm</w:t>
      </w:r>
      <w:r w:rsidRPr="00090F52">
        <w:rPr>
          <w:vertAlign w:val="superscript"/>
          <w:lang w:eastAsia="ja-JP"/>
        </w:rPr>
        <w:t>3</w:t>
      </w:r>
      <w:r w:rsidRPr="00316490">
        <w:rPr>
          <w:lang w:eastAsia="ja-JP"/>
        </w:rPr>
        <w:t>; white blood cell count &lt;</w:t>
      </w:r>
      <w:r w:rsidR="003745A2">
        <w:rPr>
          <w:lang w:eastAsia="ja-JP"/>
        </w:rPr>
        <w:t> </w:t>
      </w:r>
      <w:r w:rsidRPr="00316490">
        <w:rPr>
          <w:lang w:eastAsia="ja-JP"/>
        </w:rPr>
        <w:t>3,000 cells/mm</w:t>
      </w:r>
      <w:r w:rsidRPr="00316490">
        <w:rPr>
          <w:vertAlign w:val="superscript"/>
          <w:lang w:eastAsia="ja-JP"/>
        </w:rPr>
        <w:t>3</w:t>
      </w:r>
      <w:r w:rsidRPr="00316490">
        <w:rPr>
          <w:lang w:eastAsia="ja-JP"/>
        </w:rPr>
        <w:t>; AST and ALT &gt; 2 x ULN; creatinine clearance &lt; 50 mL/min (</w:t>
      </w:r>
      <w:proofErr w:type="spellStart"/>
      <w:r w:rsidRPr="00316490">
        <w:rPr>
          <w:lang w:eastAsia="ja-JP"/>
        </w:rPr>
        <w:t>Cockroft</w:t>
      </w:r>
      <w:proofErr w:type="spellEnd"/>
      <w:r w:rsidRPr="00316490">
        <w:rPr>
          <w:lang w:eastAsia="ja-JP"/>
        </w:rPr>
        <w:t>-Gault formula); any other potentially interfering abnormality).</w:t>
      </w:r>
    </w:p>
    <w:p w14:paraId="3AF696AA" w14:textId="77777777" w:rsidR="007C0FDC" w:rsidRDefault="007C0FDC" w:rsidP="007C0FDC">
      <w:pPr>
        <w:pStyle w:val="ListBullet"/>
        <w:numPr>
          <w:ilvl w:val="0"/>
          <w:numId w:val="1"/>
        </w:numPr>
        <w:rPr>
          <w:lang w:eastAsia="ja-JP"/>
        </w:rPr>
      </w:pPr>
      <w:r>
        <w:rPr>
          <w:lang w:eastAsia="ja-JP"/>
        </w:rPr>
        <w:t>Other exclusions: substance abuse (including high potency analgesics), pregnancy, breast feeding, absence of adequate contraception, planned surgical procedures, or inability to comply with the study procedures.</w:t>
      </w:r>
    </w:p>
    <w:p w14:paraId="20FEC550" w14:textId="3D675E7C" w:rsidR="007C0FDC" w:rsidRDefault="00D15FF3" w:rsidP="007C0FDC">
      <w:pPr>
        <w:pStyle w:val="ListBullet"/>
        <w:numPr>
          <w:ilvl w:val="0"/>
          <w:numId w:val="0"/>
        </w:numPr>
        <w:rPr>
          <w:lang w:eastAsia="ja-JP"/>
        </w:rPr>
      </w:pPr>
      <w:r>
        <w:rPr>
          <w:b/>
          <w:lang w:eastAsia="ja-JP"/>
        </w:rPr>
        <w:t>C</w:t>
      </w:r>
      <w:r w:rsidR="007C0FDC" w:rsidRPr="00683061">
        <w:rPr>
          <w:b/>
          <w:lang w:eastAsia="ja-JP"/>
        </w:rPr>
        <w:t>omment:</w:t>
      </w:r>
      <w:r w:rsidR="007C0FDC">
        <w:rPr>
          <w:lang w:eastAsia="ja-JP"/>
        </w:rPr>
        <w:t xml:space="preserve"> The inclusion and exclusion criteria that were used in the study are acceptable. Furthermore, they provide a reasonable balance between internal and external validity.</w:t>
      </w:r>
    </w:p>
    <w:p w14:paraId="68E44176" w14:textId="77777777" w:rsidR="007C0FDC" w:rsidRDefault="007C0FDC" w:rsidP="008961FF">
      <w:pPr>
        <w:pStyle w:val="Heading5"/>
      </w:pPr>
      <w:r w:rsidRPr="005632DC">
        <w:t xml:space="preserve">Study </w:t>
      </w:r>
      <w:r w:rsidRPr="005B4657">
        <w:t>treatments</w:t>
      </w:r>
    </w:p>
    <w:p w14:paraId="17B03CF0" w14:textId="41A08F6B" w:rsidR="007C0FDC" w:rsidRDefault="007C0FDC" w:rsidP="007C0FDC">
      <w:pPr>
        <w:rPr>
          <w:lang w:eastAsia="ja-JP"/>
        </w:rPr>
      </w:pPr>
      <w:r>
        <w:rPr>
          <w:lang w:eastAsia="ja-JP"/>
        </w:rPr>
        <w:t>Subjects received either ABP 501 40 mg SC or adalimumab 40 mg SC on Day 1 and every 2</w:t>
      </w:r>
      <w:r w:rsidR="003745A2">
        <w:rPr>
          <w:lang w:eastAsia="ja-JP"/>
        </w:rPr>
        <w:t> </w:t>
      </w:r>
      <w:r>
        <w:rPr>
          <w:lang w:eastAsia="ja-JP"/>
        </w:rPr>
        <w:t xml:space="preserve">weeks (± 3 day dose window, for example, in case of infection) until week 22. A missed dose or a dose delayed for more than 3 days was not given, and the subsequent dose given according to the original schedule. </w:t>
      </w:r>
    </w:p>
    <w:p w14:paraId="5F1E7A55" w14:textId="77777777" w:rsidR="007C0FDC" w:rsidRDefault="007C0FDC" w:rsidP="007C0FDC">
      <w:pPr>
        <w:rPr>
          <w:lang w:eastAsia="ja-JP"/>
        </w:rPr>
      </w:pPr>
      <w:r>
        <w:rPr>
          <w:lang w:eastAsia="ja-JP"/>
        </w:rPr>
        <w:t>All subjects continued on a stable dose of methotrexate (MTX) (≥ 7.5 mg/week, oral, or SC) (unless side effects required a lower dose), except for one subject in the ABP 501 group that was excluded from the PP analysis, as the subject also had a negative RF and anti-CCP result. The following other concomitant medications were allowed:</w:t>
      </w:r>
    </w:p>
    <w:p w14:paraId="2F480318" w14:textId="77777777" w:rsidR="007C0FDC" w:rsidRDefault="007C0FDC" w:rsidP="007C0FDC">
      <w:pPr>
        <w:pStyle w:val="ListBullet"/>
        <w:numPr>
          <w:ilvl w:val="0"/>
          <w:numId w:val="1"/>
        </w:numPr>
        <w:rPr>
          <w:lang w:eastAsia="ja-JP"/>
        </w:rPr>
      </w:pPr>
      <w:r>
        <w:rPr>
          <w:lang w:eastAsia="ja-JP"/>
        </w:rPr>
        <w:t>Oral corticosteroids at a dose of ≤ 10 mg prednisone (or equivalent) per day (if the subject was at a stable dose for 4 weeks or more prior to initiation of study treatment.</w:t>
      </w:r>
    </w:p>
    <w:p w14:paraId="78AB7EFD" w14:textId="77777777" w:rsidR="007C0FDC" w:rsidRDefault="007C0FDC" w:rsidP="007C0FDC">
      <w:pPr>
        <w:pStyle w:val="ListBullet"/>
        <w:numPr>
          <w:ilvl w:val="0"/>
          <w:numId w:val="1"/>
        </w:numPr>
        <w:rPr>
          <w:lang w:eastAsia="ja-JP"/>
        </w:rPr>
      </w:pPr>
      <w:r>
        <w:rPr>
          <w:lang w:eastAsia="ja-JP"/>
        </w:rPr>
        <w:t>Non-live vaccinations.</w:t>
      </w:r>
    </w:p>
    <w:p w14:paraId="6633B6DB" w14:textId="3C804AEF" w:rsidR="007C0FDC" w:rsidRDefault="007C0FDC" w:rsidP="007C0FDC">
      <w:pPr>
        <w:rPr>
          <w:lang w:eastAsia="ja-JP"/>
        </w:rPr>
      </w:pPr>
      <w:r>
        <w:rPr>
          <w:lang w:eastAsia="ja-JP"/>
        </w:rPr>
        <w:t>Rescue medications not affecting RA (for example, oral corticosteroids, paracetamol, NSAIDs, COX-2 inhibitors) were allowed under certain conditions (outlined in the study protocol</w:t>
      </w:r>
      <w:r w:rsidR="00D15FF3">
        <w:rPr>
          <w:lang w:eastAsia="ja-JP"/>
        </w:rPr>
        <w:t>).</w:t>
      </w:r>
    </w:p>
    <w:p w14:paraId="68FACEA4" w14:textId="20C780E7" w:rsidR="007C0FDC" w:rsidRDefault="00D15FF3" w:rsidP="00AA7D1C">
      <w:pPr>
        <w:pStyle w:val="Comment"/>
        <w:rPr>
          <w:lang w:eastAsia="ja-JP"/>
        </w:rPr>
      </w:pPr>
      <w:r>
        <w:rPr>
          <w:b/>
          <w:lang w:eastAsia="ja-JP"/>
        </w:rPr>
        <w:t>C</w:t>
      </w:r>
      <w:r w:rsidR="007C0FDC" w:rsidRPr="00567BA7">
        <w:rPr>
          <w:b/>
          <w:lang w:eastAsia="ja-JP"/>
        </w:rPr>
        <w:t>omment:</w:t>
      </w:r>
      <w:r w:rsidR="007C0FDC">
        <w:rPr>
          <w:b/>
          <w:lang w:eastAsia="ja-JP"/>
        </w:rPr>
        <w:t xml:space="preserve"> </w:t>
      </w:r>
      <w:r>
        <w:rPr>
          <w:b/>
          <w:lang w:eastAsia="ja-JP"/>
        </w:rPr>
        <w:t xml:space="preserve"> </w:t>
      </w:r>
      <w:r w:rsidR="007C0FDC">
        <w:rPr>
          <w:lang w:eastAsia="ja-JP"/>
        </w:rPr>
        <w:t xml:space="preserve">The dosing schedule and rules were appropriate, as they were identical to the dosing recommendation for the reference product. The choice of comparator was appropriate, as Humira is accepted as the innovator product in Australia. The rescue medication rules were more restrictive than the rules in the originator trial </w:t>
      </w:r>
      <w:r w:rsidR="007C0FDC">
        <w:rPr>
          <w:lang w:eastAsia="ja-JP"/>
        </w:rPr>
        <w:lastRenderedPageBreak/>
        <w:t xml:space="preserve">(Keystone </w:t>
      </w:r>
      <w:r w:rsidR="007C0FDC" w:rsidRPr="004F6928">
        <w:rPr>
          <w:i/>
          <w:lang w:eastAsia="ja-JP"/>
        </w:rPr>
        <w:t>et al.</w:t>
      </w:r>
      <w:r w:rsidR="007C0FDC">
        <w:rPr>
          <w:lang w:eastAsia="ja-JP"/>
        </w:rPr>
        <w:t>, 2004) and therefore less likely to affect the internal validity of the study.</w:t>
      </w:r>
    </w:p>
    <w:p w14:paraId="78D656AC" w14:textId="77777777" w:rsidR="007C0FDC" w:rsidRPr="005632DC" w:rsidRDefault="007C0FDC" w:rsidP="008961FF">
      <w:pPr>
        <w:pStyle w:val="Heading5"/>
      </w:pPr>
      <w:r w:rsidRPr="005632DC">
        <w:t>Efficacy variables and outcomes</w:t>
      </w:r>
    </w:p>
    <w:p w14:paraId="51C7F04E" w14:textId="77777777" w:rsidR="007C0FDC" w:rsidRPr="001A389C" w:rsidRDefault="007C0FDC" w:rsidP="007C0FDC">
      <w:pPr>
        <w:pStyle w:val="Heading6"/>
      </w:pPr>
      <w:r w:rsidRPr="001A389C">
        <w:t>ACR score</w:t>
      </w:r>
    </w:p>
    <w:p w14:paraId="7E5AC8DC" w14:textId="09028F85" w:rsidR="007C0FDC" w:rsidRDefault="007C0FDC" w:rsidP="007C0FDC">
      <w:pPr>
        <w:rPr>
          <w:lang w:eastAsia="ja-JP"/>
        </w:rPr>
      </w:pPr>
      <w:r>
        <w:rPr>
          <w:lang w:eastAsia="ja-JP"/>
        </w:rPr>
        <w:t xml:space="preserve">For the purposes of this study, the ACR core set measurements for rheumatoid arthritis were used (as outlined in </w:t>
      </w:r>
      <w:r w:rsidR="00D15FF3">
        <w:rPr>
          <w:lang w:eastAsia="ja-JP"/>
        </w:rPr>
        <w:t xml:space="preserve">the </w:t>
      </w:r>
      <w:r>
        <w:rPr>
          <w:lang w:eastAsia="ja-JP"/>
        </w:rPr>
        <w:t>Clinical Study Protocol for Study 20</w:t>
      </w:r>
      <w:r w:rsidRPr="00E07F6F">
        <w:rPr>
          <w:lang w:eastAsia="ja-JP"/>
        </w:rPr>
        <w:t>120262</w:t>
      </w:r>
      <w:r w:rsidR="00D15FF3">
        <w:rPr>
          <w:lang w:eastAsia="ja-JP"/>
        </w:rPr>
        <w:t>)</w:t>
      </w:r>
      <w:r>
        <w:rPr>
          <w:lang w:eastAsia="ja-JP"/>
        </w:rPr>
        <w:t>.</w:t>
      </w:r>
    </w:p>
    <w:p w14:paraId="7BD888AB" w14:textId="77777777" w:rsidR="007C0FDC" w:rsidRPr="00E07F6F" w:rsidRDefault="007C0FDC" w:rsidP="007C0FDC">
      <w:pPr>
        <w:rPr>
          <w:lang w:eastAsia="ja-JP"/>
        </w:rPr>
      </w:pPr>
      <w:r w:rsidRPr="00E07F6F">
        <w:rPr>
          <w:lang w:eastAsia="ja-JP"/>
        </w:rPr>
        <w:t>ACR Core Set Measurements</w:t>
      </w:r>
      <w:r>
        <w:rPr>
          <w:lang w:eastAsia="ja-JP"/>
        </w:rPr>
        <w:t>:</w:t>
      </w:r>
    </w:p>
    <w:p w14:paraId="3D0005ED" w14:textId="77777777" w:rsidR="007C0FDC" w:rsidRDefault="007C0FDC" w:rsidP="007C0FDC">
      <w:pPr>
        <w:pStyle w:val="ListBullet"/>
        <w:numPr>
          <w:ilvl w:val="0"/>
          <w:numId w:val="1"/>
        </w:numPr>
        <w:rPr>
          <w:lang w:eastAsia="ja-JP"/>
        </w:rPr>
      </w:pPr>
      <w:r>
        <w:rPr>
          <w:lang w:eastAsia="ja-JP"/>
        </w:rPr>
        <w:t>tender joint count</w:t>
      </w:r>
    </w:p>
    <w:p w14:paraId="44F02E0A" w14:textId="77777777" w:rsidR="007C0FDC" w:rsidRDefault="007C0FDC" w:rsidP="007C0FDC">
      <w:pPr>
        <w:pStyle w:val="ListBullet"/>
        <w:numPr>
          <w:ilvl w:val="0"/>
          <w:numId w:val="1"/>
        </w:numPr>
        <w:rPr>
          <w:lang w:eastAsia="ja-JP"/>
        </w:rPr>
      </w:pPr>
      <w:r>
        <w:rPr>
          <w:lang w:eastAsia="ja-JP"/>
        </w:rPr>
        <w:t>swollen joint count</w:t>
      </w:r>
    </w:p>
    <w:p w14:paraId="4D230069" w14:textId="77777777" w:rsidR="007C0FDC" w:rsidRDefault="007C0FDC" w:rsidP="007C0FDC">
      <w:pPr>
        <w:pStyle w:val="ListBullet"/>
        <w:numPr>
          <w:ilvl w:val="0"/>
          <w:numId w:val="1"/>
        </w:numPr>
        <w:rPr>
          <w:lang w:eastAsia="ja-JP"/>
        </w:rPr>
      </w:pPr>
      <w:r>
        <w:rPr>
          <w:lang w:eastAsia="ja-JP"/>
        </w:rPr>
        <w:t>Subject's Global Health Assessment</w:t>
      </w:r>
    </w:p>
    <w:p w14:paraId="52D3A09F" w14:textId="77777777" w:rsidR="007C0FDC" w:rsidRDefault="007C0FDC" w:rsidP="007C0FDC">
      <w:pPr>
        <w:pStyle w:val="ListBullet"/>
        <w:numPr>
          <w:ilvl w:val="0"/>
          <w:numId w:val="1"/>
        </w:numPr>
        <w:rPr>
          <w:lang w:eastAsia="ja-JP"/>
        </w:rPr>
      </w:pPr>
      <w:r>
        <w:rPr>
          <w:lang w:eastAsia="ja-JP"/>
        </w:rPr>
        <w:t>Investigator's Global Health Assessment</w:t>
      </w:r>
    </w:p>
    <w:p w14:paraId="1BC5E3DB" w14:textId="77777777" w:rsidR="007C0FDC" w:rsidRDefault="007C0FDC" w:rsidP="007C0FDC">
      <w:pPr>
        <w:pStyle w:val="ListBullet"/>
        <w:numPr>
          <w:ilvl w:val="0"/>
          <w:numId w:val="1"/>
        </w:numPr>
        <w:rPr>
          <w:lang w:eastAsia="ja-JP"/>
        </w:rPr>
      </w:pPr>
      <w:r>
        <w:rPr>
          <w:lang w:eastAsia="ja-JP"/>
        </w:rPr>
        <w:t>Subject's assessment of pain</w:t>
      </w:r>
    </w:p>
    <w:p w14:paraId="11C31836" w14:textId="77777777" w:rsidR="007C0FDC" w:rsidRDefault="007C0FDC" w:rsidP="007C0FDC">
      <w:pPr>
        <w:pStyle w:val="ListBullet"/>
        <w:numPr>
          <w:ilvl w:val="0"/>
          <w:numId w:val="1"/>
        </w:numPr>
        <w:rPr>
          <w:lang w:eastAsia="ja-JP"/>
        </w:rPr>
      </w:pPr>
      <w:r>
        <w:rPr>
          <w:lang w:eastAsia="ja-JP"/>
        </w:rPr>
        <w:t>Health Assessment Questionnaire – Disability Index (HAQ-DI)</w:t>
      </w:r>
    </w:p>
    <w:p w14:paraId="04848652" w14:textId="77777777" w:rsidR="007C0FDC" w:rsidRDefault="007C0FDC" w:rsidP="007C0FDC">
      <w:pPr>
        <w:pStyle w:val="ListBullet"/>
        <w:numPr>
          <w:ilvl w:val="0"/>
          <w:numId w:val="1"/>
        </w:numPr>
        <w:rPr>
          <w:lang w:eastAsia="ja-JP"/>
        </w:rPr>
      </w:pPr>
      <w:r>
        <w:rPr>
          <w:lang w:eastAsia="ja-JP"/>
        </w:rPr>
        <w:t>CRP</w:t>
      </w:r>
    </w:p>
    <w:p w14:paraId="6B219BD4" w14:textId="77777777" w:rsidR="007C0FDC" w:rsidRDefault="007C0FDC" w:rsidP="007C0FDC">
      <w:pPr>
        <w:rPr>
          <w:lang w:eastAsia="ja-JP"/>
        </w:rPr>
      </w:pPr>
      <w:r>
        <w:rPr>
          <w:lang w:eastAsia="ja-JP"/>
        </w:rPr>
        <w:t>The joints to be assessed for tenderness (68 joints) and swelling (66 joints) consisted of the following:</w:t>
      </w:r>
    </w:p>
    <w:p w14:paraId="0363FC05" w14:textId="77777777" w:rsidR="007C0FDC" w:rsidRDefault="007C0FDC" w:rsidP="007C0FDC">
      <w:pPr>
        <w:pStyle w:val="ListBullet"/>
        <w:numPr>
          <w:ilvl w:val="0"/>
          <w:numId w:val="1"/>
        </w:numPr>
        <w:rPr>
          <w:lang w:eastAsia="ja-JP"/>
        </w:rPr>
      </w:pPr>
      <w:r>
        <w:rPr>
          <w:lang w:eastAsia="ja-JP"/>
        </w:rPr>
        <w:t>temporomandibular joint</w:t>
      </w:r>
    </w:p>
    <w:p w14:paraId="2DC803CA" w14:textId="77777777" w:rsidR="007C0FDC" w:rsidRDefault="007C0FDC" w:rsidP="007C0FDC">
      <w:pPr>
        <w:pStyle w:val="ListBullet"/>
        <w:numPr>
          <w:ilvl w:val="0"/>
          <w:numId w:val="1"/>
        </w:numPr>
        <w:rPr>
          <w:lang w:eastAsia="ja-JP"/>
        </w:rPr>
      </w:pPr>
      <w:r>
        <w:rPr>
          <w:lang w:eastAsia="ja-JP"/>
        </w:rPr>
        <w:t>sternoclavicular joint</w:t>
      </w:r>
    </w:p>
    <w:p w14:paraId="6D462A28" w14:textId="77777777" w:rsidR="007C0FDC" w:rsidRDefault="007C0FDC" w:rsidP="007C0FDC">
      <w:pPr>
        <w:pStyle w:val="ListBullet"/>
        <w:numPr>
          <w:ilvl w:val="0"/>
          <w:numId w:val="1"/>
        </w:numPr>
        <w:rPr>
          <w:lang w:eastAsia="ja-JP"/>
        </w:rPr>
      </w:pPr>
      <w:r>
        <w:rPr>
          <w:lang w:eastAsia="ja-JP"/>
        </w:rPr>
        <w:t>acromioclavicular joint</w:t>
      </w:r>
    </w:p>
    <w:p w14:paraId="37CC2F33" w14:textId="77777777" w:rsidR="007C0FDC" w:rsidRDefault="007C0FDC" w:rsidP="007C0FDC">
      <w:pPr>
        <w:pStyle w:val="ListBullet"/>
        <w:numPr>
          <w:ilvl w:val="0"/>
          <w:numId w:val="1"/>
        </w:numPr>
        <w:rPr>
          <w:lang w:eastAsia="ja-JP"/>
        </w:rPr>
      </w:pPr>
      <w:r>
        <w:rPr>
          <w:lang w:eastAsia="ja-JP"/>
        </w:rPr>
        <w:t>shoulders*</w:t>
      </w:r>
    </w:p>
    <w:p w14:paraId="2F3B9C4F" w14:textId="77777777" w:rsidR="007C0FDC" w:rsidRDefault="007C0FDC" w:rsidP="007C0FDC">
      <w:pPr>
        <w:pStyle w:val="ListBullet"/>
        <w:numPr>
          <w:ilvl w:val="0"/>
          <w:numId w:val="1"/>
        </w:numPr>
        <w:rPr>
          <w:lang w:eastAsia="ja-JP"/>
        </w:rPr>
      </w:pPr>
      <w:r>
        <w:rPr>
          <w:lang w:eastAsia="ja-JP"/>
        </w:rPr>
        <w:t>elbows*</w:t>
      </w:r>
    </w:p>
    <w:p w14:paraId="1CE841F1" w14:textId="77777777" w:rsidR="007C0FDC" w:rsidRDefault="007C0FDC" w:rsidP="007C0FDC">
      <w:pPr>
        <w:pStyle w:val="ListBullet"/>
        <w:numPr>
          <w:ilvl w:val="0"/>
          <w:numId w:val="1"/>
        </w:numPr>
        <w:rPr>
          <w:lang w:eastAsia="ja-JP"/>
        </w:rPr>
      </w:pPr>
      <w:r>
        <w:rPr>
          <w:lang w:eastAsia="ja-JP"/>
        </w:rPr>
        <w:t>wrists*</w:t>
      </w:r>
    </w:p>
    <w:p w14:paraId="153679B8" w14:textId="77777777" w:rsidR="007C0FDC" w:rsidRDefault="007C0FDC" w:rsidP="007C0FDC">
      <w:pPr>
        <w:pStyle w:val="ListBullet"/>
        <w:numPr>
          <w:ilvl w:val="0"/>
          <w:numId w:val="1"/>
        </w:numPr>
        <w:rPr>
          <w:lang w:eastAsia="ja-JP"/>
        </w:rPr>
      </w:pPr>
      <w:r>
        <w:rPr>
          <w:lang w:eastAsia="ja-JP"/>
        </w:rPr>
        <w:t>interphalangeal on digit 1*</w:t>
      </w:r>
    </w:p>
    <w:p w14:paraId="65E8400A" w14:textId="42489B16" w:rsidR="007C0FDC" w:rsidRDefault="007C0FDC" w:rsidP="007C0FDC">
      <w:pPr>
        <w:pStyle w:val="ListBullet"/>
        <w:numPr>
          <w:ilvl w:val="0"/>
          <w:numId w:val="1"/>
        </w:numPr>
        <w:rPr>
          <w:lang w:eastAsia="ja-JP"/>
        </w:rPr>
      </w:pPr>
      <w:r>
        <w:rPr>
          <w:lang w:eastAsia="ja-JP"/>
        </w:rPr>
        <w:t xml:space="preserve">distal interphalangeal joints on digits 2 </w:t>
      </w:r>
      <w:r w:rsidR="00D15FF3">
        <w:rPr>
          <w:lang w:eastAsia="ja-JP"/>
        </w:rPr>
        <w:t>to</w:t>
      </w:r>
      <w:r>
        <w:rPr>
          <w:lang w:eastAsia="ja-JP"/>
        </w:rPr>
        <w:t xml:space="preserve"> 5</w:t>
      </w:r>
    </w:p>
    <w:p w14:paraId="19EDA251" w14:textId="7672768D" w:rsidR="007C0FDC" w:rsidRDefault="007C0FDC" w:rsidP="007C0FDC">
      <w:pPr>
        <w:pStyle w:val="ListBullet"/>
        <w:numPr>
          <w:ilvl w:val="0"/>
          <w:numId w:val="1"/>
        </w:numPr>
        <w:rPr>
          <w:lang w:eastAsia="ja-JP"/>
        </w:rPr>
      </w:pPr>
      <w:r>
        <w:rPr>
          <w:lang w:eastAsia="ja-JP"/>
        </w:rPr>
        <w:t xml:space="preserve">proximal interphalangeal joints on digits 2 </w:t>
      </w:r>
      <w:r w:rsidR="00D15FF3">
        <w:rPr>
          <w:lang w:eastAsia="ja-JP"/>
        </w:rPr>
        <w:t>to</w:t>
      </w:r>
      <w:r>
        <w:rPr>
          <w:lang w:eastAsia="ja-JP"/>
        </w:rPr>
        <w:t xml:space="preserve"> 5*</w:t>
      </w:r>
    </w:p>
    <w:p w14:paraId="4C78B95E" w14:textId="203AFE14" w:rsidR="007C0FDC" w:rsidRDefault="007C0FDC" w:rsidP="007C0FDC">
      <w:pPr>
        <w:pStyle w:val="ListBullet"/>
        <w:numPr>
          <w:ilvl w:val="0"/>
          <w:numId w:val="1"/>
        </w:numPr>
        <w:rPr>
          <w:lang w:eastAsia="ja-JP"/>
        </w:rPr>
      </w:pPr>
      <w:r>
        <w:rPr>
          <w:lang w:eastAsia="ja-JP"/>
        </w:rPr>
        <w:t xml:space="preserve">metacarpophalangeal joints on digits 1 </w:t>
      </w:r>
      <w:r w:rsidR="00D15FF3">
        <w:rPr>
          <w:lang w:eastAsia="ja-JP"/>
        </w:rPr>
        <w:t>to</w:t>
      </w:r>
      <w:r>
        <w:rPr>
          <w:lang w:eastAsia="ja-JP"/>
        </w:rPr>
        <w:t xml:space="preserve"> 5*</w:t>
      </w:r>
    </w:p>
    <w:p w14:paraId="4E6C30FA" w14:textId="77777777" w:rsidR="007C0FDC" w:rsidRDefault="007C0FDC" w:rsidP="007C0FDC">
      <w:pPr>
        <w:pStyle w:val="ListBullet"/>
        <w:numPr>
          <w:ilvl w:val="0"/>
          <w:numId w:val="1"/>
        </w:numPr>
        <w:rPr>
          <w:lang w:eastAsia="ja-JP"/>
        </w:rPr>
      </w:pPr>
      <w:r>
        <w:rPr>
          <w:lang w:eastAsia="ja-JP"/>
        </w:rPr>
        <w:t>hips (tenderness only)</w:t>
      </w:r>
    </w:p>
    <w:p w14:paraId="279FBAE4" w14:textId="77777777" w:rsidR="007C0FDC" w:rsidRDefault="007C0FDC" w:rsidP="007C0FDC">
      <w:pPr>
        <w:pStyle w:val="ListBullet"/>
        <w:numPr>
          <w:ilvl w:val="0"/>
          <w:numId w:val="1"/>
        </w:numPr>
        <w:rPr>
          <w:lang w:eastAsia="ja-JP"/>
        </w:rPr>
      </w:pPr>
      <w:r>
        <w:rPr>
          <w:lang w:eastAsia="ja-JP"/>
        </w:rPr>
        <w:t>knees*</w:t>
      </w:r>
    </w:p>
    <w:p w14:paraId="35D18F07" w14:textId="77777777" w:rsidR="007C0FDC" w:rsidRDefault="007C0FDC" w:rsidP="007C0FDC">
      <w:pPr>
        <w:pStyle w:val="ListBullet"/>
        <w:numPr>
          <w:ilvl w:val="0"/>
          <w:numId w:val="1"/>
        </w:numPr>
        <w:rPr>
          <w:lang w:eastAsia="ja-JP"/>
        </w:rPr>
      </w:pPr>
      <w:r>
        <w:rPr>
          <w:lang w:eastAsia="ja-JP"/>
        </w:rPr>
        <w:t>ankles</w:t>
      </w:r>
    </w:p>
    <w:p w14:paraId="4368BCFC" w14:textId="77777777" w:rsidR="007C0FDC" w:rsidRDefault="007C0FDC" w:rsidP="007C0FDC">
      <w:pPr>
        <w:pStyle w:val="ListBullet"/>
        <w:numPr>
          <w:ilvl w:val="0"/>
          <w:numId w:val="1"/>
        </w:numPr>
        <w:rPr>
          <w:lang w:eastAsia="ja-JP"/>
        </w:rPr>
      </w:pPr>
      <w:r>
        <w:rPr>
          <w:lang w:eastAsia="ja-JP"/>
        </w:rPr>
        <w:t>metatarsals</w:t>
      </w:r>
    </w:p>
    <w:p w14:paraId="2426E74A" w14:textId="12320CAD" w:rsidR="007C0FDC" w:rsidRDefault="007C0FDC" w:rsidP="007C0FDC">
      <w:pPr>
        <w:pStyle w:val="ListBullet"/>
        <w:numPr>
          <w:ilvl w:val="0"/>
          <w:numId w:val="1"/>
        </w:numPr>
        <w:rPr>
          <w:lang w:eastAsia="ja-JP"/>
        </w:rPr>
      </w:pPr>
      <w:r>
        <w:rPr>
          <w:lang w:eastAsia="ja-JP"/>
        </w:rPr>
        <w:t xml:space="preserve">interphalangeal joints on toes 1 </w:t>
      </w:r>
      <w:r w:rsidR="00D15FF3">
        <w:rPr>
          <w:lang w:eastAsia="ja-JP"/>
        </w:rPr>
        <w:t>to</w:t>
      </w:r>
      <w:r>
        <w:rPr>
          <w:lang w:eastAsia="ja-JP"/>
        </w:rPr>
        <w:t xml:space="preserve"> 5</w:t>
      </w:r>
    </w:p>
    <w:p w14:paraId="0383D043" w14:textId="251D004C" w:rsidR="007C0FDC" w:rsidRDefault="007C0FDC" w:rsidP="007C0FDC">
      <w:pPr>
        <w:pStyle w:val="ListBullet"/>
        <w:numPr>
          <w:ilvl w:val="0"/>
          <w:numId w:val="1"/>
        </w:numPr>
        <w:rPr>
          <w:lang w:eastAsia="ja-JP"/>
        </w:rPr>
      </w:pPr>
      <w:r>
        <w:rPr>
          <w:lang w:eastAsia="ja-JP"/>
        </w:rPr>
        <w:t xml:space="preserve">metatarsophalangeal joints on toes 1 </w:t>
      </w:r>
      <w:r w:rsidR="00D15FF3">
        <w:rPr>
          <w:lang w:eastAsia="ja-JP"/>
        </w:rPr>
        <w:t>to</w:t>
      </w:r>
      <w:r>
        <w:rPr>
          <w:lang w:eastAsia="ja-JP"/>
        </w:rPr>
        <w:t xml:space="preserve"> 5</w:t>
      </w:r>
    </w:p>
    <w:p w14:paraId="72D94DAA" w14:textId="77777777" w:rsidR="007C0FDC" w:rsidRDefault="007C0FDC" w:rsidP="007C0FDC">
      <w:pPr>
        <w:rPr>
          <w:lang w:eastAsia="ja-JP"/>
        </w:rPr>
      </w:pPr>
      <w:r>
        <w:rPr>
          <w:lang w:eastAsia="ja-JP"/>
        </w:rPr>
        <w:t>Joints assessed for swelling are the same, with the exception of the hips, which are excluded.</w:t>
      </w:r>
    </w:p>
    <w:p w14:paraId="15855CDC" w14:textId="77777777" w:rsidR="007C0FDC" w:rsidRDefault="007C0FDC" w:rsidP="007C0FDC">
      <w:pPr>
        <w:rPr>
          <w:lang w:eastAsia="ja-JP"/>
        </w:rPr>
      </w:pPr>
      <w:r>
        <w:rPr>
          <w:lang w:eastAsia="ja-JP"/>
        </w:rPr>
        <w:t>* The 28 joints used to calculate the DAS28.</w:t>
      </w:r>
    </w:p>
    <w:p w14:paraId="38481F31" w14:textId="77777777" w:rsidR="007C0FDC" w:rsidRPr="001A389C" w:rsidRDefault="007C0FDC" w:rsidP="007C0FDC">
      <w:pPr>
        <w:pStyle w:val="Heading6"/>
      </w:pPr>
      <w:r w:rsidRPr="001A389C">
        <w:t>Primary efficacy variable (endpoint)</w:t>
      </w:r>
    </w:p>
    <w:p w14:paraId="41E16847" w14:textId="77777777" w:rsidR="007C0FDC" w:rsidRPr="009F5855" w:rsidRDefault="007C0FDC" w:rsidP="007C0FDC">
      <w:pPr>
        <w:rPr>
          <w:lang w:eastAsia="ja-JP"/>
        </w:rPr>
      </w:pPr>
      <w:r w:rsidRPr="009F5855">
        <w:rPr>
          <w:lang w:eastAsia="ja-JP"/>
        </w:rPr>
        <w:t xml:space="preserve">The primary efficacy endpoint was the risk ratio (RR) of ACR20 at Week 24. To achieve an ACR20 response, at least 20% improvement compared to baseline was required for both </w:t>
      </w:r>
      <w:r w:rsidRPr="009F5855">
        <w:rPr>
          <w:lang w:eastAsia="ja-JP"/>
        </w:rPr>
        <w:lastRenderedPageBreak/>
        <w:t>swollen and tender joint counts (66/68 joint counts) and for at least 3 of the following 5 additional parameters:</w:t>
      </w:r>
    </w:p>
    <w:p w14:paraId="7F6A3E96" w14:textId="77777777" w:rsidR="007C0FDC" w:rsidRPr="009F5855" w:rsidRDefault="007C0FDC" w:rsidP="007C0FDC">
      <w:pPr>
        <w:pStyle w:val="ListBullet"/>
        <w:numPr>
          <w:ilvl w:val="0"/>
          <w:numId w:val="1"/>
        </w:numPr>
        <w:rPr>
          <w:lang w:eastAsia="ja-JP"/>
        </w:rPr>
      </w:pPr>
      <w:r w:rsidRPr="009F5855">
        <w:rPr>
          <w:lang w:eastAsia="ja-JP"/>
        </w:rPr>
        <w:t xml:space="preserve">Subject's Global Health Assessment (on a 0 </w:t>
      </w:r>
      <w:r>
        <w:rPr>
          <w:lang w:eastAsia="ja-JP"/>
        </w:rPr>
        <w:t>(</w:t>
      </w:r>
      <w:r w:rsidRPr="005B66D6">
        <w:rPr>
          <w:lang w:eastAsia="ja-JP"/>
        </w:rPr>
        <w:t>symptom-free and no arthritis symptoms</w:t>
      </w:r>
      <w:r>
        <w:rPr>
          <w:lang w:eastAsia="ja-JP"/>
        </w:rPr>
        <w:t xml:space="preserve">) </w:t>
      </w:r>
      <w:r w:rsidRPr="009F5855">
        <w:rPr>
          <w:lang w:eastAsia="ja-JP"/>
        </w:rPr>
        <w:t xml:space="preserve">to 10 </w:t>
      </w:r>
      <w:r>
        <w:rPr>
          <w:lang w:eastAsia="ja-JP"/>
        </w:rPr>
        <w:t>(</w:t>
      </w:r>
      <w:r w:rsidRPr="005B66D6">
        <w:rPr>
          <w:lang w:eastAsia="ja-JP"/>
        </w:rPr>
        <w:t>maximum arthritis disease activity</w:t>
      </w:r>
      <w:r>
        <w:rPr>
          <w:lang w:eastAsia="ja-JP"/>
        </w:rPr>
        <w:t xml:space="preserve">) </w:t>
      </w:r>
      <w:r w:rsidRPr="009F5855">
        <w:rPr>
          <w:lang w:eastAsia="ja-JP"/>
        </w:rPr>
        <w:t>horizontal scale)</w:t>
      </w:r>
    </w:p>
    <w:p w14:paraId="29EFF5AF" w14:textId="77777777" w:rsidR="007C0FDC" w:rsidRPr="009F5855" w:rsidRDefault="007C0FDC" w:rsidP="007C0FDC">
      <w:pPr>
        <w:pStyle w:val="ListBullet"/>
        <w:numPr>
          <w:ilvl w:val="0"/>
          <w:numId w:val="1"/>
        </w:numPr>
        <w:rPr>
          <w:lang w:eastAsia="ja-JP"/>
        </w:rPr>
      </w:pPr>
      <w:r w:rsidRPr="009F5855">
        <w:rPr>
          <w:lang w:eastAsia="ja-JP"/>
        </w:rPr>
        <w:t xml:space="preserve">Investigator's Global Health Assessment (on a 0 </w:t>
      </w:r>
      <w:r>
        <w:rPr>
          <w:lang w:eastAsia="ja-JP"/>
        </w:rPr>
        <w:t>(</w:t>
      </w:r>
      <w:r w:rsidRPr="005B66D6">
        <w:rPr>
          <w:lang w:eastAsia="ja-JP"/>
        </w:rPr>
        <w:t>symptom-free and no arthritis symptoms</w:t>
      </w:r>
      <w:r>
        <w:rPr>
          <w:lang w:eastAsia="ja-JP"/>
        </w:rPr>
        <w:t xml:space="preserve">) </w:t>
      </w:r>
      <w:r w:rsidRPr="009F5855">
        <w:rPr>
          <w:lang w:eastAsia="ja-JP"/>
        </w:rPr>
        <w:t xml:space="preserve">to 10 </w:t>
      </w:r>
      <w:r>
        <w:rPr>
          <w:lang w:eastAsia="ja-JP"/>
        </w:rPr>
        <w:t>(</w:t>
      </w:r>
      <w:r w:rsidRPr="005B66D6">
        <w:rPr>
          <w:lang w:eastAsia="ja-JP"/>
        </w:rPr>
        <w:t>maximum arthritis disease activity</w:t>
      </w:r>
      <w:r>
        <w:rPr>
          <w:lang w:eastAsia="ja-JP"/>
        </w:rPr>
        <w:t xml:space="preserve">) </w:t>
      </w:r>
      <w:r w:rsidRPr="009F5855">
        <w:rPr>
          <w:lang w:eastAsia="ja-JP"/>
        </w:rPr>
        <w:t>horizontal scale)</w:t>
      </w:r>
    </w:p>
    <w:p w14:paraId="75B0F158" w14:textId="1560DD40" w:rsidR="007C0FDC" w:rsidRPr="009F5855" w:rsidRDefault="007C0FDC" w:rsidP="007C0FDC">
      <w:pPr>
        <w:pStyle w:val="ListBullet"/>
        <w:numPr>
          <w:ilvl w:val="0"/>
          <w:numId w:val="1"/>
        </w:numPr>
        <w:rPr>
          <w:lang w:eastAsia="ja-JP"/>
        </w:rPr>
      </w:pPr>
      <w:r w:rsidRPr="009F5855">
        <w:rPr>
          <w:lang w:eastAsia="ja-JP"/>
        </w:rPr>
        <w:t xml:space="preserve">Subject’s assessment of pain (on a 100-mm visual analogue scale </w:t>
      </w:r>
      <w:r w:rsidR="00D175FA">
        <w:rPr>
          <w:lang w:eastAsia="ja-JP"/>
        </w:rPr>
        <w:t>(</w:t>
      </w:r>
      <w:r w:rsidRPr="009F5855">
        <w:rPr>
          <w:lang w:eastAsia="ja-JP"/>
        </w:rPr>
        <w:t>VAS</w:t>
      </w:r>
      <w:r w:rsidR="00D175FA">
        <w:rPr>
          <w:lang w:eastAsia="ja-JP"/>
        </w:rPr>
        <w:t>)</w:t>
      </w:r>
      <w:r>
        <w:rPr>
          <w:lang w:eastAsia="ja-JP"/>
        </w:rPr>
        <w:t xml:space="preserve"> from ‘no pain at all’ to ‘worst pain imaginable’</w:t>
      </w:r>
      <w:r w:rsidRPr="009F5855">
        <w:rPr>
          <w:lang w:eastAsia="ja-JP"/>
        </w:rPr>
        <w:t>)</w:t>
      </w:r>
    </w:p>
    <w:p w14:paraId="2027B4B5" w14:textId="77777777" w:rsidR="007C0FDC" w:rsidRPr="009F5855" w:rsidRDefault="007C0FDC" w:rsidP="007C0FDC">
      <w:pPr>
        <w:pStyle w:val="ListBullet"/>
        <w:numPr>
          <w:ilvl w:val="0"/>
          <w:numId w:val="1"/>
        </w:numPr>
        <w:rPr>
          <w:lang w:eastAsia="ja-JP"/>
        </w:rPr>
      </w:pPr>
      <w:r w:rsidRPr="009F5855">
        <w:rPr>
          <w:lang w:eastAsia="ja-JP"/>
        </w:rPr>
        <w:t>Health Assessment Questionnaire - Disability Index (HAQ-DI) (range: 0 to 3)</w:t>
      </w:r>
    </w:p>
    <w:p w14:paraId="2E4C416C" w14:textId="77777777" w:rsidR="007C0FDC" w:rsidRDefault="007C0FDC" w:rsidP="007C0FDC">
      <w:pPr>
        <w:pStyle w:val="ListBullet"/>
        <w:numPr>
          <w:ilvl w:val="0"/>
          <w:numId w:val="1"/>
        </w:numPr>
        <w:rPr>
          <w:lang w:eastAsia="ja-JP"/>
        </w:rPr>
      </w:pPr>
      <w:r w:rsidRPr="009F5855">
        <w:rPr>
          <w:lang w:eastAsia="ja-JP"/>
        </w:rPr>
        <w:t>Serum CRP concentration</w:t>
      </w:r>
      <w:bookmarkStart w:id="172" w:name="Temp1"/>
      <w:bookmarkEnd w:id="172"/>
    </w:p>
    <w:p w14:paraId="3E769284" w14:textId="77777777" w:rsidR="007C0FDC" w:rsidRPr="001A389C" w:rsidRDefault="007C0FDC" w:rsidP="007C0FDC">
      <w:pPr>
        <w:pStyle w:val="Heading6"/>
      </w:pPr>
      <w:r w:rsidRPr="001A389C">
        <w:t>Secondary efficacy variables (endpoints)</w:t>
      </w:r>
    </w:p>
    <w:p w14:paraId="65DFBA54" w14:textId="77777777" w:rsidR="007C0FDC" w:rsidRDefault="007C0FDC" w:rsidP="007C0FDC">
      <w:pPr>
        <w:rPr>
          <w:lang w:eastAsia="ja-JP"/>
        </w:rPr>
      </w:pPr>
      <w:r w:rsidRPr="00943DE5">
        <w:rPr>
          <w:lang w:eastAsia="ja-JP"/>
        </w:rPr>
        <w:t>Second</w:t>
      </w:r>
      <w:r>
        <w:rPr>
          <w:lang w:eastAsia="ja-JP"/>
        </w:rPr>
        <w:t>ary efficacy endpoints included:</w:t>
      </w:r>
    </w:p>
    <w:p w14:paraId="52FC0354" w14:textId="77777777" w:rsidR="007C0FDC" w:rsidRDefault="007C0FDC" w:rsidP="007C0FDC">
      <w:pPr>
        <w:pStyle w:val="ListBullet"/>
        <w:numPr>
          <w:ilvl w:val="0"/>
          <w:numId w:val="1"/>
        </w:numPr>
        <w:rPr>
          <w:lang w:eastAsia="ja-JP"/>
        </w:rPr>
      </w:pPr>
      <w:r>
        <w:rPr>
          <w:lang w:eastAsia="ja-JP"/>
        </w:rPr>
        <w:t>C</w:t>
      </w:r>
      <w:r w:rsidRPr="00943DE5">
        <w:rPr>
          <w:lang w:eastAsia="ja-JP"/>
        </w:rPr>
        <w:t>hange from baseline of the Disease Activity Score 28-CRP (DAS28-CRP) at each time point (</w:t>
      </w:r>
      <w:r>
        <w:rPr>
          <w:lang w:eastAsia="ja-JP"/>
        </w:rPr>
        <w:t>Weeks 2, 4, 8, 12, 18, and 24)</w:t>
      </w:r>
    </w:p>
    <w:p w14:paraId="29188D0D" w14:textId="77777777" w:rsidR="007C0FDC" w:rsidRDefault="007C0FDC" w:rsidP="007C0FDC">
      <w:pPr>
        <w:pStyle w:val="ListBullet"/>
        <w:numPr>
          <w:ilvl w:val="0"/>
          <w:numId w:val="1"/>
        </w:numPr>
        <w:rPr>
          <w:lang w:eastAsia="ja-JP"/>
        </w:rPr>
      </w:pPr>
      <w:r w:rsidRPr="00943DE5">
        <w:rPr>
          <w:lang w:eastAsia="ja-JP"/>
        </w:rPr>
        <w:t>RR of AC</w:t>
      </w:r>
      <w:r>
        <w:rPr>
          <w:lang w:eastAsia="ja-JP"/>
        </w:rPr>
        <w:t>R20 responses at Weeks 2 and 8</w:t>
      </w:r>
    </w:p>
    <w:p w14:paraId="2DE7F5E7" w14:textId="77777777" w:rsidR="007C0FDC" w:rsidRDefault="007C0FDC" w:rsidP="007C0FDC">
      <w:pPr>
        <w:pStyle w:val="ListBullet"/>
        <w:numPr>
          <w:ilvl w:val="0"/>
          <w:numId w:val="1"/>
        </w:numPr>
        <w:rPr>
          <w:lang w:eastAsia="ja-JP"/>
        </w:rPr>
      </w:pPr>
      <w:r w:rsidRPr="00943DE5">
        <w:rPr>
          <w:lang w:eastAsia="ja-JP"/>
        </w:rPr>
        <w:t>RR of ACR50 (50% improvement in ACR core set measurements) and ACR70 (70% improvement in ACR core set mea</w:t>
      </w:r>
      <w:r>
        <w:rPr>
          <w:lang w:eastAsia="ja-JP"/>
        </w:rPr>
        <w:t>surements) responses at Week 24</w:t>
      </w:r>
    </w:p>
    <w:p w14:paraId="36D17204" w14:textId="40149BF8" w:rsidR="007C0FDC" w:rsidRPr="00F5324D" w:rsidRDefault="00D15FF3" w:rsidP="00AA7D1C">
      <w:pPr>
        <w:pStyle w:val="Comment"/>
        <w:rPr>
          <w:lang w:eastAsia="ja-JP"/>
        </w:rPr>
      </w:pPr>
      <w:r>
        <w:rPr>
          <w:b/>
          <w:lang w:eastAsia="ja-JP"/>
        </w:rPr>
        <w:t>Comment</w:t>
      </w:r>
      <w:r w:rsidR="007C0FDC" w:rsidRPr="00567BA7">
        <w:rPr>
          <w:lang w:eastAsia="ja-JP"/>
        </w:rPr>
        <w:t>:</w:t>
      </w:r>
      <w:r w:rsidR="007C0FDC">
        <w:rPr>
          <w:lang w:eastAsia="ja-JP"/>
        </w:rPr>
        <w:t xml:space="preserve"> </w:t>
      </w:r>
      <w:r>
        <w:rPr>
          <w:lang w:eastAsia="ja-JP"/>
        </w:rPr>
        <w:t xml:space="preserve"> </w:t>
      </w:r>
      <w:r w:rsidR="007C0FDC">
        <w:rPr>
          <w:lang w:eastAsia="ja-JP"/>
        </w:rPr>
        <w:t>The efficacy variables used were in accordance with EU guidance ‘</w:t>
      </w:r>
      <w:r w:rsidR="007C0FDC" w:rsidRPr="004F6928">
        <w:rPr>
          <w:lang w:eastAsia="ja-JP"/>
        </w:rPr>
        <w:t>Points to Consider on Clinical Investigation of Medicinal Products other than NSAIDs for treatment of Rheumatoid Arthritis</w:t>
      </w:r>
      <w:r w:rsidR="007C0FDC">
        <w:rPr>
          <w:lang w:eastAsia="ja-JP"/>
        </w:rPr>
        <w:t>’</w:t>
      </w:r>
      <w:r w:rsidR="007C0FDC" w:rsidRPr="004F6928">
        <w:rPr>
          <w:lang w:eastAsia="ja-JP"/>
        </w:rPr>
        <w:t xml:space="preserve"> (CPMP/EWP/556/95 rev 1/Final, 2003).</w:t>
      </w:r>
      <w:r w:rsidR="007C0FDC">
        <w:rPr>
          <w:lang w:eastAsia="ja-JP"/>
        </w:rPr>
        <w:t xml:space="preserve"> In particular, ACR20, ACR50, and ACR70 are validated indicators in rheumatoid arthritis that had been used in the originator trial (Keystone </w:t>
      </w:r>
      <w:r w:rsidR="007C0FDC" w:rsidRPr="004F6928">
        <w:rPr>
          <w:i/>
          <w:lang w:eastAsia="ja-JP"/>
        </w:rPr>
        <w:t>et al.</w:t>
      </w:r>
      <w:r w:rsidR="007C0FDC">
        <w:rPr>
          <w:lang w:eastAsia="ja-JP"/>
        </w:rPr>
        <w:t>, 2004) with ACR20 after 24 weeks being one of the three primary endpoints</w:t>
      </w:r>
      <w:r>
        <w:rPr>
          <w:lang w:eastAsia="ja-JP"/>
        </w:rPr>
        <w:t>.</w:t>
      </w:r>
    </w:p>
    <w:p w14:paraId="1C0FC7CA" w14:textId="77777777" w:rsidR="007C0FDC" w:rsidRPr="005632DC" w:rsidRDefault="007C0FDC" w:rsidP="008961FF">
      <w:pPr>
        <w:pStyle w:val="Heading5"/>
      </w:pPr>
      <w:r w:rsidRPr="008961FF">
        <w:t>Randomisation</w:t>
      </w:r>
      <w:r w:rsidRPr="005632DC">
        <w:t xml:space="preserve"> and blinding methods</w:t>
      </w:r>
    </w:p>
    <w:p w14:paraId="24705D09" w14:textId="77777777" w:rsidR="007C0FDC" w:rsidRPr="001A389C" w:rsidRDefault="007C0FDC" w:rsidP="007C0FDC">
      <w:pPr>
        <w:pStyle w:val="Heading6"/>
      </w:pPr>
      <w:r w:rsidRPr="001A389C">
        <w:t>Randomisation</w:t>
      </w:r>
    </w:p>
    <w:p w14:paraId="05ADF525" w14:textId="71B04A03" w:rsidR="007C0FDC" w:rsidRDefault="007C0FDC" w:rsidP="007C0FDC">
      <w:pPr>
        <w:rPr>
          <w:lang w:eastAsia="ja-JP"/>
        </w:rPr>
      </w:pPr>
      <w:r>
        <w:rPr>
          <w:lang w:eastAsia="ja-JP"/>
        </w:rPr>
        <w:t xml:space="preserve">Patients were randomly assigned in a 1:1 ratio to receive either </w:t>
      </w:r>
      <w:r w:rsidR="00FC5128">
        <w:rPr>
          <w:lang w:eastAsia="ja-JP"/>
        </w:rPr>
        <w:t>ABP 501</w:t>
      </w:r>
      <w:r>
        <w:rPr>
          <w:lang w:eastAsia="ja-JP"/>
        </w:rPr>
        <w:t xml:space="preserve"> or adalimumab. Randomisation was computer-generated prior to the commencement of the study. The scheme was prepared by a statistician not involved in the study in a blinded fashion using an interactive voice or web response system (IXRS).</w:t>
      </w:r>
    </w:p>
    <w:p w14:paraId="7DA23BDE" w14:textId="77777777" w:rsidR="007C0FDC" w:rsidRDefault="007C0FDC" w:rsidP="007C0FDC">
      <w:pPr>
        <w:rPr>
          <w:lang w:eastAsia="ja-JP"/>
        </w:rPr>
      </w:pPr>
      <w:r>
        <w:rPr>
          <w:lang w:eastAsia="ja-JP"/>
        </w:rPr>
        <w:t xml:space="preserve">Randomisation was stratified by geographic region (Eastern Europe, Western Europe, </w:t>
      </w:r>
      <w:proofErr w:type="gramStart"/>
      <w:r>
        <w:rPr>
          <w:lang w:eastAsia="ja-JP"/>
        </w:rPr>
        <w:t>North</w:t>
      </w:r>
      <w:proofErr w:type="gramEnd"/>
      <w:r>
        <w:rPr>
          <w:lang w:eastAsia="ja-JP"/>
        </w:rPr>
        <w:t xml:space="preserve"> America/Latin America) and prior biological use for RA (with prior biological use capped at 40% of the study population).</w:t>
      </w:r>
    </w:p>
    <w:p w14:paraId="53DFB307" w14:textId="77777777" w:rsidR="007C0FDC" w:rsidRPr="001A389C" w:rsidRDefault="007C0FDC" w:rsidP="007C0FDC">
      <w:pPr>
        <w:pStyle w:val="Heading6"/>
      </w:pPr>
      <w:r w:rsidRPr="001A389C">
        <w:t>Blinding</w:t>
      </w:r>
    </w:p>
    <w:p w14:paraId="47E3E54A" w14:textId="77777777" w:rsidR="007C0FDC" w:rsidRDefault="007C0FDC" w:rsidP="007C0FDC">
      <w:pPr>
        <w:rPr>
          <w:lang w:eastAsia="ja-JP"/>
        </w:rPr>
      </w:pPr>
      <w:r>
        <w:rPr>
          <w:lang w:eastAsia="ja-JP"/>
        </w:rPr>
        <w:t>The following were blinded until the end of the study period:</w:t>
      </w:r>
    </w:p>
    <w:p w14:paraId="0CE0283E" w14:textId="77777777" w:rsidR="007C0FDC" w:rsidRDefault="007C0FDC" w:rsidP="007C0FDC">
      <w:pPr>
        <w:pStyle w:val="ListBullet"/>
        <w:numPr>
          <w:ilvl w:val="0"/>
          <w:numId w:val="1"/>
        </w:numPr>
        <w:rPr>
          <w:lang w:eastAsia="ja-JP"/>
        </w:rPr>
      </w:pPr>
      <w:r>
        <w:rPr>
          <w:lang w:eastAsia="ja-JP"/>
        </w:rPr>
        <w:t>Subjects</w:t>
      </w:r>
    </w:p>
    <w:p w14:paraId="0E749CA2" w14:textId="2094FA9F" w:rsidR="007C0FDC" w:rsidRDefault="007C0FDC" w:rsidP="007C0FDC">
      <w:pPr>
        <w:pStyle w:val="ListBullet"/>
        <w:numPr>
          <w:ilvl w:val="0"/>
          <w:numId w:val="1"/>
        </w:numPr>
        <w:rPr>
          <w:lang w:eastAsia="ja-JP"/>
        </w:rPr>
      </w:pPr>
      <w:r>
        <w:rPr>
          <w:lang w:eastAsia="ja-JP"/>
        </w:rPr>
        <w:t>All personnel involved with the conduct and the interpretation of the study (including investigators, study centre personnel, and sponsor staff)</w:t>
      </w:r>
      <w:r w:rsidR="00E8540F">
        <w:rPr>
          <w:lang w:eastAsia="ja-JP"/>
        </w:rPr>
        <w:t>.</w:t>
      </w:r>
    </w:p>
    <w:p w14:paraId="2AA9989E" w14:textId="77777777" w:rsidR="007C0FDC" w:rsidRDefault="007C0FDC" w:rsidP="007C0FDC">
      <w:pPr>
        <w:rPr>
          <w:lang w:eastAsia="ja-JP"/>
        </w:rPr>
      </w:pPr>
      <w:r>
        <w:rPr>
          <w:lang w:eastAsia="ja-JP"/>
        </w:rPr>
        <w:t>ABP 501 and adalimumab were provided in prefilled, indistinguishable syringes which were dispensed by the IXRS. However, in an emergency, the treatment assignment could have been retrieved through the IXRS.</w:t>
      </w:r>
    </w:p>
    <w:p w14:paraId="4750ADDB" w14:textId="77777777" w:rsidR="007C0FDC" w:rsidRPr="001A389C" w:rsidRDefault="007C0FDC" w:rsidP="007C0FDC">
      <w:pPr>
        <w:pStyle w:val="Heading6"/>
      </w:pPr>
      <w:r w:rsidRPr="001A389C">
        <w:t>Allocation concealment</w:t>
      </w:r>
    </w:p>
    <w:p w14:paraId="7D2A76D5" w14:textId="77777777" w:rsidR="007C0FDC" w:rsidRDefault="007C0FDC" w:rsidP="007C0FDC">
      <w:pPr>
        <w:rPr>
          <w:lang w:eastAsia="ja-JP"/>
        </w:rPr>
      </w:pPr>
      <w:r>
        <w:rPr>
          <w:lang w:eastAsia="ja-JP"/>
        </w:rPr>
        <w:t>Allocation concealment was not specifically discussed.</w:t>
      </w:r>
    </w:p>
    <w:p w14:paraId="611DC622" w14:textId="13145BE4" w:rsidR="007C0FDC" w:rsidRPr="0062266C" w:rsidRDefault="00D15FF3" w:rsidP="007C0FDC">
      <w:pPr>
        <w:rPr>
          <w:lang w:eastAsia="ja-JP"/>
        </w:rPr>
      </w:pPr>
      <w:r>
        <w:rPr>
          <w:b/>
          <w:lang w:eastAsia="ja-JP"/>
        </w:rPr>
        <w:lastRenderedPageBreak/>
        <w:t>C</w:t>
      </w:r>
      <w:r w:rsidR="007C0FDC" w:rsidRPr="00567BA7">
        <w:rPr>
          <w:b/>
          <w:lang w:eastAsia="ja-JP"/>
        </w:rPr>
        <w:t>omment:</w:t>
      </w:r>
      <w:r w:rsidR="007C0FDC">
        <w:rPr>
          <w:b/>
          <w:lang w:eastAsia="ja-JP"/>
        </w:rPr>
        <w:t xml:space="preserve"> </w:t>
      </w:r>
      <w:r w:rsidR="007C0FDC">
        <w:rPr>
          <w:lang w:eastAsia="ja-JP"/>
        </w:rPr>
        <w:t>The randomisation and blinding methods were adequate.</w:t>
      </w:r>
    </w:p>
    <w:p w14:paraId="4E46F0D3" w14:textId="77777777" w:rsidR="007C0FDC" w:rsidRPr="005632DC" w:rsidDel="0081373E" w:rsidRDefault="007C0FDC" w:rsidP="008961FF">
      <w:pPr>
        <w:pStyle w:val="Heading5"/>
      </w:pPr>
      <w:r w:rsidRPr="008961FF">
        <w:t>Analysis</w:t>
      </w:r>
      <w:r w:rsidRPr="005632DC">
        <w:t xml:space="preserve"> populations</w:t>
      </w:r>
    </w:p>
    <w:p w14:paraId="1291ACC4" w14:textId="77777777" w:rsidR="007C0FDC" w:rsidRDefault="007C0FDC" w:rsidP="007C0FDC">
      <w:pPr>
        <w:rPr>
          <w:lang w:eastAsia="ja-JP"/>
        </w:rPr>
      </w:pPr>
      <w:r>
        <w:rPr>
          <w:lang w:eastAsia="ja-JP"/>
        </w:rPr>
        <w:t>The analysis populations consisted of the following:</w:t>
      </w:r>
    </w:p>
    <w:p w14:paraId="799D9412" w14:textId="77777777" w:rsidR="007C0FDC" w:rsidRDefault="007C0FDC" w:rsidP="007C0FDC">
      <w:pPr>
        <w:pStyle w:val="ListBullet"/>
        <w:numPr>
          <w:ilvl w:val="0"/>
          <w:numId w:val="1"/>
        </w:numPr>
        <w:rPr>
          <w:lang w:eastAsia="ja-JP"/>
        </w:rPr>
      </w:pPr>
      <w:r w:rsidRPr="00AA7D1C">
        <w:rPr>
          <w:i/>
          <w:lang w:eastAsia="ja-JP"/>
        </w:rPr>
        <w:t>Full Analysis Set</w:t>
      </w:r>
      <w:r>
        <w:rPr>
          <w:lang w:eastAsia="ja-JP"/>
        </w:rPr>
        <w:t xml:space="preserve">: consisted of all subjects randomised in the study (based on intention to treat principle). This set was used to perform the primary efficacy analysis. </w:t>
      </w:r>
    </w:p>
    <w:p w14:paraId="2D467193" w14:textId="77777777" w:rsidR="007C0FDC" w:rsidRDefault="007C0FDC" w:rsidP="007C0FDC">
      <w:pPr>
        <w:pStyle w:val="ListBullet"/>
        <w:numPr>
          <w:ilvl w:val="0"/>
          <w:numId w:val="1"/>
        </w:numPr>
        <w:rPr>
          <w:lang w:eastAsia="ja-JP"/>
        </w:rPr>
      </w:pPr>
      <w:r w:rsidRPr="00AA7D1C">
        <w:rPr>
          <w:i/>
          <w:lang w:eastAsia="ja-JP"/>
        </w:rPr>
        <w:t>Per-protocol Analysis Set:</w:t>
      </w:r>
      <w:r>
        <w:rPr>
          <w:lang w:eastAsia="ja-JP"/>
        </w:rPr>
        <w:t xml:space="preserve"> a subset of the Full Analysis Set which included subjects who completed the treatment period and did not have a protocol violation that would affect evaluation of the primary objective of the study. This set was used for sensitivity analyses of the key efficacy endpoints.</w:t>
      </w:r>
    </w:p>
    <w:p w14:paraId="027FD1C6" w14:textId="0F15E49E" w:rsidR="007C0FDC" w:rsidRDefault="007C0FDC" w:rsidP="007C0FDC">
      <w:pPr>
        <w:pStyle w:val="ListBullet"/>
        <w:numPr>
          <w:ilvl w:val="0"/>
          <w:numId w:val="1"/>
        </w:numPr>
        <w:rPr>
          <w:lang w:eastAsia="ja-JP"/>
        </w:rPr>
      </w:pPr>
      <w:r w:rsidRPr="00AA7D1C">
        <w:rPr>
          <w:i/>
          <w:lang w:eastAsia="ja-JP"/>
        </w:rPr>
        <w:t>Safety Analysis Set:</w:t>
      </w:r>
      <w:r>
        <w:rPr>
          <w:lang w:eastAsia="ja-JP"/>
        </w:rPr>
        <w:t xml:space="preserve"> The safety analysis set included all </w:t>
      </w:r>
      <w:r w:rsidR="009B0FB8">
        <w:rPr>
          <w:lang w:eastAsia="ja-JP"/>
        </w:rPr>
        <w:t>randomised</w:t>
      </w:r>
      <w:r>
        <w:rPr>
          <w:lang w:eastAsia="ja-JP"/>
        </w:rPr>
        <w:t xml:space="preserve"> subjects who received at least one dose of investigational product. In this study, it appears to be identical to the Full Analysis Set.</w:t>
      </w:r>
    </w:p>
    <w:p w14:paraId="7C9F4356" w14:textId="77777777" w:rsidR="007C0FDC" w:rsidRDefault="007C0FDC" w:rsidP="007C0FDC">
      <w:pPr>
        <w:pStyle w:val="ListBullet"/>
        <w:numPr>
          <w:ilvl w:val="0"/>
          <w:numId w:val="1"/>
        </w:numPr>
        <w:rPr>
          <w:lang w:eastAsia="ja-JP"/>
        </w:rPr>
      </w:pPr>
      <w:r w:rsidRPr="00AA7D1C">
        <w:rPr>
          <w:i/>
          <w:lang w:eastAsia="ja-JP"/>
        </w:rPr>
        <w:t>Antidrug Antibody Analysis Set:</w:t>
      </w:r>
      <w:r>
        <w:rPr>
          <w:lang w:eastAsia="ja-JP"/>
        </w:rPr>
        <w:t xml:space="preserve"> consisted of the subset of subjects in the safety analysis set who had at least one evaluable antibody test result (to either ABP 501 or adalimumab). Immunogenicity data from subjects were analysed according to the actual treatment received.</w:t>
      </w:r>
    </w:p>
    <w:p w14:paraId="04E7331C" w14:textId="77777777" w:rsidR="007C0FDC" w:rsidRDefault="007C0FDC" w:rsidP="007C0FDC">
      <w:pPr>
        <w:pStyle w:val="ListBullet"/>
        <w:numPr>
          <w:ilvl w:val="0"/>
          <w:numId w:val="1"/>
        </w:numPr>
        <w:rPr>
          <w:lang w:eastAsia="ja-JP"/>
        </w:rPr>
      </w:pPr>
      <w:r w:rsidRPr="00AA7D1C">
        <w:rPr>
          <w:i/>
        </w:rPr>
        <w:t>Pharmacokinetic Analysis Set:</w:t>
      </w:r>
      <w:r>
        <w:rPr>
          <w:lang w:eastAsia="ja-JP"/>
        </w:rPr>
        <w:t xml:space="preserve"> consisted of the subset of subjects in the safety analysis set who had at least one evaluable result for serum concentration of ABP 501 or adalimumab (including results below the level of detection). Pharmacokinetic concentration data from subjects were analysed according to the actual treatment received.</w:t>
      </w:r>
    </w:p>
    <w:p w14:paraId="34A05CC4" w14:textId="55F02A02" w:rsidR="007C0FDC" w:rsidRPr="0062266C" w:rsidRDefault="00D15FF3" w:rsidP="00AA7D1C">
      <w:pPr>
        <w:pStyle w:val="Comment"/>
        <w:rPr>
          <w:lang w:eastAsia="ja-JP"/>
        </w:rPr>
      </w:pPr>
      <w:r>
        <w:rPr>
          <w:b/>
          <w:lang w:eastAsia="ja-JP"/>
        </w:rPr>
        <w:t>C</w:t>
      </w:r>
      <w:r w:rsidR="007C0FDC" w:rsidRPr="00164F14">
        <w:rPr>
          <w:b/>
          <w:lang w:eastAsia="ja-JP"/>
        </w:rPr>
        <w:t>omment</w:t>
      </w:r>
      <w:r w:rsidR="007C0FDC" w:rsidRPr="00567BA7">
        <w:rPr>
          <w:lang w:eastAsia="ja-JP"/>
        </w:rPr>
        <w:t>:</w:t>
      </w:r>
      <w:r w:rsidR="007C0FDC">
        <w:rPr>
          <w:lang w:eastAsia="ja-JP"/>
        </w:rPr>
        <w:t xml:space="preserve"> </w:t>
      </w:r>
      <w:r>
        <w:rPr>
          <w:lang w:eastAsia="ja-JP"/>
        </w:rPr>
        <w:t xml:space="preserve"> </w:t>
      </w:r>
      <w:r w:rsidR="007C0FDC">
        <w:rPr>
          <w:lang w:eastAsia="ja-JP"/>
        </w:rPr>
        <w:t xml:space="preserve">The primary efficacy analysis was conducted using the intention-to-treat (ITT) population (Full Analysis Set) and is the preferred method for superiority trials. There is no overall consensus on whether intention-to-treat population (ITT) or per-protocol (PP) population is preferable for equivalence trials. ITT analyses often tend </w:t>
      </w:r>
      <w:r w:rsidR="007C0FDC" w:rsidRPr="00462BC4">
        <w:rPr>
          <w:lang w:eastAsia="ja-JP"/>
        </w:rPr>
        <w:t>to bias the results toward equivalence</w:t>
      </w:r>
      <w:r w:rsidR="007C0FDC">
        <w:rPr>
          <w:lang w:eastAsia="ja-JP"/>
        </w:rPr>
        <w:t xml:space="preserve">. The preferred method is to provide analyses of both ITT and PP population sets, and the sponsor has done so at least for the </w:t>
      </w:r>
      <w:r w:rsidR="007C0FDC" w:rsidRPr="009032EB">
        <w:rPr>
          <w:lang w:eastAsia="ja-JP"/>
        </w:rPr>
        <w:t>key efficacy endpoints</w:t>
      </w:r>
      <w:r w:rsidR="007C0FDC">
        <w:rPr>
          <w:lang w:eastAsia="ja-JP"/>
        </w:rPr>
        <w:t>. The main analysis population matched the population specified in the study protocol</w:t>
      </w:r>
      <w:r>
        <w:rPr>
          <w:lang w:eastAsia="ja-JP"/>
        </w:rPr>
        <w:t>.</w:t>
      </w:r>
    </w:p>
    <w:p w14:paraId="07138966" w14:textId="77777777" w:rsidR="007C0FDC" w:rsidRPr="005632DC" w:rsidRDefault="007C0FDC" w:rsidP="008961FF">
      <w:pPr>
        <w:pStyle w:val="Heading5"/>
      </w:pPr>
      <w:r w:rsidRPr="008961FF" w:rsidDel="0081373E">
        <w:t>S</w:t>
      </w:r>
      <w:r w:rsidRPr="008961FF">
        <w:t>ample</w:t>
      </w:r>
      <w:r w:rsidRPr="005632DC">
        <w:t xml:space="preserve"> size</w:t>
      </w:r>
    </w:p>
    <w:p w14:paraId="138AB864" w14:textId="798879CC" w:rsidR="007C0FDC" w:rsidRPr="00281B06" w:rsidRDefault="007C0FDC" w:rsidP="007C0FDC">
      <w:pPr>
        <w:rPr>
          <w:lang w:eastAsia="ja-JP"/>
        </w:rPr>
      </w:pPr>
      <w:r>
        <w:rPr>
          <w:lang w:eastAsia="ja-JP"/>
        </w:rPr>
        <w:t xml:space="preserve">For </w:t>
      </w:r>
      <w:r w:rsidRPr="00281B06">
        <w:rPr>
          <w:lang w:eastAsia="ja-JP"/>
        </w:rPr>
        <w:t xml:space="preserve">determination </w:t>
      </w:r>
      <w:r>
        <w:rPr>
          <w:lang w:eastAsia="ja-JP"/>
        </w:rPr>
        <w:t>of equivalence</w:t>
      </w:r>
      <w:r w:rsidRPr="00281B06">
        <w:rPr>
          <w:lang w:eastAsia="ja-JP"/>
        </w:rPr>
        <w:t xml:space="preserve"> </w:t>
      </w:r>
      <w:r>
        <w:rPr>
          <w:lang w:eastAsia="ja-JP"/>
        </w:rPr>
        <w:t xml:space="preserve">between </w:t>
      </w:r>
      <w:r w:rsidR="00FC5128">
        <w:rPr>
          <w:lang w:eastAsia="ja-JP"/>
        </w:rPr>
        <w:t>ABP 501</w:t>
      </w:r>
      <w:r>
        <w:rPr>
          <w:lang w:eastAsia="ja-JP"/>
        </w:rPr>
        <w:t xml:space="preserve"> and adalimumab treatment groups </w:t>
      </w:r>
      <w:r w:rsidRPr="00281B06">
        <w:rPr>
          <w:lang w:eastAsia="ja-JP"/>
        </w:rPr>
        <w:t xml:space="preserve">based on the primary endpoint (ACR20 RR </w:t>
      </w:r>
      <w:r>
        <w:rPr>
          <w:lang w:eastAsia="ja-JP"/>
        </w:rPr>
        <w:t>at Week 2</w:t>
      </w:r>
      <w:r w:rsidRPr="00281B06">
        <w:rPr>
          <w:lang w:eastAsia="ja-JP"/>
        </w:rPr>
        <w:t>4)</w:t>
      </w:r>
      <w:r>
        <w:rPr>
          <w:lang w:eastAsia="ja-JP"/>
        </w:rPr>
        <w:t>, a</w:t>
      </w:r>
      <w:r w:rsidRPr="00281B06">
        <w:rPr>
          <w:lang w:eastAsia="ja-JP"/>
        </w:rPr>
        <w:t xml:space="preserve"> sample size of approximately 500 subjects was calculated based on the following assumptions:</w:t>
      </w:r>
    </w:p>
    <w:p w14:paraId="4BD09FDB" w14:textId="77777777" w:rsidR="007C0FDC" w:rsidRPr="00281B06" w:rsidRDefault="007C0FDC" w:rsidP="007C0FDC">
      <w:pPr>
        <w:pStyle w:val="ListBullet"/>
        <w:numPr>
          <w:ilvl w:val="0"/>
          <w:numId w:val="1"/>
        </w:numPr>
        <w:rPr>
          <w:lang w:eastAsia="ja-JP"/>
        </w:rPr>
      </w:pPr>
      <w:r w:rsidRPr="00281B06">
        <w:rPr>
          <w:lang w:eastAsia="ja-JP"/>
        </w:rPr>
        <w:t xml:space="preserve">Expected ACR20 response for both ABP 501 and adalimumab of 63% </w:t>
      </w:r>
      <w:r>
        <w:rPr>
          <w:lang w:eastAsia="ja-JP"/>
        </w:rPr>
        <w:t>at Week 2</w:t>
      </w:r>
      <w:r w:rsidRPr="00281B06">
        <w:rPr>
          <w:lang w:eastAsia="ja-JP"/>
        </w:rPr>
        <w:t>4</w:t>
      </w:r>
      <w:r>
        <w:rPr>
          <w:lang w:eastAsia="ja-JP"/>
        </w:rPr>
        <w:t>.</w:t>
      </w:r>
    </w:p>
    <w:p w14:paraId="1D9171FF" w14:textId="77777777" w:rsidR="007C0FDC" w:rsidRPr="00281B06" w:rsidRDefault="007C0FDC" w:rsidP="007C0FDC">
      <w:pPr>
        <w:pStyle w:val="ListBullet"/>
        <w:numPr>
          <w:ilvl w:val="0"/>
          <w:numId w:val="1"/>
        </w:numPr>
        <w:rPr>
          <w:lang w:eastAsia="ja-JP"/>
        </w:rPr>
      </w:pPr>
      <w:r w:rsidRPr="00281B06">
        <w:rPr>
          <w:lang w:eastAsia="ja-JP"/>
        </w:rPr>
        <w:t>1:1 randomisation (ABP</w:t>
      </w:r>
      <w:r w:rsidR="00D15FF3">
        <w:rPr>
          <w:lang w:eastAsia="ja-JP"/>
        </w:rPr>
        <w:t xml:space="preserve"> </w:t>
      </w:r>
      <w:r w:rsidRPr="00281B06">
        <w:rPr>
          <w:lang w:eastAsia="ja-JP"/>
        </w:rPr>
        <w:t>501: adalimumab)</w:t>
      </w:r>
      <w:r>
        <w:rPr>
          <w:lang w:eastAsia="ja-JP"/>
        </w:rPr>
        <w:t>.</w:t>
      </w:r>
    </w:p>
    <w:p w14:paraId="6FCF0A84" w14:textId="77777777" w:rsidR="007C0FDC" w:rsidRPr="00281B06" w:rsidRDefault="007C0FDC" w:rsidP="007C0FDC">
      <w:pPr>
        <w:pStyle w:val="ListBullet"/>
        <w:numPr>
          <w:ilvl w:val="0"/>
          <w:numId w:val="1"/>
        </w:numPr>
        <w:rPr>
          <w:lang w:eastAsia="ja-JP"/>
        </w:rPr>
      </w:pPr>
      <w:r w:rsidRPr="00281B06">
        <w:rPr>
          <w:lang w:eastAsia="ja-JP"/>
        </w:rPr>
        <w:t>Power &gt; 90%</w:t>
      </w:r>
      <w:r>
        <w:rPr>
          <w:lang w:eastAsia="ja-JP"/>
        </w:rPr>
        <w:t>.</w:t>
      </w:r>
    </w:p>
    <w:p w14:paraId="74D363B5" w14:textId="77777777" w:rsidR="007C0FDC" w:rsidRPr="00281B06" w:rsidRDefault="007C0FDC" w:rsidP="007C0FDC">
      <w:pPr>
        <w:pStyle w:val="ListBullet"/>
        <w:numPr>
          <w:ilvl w:val="0"/>
          <w:numId w:val="1"/>
        </w:numPr>
        <w:rPr>
          <w:lang w:eastAsia="ja-JP"/>
        </w:rPr>
      </w:pPr>
      <w:r w:rsidRPr="00281B06">
        <w:rPr>
          <w:lang w:eastAsia="ja-JP"/>
        </w:rPr>
        <w:t>Equivalence margin of (0.738, 1/0.738) with a 2-sided significance level of 0.05</w:t>
      </w:r>
      <w:r>
        <w:rPr>
          <w:lang w:eastAsia="ja-JP"/>
        </w:rPr>
        <w:t>.</w:t>
      </w:r>
    </w:p>
    <w:p w14:paraId="6CA51D66" w14:textId="77777777" w:rsidR="007C0FDC" w:rsidRPr="0087056A" w:rsidRDefault="007C0FDC" w:rsidP="007C0FDC">
      <w:pPr>
        <w:pStyle w:val="ListBullet"/>
        <w:numPr>
          <w:ilvl w:val="0"/>
          <w:numId w:val="1"/>
        </w:numPr>
        <w:rPr>
          <w:lang w:eastAsia="ja-JP"/>
        </w:rPr>
      </w:pPr>
      <w:r w:rsidRPr="00281B06">
        <w:rPr>
          <w:lang w:eastAsia="ja-JP"/>
        </w:rPr>
        <w:t xml:space="preserve">Dropout proportion of 15% </w:t>
      </w:r>
      <w:r>
        <w:rPr>
          <w:lang w:eastAsia="ja-JP"/>
        </w:rPr>
        <w:t>by Week 24.</w:t>
      </w:r>
    </w:p>
    <w:p w14:paraId="1565BBA2" w14:textId="77777777" w:rsidR="007C0FDC" w:rsidRDefault="007C0FDC" w:rsidP="007C0FDC">
      <w:pPr>
        <w:rPr>
          <w:lang w:eastAsia="ja-JP"/>
        </w:rPr>
      </w:pPr>
      <w:r w:rsidRPr="0087056A">
        <w:rPr>
          <w:lang w:eastAsia="ja-JP"/>
        </w:rPr>
        <w:t xml:space="preserve">Furthermore, the determined sample size for the primary endpoint was </w:t>
      </w:r>
      <w:r>
        <w:rPr>
          <w:lang w:eastAsia="ja-JP"/>
        </w:rPr>
        <w:t>expected to provide &gt;</w:t>
      </w:r>
      <w:r w:rsidR="00D15FF3">
        <w:rPr>
          <w:lang w:eastAsia="ja-JP"/>
        </w:rPr>
        <w:t> </w:t>
      </w:r>
      <w:r w:rsidRPr="0087056A">
        <w:rPr>
          <w:lang w:eastAsia="ja-JP"/>
        </w:rPr>
        <w:t xml:space="preserve">90% power to demonstrate equivalence between the ABP 501 and adalimumab </w:t>
      </w:r>
      <w:r>
        <w:rPr>
          <w:lang w:eastAsia="ja-JP"/>
        </w:rPr>
        <w:t xml:space="preserve">treatment </w:t>
      </w:r>
      <w:r w:rsidRPr="0087056A">
        <w:rPr>
          <w:lang w:eastAsia="ja-JP"/>
        </w:rPr>
        <w:t>grou</w:t>
      </w:r>
      <w:r>
        <w:rPr>
          <w:lang w:eastAsia="ja-JP"/>
        </w:rPr>
        <w:t>ps for the secondary endpoint (c</w:t>
      </w:r>
      <w:r w:rsidRPr="0087056A">
        <w:rPr>
          <w:lang w:eastAsia="ja-JP"/>
        </w:rPr>
        <w:t>hange from baseline in DAS28-CRP (with a 2-sided significance level of 0.05, assuming a standard deviation of 1.7 for both treatment groups, with an equivalence margin of ± 0.6).</w:t>
      </w:r>
    </w:p>
    <w:p w14:paraId="7ADBE6C7" w14:textId="03B5769B" w:rsidR="007C0FDC" w:rsidRPr="0062266C" w:rsidRDefault="00D15FF3" w:rsidP="007C0FDC">
      <w:pPr>
        <w:rPr>
          <w:lang w:eastAsia="ja-JP"/>
        </w:rPr>
      </w:pPr>
      <w:r>
        <w:rPr>
          <w:b/>
          <w:lang w:eastAsia="ja-JP"/>
        </w:rPr>
        <w:t>C</w:t>
      </w:r>
      <w:r w:rsidR="007C0FDC" w:rsidRPr="00567BA7">
        <w:rPr>
          <w:b/>
          <w:lang w:eastAsia="ja-JP"/>
        </w:rPr>
        <w:t>omment:</w:t>
      </w:r>
      <w:r w:rsidR="007C0FDC">
        <w:rPr>
          <w:b/>
          <w:lang w:eastAsia="ja-JP"/>
        </w:rPr>
        <w:t xml:space="preserve"> </w:t>
      </w:r>
      <w:r w:rsidR="007C0FDC">
        <w:rPr>
          <w:lang w:eastAsia="ja-JP"/>
        </w:rPr>
        <w:t>The assumptions used for determining the sample size are acceptable.</w:t>
      </w:r>
    </w:p>
    <w:p w14:paraId="61315195" w14:textId="77777777" w:rsidR="007C0FDC" w:rsidRPr="005632DC" w:rsidRDefault="007C0FDC" w:rsidP="008961FF">
      <w:pPr>
        <w:pStyle w:val="Heading5"/>
      </w:pPr>
      <w:bookmarkStart w:id="173" w:name="_Ref458677076"/>
      <w:r w:rsidRPr="005632DC">
        <w:lastRenderedPageBreak/>
        <w:t>Statistical methods</w:t>
      </w:r>
      <w:bookmarkEnd w:id="173"/>
    </w:p>
    <w:p w14:paraId="3C13B38C" w14:textId="77777777" w:rsidR="007C0FDC" w:rsidRDefault="007C0FDC" w:rsidP="007C0FDC">
      <w:pPr>
        <w:rPr>
          <w:lang w:eastAsia="ja-JP"/>
        </w:rPr>
      </w:pPr>
      <w:r w:rsidRPr="0087109A">
        <w:rPr>
          <w:lang w:eastAsia="ja-JP"/>
        </w:rPr>
        <w:t>Inferential analyses were conducted for the primary endpoint, and descriptive analyses for secondary endpoints</w:t>
      </w:r>
      <w:r>
        <w:rPr>
          <w:lang w:eastAsia="ja-JP"/>
        </w:rPr>
        <w:t xml:space="preserve"> and safety endpoints</w:t>
      </w:r>
      <w:r w:rsidRPr="0087109A">
        <w:rPr>
          <w:lang w:eastAsia="ja-JP"/>
        </w:rPr>
        <w:t>. All endpoints had des</w:t>
      </w:r>
      <w:r>
        <w:rPr>
          <w:lang w:eastAsia="ja-JP"/>
        </w:rPr>
        <w:t>criptive summaries:</w:t>
      </w:r>
      <w:r w:rsidRPr="0087109A">
        <w:rPr>
          <w:lang w:eastAsia="ja-JP"/>
        </w:rPr>
        <w:t xml:space="preserve"> </w:t>
      </w:r>
      <w:r>
        <w:rPr>
          <w:lang w:eastAsia="ja-JP"/>
        </w:rPr>
        <w:t>t</w:t>
      </w:r>
      <w:r w:rsidRPr="0087109A">
        <w:rPr>
          <w:lang w:eastAsia="ja-JP"/>
        </w:rPr>
        <w:t xml:space="preserve">he categorical variable results were shown using the number and per cent of subjects in each </w:t>
      </w:r>
      <w:r>
        <w:rPr>
          <w:lang w:eastAsia="ja-JP"/>
        </w:rPr>
        <w:t>category; t</w:t>
      </w:r>
      <w:r w:rsidRPr="0087109A">
        <w:rPr>
          <w:lang w:eastAsia="ja-JP"/>
        </w:rPr>
        <w:t>he continuous variable results were shown using mean, standard deviation, median, minimum, maximum, and number of subjects with observations.</w:t>
      </w:r>
      <w:r>
        <w:rPr>
          <w:lang w:eastAsia="ja-JP"/>
        </w:rPr>
        <w:t xml:space="preserve"> The ‘Last Observation Carried Forward’ method was used to accommodate missing data.</w:t>
      </w:r>
    </w:p>
    <w:p w14:paraId="5ADBC358" w14:textId="6393D692" w:rsidR="007C0FDC" w:rsidRPr="00CE7FDD" w:rsidRDefault="007C0FDC" w:rsidP="007C0FDC">
      <w:pPr>
        <w:pStyle w:val="Heading6"/>
      </w:pPr>
      <w:r w:rsidRPr="00CE7FDD">
        <w:t xml:space="preserve">Primary </w:t>
      </w:r>
      <w:r w:rsidR="00E606CF">
        <w:t>e</w:t>
      </w:r>
      <w:r w:rsidRPr="00CE7FDD">
        <w:t>ndpoint</w:t>
      </w:r>
    </w:p>
    <w:p w14:paraId="3BE1FDBB" w14:textId="6E122D46" w:rsidR="007C0FDC" w:rsidRDefault="007C0FDC" w:rsidP="007C0FDC">
      <w:pPr>
        <w:rPr>
          <w:lang w:eastAsia="ja-JP"/>
        </w:rPr>
      </w:pPr>
      <w:r>
        <w:rPr>
          <w:lang w:eastAsia="ja-JP"/>
        </w:rPr>
        <w:t xml:space="preserve">The primary endpoint was the </w:t>
      </w:r>
      <w:r w:rsidRPr="00912847">
        <w:rPr>
          <w:lang w:eastAsia="ja-JP"/>
        </w:rPr>
        <w:t xml:space="preserve">RR of ACR20 </w:t>
      </w:r>
      <w:r>
        <w:rPr>
          <w:lang w:eastAsia="ja-JP"/>
        </w:rPr>
        <w:t>between ABP 501 and adalimumab</w:t>
      </w:r>
      <w:r w:rsidRPr="00912847">
        <w:rPr>
          <w:lang w:eastAsia="ja-JP"/>
        </w:rPr>
        <w:t xml:space="preserve"> </w:t>
      </w:r>
      <w:r>
        <w:rPr>
          <w:lang w:eastAsia="ja-JP"/>
        </w:rPr>
        <w:t>at Week 2</w:t>
      </w:r>
      <w:r w:rsidRPr="00912847">
        <w:rPr>
          <w:lang w:eastAsia="ja-JP"/>
        </w:rPr>
        <w:t>4</w:t>
      </w:r>
      <w:r>
        <w:rPr>
          <w:lang w:eastAsia="ja-JP"/>
        </w:rPr>
        <w:t>. The study hypothesis was that there were no clinically meaningful differences (that is, clinical equivalence) between ABP 501 and adalimumab with regard to the primary endpoint. This was evaluated by comparing the 2-sided 90% confidence interval (CI) of the primary endpoint with a pre-specified equivalence margin of (0.738, 1/0.738). The 90% CI and 95% CI were estimated using a generalised linear model (a log-binomial regression model). Covariates were treatment and stratification factors.</w:t>
      </w:r>
    </w:p>
    <w:p w14:paraId="67CFC4F3" w14:textId="399B9D12" w:rsidR="007C0FDC" w:rsidRPr="00CE7FDD" w:rsidRDefault="007C0FDC" w:rsidP="007C0FDC">
      <w:pPr>
        <w:pStyle w:val="Heading6"/>
      </w:pPr>
      <w:r w:rsidRPr="00CE7FDD">
        <w:t xml:space="preserve">Secondary </w:t>
      </w:r>
      <w:r w:rsidR="00E606CF">
        <w:t>e</w:t>
      </w:r>
      <w:r w:rsidR="00E606CF" w:rsidRPr="00CE7FDD">
        <w:t>ndpoints</w:t>
      </w:r>
    </w:p>
    <w:p w14:paraId="28C38C33" w14:textId="21E582F3" w:rsidR="007C0FDC" w:rsidRDefault="007C0FDC" w:rsidP="007C0FDC">
      <w:pPr>
        <w:rPr>
          <w:lang w:eastAsia="ja-JP"/>
        </w:rPr>
      </w:pPr>
      <w:r>
        <w:rPr>
          <w:lang w:eastAsia="ja-JP"/>
        </w:rPr>
        <w:t>Secondary efficacy endpoints were the change from baseline of the DAS28-CRP at each time point, RR of ACR20 responses at Weeks 2 and 8, and RR of ACR50 and ACR70 responses at Week</w:t>
      </w:r>
      <w:r w:rsidR="00E606CF">
        <w:rPr>
          <w:lang w:eastAsia="ja-JP"/>
        </w:rPr>
        <w:t> </w:t>
      </w:r>
      <w:r>
        <w:rPr>
          <w:lang w:eastAsia="ja-JP"/>
        </w:rPr>
        <w:t>24.</w:t>
      </w:r>
    </w:p>
    <w:p w14:paraId="70E645E9" w14:textId="77777777" w:rsidR="007C0FDC" w:rsidRDefault="007C0FDC" w:rsidP="007C0FDC">
      <w:pPr>
        <w:rPr>
          <w:lang w:eastAsia="ja-JP"/>
        </w:rPr>
      </w:pPr>
      <w:r>
        <w:rPr>
          <w:lang w:eastAsia="ja-JP"/>
        </w:rPr>
        <w:t>Treatment differences regarding the DAS28-CRP change for all time points from baseline were evaluated with a repeated-measures analysis. Apart from stratification variables, visit (week), treatment group, treatment-by-visit interactions, and baseline DAS28-CRP were included in the model. 90% and 95% CIs were determined for mean difference of DAS28-CRP change from baseline between ABP 501 and adalimumab at each time point.</w:t>
      </w:r>
    </w:p>
    <w:p w14:paraId="4D14DD20" w14:textId="77777777" w:rsidR="007C0FDC" w:rsidRDefault="007C0FDC" w:rsidP="007C0FDC">
      <w:pPr>
        <w:rPr>
          <w:lang w:eastAsia="ja-JP"/>
        </w:rPr>
      </w:pPr>
      <w:r>
        <w:rPr>
          <w:lang w:eastAsia="ja-JP"/>
        </w:rPr>
        <w:t>The RR of ACR20 at Weeks 2 and 8, and the RRs of ACR50 and ACR70 at Week 24 were summarised descriptively with corresponding 90% and 95% CIs for RR and risk difference (RD) having been estimated using the generalised linear model adjusted for stratification factors.</w:t>
      </w:r>
    </w:p>
    <w:p w14:paraId="3473FA9A" w14:textId="7CDD5BB9" w:rsidR="007C0FDC" w:rsidRPr="00CE7FDD" w:rsidRDefault="007C0FDC" w:rsidP="007C0FDC">
      <w:pPr>
        <w:pStyle w:val="Heading6"/>
      </w:pPr>
      <w:r w:rsidRPr="00CE7FDD">
        <w:t xml:space="preserve">Safety </w:t>
      </w:r>
      <w:r w:rsidR="00E606CF">
        <w:t>e</w:t>
      </w:r>
      <w:r w:rsidR="00E606CF" w:rsidRPr="00CE7FDD">
        <w:t>ndpoints</w:t>
      </w:r>
    </w:p>
    <w:p w14:paraId="6061C7F3" w14:textId="77777777" w:rsidR="007C0FDC" w:rsidRDefault="007C0FDC" w:rsidP="007C0FDC">
      <w:pPr>
        <w:rPr>
          <w:lang w:eastAsia="ja-JP"/>
        </w:rPr>
      </w:pPr>
      <w:r>
        <w:rPr>
          <w:lang w:eastAsia="ja-JP"/>
        </w:rPr>
        <w:t>Safety endpoints were summarised descriptively. Subgroup analyses (by age, race, sex, and other stratification factors) were also provided.</w:t>
      </w:r>
    </w:p>
    <w:p w14:paraId="2240A599" w14:textId="77777777" w:rsidR="007C0FDC" w:rsidRPr="00CE7FDD" w:rsidRDefault="007C0FDC" w:rsidP="007C0FDC">
      <w:pPr>
        <w:pStyle w:val="Heading6"/>
      </w:pPr>
      <w:r w:rsidRPr="00CE7FDD">
        <w:t>Primary endpoint equivalence margin</w:t>
      </w:r>
    </w:p>
    <w:p w14:paraId="251D9CC6" w14:textId="77777777" w:rsidR="007C0FDC" w:rsidRDefault="007C0FDC" w:rsidP="008961FF">
      <w:pPr>
        <w:rPr>
          <w:lang w:eastAsia="ja-JP"/>
        </w:rPr>
      </w:pPr>
      <w:r>
        <w:rPr>
          <w:lang w:eastAsia="ja-JP"/>
        </w:rPr>
        <w:t>Only a rather short justification for the wide primary endpoint equivalence margin was given in the original dossier submitted to the TGA. The sponsor was invited to provide a more detailed justification for the wide equivalence margin chosen (0.738, 1/0.738) which was provided and is incorporated below.</w:t>
      </w:r>
    </w:p>
    <w:p w14:paraId="7C1428A0" w14:textId="77777777" w:rsidR="007C0FDC" w:rsidRDefault="007C0FDC" w:rsidP="007C0FDC">
      <w:pPr>
        <w:rPr>
          <w:lang w:eastAsia="ja-JP"/>
        </w:rPr>
      </w:pPr>
      <w:r>
        <w:rPr>
          <w:lang w:eastAsia="ja-JP"/>
        </w:rPr>
        <w:t xml:space="preserve">It is best practice to determine the anticipated treatment effect from historical randomised clinical trials of adalimumab, ideally by using results from meta-analysis of multiple studies. The sponsor has identified relevant studies in a literature review, five of which also used ACR20 as a variable. Three of those studies included patients with previous MTX use (Keystone </w:t>
      </w:r>
      <w:r w:rsidRPr="00AC5CE8">
        <w:rPr>
          <w:i/>
          <w:lang w:eastAsia="ja-JP"/>
        </w:rPr>
        <w:t>et al</w:t>
      </w:r>
      <w:r>
        <w:rPr>
          <w:lang w:eastAsia="ja-JP"/>
        </w:rPr>
        <w:t xml:space="preserve">., 2004; </w:t>
      </w:r>
      <w:proofErr w:type="spellStart"/>
      <w:r w:rsidRPr="00AC5CE8">
        <w:rPr>
          <w:lang w:val="en-GB" w:eastAsia="ja-JP"/>
        </w:rPr>
        <w:t>Weinblatt</w:t>
      </w:r>
      <w:proofErr w:type="spellEnd"/>
      <w:r w:rsidRPr="00AC5CE8">
        <w:rPr>
          <w:lang w:val="en-GB" w:eastAsia="ja-JP"/>
        </w:rPr>
        <w:t xml:space="preserve"> </w:t>
      </w:r>
      <w:r w:rsidRPr="00AC5CE8">
        <w:rPr>
          <w:i/>
          <w:lang w:val="en-GB" w:eastAsia="ja-JP"/>
        </w:rPr>
        <w:t>et al</w:t>
      </w:r>
      <w:r w:rsidRPr="00AC5CE8">
        <w:rPr>
          <w:lang w:val="en-GB" w:eastAsia="ja-JP"/>
        </w:rPr>
        <w:t>., 2003;</w:t>
      </w:r>
      <w:r w:rsidRPr="00AC5CE8">
        <w:rPr>
          <w:lang w:eastAsia="ja-JP"/>
        </w:rPr>
        <w:t xml:space="preserve"> </w:t>
      </w:r>
      <w:r>
        <w:rPr>
          <w:lang w:eastAsia="ja-JP"/>
        </w:rPr>
        <w:t xml:space="preserve">Kim </w:t>
      </w:r>
      <w:r w:rsidRPr="00AC5CE8">
        <w:rPr>
          <w:i/>
          <w:lang w:val="en-GB" w:eastAsia="ja-JP"/>
        </w:rPr>
        <w:t>et al</w:t>
      </w:r>
      <w:r w:rsidRPr="00AC5CE8">
        <w:rPr>
          <w:lang w:val="en-GB" w:eastAsia="ja-JP"/>
        </w:rPr>
        <w:t xml:space="preserve">., </w:t>
      </w:r>
      <w:r>
        <w:rPr>
          <w:lang w:val="en-GB" w:eastAsia="ja-JP"/>
        </w:rPr>
        <w:t xml:space="preserve">2007). </w:t>
      </w:r>
      <w:r>
        <w:rPr>
          <w:lang w:eastAsia="ja-JP"/>
        </w:rPr>
        <w:t>To determine the equivalence margin, t</w:t>
      </w:r>
      <w:r>
        <w:rPr>
          <w:lang w:val="en-GB" w:eastAsia="ja-JP"/>
        </w:rPr>
        <w:t xml:space="preserve">he sponsor chose to use the treatment effect from </w:t>
      </w:r>
      <w:r>
        <w:rPr>
          <w:lang w:eastAsia="ja-JP"/>
        </w:rPr>
        <w:t xml:space="preserve">Keystone </w:t>
      </w:r>
      <w:r w:rsidRPr="00AC5CE8">
        <w:rPr>
          <w:i/>
          <w:lang w:eastAsia="ja-JP"/>
        </w:rPr>
        <w:t>et al</w:t>
      </w:r>
      <w:r>
        <w:rPr>
          <w:lang w:eastAsia="ja-JP"/>
        </w:rPr>
        <w:t xml:space="preserve">. (2004) only, rather than combined </w:t>
      </w:r>
      <w:r>
        <w:rPr>
          <w:lang w:val="en-GB" w:eastAsia="ja-JP"/>
        </w:rPr>
        <w:t xml:space="preserve">treatment effect from </w:t>
      </w:r>
      <w:r>
        <w:rPr>
          <w:lang w:eastAsia="ja-JP"/>
        </w:rPr>
        <w:t>a meta-analysis of the three studies. This was done for mainly two reasons:</w:t>
      </w:r>
    </w:p>
    <w:p w14:paraId="2C677404" w14:textId="77777777" w:rsidR="007C0FDC" w:rsidRDefault="007C0FDC" w:rsidP="007C0FDC">
      <w:pPr>
        <w:pStyle w:val="ListBullet"/>
        <w:numPr>
          <w:ilvl w:val="0"/>
          <w:numId w:val="1"/>
        </w:numPr>
        <w:rPr>
          <w:lang w:eastAsia="ja-JP"/>
        </w:rPr>
      </w:pPr>
      <w:r>
        <w:rPr>
          <w:lang w:eastAsia="ja-JP"/>
        </w:rPr>
        <w:t xml:space="preserve">The study in Keystone </w:t>
      </w:r>
      <w:r w:rsidRPr="003B16A2">
        <w:rPr>
          <w:i/>
          <w:lang w:eastAsia="ja-JP"/>
        </w:rPr>
        <w:t>et al</w:t>
      </w:r>
      <w:r>
        <w:rPr>
          <w:lang w:eastAsia="ja-JP"/>
        </w:rPr>
        <w:t>. (2004) contained a similar population and was sufficiently large to allow a robust estimate of the treatment effect.</w:t>
      </w:r>
    </w:p>
    <w:p w14:paraId="17DA9AE4" w14:textId="5314B1EE" w:rsidR="007C0FDC" w:rsidRDefault="007C0FDC" w:rsidP="007C0FDC">
      <w:pPr>
        <w:pStyle w:val="ListBullet"/>
        <w:numPr>
          <w:ilvl w:val="0"/>
          <w:numId w:val="1"/>
        </w:numPr>
        <w:rPr>
          <w:lang w:eastAsia="ja-JP"/>
        </w:rPr>
      </w:pPr>
      <w:r>
        <w:rPr>
          <w:lang w:eastAsia="ja-JP"/>
        </w:rPr>
        <w:t>The equivalence margin derived from the combined treatment effect (three study meta</w:t>
      </w:r>
      <w:r w:rsidR="00E8540F">
        <w:rPr>
          <w:lang w:eastAsia="ja-JP"/>
        </w:rPr>
        <w:noBreakHyphen/>
      </w:r>
      <w:r>
        <w:rPr>
          <w:lang w:eastAsia="ja-JP"/>
        </w:rPr>
        <w:t>analysis) would have been wider (0.7054, 1/0.7054).</w:t>
      </w:r>
    </w:p>
    <w:p w14:paraId="3874E3B6" w14:textId="77777777" w:rsidR="007C0FDC" w:rsidRDefault="007C0FDC" w:rsidP="007C0FDC">
      <w:pPr>
        <w:rPr>
          <w:lang w:eastAsia="ja-JP"/>
        </w:rPr>
      </w:pPr>
      <w:r>
        <w:rPr>
          <w:lang w:eastAsia="ja-JP"/>
        </w:rPr>
        <w:lastRenderedPageBreak/>
        <w:t>The equivalence margin was calculated as follows (methodology as suggested by the FDA draft guidance for industry: Non-Inferiority Clinical Trials (March 2010) (FDA, 2010)):</w:t>
      </w:r>
    </w:p>
    <w:p w14:paraId="77509082" w14:textId="77777777" w:rsidR="007C0FDC" w:rsidRDefault="007C0FDC" w:rsidP="00AA7D1C">
      <w:pPr>
        <w:pStyle w:val="ListBullet"/>
        <w:rPr>
          <w:lang w:eastAsia="ja-JP"/>
        </w:rPr>
      </w:pPr>
      <w:r>
        <w:rPr>
          <w:lang w:eastAsia="ja-JP"/>
        </w:rPr>
        <w:t xml:space="preserve">Using the Keystone </w:t>
      </w:r>
      <w:r w:rsidRPr="003B16A2">
        <w:rPr>
          <w:i/>
          <w:lang w:eastAsia="ja-JP"/>
        </w:rPr>
        <w:t>et al</w:t>
      </w:r>
      <w:r>
        <w:rPr>
          <w:lang w:eastAsia="ja-JP"/>
        </w:rPr>
        <w:t>. (2004) study, the point estimate for the ACR20</w:t>
      </w:r>
      <w:r w:rsidRPr="00CD346E">
        <w:rPr>
          <w:lang w:eastAsia="ja-JP"/>
        </w:rPr>
        <w:t xml:space="preserve"> </w:t>
      </w:r>
      <w:r>
        <w:rPr>
          <w:lang w:eastAsia="ja-JP"/>
        </w:rPr>
        <w:t>RR between placebo and adalimumab was determined to be 0.47 (placebo response proportion/adalimumab response proportion = 29.5%/63.3% = 0.47) with an 80% confidence interval of (0.3990, 0.5447). Using a non-inferiority margin based on an 80% confidence interval was deemed appropriate for a biosimilar candidate with demonstrated pharmacologic, analytic and pharmacokinetic similarity.</w:t>
      </w:r>
    </w:p>
    <w:p w14:paraId="68C4D1CC" w14:textId="77777777" w:rsidR="007C0FDC" w:rsidRDefault="007C0FDC" w:rsidP="00AA7D1C">
      <w:pPr>
        <w:pStyle w:val="ListBullet"/>
        <w:rPr>
          <w:lang w:eastAsia="ja-JP"/>
        </w:rPr>
      </w:pPr>
      <w:r>
        <w:rPr>
          <w:lang w:eastAsia="ja-JP"/>
        </w:rPr>
        <w:t>The non-inferiority side of the equivalence margin was determined using e (Euler’s number) to the power of half of the natural logarithm of the upper 80% confidence bound value (e</w:t>
      </w:r>
      <w:r w:rsidRPr="0045546E">
        <w:rPr>
          <w:vertAlign w:val="superscript"/>
          <w:lang w:eastAsia="ja-JP"/>
        </w:rPr>
        <w:t xml:space="preserve">(0.5)(ln </w:t>
      </w:r>
      <w:r>
        <w:rPr>
          <w:vertAlign w:val="superscript"/>
          <w:lang w:eastAsia="ja-JP"/>
        </w:rPr>
        <w:t>upper 80% CI bound</w:t>
      </w:r>
      <w:r w:rsidRPr="0045546E">
        <w:rPr>
          <w:vertAlign w:val="superscript"/>
          <w:lang w:eastAsia="ja-JP"/>
        </w:rPr>
        <w:t>)</w:t>
      </w:r>
      <w:r>
        <w:rPr>
          <w:lang w:eastAsia="ja-JP"/>
        </w:rPr>
        <w:t xml:space="preserve"> = e</w:t>
      </w:r>
      <w:r w:rsidRPr="0045546E">
        <w:rPr>
          <w:vertAlign w:val="superscript"/>
          <w:lang w:eastAsia="ja-JP"/>
        </w:rPr>
        <w:t>(0.5)(ln 0.5447)</w:t>
      </w:r>
      <w:r>
        <w:rPr>
          <w:lang w:eastAsia="ja-JP"/>
        </w:rPr>
        <w:t xml:space="preserve"> = 0.7380). Consequently, 0.7380 was used as the lower bound of the equivalence margin, and 1/0.7380 as the upper bound (on a logarithmic scale).</w:t>
      </w:r>
    </w:p>
    <w:p w14:paraId="61B161A3" w14:textId="5BFADCB0" w:rsidR="007C0FDC" w:rsidRPr="00CF4BF0" w:rsidRDefault="00E8540F" w:rsidP="00AA7D1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sidRPr="00CF4BF0">
        <w:rPr>
          <w:lang w:eastAsia="ja-JP"/>
        </w:rPr>
        <w:t xml:space="preserve">The sponsor’s statistical </w:t>
      </w:r>
      <w:r w:rsidR="007C0FDC">
        <w:rPr>
          <w:lang w:eastAsia="ja-JP"/>
        </w:rPr>
        <w:t>analysis plan is acceptable</w:t>
      </w:r>
      <w:r w:rsidR="007C0FDC" w:rsidRPr="00CF4BF0">
        <w:rPr>
          <w:lang w:eastAsia="ja-JP"/>
        </w:rPr>
        <w:t>. Prior to study commencement, the sponsor amended the protocol to accommodate the request of the German Health Authority to include presentation of 95% confidence intervals (CIs) for efficacy endpoints and to specify the missing data handling procedures.</w:t>
      </w:r>
      <w:r w:rsidR="007C0FDC">
        <w:rPr>
          <w:lang w:eastAsia="ja-JP"/>
        </w:rPr>
        <w:t xml:space="preserve"> </w:t>
      </w:r>
      <w:r w:rsidR="007C0FDC" w:rsidRPr="00CF4BF0">
        <w:rPr>
          <w:lang w:eastAsia="ja-JP"/>
        </w:rPr>
        <w:t>For statistical analysis of equivalence trials, a 95% CI is the preferred option. The sponsor originally only proposed to determine a 90% CI, but has altered the protocol and provided a 95% CI as well. This gives the evaluator the opportunity to analyse the study results based on 95% CI data.</w:t>
      </w:r>
    </w:p>
    <w:p w14:paraId="6CFBA4F2" w14:textId="4BC2BC0B" w:rsidR="007C0FDC" w:rsidRPr="0062266C" w:rsidRDefault="007C0FDC" w:rsidP="00AA7D1C">
      <w:pPr>
        <w:pStyle w:val="Comment"/>
        <w:ind w:firstLine="0"/>
        <w:rPr>
          <w:lang w:eastAsia="ja-JP"/>
        </w:rPr>
      </w:pPr>
      <w:r w:rsidRPr="00DB0ACE">
        <w:rPr>
          <w:lang w:eastAsia="ja-JP"/>
        </w:rPr>
        <w:t xml:space="preserve">The sponsor’s reasoning for using the treatment effect from the clinical trial described in Keystone </w:t>
      </w:r>
      <w:r w:rsidRPr="00DB0ACE">
        <w:rPr>
          <w:i/>
          <w:lang w:eastAsia="ja-JP"/>
        </w:rPr>
        <w:t>et al</w:t>
      </w:r>
      <w:r w:rsidRPr="00DB0ACE">
        <w:rPr>
          <w:lang w:eastAsia="ja-JP"/>
        </w:rPr>
        <w:t>. (2004) as a basis for the equivalence margin calculation is acceptable, especially given that said trial was the pivotal efficacy trial for adalimumab (</w:t>
      </w:r>
      <w:r>
        <w:rPr>
          <w:lang w:eastAsia="ja-JP"/>
        </w:rPr>
        <w:t>Humira</w:t>
      </w:r>
      <w:r w:rsidRPr="00DB0ACE">
        <w:rPr>
          <w:lang w:eastAsia="ja-JP"/>
        </w:rPr>
        <w:t>). The methodology for determining the equivalence margin</w:t>
      </w:r>
      <w:r>
        <w:rPr>
          <w:lang w:eastAsia="ja-JP"/>
        </w:rPr>
        <w:t xml:space="preserve"> appears reasonable in principle, even though the resulting margin exceeds the usually accepted margin of ±</w:t>
      </w:r>
      <w:r w:rsidR="00E8540F">
        <w:rPr>
          <w:lang w:eastAsia="ja-JP"/>
        </w:rPr>
        <w:t xml:space="preserve"> </w:t>
      </w:r>
      <w:r>
        <w:rPr>
          <w:lang w:eastAsia="ja-JP"/>
        </w:rPr>
        <w:t>15%. However, using a margin of ±</w:t>
      </w:r>
      <w:r w:rsidR="00E8540F">
        <w:rPr>
          <w:lang w:eastAsia="ja-JP"/>
        </w:rPr>
        <w:t xml:space="preserve"> </w:t>
      </w:r>
      <w:r>
        <w:rPr>
          <w:lang w:eastAsia="ja-JP"/>
        </w:rPr>
        <w:t>15% is the recommended approach.</w:t>
      </w:r>
    </w:p>
    <w:p w14:paraId="0CF3C5FD" w14:textId="4844789B" w:rsidR="007C0FDC" w:rsidRDefault="007C0FDC" w:rsidP="008961FF">
      <w:pPr>
        <w:pStyle w:val="Heading5"/>
      </w:pPr>
      <w:r w:rsidRPr="005632DC">
        <w:t xml:space="preserve">Participant </w:t>
      </w:r>
      <w:r w:rsidRPr="008961FF">
        <w:t>flow</w:t>
      </w:r>
    </w:p>
    <w:p w14:paraId="7EFF27F0" w14:textId="41F134FD" w:rsidR="007C0FDC" w:rsidRPr="00C24D9F" w:rsidRDefault="007C0FDC" w:rsidP="007C0FDC">
      <w:pPr>
        <w:pStyle w:val="Caption"/>
        <w:rPr>
          <w:sz w:val="22"/>
          <w:szCs w:val="22"/>
          <w:lang w:eastAsia="ja-JP"/>
        </w:rPr>
      </w:pPr>
      <w:r w:rsidRPr="00C24D9F">
        <w:rPr>
          <w:sz w:val="22"/>
          <w:szCs w:val="22"/>
          <w:lang w:eastAsia="ja-JP"/>
        </w:rPr>
        <w:t>A total of 526 subjects (264 in ABP 501</w:t>
      </w:r>
      <w:r w:rsidR="00E8540F">
        <w:rPr>
          <w:sz w:val="22"/>
          <w:szCs w:val="22"/>
          <w:lang w:eastAsia="ja-JP"/>
        </w:rPr>
        <w:t>;</w:t>
      </w:r>
      <w:r w:rsidRPr="00C24D9F">
        <w:rPr>
          <w:sz w:val="22"/>
          <w:szCs w:val="22"/>
          <w:lang w:eastAsia="ja-JP"/>
        </w:rPr>
        <w:t xml:space="preserve"> 262 in adalimumab) were enrolled and randomised in this study and received at least 1 dose of investigational product. 494 of these subjects (93.9%) completed the study. 17 subjects (3.2%) withdrew consent, 10 subjects (1.9%) discontinued study because of other reasons (all related to adverse events), 4 subjects (0.8%) were lost to follow-up, and 1 subject (0.2%) discontinued study due to protocol violations. An overview is shown in</w:t>
      </w:r>
      <w:r>
        <w:rPr>
          <w:sz w:val="22"/>
          <w:szCs w:val="22"/>
          <w:lang w:eastAsia="ja-JP"/>
        </w:rPr>
        <w:t xml:space="preserve"> Table 11.</w:t>
      </w:r>
    </w:p>
    <w:p w14:paraId="1DAC28C3" w14:textId="5D8A9AB6" w:rsidR="007C0FDC" w:rsidRPr="00C147E4" w:rsidRDefault="007C0FDC" w:rsidP="007C11B4">
      <w:pPr>
        <w:pStyle w:val="Tabletitle"/>
      </w:pPr>
      <w:bookmarkStart w:id="174" w:name="_Ref458679565"/>
      <w:bookmarkStart w:id="175" w:name="_Toc471285602"/>
      <w:r w:rsidRPr="00C147E4">
        <w:lastRenderedPageBreak/>
        <w:t xml:space="preserve">Table </w:t>
      </w:r>
      <w:r>
        <w:t>11:</w:t>
      </w:r>
      <w:bookmarkEnd w:id="174"/>
      <w:r w:rsidRPr="00C147E4">
        <w:t xml:space="preserve"> Study 20120262: Subject study and investigational product disposition by treatment (Full </w:t>
      </w:r>
      <w:r w:rsidRPr="007C11B4">
        <w:t>Analysis</w:t>
      </w:r>
      <w:r w:rsidRPr="00C147E4">
        <w:t xml:space="preserve"> Set)</w:t>
      </w:r>
      <w:bookmarkEnd w:id="175"/>
    </w:p>
    <w:p w14:paraId="70A47D01" w14:textId="77777777" w:rsidR="007C0FDC" w:rsidRDefault="007C0FDC" w:rsidP="007C0FDC">
      <w:pPr>
        <w:rPr>
          <w:lang w:eastAsia="ja-JP"/>
        </w:rPr>
      </w:pPr>
      <w:r>
        <w:rPr>
          <w:noProof/>
          <w:lang w:eastAsia="en-AU"/>
        </w:rPr>
        <w:drawing>
          <wp:inline distT="0" distB="0" distL="0" distR="0" wp14:anchorId="28AA475D" wp14:editId="27807B3A">
            <wp:extent cx="4295955" cy="3588589"/>
            <wp:effectExtent l="0" t="0" r="0" b="0"/>
            <wp:docPr id="21" name="Picture 21" descr="Table 11: Study 20120262: Subject study and investigational product disposition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b="3642"/>
                    <a:stretch/>
                  </pic:blipFill>
                  <pic:spPr bwMode="auto">
                    <a:xfrm>
                      <a:off x="0" y="0"/>
                      <a:ext cx="4302761" cy="3594274"/>
                    </a:xfrm>
                    <a:prstGeom prst="rect">
                      <a:avLst/>
                    </a:prstGeom>
                    <a:noFill/>
                    <a:ln>
                      <a:noFill/>
                    </a:ln>
                    <a:extLst>
                      <a:ext uri="{53640926-AAD7-44D8-BBD7-CCE9431645EC}">
                        <a14:shadowObscured xmlns:a14="http://schemas.microsoft.com/office/drawing/2010/main"/>
                      </a:ext>
                    </a:extLst>
                  </pic:spPr>
                </pic:pic>
              </a:graphicData>
            </a:graphic>
          </wp:inline>
        </w:drawing>
      </w:r>
    </w:p>
    <w:p w14:paraId="715C8A18" w14:textId="77777777" w:rsidR="007C0FDC" w:rsidRDefault="007C0FDC" w:rsidP="007C0FDC">
      <w:pPr>
        <w:rPr>
          <w:lang w:eastAsia="ja-JP"/>
        </w:rPr>
      </w:pPr>
      <w:r>
        <w:rPr>
          <w:lang w:eastAsia="ja-JP"/>
        </w:rPr>
        <w:t>With regard to analysis sets, the data are as follows:</w:t>
      </w:r>
    </w:p>
    <w:p w14:paraId="062AA8F1" w14:textId="49886C05" w:rsidR="007C0FDC" w:rsidRDefault="007C0FDC" w:rsidP="007C0FDC">
      <w:pPr>
        <w:pStyle w:val="ListBullet"/>
        <w:numPr>
          <w:ilvl w:val="0"/>
          <w:numId w:val="1"/>
        </w:numPr>
        <w:rPr>
          <w:lang w:eastAsia="ja-JP"/>
        </w:rPr>
      </w:pPr>
      <w:r w:rsidRPr="00F60384">
        <w:rPr>
          <w:lang w:eastAsia="ja-JP"/>
        </w:rPr>
        <w:t>Full Analysis Set</w:t>
      </w:r>
      <w:r>
        <w:rPr>
          <w:lang w:eastAsia="ja-JP"/>
        </w:rPr>
        <w:t>: N</w:t>
      </w:r>
      <w:r w:rsidR="00E8540F">
        <w:rPr>
          <w:lang w:eastAsia="ja-JP"/>
        </w:rPr>
        <w:t xml:space="preserve"> </w:t>
      </w:r>
      <w:r>
        <w:rPr>
          <w:lang w:eastAsia="ja-JP"/>
        </w:rPr>
        <w:t>=</w:t>
      </w:r>
      <w:r w:rsidR="00E8540F">
        <w:rPr>
          <w:lang w:eastAsia="ja-JP"/>
        </w:rPr>
        <w:t xml:space="preserve"> </w:t>
      </w:r>
      <w:r>
        <w:rPr>
          <w:lang w:eastAsia="ja-JP"/>
        </w:rPr>
        <w:t>526</w:t>
      </w:r>
    </w:p>
    <w:p w14:paraId="2D9FE085" w14:textId="77777777" w:rsidR="007C0FDC" w:rsidRPr="00743F64" w:rsidRDefault="007C0FDC" w:rsidP="007C0FDC">
      <w:pPr>
        <w:pStyle w:val="ListBullet"/>
        <w:numPr>
          <w:ilvl w:val="0"/>
          <w:numId w:val="0"/>
        </w:numPr>
        <w:ind w:left="360"/>
        <w:rPr>
          <w:lang w:eastAsia="ja-JP"/>
        </w:rPr>
      </w:pPr>
      <w:r w:rsidRPr="00743F64">
        <w:rPr>
          <w:lang w:eastAsia="ja-JP"/>
        </w:rPr>
        <w:t xml:space="preserve">Patient group with treatment assignment based on </w:t>
      </w:r>
      <w:r>
        <w:rPr>
          <w:lang w:eastAsia="ja-JP"/>
        </w:rPr>
        <w:t xml:space="preserve">original </w:t>
      </w:r>
      <w:r w:rsidRPr="00743F64">
        <w:rPr>
          <w:lang w:eastAsia="ja-JP"/>
        </w:rPr>
        <w:t>randomised treatment assignment (rather than actual treatment received) following the intention-to-treat principle.</w:t>
      </w:r>
    </w:p>
    <w:p w14:paraId="69752648" w14:textId="295E18ED" w:rsidR="007C0FDC" w:rsidRPr="00C71C60" w:rsidRDefault="007C0FDC" w:rsidP="007C0FDC">
      <w:pPr>
        <w:pStyle w:val="ListParagraph"/>
        <w:numPr>
          <w:ilvl w:val="0"/>
          <w:numId w:val="14"/>
        </w:numPr>
        <w:rPr>
          <w:lang w:eastAsia="ja-JP"/>
        </w:rPr>
      </w:pPr>
      <w:r w:rsidRPr="00C71C60">
        <w:rPr>
          <w:lang w:eastAsia="ja-JP"/>
        </w:rPr>
        <w:t>Per-protocol Analysis Set: N</w:t>
      </w:r>
      <w:r w:rsidR="00E8540F">
        <w:rPr>
          <w:lang w:eastAsia="ja-JP"/>
        </w:rPr>
        <w:t xml:space="preserve"> </w:t>
      </w:r>
      <w:r w:rsidRPr="00C71C60">
        <w:rPr>
          <w:lang w:eastAsia="ja-JP"/>
        </w:rPr>
        <w:t>=</w:t>
      </w:r>
      <w:r w:rsidR="00E8540F">
        <w:rPr>
          <w:lang w:eastAsia="ja-JP"/>
        </w:rPr>
        <w:t xml:space="preserve"> </w:t>
      </w:r>
      <w:r w:rsidRPr="00C71C60">
        <w:rPr>
          <w:lang w:eastAsia="ja-JP"/>
        </w:rPr>
        <w:t>463</w:t>
      </w:r>
    </w:p>
    <w:p w14:paraId="4E4A7B70" w14:textId="77777777" w:rsidR="007C0FDC" w:rsidRPr="00C71C60" w:rsidRDefault="007C0FDC" w:rsidP="007C0FDC">
      <w:pPr>
        <w:pStyle w:val="ListBullet"/>
        <w:numPr>
          <w:ilvl w:val="0"/>
          <w:numId w:val="0"/>
        </w:numPr>
        <w:ind w:left="360"/>
        <w:rPr>
          <w:lang w:eastAsia="ja-JP"/>
        </w:rPr>
      </w:pPr>
      <w:r w:rsidRPr="00C71C60">
        <w:rPr>
          <w:lang w:eastAsia="ja-JP"/>
        </w:rPr>
        <w:t>A subset of the Full Analysis Set which included subjects who completed the treatment period and did not have a protocol violation that would affect evaluation of the primary objective of the study. This set was used for sensitivity analyses of the key efficacy endpoints.</w:t>
      </w:r>
    </w:p>
    <w:p w14:paraId="1A6E4504" w14:textId="6CBCC7A4" w:rsidR="007C0FDC" w:rsidRPr="00C71C60" w:rsidRDefault="007C0FDC" w:rsidP="007C0FDC">
      <w:pPr>
        <w:pStyle w:val="ListBullet"/>
        <w:numPr>
          <w:ilvl w:val="0"/>
          <w:numId w:val="1"/>
        </w:numPr>
        <w:rPr>
          <w:lang w:eastAsia="ja-JP"/>
        </w:rPr>
      </w:pPr>
      <w:r w:rsidRPr="00C71C60">
        <w:rPr>
          <w:lang w:eastAsia="ja-JP"/>
        </w:rPr>
        <w:t>Safety Analysis Set: N</w:t>
      </w:r>
      <w:r w:rsidR="00E8540F">
        <w:rPr>
          <w:lang w:eastAsia="ja-JP"/>
        </w:rPr>
        <w:t xml:space="preserve"> </w:t>
      </w:r>
      <w:r w:rsidRPr="00C71C60">
        <w:rPr>
          <w:lang w:eastAsia="ja-JP"/>
        </w:rPr>
        <w:t>=</w:t>
      </w:r>
      <w:r w:rsidR="00E8540F">
        <w:rPr>
          <w:lang w:eastAsia="ja-JP"/>
        </w:rPr>
        <w:t xml:space="preserve"> </w:t>
      </w:r>
      <w:r w:rsidRPr="00C71C60">
        <w:rPr>
          <w:lang w:eastAsia="ja-JP"/>
        </w:rPr>
        <w:t>526</w:t>
      </w:r>
    </w:p>
    <w:p w14:paraId="135A6F51" w14:textId="77777777" w:rsidR="007C0FDC" w:rsidRPr="00C71C60" w:rsidRDefault="007C0FDC" w:rsidP="007C0FDC">
      <w:pPr>
        <w:pStyle w:val="ListBullet"/>
        <w:numPr>
          <w:ilvl w:val="0"/>
          <w:numId w:val="0"/>
        </w:numPr>
        <w:ind w:left="360"/>
        <w:rPr>
          <w:lang w:eastAsia="ja-JP"/>
        </w:rPr>
      </w:pPr>
      <w:r w:rsidRPr="00C71C60">
        <w:rPr>
          <w:lang w:eastAsia="ja-JP"/>
        </w:rPr>
        <w:t>The safety analysis set included all randomised subjects who received at least 1 dose of investigational product.</w:t>
      </w:r>
    </w:p>
    <w:p w14:paraId="0F6D2722" w14:textId="63EA11C9" w:rsidR="007C0FDC" w:rsidRPr="00C71C60" w:rsidRDefault="007C0FDC" w:rsidP="007C0FDC">
      <w:pPr>
        <w:pStyle w:val="ListBullet"/>
        <w:numPr>
          <w:ilvl w:val="0"/>
          <w:numId w:val="1"/>
        </w:numPr>
        <w:rPr>
          <w:lang w:eastAsia="ja-JP"/>
        </w:rPr>
      </w:pPr>
      <w:r w:rsidRPr="00C71C60">
        <w:rPr>
          <w:lang w:eastAsia="ja-JP"/>
        </w:rPr>
        <w:t>Antidrug Antibody Analysis Set: Binding Ab N</w:t>
      </w:r>
      <w:r w:rsidR="00E8540F">
        <w:rPr>
          <w:lang w:eastAsia="ja-JP"/>
        </w:rPr>
        <w:t xml:space="preserve"> </w:t>
      </w:r>
      <w:r w:rsidRPr="00C71C60">
        <w:rPr>
          <w:lang w:eastAsia="ja-JP"/>
        </w:rPr>
        <w:t>=</w:t>
      </w:r>
      <w:r w:rsidR="00E8540F">
        <w:rPr>
          <w:lang w:eastAsia="ja-JP"/>
        </w:rPr>
        <w:t xml:space="preserve"> </w:t>
      </w:r>
      <w:r w:rsidRPr="00C71C60">
        <w:rPr>
          <w:lang w:eastAsia="ja-JP"/>
        </w:rPr>
        <w:t>201; Neutralising Ab N</w:t>
      </w:r>
      <w:r w:rsidR="00E8540F">
        <w:rPr>
          <w:lang w:eastAsia="ja-JP"/>
        </w:rPr>
        <w:t xml:space="preserve"> </w:t>
      </w:r>
      <w:r w:rsidRPr="00C71C60">
        <w:rPr>
          <w:lang w:eastAsia="ja-JP"/>
        </w:rPr>
        <w:t>=</w:t>
      </w:r>
      <w:r w:rsidR="00E8540F">
        <w:rPr>
          <w:lang w:eastAsia="ja-JP"/>
        </w:rPr>
        <w:t xml:space="preserve"> </w:t>
      </w:r>
      <w:r w:rsidRPr="00C71C60">
        <w:rPr>
          <w:lang w:eastAsia="ja-JP"/>
        </w:rPr>
        <w:t>46</w:t>
      </w:r>
    </w:p>
    <w:p w14:paraId="6982F95F" w14:textId="77777777" w:rsidR="007C0FDC" w:rsidRDefault="007C0FDC" w:rsidP="007C0FDC">
      <w:pPr>
        <w:pStyle w:val="ListBullet"/>
        <w:numPr>
          <w:ilvl w:val="0"/>
          <w:numId w:val="0"/>
        </w:numPr>
        <w:ind w:left="360"/>
        <w:rPr>
          <w:lang w:eastAsia="ja-JP"/>
        </w:rPr>
      </w:pPr>
      <w:r w:rsidRPr="00C71C60">
        <w:rPr>
          <w:lang w:eastAsia="ja-JP"/>
        </w:rPr>
        <w:t>Consisted of the subset of subjects in the safety analysis set who had at least 1 evaluable antibody test result (to either ABP 501 or adalimumab). Immunogenicity data from subjects were analysed according to the actual treatment received.</w:t>
      </w:r>
    </w:p>
    <w:p w14:paraId="60A5B04A" w14:textId="0251FF13" w:rsidR="007C0FDC" w:rsidRPr="00C71C60" w:rsidRDefault="00E8540F" w:rsidP="00AA7D1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sidRPr="009F7B03">
        <w:rPr>
          <w:lang w:eastAsia="ja-JP"/>
        </w:rPr>
        <w:t xml:space="preserve">The </w:t>
      </w:r>
      <w:r w:rsidR="007C0FDC">
        <w:rPr>
          <w:lang w:eastAsia="ja-JP"/>
        </w:rPr>
        <w:t>Full Analysis Set</w:t>
      </w:r>
      <w:r w:rsidR="007C0FDC" w:rsidRPr="009F7B03">
        <w:rPr>
          <w:lang w:eastAsia="ja-JP"/>
        </w:rPr>
        <w:t xml:space="preserve"> followed the ITT principle which constituted the primary analysis set. If too many patients </w:t>
      </w:r>
      <w:r w:rsidR="007C0FDC">
        <w:rPr>
          <w:lang w:eastAsia="ja-JP"/>
        </w:rPr>
        <w:t>are</w:t>
      </w:r>
      <w:r w:rsidR="007C0FDC" w:rsidRPr="009F7B03">
        <w:rPr>
          <w:lang w:eastAsia="ja-JP"/>
        </w:rPr>
        <w:t xml:space="preserve"> lost to follow up at 24 weeks, differences between groups </w:t>
      </w:r>
      <w:r w:rsidR="007C0FDC">
        <w:rPr>
          <w:lang w:eastAsia="ja-JP"/>
        </w:rPr>
        <w:t>could be</w:t>
      </w:r>
      <w:r w:rsidR="007C0FDC" w:rsidRPr="009F7B03">
        <w:rPr>
          <w:lang w:eastAsia="ja-JP"/>
        </w:rPr>
        <w:t xml:space="preserve"> reduced and equivalence may be falsely</w:t>
      </w:r>
      <w:r w:rsidR="007C0FDC">
        <w:rPr>
          <w:lang w:eastAsia="ja-JP"/>
        </w:rPr>
        <w:t xml:space="preserve"> concluded</w:t>
      </w:r>
      <w:r w:rsidR="007C0FDC" w:rsidRPr="009F7B03">
        <w:rPr>
          <w:lang w:eastAsia="ja-JP"/>
        </w:rPr>
        <w:t xml:space="preserve">. The sponsor has conducted appropriate sensitivity analyses with the </w:t>
      </w:r>
      <w:r w:rsidR="007C0FDC">
        <w:rPr>
          <w:lang w:eastAsia="ja-JP"/>
        </w:rPr>
        <w:t xml:space="preserve">Per-protocol Analysis Set </w:t>
      </w:r>
      <w:r w:rsidR="007C0FDC" w:rsidRPr="009F7B03">
        <w:rPr>
          <w:lang w:eastAsia="ja-JP"/>
        </w:rPr>
        <w:t>for the key efficacy endpoints</w:t>
      </w:r>
      <w:r>
        <w:rPr>
          <w:lang w:eastAsia="ja-JP"/>
        </w:rPr>
        <w:t>.</w:t>
      </w:r>
    </w:p>
    <w:p w14:paraId="4F68ED9C" w14:textId="77777777" w:rsidR="007C0FDC" w:rsidRPr="00EC3AE0" w:rsidRDefault="007C0FDC" w:rsidP="007C11B4">
      <w:pPr>
        <w:pStyle w:val="Heading5"/>
      </w:pPr>
      <w:r w:rsidRPr="00EC3AE0">
        <w:lastRenderedPageBreak/>
        <w:t xml:space="preserve">Major </w:t>
      </w:r>
      <w:r w:rsidRPr="007C11B4">
        <w:t>protocol</w:t>
      </w:r>
      <w:r w:rsidRPr="00EC3AE0">
        <w:t xml:space="preserve"> violations/deviations</w:t>
      </w:r>
    </w:p>
    <w:p w14:paraId="077054A3" w14:textId="58E8C809" w:rsidR="007C0FDC" w:rsidRDefault="007C0FDC" w:rsidP="007C0FDC">
      <w:pPr>
        <w:rPr>
          <w:lang w:eastAsia="ja-JP"/>
        </w:rPr>
      </w:pPr>
      <w:r>
        <w:rPr>
          <w:lang w:eastAsia="ja-JP"/>
        </w:rPr>
        <w:t xml:space="preserve">55 out of 526 subjects (10.5%) had one or more major protocol violations, and the proportion was reasonably similar in each group (9.5% in the </w:t>
      </w:r>
      <w:r w:rsidR="00FC5128">
        <w:rPr>
          <w:lang w:eastAsia="ja-JP"/>
        </w:rPr>
        <w:t>ABP 501</w:t>
      </w:r>
      <w:r>
        <w:rPr>
          <w:lang w:eastAsia="ja-JP"/>
        </w:rPr>
        <w:t xml:space="preserve"> group, and 11.5% in the adalimumab group (Table 12). The most common major protocol violation was mis-stratification at randomisation stage due to incorrect prior biological use designation (4.2% in the </w:t>
      </w:r>
      <w:r w:rsidR="00FC5128">
        <w:rPr>
          <w:lang w:eastAsia="ja-JP"/>
        </w:rPr>
        <w:t>ABP 501</w:t>
      </w:r>
      <w:r>
        <w:rPr>
          <w:lang w:eastAsia="ja-JP"/>
        </w:rPr>
        <w:t xml:space="preserve"> group, and 2.3% in the adalimumab group). A summary of major protocol violations is shown in Table 12. A summary of eligibility related protocol violations is shown in Table 13 (a subset of those shown in Table 12).</w:t>
      </w:r>
    </w:p>
    <w:p w14:paraId="7B6BB852" w14:textId="6EDF1FD5" w:rsidR="007C0FDC" w:rsidRDefault="007C0FDC" w:rsidP="007C11B4">
      <w:pPr>
        <w:pStyle w:val="Tabletitle"/>
      </w:pPr>
      <w:bookmarkStart w:id="176" w:name="_Ref458687173"/>
      <w:bookmarkStart w:id="177" w:name="_Toc471285603"/>
      <w:r w:rsidRPr="00BE1E81">
        <w:t>Table</w:t>
      </w:r>
      <w:r>
        <w:t xml:space="preserve"> 12</w:t>
      </w:r>
      <w:bookmarkEnd w:id="176"/>
      <w:r>
        <w:t>:</w:t>
      </w:r>
      <w:r w:rsidRPr="00BE1E81">
        <w:t xml:space="preserve"> Study 20120262 Major </w:t>
      </w:r>
      <w:r w:rsidR="00E8540F" w:rsidRPr="00BE1E81">
        <w:t xml:space="preserve">protocol deviations/violations </w:t>
      </w:r>
      <w:r w:rsidRPr="00BE1E81">
        <w:t>(Full Analysis Set)</w:t>
      </w:r>
      <w:bookmarkEnd w:id="177"/>
    </w:p>
    <w:p w14:paraId="6E8B0A16" w14:textId="77777777" w:rsidR="007C0FDC" w:rsidRPr="004E001E" w:rsidRDefault="007C0FDC" w:rsidP="007C0FDC">
      <w:r>
        <w:rPr>
          <w:noProof/>
          <w:lang w:eastAsia="en-AU"/>
        </w:rPr>
        <w:drawing>
          <wp:inline distT="0" distB="0" distL="0" distR="0" wp14:anchorId="07041BA4" wp14:editId="43A52590">
            <wp:extent cx="5731510" cy="2964342"/>
            <wp:effectExtent l="0" t="0" r="2540" b="7620"/>
            <wp:docPr id="7" name="Picture 7" descr="Table 12: Study 20120262: Major Protocol Deviations/Violation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731510" cy="2964342"/>
                    </a:xfrm>
                    <a:prstGeom prst="rect">
                      <a:avLst/>
                    </a:prstGeom>
                  </pic:spPr>
                </pic:pic>
              </a:graphicData>
            </a:graphic>
          </wp:inline>
        </w:drawing>
      </w:r>
    </w:p>
    <w:p w14:paraId="670EE833" w14:textId="61443F07" w:rsidR="007C0FDC" w:rsidRPr="009204E6" w:rsidRDefault="007C0FDC" w:rsidP="007C11B4">
      <w:pPr>
        <w:pStyle w:val="Tabletitle"/>
        <w:rPr>
          <w:lang w:eastAsia="ja-JP"/>
        </w:rPr>
      </w:pPr>
      <w:bookmarkStart w:id="178" w:name="_Ref458687825"/>
      <w:bookmarkStart w:id="179" w:name="_Toc471285604"/>
      <w:r w:rsidRPr="009204E6">
        <w:t xml:space="preserve">Table </w:t>
      </w:r>
      <w:r>
        <w:t>13:</w:t>
      </w:r>
      <w:bookmarkEnd w:id="178"/>
      <w:r w:rsidRPr="009204E6">
        <w:t xml:space="preserve"> Study 20120262</w:t>
      </w:r>
      <w:r>
        <w:t xml:space="preserve"> </w:t>
      </w:r>
      <w:r w:rsidRPr="009204E6">
        <w:t xml:space="preserve">Eligibility </w:t>
      </w:r>
      <w:r w:rsidR="00E8540F">
        <w:t>r</w:t>
      </w:r>
      <w:r w:rsidR="00E8540F" w:rsidRPr="009204E6">
        <w:t xml:space="preserve">elated </w:t>
      </w:r>
      <w:r w:rsidR="00E8540F" w:rsidRPr="007C11B4">
        <w:t>protocol</w:t>
      </w:r>
      <w:r w:rsidR="00E8540F" w:rsidRPr="009204E6">
        <w:t xml:space="preserve"> </w:t>
      </w:r>
      <w:r w:rsidR="00E8540F">
        <w:t>d</w:t>
      </w:r>
      <w:r w:rsidR="00E8540F" w:rsidRPr="009204E6">
        <w:t>eviations</w:t>
      </w:r>
      <w:r w:rsidRPr="009204E6">
        <w:t>/</w:t>
      </w:r>
      <w:r w:rsidR="00E8540F">
        <w:t xml:space="preserve">violations </w:t>
      </w:r>
      <w:r w:rsidRPr="009204E6">
        <w:t>(Full Analysis Set)</w:t>
      </w:r>
      <w:bookmarkEnd w:id="179"/>
    </w:p>
    <w:p w14:paraId="41EED042" w14:textId="77777777" w:rsidR="007C0FDC" w:rsidRDefault="007C0FDC" w:rsidP="007C0FDC">
      <w:pPr>
        <w:rPr>
          <w:lang w:eastAsia="ja-JP"/>
        </w:rPr>
      </w:pPr>
      <w:r>
        <w:rPr>
          <w:noProof/>
          <w:lang w:eastAsia="en-AU"/>
        </w:rPr>
        <w:drawing>
          <wp:inline distT="0" distB="0" distL="0" distR="0" wp14:anchorId="319EEDFD" wp14:editId="391CD33C">
            <wp:extent cx="6206349" cy="1730326"/>
            <wp:effectExtent l="0" t="0" r="4445" b="3810"/>
            <wp:docPr id="24" name="Picture 24" descr="Table 13: Study 20120262: Eligibility Related Protocol Deviations/Violation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a:stretch>
                      <a:fillRect/>
                    </a:stretch>
                  </pic:blipFill>
                  <pic:spPr bwMode="auto">
                    <a:xfrm>
                      <a:off x="0" y="0"/>
                      <a:ext cx="6205185" cy="1730002"/>
                    </a:xfrm>
                    <a:prstGeom prst="rect">
                      <a:avLst/>
                    </a:prstGeom>
                    <a:noFill/>
                    <a:ln>
                      <a:noFill/>
                    </a:ln>
                  </pic:spPr>
                </pic:pic>
              </a:graphicData>
            </a:graphic>
          </wp:inline>
        </w:drawing>
      </w:r>
    </w:p>
    <w:p w14:paraId="01B844C1" w14:textId="1232EA6E" w:rsidR="007C0FDC" w:rsidRDefault="00E8540F" w:rsidP="00AA7D1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Pr>
          <w:lang w:eastAsia="ja-JP"/>
        </w:rPr>
        <w:t xml:space="preserve">To mitigate the potential effect of protocol violations/deviations, the </w:t>
      </w:r>
      <w:r w:rsidR="007C0FDC" w:rsidRPr="009F7B03">
        <w:rPr>
          <w:lang w:eastAsia="ja-JP"/>
        </w:rPr>
        <w:t xml:space="preserve">sponsor has conducted appropriate sensitivity analyses with the </w:t>
      </w:r>
      <w:r w:rsidR="007C0FDC">
        <w:rPr>
          <w:lang w:eastAsia="ja-JP"/>
        </w:rPr>
        <w:t xml:space="preserve">Per-protocol Analysis Set (which excluded subjects for whom major violations were recorded) </w:t>
      </w:r>
      <w:r w:rsidR="007C0FDC" w:rsidRPr="009F7B03">
        <w:rPr>
          <w:lang w:eastAsia="ja-JP"/>
        </w:rPr>
        <w:t>for the key efficacy endpoints</w:t>
      </w:r>
      <w:r>
        <w:rPr>
          <w:lang w:eastAsia="ja-JP"/>
        </w:rPr>
        <w:t>.</w:t>
      </w:r>
    </w:p>
    <w:p w14:paraId="15324C40" w14:textId="77777777" w:rsidR="007C0FDC" w:rsidRPr="00EC3AE0" w:rsidRDefault="007C0FDC" w:rsidP="007C0FDC">
      <w:pPr>
        <w:pStyle w:val="Heading5"/>
        <w:numPr>
          <w:ilvl w:val="3"/>
          <w:numId w:val="5"/>
        </w:numPr>
      </w:pPr>
      <w:r w:rsidRPr="00EC3AE0">
        <w:t>Baseline data</w:t>
      </w:r>
    </w:p>
    <w:p w14:paraId="45A3E634" w14:textId="65B2293A" w:rsidR="007C0FDC" w:rsidRDefault="007C0FDC" w:rsidP="007C0FDC">
      <w:pPr>
        <w:rPr>
          <w:lang w:eastAsia="ja-JP"/>
        </w:rPr>
      </w:pPr>
      <w:r>
        <w:rPr>
          <w:lang w:eastAsia="ja-JP"/>
        </w:rPr>
        <w:t>Both the demographic and the RA-related baseline characteristic proportions were reasonably balanced between treatment groups (ABP</w:t>
      </w:r>
      <w:r w:rsidR="00E8540F">
        <w:rPr>
          <w:lang w:eastAsia="ja-JP"/>
        </w:rPr>
        <w:t xml:space="preserve"> </w:t>
      </w:r>
      <w:r>
        <w:rPr>
          <w:lang w:eastAsia="ja-JP"/>
        </w:rPr>
        <w:t>501 and adalimumab) in the Full Analysis Set, and the per protocol analysis set (N</w:t>
      </w:r>
      <w:r w:rsidR="00E8540F">
        <w:rPr>
          <w:lang w:eastAsia="ja-JP"/>
        </w:rPr>
        <w:t xml:space="preserve"> </w:t>
      </w:r>
      <w:r>
        <w:rPr>
          <w:lang w:eastAsia="ja-JP"/>
        </w:rPr>
        <w:t>=</w:t>
      </w:r>
      <w:r w:rsidR="00E8540F">
        <w:rPr>
          <w:lang w:eastAsia="ja-JP"/>
        </w:rPr>
        <w:t xml:space="preserve"> </w:t>
      </w:r>
      <w:r>
        <w:rPr>
          <w:lang w:eastAsia="ja-JP"/>
        </w:rPr>
        <w:t>463).</w:t>
      </w:r>
      <w:r w:rsidRPr="00AE1674">
        <w:rPr>
          <w:lang w:eastAsia="ja-JP"/>
        </w:rPr>
        <w:t xml:space="preserve"> </w:t>
      </w:r>
      <w:r>
        <w:rPr>
          <w:lang w:eastAsia="ja-JP"/>
        </w:rPr>
        <w:t>The safety analysis set appears to be identical to the Full Analysis Set (N</w:t>
      </w:r>
      <w:r w:rsidR="00E8540F">
        <w:rPr>
          <w:lang w:eastAsia="ja-JP"/>
        </w:rPr>
        <w:t xml:space="preserve"> </w:t>
      </w:r>
      <w:r>
        <w:rPr>
          <w:lang w:eastAsia="ja-JP"/>
        </w:rPr>
        <w:t>=</w:t>
      </w:r>
      <w:r w:rsidR="00E8540F">
        <w:rPr>
          <w:lang w:eastAsia="ja-JP"/>
        </w:rPr>
        <w:t xml:space="preserve"> </w:t>
      </w:r>
      <w:r>
        <w:rPr>
          <w:lang w:eastAsia="ja-JP"/>
        </w:rPr>
        <w:t>526).</w:t>
      </w:r>
    </w:p>
    <w:p w14:paraId="3BC33727" w14:textId="46582D3E" w:rsidR="007C0FDC" w:rsidRDefault="007C0FDC" w:rsidP="007C0FDC">
      <w:pPr>
        <w:rPr>
          <w:lang w:eastAsia="ja-JP"/>
        </w:rPr>
      </w:pPr>
      <w:r>
        <w:rPr>
          <w:lang w:eastAsia="ja-JP"/>
        </w:rPr>
        <w:lastRenderedPageBreak/>
        <w:t>The following proportions refer to the Full Analysis Set (except for individual prior medication data which refers to the safety analysis set (identical to the Full Analysis Set)</w:t>
      </w:r>
      <w:r w:rsidR="00E8540F">
        <w:rPr>
          <w:lang w:eastAsia="ja-JP"/>
        </w:rPr>
        <w:t>.</w:t>
      </w:r>
    </w:p>
    <w:p w14:paraId="4B2799FA" w14:textId="3FCC6E9A" w:rsidR="007C0FDC" w:rsidRDefault="007C0FDC" w:rsidP="007C0FDC">
      <w:pPr>
        <w:rPr>
          <w:lang w:eastAsia="ja-JP"/>
        </w:rPr>
      </w:pPr>
      <w:r w:rsidRPr="00051D3A">
        <w:rPr>
          <w:lang w:eastAsia="ja-JP"/>
        </w:rPr>
        <w:t xml:space="preserve">The overall mean age </w:t>
      </w:r>
      <w:r>
        <w:rPr>
          <w:lang w:eastAsia="ja-JP"/>
        </w:rPr>
        <w:t>was 55.9 years (range 21 to 80 years)</w:t>
      </w:r>
      <w:r w:rsidRPr="00051D3A">
        <w:rPr>
          <w:lang w:eastAsia="ja-JP"/>
        </w:rPr>
        <w:t xml:space="preserve"> </w:t>
      </w:r>
      <w:r>
        <w:rPr>
          <w:lang w:eastAsia="ja-JP"/>
        </w:rPr>
        <w:t xml:space="preserve">with </w:t>
      </w:r>
      <w:r w:rsidRPr="00051D3A">
        <w:rPr>
          <w:lang w:eastAsia="ja-JP"/>
        </w:rPr>
        <w:t xml:space="preserve">the majority of subjects </w:t>
      </w:r>
      <w:r>
        <w:rPr>
          <w:lang w:eastAsia="ja-JP"/>
        </w:rPr>
        <w:t>being over 65 years of age (76.4%, 402/</w:t>
      </w:r>
      <w:r w:rsidRPr="00051D3A">
        <w:rPr>
          <w:lang w:eastAsia="ja-JP"/>
        </w:rPr>
        <w:t>526</w:t>
      </w:r>
      <w:r>
        <w:rPr>
          <w:lang w:eastAsia="ja-JP"/>
        </w:rPr>
        <w:t>). The majority of subjects were female (81.0%, 426/526). The majority of subjects were non-Hispanic Caucasian (88.6%, 466/526).</w:t>
      </w:r>
    </w:p>
    <w:p w14:paraId="494AD83F" w14:textId="20BBE3F0" w:rsidR="007C0FDC" w:rsidRDefault="007C0FDC" w:rsidP="007C0FDC">
      <w:pPr>
        <w:rPr>
          <w:lang w:eastAsia="ja-JP"/>
        </w:rPr>
      </w:pPr>
      <w:r>
        <w:rPr>
          <w:lang w:eastAsia="ja-JP"/>
        </w:rPr>
        <w:t>63.7% of subjects had RA duration of ≥ 5 years (61.7% (</w:t>
      </w:r>
      <w:r w:rsidR="00FC5128">
        <w:rPr>
          <w:lang w:eastAsia="ja-JP"/>
        </w:rPr>
        <w:t>ABP 501</w:t>
      </w:r>
      <w:r>
        <w:rPr>
          <w:lang w:eastAsia="ja-JP"/>
        </w:rPr>
        <w:t xml:space="preserve">) and 65.6% (adalimumab). The mean duration was 9.39 years and the median duration was 7.09 years. A positive rheumatoid factor (RF) result was present in 92.0% (243/264) and 91.6% (240/262) in the ABP 501 and adalimumab group respectively. A positive RF </w:t>
      </w:r>
      <w:r w:rsidRPr="00AA7D1C">
        <w:rPr>
          <w:i/>
          <w:lang w:eastAsia="ja-JP"/>
        </w:rPr>
        <w:t>and</w:t>
      </w:r>
      <w:r>
        <w:rPr>
          <w:lang w:eastAsia="ja-JP"/>
        </w:rPr>
        <w:t xml:space="preserve"> positive anti-CCP result was present in 73.5% (194/264) and 80.5% (211/262) in the ABP 501 and adalimumab group respectively.</w:t>
      </w:r>
    </w:p>
    <w:p w14:paraId="5756CD37" w14:textId="77777777" w:rsidR="007C0FDC" w:rsidRDefault="007C0FDC" w:rsidP="007C0FDC">
      <w:pPr>
        <w:rPr>
          <w:lang w:eastAsia="ja-JP"/>
        </w:rPr>
      </w:pPr>
      <w:r>
        <w:rPr>
          <w:lang w:eastAsia="ja-JP"/>
        </w:rPr>
        <w:t>The DAS28-CRP scores were balanced between groups (DAS28-CRP median score: 5.60 (5.59 versus 5.70).</w:t>
      </w:r>
    </w:p>
    <w:p w14:paraId="380B9923" w14:textId="77777777" w:rsidR="007C0FDC" w:rsidRDefault="007C0FDC" w:rsidP="007C0FDC">
      <w:pPr>
        <w:rPr>
          <w:lang w:eastAsia="ja-JP"/>
        </w:rPr>
      </w:pPr>
      <w:r>
        <w:rPr>
          <w:lang w:eastAsia="ja-JP"/>
        </w:rPr>
        <w:t>Baseline ACR scores were not provided. However, the baseline values of the individual components that make up the ACR score were provided (tender joint count; swollen joint count; Subject's Global Health Assessment; Investigator's Global Health Assessment; Subject's assessment of pain; Health Assessment Questionnaire – Disability Index (HAQ-DI); CRP).</w:t>
      </w:r>
    </w:p>
    <w:p w14:paraId="2FFEAB9B" w14:textId="6324276E" w:rsidR="007C0FDC" w:rsidRDefault="007C0FDC" w:rsidP="007C0FDC">
      <w:pPr>
        <w:rPr>
          <w:lang w:eastAsia="ja-JP"/>
        </w:rPr>
      </w:pPr>
      <w:r>
        <w:rPr>
          <w:lang w:eastAsia="ja-JP"/>
        </w:rPr>
        <w:t>The swollen or tender joint counts ware balanced between groups (median swollen joint count: 12.0 in both groups; median tender joint count: 21.0 (21.0 versus 20.5)). The median values for Subject's Global Health Assessment, Investigator's Global Health Assessment, and Health Assessment Questionnaire</w:t>
      </w:r>
      <w:r w:rsidR="00E8540F">
        <w:rPr>
          <w:lang w:eastAsia="ja-JP"/>
        </w:rPr>
        <w:t xml:space="preserve"> -</w:t>
      </w:r>
      <w:r>
        <w:rPr>
          <w:lang w:eastAsia="ja-JP"/>
        </w:rPr>
        <w:t xml:space="preserve"> Disability Index (HAQ-DI) were identical between groups.</w:t>
      </w:r>
    </w:p>
    <w:p w14:paraId="580A359E" w14:textId="3540D389" w:rsidR="007C0FDC" w:rsidRDefault="007C0FDC" w:rsidP="007C0FDC">
      <w:pPr>
        <w:rPr>
          <w:lang w:eastAsia="ja-JP"/>
        </w:rPr>
      </w:pPr>
      <w:r>
        <w:rPr>
          <w:lang w:eastAsia="ja-JP"/>
        </w:rPr>
        <w:t>The Subject's assessment of pain was slightly lower in the ABP</w:t>
      </w:r>
      <w:r w:rsidR="00E8540F">
        <w:rPr>
          <w:lang w:eastAsia="ja-JP"/>
        </w:rPr>
        <w:t xml:space="preserve"> </w:t>
      </w:r>
      <w:r>
        <w:rPr>
          <w:lang w:eastAsia="ja-JP"/>
        </w:rPr>
        <w:t xml:space="preserve">501 group (60.0 versus 65.0). The CRP level (mg/L) was slightly lower in the </w:t>
      </w:r>
      <w:r w:rsidR="00FC5128">
        <w:rPr>
          <w:lang w:eastAsia="ja-JP"/>
        </w:rPr>
        <w:t>ABP 501</w:t>
      </w:r>
      <w:r>
        <w:rPr>
          <w:lang w:eastAsia="ja-JP"/>
        </w:rPr>
        <w:t xml:space="preserve"> (versus the adalimumab group) group (mean: 13.881 (±</w:t>
      </w:r>
      <w:r w:rsidR="00E8540F">
        <w:rPr>
          <w:lang w:eastAsia="ja-JP"/>
        </w:rPr>
        <w:t xml:space="preserve"> </w:t>
      </w:r>
      <w:r>
        <w:rPr>
          <w:lang w:eastAsia="ja-JP"/>
        </w:rPr>
        <w:t>20.6870); median: 6.140 (range 0.12</w:t>
      </w:r>
      <w:r w:rsidR="00E8540F">
        <w:rPr>
          <w:lang w:eastAsia="ja-JP"/>
        </w:rPr>
        <w:t xml:space="preserve"> to </w:t>
      </w:r>
      <w:r>
        <w:rPr>
          <w:lang w:eastAsia="ja-JP"/>
        </w:rPr>
        <w:t>222.10) versus mean: 14.678 (±</w:t>
      </w:r>
      <w:r w:rsidR="00E8540F">
        <w:rPr>
          <w:lang w:eastAsia="ja-JP"/>
        </w:rPr>
        <w:t> </w:t>
      </w:r>
      <w:r>
        <w:rPr>
          <w:lang w:eastAsia="ja-JP"/>
        </w:rPr>
        <w:t>19.3848); median: 7.630 (range 0.12</w:t>
      </w:r>
      <w:r w:rsidR="00E8540F">
        <w:rPr>
          <w:lang w:eastAsia="ja-JP"/>
        </w:rPr>
        <w:t xml:space="preserve"> to </w:t>
      </w:r>
      <w:r>
        <w:rPr>
          <w:lang w:eastAsia="ja-JP"/>
        </w:rPr>
        <w:t>147.41)). ESR levels were not given.</w:t>
      </w:r>
    </w:p>
    <w:p w14:paraId="1AB7E636" w14:textId="77777777" w:rsidR="007C0FDC" w:rsidRDefault="007C0FDC" w:rsidP="007C0FDC">
      <w:pPr>
        <w:rPr>
          <w:lang w:eastAsia="ja-JP"/>
        </w:rPr>
      </w:pPr>
      <w:r>
        <w:rPr>
          <w:lang w:eastAsia="ja-JP"/>
        </w:rPr>
        <w:t>The baseline medication status was balanced between treatment groups. 70.7% (372/526) of subjects had used medications before the study (68.9%; 182/264) in the ABP 501 group versus 72.5% (190/262) in the adalimumab group). More than 70% of subjects did not have biological therapy for RA prior to this study, approximately half had been using oral corticosteroids, and more than 60% had been using NSAIDs.</w:t>
      </w:r>
    </w:p>
    <w:p w14:paraId="1C076A1B" w14:textId="12FFF7FA" w:rsidR="007C0FDC" w:rsidRDefault="007C0FDC" w:rsidP="007C0FDC">
      <w:pPr>
        <w:rPr>
          <w:lang w:eastAsia="ja-JP"/>
        </w:rPr>
      </w:pPr>
      <w:r>
        <w:rPr>
          <w:lang w:eastAsia="ja-JP"/>
        </w:rPr>
        <w:t>Methotrexate was used in more than 30% (</w:t>
      </w:r>
      <w:r w:rsidR="00FC5128">
        <w:rPr>
          <w:lang w:eastAsia="ja-JP"/>
        </w:rPr>
        <w:t>ABP 501</w:t>
      </w:r>
      <w:r>
        <w:rPr>
          <w:lang w:eastAsia="ja-JP"/>
        </w:rPr>
        <w:t xml:space="preserve"> group: 34.8% (92/264), adalimumab group: 34.7% (91/262). The median dose of methotrexate was 15 mg/week for both groups with the range being 7.5 to 25 mg/week (mean: 16.89 mg/week (±4.811) versus mean: 16.56 mg/week (±4.932).</w:t>
      </w:r>
    </w:p>
    <w:p w14:paraId="637E4208" w14:textId="77777777" w:rsidR="007C0FDC" w:rsidRDefault="007C0FDC" w:rsidP="007C0FDC">
      <w:pPr>
        <w:rPr>
          <w:lang w:eastAsia="ja-JP"/>
        </w:rPr>
      </w:pPr>
      <w:r>
        <w:rPr>
          <w:lang w:eastAsia="ja-JP"/>
        </w:rPr>
        <w:t>With regard to previous monoclonal antibody use, the differences between groups are reasonably similar, except for the following drugs (ABP 501 group versus adalimumab group): etanercept (4.9% (13/264) versus 8.4% (22/262) and infliximab (1.9% (5/264) versus 3.4% (9/262).</w:t>
      </w:r>
    </w:p>
    <w:p w14:paraId="7DB81DE5" w14:textId="77777777" w:rsidR="007C0FDC" w:rsidRDefault="007C0FDC" w:rsidP="007C0FDC">
      <w:pPr>
        <w:rPr>
          <w:lang w:eastAsia="ja-JP"/>
        </w:rPr>
      </w:pPr>
      <w:r w:rsidRPr="004E0110">
        <w:rPr>
          <w:b/>
          <w:lang w:eastAsia="ja-JP"/>
        </w:rPr>
        <w:t>Evaluator comment:</w:t>
      </w:r>
      <w:r>
        <w:rPr>
          <w:b/>
          <w:lang w:eastAsia="ja-JP"/>
        </w:rPr>
        <w:t xml:space="preserve"> </w:t>
      </w:r>
      <w:r>
        <w:rPr>
          <w:lang w:eastAsia="ja-JP"/>
        </w:rPr>
        <w:t>The Full Analysis Set which was the set used for the primary analysis by the sponsor was reasonably balanced between treatment groups. Furthermore, t</w:t>
      </w:r>
      <w:r w:rsidRPr="004E0110">
        <w:rPr>
          <w:lang w:eastAsia="ja-JP"/>
        </w:rPr>
        <w:t xml:space="preserve">he </w:t>
      </w:r>
      <w:r>
        <w:rPr>
          <w:lang w:eastAsia="ja-JP"/>
        </w:rPr>
        <w:t xml:space="preserve">Per-protocol Analysis Set </w:t>
      </w:r>
      <w:r w:rsidRPr="004E0110">
        <w:rPr>
          <w:lang w:eastAsia="ja-JP"/>
        </w:rPr>
        <w:t xml:space="preserve">(not shown in the main body </w:t>
      </w:r>
      <w:r>
        <w:rPr>
          <w:lang w:eastAsia="ja-JP"/>
        </w:rPr>
        <w:t>of the study report) was also reasonably balanced between treatment groups. The characteristics shown reflect</w:t>
      </w:r>
      <w:r w:rsidRPr="004E0110">
        <w:rPr>
          <w:lang w:eastAsia="ja-JP"/>
        </w:rPr>
        <w:t xml:space="preserve"> the population of rheumatoid arthritis patients </w:t>
      </w:r>
      <w:r>
        <w:rPr>
          <w:lang w:eastAsia="ja-JP"/>
        </w:rPr>
        <w:t xml:space="preserve">reasonably well </w:t>
      </w:r>
      <w:r w:rsidRPr="004E0110">
        <w:rPr>
          <w:lang w:eastAsia="ja-JP"/>
        </w:rPr>
        <w:t>(</w:t>
      </w:r>
      <w:r>
        <w:rPr>
          <w:lang w:eastAsia="ja-JP"/>
        </w:rPr>
        <w:t>for example,</w:t>
      </w:r>
      <w:r w:rsidRPr="004E0110">
        <w:rPr>
          <w:lang w:eastAsia="ja-JP"/>
        </w:rPr>
        <w:t xml:space="preserve"> when comparing the </w:t>
      </w:r>
      <w:r>
        <w:rPr>
          <w:lang w:eastAsia="ja-JP"/>
        </w:rPr>
        <w:t xml:space="preserve">study </w:t>
      </w:r>
      <w:r w:rsidRPr="004E0110">
        <w:rPr>
          <w:lang w:eastAsia="ja-JP"/>
        </w:rPr>
        <w:t xml:space="preserve">population to the population described in </w:t>
      </w:r>
      <w:proofErr w:type="spellStart"/>
      <w:r w:rsidRPr="004E0110">
        <w:rPr>
          <w:lang w:eastAsia="ja-JP"/>
        </w:rPr>
        <w:t>Sany</w:t>
      </w:r>
      <w:proofErr w:type="spellEnd"/>
      <w:r w:rsidRPr="004E0110">
        <w:rPr>
          <w:lang w:eastAsia="ja-JP"/>
        </w:rPr>
        <w:t xml:space="preserve"> </w:t>
      </w:r>
      <w:r w:rsidRPr="00B75097">
        <w:rPr>
          <w:i/>
          <w:lang w:eastAsia="ja-JP"/>
        </w:rPr>
        <w:t>et al</w:t>
      </w:r>
      <w:r w:rsidRPr="004E0110">
        <w:rPr>
          <w:lang w:eastAsia="ja-JP"/>
        </w:rPr>
        <w:t>., 2004</w:t>
      </w:r>
      <w:r>
        <w:rPr>
          <w:lang w:eastAsia="ja-JP"/>
        </w:rPr>
        <w:t>, which assessed the characteristics of French RA patients treated by hospital rheumatologists</w:t>
      </w:r>
      <w:r w:rsidRPr="004E0110">
        <w:rPr>
          <w:lang w:eastAsia="ja-JP"/>
        </w:rPr>
        <w:t>)</w:t>
      </w:r>
      <w:r>
        <w:rPr>
          <w:lang w:eastAsia="ja-JP"/>
        </w:rPr>
        <w:t xml:space="preserve"> which is supporting the external validity of the study. Additionally, the demographics were very similar to the pivotal adalimumab trial (Keystone </w:t>
      </w:r>
      <w:r w:rsidRPr="00F40E52">
        <w:rPr>
          <w:i/>
          <w:lang w:eastAsia="ja-JP"/>
        </w:rPr>
        <w:t>et al</w:t>
      </w:r>
      <w:r>
        <w:rPr>
          <w:lang w:eastAsia="ja-JP"/>
        </w:rPr>
        <w:t xml:space="preserve">., 2004). Many parts of the different RA disease scoring systems rely on subjective assessment by both physicians and patients. However, in a large enough sample and </w:t>
      </w:r>
      <w:r>
        <w:rPr>
          <w:lang w:eastAsia="ja-JP"/>
        </w:rPr>
        <w:lastRenderedPageBreak/>
        <w:t>treatment groups with near identical characteristic, the amount of bias would have been adequately mitigated.</w:t>
      </w:r>
    </w:p>
    <w:p w14:paraId="1B5FD719" w14:textId="77777777" w:rsidR="007C0FDC" w:rsidRDefault="007C0FDC" w:rsidP="007C0FDC">
      <w:pPr>
        <w:rPr>
          <w:lang w:eastAsia="ja-JP"/>
        </w:rPr>
      </w:pPr>
      <w:r>
        <w:rPr>
          <w:lang w:eastAsia="ja-JP"/>
        </w:rPr>
        <w:t>There were some small differences in previous monoclonal antibody use between the groups (etanercept and infliximab).</w:t>
      </w:r>
    </w:p>
    <w:p w14:paraId="46CBAC21" w14:textId="77777777" w:rsidR="007C0FDC" w:rsidRPr="0062266C" w:rsidRDefault="007C0FDC" w:rsidP="007C0FDC">
      <w:pPr>
        <w:rPr>
          <w:lang w:eastAsia="ja-JP"/>
        </w:rPr>
      </w:pPr>
      <w:r>
        <w:rPr>
          <w:lang w:eastAsia="ja-JP"/>
        </w:rPr>
        <w:t>In summary, the baseline data is sufficiently balanced between treatment groups to support internal validity and sufficiently similar to a real-world moderate to severe RA population to support external validity.</w:t>
      </w:r>
    </w:p>
    <w:p w14:paraId="0E9743DC" w14:textId="77777777" w:rsidR="007C0FDC" w:rsidRDefault="007C0FDC" w:rsidP="007C11B4">
      <w:pPr>
        <w:pStyle w:val="Heading5"/>
      </w:pPr>
      <w:r w:rsidRPr="007C11B4">
        <w:t>Results</w:t>
      </w:r>
      <w:r w:rsidRPr="00EC3AE0">
        <w:t xml:space="preserve"> f</w:t>
      </w:r>
      <w:r>
        <w:t>or the primary efficacy outcome</w:t>
      </w:r>
    </w:p>
    <w:p w14:paraId="5C13088A" w14:textId="77777777" w:rsidR="007C0FDC" w:rsidRDefault="007C0FDC" w:rsidP="007C0FDC">
      <w:pPr>
        <w:rPr>
          <w:lang w:eastAsia="ja-JP"/>
        </w:rPr>
      </w:pPr>
      <w:r>
        <w:rPr>
          <w:lang w:eastAsia="ja-JP"/>
        </w:rPr>
        <w:t>The Full Analysis Set was used for the efficacy analysis set. The Per-protocol Analysis Set was used in a sensitivity analysis for selected key efficacy endpoints (that is, most importantly the primary efficacy endpoint, the RR of ACR20).</w:t>
      </w:r>
    </w:p>
    <w:p w14:paraId="613B8A1F" w14:textId="77777777" w:rsidR="007C0FDC" w:rsidRDefault="007C0FDC" w:rsidP="007C0FDC">
      <w:pPr>
        <w:rPr>
          <w:lang w:eastAsia="ja-JP"/>
        </w:rPr>
      </w:pPr>
      <w:r>
        <w:rPr>
          <w:lang w:eastAsia="ja-JP"/>
        </w:rPr>
        <w:t>The results for the primary efficacy outcome for the Full Analysis Set (ITT population) and the Per-protocol Analysis Set (PP population) are summarised in Tables 14 and 15 respectively. The risk difference is also shown in the tables.</w:t>
      </w:r>
    </w:p>
    <w:p w14:paraId="442EA7FF" w14:textId="72556070" w:rsidR="007C0FDC" w:rsidRPr="00C82909" w:rsidRDefault="007C0FDC" w:rsidP="007C0FDC">
      <w:pPr>
        <w:rPr>
          <w:lang w:eastAsia="ja-JP"/>
        </w:rPr>
      </w:pPr>
      <w:r>
        <w:rPr>
          <w:lang w:eastAsia="ja-JP"/>
        </w:rPr>
        <w:t>In the Full Analysis Set</w:t>
      </w:r>
      <w:r w:rsidRPr="009D4797">
        <w:rPr>
          <w:lang w:eastAsia="ja-JP"/>
        </w:rPr>
        <w:t xml:space="preserve"> (ITT population)</w:t>
      </w:r>
      <w:r>
        <w:rPr>
          <w:lang w:eastAsia="ja-JP"/>
        </w:rPr>
        <w:t>, the RR of ACR20 at Week 24 was 1.039 (90% CI</w:t>
      </w:r>
      <w:r w:rsidRPr="00C82909">
        <w:rPr>
          <w:lang w:eastAsia="ja-JP"/>
        </w:rPr>
        <w:t xml:space="preserve">: </w:t>
      </w:r>
      <w:r w:rsidRPr="00AA7D1C">
        <w:rPr>
          <w:lang w:eastAsia="ja-JP"/>
        </w:rPr>
        <w:t>0.954</w:t>
      </w:r>
      <w:r w:rsidRPr="00C82909">
        <w:rPr>
          <w:lang w:eastAsia="ja-JP"/>
        </w:rPr>
        <w:t xml:space="preserve">, </w:t>
      </w:r>
      <w:r w:rsidRPr="00AA7D1C">
        <w:rPr>
          <w:lang w:eastAsia="ja-JP"/>
        </w:rPr>
        <w:t>1.133</w:t>
      </w:r>
      <w:r w:rsidRPr="00C82909">
        <w:rPr>
          <w:lang w:eastAsia="ja-JP"/>
        </w:rPr>
        <w:t xml:space="preserve">; 95% CI: </w:t>
      </w:r>
      <w:r w:rsidRPr="00AA7D1C">
        <w:rPr>
          <w:lang w:eastAsia="ja-JP"/>
        </w:rPr>
        <w:t>0.938</w:t>
      </w:r>
      <w:r w:rsidRPr="00C82909">
        <w:rPr>
          <w:lang w:eastAsia="ja-JP"/>
        </w:rPr>
        <w:t xml:space="preserve">, </w:t>
      </w:r>
      <w:r w:rsidRPr="00AA7D1C">
        <w:rPr>
          <w:lang w:eastAsia="ja-JP"/>
        </w:rPr>
        <w:t>1.152</w:t>
      </w:r>
      <w:r w:rsidRPr="00C82909">
        <w:rPr>
          <w:lang w:eastAsia="ja-JP"/>
        </w:rPr>
        <w:t>)</w:t>
      </w:r>
      <w:r w:rsidR="00C82909">
        <w:rPr>
          <w:lang w:eastAsia="ja-JP"/>
        </w:rPr>
        <w:t>.</w:t>
      </w:r>
    </w:p>
    <w:p w14:paraId="4CEFA838" w14:textId="00D8F70F" w:rsidR="007C0FDC" w:rsidRPr="00C82909" w:rsidRDefault="007C0FDC" w:rsidP="007C0FDC">
      <w:pPr>
        <w:rPr>
          <w:lang w:eastAsia="ja-JP"/>
        </w:rPr>
      </w:pPr>
      <w:r>
        <w:rPr>
          <w:lang w:eastAsia="ja-JP"/>
        </w:rPr>
        <w:t>In the Per-protocol Analysis Set (PP population), the RR of ACR20 at Week 24 was 1.009 (90%</w:t>
      </w:r>
      <w:r w:rsidR="00C82909">
        <w:rPr>
          <w:lang w:eastAsia="ja-JP"/>
        </w:rPr>
        <w:t> </w:t>
      </w:r>
      <w:r>
        <w:rPr>
          <w:lang w:eastAsia="ja-JP"/>
        </w:rPr>
        <w:t xml:space="preserve">CI: </w:t>
      </w:r>
      <w:r w:rsidRPr="00AA7D1C">
        <w:rPr>
          <w:lang w:eastAsia="ja-JP"/>
        </w:rPr>
        <w:t>0.927</w:t>
      </w:r>
      <w:r w:rsidRPr="00C82909">
        <w:rPr>
          <w:lang w:eastAsia="ja-JP"/>
        </w:rPr>
        <w:t xml:space="preserve">, </w:t>
      </w:r>
      <w:r w:rsidRPr="00AA7D1C">
        <w:rPr>
          <w:lang w:eastAsia="ja-JP"/>
        </w:rPr>
        <w:t>1.098</w:t>
      </w:r>
      <w:r w:rsidRPr="00C82909">
        <w:rPr>
          <w:lang w:eastAsia="ja-JP"/>
        </w:rPr>
        <w:t xml:space="preserve">; 95% CI: </w:t>
      </w:r>
      <w:r w:rsidRPr="00AA7D1C">
        <w:rPr>
          <w:lang w:eastAsia="ja-JP"/>
        </w:rPr>
        <w:t>0.912</w:t>
      </w:r>
      <w:r w:rsidRPr="00C82909">
        <w:rPr>
          <w:lang w:eastAsia="ja-JP"/>
        </w:rPr>
        <w:t xml:space="preserve">, </w:t>
      </w:r>
      <w:r w:rsidRPr="00AA7D1C">
        <w:rPr>
          <w:lang w:eastAsia="ja-JP"/>
        </w:rPr>
        <w:t>1.115</w:t>
      </w:r>
      <w:r w:rsidRPr="00C82909">
        <w:rPr>
          <w:lang w:eastAsia="ja-JP"/>
        </w:rPr>
        <w:t>)</w:t>
      </w:r>
      <w:r w:rsidR="00C82909">
        <w:rPr>
          <w:lang w:eastAsia="ja-JP"/>
        </w:rPr>
        <w:t>.</w:t>
      </w:r>
    </w:p>
    <w:p w14:paraId="21154A3B" w14:textId="484DB9A2" w:rsidR="007C0FDC" w:rsidRPr="009D4797" w:rsidRDefault="007C0FDC" w:rsidP="007C11B4">
      <w:pPr>
        <w:pStyle w:val="Tabletitle"/>
        <w:rPr>
          <w:lang w:eastAsia="ja-JP"/>
        </w:rPr>
      </w:pPr>
      <w:bookmarkStart w:id="180" w:name="_Ref458775358"/>
      <w:bookmarkStart w:id="181" w:name="_Toc471285605"/>
      <w:r w:rsidRPr="009D4797">
        <w:t xml:space="preserve">Table </w:t>
      </w:r>
      <w:r>
        <w:t>14:</w:t>
      </w:r>
      <w:bookmarkEnd w:id="180"/>
      <w:r w:rsidRPr="009D4797">
        <w:t xml:space="preserve"> </w:t>
      </w:r>
      <w:r>
        <w:rPr>
          <w:lang w:eastAsia="ja-JP"/>
        </w:rPr>
        <w:t xml:space="preserve">Study </w:t>
      </w:r>
      <w:r w:rsidRPr="00A34013">
        <w:rPr>
          <w:lang w:eastAsia="ja-JP"/>
        </w:rPr>
        <w:t>20120262</w:t>
      </w:r>
      <w:r>
        <w:rPr>
          <w:lang w:eastAsia="ja-JP"/>
        </w:rPr>
        <w:t xml:space="preserve">: </w:t>
      </w:r>
      <w:r w:rsidRPr="009D4797">
        <w:rPr>
          <w:lang w:eastAsia="ja-JP"/>
        </w:rPr>
        <w:t xml:space="preserve">Analysis of ACR20 at Week 24 by </w:t>
      </w:r>
      <w:r w:rsidR="00C82909">
        <w:rPr>
          <w:lang w:eastAsia="ja-JP"/>
        </w:rPr>
        <w:t>t</w:t>
      </w:r>
      <w:r w:rsidR="00C82909" w:rsidRPr="009D4797">
        <w:rPr>
          <w:lang w:eastAsia="ja-JP"/>
        </w:rPr>
        <w:t xml:space="preserve">reatment </w:t>
      </w:r>
      <w:r w:rsidRPr="009D4797">
        <w:rPr>
          <w:lang w:eastAsia="ja-JP"/>
        </w:rPr>
        <w:t>(Full Analysis Set)</w:t>
      </w:r>
      <w:bookmarkEnd w:id="181"/>
    </w:p>
    <w:p w14:paraId="48CD83C3" w14:textId="77777777" w:rsidR="007C0FDC" w:rsidRDefault="007C0FDC" w:rsidP="007C0FDC">
      <w:pPr>
        <w:rPr>
          <w:lang w:eastAsia="ja-JP"/>
        </w:rPr>
      </w:pPr>
      <w:r>
        <w:rPr>
          <w:noProof/>
          <w:lang w:eastAsia="en-AU"/>
        </w:rPr>
        <w:drawing>
          <wp:inline distT="0" distB="0" distL="0" distR="0" wp14:anchorId="21E073D9" wp14:editId="3AC91783">
            <wp:extent cx="4140679" cy="1897811"/>
            <wp:effectExtent l="0" t="0" r="0" b="7620"/>
            <wp:docPr id="28" name="Picture 28" descr="Table 14: Study 20120262: Analysis of ACR20 at Week 24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b="7902"/>
                    <a:stretch/>
                  </pic:blipFill>
                  <pic:spPr bwMode="auto">
                    <a:xfrm>
                      <a:off x="0" y="0"/>
                      <a:ext cx="4139069" cy="1897073"/>
                    </a:xfrm>
                    <a:prstGeom prst="rect">
                      <a:avLst/>
                    </a:prstGeom>
                    <a:noFill/>
                    <a:ln>
                      <a:noFill/>
                    </a:ln>
                    <a:extLst>
                      <a:ext uri="{53640926-AAD7-44D8-BBD7-CCE9431645EC}">
                        <a14:shadowObscured xmlns:a14="http://schemas.microsoft.com/office/drawing/2010/main"/>
                      </a:ext>
                    </a:extLst>
                  </pic:spPr>
                </pic:pic>
              </a:graphicData>
            </a:graphic>
          </wp:inline>
        </w:drawing>
      </w:r>
    </w:p>
    <w:p w14:paraId="0F44B0E0" w14:textId="3A19EB58" w:rsidR="007C0FDC" w:rsidRPr="009D4797" w:rsidRDefault="007C0FDC" w:rsidP="007C11B4">
      <w:pPr>
        <w:pStyle w:val="Tabletitle"/>
        <w:rPr>
          <w:lang w:eastAsia="ja-JP"/>
        </w:rPr>
      </w:pPr>
      <w:bookmarkStart w:id="182" w:name="_Ref458775364"/>
      <w:bookmarkStart w:id="183" w:name="_Toc471285606"/>
      <w:r w:rsidRPr="009D4797">
        <w:t xml:space="preserve">Table </w:t>
      </w:r>
      <w:r>
        <w:t>15:</w:t>
      </w:r>
      <w:bookmarkEnd w:id="182"/>
      <w:r w:rsidRPr="009D4797">
        <w:t xml:space="preserve"> </w:t>
      </w:r>
      <w:r>
        <w:rPr>
          <w:lang w:eastAsia="ja-JP"/>
        </w:rPr>
        <w:t xml:space="preserve">Study </w:t>
      </w:r>
      <w:r w:rsidRPr="00A34013">
        <w:rPr>
          <w:lang w:eastAsia="ja-JP"/>
        </w:rPr>
        <w:t>20120262</w:t>
      </w:r>
      <w:r>
        <w:rPr>
          <w:lang w:eastAsia="ja-JP"/>
        </w:rPr>
        <w:t>: PP sensitivity a</w:t>
      </w:r>
      <w:r w:rsidRPr="009D4797">
        <w:rPr>
          <w:lang w:eastAsia="ja-JP"/>
        </w:rPr>
        <w:t xml:space="preserve">nalysis of ACR20 at Week 24 by </w:t>
      </w:r>
      <w:r w:rsidR="00C82909">
        <w:rPr>
          <w:lang w:eastAsia="ja-JP"/>
        </w:rPr>
        <w:t>t</w:t>
      </w:r>
      <w:r w:rsidR="00C82909" w:rsidRPr="009D4797">
        <w:rPr>
          <w:lang w:eastAsia="ja-JP"/>
        </w:rPr>
        <w:t xml:space="preserve">reatment </w:t>
      </w:r>
      <w:r w:rsidRPr="009D4797">
        <w:rPr>
          <w:lang w:eastAsia="ja-JP"/>
        </w:rPr>
        <w:t>(Per</w:t>
      </w:r>
      <w:r w:rsidR="00C82909">
        <w:rPr>
          <w:lang w:eastAsia="ja-JP"/>
        </w:rPr>
        <w:t> </w:t>
      </w:r>
      <w:r w:rsidRPr="009D4797">
        <w:rPr>
          <w:lang w:eastAsia="ja-JP"/>
        </w:rPr>
        <w:t>Protocol Analysis Set)</w:t>
      </w:r>
      <w:bookmarkEnd w:id="183"/>
    </w:p>
    <w:p w14:paraId="59423D77" w14:textId="77777777" w:rsidR="007C0FDC" w:rsidRDefault="007C0FDC" w:rsidP="007C0FDC">
      <w:pPr>
        <w:rPr>
          <w:lang w:eastAsia="ja-JP"/>
        </w:rPr>
      </w:pPr>
      <w:r>
        <w:rPr>
          <w:noProof/>
          <w:lang w:eastAsia="en-AU"/>
        </w:rPr>
        <w:drawing>
          <wp:inline distT="0" distB="0" distL="0" distR="0" wp14:anchorId="4F97C199" wp14:editId="0BEAEF97">
            <wp:extent cx="5835292" cy="2436471"/>
            <wp:effectExtent l="0" t="0" r="0" b="2540"/>
            <wp:docPr id="29" name="Picture 29" descr="Table 15: Study 20120262: PP sensitivity analysis of ACR20 at Week 24 by Treatment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r="10446"/>
                    <a:stretch/>
                  </pic:blipFill>
                  <pic:spPr bwMode="auto">
                    <a:xfrm>
                      <a:off x="0" y="0"/>
                      <a:ext cx="5840833" cy="2438785"/>
                    </a:xfrm>
                    <a:prstGeom prst="rect">
                      <a:avLst/>
                    </a:prstGeom>
                    <a:noFill/>
                    <a:ln>
                      <a:noFill/>
                    </a:ln>
                    <a:extLst>
                      <a:ext uri="{53640926-AAD7-44D8-BBD7-CCE9431645EC}">
                        <a14:shadowObscured xmlns:a14="http://schemas.microsoft.com/office/drawing/2010/main"/>
                      </a:ext>
                    </a:extLst>
                  </pic:spPr>
                </pic:pic>
              </a:graphicData>
            </a:graphic>
          </wp:inline>
        </w:drawing>
      </w:r>
    </w:p>
    <w:p w14:paraId="5D3CF1FE" w14:textId="0F665D59" w:rsidR="007C0FDC" w:rsidRDefault="007C0FDC" w:rsidP="007C0FDC">
      <w:pPr>
        <w:rPr>
          <w:lang w:eastAsia="ja-JP"/>
        </w:rPr>
      </w:pPr>
      <w:r>
        <w:rPr>
          <w:lang w:eastAsia="ja-JP"/>
        </w:rPr>
        <w:lastRenderedPageBreak/>
        <w:t xml:space="preserve">The ACR20 results from other sensitivity analyses for </w:t>
      </w:r>
      <w:r w:rsidR="00C82909">
        <w:rPr>
          <w:lang w:eastAsia="ja-JP"/>
        </w:rPr>
        <w:t xml:space="preserve">Week </w:t>
      </w:r>
      <w:r>
        <w:rPr>
          <w:lang w:eastAsia="ja-JP"/>
        </w:rPr>
        <w:t xml:space="preserve">24 (including: </w:t>
      </w:r>
      <w:r w:rsidR="00C82909">
        <w:rPr>
          <w:lang w:eastAsia="ja-JP"/>
        </w:rPr>
        <w:t xml:space="preserve">Full Analysis Set </w:t>
      </w:r>
      <w:r>
        <w:rPr>
          <w:lang w:eastAsia="ja-JP"/>
        </w:rPr>
        <w:t>using observed values; Full Analysis Set using the LOCF for actual treatment received; analysis based on backward model selection for the Full Analysis Set using the LOCF; repeated-measures analysis using Full Analysis Set with observed values) were reasonably similar to the results of the primary efficacy analysis.</w:t>
      </w:r>
    </w:p>
    <w:p w14:paraId="10B89B2E" w14:textId="4310109F" w:rsidR="007C0FDC" w:rsidRPr="002A75DA" w:rsidRDefault="00C82909" w:rsidP="00AA7D1C">
      <w:pPr>
        <w:pStyle w:val="Comment"/>
        <w:rPr>
          <w:lang w:eastAsia="ja-JP"/>
        </w:rPr>
      </w:pPr>
      <w:r w:rsidRPr="00AA7D1C">
        <w:rPr>
          <w:b/>
          <w:lang w:eastAsia="ja-JP"/>
        </w:rPr>
        <w:t>C</w:t>
      </w:r>
      <w:r w:rsidR="007C0FDC" w:rsidRPr="00AA7D1C">
        <w:rPr>
          <w:b/>
          <w:lang w:eastAsia="ja-JP"/>
        </w:rPr>
        <w:t>omment:</w:t>
      </w:r>
      <w:r w:rsidRPr="00AA7D1C">
        <w:rPr>
          <w:b/>
          <w:lang w:eastAsia="ja-JP"/>
        </w:rPr>
        <w:t xml:space="preserve"> </w:t>
      </w:r>
      <w:r>
        <w:rPr>
          <w:b/>
          <w:lang w:eastAsia="ja-JP"/>
        </w:rPr>
        <w:t xml:space="preserve"> </w:t>
      </w:r>
      <w:r w:rsidR="007C0FDC" w:rsidRPr="002A75DA">
        <w:rPr>
          <w:lang w:eastAsia="ja-JP"/>
        </w:rPr>
        <w:t xml:space="preserve">The sponsor’s criterion for establishing equivalence between </w:t>
      </w:r>
      <w:r w:rsidR="00FC5128">
        <w:rPr>
          <w:lang w:eastAsia="ja-JP"/>
        </w:rPr>
        <w:t>ABP 501</w:t>
      </w:r>
      <w:r w:rsidR="007C0FDC" w:rsidRPr="002A75DA">
        <w:rPr>
          <w:lang w:eastAsia="ja-JP"/>
        </w:rPr>
        <w:t xml:space="preserve"> and adalimumab for patients in moderate to severe RA is for the 90% CI of the primary endpoint from the ITT population to fall within the pre-determined margin of (0.738, 1/0.738). The results fulfil the stated criterion.</w:t>
      </w:r>
    </w:p>
    <w:p w14:paraId="1525EA1D" w14:textId="3A1F9CD4" w:rsidR="007C0FDC" w:rsidRDefault="007C0FDC" w:rsidP="00AA7D1C">
      <w:pPr>
        <w:pStyle w:val="Comment"/>
        <w:ind w:firstLine="0"/>
        <w:rPr>
          <w:lang w:eastAsia="ja-JP"/>
        </w:rPr>
      </w:pPr>
      <w:r w:rsidRPr="002A75DA">
        <w:rPr>
          <w:lang w:eastAsia="ja-JP"/>
        </w:rPr>
        <w:t xml:space="preserve">The most relevant sensitivity analysis for </w:t>
      </w:r>
      <w:r>
        <w:rPr>
          <w:lang w:eastAsia="ja-JP"/>
        </w:rPr>
        <w:t>this</w:t>
      </w:r>
      <w:r w:rsidRPr="002A75DA">
        <w:rPr>
          <w:lang w:eastAsia="ja-JP"/>
        </w:rPr>
        <w:t xml:space="preserve"> equivalence study is the analysis of the primary endpoint in the per-protocol population. This was provided by the sponsor, and even if the margin and the confidence interval proposed b</w:t>
      </w:r>
      <w:r>
        <w:rPr>
          <w:lang w:eastAsia="ja-JP"/>
        </w:rPr>
        <w:t xml:space="preserve">y the sponsor </w:t>
      </w:r>
      <w:r w:rsidRPr="002A75DA">
        <w:rPr>
          <w:lang w:eastAsia="ja-JP"/>
        </w:rPr>
        <w:t xml:space="preserve">were rejected and a more conservative margin of </w:t>
      </w:r>
      <w:r>
        <w:rPr>
          <w:lang w:eastAsia="ja-JP"/>
        </w:rPr>
        <w:t>±</w:t>
      </w:r>
      <w:r w:rsidRPr="002A75DA">
        <w:rPr>
          <w:lang w:eastAsia="ja-JP"/>
        </w:rPr>
        <w:t xml:space="preserve">15% and </w:t>
      </w:r>
      <w:r>
        <w:rPr>
          <w:lang w:eastAsia="ja-JP"/>
        </w:rPr>
        <w:t xml:space="preserve">the more conservative </w:t>
      </w:r>
      <w:r w:rsidRPr="002A75DA">
        <w:rPr>
          <w:lang w:eastAsia="ja-JP"/>
        </w:rPr>
        <w:t xml:space="preserve">CI </w:t>
      </w:r>
      <w:r>
        <w:rPr>
          <w:lang w:eastAsia="ja-JP"/>
        </w:rPr>
        <w:t xml:space="preserve">of </w:t>
      </w:r>
      <w:r w:rsidRPr="002A75DA">
        <w:rPr>
          <w:lang w:eastAsia="ja-JP"/>
        </w:rPr>
        <w:t xml:space="preserve">95% </w:t>
      </w:r>
      <w:r>
        <w:rPr>
          <w:lang w:eastAsia="ja-JP"/>
        </w:rPr>
        <w:t xml:space="preserve">were chosen, </w:t>
      </w:r>
      <w:r w:rsidRPr="00066505">
        <w:rPr>
          <w:lang w:eastAsia="ja-JP"/>
        </w:rPr>
        <w:t xml:space="preserve">equivalence between </w:t>
      </w:r>
      <w:r w:rsidR="00FC5128">
        <w:rPr>
          <w:lang w:eastAsia="ja-JP"/>
        </w:rPr>
        <w:t>ABP 501</w:t>
      </w:r>
      <w:r w:rsidRPr="00066505">
        <w:rPr>
          <w:lang w:eastAsia="ja-JP"/>
        </w:rPr>
        <w:t xml:space="preserve"> and adalimumab for patients in moderate to severe RA</w:t>
      </w:r>
      <w:r>
        <w:rPr>
          <w:lang w:eastAsia="ja-JP"/>
        </w:rPr>
        <w:t xml:space="preserve"> would still be supported by the result (</w:t>
      </w:r>
      <w:r w:rsidRPr="003723EF">
        <w:rPr>
          <w:lang w:eastAsia="ja-JP"/>
        </w:rPr>
        <w:t xml:space="preserve">RR of ACR20 </w:t>
      </w:r>
      <w:r>
        <w:rPr>
          <w:lang w:eastAsia="ja-JP"/>
        </w:rPr>
        <w:t>at Week 2</w:t>
      </w:r>
      <w:r w:rsidRPr="003723EF">
        <w:rPr>
          <w:lang w:eastAsia="ja-JP"/>
        </w:rPr>
        <w:t xml:space="preserve">4 </w:t>
      </w:r>
      <w:r>
        <w:rPr>
          <w:lang w:eastAsia="ja-JP"/>
        </w:rPr>
        <w:t xml:space="preserve">= 1.009 </w:t>
      </w:r>
      <w:r w:rsidR="00D175FA">
        <w:rPr>
          <w:lang w:eastAsia="ja-JP"/>
        </w:rPr>
        <w:t>(</w:t>
      </w:r>
      <w:r>
        <w:rPr>
          <w:lang w:eastAsia="ja-JP"/>
        </w:rPr>
        <w:t>95% CI: 0.912, 1.115</w:t>
      </w:r>
      <w:r w:rsidR="00D175FA">
        <w:rPr>
          <w:lang w:eastAsia="ja-JP"/>
        </w:rPr>
        <w:t>)</w:t>
      </w:r>
      <w:r>
        <w:rPr>
          <w:lang w:eastAsia="ja-JP"/>
        </w:rPr>
        <w:t>)</w:t>
      </w:r>
      <w:r w:rsidRPr="003723EF">
        <w:rPr>
          <w:lang w:eastAsia="ja-JP"/>
        </w:rPr>
        <w:t>.</w:t>
      </w:r>
    </w:p>
    <w:p w14:paraId="6A930910" w14:textId="77777777" w:rsidR="007C0FDC" w:rsidRPr="00E95073" w:rsidRDefault="007C0FDC" w:rsidP="00AA7D1C">
      <w:pPr>
        <w:pStyle w:val="Comment"/>
        <w:ind w:firstLine="0"/>
        <w:rPr>
          <w:lang w:eastAsia="ja-JP"/>
        </w:rPr>
      </w:pPr>
      <w:r>
        <w:rPr>
          <w:lang w:eastAsia="ja-JP"/>
        </w:rPr>
        <w:t>A</w:t>
      </w:r>
      <w:r w:rsidRPr="002B30FC">
        <w:rPr>
          <w:lang w:eastAsia="ja-JP"/>
        </w:rPr>
        <w:t xml:space="preserve"> potential limitation includes the concomitant use of another immunomodulator (methotrexate) which </w:t>
      </w:r>
      <w:r>
        <w:rPr>
          <w:lang w:eastAsia="ja-JP"/>
        </w:rPr>
        <w:t xml:space="preserve">has likely </w:t>
      </w:r>
      <w:r w:rsidRPr="002B30FC">
        <w:rPr>
          <w:lang w:eastAsia="ja-JP"/>
        </w:rPr>
        <w:t>reduced the difference in treatment effect between groups</w:t>
      </w:r>
      <w:r>
        <w:rPr>
          <w:lang w:eastAsia="ja-JP"/>
        </w:rPr>
        <w:t>.</w:t>
      </w:r>
    </w:p>
    <w:p w14:paraId="25CFA34D" w14:textId="77777777" w:rsidR="007C0FDC" w:rsidRPr="00B345BE" w:rsidRDefault="007C0FDC" w:rsidP="007C11B4">
      <w:pPr>
        <w:pStyle w:val="Heading5"/>
      </w:pPr>
      <w:r w:rsidRPr="005632DC">
        <w:t>Results for other efficacy outcomes</w:t>
      </w:r>
    </w:p>
    <w:p w14:paraId="29B87772" w14:textId="77777777" w:rsidR="007C0FDC" w:rsidRDefault="007C0FDC" w:rsidP="007C0FDC">
      <w:pPr>
        <w:pStyle w:val="Heading6"/>
      </w:pPr>
      <w:r w:rsidRPr="00BE7067">
        <w:t>Secondary endpoint values related to ACR20, ACR50, and ACR70</w:t>
      </w:r>
    </w:p>
    <w:p w14:paraId="24CB2C47" w14:textId="77777777" w:rsidR="007C0FDC" w:rsidRDefault="007C0FDC" w:rsidP="007C0FDC">
      <w:pPr>
        <w:rPr>
          <w:lang w:eastAsia="ja-JP"/>
        </w:rPr>
      </w:pPr>
      <w:r>
        <w:rPr>
          <w:lang w:eastAsia="ja-JP"/>
        </w:rPr>
        <w:t>An overview of the secondary endpoint values related to ACR20, ACR50, and ACR70 is shown in Table 16 (risk ratio between treatment groups) and Table 17 (risk difference between treatment groups).</w:t>
      </w:r>
      <w:r w:rsidRPr="00D40949">
        <w:rPr>
          <w:lang w:eastAsia="ja-JP"/>
        </w:rPr>
        <w:t xml:space="preserve"> </w:t>
      </w:r>
      <w:r>
        <w:rPr>
          <w:lang w:eastAsia="ja-JP"/>
        </w:rPr>
        <w:t>In the sensitivity analyses using the per-protocol analysis set, similar results were observed.</w:t>
      </w:r>
    </w:p>
    <w:p w14:paraId="216E6DCC" w14:textId="77777777" w:rsidR="007C0FDC" w:rsidRDefault="007C0FDC" w:rsidP="007C0FDC">
      <w:pPr>
        <w:rPr>
          <w:lang w:eastAsia="ja-JP"/>
        </w:rPr>
      </w:pPr>
      <w:r>
        <w:rPr>
          <w:lang w:eastAsia="ja-JP"/>
        </w:rPr>
        <w:t>The proportion of ACR20 responders were similar between the treatment groups over the study period (measured at Weeks 2,</w:t>
      </w:r>
      <w:r w:rsidRPr="00272909">
        <w:rPr>
          <w:lang w:eastAsia="ja-JP"/>
        </w:rPr>
        <w:t xml:space="preserve"> 4, 8, 12, 18, and 24)</w:t>
      </w:r>
      <w:r>
        <w:rPr>
          <w:lang w:eastAsia="ja-JP"/>
        </w:rPr>
        <w:t xml:space="preserve"> (shown in Figure 5).</w:t>
      </w:r>
    </w:p>
    <w:p w14:paraId="2476E1F5" w14:textId="3CB3622B" w:rsidR="007C0FDC" w:rsidRPr="004B232B" w:rsidRDefault="007C0FDC" w:rsidP="007C11B4">
      <w:pPr>
        <w:pStyle w:val="Tabletitle"/>
        <w:rPr>
          <w:lang w:eastAsia="ja-JP"/>
        </w:rPr>
      </w:pPr>
      <w:bookmarkStart w:id="184" w:name="_Ref458785623"/>
      <w:bookmarkStart w:id="185" w:name="_Toc471285607"/>
      <w:r w:rsidRPr="004B232B">
        <w:t xml:space="preserve">Table </w:t>
      </w:r>
      <w:r>
        <w:t>16</w:t>
      </w:r>
      <w:bookmarkEnd w:id="184"/>
      <w:r>
        <w:t>:</w:t>
      </w:r>
      <w:r w:rsidRPr="004B232B">
        <w:t xml:space="preserve"> Study 20120262 </w:t>
      </w:r>
      <w:r>
        <w:t>S</w:t>
      </w:r>
      <w:r w:rsidRPr="004B232B">
        <w:t>econdary endpoint values related to ACR20, ACR50, and ACR70</w:t>
      </w:r>
      <w:r w:rsidR="00C82909">
        <w:t>;</w:t>
      </w:r>
      <w:r>
        <w:t xml:space="preserve"> </w:t>
      </w:r>
      <w:r w:rsidR="00C82909">
        <w:t xml:space="preserve">risk </w:t>
      </w:r>
      <w:r>
        <w:t xml:space="preserve">ratio </w:t>
      </w:r>
      <w:r w:rsidRPr="007C11B4">
        <w:t>between</w:t>
      </w:r>
      <w:r>
        <w:t xml:space="preserve"> treatment groups </w:t>
      </w:r>
      <w:r w:rsidRPr="004B232B">
        <w:t>(Full Analysis Set)</w:t>
      </w:r>
      <w:bookmarkEnd w:id="185"/>
    </w:p>
    <w:tbl>
      <w:tblPr>
        <w:tblStyle w:val="TableTGAblue"/>
        <w:tblW w:w="5000" w:type="pct"/>
        <w:tblLook w:val="04A0" w:firstRow="1" w:lastRow="0" w:firstColumn="1" w:lastColumn="0" w:noHBand="0" w:noVBand="1"/>
      </w:tblPr>
      <w:tblGrid>
        <w:gridCol w:w="2310"/>
        <w:gridCol w:w="2310"/>
        <w:gridCol w:w="2311"/>
        <w:gridCol w:w="2311"/>
      </w:tblGrid>
      <w:tr w:rsidR="007C0FDC" w:rsidRPr="00B4636B" w14:paraId="6158C497" w14:textId="77777777" w:rsidTr="002E64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0" w:type="pct"/>
          </w:tcPr>
          <w:p w14:paraId="7FC74C57" w14:textId="77777777" w:rsidR="007C0FDC" w:rsidRPr="00AA7D1C" w:rsidRDefault="007C0FDC" w:rsidP="00C82909">
            <w:r w:rsidRPr="00AA7D1C">
              <w:rPr>
                <w:lang w:eastAsia="en-US"/>
              </w:rPr>
              <w:t>Score and week</w:t>
            </w:r>
          </w:p>
        </w:tc>
        <w:tc>
          <w:tcPr>
            <w:tcW w:w="1250" w:type="pct"/>
          </w:tcPr>
          <w:p w14:paraId="1BC8ABBB" w14:textId="48C9CEAF" w:rsidR="007C0FDC" w:rsidRPr="00AA7D1C" w:rsidRDefault="007C0FDC" w:rsidP="00C82909">
            <w:pPr>
              <w:cnfStyle w:val="100000000000" w:firstRow="1" w:lastRow="0" w:firstColumn="0" w:lastColumn="0" w:oddVBand="0" w:evenVBand="0" w:oddHBand="0" w:evenHBand="0" w:firstRowFirstColumn="0" w:firstRowLastColumn="0" w:lastRowFirstColumn="0" w:lastRowLastColumn="0"/>
            </w:pPr>
            <w:r w:rsidRPr="00AA7D1C">
              <w:rPr>
                <w:lang w:eastAsia="en-US"/>
              </w:rPr>
              <w:t xml:space="preserve">RR of </w:t>
            </w:r>
            <w:r w:rsidR="00FC5128">
              <w:rPr>
                <w:lang w:eastAsia="en-US"/>
              </w:rPr>
              <w:t>ABP 501</w:t>
            </w:r>
            <w:r w:rsidRPr="00AA7D1C">
              <w:rPr>
                <w:lang w:eastAsia="en-US"/>
              </w:rPr>
              <w:t xml:space="preserve"> and adalimumab groups</w:t>
            </w:r>
          </w:p>
        </w:tc>
        <w:tc>
          <w:tcPr>
            <w:tcW w:w="1250" w:type="pct"/>
          </w:tcPr>
          <w:p w14:paraId="7C70DDCD" w14:textId="77777777" w:rsidR="007C0FDC" w:rsidRPr="00AA7D1C" w:rsidRDefault="007C0FDC" w:rsidP="00ED7F6C">
            <w:pPr>
              <w:cnfStyle w:val="100000000000" w:firstRow="1" w:lastRow="0" w:firstColumn="0" w:lastColumn="0" w:oddVBand="0" w:evenVBand="0" w:oddHBand="0" w:evenHBand="0" w:firstRowFirstColumn="0" w:firstRowLastColumn="0" w:lastRowFirstColumn="0" w:lastRowLastColumn="0"/>
            </w:pPr>
            <w:r w:rsidRPr="00AA7D1C">
              <w:rPr>
                <w:lang w:eastAsia="en-US"/>
              </w:rPr>
              <w:t>90% CI</w:t>
            </w:r>
          </w:p>
        </w:tc>
        <w:tc>
          <w:tcPr>
            <w:tcW w:w="1250" w:type="pct"/>
          </w:tcPr>
          <w:p w14:paraId="10F9FC82" w14:textId="77777777" w:rsidR="007C0FDC" w:rsidRPr="00AA7D1C" w:rsidRDefault="007C0FDC" w:rsidP="007A0BC6">
            <w:pPr>
              <w:cnfStyle w:val="100000000000" w:firstRow="1" w:lastRow="0" w:firstColumn="0" w:lastColumn="0" w:oddVBand="0" w:evenVBand="0" w:oddHBand="0" w:evenHBand="0" w:firstRowFirstColumn="0" w:firstRowLastColumn="0" w:lastRowFirstColumn="0" w:lastRowLastColumn="0"/>
            </w:pPr>
            <w:r w:rsidRPr="00AA7D1C">
              <w:rPr>
                <w:lang w:eastAsia="en-US"/>
              </w:rPr>
              <w:t>95% CI</w:t>
            </w:r>
          </w:p>
        </w:tc>
      </w:tr>
      <w:tr w:rsidR="007C0FDC" w14:paraId="14AF7D4C"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257ACBFE" w14:textId="77777777" w:rsidR="007C0FDC" w:rsidRPr="007C11B4" w:rsidRDefault="007C0FDC" w:rsidP="00C82909">
            <w:pPr>
              <w:rPr>
                <w:szCs w:val="22"/>
              </w:rPr>
            </w:pPr>
            <w:r w:rsidRPr="007C11B4">
              <w:rPr>
                <w:szCs w:val="22"/>
                <w:lang w:eastAsia="en-US"/>
              </w:rPr>
              <w:t>ACR20 at Week 2</w:t>
            </w:r>
          </w:p>
        </w:tc>
        <w:tc>
          <w:tcPr>
            <w:tcW w:w="1250" w:type="pct"/>
          </w:tcPr>
          <w:p w14:paraId="72F0A1C4" w14:textId="77777777" w:rsidR="007C0FDC" w:rsidRPr="007C11B4" w:rsidRDefault="007C0FDC" w:rsidP="00C82909">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1.421</w:t>
            </w:r>
          </w:p>
        </w:tc>
        <w:tc>
          <w:tcPr>
            <w:tcW w:w="1250" w:type="pct"/>
          </w:tcPr>
          <w:p w14:paraId="147ADBE2" w14:textId="77777777" w:rsidR="007C0FDC" w:rsidRPr="007C11B4" w:rsidRDefault="007C0FDC" w:rsidP="00ED7F6C">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1.134, 1.781</w:t>
            </w:r>
          </w:p>
        </w:tc>
        <w:tc>
          <w:tcPr>
            <w:tcW w:w="1250" w:type="pct"/>
          </w:tcPr>
          <w:p w14:paraId="4852345C" w14:textId="77777777" w:rsidR="007C0FDC" w:rsidRPr="007C11B4" w:rsidRDefault="007C0FDC" w:rsidP="007A0BC6">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1.086, 1.860</w:t>
            </w:r>
          </w:p>
        </w:tc>
      </w:tr>
      <w:tr w:rsidR="007C0FDC" w14:paraId="409A9F7A"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2B669837" w14:textId="77777777" w:rsidR="007C0FDC" w:rsidRPr="007C11B4" w:rsidRDefault="007C0FDC" w:rsidP="00C82909">
            <w:pPr>
              <w:rPr>
                <w:szCs w:val="22"/>
              </w:rPr>
            </w:pPr>
            <w:r w:rsidRPr="007C11B4">
              <w:rPr>
                <w:szCs w:val="22"/>
                <w:lang w:eastAsia="en-US"/>
              </w:rPr>
              <w:t>ACR20 at Week 8</w:t>
            </w:r>
          </w:p>
        </w:tc>
        <w:tc>
          <w:tcPr>
            <w:tcW w:w="1250" w:type="pct"/>
          </w:tcPr>
          <w:p w14:paraId="19EA3406" w14:textId="77777777" w:rsidR="007C0FDC" w:rsidRPr="007C11B4" w:rsidRDefault="007C0FDC" w:rsidP="00C82909">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1.015</w:t>
            </w:r>
          </w:p>
        </w:tc>
        <w:tc>
          <w:tcPr>
            <w:tcW w:w="1250" w:type="pct"/>
          </w:tcPr>
          <w:p w14:paraId="48DA8CF1" w14:textId="77777777" w:rsidR="007C0FDC" w:rsidRPr="007C11B4" w:rsidRDefault="007C0FDC" w:rsidP="00ED7F6C">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0.908, 1.134</w:t>
            </w:r>
          </w:p>
        </w:tc>
        <w:tc>
          <w:tcPr>
            <w:tcW w:w="1250" w:type="pct"/>
          </w:tcPr>
          <w:p w14:paraId="035DCD53" w14:textId="77777777" w:rsidR="007C0FDC" w:rsidRPr="007C11B4" w:rsidRDefault="007C0FDC" w:rsidP="007A0BC6">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0.889, 1.158</w:t>
            </w:r>
          </w:p>
        </w:tc>
      </w:tr>
      <w:tr w:rsidR="007C0FDC" w14:paraId="4D212080"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06E4D940" w14:textId="77777777" w:rsidR="007C0FDC" w:rsidRPr="007C11B4" w:rsidRDefault="007C0FDC" w:rsidP="00C82909">
            <w:pPr>
              <w:rPr>
                <w:szCs w:val="22"/>
              </w:rPr>
            </w:pPr>
            <w:r w:rsidRPr="007C11B4">
              <w:rPr>
                <w:szCs w:val="22"/>
                <w:lang w:eastAsia="en-US"/>
              </w:rPr>
              <w:t>ACR50 at Week 24</w:t>
            </w:r>
          </w:p>
        </w:tc>
        <w:tc>
          <w:tcPr>
            <w:tcW w:w="1250" w:type="pct"/>
          </w:tcPr>
          <w:p w14:paraId="146F1C22" w14:textId="77777777" w:rsidR="007C0FDC" w:rsidRPr="007C11B4" w:rsidRDefault="007C0FDC" w:rsidP="00C82909">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0.948</w:t>
            </w:r>
          </w:p>
        </w:tc>
        <w:tc>
          <w:tcPr>
            <w:tcW w:w="1250" w:type="pct"/>
          </w:tcPr>
          <w:p w14:paraId="0596FA74" w14:textId="77777777" w:rsidR="007C0FDC" w:rsidRPr="007C11B4" w:rsidRDefault="007C0FDC" w:rsidP="00ED7F6C">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0.819, 1.097</w:t>
            </w:r>
          </w:p>
        </w:tc>
        <w:tc>
          <w:tcPr>
            <w:tcW w:w="1250" w:type="pct"/>
          </w:tcPr>
          <w:p w14:paraId="0C12ED2A" w14:textId="77777777" w:rsidR="007C0FDC" w:rsidRPr="007C11B4" w:rsidRDefault="007C0FDC" w:rsidP="007A0BC6">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0.796, 1.128</w:t>
            </w:r>
          </w:p>
        </w:tc>
      </w:tr>
      <w:tr w:rsidR="007C0FDC" w14:paraId="06F1921C"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0AE8A9D7" w14:textId="77777777" w:rsidR="007C0FDC" w:rsidRPr="007C11B4" w:rsidRDefault="007C0FDC" w:rsidP="00C82909">
            <w:pPr>
              <w:rPr>
                <w:szCs w:val="22"/>
              </w:rPr>
            </w:pPr>
            <w:r w:rsidRPr="007C11B4">
              <w:rPr>
                <w:szCs w:val="22"/>
                <w:lang w:eastAsia="en-US"/>
              </w:rPr>
              <w:t>ACR70 at Week 24</w:t>
            </w:r>
          </w:p>
        </w:tc>
        <w:tc>
          <w:tcPr>
            <w:tcW w:w="1250" w:type="pct"/>
          </w:tcPr>
          <w:p w14:paraId="1AC860B2" w14:textId="77777777" w:rsidR="007C0FDC" w:rsidRPr="007C11B4" w:rsidRDefault="007C0FDC" w:rsidP="00C82909">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1.130</w:t>
            </w:r>
          </w:p>
        </w:tc>
        <w:tc>
          <w:tcPr>
            <w:tcW w:w="1250" w:type="pct"/>
          </w:tcPr>
          <w:p w14:paraId="14323A00" w14:textId="77777777" w:rsidR="007C0FDC" w:rsidRPr="007C11B4" w:rsidRDefault="007C0FDC" w:rsidP="00ED7F6C">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0.872, 1.464</w:t>
            </w:r>
          </w:p>
        </w:tc>
        <w:tc>
          <w:tcPr>
            <w:tcW w:w="1250" w:type="pct"/>
          </w:tcPr>
          <w:p w14:paraId="65E7C15A" w14:textId="77777777" w:rsidR="007C0FDC" w:rsidRPr="007C11B4" w:rsidRDefault="007C0FDC" w:rsidP="007A0BC6">
            <w:pPr>
              <w:cnfStyle w:val="000000000000" w:firstRow="0" w:lastRow="0" w:firstColumn="0" w:lastColumn="0" w:oddVBand="0" w:evenVBand="0" w:oddHBand="0" w:evenHBand="0" w:firstRowFirstColumn="0" w:firstRowLastColumn="0" w:lastRowFirstColumn="0" w:lastRowLastColumn="0"/>
              <w:rPr>
                <w:szCs w:val="22"/>
              </w:rPr>
            </w:pPr>
            <w:r w:rsidRPr="007C11B4">
              <w:rPr>
                <w:szCs w:val="22"/>
                <w:lang w:eastAsia="en-US"/>
              </w:rPr>
              <w:t>0.830, 1.538</w:t>
            </w:r>
          </w:p>
        </w:tc>
      </w:tr>
    </w:tbl>
    <w:p w14:paraId="7C7EEBAC" w14:textId="633B695C" w:rsidR="007C0FDC" w:rsidRPr="001B7B5E" w:rsidRDefault="007C0FDC" w:rsidP="007C11B4">
      <w:pPr>
        <w:pStyle w:val="Tabletitle"/>
        <w:rPr>
          <w:lang w:eastAsia="ja-JP"/>
        </w:rPr>
      </w:pPr>
      <w:bookmarkStart w:id="186" w:name="_Ref458790797"/>
      <w:bookmarkStart w:id="187" w:name="_Toc471285608"/>
      <w:r w:rsidRPr="001B7B5E">
        <w:lastRenderedPageBreak/>
        <w:t xml:space="preserve">Table </w:t>
      </w:r>
      <w:r>
        <w:t>17</w:t>
      </w:r>
      <w:bookmarkEnd w:id="186"/>
      <w:r>
        <w:t>:</w:t>
      </w:r>
      <w:r w:rsidRPr="001B7B5E">
        <w:t xml:space="preserve"> </w:t>
      </w:r>
      <w:r w:rsidRPr="007C11B4">
        <w:t>Study</w:t>
      </w:r>
      <w:r w:rsidRPr="001B7B5E">
        <w:rPr>
          <w:lang w:eastAsia="ja-JP"/>
        </w:rPr>
        <w:t xml:space="preserve"> 20120262</w:t>
      </w:r>
      <w:r w:rsidR="00C82909">
        <w:rPr>
          <w:lang w:eastAsia="ja-JP"/>
        </w:rPr>
        <w:t xml:space="preserve"> </w:t>
      </w:r>
      <w:r w:rsidRPr="001B7B5E">
        <w:rPr>
          <w:lang w:eastAsia="ja-JP"/>
        </w:rPr>
        <w:t>Secondary endpoint values related to ACR20, ACR50, and ACR70</w:t>
      </w:r>
      <w:r w:rsidR="00C82909">
        <w:rPr>
          <w:lang w:eastAsia="ja-JP"/>
        </w:rPr>
        <w:t>; r</w:t>
      </w:r>
      <w:r w:rsidRPr="001B7B5E">
        <w:rPr>
          <w:lang w:eastAsia="ja-JP"/>
        </w:rPr>
        <w:t>isk differences between treatment groups (Full Analysis Set)</w:t>
      </w:r>
      <w:bookmarkEnd w:id="187"/>
    </w:p>
    <w:tbl>
      <w:tblPr>
        <w:tblStyle w:val="TableTGAblue"/>
        <w:tblW w:w="5000" w:type="pct"/>
        <w:tblLook w:val="04A0" w:firstRow="1" w:lastRow="0" w:firstColumn="1" w:lastColumn="0" w:noHBand="0" w:noVBand="1"/>
      </w:tblPr>
      <w:tblGrid>
        <w:gridCol w:w="2310"/>
        <w:gridCol w:w="2310"/>
        <w:gridCol w:w="2311"/>
        <w:gridCol w:w="2311"/>
      </w:tblGrid>
      <w:tr w:rsidR="007C0FDC" w:rsidRPr="00B4636B" w14:paraId="65D246D9" w14:textId="77777777" w:rsidTr="002E64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0" w:type="pct"/>
          </w:tcPr>
          <w:p w14:paraId="2C242BD5" w14:textId="77777777" w:rsidR="007C0FDC" w:rsidRPr="00AA7D1C" w:rsidRDefault="007C0FDC" w:rsidP="00AA7D1C">
            <w:pPr>
              <w:keepNext/>
            </w:pPr>
            <w:r w:rsidRPr="00AA7D1C">
              <w:rPr>
                <w:lang w:eastAsia="en-US"/>
              </w:rPr>
              <w:t>Score and week</w:t>
            </w:r>
          </w:p>
        </w:tc>
        <w:tc>
          <w:tcPr>
            <w:tcW w:w="1250" w:type="pct"/>
          </w:tcPr>
          <w:p w14:paraId="02B25815" w14:textId="7945D3DF" w:rsidR="007C0FDC" w:rsidRPr="00AA7D1C" w:rsidRDefault="007C0FDC" w:rsidP="00AA7D1C">
            <w:pPr>
              <w:keepNext/>
              <w:cnfStyle w:val="100000000000" w:firstRow="1" w:lastRow="0" w:firstColumn="0" w:lastColumn="0" w:oddVBand="0" w:evenVBand="0" w:oddHBand="0" w:evenHBand="0" w:firstRowFirstColumn="0" w:firstRowLastColumn="0" w:lastRowFirstColumn="0" w:lastRowLastColumn="0"/>
            </w:pPr>
            <w:r w:rsidRPr="00AA7D1C">
              <w:rPr>
                <w:lang w:eastAsia="en-US"/>
              </w:rPr>
              <w:t xml:space="preserve">RD between  </w:t>
            </w:r>
            <w:r w:rsidR="00FC5128">
              <w:rPr>
                <w:lang w:eastAsia="en-US"/>
              </w:rPr>
              <w:t>ABP 501</w:t>
            </w:r>
            <w:r w:rsidRPr="00AA7D1C">
              <w:rPr>
                <w:lang w:eastAsia="en-US"/>
              </w:rPr>
              <w:t xml:space="preserve"> and adalimumab groups</w:t>
            </w:r>
          </w:p>
        </w:tc>
        <w:tc>
          <w:tcPr>
            <w:tcW w:w="1250" w:type="pct"/>
          </w:tcPr>
          <w:p w14:paraId="0EE9DEF8" w14:textId="77777777" w:rsidR="007C0FDC" w:rsidRPr="00AA7D1C" w:rsidRDefault="007C0FDC" w:rsidP="00AA7D1C">
            <w:pPr>
              <w:keepNext/>
              <w:cnfStyle w:val="100000000000" w:firstRow="1" w:lastRow="0" w:firstColumn="0" w:lastColumn="0" w:oddVBand="0" w:evenVBand="0" w:oddHBand="0" w:evenHBand="0" w:firstRowFirstColumn="0" w:firstRowLastColumn="0" w:lastRowFirstColumn="0" w:lastRowLastColumn="0"/>
            </w:pPr>
            <w:r w:rsidRPr="00AA7D1C">
              <w:rPr>
                <w:lang w:eastAsia="en-US"/>
              </w:rPr>
              <w:t>90% CI</w:t>
            </w:r>
          </w:p>
        </w:tc>
        <w:tc>
          <w:tcPr>
            <w:tcW w:w="1250" w:type="pct"/>
          </w:tcPr>
          <w:p w14:paraId="3D1B928F" w14:textId="77777777" w:rsidR="007C0FDC" w:rsidRPr="00AA7D1C" w:rsidRDefault="007C0FDC" w:rsidP="00AA7D1C">
            <w:pPr>
              <w:keepNext/>
              <w:cnfStyle w:val="100000000000" w:firstRow="1" w:lastRow="0" w:firstColumn="0" w:lastColumn="0" w:oddVBand="0" w:evenVBand="0" w:oddHBand="0" w:evenHBand="0" w:firstRowFirstColumn="0" w:firstRowLastColumn="0" w:lastRowFirstColumn="0" w:lastRowLastColumn="0"/>
            </w:pPr>
            <w:r w:rsidRPr="00AA7D1C">
              <w:rPr>
                <w:lang w:eastAsia="en-US"/>
              </w:rPr>
              <w:t>95% CI</w:t>
            </w:r>
          </w:p>
        </w:tc>
      </w:tr>
      <w:tr w:rsidR="007C0FDC" w14:paraId="2C1BDCAC"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4EF4D6F0" w14:textId="77777777" w:rsidR="007C0FDC" w:rsidRPr="00AA7D1C" w:rsidRDefault="007C0FDC" w:rsidP="00AA7D1C">
            <w:pPr>
              <w:keepNext/>
            </w:pPr>
            <w:r w:rsidRPr="00AA7D1C">
              <w:rPr>
                <w:lang w:eastAsia="en-US"/>
              </w:rPr>
              <w:t>ACR20 at Week 2</w:t>
            </w:r>
          </w:p>
        </w:tc>
        <w:tc>
          <w:tcPr>
            <w:tcW w:w="1250" w:type="pct"/>
          </w:tcPr>
          <w:p w14:paraId="21E68271"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11.038%</w:t>
            </w:r>
          </w:p>
        </w:tc>
        <w:tc>
          <w:tcPr>
            <w:tcW w:w="1250" w:type="pct"/>
          </w:tcPr>
          <w:p w14:paraId="2326E6F2"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4.515%, 17.562%</w:t>
            </w:r>
          </w:p>
        </w:tc>
        <w:tc>
          <w:tcPr>
            <w:tcW w:w="1250" w:type="pct"/>
          </w:tcPr>
          <w:p w14:paraId="267686BE"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3.265%, 18.812%</w:t>
            </w:r>
          </w:p>
        </w:tc>
      </w:tr>
      <w:tr w:rsidR="007C0FDC" w14:paraId="5E30D1CA"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43ED8E6C" w14:textId="77777777" w:rsidR="007C0FDC" w:rsidRPr="00AA7D1C" w:rsidRDefault="007C0FDC" w:rsidP="00AA7D1C">
            <w:pPr>
              <w:keepNext/>
            </w:pPr>
            <w:r w:rsidRPr="00AA7D1C">
              <w:rPr>
                <w:lang w:eastAsia="en-US"/>
              </w:rPr>
              <w:t>ACR20 at Week 8</w:t>
            </w:r>
          </w:p>
        </w:tc>
        <w:tc>
          <w:tcPr>
            <w:tcW w:w="1250" w:type="pct"/>
          </w:tcPr>
          <w:p w14:paraId="0B7D9A35"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0.973%</w:t>
            </w:r>
          </w:p>
        </w:tc>
        <w:tc>
          <w:tcPr>
            <w:tcW w:w="1250" w:type="pct"/>
          </w:tcPr>
          <w:p w14:paraId="6C9195FA"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-5.990%, 7.935%</w:t>
            </w:r>
          </w:p>
        </w:tc>
        <w:tc>
          <w:tcPr>
            <w:tcW w:w="1250" w:type="pct"/>
          </w:tcPr>
          <w:p w14:paraId="283396E7"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-7.324%, 9.269%</w:t>
            </w:r>
          </w:p>
        </w:tc>
      </w:tr>
      <w:tr w:rsidR="007C0FDC" w14:paraId="11487E85"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11ED233A" w14:textId="77777777" w:rsidR="007C0FDC" w:rsidRPr="00AA7D1C" w:rsidRDefault="007C0FDC" w:rsidP="00C82909">
            <w:r w:rsidRPr="00AA7D1C">
              <w:rPr>
                <w:lang w:eastAsia="en-US"/>
              </w:rPr>
              <w:t>ACR50 at Week 24</w:t>
            </w:r>
          </w:p>
        </w:tc>
        <w:tc>
          <w:tcPr>
            <w:tcW w:w="1250" w:type="pct"/>
          </w:tcPr>
          <w:p w14:paraId="516D30AD" w14:textId="77777777" w:rsidR="007C0FDC" w:rsidRPr="00AA7D1C" w:rsidRDefault="007C0FDC" w:rsidP="00C82909">
            <w:pPr>
              <w:cnfStyle w:val="000000000000" w:firstRow="0" w:lastRow="0" w:firstColumn="0" w:lastColumn="0" w:oddVBand="0" w:evenVBand="0" w:oddHBand="0" w:evenHBand="0" w:firstRowFirstColumn="0" w:firstRowLastColumn="0" w:lastRowFirstColumn="0" w:lastRowLastColumn="0"/>
            </w:pPr>
            <w:r w:rsidRPr="00AA7D1C">
              <w:rPr>
                <w:lang w:eastAsia="en-US"/>
              </w:rPr>
              <w:t>-2.836%</w:t>
            </w:r>
          </w:p>
        </w:tc>
        <w:tc>
          <w:tcPr>
            <w:tcW w:w="1250" w:type="pct"/>
          </w:tcPr>
          <w:p w14:paraId="64F1370F" w14:textId="77777777" w:rsidR="007C0FDC" w:rsidRPr="00AA7D1C" w:rsidRDefault="007C0FDC" w:rsidP="00ED7F6C">
            <w:pPr>
              <w:cnfStyle w:val="000000000000" w:firstRow="0" w:lastRow="0" w:firstColumn="0" w:lastColumn="0" w:oddVBand="0" w:evenVBand="0" w:oddHBand="0" w:evenHBand="0" w:firstRowFirstColumn="0" w:firstRowLastColumn="0" w:lastRowFirstColumn="0" w:lastRowLastColumn="0"/>
            </w:pPr>
            <w:r w:rsidRPr="00AA7D1C">
              <w:rPr>
                <w:lang w:eastAsia="en-US"/>
              </w:rPr>
              <w:t>-10.220%, 4.547%</w:t>
            </w:r>
          </w:p>
        </w:tc>
        <w:tc>
          <w:tcPr>
            <w:tcW w:w="1250" w:type="pct"/>
          </w:tcPr>
          <w:p w14:paraId="14DA2EF7" w14:textId="77777777" w:rsidR="007C0FDC" w:rsidRPr="00AA7D1C" w:rsidRDefault="007C0FDC" w:rsidP="007A0BC6">
            <w:pPr>
              <w:cnfStyle w:val="000000000000" w:firstRow="0" w:lastRow="0" w:firstColumn="0" w:lastColumn="0" w:oddVBand="0" w:evenVBand="0" w:oddHBand="0" w:evenHBand="0" w:firstRowFirstColumn="0" w:firstRowLastColumn="0" w:lastRowFirstColumn="0" w:lastRowLastColumn="0"/>
            </w:pPr>
            <w:r w:rsidRPr="00AA7D1C">
              <w:rPr>
                <w:lang w:eastAsia="en-US"/>
              </w:rPr>
              <w:t>-11.634%, 5.961%</w:t>
            </w:r>
          </w:p>
        </w:tc>
      </w:tr>
      <w:tr w:rsidR="007C0FDC" w14:paraId="10E85A76" w14:textId="77777777" w:rsidTr="002E64CE">
        <w:tc>
          <w:tcPr>
            <w:cnfStyle w:val="001000000000" w:firstRow="0" w:lastRow="0" w:firstColumn="1" w:lastColumn="0" w:oddVBand="0" w:evenVBand="0" w:oddHBand="0" w:evenHBand="0" w:firstRowFirstColumn="0" w:firstRowLastColumn="0" w:lastRowFirstColumn="0" w:lastRowLastColumn="0"/>
            <w:tcW w:w="1250" w:type="pct"/>
          </w:tcPr>
          <w:p w14:paraId="252A5E0E" w14:textId="77777777" w:rsidR="007C0FDC" w:rsidRPr="00AA7D1C" w:rsidRDefault="007C0FDC" w:rsidP="00C82909">
            <w:r w:rsidRPr="00AA7D1C">
              <w:rPr>
                <w:lang w:eastAsia="en-US"/>
              </w:rPr>
              <w:t>ACR70 at Week 24</w:t>
            </w:r>
          </w:p>
        </w:tc>
        <w:tc>
          <w:tcPr>
            <w:tcW w:w="1250" w:type="pct"/>
          </w:tcPr>
          <w:p w14:paraId="6566F93A" w14:textId="77777777" w:rsidR="007C0FDC" w:rsidRPr="00AA7D1C" w:rsidRDefault="007C0FDC" w:rsidP="00C82909">
            <w:pPr>
              <w:cnfStyle w:val="000000000000" w:firstRow="0" w:lastRow="0" w:firstColumn="0" w:lastColumn="0" w:oddVBand="0" w:evenVBand="0" w:oddHBand="0" w:evenHBand="0" w:firstRowFirstColumn="0" w:firstRowLastColumn="0" w:lastRowFirstColumn="0" w:lastRowLastColumn="0"/>
            </w:pPr>
            <w:r w:rsidRPr="00AA7D1C">
              <w:rPr>
                <w:lang w:eastAsia="en-US"/>
              </w:rPr>
              <w:t>3.147%</w:t>
            </w:r>
          </w:p>
        </w:tc>
        <w:tc>
          <w:tcPr>
            <w:tcW w:w="1250" w:type="pct"/>
          </w:tcPr>
          <w:p w14:paraId="3A74247A" w14:textId="77777777" w:rsidR="007C0FDC" w:rsidRPr="00AA7D1C" w:rsidRDefault="007C0FDC" w:rsidP="00ED7F6C">
            <w:pPr>
              <w:cnfStyle w:val="000000000000" w:firstRow="0" w:lastRow="0" w:firstColumn="0" w:lastColumn="0" w:oddVBand="0" w:evenVBand="0" w:oddHBand="0" w:evenHBand="0" w:firstRowFirstColumn="0" w:firstRowLastColumn="0" w:lastRowFirstColumn="0" w:lastRowLastColumn="0"/>
            </w:pPr>
            <w:r w:rsidRPr="00AA7D1C">
              <w:rPr>
                <w:lang w:eastAsia="en-US"/>
              </w:rPr>
              <w:t>-3.177%, 9.470%</w:t>
            </w:r>
          </w:p>
        </w:tc>
        <w:tc>
          <w:tcPr>
            <w:tcW w:w="1250" w:type="pct"/>
          </w:tcPr>
          <w:p w14:paraId="14A82035" w14:textId="77777777" w:rsidR="007C0FDC" w:rsidRPr="00AA7D1C" w:rsidRDefault="007C0FDC" w:rsidP="007A0BC6">
            <w:pPr>
              <w:cnfStyle w:val="000000000000" w:firstRow="0" w:lastRow="0" w:firstColumn="0" w:lastColumn="0" w:oddVBand="0" w:evenVBand="0" w:oddHBand="0" w:evenHBand="0" w:firstRowFirstColumn="0" w:firstRowLastColumn="0" w:lastRowFirstColumn="0" w:lastRowLastColumn="0"/>
            </w:pPr>
            <w:r w:rsidRPr="00AA7D1C">
              <w:rPr>
                <w:lang w:eastAsia="en-US"/>
              </w:rPr>
              <w:t>-4.388%, 10.681%</w:t>
            </w:r>
          </w:p>
        </w:tc>
      </w:tr>
    </w:tbl>
    <w:p w14:paraId="3CE3261A" w14:textId="6B6EEC35" w:rsidR="007C0FDC" w:rsidRPr="00DD41AA" w:rsidRDefault="007C0FDC" w:rsidP="007C11B4">
      <w:pPr>
        <w:pStyle w:val="FigureTitle"/>
        <w:rPr>
          <w:lang w:eastAsia="ja-JP"/>
        </w:rPr>
      </w:pPr>
      <w:bookmarkStart w:id="188" w:name="_Ref458789341"/>
      <w:bookmarkStart w:id="189" w:name="_Toc470272423"/>
      <w:r w:rsidRPr="00DD41AA">
        <w:t xml:space="preserve">Figure </w:t>
      </w:r>
      <w:bookmarkEnd w:id="188"/>
      <w:r>
        <w:t>5:</w:t>
      </w:r>
      <w:r w:rsidRPr="00DD41AA">
        <w:t xml:space="preserve"> </w:t>
      </w:r>
      <w:r w:rsidRPr="007C11B4">
        <w:t>Study</w:t>
      </w:r>
      <w:r w:rsidRPr="007518A2">
        <w:t xml:space="preserve"> 20120262 </w:t>
      </w:r>
      <w:r w:rsidRPr="00DD41AA">
        <w:rPr>
          <w:lang w:eastAsia="ja-JP"/>
        </w:rPr>
        <w:t xml:space="preserve">Percent </w:t>
      </w:r>
      <w:r w:rsidR="004B59F4" w:rsidRPr="00DD41AA">
        <w:rPr>
          <w:lang w:eastAsia="ja-JP"/>
        </w:rPr>
        <w:t>of subjects achieving</w:t>
      </w:r>
      <w:r w:rsidRPr="00DD41AA">
        <w:rPr>
          <w:lang w:eastAsia="ja-JP"/>
        </w:rPr>
        <w:t xml:space="preserve"> ACR20 by </w:t>
      </w:r>
      <w:r w:rsidR="004B59F4">
        <w:rPr>
          <w:lang w:eastAsia="ja-JP"/>
        </w:rPr>
        <w:t>t</w:t>
      </w:r>
      <w:r w:rsidRPr="00DD41AA">
        <w:rPr>
          <w:lang w:eastAsia="ja-JP"/>
        </w:rPr>
        <w:t>reatment (Full Analysis Set with LOCF)</w:t>
      </w:r>
      <w:bookmarkEnd w:id="189"/>
    </w:p>
    <w:p w14:paraId="713986FD" w14:textId="77777777" w:rsidR="007C0FDC" w:rsidRDefault="007C0FDC" w:rsidP="007C0FDC">
      <w:pPr>
        <w:rPr>
          <w:lang w:eastAsia="ja-JP"/>
        </w:rPr>
      </w:pPr>
      <w:r>
        <w:rPr>
          <w:noProof/>
          <w:lang w:eastAsia="en-AU"/>
        </w:rPr>
        <w:drawing>
          <wp:inline distT="0" distB="0" distL="0" distR="0" wp14:anchorId="4EF621A3" wp14:editId="53754361">
            <wp:extent cx="4890298" cy="2691114"/>
            <wp:effectExtent l="0" t="0" r="5715" b="0"/>
            <wp:docPr id="31" name="Picture 31" descr="Figure 5: Study 20120262: Percent of Subjects Achieving ACR20 by Treatment (Full Analysis Set with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890311" cy="2691121"/>
                    </a:xfrm>
                    <a:prstGeom prst="rect">
                      <a:avLst/>
                    </a:prstGeom>
                    <a:noFill/>
                    <a:ln>
                      <a:noFill/>
                    </a:ln>
                  </pic:spPr>
                </pic:pic>
              </a:graphicData>
            </a:graphic>
          </wp:inline>
        </w:drawing>
      </w:r>
    </w:p>
    <w:p w14:paraId="46FC860E" w14:textId="1968927C" w:rsidR="007C0FDC" w:rsidRPr="00C14536" w:rsidRDefault="007C0FDC" w:rsidP="007C0FDC">
      <w:pPr>
        <w:pStyle w:val="Heading6"/>
      </w:pPr>
      <w:r w:rsidRPr="00C14536">
        <w:t xml:space="preserve">Secondary endpoint: Change from </w:t>
      </w:r>
      <w:r w:rsidR="004B59F4">
        <w:t>B</w:t>
      </w:r>
      <w:r w:rsidR="004B59F4" w:rsidRPr="00C14536">
        <w:t xml:space="preserve">aseline </w:t>
      </w:r>
      <w:r w:rsidRPr="00C14536">
        <w:t>of the DAS28-CRP</w:t>
      </w:r>
    </w:p>
    <w:p w14:paraId="60AFA186" w14:textId="77777777" w:rsidR="007C0FDC" w:rsidRDefault="007C0FDC" w:rsidP="007C0FDC">
      <w:pPr>
        <w:rPr>
          <w:lang w:eastAsia="ja-JP"/>
        </w:rPr>
      </w:pPr>
      <w:r w:rsidRPr="00D33743">
        <w:rPr>
          <w:lang w:eastAsia="ja-JP"/>
        </w:rPr>
        <w:t>Disease Activity Score 28-CRP (DAS28-CRP) was measure</w:t>
      </w:r>
      <w:r>
        <w:rPr>
          <w:lang w:eastAsia="ja-JP"/>
        </w:rPr>
        <w:t>d</w:t>
      </w:r>
      <w:r w:rsidRPr="00D33743">
        <w:rPr>
          <w:lang w:eastAsia="ja-JP"/>
        </w:rPr>
        <w:t xml:space="preserve"> </w:t>
      </w:r>
      <w:r>
        <w:rPr>
          <w:lang w:eastAsia="ja-JP"/>
        </w:rPr>
        <w:t>at Weeks 2,</w:t>
      </w:r>
      <w:r w:rsidRPr="00D33743">
        <w:rPr>
          <w:lang w:eastAsia="ja-JP"/>
        </w:rPr>
        <w:t xml:space="preserve"> 4, 8, 12, 18, and 24</w:t>
      </w:r>
      <w:r>
        <w:rPr>
          <w:lang w:eastAsia="ja-JP"/>
        </w:rPr>
        <w:t xml:space="preserve">. </w:t>
      </w:r>
      <w:r w:rsidRPr="00D33743">
        <w:rPr>
          <w:lang w:eastAsia="ja-JP"/>
        </w:rPr>
        <w:t xml:space="preserve">The </w:t>
      </w:r>
      <w:r>
        <w:rPr>
          <w:lang w:eastAsia="ja-JP"/>
        </w:rPr>
        <w:t>mean scores</w:t>
      </w:r>
      <w:r w:rsidRPr="00D33743">
        <w:rPr>
          <w:lang w:eastAsia="ja-JP"/>
        </w:rPr>
        <w:t xml:space="preserve"> were similar between the treatme</w:t>
      </w:r>
      <w:r>
        <w:rPr>
          <w:lang w:eastAsia="ja-JP"/>
        </w:rPr>
        <w:t>nt groups over the study period. As expected, the mean scores decreased over time in both treatment groups. All the 90% CIs and all 95% CIs were within the pre-defined equivalence margin of (-0.6, 0.6) set by the sponsor. All 90% CIs and all 95% CIs included 0. The mean scores are shown in Table 18.</w:t>
      </w:r>
    </w:p>
    <w:p w14:paraId="4CD474BC" w14:textId="219716D8" w:rsidR="007C0FDC" w:rsidRPr="005709AF" w:rsidRDefault="007C0FDC" w:rsidP="004B59F4">
      <w:pPr>
        <w:pStyle w:val="Tabletitle"/>
        <w:rPr>
          <w:lang w:eastAsia="ja-JP"/>
        </w:rPr>
      </w:pPr>
      <w:bookmarkStart w:id="190" w:name="_Ref458793591"/>
      <w:bookmarkStart w:id="191" w:name="_Toc471285609"/>
      <w:r w:rsidRPr="005709AF">
        <w:lastRenderedPageBreak/>
        <w:t>Table</w:t>
      </w:r>
      <w:r>
        <w:t xml:space="preserve"> 18:</w:t>
      </w:r>
      <w:bookmarkEnd w:id="190"/>
      <w:r w:rsidRPr="005709AF">
        <w:t xml:space="preserve"> </w:t>
      </w:r>
      <w:r w:rsidRPr="005709AF">
        <w:rPr>
          <w:lang w:eastAsia="ja-JP"/>
        </w:rPr>
        <w:t xml:space="preserve">Study 20120262 Difference between treatment groups in the mean change from </w:t>
      </w:r>
      <w:r w:rsidR="004B59F4">
        <w:rPr>
          <w:lang w:eastAsia="ja-JP"/>
        </w:rPr>
        <w:t>B</w:t>
      </w:r>
      <w:r w:rsidR="004B59F4" w:rsidRPr="005709AF">
        <w:rPr>
          <w:lang w:eastAsia="ja-JP"/>
        </w:rPr>
        <w:t xml:space="preserve">aseline </w:t>
      </w:r>
      <w:r w:rsidRPr="005709AF">
        <w:rPr>
          <w:lang w:eastAsia="ja-JP"/>
        </w:rPr>
        <w:t>in DAS28-CRP</w:t>
      </w:r>
      <w:r>
        <w:rPr>
          <w:lang w:eastAsia="ja-JP"/>
        </w:rPr>
        <w:t xml:space="preserve"> (Full Analysis Set)</w:t>
      </w:r>
      <w:bookmarkEnd w:id="191"/>
    </w:p>
    <w:tbl>
      <w:tblPr>
        <w:tblStyle w:val="TableTGAblue"/>
        <w:tblW w:w="5000" w:type="pct"/>
        <w:tblLook w:val="04A0" w:firstRow="1" w:lastRow="0" w:firstColumn="1" w:lastColumn="0" w:noHBand="0" w:noVBand="1"/>
      </w:tblPr>
      <w:tblGrid>
        <w:gridCol w:w="1458"/>
        <w:gridCol w:w="4410"/>
        <w:gridCol w:w="1710"/>
        <w:gridCol w:w="1664"/>
      </w:tblGrid>
      <w:tr w:rsidR="004B59F4" w:rsidRPr="00B4636B" w14:paraId="1F8150A1" w14:textId="77777777" w:rsidTr="00AA7D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9" w:type="pct"/>
          </w:tcPr>
          <w:p w14:paraId="0D8F2F16" w14:textId="77777777" w:rsidR="007C0FDC" w:rsidRPr="00AA7D1C" w:rsidRDefault="007C0FDC" w:rsidP="00AA7D1C">
            <w:pPr>
              <w:keepNext/>
            </w:pPr>
            <w:r w:rsidRPr="00AA7D1C">
              <w:rPr>
                <w:lang w:eastAsia="en-US"/>
              </w:rPr>
              <w:t>Week</w:t>
            </w:r>
          </w:p>
        </w:tc>
        <w:tc>
          <w:tcPr>
            <w:tcW w:w="2386" w:type="pct"/>
          </w:tcPr>
          <w:p w14:paraId="490E09DA" w14:textId="0144D975" w:rsidR="007C0FDC" w:rsidRPr="00AA7D1C" w:rsidRDefault="007C0FDC" w:rsidP="00AA7D1C">
            <w:pPr>
              <w:keepNext/>
              <w:ind w:left="0"/>
              <w:cnfStyle w:val="100000000000" w:firstRow="1" w:lastRow="0" w:firstColumn="0" w:lastColumn="0" w:oddVBand="0" w:evenVBand="0" w:oddHBand="0" w:evenHBand="0" w:firstRowFirstColumn="0" w:firstRowLastColumn="0" w:lastRowFirstColumn="0" w:lastRowLastColumn="0"/>
            </w:pPr>
            <w:r w:rsidRPr="00AA7D1C">
              <w:rPr>
                <w:lang w:eastAsia="en-US"/>
              </w:rPr>
              <w:t xml:space="preserve">Mean score difference between </w:t>
            </w:r>
            <w:r w:rsidR="00FC5128">
              <w:rPr>
                <w:lang w:eastAsia="en-US"/>
              </w:rPr>
              <w:t>ABP 501</w:t>
            </w:r>
            <w:r w:rsidRPr="00AA7D1C">
              <w:rPr>
                <w:lang w:eastAsia="en-US"/>
              </w:rPr>
              <w:t xml:space="preserve"> and adalimumab groups</w:t>
            </w:r>
          </w:p>
        </w:tc>
        <w:tc>
          <w:tcPr>
            <w:tcW w:w="925" w:type="pct"/>
          </w:tcPr>
          <w:p w14:paraId="3A9CC624" w14:textId="77777777" w:rsidR="007C0FDC" w:rsidRPr="00AA7D1C" w:rsidRDefault="007C0FDC" w:rsidP="00AA7D1C">
            <w:pPr>
              <w:keepNext/>
              <w:cnfStyle w:val="100000000000" w:firstRow="1" w:lastRow="0" w:firstColumn="0" w:lastColumn="0" w:oddVBand="0" w:evenVBand="0" w:oddHBand="0" w:evenHBand="0" w:firstRowFirstColumn="0" w:firstRowLastColumn="0" w:lastRowFirstColumn="0" w:lastRowLastColumn="0"/>
            </w:pPr>
            <w:r w:rsidRPr="00AA7D1C">
              <w:rPr>
                <w:lang w:eastAsia="en-US"/>
              </w:rPr>
              <w:t>90% CI</w:t>
            </w:r>
          </w:p>
        </w:tc>
        <w:tc>
          <w:tcPr>
            <w:tcW w:w="900" w:type="pct"/>
          </w:tcPr>
          <w:p w14:paraId="2B6A13AB" w14:textId="77777777" w:rsidR="007C0FDC" w:rsidRPr="00AA7D1C" w:rsidRDefault="007C0FDC" w:rsidP="00AA7D1C">
            <w:pPr>
              <w:keepNext/>
              <w:cnfStyle w:val="100000000000" w:firstRow="1" w:lastRow="0" w:firstColumn="0" w:lastColumn="0" w:oddVBand="0" w:evenVBand="0" w:oddHBand="0" w:evenHBand="0" w:firstRowFirstColumn="0" w:firstRowLastColumn="0" w:lastRowFirstColumn="0" w:lastRowLastColumn="0"/>
            </w:pPr>
            <w:r w:rsidRPr="00AA7D1C">
              <w:rPr>
                <w:lang w:eastAsia="en-US"/>
              </w:rPr>
              <w:t>95% CI</w:t>
            </w:r>
          </w:p>
        </w:tc>
      </w:tr>
      <w:tr w:rsidR="004B59F4" w14:paraId="41766725"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3EFEEB3C" w14:textId="77777777" w:rsidR="007C0FDC" w:rsidRPr="00AA7D1C" w:rsidRDefault="007C0FDC" w:rsidP="00AA7D1C">
            <w:pPr>
              <w:keepNext/>
            </w:pPr>
            <w:r w:rsidRPr="00AA7D1C">
              <w:rPr>
                <w:lang w:eastAsia="en-US"/>
              </w:rPr>
              <w:t>Week 2</w:t>
            </w:r>
          </w:p>
        </w:tc>
        <w:tc>
          <w:tcPr>
            <w:tcW w:w="2386" w:type="pct"/>
          </w:tcPr>
          <w:p w14:paraId="54931FDB"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-0.05</w:t>
            </w:r>
          </w:p>
        </w:tc>
        <w:tc>
          <w:tcPr>
            <w:tcW w:w="925" w:type="pct"/>
          </w:tcPr>
          <w:p w14:paraId="2B3A0434"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-0.18, 0.08</w:t>
            </w:r>
          </w:p>
        </w:tc>
        <w:tc>
          <w:tcPr>
            <w:tcW w:w="900" w:type="pct"/>
          </w:tcPr>
          <w:p w14:paraId="6BC00B17"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-0.20, 0.10</w:t>
            </w:r>
          </w:p>
        </w:tc>
      </w:tr>
      <w:tr w:rsidR="004B59F4" w14:paraId="7EA09A2D"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765FBE98" w14:textId="77777777" w:rsidR="007C0FDC" w:rsidRPr="00AA7D1C" w:rsidRDefault="007C0FDC" w:rsidP="00AA7D1C">
            <w:pPr>
              <w:keepNext/>
            </w:pPr>
            <w:r w:rsidRPr="00AA7D1C">
              <w:rPr>
                <w:lang w:eastAsia="en-US"/>
              </w:rPr>
              <w:t>Week 4</w:t>
            </w:r>
          </w:p>
        </w:tc>
        <w:tc>
          <w:tcPr>
            <w:tcW w:w="2386" w:type="pct"/>
          </w:tcPr>
          <w:p w14:paraId="521FCA59"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-0.02</w:t>
            </w:r>
          </w:p>
        </w:tc>
        <w:tc>
          <w:tcPr>
            <w:tcW w:w="925" w:type="pct"/>
          </w:tcPr>
          <w:p w14:paraId="28A29F5C"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-0.17, 0.12</w:t>
            </w:r>
          </w:p>
        </w:tc>
        <w:tc>
          <w:tcPr>
            <w:tcW w:w="900" w:type="pct"/>
          </w:tcPr>
          <w:p w14:paraId="01C85CE6"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-0.20, 0.15</w:t>
            </w:r>
          </w:p>
        </w:tc>
      </w:tr>
      <w:tr w:rsidR="004B59F4" w14:paraId="7D3F89D2"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72479A25" w14:textId="77777777" w:rsidR="007C0FDC" w:rsidRPr="00AA7D1C" w:rsidRDefault="007C0FDC" w:rsidP="00AA7D1C">
            <w:pPr>
              <w:keepNext/>
            </w:pPr>
            <w:r w:rsidRPr="00AA7D1C">
              <w:rPr>
                <w:lang w:eastAsia="en-US"/>
              </w:rPr>
              <w:t>Week 8</w:t>
            </w:r>
          </w:p>
        </w:tc>
        <w:tc>
          <w:tcPr>
            <w:tcW w:w="2386" w:type="pct"/>
          </w:tcPr>
          <w:p w14:paraId="3FF180A4"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-0.08</w:t>
            </w:r>
          </w:p>
        </w:tc>
        <w:tc>
          <w:tcPr>
            <w:tcW w:w="925" w:type="pct"/>
          </w:tcPr>
          <w:p w14:paraId="2EE0EF84"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-0.24, 0.08</w:t>
            </w:r>
          </w:p>
        </w:tc>
        <w:tc>
          <w:tcPr>
            <w:tcW w:w="900" w:type="pct"/>
          </w:tcPr>
          <w:p w14:paraId="06516FED"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-0.27, 0.11</w:t>
            </w:r>
          </w:p>
        </w:tc>
      </w:tr>
      <w:tr w:rsidR="004B59F4" w14:paraId="29DE9608"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09973C5F" w14:textId="77777777" w:rsidR="007C0FDC" w:rsidRPr="00AA7D1C" w:rsidRDefault="007C0FDC" w:rsidP="00AA7D1C">
            <w:pPr>
              <w:keepNext/>
            </w:pPr>
            <w:r w:rsidRPr="00AA7D1C">
              <w:rPr>
                <w:lang w:eastAsia="en-US"/>
              </w:rPr>
              <w:t>Week 12</w:t>
            </w:r>
          </w:p>
        </w:tc>
        <w:tc>
          <w:tcPr>
            <w:tcW w:w="2386" w:type="pct"/>
          </w:tcPr>
          <w:p w14:paraId="09F3BE64"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-0.09</w:t>
            </w:r>
          </w:p>
        </w:tc>
        <w:tc>
          <w:tcPr>
            <w:tcW w:w="925" w:type="pct"/>
          </w:tcPr>
          <w:p w14:paraId="66DBA671"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-0.26, 0.07</w:t>
            </w:r>
          </w:p>
        </w:tc>
        <w:tc>
          <w:tcPr>
            <w:tcW w:w="900" w:type="pct"/>
          </w:tcPr>
          <w:p w14:paraId="138D2C06"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-0.29, 0.10</w:t>
            </w:r>
          </w:p>
        </w:tc>
      </w:tr>
      <w:tr w:rsidR="004B59F4" w14:paraId="60833011"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5B2E7F0E" w14:textId="77777777" w:rsidR="007C0FDC" w:rsidRPr="00AA7D1C" w:rsidRDefault="007C0FDC" w:rsidP="00AA7D1C">
            <w:pPr>
              <w:keepNext/>
            </w:pPr>
            <w:r w:rsidRPr="00AA7D1C">
              <w:rPr>
                <w:lang w:eastAsia="en-US"/>
              </w:rPr>
              <w:t>Week 18</w:t>
            </w:r>
          </w:p>
        </w:tc>
        <w:tc>
          <w:tcPr>
            <w:tcW w:w="2386" w:type="pct"/>
          </w:tcPr>
          <w:p w14:paraId="21CD273C"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-0.09</w:t>
            </w:r>
          </w:p>
        </w:tc>
        <w:tc>
          <w:tcPr>
            <w:tcW w:w="925" w:type="pct"/>
          </w:tcPr>
          <w:p w14:paraId="5666F8E5"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-0.25, 0.08</w:t>
            </w:r>
          </w:p>
        </w:tc>
        <w:tc>
          <w:tcPr>
            <w:tcW w:w="900" w:type="pct"/>
          </w:tcPr>
          <w:p w14:paraId="476749B3"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-0.29, 0.12</w:t>
            </w:r>
          </w:p>
        </w:tc>
      </w:tr>
      <w:tr w:rsidR="004B59F4" w14:paraId="08BDE1C7" w14:textId="77777777" w:rsidTr="00AA7D1C">
        <w:tc>
          <w:tcPr>
            <w:cnfStyle w:val="001000000000" w:firstRow="0" w:lastRow="0" w:firstColumn="1" w:lastColumn="0" w:oddVBand="0" w:evenVBand="0" w:oddHBand="0" w:evenHBand="0" w:firstRowFirstColumn="0" w:firstRowLastColumn="0" w:lastRowFirstColumn="0" w:lastRowLastColumn="0"/>
            <w:tcW w:w="789" w:type="pct"/>
          </w:tcPr>
          <w:p w14:paraId="23D7E66D" w14:textId="77777777" w:rsidR="007C0FDC" w:rsidRPr="00AA7D1C" w:rsidRDefault="007C0FDC" w:rsidP="00AA7D1C">
            <w:pPr>
              <w:keepNext/>
            </w:pPr>
            <w:r w:rsidRPr="00AA7D1C">
              <w:rPr>
                <w:lang w:eastAsia="en-US"/>
              </w:rPr>
              <w:t>Week 24</w:t>
            </w:r>
          </w:p>
        </w:tc>
        <w:tc>
          <w:tcPr>
            <w:tcW w:w="2386" w:type="pct"/>
          </w:tcPr>
          <w:p w14:paraId="2CAFACCE"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-0.01</w:t>
            </w:r>
          </w:p>
        </w:tc>
        <w:tc>
          <w:tcPr>
            <w:tcW w:w="925" w:type="pct"/>
          </w:tcPr>
          <w:p w14:paraId="6A852011"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-0.18, 0.17</w:t>
            </w:r>
          </w:p>
        </w:tc>
        <w:tc>
          <w:tcPr>
            <w:tcW w:w="900" w:type="pct"/>
          </w:tcPr>
          <w:p w14:paraId="102C2616" w14:textId="77777777" w:rsidR="007C0FDC" w:rsidRPr="00AA7D1C" w:rsidRDefault="007C0FDC" w:rsidP="00AA7D1C">
            <w:pPr>
              <w:keepNext/>
              <w:cnfStyle w:val="000000000000" w:firstRow="0" w:lastRow="0" w:firstColumn="0" w:lastColumn="0" w:oddVBand="0" w:evenVBand="0" w:oddHBand="0" w:evenHBand="0" w:firstRowFirstColumn="0" w:firstRowLastColumn="0" w:lastRowFirstColumn="0" w:lastRowLastColumn="0"/>
            </w:pPr>
            <w:r w:rsidRPr="00AA7D1C">
              <w:rPr>
                <w:lang w:eastAsia="en-US"/>
              </w:rPr>
              <w:t>-0.22, 0.20</w:t>
            </w:r>
          </w:p>
        </w:tc>
      </w:tr>
    </w:tbl>
    <w:p w14:paraId="778B4337" w14:textId="77777777" w:rsidR="007C0FDC" w:rsidRDefault="007C0FDC" w:rsidP="007C11B4">
      <w:pPr>
        <w:rPr>
          <w:lang w:eastAsia="ja-JP"/>
        </w:rPr>
      </w:pPr>
      <w:r>
        <w:rPr>
          <w:lang w:eastAsia="ja-JP"/>
        </w:rPr>
        <w:t>Sensitivity analyses performed for the DAS28-CRP change from baseline (for the Per-protocol Analysis Set and the Full Analysis Set using observed values by actual treatment received) revealed similar results.</w:t>
      </w:r>
    </w:p>
    <w:p w14:paraId="349E9077" w14:textId="4742D74A" w:rsidR="007C0FDC" w:rsidRPr="00C14536" w:rsidRDefault="007C0FDC" w:rsidP="007C0FDC">
      <w:pPr>
        <w:pStyle w:val="Heading6"/>
      </w:pPr>
      <w:r w:rsidRPr="00C14536">
        <w:t xml:space="preserve">Exploratory endpoint: Subject </w:t>
      </w:r>
      <w:r w:rsidR="004B59F4" w:rsidRPr="00C14536">
        <w:t>injection site pain perception assessment</w:t>
      </w:r>
    </w:p>
    <w:p w14:paraId="4218E5E5" w14:textId="259BF332" w:rsidR="007C0FDC" w:rsidRDefault="007C0FDC" w:rsidP="007C0FDC">
      <w:pPr>
        <w:rPr>
          <w:lang w:eastAsia="ja-JP"/>
        </w:rPr>
      </w:pPr>
      <w:r>
        <w:rPr>
          <w:lang w:eastAsia="ja-JP"/>
        </w:rPr>
        <w:t xml:space="preserve">The mean injection site pain rating scores were generally lower in the ABP 501 group (mean range: 10.0-10.7 mm) compared to the adalimumab group (mean range: 16.1-21.4 mm) at each study visit. The mean pain scores in the adalimumab group appeared to decrease over the 12 weeks of measurement (from 21.4 mm at baseline to 16.1 mm at Week 12), but never reached the lower levels of the </w:t>
      </w:r>
      <w:r w:rsidR="00FC5128">
        <w:rPr>
          <w:lang w:eastAsia="ja-JP"/>
        </w:rPr>
        <w:t>ABP 501</w:t>
      </w:r>
      <w:r>
        <w:rPr>
          <w:lang w:eastAsia="ja-JP"/>
        </w:rPr>
        <w:t xml:space="preserve"> group which remained stable between 10.0 mm and 10.7 mm. The sponsor attributed the difference in pain scores between groups to the use of different excipients in </w:t>
      </w:r>
      <w:r w:rsidR="00FC5128">
        <w:rPr>
          <w:lang w:eastAsia="ja-JP"/>
        </w:rPr>
        <w:t>ABP 501</w:t>
      </w:r>
      <w:r>
        <w:rPr>
          <w:lang w:eastAsia="ja-JP"/>
        </w:rPr>
        <w:t>. Some result were converted from a 95 mm pain score to a 100 mm pain score, but a sensitivity analysis that excluded the converted scores did not show a signifi</w:t>
      </w:r>
      <w:r w:rsidR="007C11B4">
        <w:rPr>
          <w:lang w:eastAsia="ja-JP"/>
        </w:rPr>
        <w:t>cant difference in the results.</w:t>
      </w:r>
    </w:p>
    <w:p w14:paraId="503852AA" w14:textId="3E14B96C" w:rsidR="007C0FDC" w:rsidRPr="00720C51" w:rsidRDefault="004B59F4" w:rsidP="00AA7D1C">
      <w:pPr>
        <w:pStyle w:val="Comment"/>
        <w:rPr>
          <w:lang w:eastAsia="ja-JP"/>
        </w:rPr>
      </w:pPr>
      <w:r>
        <w:rPr>
          <w:b/>
          <w:lang w:eastAsia="ja-JP"/>
        </w:rPr>
        <w:t>C</w:t>
      </w:r>
      <w:r w:rsidR="007C0FDC" w:rsidRPr="004E0110">
        <w:rPr>
          <w:b/>
          <w:lang w:eastAsia="ja-JP"/>
        </w:rPr>
        <w:t>omment:</w:t>
      </w:r>
      <w:r>
        <w:rPr>
          <w:b/>
          <w:lang w:eastAsia="ja-JP"/>
        </w:rPr>
        <w:t xml:space="preserve"> </w:t>
      </w:r>
      <w:r w:rsidR="007C0FDC">
        <w:rPr>
          <w:b/>
          <w:lang w:eastAsia="ja-JP"/>
        </w:rPr>
        <w:t xml:space="preserve"> </w:t>
      </w:r>
      <w:r w:rsidR="007C0FDC">
        <w:rPr>
          <w:lang w:eastAsia="ja-JP"/>
        </w:rPr>
        <w:t>The results of the secondary efficacy endpoints are generally supportive of equivalence. The ACR20 value at Week 12 is considered to be more sensitive to detect potential differences between adalimumab and a biosimilar candidate (Lai</w:t>
      </w:r>
      <w:r>
        <w:rPr>
          <w:lang w:eastAsia="ja-JP"/>
        </w:rPr>
        <w:t> and</w:t>
      </w:r>
      <w:r w:rsidR="007C0FDC">
        <w:rPr>
          <w:lang w:eastAsia="ja-JP"/>
        </w:rPr>
        <w:t xml:space="preserve"> La </w:t>
      </w:r>
      <w:proofErr w:type="spellStart"/>
      <w:r w:rsidR="007C0FDC">
        <w:rPr>
          <w:lang w:eastAsia="ja-JP"/>
        </w:rPr>
        <w:t>Noce</w:t>
      </w:r>
      <w:proofErr w:type="spellEnd"/>
      <w:r w:rsidR="007C0FDC">
        <w:rPr>
          <w:lang w:eastAsia="ja-JP"/>
        </w:rPr>
        <w:t>, 2016). The Week 12 value is not available in the sensitivity analysis, but the Week 8 value supports equivalence as well (RR</w:t>
      </w:r>
      <w:r>
        <w:rPr>
          <w:lang w:eastAsia="ja-JP"/>
        </w:rPr>
        <w:t xml:space="preserve"> </w:t>
      </w:r>
      <w:r w:rsidR="007C0FDC">
        <w:rPr>
          <w:lang w:eastAsia="ja-JP"/>
        </w:rPr>
        <w:t>=</w:t>
      </w:r>
      <w:r>
        <w:rPr>
          <w:lang w:eastAsia="ja-JP"/>
        </w:rPr>
        <w:t xml:space="preserve"> </w:t>
      </w:r>
      <w:r w:rsidR="007C0FDC">
        <w:rPr>
          <w:lang w:eastAsia="ja-JP"/>
        </w:rPr>
        <w:t>1.015, 95%</w:t>
      </w:r>
      <w:r>
        <w:rPr>
          <w:lang w:eastAsia="ja-JP"/>
        </w:rPr>
        <w:t> </w:t>
      </w:r>
      <w:r w:rsidR="007C0FDC">
        <w:rPr>
          <w:lang w:eastAsia="ja-JP"/>
        </w:rPr>
        <w:t>CI:</w:t>
      </w:r>
      <w:r>
        <w:rPr>
          <w:lang w:eastAsia="ja-JP"/>
        </w:rPr>
        <w:t> </w:t>
      </w:r>
      <w:r w:rsidR="007C0FDC" w:rsidRPr="002D64CA">
        <w:rPr>
          <w:lang w:eastAsia="ja-JP"/>
        </w:rPr>
        <w:t>0.889, 1.158</w:t>
      </w:r>
      <w:r w:rsidR="007C0FDC">
        <w:rPr>
          <w:lang w:eastAsia="ja-JP"/>
        </w:rPr>
        <w:t>).</w:t>
      </w:r>
    </w:p>
    <w:p w14:paraId="1BC820BF" w14:textId="77777777" w:rsidR="007C0FDC" w:rsidRDefault="007C0FDC" w:rsidP="00CC4B62">
      <w:pPr>
        <w:pStyle w:val="Heading5"/>
      </w:pPr>
      <w:r w:rsidRPr="00EC3AE0">
        <w:t xml:space="preserve">Evaluator </w:t>
      </w:r>
      <w:r w:rsidRPr="00CC4B62">
        <w:t>commentary</w:t>
      </w:r>
    </w:p>
    <w:p w14:paraId="679D02D2" w14:textId="77777777" w:rsidR="007C0FDC" w:rsidRDefault="007C0FDC" w:rsidP="007C0FDC">
      <w:pPr>
        <w:rPr>
          <w:lang w:eastAsia="ja-JP"/>
        </w:rPr>
      </w:pPr>
      <w:r>
        <w:rPr>
          <w:lang w:eastAsia="ja-JP"/>
        </w:rPr>
        <w:t>Evaluator’s comments are provided under each subsection and are not repeated here.</w:t>
      </w:r>
    </w:p>
    <w:p w14:paraId="0D821E6A" w14:textId="77777777" w:rsidR="007C0FDC" w:rsidRDefault="007C0FDC" w:rsidP="007C0FDC">
      <w:pPr>
        <w:pStyle w:val="Heading3"/>
        <w:numPr>
          <w:ilvl w:val="1"/>
          <w:numId w:val="5"/>
        </w:numPr>
      </w:pPr>
      <w:bookmarkStart w:id="192" w:name="_Toc470272295"/>
      <w:bookmarkStart w:id="193" w:name="_Toc509822404"/>
      <w:r>
        <w:t>Indication: Psoriasis</w:t>
      </w:r>
      <w:bookmarkEnd w:id="192"/>
      <w:bookmarkEnd w:id="193"/>
    </w:p>
    <w:p w14:paraId="53D5801B" w14:textId="77777777" w:rsidR="007C0FDC" w:rsidRPr="005632DC" w:rsidRDefault="007C0FDC" w:rsidP="007C0FDC">
      <w:pPr>
        <w:pStyle w:val="Heading4"/>
        <w:numPr>
          <w:ilvl w:val="2"/>
          <w:numId w:val="5"/>
        </w:numPr>
      </w:pPr>
      <w:bookmarkStart w:id="194" w:name="_Ref460790075"/>
      <w:r w:rsidRPr="005632DC">
        <w:t>Pivotal or main efficacy stud</w:t>
      </w:r>
      <w:bookmarkEnd w:id="160"/>
      <w:bookmarkEnd w:id="161"/>
      <w:bookmarkEnd w:id="162"/>
      <w:bookmarkEnd w:id="163"/>
      <w:bookmarkEnd w:id="164"/>
      <w:bookmarkEnd w:id="165"/>
      <w:bookmarkEnd w:id="166"/>
      <w:r>
        <w:t xml:space="preserve">y: Study </w:t>
      </w:r>
      <w:r w:rsidRPr="00C12936">
        <w:t>20120263</w:t>
      </w:r>
      <w:bookmarkEnd w:id="194"/>
    </w:p>
    <w:p w14:paraId="40A05D1B" w14:textId="77777777" w:rsidR="007C0FDC" w:rsidRPr="005632DC" w:rsidRDefault="007C0FDC" w:rsidP="00CC4B62">
      <w:pPr>
        <w:pStyle w:val="Heading5"/>
      </w:pPr>
      <w:r w:rsidRPr="005632DC">
        <w:t xml:space="preserve">Study design, </w:t>
      </w:r>
      <w:r w:rsidRPr="00CC4B62">
        <w:t>objectives</w:t>
      </w:r>
      <w:r w:rsidRPr="005632DC">
        <w:t>, locations and dates</w:t>
      </w:r>
    </w:p>
    <w:p w14:paraId="6320B1B8" w14:textId="77777777" w:rsidR="007C0FDC" w:rsidRDefault="007C0FDC" w:rsidP="007C0FDC">
      <w:pPr>
        <w:pStyle w:val="Heading6"/>
      </w:pPr>
      <w:r>
        <w:t>Design</w:t>
      </w:r>
    </w:p>
    <w:p w14:paraId="784EC2AC" w14:textId="77777777" w:rsidR="007C0FDC" w:rsidRDefault="007C0FDC" w:rsidP="007C0FDC">
      <w:pPr>
        <w:rPr>
          <w:lang w:eastAsia="ja-JP"/>
        </w:rPr>
      </w:pPr>
      <w:r>
        <w:rPr>
          <w:lang w:eastAsia="ja-JP"/>
        </w:rPr>
        <w:t xml:space="preserve">Study 20120263 was </w:t>
      </w:r>
      <w:r w:rsidRPr="00527ABE">
        <w:rPr>
          <w:lang w:eastAsia="ja-JP"/>
        </w:rPr>
        <w:t xml:space="preserve">a </w:t>
      </w:r>
      <w:r>
        <w:rPr>
          <w:lang w:eastAsia="ja-JP"/>
        </w:rPr>
        <w:t>Phase III</w:t>
      </w:r>
      <w:r w:rsidRPr="00527ABE">
        <w:rPr>
          <w:lang w:eastAsia="ja-JP"/>
        </w:rPr>
        <w:t>,</w:t>
      </w:r>
      <w:r>
        <w:rPr>
          <w:lang w:eastAsia="ja-JP"/>
        </w:rPr>
        <w:t xml:space="preserve"> double-blind, randomis</w:t>
      </w:r>
      <w:r w:rsidRPr="00527ABE">
        <w:rPr>
          <w:lang w:eastAsia="ja-JP"/>
        </w:rPr>
        <w:t>ed, active comparator-controlled study in 350 subjects with moderate to severe psoriasis with no concomitant medications allowed</w:t>
      </w:r>
      <w:r>
        <w:rPr>
          <w:lang w:eastAsia="ja-JP"/>
        </w:rPr>
        <w:t xml:space="preserve"> for the treatment of psoriasis e</w:t>
      </w:r>
      <w:r w:rsidRPr="00650B0B">
        <w:rPr>
          <w:lang w:eastAsia="ja-JP"/>
        </w:rPr>
        <w:t xml:space="preserve">valuating the </w:t>
      </w:r>
      <w:r>
        <w:rPr>
          <w:lang w:eastAsia="ja-JP"/>
        </w:rPr>
        <w:t>efficacy and safety of ABP 501 compared with a</w:t>
      </w:r>
      <w:r w:rsidRPr="00650B0B">
        <w:rPr>
          <w:lang w:eastAsia="ja-JP"/>
        </w:rPr>
        <w:t>dalimumab</w:t>
      </w:r>
      <w:r>
        <w:rPr>
          <w:lang w:eastAsia="ja-JP"/>
        </w:rPr>
        <w:t xml:space="preserve"> (EU).</w:t>
      </w:r>
    </w:p>
    <w:p w14:paraId="008F30BB" w14:textId="55CF1072" w:rsidR="007C0FDC" w:rsidRPr="004F640F" w:rsidRDefault="007C0FDC" w:rsidP="007C0FDC">
      <w:pPr>
        <w:pStyle w:val="FigureTitle"/>
      </w:pPr>
      <w:bookmarkStart w:id="195" w:name="_Ref457316161"/>
      <w:bookmarkStart w:id="196" w:name="_Toc470272424"/>
      <w:proofErr w:type="gramStart"/>
      <w:r w:rsidRPr="004F640F">
        <w:lastRenderedPageBreak/>
        <w:t xml:space="preserve">Figure </w:t>
      </w:r>
      <w:bookmarkEnd w:id="195"/>
      <w:r w:rsidR="004B59F4">
        <w:t>6</w:t>
      </w:r>
      <w:r w:rsidRPr="004F640F">
        <w:t>.</w:t>
      </w:r>
      <w:proofErr w:type="gramEnd"/>
      <w:r w:rsidRPr="004F640F">
        <w:t xml:space="preserve"> </w:t>
      </w:r>
      <w:r>
        <w:t>Study 20120263</w:t>
      </w:r>
      <w:r w:rsidRPr="004F640F">
        <w:t xml:space="preserve"> Study design schema</w:t>
      </w:r>
      <w:bookmarkEnd w:id="196"/>
    </w:p>
    <w:p w14:paraId="104D2D4F" w14:textId="77777777" w:rsidR="007C0FDC" w:rsidRDefault="007C0FDC" w:rsidP="004B59F4">
      <w:pPr>
        <w:rPr>
          <w:lang w:eastAsia="ja-JP"/>
        </w:rPr>
      </w:pPr>
      <w:r w:rsidRPr="00A936DE">
        <w:rPr>
          <w:noProof/>
          <w:lang w:eastAsia="en-AU"/>
        </w:rPr>
        <w:drawing>
          <wp:inline distT="0" distB="0" distL="0" distR="0" wp14:anchorId="54A6BFEC" wp14:editId="1C1D98DA">
            <wp:extent cx="4826000" cy="3915434"/>
            <wp:effectExtent l="0" t="0" r="0" b="8890"/>
            <wp:docPr id="19" name="Picture 19" descr="Figure 6. Study 20120263: Study design schema.&#10;• Screening period (up to 4 weeks): Subjects were screened and randomised up to 4 weeks before drug administration.&#10;• Administration period 1 (14 weeks): Subjects received ABP 501 (Treatment Group A) or adalimumab (Treatment Group B) at an initial loading dose of 80 mg subcutaneous (SC) on Week 1/Day 1, followed by 4 mg SC every other week starting 1 week after the loading dose (that is, Week 2 and every 2 weeks thereafter).&#10;• The primary efficacy endpoint was assessed at Week 16. The subjects that showed a PASI 50 response (50% or better improvement) continued in the study until up to Week 52. Subjects without a PASI 50 response at week 16 or who missed the week 16 visit were discontinued from the study.&#10;• Administration period 2 (34 weeks): &#10;o Treatment Group A with PASI 50 response at Week 16: continued on the same regimen (ABP 501 40 mg) until Week 48&#10;o Treatment Group B with PASI 50 response at Week 16: was re-randomised and then split into 2 groups, namely:&#10;§ Treatment Group B1: continued on adalimumab 40 mg SC until Week 48.&#10;§ Treatment Group B2: switched to ABP 501 40 mg SC until Week 48.&#10;• Final efficacy assessments (Week 50).&#10;• End of study visit (Week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827965" cy="3917029"/>
                    </a:xfrm>
                    <a:prstGeom prst="rect">
                      <a:avLst/>
                    </a:prstGeom>
                    <a:noFill/>
                    <a:ln>
                      <a:noFill/>
                    </a:ln>
                  </pic:spPr>
                </pic:pic>
              </a:graphicData>
            </a:graphic>
          </wp:inline>
        </w:drawing>
      </w:r>
    </w:p>
    <w:p w14:paraId="7BCFEC17" w14:textId="77777777" w:rsidR="007C0FDC" w:rsidRPr="0094755D" w:rsidRDefault="007C0FDC" w:rsidP="007C0FDC">
      <w:pPr>
        <w:rPr>
          <w:lang w:eastAsia="ja-JP"/>
        </w:rPr>
      </w:pPr>
      <w:r w:rsidRPr="0094755D">
        <w:rPr>
          <w:lang w:eastAsia="ja-JP"/>
        </w:rPr>
        <w:t xml:space="preserve">The outline of the study design is shown in </w:t>
      </w:r>
      <w:r>
        <w:rPr>
          <w:lang w:eastAsia="ja-JP"/>
        </w:rPr>
        <w:t>Figure 6</w:t>
      </w:r>
      <w:r w:rsidRPr="0094755D">
        <w:rPr>
          <w:lang w:eastAsia="ja-JP"/>
        </w:rPr>
        <w:t>. The total duration of the study was up to 52 weeks:</w:t>
      </w:r>
    </w:p>
    <w:p w14:paraId="72A12321" w14:textId="77777777" w:rsidR="007C0FDC" w:rsidRDefault="007C0FDC" w:rsidP="007C0FDC">
      <w:pPr>
        <w:pStyle w:val="ListBullet"/>
        <w:numPr>
          <w:ilvl w:val="0"/>
          <w:numId w:val="1"/>
        </w:numPr>
        <w:rPr>
          <w:lang w:eastAsia="ja-JP"/>
        </w:rPr>
      </w:pPr>
      <w:r w:rsidRPr="00AA7D1C">
        <w:rPr>
          <w:i/>
          <w:lang w:eastAsia="ja-JP"/>
        </w:rPr>
        <w:t>Screening period (up to 4 weeks):</w:t>
      </w:r>
      <w:r w:rsidRPr="001F1739">
        <w:rPr>
          <w:lang w:eastAsia="ja-JP"/>
        </w:rPr>
        <w:t xml:space="preserve"> Subjects were screened and randomised up to 4 weeks before drug administration.</w:t>
      </w:r>
    </w:p>
    <w:p w14:paraId="2ACD9975" w14:textId="77777777" w:rsidR="007C0FDC" w:rsidRDefault="007C0FDC" w:rsidP="007C0FDC">
      <w:pPr>
        <w:pStyle w:val="ListBullet"/>
        <w:numPr>
          <w:ilvl w:val="0"/>
          <w:numId w:val="1"/>
        </w:numPr>
        <w:rPr>
          <w:lang w:eastAsia="ja-JP"/>
        </w:rPr>
      </w:pPr>
      <w:r w:rsidRPr="00AA7D1C">
        <w:rPr>
          <w:i/>
          <w:lang w:eastAsia="ja-JP"/>
        </w:rPr>
        <w:t>Administration period 1 (14 weeks):</w:t>
      </w:r>
      <w:r w:rsidRPr="001C052A">
        <w:rPr>
          <w:lang w:eastAsia="ja-JP"/>
        </w:rPr>
        <w:t xml:space="preserve"> Subjects received ABP 501 </w:t>
      </w:r>
      <w:r>
        <w:rPr>
          <w:lang w:eastAsia="ja-JP"/>
        </w:rPr>
        <w:t>(</w:t>
      </w:r>
      <w:r w:rsidRPr="00AA7D1C">
        <w:rPr>
          <w:lang w:eastAsia="ja-JP"/>
        </w:rPr>
        <w:t>Treatment Group A</w:t>
      </w:r>
      <w:r>
        <w:rPr>
          <w:lang w:eastAsia="ja-JP"/>
        </w:rPr>
        <w:t xml:space="preserve">) </w:t>
      </w:r>
      <w:r w:rsidRPr="001C052A">
        <w:rPr>
          <w:lang w:eastAsia="ja-JP"/>
        </w:rPr>
        <w:t xml:space="preserve">or adalimumab </w:t>
      </w:r>
      <w:r>
        <w:rPr>
          <w:lang w:eastAsia="ja-JP"/>
        </w:rPr>
        <w:t>(</w:t>
      </w:r>
      <w:r w:rsidRPr="00AA7D1C">
        <w:rPr>
          <w:lang w:eastAsia="ja-JP"/>
        </w:rPr>
        <w:t>Treatment Group B</w:t>
      </w:r>
      <w:r w:rsidRPr="00A714D9">
        <w:rPr>
          <w:lang w:eastAsia="ja-JP"/>
        </w:rPr>
        <w:t>)</w:t>
      </w:r>
      <w:r>
        <w:rPr>
          <w:lang w:eastAsia="ja-JP"/>
        </w:rPr>
        <w:t xml:space="preserve"> </w:t>
      </w:r>
      <w:r w:rsidRPr="001C052A">
        <w:rPr>
          <w:lang w:eastAsia="ja-JP"/>
        </w:rPr>
        <w:t xml:space="preserve">at an initial loading dose of </w:t>
      </w:r>
      <w:r>
        <w:rPr>
          <w:lang w:eastAsia="ja-JP"/>
        </w:rPr>
        <w:t xml:space="preserve">80 mg subcutaneous (SC) on Week 1/Day 1, followed by 4 </w:t>
      </w:r>
      <w:r w:rsidRPr="003F7E96">
        <w:rPr>
          <w:lang w:eastAsia="ja-JP"/>
        </w:rPr>
        <w:t>mg SC every other week startin</w:t>
      </w:r>
      <w:r>
        <w:rPr>
          <w:lang w:eastAsia="ja-JP"/>
        </w:rPr>
        <w:t xml:space="preserve">g 1 week after the loading dose </w:t>
      </w:r>
      <w:r w:rsidRPr="003F7E96">
        <w:rPr>
          <w:lang w:eastAsia="ja-JP"/>
        </w:rPr>
        <w:t>(</w:t>
      </w:r>
      <w:r>
        <w:rPr>
          <w:lang w:eastAsia="ja-JP"/>
        </w:rPr>
        <w:t>that is, W</w:t>
      </w:r>
      <w:r w:rsidRPr="003F7E96">
        <w:rPr>
          <w:lang w:eastAsia="ja-JP"/>
        </w:rPr>
        <w:t>eek 2 and every 2 weeks thereafter).</w:t>
      </w:r>
    </w:p>
    <w:p w14:paraId="2C84E9B5" w14:textId="77777777" w:rsidR="007C0FDC" w:rsidRDefault="007C0FDC" w:rsidP="007C0FDC">
      <w:pPr>
        <w:pStyle w:val="ListBullet"/>
        <w:numPr>
          <w:ilvl w:val="0"/>
          <w:numId w:val="1"/>
        </w:numPr>
        <w:rPr>
          <w:lang w:eastAsia="ja-JP"/>
        </w:rPr>
      </w:pPr>
      <w:r w:rsidRPr="00905BD7">
        <w:rPr>
          <w:lang w:eastAsia="ja-JP"/>
        </w:rPr>
        <w:t>The primary efficacy endpoint was assessed at Week 16.</w:t>
      </w:r>
      <w:r>
        <w:rPr>
          <w:lang w:eastAsia="ja-JP"/>
        </w:rPr>
        <w:t xml:space="preserve"> The s</w:t>
      </w:r>
      <w:r w:rsidRPr="00CB77C2">
        <w:rPr>
          <w:lang w:eastAsia="ja-JP"/>
        </w:rPr>
        <w:t xml:space="preserve">ubjects </w:t>
      </w:r>
      <w:r>
        <w:rPr>
          <w:lang w:eastAsia="ja-JP"/>
        </w:rPr>
        <w:t>that showed</w:t>
      </w:r>
      <w:r w:rsidRPr="00CB77C2">
        <w:rPr>
          <w:lang w:eastAsia="ja-JP"/>
        </w:rPr>
        <w:t xml:space="preserve"> a PASI 50 response (50% or better improvement) continued </w:t>
      </w:r>
      <w:r>
        <w:rPr>
          <w:lang w:eastAsia="ja-JP"/>
        </w:rPr>
        <w:t>in the</w:t>
      </w:r>
      <w:r w:rsidRPr="00CB77C2">
        <w:rPr>
          <w:lang w:eastAsia="ja-JP"/>
        </w:rPr>
        <w:t xml:space="preserve"> study </w:t>
      </w:r>
      <w:r>
        <w:rPr>
          <w:lang w:eastAsia="ja-JP"/>
        </w:rPr>
        <w:t>until up to Week 52</w:t>
      </w:r>
      <w:r w:rsidRPr="00CB77C2">
        <w:rPr>
          <w:lang w:eastAsia="ja-JP"/>
        </w:rPr>
        <w:t>.</w:t>
      </w:r>
      <w:r>
        <w:rPr>
          <w:lang w:eastAsia="ja-JP"/>
        </w:rPr>
        <w:t xml:space="preserve"> Subjects without a PASI 50 response at Week 16 or who missed the week 16 visit were discontinued from the study.</w:t>
      </w:r>
    </w:p>
    <w:p w14:paraId="0206942F" w14:textId="3BC64842" w:rsidR="007C0FDC" w:rsidRPr="00AA7D1C" w:rsidRDefault="007C0FDC" w:rsidP="007C0FDC">
      <w:pPr>
        <w:pStyle w:val="ListBullet"/>
        <w:numPr>
          <w:ilvl w:val="0"/>
          <w:numId w:val="1"/>
        </w:numPr>
        <w:rPr>
          <w:i/>
          <w:lang w:eastAsia="ja-JP"/>
        </w:rPr>
      </w:pPr>
      <w:r w:rsidRPr="00AA7D1C">
        <w:rPr>
          <w:i/>
          <w:lang w:eastAsia="ja-JP"/>
        </w:rPr>
        <w:t>Administration period 2 (34 weeks):</w:t>
      </w:r>
    </w:p>
    <w:p w14:paraId="516F70DE" w14:textId="1B24C2C9" w:rsidR="007C0FDC" w:rsidRDefault="007C0FDC" w:rsidP="007C0FDC">
      <w:pPr>
        <w:pStyle w:val="ListBullet2"/>
        <w:numPr>
          <w:ilvl w:val="1"/>
          <w:numId w:val="1"/>
        </w:numPr>
        <w:rPr>
          <w:lang w:eastAsia="ja-JP"/>
        </w:rPr>
      </w:pPr>
      <w:r w:rsidRPr="00AA7D1C">
        <w:rPr>
          <w:lang w:eastAsia="ja-JP"/>
        </w:rPr>
        <w:t>Treatment Group A</w:t>
      </w:r>
      <w:r w:rsidRPr="00195E0E">
        <w:rPr>
          <w:lang w:eastAsia="ja-JP"/>
        </w:rPr>
        <w:t xml:space="preserve"> with PASI</w:t>
      </w:r>
      <w:r>
        <w:rPr>
          <w:lang w:eastAsia="ja-JP"/>
        </w:rPr>
        <w:t xml:space="preserve"> </w:t>
      </w:r>
      <w:r w:rsidRPr="00195E0E">
        <w:rPr>
          <w:lang w:eastAsia="ja-JP"/>
        </w:rPr>
        <w:t>50 response</w:t>
      </w:r>
      <w:r>
        <w:rPr>
          <w:lang w:eastAsia="ja-JP"/>
        </w:rPr>
        <w:t xml:space="preserve"> at Week 16</w:t>
      </w:r>
      <w:r w:rsidRPr="00195E0E">
        <w:rPr>
          <w:lang w:eastAsia="ja-JP"/>
        </w:rPr>
        <w:t xml:space="preserve">: </w:t>
      </w:r>
      <w:r>
        <w:rPr>
          <w:lang w:eastAsia="ja-JP"/>
        </w:rPr>
        <w:t>continued on the same regimen (ABP 501 40 mg) until Week 48</w:t>
      </w:r>
      <w:r w:rsidR="007E4EC2">
        <w:rPr>
          <w:lang w:eastAsia="ja-JP"/>
        </w:rPr>
        <w:t>.</w:t>
      </w:r>
    </w:p>
    <w:p w14:paraId="3B49CB6B" w14:textId="77777777" w:rsidR="007C0FDC" w:rsidRDefault="007C0FDC" w:rsidP="007C0FDC">
      <w:pPr>
        <w:pStyle w:val="ListBullet2"/>
        <w:numPr>
          <w:ilvl w:val="1"/>
          <w:numId w:val="1"/>
        </w:numPr>
        <w:rPr>
          <w:lang w:eastAsia="ja-JP"/>
        </w:rPr>
      </w:pPr>
      <w:r w:rsidRPr="00AA7D1C">
        <w:rPr>
          <w:lang w:eastAsia="ja-JP"/>
        </w:rPr>
        <w:t>Treatment Group B</w:t>
      </w:r>
      <w:r w:rsidRPr="00195E0E">
        <w:rPr>
          <w:lang w:eastAsia="ja-JP"/>
        </w:rPr>
        <w:t xml:space="preserve"> with PASI</w:t>
      </w:r>
      <w:r>
        <w:rPr>
          <w:lang w:eastAsia="ja-JP"/>
        </w:rPr>
        <w:t xml:space="preserve"> </w:t>
      </w:r>
      <w:r w:rsidRPr="00195E0E">
        <w:rPr>
          <w:lang w:eastAsia="ja-JP"/>
        </w:rPr>
        <w:t>50 response</w:t>
      </w:r>
      <w:r>
        <w:rPr>
          <w:lang w:eastAsia="ja-JP"/>
        </w:rPr>
        <w:t xml:space="preserve"> at Week 16</w:t>
      </w:r>
      <w:r w:rsidRPr="00195E0E">
        <w:rPr>
          <w:lang w:eastAsia="ja-JP"/>
        </w:rPr>
        <w:t xml:space="preserve">: </w:t>
      </w:r>
      <w:r>
        <w:rPr>
          <w:lang w:eastAsia="ja-JP"/>
        </w:rPr>
        <w:t>was re-randomised and then split into 2 groups, namely:</w:t>
      </w:r>
    </w:p>
    <w:p w14:paraId="190D9F64" w14:textId="77777777" w:rsidR="007C0FDC" w:rsidRPr="007E4EC2" w:rsidRDefault="007C0FDC" w:rsidP="007C0FDC">
      <w:pPr>
        <w:pStyle w:val="ListBullet3"/>
        <w:numPr>
          <w:ilvl w:val="2"/>
          <w:numId w:val="1"/>
        </w:numPr>
        <w:rPr>
          <w:lang w:eastAsia="ja-JP"/>
        </w:rPr>
      </w:pPr>
      <w:r w:rsidRPr="00AA7D1C">
        <w:rPr>
          <w:lang w:eastAsia="ja-JP"/>
        </w:rPr>
        <w:t>Treatment Group B1</w:t>
      </w:r>
      <w:r w:rsidRPr="007E4EC2">
        <w:rPr>
          <w:lang w:eastAsia="ja-JP"/>
        </w:rPr>
        <w:t>: continued on adalimumab 40 mg SC until Week 48.</w:t>
      </w:r>
    </w:p>
    <w:p w14:paraId="3AA878CC" w14:textId="77777777" w:rsidR="007C0FDC" w:rsidRDefault="007C0FDC" w:rsidP="007C0FDC">
      <w:pPr>
        <w:pStyle w:val="ListBullet3"/>
        <w:numPr>
          <w:ilvl w:val="2"/>
          <w:numId w:val="1"/>
        </w:numPr>
        <w:rPr>
          <w:lang w:eastAsia="ja-JP"/>
        </w:rPr>
      </w:pPr>
      <w:r w:rsidRPr="00AA7D1C">
        <w:rPr>
          <w:lang w:eastAsia="ja-JP"/>
        </w:rPr>
        <w:t>Treatment Group B2</w:t>
      </w:r>
      <w:r w:rsidRPr="007E4EC2">
        <w:rPr>
          <w:lang w:eastAsia="ja-JP"/>
        </w:rPr>
        <w:t>:</w:t>
      </w:r>
      <w:r>
        <w:rPr>
          <w:lang w:eastAsia="ja-JP"/>
        </w:rPr>
        <w:t xml:space="preserve"> switched to ABP 501 40 mg SC until Week 48.</w:t>
      </w:r>
    </w:p>
    <w:p w14:paraId="6C2F1029" w14:textId="77777777" w:rsidR="007C0FDC" w:rsidRPr="00905BD7" w:rsidRDefault="007C0FDC" w:rsidP="007C0FDC">
      <w:pPr>
        <w:pStyle w:val="ListBullet"/>
        <w:numPr>
          <w:ilvl w:val="0"/>
          <w:numId w:val="1"/>
        </w:numPr>
        <w:rPr>
          <w:lang w:eastAsia="ja-JP"/>
        </w:rPr>
      </w:pPr>
      <w:r w:rsidRPr="00905BD7">
        <w:rPr>
          <w:lang w:eastAsia="ja-JP"/>
        </w:rPr>
        <w:t>Final efficacy assessments (Week 50)</w:t>
      </w:r>
      <w:r>
        <w:rPr>
          <w:lang w:eastAsia="ja-JP"/>
        </w:rPr>
        <w:t>.</w:t>
      </w:r>
    </w:p>
    <w:p w14:paraId="648BDDDE" w14:textId="77777777" w:rsidR="007C0FDC" w:rsidRPr="00905BD7" w:rsidRDefault="007C0FDC" w:rsidP="007C0FDC">
      <w:pPr>
        <w:pStyle w:val="ListBullet"/>
        <w:numPr>
          <w:ilvl w:val="0"/>
          <w:numId w:val="1"/>
        </w:numPr>
        <w:rPr>
          <w:lang w:eastAsia="ja-JP"/>
        </w:rPr>
      </w:pPr>
      <w:r w:rsidRPr="00905BD7">
        <w:rPr>
          <w:lang w:eastAsia="ja-JP"/>
        </w:rPr>
        <w:t>End of study visit (Week 52)</w:t>
      </w:r>
      <w:r>
        <w:rPr>
          <w:lang w:eastAsia="ja-JP"/>
        </w:rPr>
        <w:t>.</w:t>
      </w:r>
    </w:p>
    <w:p w14:paraId="64CB79EB" w14:textId="77777777" w:rsidR="007C0FDC" w:rsidRDefault="007C0FDC" w:rsidP="007C0FDC">
      <w:pPr>
        <w:pStyle w:val="Heading6"/>
      </w:pPr>
      <w:r>
        <w:lastRenderedPageBreak/>
        <w:t>Objectives</w:t>
      </w:r>
    </w:p>
    <w:p w14:paraId="6D111844" w14:textId="58E3BC2C" w:rsidR="007C0FDC" w:rsidRDefault="007C0FDC" w:rsidP="007C0FDC">
      <w:pPr>
        <w:rPr>
          <w:lang w:eastAsia="ja-JP"/>
        </w:rPr>
      </w:pPr>
      <w:r w:rsidRPr="00AA7D1C">
        <w:rPr>
          <w:i/>
          <w:lang w:eastAsia="ja-JP"/>
        </w:rPr>
        <w:t xml:space="preserve">Primary </w:t>
      </w:r>
      <w:r w:rsidR="007E4EC2">
        <w:rPr>
          <w:i/>
          <w:lang w:eastAsia="ja-JP"/>
        </w:rPr>
        <w:t>s</w:t>
      </w:r>
      <w:r w:rsidRPr="00AA7D1C">
        <w:rPr>
          <w:i/>
          <w:lang w:eastAsia="ja-JP"/>
        </w:rPr>
        <w:t xml:space="preserve">tudy </w:t>
      </w:r>
      <w:r w:rsidR="007E4EC2">
        <w:rPr>
          <w:i/>
          <w:lang w:eastAsia="ja-JP"/>
        </w:rPr>
        <w:t>o</w:t>
      </w:r>
      <w:r w:rsidR="007E4EC2" w:rsidRPr="00AA7D1C">
        <w:rPr>
          <w:i/>
          <w:lang w:eastAsia="ja-JP"/>
        </w:rPr>
        <w:t>bjective</w:t>
      </w:r>
      <w:r>
        <w:rPr>
          <w:lang w:eastAsia="ja-JP"/>
        </w:rPr>
        <w:t>: to evaluate the efficacy of ABP 501 in subjects with moderate to severe plaque psoriasis, as measured by the Psoriasis Area and Severity Index (PASI) percent improvement from baseline, compared with adalimumab.</w:t>
      </w:r>
    </w:p>
    <w:p w14:paraId="43DCD81F" w14:textId="03CE22A4" w:rsidR="007C0FDC" w:rsidRDefault="007C0FDC" w:rsidP="007C0FDC">
      <w:pPr>
        <w:rPr>
          <w:lang w:eastAsia="ja-JP"/>
        </w:rPr>
      </w:pPr>
      <w:r w:rsidRPr="00AA7D1C">
        <w:rPr>
          <w:i/>
          <w:lang w:eastAsia="ja-JP"/>
        </w:rPr>
        <w:t xml:space="preserve">Secondary </w:t>
      </w:r>
      <w:r w:rsidR="007E4EC2">
        <w:rPr>
          <w:i/>
          <w:lang w:eastAsia="ja-JP"/>
        </w:rPr>
        <w:t>s</w:t>
      </w:r>
      <w:r w:rsidRPr="00AA7D1C">
        <w:rPr>
          <w:i/>
          <w:lang w:eastAsia="ja-JP"/>
        </w:rPr>
        <w:t xml:space="preserve">tudy </w:t>
      </w:r>
      <w:r w:rsidR="007E4EC2">
        <w:rPr>
          <w:i/>
          <w:lang w:eastAsia="ja-JP"/>
        </w:rPr>
        <w:t>o</w:t>
      </w:r>
      <w:r w:rsidR="007E4EC2" w:rsidRPr="00AA7D1C">
        <w:rPr>
          <w:i/>
          <w:lang w:eastAsia="ja-JP"/>
        </w:rPr>
        <w:t>bjectives</w:t>
      </w:r>
      <w:r>
        <w:rPr>
          <w:lang w:eastAsia="ja-JP"/>
        </w:rPr>
        <w:t>: to assess the safety and immunogenicity of ABP 501 compared with adalimumab and to assess efficacy in terms of PASI 75 response (75% or greater improvement from baseline in PASI score), static Physician’s Global Assessment (sPGA), and percent body surface area (BSA) affected.</w:t>
      </w:r>
    </w:p>
    <w:p w14:paraId="0A5BFB00" w14:textId="1613966B" w:rsidR="007C0FDC" w:rsidRDefault="007C0FDC" w:rsidP="007C0FDC">
      <w:pPr>
        <w:rPr>
          <w:lang w:eastAsia="ja-JP"/>
        </w:rPr>
      </w:pPr>
      <w:r w:rsidRPr="00AA7D1C">
        <w:rPr>
          <w:i/>
          <w:lang w:eastAsia="ja-JP"/>
        </w:rPr>
        <w:t xml:space="preserve">Exploratory </w:t>
      </w:r>
      <w:r w:rsidR="007E4EC2">
        <w:rPr>
          <w:i/>
          <w:lang w:eastAsia="ja-JP"/>
        </w:rPr>
        <w:t>o</w:t>
      </w:r>
      <w:r w:rsidRPr="00AA7D1C">
        <w:rPr>
          <w:i/>
          <w:lang w:eastAsia="ja-JP"/>
        </w:rPr>
        <w:t>bjectives</w:t>
      </w:r>
      <w:r>
        <w:rPr>
          <w:lang w:eastAsia="ja-JP"/>
        </w:rPr>
        <w:t>: to assess the perception of injection site pain based on subjects’ rankings for ABP 501 compared with adalimumab injections.</w:t>
      </w:r>
    </w:p>
    <w:p w14:paraId="05B8EB65" w14:textId="77777777" w:rsidR="007C0FDC" w:rsidRDefault="007C0FDC" w:rsidP="007C0FDC">
      <w:pPr>
        <w:pStyle w:val="Heading6"/>
      </w:pPr>
      <w:r>
        <w:t>Location and dates</w:t>
      </w:r>
    </w:p>
    <w:p w14:paraId="222B449B" w14:textId="77777777" w:rsidR="007C0FDC" w:rsidRPr="004C6CB1" w:rsidRDefault="007C0FDC" w:rsidP="007C0FDC">
      <w:pPr>
        <w:rPr>
          <w:lang w:eastAsia="ja-JP"/>
        </w:rPr>
      </w:pPr>
      <w:r w:rsidRPr="004C6CB1">
        <w:rPr>
          <w:lang w:eastAsia="ja-JP"/>
        </w:rPr>
        <w:t>The study was conducted at 49 centres in 6 countries (Australia, Canada, France, Germany, Hungary, and Poland between 18 October 2013 (first subject enrolled) and 18 March 2015 (last subject completed).</w:t>
      </w:r>
    </w:p>
    <w:p w14:paraId="70F3A9A6" w14:textId="77777777" w:rsidR="007C0FDC" w:rsidRDefault="007C0FDC" w:rsidP="00FF4DBB">
      <w:pPr>
        <w:pStyle w:val="Heading5"/>
      </w:pPr>
      <w:r w:rsidRPr="00FF4DBB">
        <w:t>Inclusion</w:t>
      </w:r>
      <w:r w:rsidRPr="005632DC">
        <w:t xml:space="preserve"> and exclusion criteria</w:t>
      </w:r>
    </w:p>
    <w:p w14:paraId="4EC0401D" w14:textId="77777777" w:rsidR="007C0FDC" w:rsidRDefault="007C0FDC" w:rsidP="007C0FDC">
      <w:pPr>
        <w:rPr>
          <w:lang w:eastAsia="ja-JP"/>
        </w:rPr>
      </w:pPr>
      <w:r>
        <w:rPr>
          <w:lang w:eastAsia="ja-JP"/>
        </w:rPr>
        <w:t>The inclusion criteria included:</w:t>
      </w:r>
    </w:p>
    <w:p w14:paraId="40686749" w14:textId="77777777" w:rsidR="007C0FDC" w:rsidRDefault="007C0FDC" w:rsidP="00FF4DBB">
      <w:pPr>
        <w:pStyle w:val="ListBullet"/>
        <w:rPr>
          <w:lang w:eastAsia="ja-JP"/>
        </w:rPr>
      </w:pPr>
      <w:r>
        <w:rPr>
          <w:lang w:eastAsia="ja-JP"/>
        </w:rPr>
        <w:t>Subject was ≥ 18 and ≤ 75 years of age at time of screening.</w:t>
      </w:r>
    </w:p>
    <w:p w14:paraId="004F31B1" w14:textId="77777777" w:rsidR="007C0FDC" w:rsidRDefault="007C0FDC" w:rsidP="007C0FDC">
      <w:pPr>
        <w:pStyle w:val="ListBullet"/>
        <w:numPr>
          <w:ilvl w:val="0"/>
          <w:numId w:val="1"/>
        </w:numPr>
        <w:rPr>
          <w:lang w:eastAsia="ja-JP"/>
        </w:rPr>
      </w:pPr>
      <w:r>
        <w:rPr>
          <w:lang w:eastAsia="ja-JP"/>
        </w:rPr>
        <w:t xml:space="preserve">Subject had stable </w:t>
      </w:r>
      <w:r w:rsidRPr="00AA7D1C">
        <w:rPr>
          <w:i/>
          <w:lang w:eastAsia="ja-JP"/>
        </w:rPr>
        <w:t>moderate to severe plaque psoriasis for at least 6 months</w:t>
      </w:r>
      <w:r>
        <w:rPr>
          <w:lang w:eastAsia="ja-JP"/>
        </w:rPr>
        <w:t>.</w:t>
      </w:r>
    </w:p>
    <w:p w14:paraId="7932026D" w14:textId="77777777" w:rsidR="007C0FDC" w:rsidRDefault="007C0FDC" w:rsidP="007C0FDC">
      <w:pPr>
        <w:pStyle w:val="ListBullet"/>
        <w:numPr>
          <w:ilvl w:val="0"/>
          <w:numId w:val="1"/>
        </w:numPr>
        <w:rPr>
          <w:lang w:eastAsia="ja-JP"/>
        </w:rPr>
      </w:pPr>
      <w:r>
        <w:rPr>
          <w:lang w:eastAsia="ja-JP"/>
        </w:rPr>
        <w:t>Subject had involved BSA ≥ 10%, PASI ≥ 12, and sPGA ≥ 3 at screening and baseline.</w:t>
      </w:r>
    </w:p>
    <w:p w14:paraId="0E941978" w14:textId="77777777" w:rsidR="007C0FDC" w:rsidRDefault="007C0FDC" w:rsidP="007C0FDC">
      <w:pPr>
        <w:pStyle w:val="ListBullet"/>
        <w:numPr>
          <w:ilvl w:val="0"/>
          <w:numId w:val="1"/>
        </w:numPr>
        <w:rPr>
          <w:lang w:eastAsia="ja-JP"/>
        </w:rPr>
      </w:pPr>
      <w:r>
        <w:rPr>
          <w:lang w:eastAsia="ja-JP"/>
        </w:rPr>
        <w:t>Subject was a candidate for systemic therapy or phototherapy.</w:t>
      </w:r>
    </w:p>
    <w:p w14:paraId="62A1DAD9" w14:textId="77777777" w:rsidR="007C0FDC" w:rsidRDefault="007C0FDC" w:rsidP="007C0FDC">
      <w:pPr>
        <w:pStyle w:val="ListBullet"/>
        <w:numPr>
          <w:ilvl w:val="0"/>
          <w:numId w:val="1"/>
        </w:numPr>
        <w:rPr>
          <w:lang w:eastAsia="ja-JP"/>
        </w:rPr>
      </w:pPr>
      <w:r>
        <w:rPr>
          <w:lang w:eastAsia="ja-JP"/>
        </w:rPr>
        <w:t>Subject had previously failed, had an inadequate response, intolerance to, or contraindication to at least 1 conventional anti-psoriatic systemic therapy (for example, methotrexate, cyclosporine, psoralen plus ultraviolet light A).</w:t>
      </w:r>
    </w:p>
    <w:p w14:paraId="765590E5" w14:textId="77777777" w:rsidR="007C0FDC" w:rsidRDefault="007C0FDC" w:rsidP="007C0FDC">
      <w:pPr>
        <w:pStyle w:val="ListBullet"/>
        <w:numPr>
          <w:ilvl w:val="0"/>
          <w:numId w:val="1"/>
        </w:numPr>
        <w:rPr>
          <w:lang w:eastAsia="ja-JP"/>
        </w:rPr>
      </w:pPr>
      <w:r>
        <w:rPr>
          <w:lang w:eastAsia="ja-JP"/>
        </w:rPr>
        <w:t xml:space="preserve">Subject had no known </w:t>
      </w:r>
      <w:r w:rsidRPr="005F6D84">
        <w:rPr>
          <w:lang w:eastAsia="ja-JP"/>
        </w:rPr>
        <w:t>has no known history of active tuberculosis</w:t>
      </w:r>
      <w:r>
        <w:rPr>
          <w:lang w:eastAsia="ja-JP"/>
        </w:rPr>
        <w:t xml:space="preserve"> (including a negative tuberculosis screening test).</w:t>
      </w:r>
    </w:p>
    <w:p w14:paraId="4BA487C5" w14:textId="77777777" w:rsidR="007C0FDC" w:rsidRDefault="007C0FDC" w:rsidP="007C0FDC">
      <w:pPr>
        <w:rPr>
          <w:lang w:eastAsia="ja-JP"/>
        </w:rPr>
      </w:pPr>
      <w:r>
        <w:rPr>
          <w:lang w:eastAsia="ja-JP"/>
        </w:rPr>
        <w:t>The exclusion criteria included:</w:t>
      </w:r>
    </w:p>
    <w:p w14:paraId="1AC87C0C" w14:textId="087E3A20" w:rsidR="007E4EC2" w:rsidRDefault="007C0FDC" w:rsidP="007C0FDC">
      <w:pPr>
        <w:pStyle w:val="ListBullet"/>
        <w:numPr>
          <w:ilvl w:val="0"/>
          <w:numId w:val="1"/>
        </w:numPr>
        <w:rPr>
          <w:lang w:eastAsia="ja-JP"/>
        </w:rPr>
      </w:pPr>
      <w:r>
        <w:rPr>
          <w:lang w:eastAsia="ja-JP"/>
        </w:rPr>
        <w:t>Diagnosis of erythrodermic psoriasis, pustular psoriasis, guttate psoriasis, medication-induced psoriasis, or other skin conditions at the time of the screening visit (for example, eczema)</w:t>
      </w:r>
      <w:r w:rsidR="007E4EC2">
        <w:rPr>
          <w:lang w:eastAsia="ja-JP"/>
        </w:rPr>
        <w:t>.</w:t>
      </w:r>
    </w:p>
    <w:p w14:paraId="568B3F70" w14:textId="77777777" w:rsidR="007C0FDC" w:rsidRPr="00E32944" w:rsidRDefault="007C0FDC" w:rsidP="00AA7D1C">
      <w:pPr>
        <w:pStyle w:val="ListBullet"/>
        <w:numPr>
          <w:ilvl w:val="0"/>
          <w:numId w:val="1"/>
        </w:numPr>
        <w:rPr>
          <w:lang w:eastAsia="ja-JP"/>
        </w:rPr>
      </w:pPr>
      <w:r>
        <w:rPr>
          <w:lang w:eastAsia="ja-JP"/>
        </w:rPr>
        <w:t>Subjects that have previously used: 2 or more biologics for treatment of psoriasis, adalimumab, or a biosimilar of adalimumab.</w:t>
      </w:r>
    </w:p>
    <w:p w14:paraId="370D8F1F" w14:textId="77777777" w:rsidR="007C0FDC" w:rsidRDefault="007C0FDC" w:rsidP="007C0FDC">
      <w:pPr>
        <w:pStyle w:val="ListBullet"/>
        <w:numPr>
          <w:ilvl w:val="0"/>
          <w:numId w:val="1"/>
        </w:numPr>
        <w:rPr>
          <w:lang w:eastAsia="ja-JP"/>
        </w:rPr>
      </w:pPr>
      <w:r>
        <w:rPr>
          <w:lang w:eastAsia="ja-JP"/>
        </w:rPr>
        <w:t>Active, recurrent, or chronic infections, history of serious infections (including HIV, HBV, HCV, and TB).</w:t>
      </w:r>
    </w:p>
    <w:p w14:paraId="1E38642B" w14:textId="77777777" w:rsidR="007C0FDC" w:rsidRDefault="007C0FDC" w:rsidP="007C0FDC">
      <w:pPr>
        <w:pStyle w:val="ListBullet"/>
        <w:numPr>
          <w:ilvl w:val="0"/>
          <w:numId w:val="1"/>
        </w:numPr>
        <w:rPr>
          <w:lang w:eastAsia="ja-JP"/>
        </w:rPr>
      </w:pPr>
      <w:r>
        <w:rPr>
          <w:lang w:eastAsia="ja-JP"/>
        </w:rPr>
        <w:t>Uncontrolled clinically significant systemic disease, active neurological disease, NYHA III/IV heart failure, or another potentially interfering disease).</w:t>
      </w:r>
    </w:p>
    <w:p w14:paraId="7467792B" w14:textId="77777777" w:rsidR="007C0FDC" w:rsidRDefault="007C0FDC" w:rsidP="007C0FDC">
      <w:pPr>
        <w:pStyle w:val="ListBullet"/>
        <w:numPr>
          <w:ilvl w:val="0"/>
          <w:numId w:val="1"/>
        </w:numPr>
        <w:rPr>
          <w:lang w:eastAsia="ja-JP"/>
        </w:rPr>
      </w:pPr>
      <w:r>
        <w:rPr>
          <w:lang w:eastAsia="ja-JP"/>
        </w:rPr>
        <w:t>History of malignancy within 5 years (except cured cutaneous SCC, BCC, in situ cervical cancer, or in situ breast ductal carcinoma).</w:t>
      </w:r>
    </w:p>
    <w:p w14:paraId="40A065A0" w14:textId="77777777" w:rsidR="007C0FDC" w:rsidRDefault="007C0FDC" w:rsidP="007C0FDC">
      <w:pPr>
        <w:pStyle w:val="ListBullet"/>
        <w:numPr>
          <w:ilvl w:val="0"/>
          <w:numId w:val="1"/>
        </w:numPr>
        <w:rPr>
          <w:lang w:eastAsia="ja-JP"/>
        </w:rPr>
      </w:pPr>
      <w:r>
        <w:rPr>
          <w:lang w:eastAsia="ja-JP"/>
        </w:rPr>
        <w:t>Hypersensitivity to any active or excipient.</w:t>
      </w:r>
    </w:p>
    <w:p w14:paraId="64678077" w14:textId="2C97D415" w:rsidR="007C0FDC" w:rsidRDefault="007C0FDC" w:rsidP="007C0FDC">
      <w:pPr>
        <w:pStyle w:val="ListBullet"/>
        <w:numPr>
          <w:ilvl w:val="0"/>
          <w:numId w:val="1"/>
        </w:numPr>
        <w:rPr>
          <w:lang w:eastAsia="ja-JP"/>
        </w:rPr>
      </w:pPr>
      <w:r>
        <w:rPr>
          <w:lang w:eastAsia="ja-JP"/>
        </w:rPr>
        <w:t>Laboratory abnormalities (Hb &lt; 9 g/dL; platelets &lt; 100,000/</w:t>
      </w:r>
      <w:r w:rsidRPr="00AB6217">
        <w:rPr>
          <w:lang w:eastAsia="ja-JP"/>
        </w:rPr>
        <w:t>mm</w:t>
      </w:r>
      <w:r w:rsidRPr="009F5E7F">
        <w:rPr>
          <w:vertAlign w:val="superscript"/>
          <w:lang w:eastAsia="ja-JP"/>
        </w:rPr>
        <w:t>3</w:t>
      </w:r>
      <w:r>
        <w:rPr>
          <w:lang w:eastAsia="ja-JP"/>
        </w:rPr>
        <w:t xml:space="preserve">; </w:t>
      </w:r>
      <w:r w:rsidRPr="00AB6217">
        <w:rPr>
          <w:lang w:eastAsia="ja-JP"/>
        </w:rPr>
        <w:t>white</w:t>
      </w:r>
      <w:r>
        <w:rPr>
          <w:lang w:eastAsia="ja-JP"/>
        </w:rPr>
        <w:t xml:space="preserve"> blood cell count &lt;</w:t>
      </w:r>
      <w:r w:rsidR="007E4EC2">
        <w:rPr>
          <w:lang w:eastAsia="ja-JP"/>
        </w:rPr>
        <w:t> </w:t>
      </w:r>
      <w:r>
        <w:rPr>
          <w:lang w:eastAsia="ja-JP"/>
        </w:rPr>
        <w:t>3,000 cells/mm</w:t>
      </w:r>
      <w:r w:rsidRPr="00AB6217">
        <w:rPr>
          <w:vertAlign w:val="superscript"/>
          <w:lang w:eastAsia="ja-JP"/>
        </w:rPr>
        <w:t>3</w:t>
      </w:r>
      <w:r>
        <w:rPr>
          <w:lang w:eastAsia="ja-JP"/>
        </w:rPr>
        <w:t>; AST and ALT &gt; 2 x ULN; creatinine clearance &lt; 50 mL/min (</w:t>
      </w:r>
      <w:proofErr w:type="spellStart"/>
      <w:r>
        <w:rPr>
          <w:lang w:eastAsia="ja-JP"/>
        </w:rPr>
        <w:t>Cockroft</w:t>
      </w:r>
      <w:proofErr w:type="spellEnd"/>
      <w:r w:rsidR="00ED7F6C">
        <w:rPr>
          <w:lang w:eastAsia="ja-JP"/>
        </w:rPr>
        <w:noBreakHyphen/>
      </w:r>
      <w:r>
        <w:rPr>
          <w:lang w:eastAsia="ja-JP"/>
        </w:rPr>
        <w:t>Gault formula); any other potentially interfering abnormality).</w:t>
      </w:r>
    </w:p>
    <w:p w14:paraId="71B85129" w14:textId="77777777" w:rsidR="007C0FDC" w:rsidRDefault="007C0FDC" w:rsidP="00FF4DBB">
      <w:pPr>
        <w:pStyle w:val="ListBullet"/>
        <w:keepNext/>
        <w:numPr>
          <w:ilvl w:val="0"/>
          <w:numId w:val="1"/>
        </w:numPr>
        <w:ind w:left="357" w:hanging="357"/>
        <w:rPr>
          <w:lang w:eastAsia="ja-JP"/>
        </w:rPr>
      </w:pPr>
      <w:r>
        <w:rPr>
          <w:lang w:eastAsia="ja-JP"/>
        </w:rPr>
        <w:t>Washouts/non-permitted treatments:</w:t>
      </w:r>
    </w:p>
    <w:p w14:paraId="470E7C5E" w14:textId="77777777" w:rsidR="007C0FDC" w:rsidRDefault="007C0FDC" w:rsidP="007C0FDC">
      <w:pPr>
        <w:pStyle w:val="ListBullet2"/>
        <w:numPr>
          <w:ilvl w:val="1"/>
          <w:numId w:val="1"/>
        </w:numPr>
        <w:rPr>
          <w:lang w:eastAsia="ja-JP"/>
        </w:rPr>
      </w:pPr>
      <w:r>
        <w:rPr>
          <w:lang w:eastAsia="ja-JP"/>
        </w:rPr>
        <w:lastRenderedPageBreak/>
        <w:t>Within 14 days prior: UVB therapy; topical psoriasis therapy.</w:t>
      </w:r>
    </w:p>
    <w:p w14:paraId="11C60056" w14:textId="77777777" w:rsidR="007C0FDC" w:rsidRDefault="007C0FDC" w:rsidP="007C0FDC">
      <w:pPr>
        <w:pStyle w:val="ListBullet2"/>
        <w:numPr>
          <w:ilvl w:val="1"/>
          <w:numId w:val="1"/>
        </w:numPr>
        <w:rPr>
          <w:lang w:eastAsia="ja-JP"/>
        </w:rPr>
      </w:pPr>
      <w:r>
        <w:rPr>
          <w:lang w:eastAsia="ja-JP"/>
        </w:rPr>
        <w:t>Within 28 days prior:</w:t>
      </w:r>
      <w:r w:rsidRPr="00D439A3">
        <w:rPr>
          <w:lang w:eastAsia="ja-JP"/>
        </w:rPr>
        <w:t xml:space="preserve"> </w:t>
      </w:r>
      <w:r>
        <w:rPr>
          <w:lang w:eastAsia="ja-JP"/>
        </w:rPr>
        <w:t>UVA</w:t>
      </w:r>
      <w:r w:rsidRPr="0031585B">
        <w:rPr>
          <w:lang w:eastAsia="ja-JP"/>
        </w:rPr>
        <w:t xml:space="preserve"> </w:t>
      </w:r>
      <w:r>
        <w:rPr>
          <w:lang w:eastAsia="ja-JP"/>
        </w:rPr>
        <w:t xml:space="preserve">therapy or excimer laser; non-biologic systemic therapy for psoriasis (except </w:t>
      </w:r>
      <w:proofErr w:type="spellStart"/>
      <w:r>
        <w:rPr>
          <w:lang w:eastAsia="ja-JP"/>
        </w:rPr>
        <w:t>otic</w:t>
      </w:r>
      <w:proofErr w:type="spellEnd"/>
      <w:r>
        <w:rPr>
          <w:lang w:eastAsia="ja-JP"/>
        </w:rPr>
        <w:t>/nasal/inhaled corticosteroids); live vaccines.</w:t>
      </w:r>
    </w:p>
    <w:p w14:paraId="7407A314" w14:textId="77777777" w:rsidR="007C0FDC" w:rsidRDefault="007C0FDC" w:rsidP="007C0FDC">
      <w:pPr>
        <w:pStyle w:val="ListBullet2"/>
        <w:numPr>
          <w:ilvl w:val="1"/>
          <w:numId w:val="1"/>
        </w:numPr>
        <w:rPr>
          <w:lang w:eastAsia="ja-JP"/>
        </w:rPr>
      </w:pPr>
      <w:r>
        <w:rPr>
          <w:lang w:eastAsia="ja-JP"/>
        </w:rPr>
        <w:t>Within 1 month prior: etanercept.</w:t>
      </w:r>
    </w:p>
    <w:p w14:paraId="64082D2D" w14:textId="77777777" w:rsidR="007C0FDC" w:rsidRDefault="007C0FDC" w:rsidP="007C0FDC">
      <w:pPr>
        <w:pStyle w:val="ListBullet2"/>
        <w:numPr>
          <w:ilvl w:val="1"/>
          <w:numId w:val="1"/>
        </w:numPr>
        <w:rPr>
          <w:lang w:eastAsia="ja-JP"/>
        </w:rPr>
      </w:pPr>
      <w:r>
        <w:rPr>
          <w:lang w:eastAsia="ja-JP"/>
        </w:rPr>
        <w:t>Within 3 months prior: ustekinumab; other anti-TNF agents.</w:t>
      </w:r>
    </w:p>
    <w:p w14:paraId="28B9FB61" w14:textId="77777777" w:rsidR="007C0FDC" w:rsidRDefault="007C0FDC" w:rsidP="007C0FDC">
      <w:pPr>
        <w:pStyle w:val="ListBullet"/>
        <w:numPr>
          <w:ilvl w:val="0"/>
          <w:numId w:val="1"/>
        </w:numPr>
        <w:rPr>
          <w:lang w:eastAsia="ja-JP"/>
        </w:rPr>
      </w:pPr>
      <w:r>
        <w:rPr>
          <w:lang w:eastAsia="ja-JP"/>
        </w:rPr>
        <w:t>Other exclusions: substance abuse, pregnancy, breast feeding, absence of adequate contraception, planned surgical procedures, or inability to comply with the study procedures.</w:t>
      </w:r>
    </w:p>
    <w:p w14:paraId="01ED7E86" w14:textId="57AFF6BB" w:rsidR="007C0FDC" w:rsidRPr="00DB5F73" w:rsidRDefault="00ED7F6C" w:rsidP="00AA7D1C">
      <w:pPr>
        <w:pStyle w:val="Comment"/>
        <w:rPr>
          <w:sz w:val="17"/>
          <w:szCs w:val="17"/>
        </w:rPr>
      </w:pPr>
      <w:r>
        <w:rPr>
          <w:b/>
          <w:lang w:eastAsia="ja-JP"/>
        </w:rPr>
        <w:t>Comment</w:t>
      </w:r>
      <w:r w:rsidR="007C0FDC" w:rsidRPr="0076268A">
        <w:rPr>
          <w:b/>
          <w:lang w:eastAsia="ja-JP"/>
        </w:rPr>
        <w:t>:</w:t>
      </w:r>
      <w:r>
        <w:rPr>
          <w:b/>
          <w:lang w:eastAsia="ja-JP"/>
        </w:rPr>
        <w:t xml:space="preserve"> </w:t>
      </w:r>
      <w:r w:rsidR="007C0FDC">
        <w:rPr>
          <w:lang w:eastAsia="ja-JP"/>
        </w:rPr>
        <w:t xml:space="preserve"> </w:t>
      </w:r>
      <w:r w:rsidR="007C0FDC" w:rsidRPr="00A45681">
        <w:rPr>
          <w:lang w:eastAsia="ja-JP"/>
        </w:rPr>
        <w:t>The inclusion and exclusion criteria that were used in the study are acceptable, as they provide a reasonable balance between internal and external validity.</w:t>
      </w:r>
      <w:r w:rsidR="007C0FDC">
        <w:rPr>
          <w:lang w:eastAsia="ja-JP"/>
        </w:rPr>
        <w:t xml:space="preserve"> </w:t>
      </w:r>
      <w:r w:rsidR="007C0FDC" w:rsidRPr="00A45681">
        <w:rPr>
          <w:lang w:eastAsia="ja-JP"/>
        </w:rPr>
        <w:t xml:space="preserve">The main inclusion criteria in the REVEAL trial (which investigated the use of reference product </w:t>
      </w:r>
      <w:r w:rsidR="007C0FDC">
        <w:rPr>
          <w:lang w:eastAsia="ja-JP"/>
        </w:rPr>
        <w:t>Humira</w:t>
      </w:r>
      <w:r w:rsidR="007C0FDC" w:rsidRPr="00A45681">
        <w:rPr>
          <w:lang w:eastAsia="ja-JP"/>
        </w:rPr>
        <w:t xml:space="preserve"> in psoriasis</w:t>
      </w:r>
      <w:r w:rsidR="007C0FDC">
        <w:rPr>
          <w:lang w:eastAsia="ja-JP"/>
        </w:rPr>
        <w:t xml:space="preserve">; described in </w:t>
      </w:r>
      <w:proofErr w:type="spellStart"/>
      <w:r w:rsidR="007C0FDC" w:rsidRPr="006449E1">
        <w:rPr>
          <w:lang w:eastAsia="ja-JP"/>
        </w:rPr>
        <w:t>Menter</w:t>
      </w:r>
      <w:proofErr w:type="spellEnd"/>
      <w:r w:rsidR="007C0FDC" w:rsidRPr="006449E1">
        <w:rPr>
          <w:lang w:eastAsia="ja-JP"/>
        </w:rPr>
        <w:t xml:space="preserve"> </w:t>
      </w:r>
      <w:r w:rsidR="007C0FDC" w:rsidRPr="006449E1">
        <w:rPr>
          <w:i/>
          <w:lang w:eastAsia="ja-JP"/>
        </w:rPr>
        <w:t>et al</w:t>
      </w:r>
      <w:r w:rsidR="007C0FDC">
        <w:rPr>
          <w:lang w:eastAsia="ja-JP"/>
        </w:rPr>
        <w:t>.</w:t>
      </w:r>
      <w:r w:rsidR="007C0FDC" w:rsidRPr="006449E1">
        <w:rPr>
          <w:lang w:eastAsia="ja-JP"/>
        </w:rPr>
        <w:t xml:space="preserve"> </w:t>
      </w:r>
      <w:r w:rsidR="007C0FDC">
        <w:rPr>
          <w:lang w:eastAsia="ja-JP"/>
        </w:rPr>
        <w:t>(</w:t>
      </w:r>
      <w:r w:rsidR="007C0FDC" w:rsidRPr="006449E1">
        <w:rPr>
          <w:lang w:eastAsia="ja-JP"/>
        </w:rPr>
        <w:t>2008)</w:t>
      </w:r>
      <w:r w:rsidR="007C0FDC" w:rsidRPr="00A45681">
        <w:rPr>
          <w:lang w:eastAsia="ja-JP"/>
        </w:rPr>
        <w:t>) were very similar to the main inclus</w:t>
      </w:r>
      <w:r w:rsidR="007C0FDC">
        <w:rPr>
          <w:lang w:eastAsia="ja-JP"/>
        </w:rPr>
        <w:t>ion criteria in Study 20120263.</w:t>
      </w:r>
    </w:p>
    <w:p w14:paraId="0F1B9CB2" w14:textId="77777777" w:rsidR="007C0FDC" w:rsidRDefault="007C0FDC" w:rsidP="00FA4021">
      <w:pPr>
        <w:pStyle w:val="Heading5"/>
      </w:pPr>
      <w:r w:rsidRPr="005632DC">
        <w:t xml:space="preserve">Study </w:t>
      </w:r>
      <w:r w:rsidRPr="00FA4021">
        <w:t>treatments</w:t>
      </w:r>
    </w:p>
    <w:p w14:paraId="31570D1E" w14:textId="77777777" w:rsidR="007C0FDC" w:rsidRDefault="007C0FDC" w:rsidP="007C0FDC">
      <w:pPr>
        <w:rPr>
          <w:lang w:eastAsia="ja-JP"/>
        </w:rPr>
      </w:pPr>
      <w:r>
        <w:rPr>
          <w:lang w:eastAsia="ja-JP"/>
        </w:rPr>
        <w:t>The initial loading dose of ABP 501 and adalimumab was 80 mg SC at week 1/day 1, followed by 40 mg SC at Week 2, and then 40 mg SC every 2 weeks. This dosing schedule matches the recommended dosing of the reference product for the treatment of psoriasis. Subjects discontinuing from study treatment were offered alternative treatment.</w:t>
      </w:r>
    </w:p>
    <w:p w14:paraId="739F0812" w14:textId="14993A41" w:rsidR="007C0FDC" w:rsidRDefault="007C0FDC" w:rsidP="007C0FDC">
      <w:pPr>
        <w:rPr>
          <w:lang w:eastAsia="ja-JP"/>
        </w:rPr>
      </w:pPr>
      <w:r>
        <w:rPr>
          <w:lang w:eastAsia="ja-JP"/>
        </w:rPr>
        <w:t xml:space="preserve">Certain concomitant medications were permitted: Bland </w:t>
      </w:r>
      <w:r w:rsidR="00ED7F6C">
        <w:rPr>
          <w:lang w:eastAsia="ja-JP"/>
        </w:rPr>
        <w:t>moisturisers</w:t>
      </w:r>
      <w:r>
        <w:rPr>
          <w:lang w:eastAsia="ja-JP"/>
        </w:rPr>
        <w:t>/emollients (without urea or alpha or beta hydroxy acids) were allowed as needed. Class III to VII topical steroids were permitted on the palms, soles, face and intertriginous areas.</w:t>
      </w:r>
    </w:p>
    <w:p w14:paraId="37058204" w14:textId="77777777" w:rsidR="007C0FDC" w:rsidRDefault="007C0FDC" w:rsidP="007C0FDC">
      <w:pPr>
        <w:rPr>
          <w:lang w:eastAsia="ja-JP"/>
        </w:rPr>
      </w:pPr>
      <w:r>
        <w:rPr>
          <w:lang w:eastAsia="ja-JP"/>
        </w:rPr>
        <w:t>Specific medications were prohibited:</w:t>
      </w:r>
    </w:p>
    <w:p w14:paraId="6959A772" w14:textId="77777777" w:rsidR="007C0FDC" w:rsidRDefault="007C0FDC" w:rsidP="00FA4021">
      <w:pPr>
        <w:pStyle w:val="ListBullet"/>
        <w:rPr>
          <w:lang w:eastAsia="ja-JP"/>
        </w:rPr>
      </w:pPr>
      <w:r>
        <w:rPr>
          <w:lang w:eastAsia="ja-JP"/>
        </w:rPr>
        <w:t xml:space="preserve">UVA or UV B light </w:t>
      </w:r>
      <w:r w:rsidRPr="00FA4021">
        <w:t>therapy</w:t>
      </w:r>
      <w:r>
        <w:rPr>
          <w:lang w:eastAsia="ja-JP"/>
        </w:rPr>
        <w:t xml:space="preserve"> (with or without psoralen); class I to II topical steroids or topical </w:t>
      </w:r>
      <w:proofErr w:type="spellStart"/>
      <w:r>
        <w:rPr>
          <w:lang w:eastAsia="ja-JP"/>
        </w:rPr>
        <w:t>anthralin</w:t>
      </w:r>
      <w:proofErr w:type="spellEnd"/>
      <w:r>
        <w:rPr>
          <w:lang w:eastAsia="ja-JP"/>
        </w:rPr>
        <w:t>, or any other topical therapy (unless listed as allowed)</w:t>
      </w:r>
    </w:p>
    <w:p w14:paraId="2F79B202" w14:textId="77777777" w:rsidR="007C0FDC" w:rsidRDefault="007C0FDC" w:rsidP="007C0FDC">
      <w:pPr>
        <w:pStyle w:val="ListBullet"/>
        <w:numPr>
          <w:ilvl w:val="0"/>
          <w:numId w:val="1"/>
        </w:numPr>
        <w:rPr>
          <w:lang w:eastAsia="ja-JP"/>
        </w:rPr>
      </w:pPr>
      <w:r>
        <w:rPr>
          <w:lang w:eastAsia="ja-JP"/>
        </w:rPr>
        <w:t>Any therapy for psoriasis (unless listed as allowed); cyclosporine is prohibited</w:t>
      </w:r>
    </w:p>
    <w:p w14:paraId="6AAEB849" w14:textId="77777777" w:rsidR="007C0FDC" w:rsidRDefault="007C0FDC" w:rsidP="007C0FDC">
      <w:pPr>
        <w:pStyle w:val="ListBullet"/>
        <w:numPr>
          <w:ilvl w:val="0"/>
          <w:numId w:val="1"/>
        </w:numPr>
        <w:rPr>
          <w:lang w:eastAsia="ja-JP"/>
        </w:rPr>
      </w:pPr>
      <w:r>
        <w:rPr>
          <w:lang w:eastAsia="ja-JP"/>
        </w:rPr>
        <w:t>Live vaccinations while receiving study drug</w:t>
      </w:r>
    </w:p>
    <w:p w14:paraId="4BE0C640" w14:textId="77777777" w:rsidR="007C0FDC" w:rsidRDefault="007C0FDC" w:rsidP="007C0FDC">
      <w:pPr>
        <w:pStyle w:val="ListBullet"/>
        <w:numPr>
          <w:ilvl w:val="0"/>
          <w:numId w:val="1"/>
        </w:numPr>
        <w:rPr>
          <w:lang w:eastAsia="ja-JP"/>
        </w:rPr>
      </w:pPr>
      <w:r>
        <w:rPr>
          <w:lang w:eastAsia="ja-JP"/>
        </w:rPr>
        <w:t>Any experimental (biological or non-biological) therapy</w:t>
      </w:r>
    </w:p>
    <w:p w14:paraId="09225726" w14:textId="24A83DA3" w:rsidR="007C0FDC" w:rsidRDefault="007C0FDC" w:rsidP="007C0FDC">
      <w:pPr>
        <w:rPr>
          <w:lang w:eastAsia="ja-JP"/>
        </w:rPr>
      </w:pPr>
      <w:r>
        <w:rPr>
          <w:lang w:eastAsia="ja-JP"/>
        </w:rPr>
        <w:t xml:space="preserve">Any other treatment (unless explicitly excluded) deemed necessary may have been given at the </w:t>
      </w:r>
      <w:r w:rsidR="00FA4021">
        <w:rPr>
          <w:lang w:eastAsia="ja-JP"/>
        </w:rPr>
        <w:t>discretion of the investigator.</w:t>
      </w:r>
    </w:p>
    <w:p w14:paraId="057614BD" w14:textId="555C8CAE" w:rsidR="007C0FDC" w:rsidRDefault="00ED7F6C" w:rsidP="00AA7D1C">
      <w:pPr>
        <w:pStyle w:val="Comment"/>
        <w:rPr>
          <w:lang w:eastAsia="ja-JP"/>
        </w:rPr>
      </w:pPr>
      <w:r>
        <w:rPr>
          <w:b/>
          <w:lang w:eastAsia="ja-JP"/>
        </w:rPr>
        <w:t>C</w:t>
      </w:r>
      <w:r w:rsidR="007C0FDC" w:rsidRPr="00567BA7">
        <w:rPr>
          <w:b/>
          <w:lang w:eastAsia="ja-JP"/>
        </w:rPr>
        <w:t>omment:</w:t>
      </w:r>
      <w:r w:rsidR="007C0FDC">
        <w:rPr>
          <w:b/>
          <w:lang w:eastAsia="ja-JP"/>
        </w:rPr>
        <w:t xml:space="preserve"> </w:t>
      </w:r>
      <w:r>
        <w:rPr>
          <w:b/>
          <w:lang w:eastAsia="ja-JP"/>
        </w:rPr>
        <w:t xml:space="preserve"> </w:t>
      </w:r>
      <w:r w:rsidR="007C0FDC">
        <w:rPr>
          <w:lang w:eastAsia="ja-JP"/>
        </w:rPr>
        <w:t xml:space="preserve">The dosing schedule and rules were appropriate. The choice of comparator was appropriate. The list of prohibited medications is reasonable. </w:t>
      </w:r>
      <w:r w:rsidR="007C0FDC" w:rsidRPr="00A17E88">
        <w:rPr>
          <w:lang w:eastAsia="ja-JP"/>
        </w:rPr>
        <w:t xml:space="preserve">Rescue medications were not </w:t>
      </w:r>
      <w:r w:rsidR="007C0FDC">
        <w:rPr>
          <w:lang w:eastAsia="ja-JP"/>
        </w:rPr>
        <w:t>specifically mentioned</w:t>
      </w:r>
      <w:r w:rsidR="007C0FDC" w:rsidRPr="00A17E88">
        <w:rPr>
          <w:lang w:eastAsia="ja-JP"/>
        </w:rPr>
        <w:t xml:space="preserve"> in the study protocol or study report.</w:t>
      </w:r>
      <w:r w:rsidR="007C0FDC">
        <w:rPr>
          <w:lang w:eastAsia="ja-JP"/>
        </w:rPr>
        <w:t xml:space="preserve"> However, cyclosporine, which is commonly used as rescue medication in psoriasis, was specifically prohibited. </w:t>
      </w:r>
      <w:r w:rsidR="007C0FDC" w:rsidRPr="006D4FA2">
        <w:rPr>
          <w:lang w:eastAsia="ja-JP"/>
        </w:rPr>
        <w:t>Class III to VII topical steroids on the palms, soles</w:t>
      </w:r>
      <w:r w:rsidR="007C0FDC">
        <w:rPr>
          <w:lang w:eastAsia="ja-JP"/>
        </w:rPr>
        <w:t xml:space="preserve">, </w:t>
      </w:r>
      <w:proofErr w:type="gramStart"/>
      <w:r w:rsidR="007C0FDC">
        <w:rPr>
          <w:lang w:eastAsia="ja-JP"/>
        </w:rPr>
        <w:t>face</w:t>
      </w:r>
      <w:proofErr w:type="gramEnd"/>
      <w:r w:rsidR="007C0FDC">
        <w:rPr>
          <w:lang w:eastAsia="ja-JP"/>
        </w:rPr>
        <w:t xml:space="preserve"> and intertriginous areas had also been</w:t>
      </w:r>
      <w:r w:rsidR="007C0FDC" w:rsidRPr="006D4FA2">
        <w:rPr>
          <w:lang w:eastAsia="ja-JP"/>
        </w:rPr>
        <w:t xml:space="preserve"> permitted</w:t>
      </w:r>
      <w:r w:rsidR="007C0FDC">
        <w:rPr>
          <w:lang w:eastAsia="ja-JP"/>
        </w:rPr>
        <w:t xml:space="preserve"> in the pivotal trial of the reference product (</w:t>
      </w:r>
      <w:proofErr w:type="spellStart"/>
      <w:r w:rsidR="007C0FDC">
        <w:rPr>
          <w:lang w:eastAsia="ja-JP"/>
        </w:rPr>
        <w:t>Menter</w:t>
      </w:r>
      <w:proofErr w:type="spellEnd"/>
      <w:r w:rsidR="007C0FDC">
        <w:rPr>
          <w:lang w:eastAsia="ja-JP"/>
        </w:rPr>
        <w:t xml:space="preserve"> </w:t>
      </w:r>
      <w:r w:rsidR="007C0FDC" w:rsidRPr="006D4FA2">
        <w:rPr>
          <w:i/>
          <w:lang w:eastAsia="ja-JP"/>
        </w:rPr>
        <w:t>et al</w:t>
      </w:r>
      <w:r w:rsidR="007C0FDC">
        <w:rPr>
          <w:lang w:eastAsia="ja-JP"/>
        </w:rPr>
        <w:t>., 2008).</w:t>
      </w:r>
    </w:p>
    <w:p w14:paraId="1E065886" w14:textId="77777777" w:rsidR="007C0FDC" w:rsidRPr="005632DC" w:rsidRDefault="007C0FDC" w:rsidP="007C0FDC">
      <w:pPr>
        <w:pStyle w:val="Heading5"/>
        <w:numPr>
          <w:ilvl w:val="3"/>
          <w:numId w:val="5"/>
        </w:numPr>
      </w:pPr>
      <w:r w:rsidRPr="005632DC">
        <w:t>Efficacy variables and outcomes</w:t>
      </w:r>
    </w:p>
    <w:p w14:paraId="747ED98E" w14:textId="77777777" w:rsidR="007C0FDC" w:rsidRPr="001A389C" w:rsidRDefault="007C0FDC" w:rsidP="007C0FDC">
      <w:pPr>
        <w:pStyle w:val="Heading6"/>
      </w:pPr>
      <w:r>
        <w:t>PASI</w:t>
      </w:r>
      <w:r w:rsidRPr="001A389C">
        <w:t xml:space="preserve"> score</w:t>
      </w:r>
    </w:p>
    <w:p w14:paraId="416D045D" w14:textId="0D82DD02" w:rsidR="007C0FDC" w:rsidRDefault="007C0FDC" w:rsidP="007C0FDC">
      <w:pPr>
        <w:rPr>
          <w:lang w:eastAsia="ja-JP"/>
        </w:rPr>
      </w:pPr>
      <w:r>
        <w:rPr>
          <w:lang w:eastAsia="ja-JP"/>
        </w:rPr>
        <w:t xml:space="preserve">For the purposes of this study, the PASI score was used a key psoriasis assessment tool. The PASI measures the average redness (erythema), thickness (induration), and </w:t>
      </w:r>
      <w:proofErr w:type="spellStart"/>
      <w:r>
        <w:rPr>
          <w:lang w:eastAsia="ja-JP"/>
        </w:rPr>
        <w:t>scaliness</w:t>
      </w:r>
      <w:proofErr w:type="spellEnd"/>
      <w:r>
        <w:rPr>
          <w:lang w:eastAsia="ja-JP"/>
        </w:rPr>
        <w:t xml:space="preserve"> (each graded on a 0 to 4 scale) of psoriasis lesions, weighted by the area of involvement (</w:t>
      </w:r>
      <w:proofErr w:type="spellStart"/>
      <w:r>
        <w:rPr>
          <w:lang w:eastAsia="ja-JP"/>
        </w:rPr>
        <w:t>Fredriksson</w:t>
      </w:r>
      <w:proofErr w:type="spellEnd"/>
      <w:r>
        <w:rPr>
          <w:lang w:eastAsia="ja-JP"/>
        </w:rPr>
        <w:t xml:space="preserve"> </w:t>
      </w:r>
      <w:r w:rsidR="00ED7F6C">
        <w:rPr>
          <w:lang w:eastAsia="ja-JP"/>
        </w:rPr>
        <w:t xml:space="preserve">and </w:t>
      </w:r>
      <w:proofErr w:type="spellStart"/>
      <w:r>
        <w:rPr>
          <w:lang w:eastAsia="ja-JP"/>
        </w:rPr>
        <w:t>Pettersson</w:t>
      </w:r>
      <w:proofErr w:type="spellEnd"/>
      <w:r>
        <w:rPr>
          <w:lang w:eastAsia="ja-JP"/>
        </w:rPr>
        <w:t xml:space="preserve">, 1978; Feldman </w:t>
      </w:r>
      <w:r w:rsidR="00ED7F6C">
        <w:rPr>
          <w:lang w:eastAsia="ja-JP"/>
        </w:rPr>
        <w:t>and</w:t>
      </w:r>
      <w:r>
        <w:rPr>
          <w:lang w:eastAsia="ja-JP"/>
        </w:rPr>
        <w:t xml:space="preserve"> Krueger,</w:t>
      </w:r>
      <w:r w:rsidRPr="001940F2">
        <w:rPr>
          <w:lang w:eastAsia="ja-JP"/>
        </w:rPr>
        <w:t xml:space="preserve"> 2005</w:t>
      </w:r>
      <w:r>
        <w:rPr>
          <w:lang w:eastAsia="ja-JP"/>
        </w:rPr>
        <w:t xml:space="preserve">; </w:t>
      </w:r>
      <w:proofErr w:type="spellStart"/>
      <w:r w:rsidRPr="001940F2">
        <w:rPr>
          <w:lang w:eastAsia="ja-JP"/>
        </w:rPr>
        <w:t>Spuls</w:t>
      </w:r>
      <w:proofErr w:type="spellEnd"/>
      <w:r>
        <w:rPr>
          <w:lang w:eastAsia="ja-JP"/>
        </w:rPr>
        <w:t xml:space="preserve"> </w:t>
      </w:r>
      <w:r w:rsidRPr="000B682D">
        <w:rPr>
          <w:i/>
          <w:lang w:eastAsia="ja-JP"/>
        </w:rPr>
        <w:t>et al.</w:t>
      </w:r>
      <w:r>
        <w:rPr>
          <w:lang w:eastAsia="ja-JP"/>
        </w:rPr>
        <w:t xml:space="preserve">, </w:t>
      </w:r>
      <w:r w:rsidRPr="001940F2">
        <w:rPr>
          <w:lang w:eastAsia="ja-JP"/>
        </w:rPr>
        <w:t>2010.</w:t>
      </w:r>
      <w:r>
        <w:rPr>
          <w:lang w:eastAsia="ja-JP"/>
        </w:rPr>
        <w:t xml:space="preserve">). This will result in a score from 0 (no disease) to 72 (maximal disease), but </w:t>
      </w:r>
      <w:r w:rsidRPr="000B682D">
        <w:rPr>
          <w:lang w:eastAsia="ja-JP"/>
        </w:rPr>
        <w:t>that the upper end of the scale is rarely used</w:t>
      </w:r>
      <w:r>
        <w:rPr>
          <w:lang w:eastAsia="ja-JP"/>
        </w:rPr>
        <w:t>. Typically, a PASI score ≤ 10 is considered to be mild disease, and a score of 10</w:t>
      </w:r>
      <w:r w:rsidR="00ED7F6C">
        <w:rPr>
          <w:lang w:eastAsia="ja-JP"/>
        </w:rPr>
        <w:t xml:space="preserve"> to </w:t>
      </w:r>
      <w:r>
        <w:rPr>
          <w:lang w:eastAsia="ja-JP"/>
        </w:rPr>
        <w:t xml:space="preserve">20 moderate, </w:t>
      </w:r>
      <w:r>
        <w:rPr>
          <w:lang w:eastAsia="ja-JP"/>
        </w:rPr>
        <w:lastRenderedPageBreak/>
        <w:t>and a score &gt; 20 is considered severe. In this study, the assessments for a given subject were made by the same observer whenever possible.</w:t>
      </w:r>
    </w:p>
    <w:p w14:paraId="0E4D2D4B" w14:textId="77777777" w:rsidR="007C0FDC" w:rsidRPr="00325F70" w:rsidRDefault="007C0FDC" w:rsidP="007C0FDC">
      <w:pPr>
        <w:pStyle w:val="Heading6"/>
      </w:pPr>
      <w:r w:rsidRPr="00325F70">
        <w:t>Primary efficacy variable (endpoint)</w:t>
      </w:r>
    </w:p>
    <w:p w14:paraId="41CF50FD" w14:textId="77777777" w:rsidR="007C0FDC" w:rsidRPr="0013539C" w:rsidRDefault="007C0FDC" w:rsidP="007C0FDC">
      <w:pPr>
        <w:rPr>
          <w:lang w:eastAsia="ja-JP"/>
        </w:rPr>
      </w:pPr>
      <w:r w:rsidRPr="009F5855">
        <w:rPr>
          <w:lang w:eastAsia="ja-JP"/>
        </w:rPr>
        <w:t xml:space="preserve">The primary efficacy endpoint was </w:t>
      </w:r>
      <w:r>
        <w:rPr>
          <w:lang w:eastAsia="ja-JP"/>
        </w:rPr>
        <w:t>the PASI percent improvement from baseline at Week 16.</w:t>
      </w:r>
    </w:p>
    <w:p w14:paraId="4962E356" w14:textId="77777777" w:rsidR="007C0FDC" w:rsidRPr="00325F70" w:rsidRDefault="007C0FDC" w:rsidP="007C0FDC">
      <w:pPr>
        <w:pStyle w:val="Heading6"/>
      </w:pPr>
      <w:r w:rsidRPr="00325F70">
        <w:t>Secondary efficacy variables (endpoints)</w:t>
      </w:r>
    </w:p>
    <w:p w14:paraId="71B82385" w14:textId="77777777" w:rsidR="007C0FDC" w:rsidRPr="003A05CB" w:rsidRDefault="007C0FDC" w:rsidP="007C0FDC">
      <w:pPr>
        <w:rPr>
          <w:lang w:eastAsia="ja-JP"/>
        </w:rPr>
      </w:pPr>
      <w:r w:rsidRPr="003A05CB">
        <w:rPr>
          <w:lang w:eastAsia="ja-JP"/>
        </w:rPr>
        <w:t>The secondary efficacy endpoints were:</w:t>
      </w:r>
    </w:p>
    <w:p w14:paraId="403797E2" w14:textId="77777777" w:rsidR="007C0FDC" w:rsidRPr="003A05CB" w:rsidRDefault="007C0FDC" w:rsidP="007C0FDC">
      <w:pPr>
        <w:pStyle w:val="ListBullet"/>
        <w:numPr>
          <w:ilvl w:val="0"/>
          <w:numId w:val="1"/>
        </w:numPr>
        <w:rPr>
          <w:lang w:eastAsia="ja-JP"/>
        </w:rPr>
      </w:pPr>
      <w:r w:rsidRPr="003A05CB">
        <w:rPr>
          <w:lang w:eastAsia="ja-JP"/>
        </w:rPr>
        <w:t xml:space="preserve">PASI 75 response </w:t>
      </w:r>
      <w:r>
        <w:rPr>
          <w:lang w:eastAsia="ja-JP"/>
        </w:rPr>
        <w:t>at Weeks</w:t>
      </w:r>
      <w:r w:rsidRPr="003A05CB">
        <w:rPr>
          <w:lang w:eastAsia="ja-JP"/>
        </w:rPr>
        <w:t xml:space="preserve"> 16, 32, and 50</w:t>
      </w:r>
    </w:p>
    <w:p w14:paraId="2FCA889A" w14:textId="706544B4" w:rsidR="007C0FDC" w:rsidRPr="003A05CB" w:rsidRDefault="007C0FDC" w:rsidP="007C0FDC">
      <w:pPr>
        <w:pStyle w:val="ListBullet"/>
        <w:numPr>
          <w:ilvl w:val="0"/>
          <w:numId w:val="1"/>
        </w:numPr>
        <w:rPr>
          <w:lang w:eastAsia="ja-JP"/>
        </w:rPr>
      </w:pPr>
      <w:r w:rsidRPr="003A05CB">
        <w:rPr>
          <w:lang w:eastAsia="ja-JP"/>
        </w:rPr>
        <w:t xml:space="preserve">PASI percent improvement from </w:t>
      </w:r>
      <w:r w:rsidR="00E601D1">
        <w:rPr>
          <w:lang w:eastAsia="ja-JP"/>
        </w:rPr>
        <w:t>B</w:t>
      </w:r>
      <w:r w:rsidR="00E601D1" w:rsidRPr="003A05CB">
        <w:rPr>
          <w:lang w:eastAsia="ja-JP"/>
        </w:rPr>
        <w:t xml:space="preserve">aseline </w:t>
      </w:r>
      <w:r>
        <w:rPr>
          <w:lang w:eastAsia="ja-JP"/>
        </w:rPr>
        <w:t>at Weeks</w:t>
      </w:r>
      <w:r w:rsidRPr="003A05CB">
        <w:rPr>
          <w:lang w:eastAsia="ja-JP"/>
        </w:rPr>
        <w:t xml:space="preserve"> 32 and 50</w:t>
      </w:r>
    </w:p>
    <w:p w14:paraId="07E74B13" w14:textId="77777777" w:rsidR="007C0FDC" w:rsidRPr="003A05CB" w:rsidRDefault="007C0FDC" w:rsidP="007C0FDC">
      <w:pPr>
        <w:pStyle w:val="ListBullet"/>
        <w:numPr>
          <w:ilvl w:val="0"/>
          <w:numId w:val="1"/>
        </w:numPr>
        <w:rPr>
          <w:lang w:eastAsia="ja-JP"/>
        </w:rPr>
      </w:pPr>
      <w:r w:rsidRPr="003A05CB">
        <w:rPr>
          <w:lang w:eastAsia="ja-JP"/>
        </w:rPr>
        <w:t xml:space="preserve">sPGA responses (0/1) </w:t>
      </w:r>
      <w:r>
        <w:rPr>
          <w:lang w:eastAsia="ja-JP"/>
        </w:rPr>
        <w:t>at Weeks</w:t>
      </w:r>
      <w:r w:rsidRPr="003A05CB">
        <w:rPr>
          <w:lang w:eastAsia="ja-JP"/>
        </w:rPr>
        <w:t xml:space="preserve"> 16, 32, and 50</w:t>
      </w:r>
    </w:p>
    <w:p w14:paraId="4F37C42F" w14:textId="77777777" w:rsidR="007C0FDC" w:rsidRPr="00320614" w:rsidRDefault="007C0FDC" w:rsidP="007C0FDC">
      <w:pPr>
        <w:pStyle w:val="ListBullet"/>
        <w:numPr>
          <w:ilvl w:val="0"/>
          <w:numId w:val="1"/>
        </w:numPr>
        <w:rPr>
          <w:lang w:eastAsia="ja-JP"/>
        </w:rPr>
      </w:pPr>
      <w:r w:rsidRPr="003A05CB">
        <w:rPr>
          <w:lang w:eastAsia="ja-JP"/>
        </w:rPr>
        <w:t xml:space="preserve">BSA involvement </w:t>
      </w:r>
      <w:r>
        <w:rPr>
          <w:lang w:eastAsia="ja-JP"/>
        </w:rPr>
        <w:t>at Weeks</w:t>
      </w:r>
      <w:r w:rsidRPr="003A05CB">
        <w:rPr>
          <w:lang w:eastAsia="ja-JP"/>
        </w:rPr>
        <w:t xml:space="preserve"> 16, 32, and 50</w:t>
      </w:r>
    </w:p>
    <w:p w14:paraId="296E2654" w14:textId="77777777" w:rsidR="007C0FDC" w:rsidRPr="00325F70" w:rsidRDefault="007C0FDC" w:rsidP="007C0FDC">
      <w:pPr>
        <w:pStyle w:val="Heading6"/>
      </w:pPr>
      <w:r w:rsidRPr="00325F70">
        <w:t>Exploratory endpoints</w:t>
      </w:r>
    </w:p>
    <w:p w14:paraId="01C12389" w14:textId="77777777" w:rsidR="007C0FDC" w:rsidRDefault="007C0FDC" w:rsidP="007C0FDC">
      <w:pPr>
        <w:rPr>
          <w:lang w:eastAsia="ja-JP"/>
        </w:rPr>
      </w:pPr>
      <w:r w:rsidRPr="00C6106C">
        <w:rPr>
          <w:lang w:eastAsia="ja-JP"/>
        </w:rPr>
        <w:t>The exploratory endpoint was subject’s ranking of pain at injection site a</w:t>
      </w:r>
      <w:r>
        <w:rPr>
          <w:lang w:eastAsia="ja-JP"/>
        </w:rPr>
        <w:t>t baseline, Weeks 4, 8, and 12.</w:t>
      </w:r>
    </w:p>
    <w:p w14:paraId="4E4F25AD" w14:textId="29517D87" w:rsidR="00E601D1" w:rsidRPr="00AA7D1C" w:rsidRDefault="00ED7F6C" w:rsidP="00AA7D1C">
      <w:pPr>
        <w:pStyle w:val="Comment"/>
      </w:pPr>
      <w:r w:rsidRPr="00AA7D1C">
        <w:rPr>
          <w:b/>
        </w:rPr>
        <w:t>C</w:t>
      </w:r>
      <w:r w:rsidR="007C0FDC" w:rsidRPr="00AA7D1C">
        <w:rPr>
          <w:b/>
        </w:rPr>
        <w:t>omment:</w:t>
      </w:r>
      <w:r w:rsidR="00E601D1">
        <w:t xml:space="preserve"> </w:t>
      </w:r>
      <w:r w:rsidR="007C0FDC" w:rsidRPr="00AA7D1C">
        <w:t xml:space="preserve"> The relevant EU guidance ‘Guideline on the clinical investigation of medicinal products indicated for the treatment of psoriasis (CHMP/EWP/2454/02 </w:t>
      </w:r>
      <w:proofErr w:type="spellStart"/>
      <w:r w:rsidR="007C0FDC" w:rsidRPr="00AA7D1C">
        <w:t>corr</w:t>
      </w:r>
      <w:proofErr w:type="spellEnd"/>
      <w:r w:rsidR="007C0FDC" w:rsidRPr="00AA7D1C">
        <w:t>)’ specifies that the PASI score alone is not sufficient to evaluate psoriasis severity. There are multiple known issues with the PASI score, including: uncertain clinical significance of a change in PASI score; reduced usefulness beyond a PASI score of 30; overestimation of the surface area affected. However, there are no widely accepted alternatives and the PASI score has been commonly used in the past and allows for comparison with historical trials.</w:t>
      </w:r>
    </w:p>
    <w:p w14:paraId="78049C77" w14:textId="364963E2" w:rsidR="007C0FDC" w:rsidRPr="00AA7D1C" w:rsidRDefault="007C0FDC" w:rsidP="00AA7D1C">
      <w:pPr>
        <w:pStyle w:val="Comment"/>
        <w:ind w:firstLine="0"/>
      </w:pPr>
      <w:r w:rsidRPr="00AA7D1C">
        <w:t>The PASI score is an indicator in psoriasis that had been used in the reference product pivotal trial (</w:t>
      </w:r>
      <w:proofErr w:type="spellStart"/>
      <w:r w:rsidRPr="00AA7D1C">
        <w:t>Menter</w:t>
      </w:r>
      <w:proofErr w:type="spellEnd"/>
      <w:r w:rsidRPr="00AA7D1C">
        <w:t xml:space="preserve"> et al., 2008) as one of the two primary endpoints. The reference product trial used ‘percentage of subjects achieving PASI 75 response at Week 16’ rather than ‘PASI percent improvement from </w:t>
      </w:r>
      <w:r w:rsidR="00E601D1">
        <w:t>B</w:t>
      </w:r>
      <w:r w:rsidR="00E601D1" w:rsidRPr="00AA7D1C">
        <w:t xml:space="preserve">aseline </w:t>
      </w:r>
      <w:r w:rsidRPr="00AA7D1C">
        <w:t>at Week 16’). Therefore, the PASI 75 response at Week 16 needs to be specifically considered in this study. This study uses PASI percent improvement from baseline at Week 16. However, PASI 75 response at Weeks 16, 32, and 50 is included in this study as a secondary endpoint. It could be argued that, for an equivalence trial, the use of the continuous variable ‘PASI percent improvement’ is more suitable to detect smaller differences in treatment effect than the categorical variable ‘PASI 75’.</w:t>
      </w:r>
    </w:p>
    <w:p w14:paraId="63F379CA" w14:textId="3889A5A6" w:rsidR="007C0FDC" w:rsidRPr="00AA7D1C" w:rsidRDefault="007C0FDC" w:rsidP="00AA7D1C">
      <w:pPr>
        <w:pStyle w:val="Comment"/>
        <w:ind w:firstLine="0"/>
      </w:pPr>
      <w:r w:rsidRPr="00AA7D1C">
        <w:t>Both the PASI score and another validated score for psoriasis assessment (for example, the PGA score, or the BSA score) should be used to adequately assess efficacy. But given that this equivalence trial does not aim to establish efficacy de</w:t>
      </w:r>
      <w:r w:rsidR="00E601D1">
        <w:t> </w:t>
      </w:r>
      <w:r w:rsidRPr="00AA7D1C">
        <w:t>novo, but aims to establish equivalence, and given that the results for scores other than PASI have been provided, the chosen endpoints are acceptable for the purpose of this study</w:t>
      </w:r>
      <w:r w:rsidR="00E601D1" w:rsidRPr="00AA7D1C">
        <w:t>.</w:t>
      </w:r>
    </w:p>
    <w:p w14:paraId="0E941E44" w14:textId="77777777" w:rsidR="007C0FDC" w:rsidRPr="005632DC" w:rsidRDefault="007C0FDC" w:rsidP="00FA4021">
      <w:pPr>
        <w:pStyle w:val="Heading5"/>
      </w:pPr>
      <w:r w:rsidRPr="00FA4021">
        <w:t>Randomisation</w:t>
      </w:r>
      <w:r w:rsidRPr="005632DC">
        <w:t xml:space="preserve"> and blinding methods</w:t>
      </w:r>
    </w:p>
    <w:p w14:paraId="6359CF0C" w14:textId="77777777" w:rsidR="007C0FDC" w:rsidRPr="00325F70" w:rsidRDefault="007C0FDC" w:rsidP="007C0FDC">
      <w:pPr>
        <w:pStyle w:val="Heading6"/>
      </w:pPr>
      <w:r w:rsidRPr="00325F70">
        <w:t>Randomisation</w:t>
      </w:r>
    </w:p>
    <w:p w14:paraId="0768EFFB" w14:textId="18A231A9" w:rsidR="007C0FDC" w:rsidRDefault="007C0FDC" w:rsidP="007C0FDC">
      <w:pPr>
        <w:rPr>
          <w:lang w:eastAsia="ja-JP"/>
        </w:rPr>
      </w:pPr>
      <w:r w:rsidRPr="00CE7E77">
        <w:rPr>
          <w:lang w:eastAsia="ja-JP"/>
        </w:rPr>
        <w:t>Patients were randomly assigned in a 1:1 ratio to recei</w:t>
      </w:r>
      <w:r>
        <w:rPr>
          <w:lang w:eastAsia="ja-JP"/>
        </w:rPr>
        <w:t>ve either ABP</w:t>
      </w:r>
      <w:r w:rsidR="00E601D1">
        <w:rPr>
          <w:lang w:eastAsia="ja-JP"/>
        </w:rPr>
        <w:t xml:space="preserve"> </w:t>
      </w:r>
      <w:r>
        <w:rPr>
          <w:lang w:eastAsia="ja-JP"/>
        </w:rPr>
        <w:t xml:space="preserve">501 or adalimumab. </w:t>
      </w:r>
      <w:r w:rsidRPr="000A73C5">
        <w:rPr>
          <w:lang w:eastAsia="ja-JP"/>
        </w:rPr>
        <w:t>Randomisation was computer-generated prior to the commencement of the study. The scheme was prepared by a statistician not involved in the study in a blinded fashion using an interactive voice and web response system (IXRS).</w:t>
      </w:r>
    </w:p>
    <w:p w14:paraId="5FCB23E2" w14:textId="13A4B543" w:rsidR="007C0FDC" w:rsidRDefault="007C0FDC" w:rsidP="007C0FDC">
      <w:pPr>
        <w:rPr>
          <w:lang w:eastAsia="ja-JP"/>
        </w:rPr>
      </w:pPr>
      <w:r>
        <w:rPr>
          <w:lang w:eastAsia="ja-JP"/>
        </w:rPr>
        <w:lastRenderedPageBreak/>
        <w:t xml:space="preserve">As per study design, two sets of randomisation occurred: (1) at study commencement; and (2) at Week 16 when subjects from </w:t>
      </w:r>
      <w:r w:rsidRPr="002756E0">
        <w:rPr>
          <w:lang w:eastAsia="ja-JP"/>
        </w:rPr>
        <w:t xml:space="preserve">Treatment Group B with </w:t>
      </w:r>
      <w:r>
        <w:rPr>
          <w:lang w:eastAsia="ja-JP"/>
        </w:rPr>
        <w:t xml:space="preserve">a </w:t>
      </w:r>
      <w:r w:rsidRPr="002756E0">
        <w:rPr>
          <w:lang w:eastAsia="ja-JP"/>
        </w:rPr>
        <w:t>PASI 50 response</w:t>
      </w:r>
      <w:r>
        <w:rPr>
          <w:lang w:eastAsia="ja-JP"/>
        </w:rPr>
        <w:t xml:space="preserve"> were</w:t>
      </w:r>
      <w:r w:rsidRPr="002756E0">
        <w:rPr>
          <w:lang w:eastAsia="ja-JP"/>
        </w:rPr>
        <w:t xml:space="preserve"> re</w:t>
      </w:r>
      <w:r w:rsidR="00CA7685">
        <w:rPr>
          <w:lang w:eastAsia="ja-JP"/>
        </w:rPr>
        <w:noBreakHyphen/>
      </w:r>
      <w:r w:rsidRPr="002756E0">
        <w:rPr>
          <w:lang w:eastAsia="ja-JP"/>
        </w:rPr>
        <w:t>randomise</w:t>
      </w:r>
      <w:r>
        <w:rPr>
          <w:lang w:eastAsia="ja-JP"/>
        </w:rPr>
        <w:t>d and then split into 2 groups.</w:t>
      </w:r>
    </w:p>
    <w:p w14:paraId="0F2C7BAF" w14:textId="77777777" w:rsidR="007C0FDC" w:rsidRPr="000A73C5" w:rsidRDefault="007C0FDC" w:rsidP="007C0FDC">
      <w:pPr>
        <w:rPr>
          <w:lang w:eastAsia="ja-JP"/>
        </w:rPr>
      </w:pPr>
      <w:r>
        <w:rPr>
          <w:lang w:eastAsia="ja-JP"/>
        </w:rPr>
        <w:t>Both initial randomisation and re-randomisation were stratified by geographic region (Eastern Europe, Western Europe, and other) and prior biologic use for psoriasis (with prior biologic use capped at 50% of the study population).</w:t>
      </w:r>
    </w:p>
    <w:p w14:paraId="38918F3D" w14:textId="77777777" w:rsidR="007C0FDC" w:rsidRPr="00325F70" w:rsidRDefault="007C0FDC" w:rsidP="007C0FDC">
      <w:pPr>
        <w:pStyle w:val="Heading6"/>
      </w:pPr>
      <w:r w:rsidRPr="00325F70">
        <w:t>Blinding</w:t>
      </w:r>
    </w:p>
    <w:p w14:paraId="4330E682" w14:textId="77777777" w:rsidR="007C0FDC" w:rsidRPr="00233CC2" w:rsidRDefault="007C0FDC" w:rsidP="007C0FDC">
      <w:pPr>
        <w:rPr>
          <w:lang w:eastAsia="ja-JP"/>
        </w:rPr>
      </w:pPr>
      <w:r w:rsidRPr="00233CC2">
        <w:rPr>
          <w:lang w:eastAsia="ja-JP"/>
        </w:rPr>
        <w:t>The following were blinded until the end of the study period:</w:t>
      </w:r>
    </w:p>
    <w:p w14:paraId="4607F0C7" w14:textId="77777777" w:rsidR="007C0FDC" w:rsidRPr="00233CC2" w:rsidRDefault="007C0FDC" w:rsidP="00A30B28">
      <w:pPr>
        <w:pStyle w:val="ListBullet"/>
        <w:rPr>
          <w:lang w:eastAsia="ja-JP"/>
        </w:rPr>
      </w:pPr>
      <w:r w:rsidRPr="00233CC2">
        <w:rPr>
          <w:lang w:eastAsia="ja-JP"/>
        </w:rPr>
        <w:t>Subjects</w:t>
      </w:r>
    </w:p>
    <w:p w14:paraId="39ACDD2F" w14:textId="77777777" w:rsidR="007C0FDC" w:rsidRPr="00233CC2" w:rsidRDefault="007C0FDC" w:rsidP="00A30B28">
      <w:pPr>
        <w:pStyle w:val="ListBullet"/>
        <w:rPr>
          <w:lang w:eastAsia="ja-JP"/>
        </w:rPr>
      </w:pPr>
      <w:r w:rsidRPr="00233CC2">
        <w:rPr>
          <w:lang w:eastAsia="ja-JP"/>
        </w:rPr>
        <w:t>All personnel involved with the conduct and the interpretation of the study (including investigators, study centre personnel, and sponsor staff)</w:t>
      </w:r>
    </w:p>
    <w:p w14:paraId="37AE1437" w14:textId="77777777" w:rsidR="007C0FDC" w:rsidRDefault="007C0FDC" w:rsidP="007C0FDC">
      <w:pPr>
        <w:rPr>
          <w:lang w:eastAsia="ja-JP"/>
        </w:rPr>
      </w:pPr>
      <w:r w:rsidRPr="00233CC2">
        <w:rPr>
          <w:lang w:eastAsia="ja-JP"/>
        </w:rPr>
        <w:t>ABP 501 and adalimumab were provided in prefilled, indistinguishable syringes which were dispensed by the IXRS. However, in an emergency, the treatment assignment could have been retrieved through the IXRS.</w:t>
      </w:r>
    </w:p>
    <w:p w14:paraId="2C4A480A" w14:textId="77777777" w:rsidR="007C0FDC" w:rsidRPr="00233CC2" w:rsidRDefault="007C0FDC" w:rsidP="007C0FDC">
      <w:pPr>
        <w:rPr>
          <w:lang w:eastAsia="ja-JP"/>
        </w:rPr>
      </w:pPr>
      <w:r>
        <w:rPr>
          <w:lang w:eastAsia="ja-JP"/>
        </w:rPr>
        <w:t xml:space="preserve">After the primary </w:t>
      </w:r>
      <w:r w:rsidRPr="00D9323C">
        <w:rPr>
          <w:lang w:eastAsia="ja-JP"/>
        </w:rPr>
        <w:t xml:space="preserve">analysis, unblinded </w:t>
      </w:r>
      <w:r>
        <w:rPr>
          <w:lang w:eastAsia="ja-JP"/>
        </w:rPr>
        <w:t>personnel</w:t>
      </w:r>
      <w:r w:rsidRPr="00D9323C">
        <w:rPr>
          <w:lang w:eastAsia="ja-JP"/>
        </w:rPr>
        <w:t xml:space="preserve"> reviewed the unblinded stud</w:t>
      </w:r>
      <w:r>
        <w:rPr>
          <w:lang w:eastAsia="ja-JP"/>
        </w:rPr>
        <w:t xml:space="preserve">y data; they were not involved </w:t>
      </w:r>
      <w:r w:rsidRPr="00D9323C">
        <w:rPr>
          <w:lang w:eastAsia="ja-JP"/>
        </w:rPr>
        <w:t>in the study operations between the</w:t>
      </w:r>
      <w:r>
        <w:rPr>
          <w:lang w:eastAsia="ja-JP"/>
        </w:rPr>
        <w:t xml:space="preserve"> primary analysis and the final </w:t>
      </w:r>
      <w:r w:rsidRPr="00D9323C">
        <w:rPr>
          <w:lang w:eastAsia="ja-JP"/>
        </w:rPr>
        <w:t>analysis.</w:t>
      </w:r>
    </w:p>
    <w:p w14:paraId="38BA7B1B" w14:textId="77777777" w:rsidR="007C0FDC" w:rsidRPr="00325F70" w:rsidRDefault="007C0FDC" w:rsidP="007C0FDC">
      <w:pPr>
        <w:pStyle w:val="Heading6"/>
      </w:pPr>
      <w:r w:rsidRPr="00325F70">
        <w:t>Allocation concealment</w:t>
      </w:r>
    </w:p>
    <w:p w14:paraId="65117B9F" w14:textId="77777777" w:rsidR="007C0FDC" w:rsidRDefault="007C0FDC" w:rsidP="007C0FDC">
      <w:pPr>
        <w:rPr>
          <w:lang w:eastAsia="ja-JP"/>
        </w:rPr>
      </w:pPr>
      <w:r>
        <w:rPr>
          <w:lang w:eastAsia="ja-JP"/>
        </w:rPr>
        <w:t>Allocation concealment was not specifically discussed.</w:t>
      </w:r>
    </w:p>
    <w:p w14:paraId="6AC0612B" w14:textId="30CA8AA8" w:rsidR="007C0FDC" w:rsidRDefault="00CA7685" w:rsidP="007C0FDC">
      <w:pPr>
        <w:rPr>
          <w:lang w:eastAsia="ja-JP"/>
        </w:rPr>
      </w:pPr>
      <w:r>
        <w:rPr>
          <w:b/>
          <w:lang w:eastAsia="ja-JP"/>
        </w:rPr>
        <w:t>C</w:t>
      </w:r>
      <w:r w:rsidR="007C0FDC" w:rsidRPr="00567BA7">
        <w:rPr>
          <w:b/>
          <w:lang w:eastAsia="ja-JP"/>
        </w:rPr>
        <w:t>omment:</w:t>
      </w:r>
      <w:r w:rsidR="007C0FDC">
        <w:rPr>
          <w:b/>
          <w:lang w:eastAsia="ja-JP"/>
        </w:rPr>
        <w:t xml:space="preserve"> </w:t>
      </w:r>
      <w:r w:rsidR="007C0FDC">
        <w:rPr>
          <w:lang w:eastAsia="ja-JP"/>
        </w:rPr>
        <w:t>The randomisation and blinding methods were adequate.</w:t>
      </w:r>
    </w:p>
    <w:p w14:paraId="715CA9BA" w14:textId="77777777" w:rsidR="007C0FDC" w:rsidRPr="005632DC" w:rsidDel="0081373E" w:rsidRDefault="007C0FDC" w:rsidP="007C0FDC">
      <w:pPr>
        <w:pStyle w:val="Heading5"/>
        <w:numPr>
          <w:ilvl w:val="3"/>
          <w:numId w:val="5"/>
        </w:numPr>
      </w:pPr>
      <w:r w:rsidRPr="005632DC">
        <w:t>Analysis populations</w:t>
      </w:r>
    </w:p>
    <w:p w14:paraId="0AE82F1F" w14:textId="77777777" w:rsidR="007C0FDC" w:rsidRDefault="007C0FDC" w:rsidP="007C0FDC">
      <w:pPr>
        <w:rPr>
          <w:lang w:eastAsia="ja-JP"/>
        </w:rPr>
      </w:pPr>
      <w:r>
        <w:rPr>
          <w:lang w:eastAsia="ja-JP"/>
        </w:rPr>
        <w:t>The analysis populations consisted of the following:</w:t>
      </w:r>
    </w:p>
    <w:p w14:paraId="08647721" w14:textId="77777777" w:rsidR="007C0FDC" w:rsidRPr="00344A14" w:rsidRDefault="007C0FDC" w:rsidP="007C0FDC">
      <w:pPr>
        <w:pStyle w:val="ListBullet"/>
        <w:numPr>
          <w:ilvl w:val="0"/>
          <w:numId w:val="1"/>
        </w:numPr>
        <w:rPr>
          <w:lang w:eastAsia="ja-JP"/>
        </w:rPr>
      </w:pPr>
      <w:r w:rsidRPr="007F3959">
        <w:rPr>
          <w:i/>
          <w:lang w:eastAsia="ja-JP"/>
        </w:rPr>
        <w:t>Full Analysis Set:</w:t>
      </w:r>
      <w:r w:rsidRPr="00344A14">
        <w:rPr>
          <w:lang w:eastAsia="ja-JP"/>
        </w:rPr>
        <w:t xml:space="preserve"> consisted of all subjects initially randomised in the study (based on</w:t>
      </w:r>
      <w:r>
        <w:rPr>
          <w:lang w:eastAsia="ja-JP"/>
        </w:rPr>
        <w:t xml:space="preserve"> intention to treat principle). </w:t>
      </w:r>
      <w:r w:rsidRPr="00344A14">
        <w:rPr>
          <w:lang w:eastAsia="ja-JP"/>
        </w:rPr>
        <w:t>This set was used to perform the primary efficacy analysis</w:t>
      </w:r>
      <w:r>
        <w:rPr>
          <w:lang w:eastAsia="ja-JP"/>
        </w:rPr>
        <w:t>.</w:t>
      </w:r>
      <w:r w:rsidRPr="00344A14">
        <w:rPr>
          <w:lang w:eastAsia="ja-JP"/>
        </w:rPr>
        <w:t xml:space="preserve"> </w:t>
      </w:r>
    </w:p>
    <w:p w14:paraId="113AEFAD" w14:textId="6536152A" w:rsidR="007C0FDC" w:rsidRPr="001947F8" w:rsidRDefault="007C0FDC" w:rsidP="007C0FDC">
      <w:pPr>
        <w:pStyle w:val="ListBullet"/>
        <w:numPr>
          <w:ilvl w:val="0"/>
          <w:numId w:val="1"/>
        </w:numPr>
        <w:rPr>
          <w:lang w:eastAsia="ja-JP"/>
        </w:rPr>
      </w:pPr>
      <w:r w:rsidRPr="007F3959">
        <w:rPr>
          <w:i/>
          <w:lang w:eastAsia="ja-JP"/>
        </w:rPr>
        <w:t>Re-randomi</w:t>
      </w:r>
      <w:r w:rsidR="00CA7685">
        <w:rPr>
          <w:i/>
          <w:lang w:eastAsia="ja-JP"/>
        </w:rPr>
        <w:t>s</w:t>
      </w:r>
      <w:r w:rsidRPr="007F3959">
        <w:rPr>
          <w:i/>
          <w:lang w:eastAsia="ja-JP"/>
        </w:rPr>
        <w:t>ed Analysis Set</w:t>
      </w:r>
      <w:r w:rsidRPr="001947F8">
        <w:rPr>
          <w:lang w:eastAsia="ja-JP"/>
        </w:rPr>
        <w:t xml:space="preserve">: consisted of all subjects randomised </w:t>
      </w:r>
      <w:r>
        <w:rPr>
          <w:lang w:eastAsia="ja-JP"/>
        </w:rPr>
        <w:t>at Week 16</w:t>
      </w:r>
      <w:r w:rsidRPr="001947F8">
        <w:rPr>
          <w:lang w:eastAsia="ja-JP"/>
        </w:rPr>
        <w:t xml:space="preserve"> in the study (based on intention to treat principle).</w:t>
      </w:r>
    </w:p>
    <w:p w14:paraId="1D098CA7" w14:textId="77777777" w:rsidR="007C0FDC" w:rsidRPr="00017443" w:rsidRDefault="007C0FDC" w:rsidP="007C0FDC">
      <w:pPr>
        <w:pStyle w:val="ListBullet"/>
        <w:numPr>
          <w:ilvl w:val="0"/>
          <w:numId w:val="1"/>
        </w:numPr>
        <w:rPr>
          <w:lang w:eastAsia="ja-JP"/>
        </w:rPr>
      </w:pPr>
      <w:r w:rsidRPr="007F3959">
        <w:rPr>
          <w:i/>
          <w:lang w:eastAsia="ja-JP"/>
        </w:rPr>
        <w:t>Per-protocol Analysis Sets</w:t>
      </w:r>
      <w:r w:rsidRPr="00F55950">
        <w:rPr>
          <w:lang w:eastAsia="ja-JP"/>
        </w:rPr>
        <w:t xml:space="preserve">: subsets of the </w:t>
      </w:r>
      <w:r>
        <w:rPr>
          <w:lang w:eastAsia="ja-JP"/>
        </w:rPr>
        <w:t>Full Analysis Set</w:t>
      </w:r>
      <w:r w:rsidRPr="00F55950">
        <w:rPr>
          <w:lang w:eastAsia="ja-JP"/>
        </w:rPr>
        <w:t xml:space="preserve"> which included subjects who completed the specified treatment period and did not have a protocol violation that would affect evaluation of the primary objective of the study. Two Per-protocol Analysis Sets were created: (1) based on data up </w:t>
      </w:r>
      <w:r>
        <w:rPr>
          <w:lang w:eastAsia="ja-JP"/>
        </w:rPr>
        <w:t>to Week 16</w:t>
      </w:r>
      <w:r w:rsidRPr="00F55950">
        <w:rPr>
          <w:lang w:eastAsia="ja-JP"/>
        </w:rPr>
        <w:t xml:space="preserve">; (2) based on data </w:t>
      </w:r>
      <w:r>
        <w:rPr>
          <w:lang w:eastAsia="ja-JP"/>
        </w:rPr>
        <w:t>post Week 16</w:t>
      </w:r>
      <w:r w:rsidRPr="00F55950">
        <w:rPr>
          <w:lang w:eastAsia="ja-JP"/>
        </w:rPr>
        <w:t>.</w:t>
      </w:r>
      <w:r>
        <w:rPr>
          <w:lang w:eastAsia="ja-JP"/>
        </w:rPr>
        <w:t xml:space="preserve"> </w:t>
      </w:r>
      <w:r w:rsidRPr="00017443">
        <w:rPr>
          <w:lang w:eastAsia="ja-JP"/>
        </w:rPr>
        <w:t>These sets were used for sensitivity analyses of the key efficacy endpoints.</w:t>
      </w:r>
    </w:p>
    <w:p w14:paraId="12659D1D" w14:textId="77777777" w:rsidR="007C0FDC" w:rsidRPr="007F1A40" w:rsidRDefault="007C0FDC" w:rsidP="007C0FDC">
      <w:pPr>
        <w:pStyle w:val="ListBullet"/>
        <w:numPr>
          <w:ilvl w:val="0"/>
          <w:numId w:val="1"/>
        </w:numPr>
        <w:rPr>
          <w:lang w:eastAsia="ja-JP"/>
        </w:rPr>
      </w:pPr>
      <w:r w:rsidRPr="007F3959">
        <w:rPr>
          <w:i/>
          <w:lang w:eastAsia="ja-JP"/>
        </w:rPr>
        <w:t>Safety Analysis Set</w:t>
      </w:r>
      <w:r w:rsidRPr="007F1A40">
        <w:rPr>
          <w:lang w:eastAsia="ja-JP"/>
        </w:rPr>
        <w:t xml:space="preserve">: </w:t>
      </w:r>
      <w:r>
        <w:rPr>
          <w:lang w:eastAsia="ja-JP"/>
        </w:rPr>
        <w:t>included all randomis</w:t>
      </w:r>
      <w:r w:rsidRPr="007F1A40">
        <w:rPr>
          <w:lang w:eastAsia="ja-JP"/>
        </w:rPr>
        <w:t>ed subjects who received at least 1 dose of investigational product. In this study, this is a subset of the Full Analysis Set.</w:t>
      </w:r>
    </w:p>
    <w:p w14:paraId="5F492F16" w14:textId="77777777" w:rsidR="007C0FDC" w:rsidRPr="00F55950" w:rsidRDefault="007C0FDC" w:rsidP="007C0FDC">
      <w:pPr>
        <w:pStyle w:val="ListBullet"/>
        <w:numPr>
          <w:ilvl w:val="0"/>
          <w:numId w:val="1"/>
        </w:numPr>
        <w:rPr>
          <w:lang w:eastAsia="ja-JP"/>
        </w:rPr>
      </w:pPr>
      <w:r w:rsidRPr="007F3959">
        <w:rPr>
          <w:i/>
          <w:lang w:eastAsia="ja-JP"/>
        </w:rPr>
        <w:t>Antidrug Antibody Analysis Set</w:t>
      </w:r>
      <w:r w:rsidRPr="00F55950">
        <w:rPr>
          <w:lang w:eastAsia="ja-JP"/>
        </w:rPr>
        <w:t>: consisted of the subset of subjects in the safety</w:t>
      </w:r>
      <w:r>
        <w:rPr>
          <w:lang w:eastAsia="ja-JP"/>
        </w:rPr>
        <w:t xml:space="preserve"> analysis set who had at least one</w:t>
      </w:r>
      <w:r w:rsidRPr="00F55950">
        <w:rPr>
          <w:lang w:eastAsia="ja-JP"/>
        </w:rPr>
        <w:t xml:space="preserve"> evaluable antibody test result (to either ABP 501 or adalimumab). Immunogenicity data from subjects were analysed according to the actual treatment received.</w:t>
      </w:r>
    </w:p>
    <w:p w14:paraId="15A038C2" w14:textId="77777777" w:rsidR="007C0FDC" w:rsidRDefault="007C0FDC" w:rsidP="007C0FDC">
      <w:pPr>
        <w:pStyle w:val="ListBullet"/>
        <w:numPr>
          <w:ilvl w:val="0"/>
          <w:numId w:val="1"/>
        </w:numPr>
        <w:rPr>
          <w:lang w:eastAsia="ja-JP"/>
        </w:rPr>
      </w:pPr>
      <w:r w:rsidRPr="007F3959">
        <w:rPr>
          <w:i/>
          <w:lang w:eastAsia="ja-JP"/>
        </w:rPr>
        <w:t>Pharmacokinetic Analysis Set</w:t>
      </w:r>
      <w:r w:rsidRPr="00F55950">
        <w:rPr>
          <w:lang w:eastAsia="ja-JP"/>
        </w:rPr>
        <w:t>: consisted of the subset of subjects in the safety</w:t>
      </w:r>
      <w:r>
        <w:rPr>
          <w:lang w:eastAsia="ja-JP"/>
        </w:rPr>
        <w:t xml:space="preserve"> analysis set who had at least one</w:t>
      </w:r>
      <w:r w:rsidRPr="00F55950">
        <w:rPr>
          <w:lang w:eastAsia="ja-JP"/>
        </w:rPr>
        <w:t xml:space="preserve"> evaluable result for serum concentration of ABP 501 or adalimumab (including results below the level of detection). Pharmacokinetic concentration data from subjects were analysed according to the actual treatment received.</w:t>
      </w:r>
    </w:p>
    <w:p w14:paraId="3EAE352E" w14:textId="5F4FA341" w:rsidR="007C0FDC" w:rsidRDefault="00CA7685" w:rsidP="00AA7D1C">
      <w:pPr>
        <w:pStyle w:val="Comment"/>
        <w:rPr>
          <w:lang w:eastAsia="ja-JP"/>
        </w:rPr>
      </w:pPr>
      <w:r>
        <w:rPr>
          <w:b/>
          <w:lang w:eastAsia="ja-JP"/>
        </w:rPr>
        <w:t>C</w:t>
      </w:r>
      <w:r w:rsidR="007C0FDC" w:rsidRPr="00C85503">
        <w:rPr>
          <w:b/>
          <w:lang w:eastAsia="ja-JP"/>
        </w:rPr>
        <w:t>omment:</w:t>
      </w:r>
      <w:r w:rsidR="007C0FDC">
        <w:rPr>
          <w:lang w:eastAsia="ja-JP"/>
        </w:rPr>
        <w:t xml:space="preserve"> </w:t>
      </w:r>
      <w:r>
        <w:rPr>
          <w:lang w:eastAsia="ja-JP"/>
        </w:rPr>
        <w:t xml:space="preserve"> </w:t>
      </w:r>
      <w:r w:rsidR="007C0FDC" w:rsidRPr="00D102EC">
        <w:rPr>
          <w:lang w:eastAsia="ja-JP"/>
        </w:rPr>
        <w:t>The primary efficacy analysis was conducted using the intention-to-treat (ITT) population (</w:t>
      </w:r>
      <w:r w:rsidR="007C0FDC">
        <w:rPr>
          <w:lang w:eastAsia="ja-JP"/>
        </w:rPr>
        <w:t>Full Analysis Set</w:t>
      </w:r>
      <w:r w:rsidR="007C0FDC" w:rsidRPr="00D102EC">
        <w:rPr>
          <w:lang w:eastAsia="ja-JP"/>
        </w:rPr>
        <w:t xml:space="preserve">) and is the preferred method for superiority trials. There is no overall consensus on whether intention-to-treat population (ITT) or per-protocol (PP) population is preferable for equivalence trials. ITT analyses often </w:t>
      </w:r>
      <w:r w:rsidR="007C0FDC" w:rsidRPr="00D102EC">
        <w:rPr>
          <w:lang w:eastAsia="ja-JP"/>
        </w:rPr>
        <w:lastRenderedPageBreak/>
        <w:t>tend to bias the results toward equivalence. The preferred method is to provide analyses of both ITT and PP population sets, and the sponsor has done so at least for the key efficacy endpoints.</w:t>
      </w:r>
      <w:r w:rsidR="007C0FDC">
        <w:rPr>
          <w:lang w:eastAsia="ja-JP"/>
        </w:rPr>
        <w:t xml:space="preserve"> </w:t>
      </w:r>
      <w:r w:rsidR="007C0FDC" w:rsidRPr="00DA5C96">
        <w:rPr>
          <w:lang w:eastAsia="ja-JP"/>
        </w:rPr>
        <w:t>The main analysis population matched the population specified in the study protocol</w:t>
      </w:r>
      <w:r w:rsidR="0026170B">
        <w:rPr>
          <w:lang w:eastAsia="ja-JP"/>
        </w:rPr>
        <w:t>.</w:t>
      </w:r>
    </w:p>
    <w:p w14:paraId="3C3B0339" w14:textId="77777777" w:rsidR="007C0FDC" w:rsidRDefault="007C0FDC" w:rsidP="009633D2">
      <w:pPr>
        <w:pStyle w:val="Heading5"/>
      </w:pPr>
      <w:r w:rsidRPr="005632DC" w:rsidDel="0081373E">
        <w:t>S</w:t>
      </w:r>
      <w:r w:rsidRPr="005632DC">
        <w:t xml:space="preserve">ample </w:t>
      </w:r>
      <w:r w:rsidRPr="009633D2">
        <w:t>size</w:t>
      </w:r>
    </w:p>
    <w:p w14:paraId="3EF76F8F" w14:textId="58917DB8" w:rsidR="007C0FDC" w:rsidRPr="00281B06" w:rsidRDefault="007C0FDC" w:rsidP="007C0FDC">
      <w:pPr>
        <w:rPr>
          <w:lang w:eastAsia="ja-JP"/>
        </w:rPr>
      </w:pPr>
      <w:r>
        <w:rPr>
          <w:lang w:eastAsia="ja-JP"/>
        </w:rPr>
        <w:t xml:space="preserve">For the </w:t>
      </w:r>
      <w:r w:rsidRPr="00281B06">
        <w:rPr>
          <w:lang w:eastAsia="ja-JP"/>
        </w:rPr>
        <w:t xml:space="preserve">determination </w:t>
      </w:r>
      <w:r>
        <w:rPr>
          <w:lang w:eastAsia="ja-JP"/>
        </w:rPr>
        <w:t>of equivalence</w:t>
      </w:r>
      <w:r w:rsidRPr="00281B06">
        <w:rPr>
          <w:lang w:eastAsia="ja-JP"/>
        </w:rPr>
        <w:t xml:space="preserve"> </w:t>
      </w:r>
      <w:r>
        <w:rPr>
          <w:lang w:eastAsia="ja-JP"/>
        </w:rPr>
        <w:t xml:space="preserve">between </w:t>
      </w:r>
      <w:r w:rsidR="00FC5128">
        <w:rPr>
          <w:lang w:eastAsia="ja-JP"/>
        </w:rPr>
        <w:t>ABP 501</w:t>
      </w:r>
      <w:r>
        <w:rPr>
          <w:lang w:eastAsia="ja-JP"/>
        </w:rPr>
        <w:t xml:space="preserve"> and adalimumab treatment groups </w:t>
      </w:r>
      <w:r w:rsidRPr="00281B06">
        <w:rPr>
          <w:lang w:eastAsia="ja-JP"/>
        </w:rPr>
        <w:t>based on the primary endpoint (</w:t>
      </w:r>
      <w:r w:rsidRPr="00062D44">
        <w:rPr>
          <w:lang w:eastAsia="ja-JP"/>
        </w:rPr>
        <w:t>PASI percent improvement from baseline at Week 16</w:t>
      </w:r>
      <w:r w:rsidRPr="00281B06">
        <w:rPr>
          <w:lang w:eastAsia="ja-JP"/>
        </w:rPr>
        <w:t>)</w:t>
      </w:r>
      <w:r>
        <w:rPr>
          <w:lang w:eastAsia="ja-JP"/>
        </w:rPr>
        <w:t>, a</w:t>
      </w:r>
      <w:r w:rsidRPr="00281B06">
        <w:rPr>
          <w:lang w:eastAsia="ja-JP"/>
        </w:rPr>
        <w:t xml:space="preserve"> sample size of </w:t>
      </w:r>
      <w:r>
        <w:rPr>
          <w:lang w:eastAsia="ja-JP"/>
        </w:rPr>
        <w:t>340</w:t>
      </w:r>
      <w:r w:rsidRPr="00281B06">
        <w:rPr>
          <w:lang w:eastAsia="ja-JP"/>
        </w:rPr>
        <w:t xml:space="preserve"> subjects was </w:t>
      </w:r>
      <w:r>
        <w:rPr>
          <w:lang w:eastAsia="ja-JP"/>
        </w:rPr>
        <w:t>chosen</w:t>
      </w:r>
      <w:r w:rsidRPr="00281B06">
        <w:rPr>
          <w:lang w:eastAsia="ja-JP"/>
        </w:rPr>
        <w:t xml:space="preserve"> based on the following assumptions:</w:t>
      </w:r>
    </w:p>
    <w:p w14:paraId="357F9039" w14:textId="302023B6" w:rsidR="007C0FDC" w:rsidRPr="00281B06" w:rsidRDefault="007C0FDC" w:rsidP="00AA7D1C">
      <w:pPr>
        <w:pStyle w:val="ListBullet"/>
        <w:rPr>
          <w:lang w:eastAsia="ja-JP"/>
        </w:rPr>
      </w:pPr>
      <w:r w:rsidRPr="00281B06">
        <w:rPr>
          <w:lang w:eastAsia="ja-JP"/>
        </w:rPr>
        <w:t>1:1 randomisation (</w:t>
      </w:r>
      <w:r w:rsidR="00FC5128">
        <w:rPr>
          <w:lang w:eastAsia="ja-JP"/>
        </w:rPr>
        <w:t>ABP 501</w:t>
      </w:r>
      <w:r w:rsidRPr="00281B06">
        <w:rPr>
          <w:lang w:eastAsia="ja-JP"/>
        </w:rPr>
        <w:t xml:space="preserve"> : adalimumab)</w:t>
      </w:r>
      <w:r>
        <w:rPr>
          <w:lang w:eastAsia="ja-JP"/>
        </w:rPr>
        <w:t xml:space="preserve"> (until Week 16 only)</w:t>
      </w:r>
    </w:p>
    <w:p w14:paraId="79CCBB49" w14:textId="5C06D30F" w:rsidR="007C0FDC" w:rsidRPr="00281B06" w:rsidRDefault="007C0FDC" w:rsidP="00AA7D1C">
      <w:pPr>
        <w:pStyle w:val="ListBullet"/>
        <w:rPr>
          <w:lang w:eastAsia="ja-JP"/>
        </w:rPr>
      </w:pPr>
      <w:r w:rsidRPr="00281B06">
        <w:rPr>
          <w:lang w:eastAsia="ja-JP"/>
        </w:rPr>
        <w:t>Power &gt; 90%</w:t>
      </w:r>
    </w:p>
    <w:p w14:paraId="3E39E4E4" w14:textId="77777777" w:rsidR="007C0FDC" w:rsidRDefault="007C0FDC" w:rsidP="00AA7D1C">
      <w:pPr>
        <w:pStyle w:val="ListBullet"/>
        <w:rPr>
          <w:lang w:eastAsia="ja-JP"/>
        </w:rPr>
      </w:pPr>
      <w:r>
        <w:rPr>
          <w:lang w:eastAsia="ja-JP"/>
        </w:rPr>
        <w:t xml:space="preserve">Equivalence margin of ±15% </w:t>
      </w:r>
      <w:r w:rsidRPr="00281B06">
        <w:rPr>
          <w:lang w:eastAsia="ja-JP"/>
        </w:rPr>
        <w:t xml:space="preserve">with a significance level of </w:t>
      </w:r>
      <w:r>
        <w:rPr>
          <w:lang w:eastAsia="ja-JP"/>
        </w:rPr>
        <w:t>0.025.</w:t>
      </w:r>
    </w:p>
    <w:p w14:paraId="4E0EE4F4" w14:textId="77777777" w:rsidR="007C0FDC" w:rsidRDefault="007C0FDC" w:rsidP="007C0FDC">
      <w:pPr>
        <w:rPr>
          <w:lang w:eastAsia="ja-JP"/>
        </w:rPr>
      </w:pPr>
      <w:r w:rsidRPr="0087056A">
        <w:rPr>
          <w:lang w:eastAsia="ja-JP"/>
        </w:rPr>
        <w:t>Furthermore, the determined sample size for the primary endpoint was expected</w:t>
      </w:r>
      <w:r w:rsidRPr="00776A65">
        <w:rPr>
          <w:lang w:eastAsia="ja-JP"/>
        </w:rPr>
        <w:t xml:space="preserve"> </w:t>
      </w:r>
      <w:r w:rsidRPr="0087056A">
        <w:rPr>
          <w:lang w:eastAsia="ja-JP"/>
        </w:rPr>
        <w:t xml:space="preserve">to </w:t>
      </w:r>
      <w:r>
        <w:rPr>
          <w:lang w:eastAsia="ja-JP"/>
        </w:rPr>
        <w:t>achieve 80% power to demonstrate non-inferiority at a significance level of 0.025 on Week 52 immunogenicity with a non-inferiority margin of 21.7%, which is one-third of the estimated Week 52 immunogenicity rate</w:t>
      </w:r>
      <w:r w:rsidRPr="00581437">
        <w:rPr>
          <w:lang w:eastAsia="ja-JP"/>
        </w:rPr>
        <w:t xml:space="preserve"> </w:t>
      </w:r>
      <w:r>
        <w:rPr>
          <w:lang w:eastAsia="ja-JP"/>
        </w:rPr>
        <w:t>of 65%.</w:t>
      </w:r>
    </w:p>
    <w:p w14:paraId="2C725496" w14:textId="0CDBCD67" w:rsidR="007C0FDC" w:rsidRDefault="00F01EB4" w:rsidP="00AA7D1C">
      <w:pPr>
        <w:pStyle w:val="Comment"/>
        <w:rPr>
          <w:lang w:eastAsia="ja-JP"/>
        </w:rPr>
      </w:pPr>
      <w:r>
        <w:rPr>
          <w:b/>
          <w:lang w:eastAsia="ja-JP"/>
        </w:rPr>
        <w:t>Comment</w:t>
      </w:r>
      <w:r w:rsidR="007C0FDC" w:rsidRPr="00567BA7">
        <w:rPr>
          <w:b/>
          <w:lang w:eastAsia="ja-JP"/>
        </w:rPr>
        <w:t>:</w:t>
      </w:r>
      <w:r w:rsidR="007C0FDC">
        <w:rPr>
          <w:b/>
          <w:lang w:eastAsia="ja-JP"/>
        </w:rPr>
        <w:t xml:space="preserve"> </w:t>
      </w:r>
      <w:r>
        <w:rPr>
          <w:b/>
          <w:lang w:eastAsia="ja-JP"/>
        </w:rPr>
        <w:t xml:space="preserve"> </w:t>
      </w:r>
      <w:r w:rsidR="007C0FDC">
        <w:rPr>
          <w:lang w:eastAsia="ja-JP"/>
        </w:rPr>
        <w:t>The assumptions used for determining the sample size are reasonable. However, the sponsor should have also considered sample size calculations for at least one of the secondary efficacy endpoints.</w:t>
      </w:r>
    </w:p>
    <w:p w14:paraId="3923C034" w14:textId="6763B1EC" w:rsidR="007C0FDC" w:rsidRDefault="007C0FDC" w:rsidP="009633D2">
      <w:pPr>
        <w:pStyle w:val="Heading5"/>
      </w:pPr>
      <w:r w:rsidRPr="009633D2">
        <w:t>Statistical</w:t>
      </w:r>
      <w:r w:rsidRPr="005632DC">
        <w:t xml:space="preserve"> methods</w:t>
      </w:r>
    </w:p>
    <w:p w14:paraId="2B917032" w14:textId="77777777" w:rsidR="007C0FDC" w:rsidRDefault="007C0FDC" w:rsidP="007C0FDC">
      <w:pPr>
        <w:rPr>
          <w:lang w:eastAsia="ja-JP"/>
        </w:rPr>
      </w:pPr>
      <w:r>
        <w:rPr>
          <w:lang w:eastAsia="ja-JP"/>
        </w:rPr>
        <w:t>Inferential analyses will only be performed for the primary endpoint, and the analyses on the secondary variables are to be considered descriptive.</w:t>
      </w:r>
      <w:r w:rsidRPr="00F76922">
        <w:rPr>
          <w:lang w:eastAsia="ja-JP"/>
        </w:rPr>
        <w:t xml:space="preserve"> </w:t>
      </w:r>
      <w:r w:rsidRPr="0087109A">
        <w:rPr>
          <w:lang w:eastAsia="ja-JP"/>
        </w:rPr>
        <w:t>All endpoints had des</w:t>
      </w:r>
      <w:r>
        <w:rPr>
          <w:lang w:eastAsia="ja-JP"/>
        </w:rPr>
        <w:t xml:space="preserve">criptive summaries: </w:t>
      </w:r>
      <w:r w:rsidRPr="0087109A">
        <w:rPr>
          <w:lang w:eastAsia="ja-JP"/>
        </w:rPr>
        <w:t xml:space="preserve">categorical variable results were shown using the number and per cent of subjects in each </w:t>
      </w:r>
      <w:r>
        <w:rPr>
          <w:lang w:eastAsia="ja-JP"/>
        </w:rPr>
        <w:t>category; t</w:t>
      </w:r>
      <w:r w:rsidRPr="0087109A">
        <w:rPr>
          <w:lang w:eastAsia="ja-JP"/>
        </w:rPr>
        <w:t>he continuous variable results were shown using mean, standard deviation, median, minimum, maximum, and number of subjects with observations.</w:t>
      </w:r>
    </w:p>
    <w:p w14:paraId="0589F7D3" w14:textId="77777777" w:rsidR="007C0FDC" w:rsidRDefault="007C0FDC" w:rsidP="007C0FDC">
      <w:pPr>
        <w:rPr>
          <w:lang w:eastAsia="ja-JP"/>
        </w:rPr>
      </w:pPr>
      <w:r>
        <w:rPr>
          <w:lang w:eastAsia="ja-JP"/>
        </w:rPr>
        <w:t>For the primary analysis (</w:t>
      </w:r>
      <w:r w:rsidRPr="00935B0A">
        <w:rPr>
          <w:lang w:eastAsia="ja-JP"/>
        </w:rPr>
        <w:t xml:space="preserve">PASI change from baseline </w:t>
      </w:r>
      <w:r>
        <w:rPr>
          <w:lang w:eastAsia="ja-JP"/>
        </w:rPr>
        <w:t>at Week 16), the ‘Last Observation Carried Forward’ method was used to accommodate missing data.</w:t>
      </w:r>
    </w:p>
    <w:p w14:paraId="18F4FBF9" w14:textId="77777777" w:rsidR="007C0FDC" w:rsidRDefault="007C0FDC" w:rsidP="007C0FDC">
      <w:pPr>
        <w:rPr>
          <w:lang w:eastAsia="ja-JP"/>
        </w:rPr>
      </w:pPr>
      <w:r>
        <w:rPr>
          <w:lang w:eastAsia="ja-JP"/>
        </w:rPr>
        <w:t>For post Week 16 re-randomisation data, analysis was conducted on the observed data only. Missing efficacy endpoints were not imputed.</w:t>
      </w:r>
    </w:p>
    <w:p w14:paraId="09733A48" w14:textId="77777777" w:rsidR="007C0FDC" w:rsidRDefault="007C0FDC" w:rsidP="009633D2">
      <w:pPr>
        <w:rPr>
          <w:lang w:eastAsia="ja-JP"/>
        </w:rPr>
      </w:pPr>
      <w:r>
        <w:rPr>
          <w:lang w:eastAsia="ja-JP"/>
        </w:rPr>
        <w:t>For sensitivity analyses of efficacy endpoints, the Full Analysis Set and per-protocol analysis sets also used observed cases (without LOCF). For sensitivity analyses of binary efficacy endpoints, subjects with a missing binary response were imputed as non-responders for the Full Analysis Set.</w:t>
      </w:r>
    </w:p>
    <w:p w14:paraId="248F7FD3" w14:textId="76AD8BD7" w:rsidR="007C0FDC" w:rsidRPr="00325F70" w:rsidRDefault="007C0FDC" w:rsidP="007C0FDC">
      <w:pPr>
        <w:pStyle w:val="Heading6"/>
      </w:pPr>
      <w:r w:rsidRPr="00325F70">
        <w:t xml:space="preserve">Primary </w:t>
      </w:r>
      <w:r w:rsidR="00F01EB4">
        <w:t>e</w:t>
      </w:r>
      <w:r w:rsidRPr="00325F70">
        <w:t>ndpoint</w:t>
      </w:r>
    </w:p>
    <w:p w14:paraId="302786D0" w14:textId="77777777" w:rsidR="007C0FDC" w:rsidRPr="008F0286" w:rsidRDefault="007C0FDC" w:rsidP="007C0FDC">
      <w:pPr>
        <w:rPr>
          <w:lang w:eastAsia="ja-JP"/>
        </w:rPr>
      </w:pPr>
      <w:r>
        <w:rPr>
          <w:lang w:eastAsia="ja-JP"/>
        </w:rPr>
        <w:t xml:space="preserve">The primary endpoint was the PASI percent improvement from baseline to Week 16. Clinical equivalence of the primary endpoint was evaluated by comparing the 2-sided 95% confidence interval (CI) of using a pre-specified equivalence margin of (-15, 15). </w:t>
      </w:r>
      <w:r w:rsidRPr="008F0286">
        <w:rPr>
          <w:lang w:eastAsia="ja-JP"/>
        </w:rPr>
        <w:t xml:space="preserve">The 2-sided 95% CI of the group difference was estimated using an </w:t>
      </w:r>
      <w:r>
        <w:rPr>
          <w:lang w:eastAsia="ja-JP"/>
        </w:rPr>
        <w:t>ANCOVA model. C</w:t>
      </w:r>
      <w:r w:rsidRPr="008F0286">
        <w:rPr>
          <w:lang w:eastAsia="ja-JP"/>
        </w:rPr>
        <w:t xml:space="preserve">ovariates </w:t>
      </w:r>
      <w:r>
        <w:rPr>
          <w:lang w:eastAsia="ja-JP"/>
        </w:rPr>
        <w:t xml:space="preserve">were </w:t>
      </w:r>
      <w:r w:rsidRPr="008F0286">
        <w:rPr>
          <w:lang w:eastAsia="ja-JP"/>
        </w:rPr>
        <w:t>baseline PASI score and stratification factors (geographic region and pr</w:t>
      </w:r>
      <w:r>
        <w:rPr>
          <w:lang w:eastAsia="ja-JP"/>
        </w:rPr>
        <w:t>ior biologic use for psoriasis).</w:t>
      </w:r>
    </w:p>
    <w:p w14:paraId="776BA623" w14:textId="7ADAA087" w:rsidR="007C0FDC" w:rsidRPr="00325F70" w:rsidRDefault="007C0FDC" w:rsidP="007C0FDC">
      <w:pPr>
        <w:pStyle w:val="Heading6"/>
      </w:pPr>
      <w:r w:rsidRPr="00325F70">
        <w:t xml:space="preserve">Secondary </w:t>
      </w:r>
      <w:r w:rsidR="00F01EB4">
        <w:t>e</w:t>
      </w:r>
      <w:r w:rsidRPr="00325F70">
        <w:t>ndpoints</w:t>
      </w:r>
    </w:p>
    <w:p w14:paraId="77D17EFA" w14:textId="77777777" w:rsidR="007C0FDC" w:rsidRDefault="007C0FDC" w:rsidP="007C0FDC">
      <w:pPr>
        <w:rPr>
          <w:lang w:eastAsia="ja-JP"/>
        </w:rPr>
      </w:pPr>
      <w:r>
        <w:rPr>
          <w:lang w:eastAsia="ja-JP"/>
        </w:rPr>
        <w:t xml:space="preserve">Secondary efficacy endpoints were: </w:t>
      </w:r>
      <w:r w:rsidRPr="003A05CB">
        <w:rPr>
          <w:lang w:eastAsia="ja-JP"/>
        </w:rPr>
        <w:t xml:space="preserve">PASI 75 response </w:t>
      </w:r>
      <w:r>
        <w:rPr>
          <w:lang w:eastAsia="ja-JP"/>
        </w:rPr>
        <w:t>at Weeks</w:t>
      </w:r>
      <w:r w:rsidRPr="003A05CB">
        <w:rPr>
          <w:lang w:eastAsia="ja-JP"/>
        </w:rPr>
        <w:t xml:space="preserve"> 16, 32, and 50</w:t>
      </w:r>
      <w:r>
        <w:rPr>
          <w:lang w:eastAsia="ja-JP"/>
        </w:rPr>
        <w:t xml:space="preserve">; </w:t>
      </w:r>
      <w:r w:rsidRPr="003A05CB">
        <w:rPr>
          <w:lang w:eastAsia="ja-JP"/>
        </w:rPr>
        <w:t xml:space="preserve">PASI percent improvement from baseline </w:t>
      </w:r>
      <w:r>
        <w:rPr>
          <w:lang w:eastAsia="ja-JP"/>
        </w:rPr>
        <w:t>at Weeks</w:t>
      </w:r>
      <w:r w:rsidRPr="003A05CB">
        <w:rPr>
          <w:lang w:eastAsia="ja-JP"/>
        </w:rPr>
        <w:t xml:space="preserve"> 32 and 50</w:t>
      </w:r>
      <w:r>
        <w:rPr>
          <w:lang w:eastAsia="ja-JP"/>
        </w:rPr>
        <w:t xml:space="preserve">; </w:t>
      </w:r>
      <w:r w:rsidRPr="003A05CB">
        <w:rPr>
          <w:lang w:eastAsia="ja-JP"/>
        </w:rPr>
        <w:t>sPGA responses (0/1) at Weeks 16, 32, and 50</w:t>
      </w:r>
      <w:r>
        <w:rPr>
          <w:lang w:eastAsia="ja-JP"/>
        </w:rPr>
        <w:t xml:space="preserve">; </w:t>
      </w:r>
      <w:r w:rsidRPr="003A05CB">
        <w:rPr>
          <w:lang w:eastAsia="ja-JP"/>
        </w:rPr>
        <w:t xml:space="preserve">BSA involvement </w:t>
      </w:r>
      <w:r>
        <w:rPr>
          <w:lang w:eastAsia="ja-JP"/>
        </w:rPr>
        <w:t>at Weeks</w:t>
      </w:r>
      <w:r w:rsidRPr="003A05CB">
        <w:rPr>
          <w:lang w:eastAsia="ja-JP"/>
        </w:rPr>
        <w:t xml:space="preserve"> 16, 32, and 50</w:t>
      </w:r>
      <w:r>
        <w:rPr>
          <w:lang w:eastAsia="ja-JP"/>
        </w:rPr>
        <w:t>.</w:t>
      </w:r>
    </w:p>
    <w:p w14:paraId="3B013D2C" w14:textId="77777777" w:rsidR="007C0FDC" w:rsidRDefault="007C0FDC" w:rsidP="007C0FDC">
      <w:pPr>
        <w:rPr>
          <w:lang w:eastAsia="ja-JP"/>
        </w:rPr>
      </w:pPr>
      <w:r>
        <w:rPr>
          <w:lang w:eastAsia="ja-JP"/>
        </w:rPr>
        <w:t>PASI 75 and PASI 50 response at Weeks</w:t>
      </w:r>
      <w:r w:rsidRPr="00AA7D1C">
        <w:rPr>
          <w:lang w:eastAsia="ja-JP"/>
        </w:rPr>
        <w:t xml:space="preserve"> 4, 8, 12, and 16</w:t>
      </w:r>
      <w:r w:rsidRPr="00F01EB4">
        <w:rPr>
          <w:lang w:eastAsia="ja-JP"/>
        </w:rPr>
        <w:t>:</w:t>
      </w:r>
      <w:r>
        <w:rPr>
          <w:lang w:eastAsia="ja-JP"/>
        </w:rPr>
        <w:t xml:space="preserve"> 90% and 95% CIs for the risk difference (RD) and risk ratio (RR) between treatment group </w:t>
      </w:r>
      <w:r w:rsidRPr="00AA7D1C">
        <w:rPr>
          <w:lang w:eastAsia="ja-JP"/>
        </w:rPr>
        <w:t>A</w:t>
      </w:r>
      <w:r w:rsidRPr="00F01EB4">
        <w:rPr>
          <w:lang w:eastAsia="ja-JP"/>
        </w:rPr>
        <w:t xml:space="preserve"> and </w:t>
      </w:r>
      <w:r w:rsidRPr="00AA7D1C">
        <w:rPr>
          <w:lang w:eastAsia="ja-JP"/>
        </w:rPr>
        <w:t>B</w:t>
      </w:r>
      <w:r>
        <w:rPr>
          <w:lang w:eastAsia="ja-JP"/>
        </w:rPr>
        <w:t xml:space="preserve"> were estimated using a generalised linear model with stratification factors and baseline PASI score as covariates.</w:t>
      </w:r>
    </w:p>
    <w:p w14:paraId="3994A0AB" w14:textId="77777777" w:rsidR="007C0FDC" w:rsidRPr="00F01EB4" w:rsidRDefault="007C0FDC" w:rsidP="007C0FDC">
      <w:pPr>
        <w:rPr>
          <w:lang w:eastAsia="ja-JP"/>
        </w:rPr>
      </w:pPr>
      <w:r w:rsidRPr="00F01EB4">
        <w:rPr>
          <w:lang w:eastAsia="ja-JP"/>
        </w:rPr>
        <w:lastRenderedPageBreak/>
        <w:t>PASI 75 and PASI 50 response at Weeks</w:t>
      </w:r>
      <w:r w:rsidRPr="00AA7D1C">
        <w:rPr>
          <w:lang w:eastAsia="ja-JP"/>
        </w:rPr>
        <w:t xml:space="preserve"> 32 and 50</w:t>
      </w:r>
      <w:r w:rsidRPr="00F01EB4">
        <w:rPr>
          <w:lang w:eastAsia="ja-JP"/>
        </w:rPr>
        <w:t xml:space="preserve">: 90% and 95% CIs for the risk difference (RD) and risk ratio (RR) between groups </w:t>
      </w:r>
      <w:r w:rsidRPr="00AA7D1C">
        <w:rPr>
          <w:lang w:eastAsia="ja-JP"/>
        </w:rPr>
        <w:t>A</w:t>
      </w:r>
      <w:r w:rsidRPr="00F01EB4">
        <w:rPr>
          <w:lang w:eastAsia="ja-JP"/>
        </w:rPr>
        <w:t xml:space="preserve"> and </w:t>
      </w:r>
      <w:r w:rsidRPr="00AA7D1C">
        <w:rPr>
          <w:lang w:eastAsia="ja-JP"/>
        </w:rPr>
        <w:t>B1</w:t>
      </w:r>
      <w:r w:rsidRPr="00F01EB4">
        <w:rPr>
          <w:lang w:eastAsia="ja-JP"/>
        </w:rPr>
        <w:t xml:space="preserve">, and between groups </w:t>
      </w:r>
      <w:r w:rsidRPr="00AA7D1C">
        <w:rPr>
          <w:lang w:eastAsia="ja-JP"/>
        </w:rPr>
        <w:t>B2</w:t>
      </w:r>
      <w:r w:rsidRPr="00F01EB4">
        <w:rPr>
          <w:lang w:eastAsia="ja-JP"/>
        </w:rPr>
        <w:t xml:space="preserve"> and </w:t>
      </w:r>
      <w:r w:rsidRPr="00AA7D1C">
        <w:rPr>
          <w:lang w:eastAsia="ja-JP"/>
        </w:rPr>
        <w:t>B1</w:t>
      </w:r>
      <w:r w:rsidRPr="00F01EB4">
        <w:rPr>
          <w:lang w:eastAsia="ja-JP"/>
        </w:rPr>
        <w:t xml:space="preserve"> were estimated using a generalised linear model with stratification factors and baseline PASI score as covariates.</w:t>
      </w:r>
    </w:p>
    <w:p w14:paraId="15E4983D" w14:textId="304D4AC3" w:rsidR="007C0FDC" w:rsidRPr="00F01EB4" w:rsidRDefault="007C0FDC" w:rsidP="007C0FDC">
      <w:pPr>
        <w:rPr>
          <w:lang w:eastAsia="ja-JP"/>
        </w:rPr>
      </w:pPr>
      <w:r w:rsidRPr="00F01EB4">
        <w:rPr>
          <w:lang w:eastAsia="ja-JP"/>
        </w:rPr>
        <w:t xml:space="preserve">PASI percent improvement from </w:t>
      </w:r>
      <w:r w:rsidR="00F01EB4">
        <w:rPr>
          <w:lang w:eastAsia="ja-JP"/>
        </w:rPr>
        <w:t>B</w:t>
      </w:r>
      <w:r w:rsidRPr="00F01EB4">
        <w:rPr>
          <w:lang w:eastAsia="ja-JP"/>
        </w:rPr>
        <w:t>aseline at Weeks</w:t>
      </w:r>
      <w:r w:rsidRPr="00AA7D1C">
        <w:rPr>
          <w:lang w:eastAsia="ja-JP"/>
        </w:rPr>
        <w:t xml:space="preserve"> 32 and 50</w:t>
      </w:r>
      <w:r w:rsidRPr="00F01EB4">
        <w:rPr>
          <w:lang w:eastAsia="ja-JP"/>
        </w:rPr>
        <w:t xml:space="preserve">: 90% and 95% CIs for the risk difference (RD) between groups </w:t>
      </w:r>
      <w:r w:rsidRPr="00AA7D1C">
        <w:rPr>
          <w:lang w:eastAsia="ja-JP"/>
        </w:rPr>
        <w:t>A</w:t>
      </w:r>
      <w:r w:rsidRPr="00F01EB4">
        <w:rPr>
          <w:lang w:eastAsia="ja-JP"/>
        </w:rPr>
        <w:t xml:space="preserve"> and </w:t>
      </w:r>
      <w:r w:rsidRPr="00AA7D1C">
        <w:rPr>
          <w:lang w:eastAsia="ja-JP"/>
        </w:rPr>
        <w:t>B1</w:t>
      </w:r>
      <w:r w:rsidRPr="00F01EB4">
        <w:rPr>
          <w:lang w:eastAsia="ja-JP"/>
        </w:rPr>
        <w:t xml:space="preserve">, and between groups </w:t>
      </w:r>
      <w:r w:rsidRPr="00AA7D1C">
        <w:rPr>
          <w:lang w:eastAsia="ja-JP"/>
        </w:rPr>
        <w:t>B2</w:t>
      </w:r>
      <w:r w:rsidRPr="00F01EB4">
        <w:rPr>
          <w:lang w:eastAsia="ja-JP"/>
        </w:rPr>
        <w:t xml:space="preserve"> and </w:t>
      </w:r>
      <w:r w:rsidRPr="00AA7D1C">
        <w:rPr>
          <w:lang w:eastAsia="ja-JP"/>
        </w:rPr>
        <w:t>B1</w:t>
      </w:r>
      <w:r w:rsidRPr="00F01EB4">
        <w:rPr>
          <w:lang w:eastAsia="ja-JP"/>
        </w:rPr>
        <w:t xml:space="preserve"> were estimated using an ANCOVA model that contained all 3 treatment combinations and had baseline PASI score and stratification factors (geographic region and prior biologic use for psoriasis) as covariates.</w:t>
      </w:r>
    </w:p>
    <w:p w14:paraId="7DB12703" w14:textId="77777777" w:rsidR="007C0FDC" w:rsidRPr="00F01EB4" w:rsidRDefault="007C0FDC" w:rsidP="009633D2">
      <w:pPr>
        <w:rPr>
          <w:lang w:eastAsia="ja-JP"/>
        </w:rPr>
      </w:pPr>
      <w:proofErr w:type="gramStart"/>
      <w:r w:rsidRPr="007A0BC6">
        <w:rPr>
          <w:lang w:eastAsia="ja-JP"/>
        </w:rPr>
        <w:t>sPGA</w:t>
      </w:r>
      <w:proofErr w:type="gramEnd"/>
      <w:r w:rsidRPr="007A0BC6">
        <w:rPr>
          <w:lang w:eastAsia="ja-JP"/>
        </w:rPr>
        <w:t xml:space="preserve"> responses (0/1) at Weeks 16, 32, and 50: 90% and 95% CIs for the RD and RR of sPGA response were estimated using a generalised linear model (a log-binomial regression model) adjusted for the stratification factors and base</w:t>
      </w:r>
      <w:r w:rsidRPr="00F01EB4">
        <w:rPr>
          <w:lang w:eastAsia="ja-JP"/>
        </w:rPr>
        <w:t>line sPGA categories.</w:t>
      </w:r>
    </w:p>
    <w:p w14:paraId="1032898A" w14:textId="77777777" w:rsidR="007C0FDC" w:rsidRPr="00F01EB4" w:rsidRDefault="007C0FDC" w:rsidP="007C0FDC">
      <w:pPr>
        <w:rPr>
          <w:lang w:eastAsia="ja-JP"/>
        </w:rPr>
      </w:pPr>
      <w:r w:rsidRPr="00F01EB4">
        <w:rPr>
          <w:lang w:eastAsia="ja-JP"/>
        </w:rPr>
        <w:t>BSA involvement at Weeks 16, 32, and 50: 90% and 95% CIs for the differences in change from baseline:</w:t>
      </w:r>
    </w:p>
    <w:p w14:paraId="7DD338E3" w14:textId="2039EE16" w:rsidR="007C0FDC" w:rsidRPr="00F01EB4" w:rsidRDefault="007C0FDC" w:rsidP="007C0FDC">
      <w:pPr>
        <w:pStyle w:val="ListBullet"/>
        <w:numPr>
          <w:ilvl w:val="0"/>
          <w:numId w:val="1"/>
        </w:numPr>
        <w:rPr>
          <w:lang w:eastAsia="ja-JP"/>
        </w:rPr>
      </w:pPr>
      <w:r w:rsidRPr="00F01EB4">
        <w:rPr>
          <w:lang w:eastAsia="ja-JP"/>
        </w:rPr>
        <w:t xml:space="preserve">between groups A and </w:t>
      </w:r>
      <w:r w:rsidRPr="00AA7D1C">
        <w:rPr>
          <w:lang w:eastAsia="ja-JP"/>
        </w:rPr>
        <w:t>B</w:t>
      </w:r>
      <w:r w:rsidRPr="00F01EB4">
        <w:rPr>
          <w:lang w:eastAsia="ja-JP"/>
        </w:rPr>
        <w:t xml:space="preserve"> (</w:t>
      </w:r>
      <w:r w:rsidR="00F01EB4">
        <w:rPr>
          <w:lang w:eastAsia="ja-JP"/>
        </w:rPr>
        <w:t>W</w:t>
      </w:r>
      <w:r w:rsidR="00F01EB4" w:rsidRPr="00F01EB4">
        <w:rPr>
          <w:lang w:eastAsia="ja-JP"/>
        </w:rPr>
        <w:t xml:space="preserve">eek </w:t>
      </w:r>
      <w:r w:rsidRPr="00F01EB4">
        <w:rPr>
          <w:lang w:eastAsia="ja-JP"/>
        </w:rPr>
        <w:t>16);</w:t>
      </w:r>
    </w:p>
    <w:p w14:paraId="2B3A60CA" w14:textId="77777777" w:rsidR="007C0FDC" w:rsidRPr="00F01EB4" w:rsidRDefault="007C0FDC" w:rsidP="007C0FDC">
      <w:pPr>
        <w:pStyle w:val="ListBullet"/>
        <w:numPr>
          <w:ilvl w:val="0"/>
          <w:numId w:val="1"/>
        </w:numPr>
        <w:rPr>
          <w:lang w:eastAsia="ja-JP"/>
        </w:rPr>
      </w:pPr>
      <w:r w:rsidRPr="00F01EB4">
        <w:rPr>
          <w:lang w:eastAsia="ja-JP"/>
        </w:rPr>
        <w:t xml:space="preserve">between groups </w:t>
      </w:r>
      <w:r w:rsidRPr="00AA7D1C">
        <w:rPr>
          <w:lang w:eastAsia="ja-JP"/>
        </w:rPr>
        <w:t>A</w:t>
      </w:r>
      <w:r w:rsidRPr="00F01EB4">
        <w:rPr>
          <w:lang w:eastAsia="ja-JP"/>
        </w:rPr>
        <w:t xml:space="preserve"> and </w:t>
      </w:r>
      <w:r w:rsidRPr="00AA7D1C">
        <w:rPr>
          <w:lang w:eastAsia="ja-JP"/>
        </w:rPr>
        <w:t>B1</w:t>
      </w:r>
      <w:r w:rsidRPr="00F01EB4">
        <w:rPr>
          <w:lang w:eastAsia="ja-JP"/>
        </w:rPr>
        <w:t xml:space="preserve">, and between groups </w:t>
      </w:r>
      <w:r w:rsidRPr="00AA7D1C">
        <w:rPr>
          <w:lang w:eastAsia="ja-JP"/>
        </w:rPr>
        <w:t>B2</w:t>
      </w:r>
      <w:r w:rsidRPr="00F01EB4">
        <w:rPr>
          <w:lang w:eastAsia="ja-JP"/>
        </w:rPr>
        <w:t xml:space="preserve"> and </w:t>
      </w:r>
      <w:r w:rsidRPr="00AA7D1C">
        <w:rPr>
          <w:lang w:eastAsia="ja-JP"/>
        </w:rPr>
        <w:t>B1</w:t>
      </w:r>
      <w:r w:rsidRPr="00F01EB4">
        <w:rPr>
          <w:lang w:eastAsia="ja-JP"/>
        </w:rPr>
        <w:t xml:space="preserve"> (Weeks 32 and 50)</w:t>
      </w:r>
    </w:p>
    <w:p w14:paraId="799FF6D4" w14:textId="77777777" w:rsidR="007C0FDC" w:rsidRPr="00313115" w:rsidRDefault="007C0FDC" w:rsidP="009633D2">
      <w:pPr>
        <w:rPr>
          <w:lang w:eastAsia="ja-JP"/>
        </w:rPr>
      </w:pPr>
      <w:proofErr w:type="gramStart"/>
      <w:r w:rsidRPr="007A0BC6">
        <w:rPr>
          <w:lang w:eastAsia="ja-JP"/>
        </w:rPr>
        <w:t>were</w:t>
      </w:r>
      <w:proofErr w:type="gramEnd"/>
      <w:r w:rsidRPr="007A0BC6">
        <w:rPr>
          <w:lang w:eastAsia="ja-JP"/>
        </w:rPr>
        <w:t xml:space="preserve"> estimated using </w:t>
      </w:r>
      <w:r w:rsidRPr="00313115">
        <w:rPr>
          <w:lang w:eastAsia="ja-JP"/>
        </w:rPr>
        <w:t>an ANCOVA model with baseline BSA score and stratification factors (geographic region and prior biologic use for psoriasis) as covariates.</w:t>
      </w:r>
    </w:p>
    <w:p w14:paraId="08CD0DDE" w14:textId="77777777" w:rsidR="007C0FDC" w:rsidRPr="00325F70" w:rsidRDefault="007C0FDC" w:rsidP="007C0FDC">
      <w:pPr>
        <w:pStyle w:val="Heading6"/>
      </w:pPr>
      <w:r w:rsidRPr="00325F70">
        <w:t>Primary endpoint equivalence margin</w:t>
      </w:r>
    </w:p>
    <w:p w14:paraId="3D99B206" w14:textId="696F9443" w:rsidR="007C0FDC" w:rsidRDefault="007C0FDC" w:rsidP="007C0FDC">
      <w:pPr>
        <w:rPr>
          <w:lang w:eastAsia="ja-JP"/>
        </w:rPr>
      </w:pPr>
      <w:r>
        <w:rPr>
          <w:lang w:eastAsia="ja-JP"/>
        </w:rPr>
        <w:t>No justification for the primary endpoint equivalence margin was given in the original dossier submitted to the TGA. The sponsor was invited to provide a more detailed justification for the equivalence margin chosen (±15%) which was provided and is incorporated below. The sponsor used a similar methodology as in Study 20</w:t>
      </w:r>
      <w:r w:rsidRPr="007C4B5D">
        <w:rPr>
          <w:lang w:eastAsia="ja-JP"/>
        </w:rPr>
        <w:t>120</w:t>
      </w:r>
      <w:r>
        <w:rPr>
          <w:lang w:eastAsia="ja-JP"/>
        </w:rPr>
        <w:t xml:space="preserve">262 (RA study) (described in </w:t>
      </w:r>
      <w:r w:rsidR="00F01EB4">
        <w:rPr>
          <w:lang w:eastAsia="ja-JP"/>
        </w:rPr>
        <w:t>Section </w:t>
      </w:r>
      <w:r>
        <w:rPr>
          <w:lang w:eastAsia="ja-JP"/>
        </w:rPr>
        <w:fldChar w:fldCharType="begin"/>
      </w:r>
      <w:r>
        <w:rPr>
          <w:lang w:eastAsia="ja-JP"/>
        </w:rPr>
        <w:instrText xml:space="preserve"> REF _Ref458677076 \r \h </w:instrText>
      </w:r>
      <w:r>
        <w:rPr>
          <w:lang w:eastAsia="ja-JP"/>
        </w:rPr>
      </w:r>
      <w:r>
        <w:rPr>
          <w:lang w:eastAsia="ja-JP"/>
        </w:rPr>
        <w:fldChar w:fldCharType="separate"/>
      </w:r>
      <w:r w:rsidR="00682FD2">
        <w:rPr>
          <w:lang w:eastAsia="ja-JP"/>
        </w:rPr>
        <w:t>7.2.1.8</w:t>
      </w:r>
      <w:r>
        <w:rPr>
          <w:lang w:eastAsia="ja-JP"/>
        </w:rPr>
        <w:fldChar w:fldCharType="end"/>
      </w:r>
      <w:r>
        <w:rPr>
          <w:lang w:eastAsia="ja-JP"/>
        </w:rPr>
        <w:t>).</w:t>
      </w:r>
    </w:p>
    <w:p w14:paraId="4C4F68BF" w14:textId="5200F52F" w:rsidR="007C0FDC" w:rsidRPr="00E26F2D" w:rsidRDefault="007C0FDC" w:rsidP="007C0FDC">
      <w:pPr>
        <w:pStyle w:val="Caption"/>
        <w:rPr>
          <w:b/>
          <w:sz w:val="22"/>
          <w:szCs w:val="22"/>
        </w:rPr>
      </w:pPr>
      <w:r w:rsidRPr="00E26F2D">
        <w:rPr>
          <w:sz w:val="22"/>
          <w:szCs w:val="22"/>
          <w:lang w:eastAsia="ja-JP"/>
        </w:rPr>
        <w:t>It is best practice to determine the anticipated treatment effect from historical randomised clinical trials of adalimumab for the treatment of plaque psoriasis, ideally by using results from a meta-analysis of multiple studies. The sponsor identified five relevant studies in a literature review, all of which also used PASI improvement percentage as a variable (</w:t>
      </w:r>
      <w:r>
        <w:rPr>
          <w:sz w:val="22"/>
          <w:szCs w:val="22"/>
          <w:lang w:eastAsia="ja-JP"/>
        </w:rPr>
        <w:t>Table 19)</w:t>
      </w:r>
      <w:r w:rsidRPr="00E26F2D">
        <w:rPr>
          <w:sz w:val="22"/>
          <w:szCs w:val="22"/>
          <w:lang w:eastAsia="ja-JP"/>
        </w:rPr>
        <w:t>.</w:t>
      </w:r>
    </w:p>
    <w:p w14:paraId="1D7235B0" w14:textId="48F70744" w:rsidR="007C0FDC" w:rsidRPr="0069408E" w:rsidRDefault="007C0FDC" w:rsidP="009633D2">
      <w:pPr>
        <w:pStyle w:val="Tabletitle"/>
        <w:rPr>
          <w:lang w:eastAsia="ja-JP"/>
        </w:rPr>
      </w:pPr>
      <w:bookmarkStart w:id="197" w:name="_Ref459298484"/>
      <w:bookmarkStart w:id="198" w:name="_Toc471285610"/>
      <w:r w:rsidRPr="0069408E">
        <w:t xml:space="preserve">Table </w:t>
      </w:r>
      <w:r>
        <w:t>19:</w:t>
      </w:r>
      <w:bookmarkEnd w:id="197"/>
      <w:r w:rsidRPr="0069408E">
        <w:t xml:space="preserve"> Study </w:t>
      </w:r>
      <w:r w:rsidRPr="009633D2">
        <w:t>20120263</w:t>
      </w:r>
      <w:r w:rsidRPr="0069408E">
        <w:t xml:space="preserve"> </w:t>
      </w:r>
      <w:r w:rsidRPr="0069408E">
        <w:rPr>
          <w:lang w:eastAsia="ja-JP"/>
        </w:rPr>
        <w:t>PASI improvement results from randomised controlled trials with adalimumab for plaque psoriasis (including meta-analysis of selected trials)</w:t>
      </w:r>
      <w:bookmarkEnd w:id="198"/>
    </w:p>
    <w:p w14:paraId="418273A9" w14:textId="77777777" w:rsidR="007C0FDC" w:rsidRDefault="007C0FDC" w:rsidP="007C0FDC">
      <w:pPr>
        <w:rPr>
          <w:lang w:eastAsia="ja-JP"/>
        </w:rPr>
      </w:pPr>
      <w:r>
        <w:rPr>
          <w:noProof/>
          <w:lang w:eastAsia="en-AU"/>
        </w:rPr>
        <w:drawing>
          <wp:inline distT="0" distB="0" distL="0" distR="0" wp14:anchorId="367DAE0D" wp14:editId="6D3481F3">
            <wp:extent cx="5289630" cy="2797184"/>
            <wp:effectExtent l="0" t="0" r="0" b="0"/>
            <wp:docPr id="288" name="Picture 288" descr="Table 19: Study 20120263: PASI improvement results from randomised controlled trials with adalimumab for plaque psoriasis (including meta-analysis of select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5286639" cy="2795602"/>
                    </a:xfrm>
                    <a:prstGeom prst="rect">
                      <a:avLst/>
                    </a:prstGeom>
                    <a:noFill/>
                    <a:ln>
                      <a:noFill/>
                    </a:ln>
                  </pic:spPr>
                </pic:pic>
              </a:graphicData>
            </a:graphic>
          </wp:inline>
        </w:drawing>
      </w:r>
    </w:p>
    <w:p w14:paraId="449BE240" w14:textId="77777777" w:rsidR="007C0FDC" w:rsidRDefault="007C0FDC" w:rsidP="007C0FDC">
      <w:pPr>
        <w:rPr>
          <w:lang w:eastAsia="ja-JP"/>
        </w:rPr>
      </w:pPr>
      <w:r>
        <w:rPr>
          <w:lang w:eastAsia="ja-JP"/>
        </w:rPr>
        <w:lastRenderedPageBreak/>
        <w:t xml:space="preserve">Four of those trials (Menter </w:t>
      </w:r>
      <w:r w:rsidRPr="00585F5E">
        <w:rPr>
          <w:i/>
          <w:lang w:eastAsia="ja-JP"/>
        </w:rPr>
        <w:t>et al</w:t>
      </w:r>
      <w:r>
        <w:rPr>
          <w:lang w:eastAsia="ja-JP"/>
        </w:rPr>
        <w:t xml:space="preserve">., 2008 (REVEAL trial); Saurat </w:t>
      </w:r>
      <w:r w:rsidRPr="00585F5E">
        <w:rPr>
          <w:i/>
          <w:lang w:eastAsia="ja-JP"/>
        </w:rPr>
        <w:t>et al</w:t>
      </w:r>
      <w:r>
        <w:rPr>
          <w:lang w:eastAsia="ja-JP"/>
        </w:rPr>
        <w:t xml:space="preserve">., 2006 (CHAMPION trial); Asahina </w:t>
      </w:r>
      <w:r w:rsidRPr="00585F5E">
        <w:rPr>
          <w:i/>
          <w:lang w:eastAsia="ja-JP"/>
        </w:rPr>
        <w:t>et al</w:t>
      </w:r>
      <w:r>
        <w:rPr>
          <w:lang w:eastAsia="ja-JP"/>
        </w:rPr>
        <w:t xml:space="preserve">., 2009; Gordon </w:t>
      </w:r>
      <w:r w:rsidRPr="00585F5E">
        <w:rPr>
          <w:i/>
          <w:lang w:eastAsia="ja-JP"/>
        </w:rPr>
        <w:t>et al</w:t>
      </w:r>
      <w:r>
        <w:rPr>
          <w:lang w:eastAsia="ja-JP"/>
        </w:rPr>
        <w:t xml:space="preserve">., 2006) were used to calculate a pooled treatment effect by meta-analysis. The trial described in Thaci </w:t>
      </w:r>
      <w:r w:rsidRPr="00B0457A">
        <w:rPr>
          <w:i/>
          <w:lang w:eastAsia="ja-JP"/>
        </w:rPr>
        <w:t>et al</w:t>
      </w:r>
      <w:r>
        <w:rPr>
          <w:lang w:eastAsia="ja-JP"/>
        </w:rPr>
        <w:t xml:space="preserve">. (2010) was not considered in the sponsor meta-analysis. The </w:t>
      </w:r>
      <w:r>
        <w:rPr>
          <w:lang w:val="en-GB" w:eastAsia="ja-JP"/>
        </w:rPr>
        <w:t>calculated pooled treatment effect was used for the equivalence margin calculations.</w:t>
      </w:r>
    </w:p>
    <w:p w14:paraId="2B439282" w14:textId="77777777" w:rsidR="007C0FDC" w:rsidRDefault="007C0FDC" w:rsidP="007C0FDC">
      <w:pPr>
        <w:rPr>
          <w:lang w:eastAsia="ja-JP"/>
        </w:rPr>
      </w:pPr>
      <w:r>
        <w:rPr>
          <w:lang w:eastAsia="ja-JP"/>
        </w:rPr>
        <w:t>The equivalence margin was calculated as follows (methodology as suggested by the FDA draft guidance for industry: Non-Inferiority Clinical Trials (March 2010) (FDA, 2010)):</w:t>
      </w:r>
    </w:p>
    <w:p w14:paraId="5A585639" w14:textId="77777777" w:rsidR="007C0FDC" w:rsidRDefault="007C0FDC" w:rsidP="00042313">
      <w:pPr>
        <w:pStyle w:val="ListBullet"/>
        <w:rPr>
          <w:lang w:eastAsia="ja-JP"/>
        </w:rPr>
      </w:pPr>
      <w:r>
        <w:rPr>
          <w:lang w:eastAsia="ja-JP"/>
        </w:rPr>
        <w:t xml:space="preserve">The point estimate of the mean difference of PASI percentage improvement between placebo and adalimumab was </w:t>
      </w:r>
      <w:r w:rsidRPr="00042313">
        <w:t>determined</w:t>
      </w:r>
      <w:r>
        <w:rPr>
          <w:lang w:eastAsia="ja-JP"/>
        </w:rPr>
        <w:t xml:space="preserve"> to be 60.4% with an 80% confidence interval of (57.98, 62.82).</w:t>
      </w:r>
    </w:p>
    <w:p w14:paraId="09F0B01D" w14:textId="77777777" w:rsidR="007C0FDC" w:rsidRDefault="007C0FDC" w:rsidP="00AA7D1C">
      <w:pPr>
        <w:pStyle w:val="ListBullet"/>
        <w:rPr>
          <w:lang w:eastAsia="ja-JP"/>
        </w:rPr>
      </w:pPr>
      <w:r>
        <w:rPr>
          <w:lang w:eastAsia="ja-JP"/>
        </w:rPr>
        <w:t xml:space="preserve">The non-inferiority side of the equivalence margin was calculated using half of the lower 80% confidence bound (57.98%/2 = 28.99% rounded to 29%). Consequently, -29% would be the lower bound of the equivalence margin, and +29% the upper bound (on a linear scale). However, the sponsor reduced the margin further from ±29% to ±15% based on </w:t>
      </w:r>
      <w:r>
        <w:rPr>
          <w:i/>
          <w:lang w:eastAsia="ja-JP"/>
        </w:rPr>
        <w:t>‘</w:t>
      </w:r>
      <w:r w:rsidRPr="00AF1304">
        <w:rPr>
          <w:i/>
          <w:lang w:eastAsia="ja-JP"/>
        </w:rPr>
        <w:t>clinical judgment</w:t>
      </w:r>
      <w:r>
        <w:rPr>
          <w:i/>
          <w:lang w:eastAsia="ja-JP"/>
        </w:rPr>
        <w:t>’</w:t>
      </w:r>
      <w:r>
        <w:rPr>
          <w:lang w:eastAsia="ja-JP"/>
        </w:rPr>
        <w:t xml:space="preserve"> and </w:t>
      </w:r>
      <w:r>
        <w:rPr>
          <w:i/>
          <w:lang w:eastAsia="ja-JP"/>
        </w:rPr>
        <w:t>‘</w:t>
      </w:r>
      <w:r w:rsidRPr="00AF1304">
        <w:rPr>
          <w:i/>
          <w:lang w:eastAsia="ja-JP"/>
        </w:rPr>
        <w:t>for additional clinical rigor in showing no clinically meaningful differences</w:t>
      </w:r>
      <w:r>
        <w:rPr>
          <w:i/>
          <w:lang w:eastAsia="ja-JP"/>
        </w:rPr>
        <w:t>’</w:t>
      </w:r>
      <w:r w:rsidRPr="00AF1304">
        <w:rPr>
          <w:i/>
          <w:lang w:eastAsia="ja-JP"/>
        </w:rPr>
        <w:t>.</w:t>
      </w:r>
      <w:r>
        <w:rPr>
          <w:i/>
          <w:lang w:eastAsia="ja-JP"/>
        </w:rPr>
        <w:t xml:space="preserve"> </w:t>
      </w:r>
      <w:r>
        <w:rPr>
          <w:lang w:eastAsia="ja-JP"/>
        </w:rPr>
        <w:t>No further detail was given with regard to the reduction of the margin size.</w:t>
      </w:r>
    </w:p>
    <w:p w14:paraId="71A0EF1F" w14:textId="7897B91C" w:rsidR="007C0FDC" w:rsidRDefault="00F01EB4" w:rsidP="00AA7D1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sidRPr="00CF4BF0">
        <w:rPr>
          <w:lang w:eastAsia="ja-JP"/>
        </w:rPr>
        <w:t xml:space="preserve">The sponsor’s statistical </w:t>
      </w:r>
      <w:r w:rsidR="007C0FDC">
        <w:rPr>
          <w:lang w:eastAsia="ja-JP"/>
        </w:rPr>
        <w:t>analysis plan is acceptable. With regard to the equivalence margin calculations, t</w:t>
      </w:r>
      <w:r w:rsidR="007C0FDC" w:rsidRPr="0056250C">
        <w:rPr>
          <w:lang w:eastAsia="ja-JP"/>
        </w:rPr>
        <w:t xml:space="preserve">he trial described in Thaci </w:t>
      </w:r>
      <w:r w:rsidR="007C0FDC" w:rsidRPr="0056250C">
        <w:rPr>
          <w:i/>
          <w:lang w:eastAsia="ja-JP"/>
        </w:rPr>
        <w:t>et al</w:t>
      </w:r>
      <w:r w:rsidR="007C0FDC" w:rsidRPr="0056250C">
        <w:rPr>
          <w:lang w:eastAsia="ja-JP"/>
        </w:rPr>
        <w:t xml:space="preserve">., 2010 was not used in the meta-analysis, presumably as it compared treatment with adalimumab with topical calcipotriol⁄betamethasone to </w:t>
      </w:r>
      <w:r w:rsidR="007C0FDC">
        <w:rPr>
          <w:lang w:eastAsia="ja-JP"/>
        </w:rPr>
        <w:t xml:space="preserve">treatment with </w:t>
      </w:r>
      <w:r w:rsidR="007C0FDC" w:rsidRPr="0056250C">
        <w:rPr>
          <w:lang w:eastAsia="ja-JP"/>
        </w:rPr>
        <w:t>adalimum</w:t>
      </w:r>
      <w:r w:rsidR="007C0FDC">
        <w:rPr>
          <w:lang w:eastAsia="ja-JP"/>
        </w:rPr>
        <w:t xml:space="preserve">ab without those topical agents, and therefore could not provide a treatment difference value between adalimumab and placebo. </w:t>
      </w:r>
      <w:r w:rsidR="007C0FDC" w:rsidRPr="00DB0ACE">
        <w:rPr>
          <w:lang w:eastAsia="ja-JP"/>
        </w:rPr>
        <w:t>The methodology for determining the equivalence margin</w:t>
      </w:r>
      <w:r w:rsidR="007C0FDC">
        <w:rPr>
          <w:lang w:eastAsia="ja-JP"/>
        </w:rPr>
        <w:t xml:space="preserve"> based on the FDA guidance appears reasonable. However, it is unclear what clinical judgment was employed to reduce the margin further, as described above. A reduction in equivalence margin is the more conservative approach and there is no objection to doing so, in particular as the usually accepted maximum margin is ±</w:t>
      </w:r>
      <w:r>
        <w:rPr>
          <w:lang w:eastAsia="ja-JP"/>
        </w:rPr>
        <w:t> </w:t>
      </w:r>
      <w:r w:rsidR="007C0FDC">
        <w:rPr>
          <w:lang w:eastAsia="ja-JP"/>
        </w:rPr>
        <w:t>15%. More details should be provided on the clinical judgement mentioned and the choice of ±</w:t>
      </w:r>
      <w:r>
        <w:rPr>
          <w:lang w:eastAsia="ja-JP"/>
        </w:rPr>
        <w:t xml:space="preserve"> </w:t>
      </w:r>
      <w:r w:rsidR="007C0FDC">
        <w:rPr>
          <w:lang w:eastAsia="ja-JP"/>
        </w:rPr>
        <w:t>15% as the margin. This constitutes a p</w:t>
      </w:r>
      <w:r w:rsidR="007C0FDC" w:rsidRPr="00BB7E9A">
        <w:rPr>
          <w:lang w:eastAsia="ja-JP"/>
        </w:rPr>
        <w:t>rocess issue rather than an outcome issue</w:t>
      </w:r>
      <w:r>
        <w:rPr>
          <w:lang w:eastAsia="ja-JP"/>
        </w:rPr>
        <w:t>.</w:t>
      </w:r>
    </w:p>
    <w:p w14:paraId="46026701" w14:textId="7C188F10" w:rsidR="007C0FDC" w:rsidRPr="005632DC" w:rsidRDefault="00042313" w:rsidP="00637B36">
      <w:pPr>
        <w:pStyle w:val="Heading5"/>
      </w:pPr>
      <w:r w:rsidRPr="00637B36">
        <w:t>Participant</w:t>
      </w:r>
      <w:r>
        <w:t xml:space="preserve"> flow</w:t>
      </w:r>
    </w:p>
    <w:p w14:paraId="65367D2F" w14:textId="6FA56127" w:rsidR="007C0FDC" w:rsidRPr="00F01EB4" w:rsidRDefault="007C0FDC" w:rsidP="007C0FDC">
      <w:pPr>
        <w:rPr>
          <w:lang w:eastAsia="ja-JP"/>
        </w:rPr>
      </w:pPr>
      <w:r w:rsidRPr="00F01EB4">
        <w:rPr>
          <w:lang w:eastAsia="ja-JP"/>
        </w:rPr>
        <w:t>350 subjects (175 subjects in each treatment group) were enrolled and randomised in this study, and 347 of these subjects (99.1%) received at least 1 dose of investigational product.</w:t>
      </w:r>
    </w:p>
    <w:p w14:paraId="766D5C85" w14:textId="77777777" w:rsidR="007C0FDC" w:rsidRPr="007A0BC6" w:rsidRDefault="007C0FDC" w:rsidP="007C0FDC">
      <w:pPr>
        <w:rPr>
          <w:lang w:eastAsia="ja-JP"/>
        </w:rPr>
      </w:pPr>
      <w:r w:rsidRPr="007A0BC6">
        <w:rPr>
          <w:lang w:eastAsia="ja-JP"/>
        </w:rPr>
        <w:t>326 of 350 subjects (93.1%) completed the study at Week 16:</w:t>
      </w:r>
    </w:p>
    <w:p w14:paraId="5C836276" w14:textId="77777777" w:rsidR="007C0FDC" w:rsidRPr="00F01EB4" w:rsidRDefault="007C0FDC" w:rsidP="007C0FDC">
      <w:pPr>
        <w:pStyle w:val="ListBullet"/>
        <w:numPr>
          <w:ilvl w:val="0"/>
          <w:numId w:val="1"/>
        </w:numPr>
        <w:rPr>
          <w:lang w:eastAsia="ja-JP"/>
        </w:rPr>
      </w:pPr>
      <w:r w:rsidRPr="00313115">
        <w:rPr>
          <w:lang w:eastAsia="ja-JP"/>
        </w:rPr>
        <w:t xml:space="preserve">164 subjects (93.7%) in Group </w:t>
      </w:r>
      <w:r w:rsidRPr="00AA7D1C">
        <w:rPr>
          <w:lang w:eastAsia="ja-JP"/>
        </w:rPr>
        <w:t xml:space="preserve">A </w:t>
      </w:r>
      <w:r w:rsidRPr="00F01EB4">
        <w:rPr>
          <w:lang w:eastAsia="ja-JP"/>
        </w:rPr>
        <w:t>(ABP 501)</w:t>
      </w:r>
    </w:p>
    <w:p w14:paraId="3765245B" w14:textId="77777777" w:rsidR="007C0FDC" w:rsidRPr="00F01EB4" w:rsidRDefault="007C0FDC" w:rsidP="007C0FDC">
      <w:pPr>
        <w:pStyle w:val="ListBullet"/>
        <w:numPr>
          <w:ilvl w:val="0"/>
          <w:numId w:val="1"/>
        </w:numPr>
        <w:rPr>
          <w:lang w:eastAsia="ja-JP"/>
        </w:rPr>
      </w:pPr>
      <w:r w:rsidRPr="00642839">
        <w:rPr>
          <w:lang w:eastAsia="ja-JP"/>
        </w:rPr>
        <w:t xml:space="preserve">162 subjects (92.6%) in Group </w:t>
      </w:r>
      <w:r w:rsidRPr="00AA7D1C">
        <w:rPr>
          <w:lang w:eastAsia="ja-JP"/>
        </w:rPr>
        <w:t>B</w:t>
      </w:r>
      <w:r w:rsidRPr="00F01EB4">
        <w:rPr>
          <w:lang w:eastAsia="ja-JP"/>
        </w:rPr>
        <w:t xml:space="preserve"> (adalimumab)</w:t>
      </w:r>
    </w:p>
    <w:p w14:paraId="3E308895" w14:textId="77777777" w:rsidR="007C0FDC" w:rsidRPr="00F01EB4" w:rsidRDefault="007C0FDC" w:rsidP="007C0FDC">
      <w:pPr>
        <w:rPr>
          <w:lang w:eastAsia="ja-JP"/>
        </w:rPr>
      </w:pPr>
      <w:r w:rsidRPr="007A0BC6">
        <w:rPr>
          <w:lang w:eastAsia="ja-JP"/>
        </w:rPr>
        <w:t>308 of originally 350 subjects continued post Week 16. 42 subjects (12.0%) did not continue post W</w:t>
      </w:r>
      <w:r w:rsidRPr="00F01EB4">
        <w:rPr>
          <w:lang w:eastAsia="ja-JP"/>
        </w:rPr>
        <w:t>eek 16 and the most common reason was protocol-specified criteria (21 subjects (6.0%), for example, failure to reach PASI 50).</w:t>
      </w:r>
    </w:p>
    <w:p w14:paraId="66F48794" w14:textId="77777777" w:rsidR="007C0FDC" w:rsidRPr="00F01EB4" w:rsidRDefault="007C0FDC" w:rsidP="007C0FDC">
      <w:pPr>
        <w:rPr>
          <w:lang w:eastAsia="ja-JP"/>
        </w:rPr>
      </w:pPr>
      <w:r w:rsidRPr="00F01EB4">
        <w:rPr>
          <w:lang w:eastAsia="ja-JP"/>
        </w:rPr>
        <w:t>Of the 308 subjects continuing post Week 16 (drug up to Week 16/drug post Week 16):</w:t>
      </w:r>
    </w:p>
    <w:p w14:paraId="4E023598" w14:textId="368D0A48" w:rsidR="007C0FDC" w:rsidRPr="00F01EB4" w:rsidRDefault="007C0FDC" w:rsidP="007C0FDC">
      <w:pPr>
        <w:pStyle w:val="ListBullet"/>
        <w:numPr>
          <w:ilvl w:val="0"/>
          <w:numId w:val="1"/>
        </w:numPr>
        <w:rPr>
          <w:lang w:eastAsia="ja-JP"/>
        </w:rPr>
      </w:pPr>
      <w:r w:rsidRPr="00642839">
        <w:rPr>
          <w:lang w:eastAsia="ja-JP"/>
        </w:rPr>
        <w:t xml:space="preserve">152 were in Group </w:t>
      </w:r>
      <w:r w:rsidRPr="00AA7D1C">
        <w:rPr>
          <w:lang w:eastAsia="ja-JP"/>
        </w:rPr>
        <w:t>A</w:t>
      </w:r>
      <w:r w:rsidRPr="00F01EB4">
        <w:rPr>
          <w:lang w:eastAsia="ja-JP"/>
        </w:rPr>
        <w:t xml:space="preserve"> (</w:t>
      </w:r>
      <w:r w:rsidR="00FC5128">
        <w:rPr>
          <w:lang w:eastAsia="ja-JP"/>
        </w:rPr>
        <w:t>ABP 501</w:t>
      </w:r>
      <w:r w:rsidRPr="00AA7D1C">
        <w:rPr>
          <w:lang w:eastAsia="ja-JP"/>
        </w:rPr>
        <w:t>/ABP 501</w:t>
      </w:r>
      <w:r w:rsidRPr="00F01EB4">
        <w:rPr>
          <w:lang w:eastAsia="ja-JP"/>
        </w:rPr>
        <w:t>)</w:t>
      </w:r>
    </w:p>
    <w:p w14:paraId="45CEF996" w14:textId="77777777" w:rsidR="007C0FDC" w:rsidRPr="00313115" w:rsidRDefault="007C0FDC" w:rsidP="007C0FDC">
      <w:pPr>
        <w:pStyle w:val="ListBullet"/>
        <w:numPr>
          <w:ilvl w:val="0"/>
          <w:numId w:val="1"/>
        </w:numPr>
        <w:rPr>
          <w:lang w:eastAsia="ja-JP"/>
        </w:rPr>
      </w:pPr>
      <w:r w:rsidRPr="007A0BC6">
        <w:rPr>
          <w:lang w:eastAsia="ja-JP"/>
        </w:rPr>
        <w:t>156 from</w:t>
      </w:r>
      <w:r w:rsidRPr="00313115">
        <w:rPr>
          <w:lang w:eastAsia="ja-JP"/>
        </w:rPr>
        <w:t xml:space="preserve"> Group B were re-randomised into:</w:t>
      </w:r>
    </w:p>
    <w:p w14:paraId="3049C284" w14:textId="77777777" w:rsidR="007C0FDC" w:rsidRPr="00F01EB4" w:rsidRDefault="007C0FDC" w:rsidP="007C0FDC">
      <w:pPr>
        <w:pStyle w:val="ListBullet2"/>
        <w:numPr>
          <w:ilvl w:val="1"/>
          <w:numId w:val="1"/>
        </w:numPr>
        <w:rPr>
          <w:lang w:eastAsia="ja-JP"/>
        </w:rPr>
      </w:pPr>
      <w:r w:rsidRPr="00313115">
        <w:rPr>
          <w:lang w:eastAsia="ja-JP"/>
        </w:rPr>
        <w:t xml:space="preserve">Group </w:t>
      </w:r>
      <w:r w:rsidRPr="00AA7D1C">
        <w:rPr>
          <w:lang w:eastAsia="ja-JP"/>
        </w:rPr>
        <w:t>B1</w:t>
      </w:r>
      <w:r w:rsidRPr="00F01EB4">
        <w:rPr>
          <w:lang w:eastAsia="ja-JP"/>
        </w:rPr>
        <w:t xml:space="preserve"> (79 subjects) (</w:t>
      </w:r>
      <w:r w:rsidRPr="00AA7D1C">
        <w:rPr>
          <w:lang w:eastAsia="ja-JP"/>
        </w:rPr>
        <w:t>adalimumab/adalimumab</w:t>
      </w:r>
      <w:r w:rsidRPr="00F01EB4">
        <w:rPr>
          <w:lang w:eastAsia="ja-JP"/>
        </w:rPr>
        <w:t>)</w:t>
      </w:r>
    </w:p>
    <w:p w14:paraId="18B7FF52" w14:textId="77777777" w:rsidR="007C0FDC" w:rsidRPr="00F01EB4" w:rsidRDefault="007C0FDC" w:rsidP="007C0FDC">
      <w:pPr>
        <w:pStyle w:val="ListBullet2"/>
        <w:numPr>
          <w:ilvl w:val="1"/>
          <w:numId w:val="1"/>
        </w:numPr>
        <w:rPr>
          <w:lang w:eastAsia="ja-JP"/>
        </w:rPr>
      </w:pPr>
      <w:r w:rsidRPr="00642839">
        <w:rPr>
          <w:lang w:eastAsia="ja-JP"/>
        </w:rPr>
        <w:t xml:space="preserve">Group </w:t>
      </w:r>
      <w:r w:rsidRPr="00AA7D1C">
        <w:rPr>
          <w:lang w:eastAsia="ja-JP"/>
        </w:rPr>
        <w:t>B2</w:t>
      </w:r>
      <w:r w:rsidRPr="00F01EB4">
        <w:rPr>
          <w:lang w:eastAsia="ja-JP"/>
        </w:rPr>
        <w:t xml:space="preserve"> (77 subjects)</w:t>
      </w:r>
      <w:r w:rsidRPr="00642839">
        <w:rPr>
          <w:lang w:eastAsia="ja-JP"/>
        </w:rPr>
        <w:t xml:space="preserve"> </w:t>
      </w:r>
      <w:r w:rsidRPr="007A0BC6">
        <w:rPr>
          <w:lang w:eastAsia="ja-JP"/>
        </w:rPr>
        <w:t>(</w:t>
      </w:r>
      <w:r w:rsidRPr="00AA7D1C">
        <w:rPr>
          <w:lang w:eastAsia="ja-JP"/>
        </w:rPr>
        <w:t>adalimumab/ABP 501</w:t>
      </w:r>
      <w:r w:rsidRPr="00F01EB4">
        <w:rPr>
          <w:lang w:eastAsia="ja-JP"/>
        </w:rPr>
        <w:t>)</w:t>
      </w:r>
    </w:p>
    <w:p w14:paraId="65CABD8F" w14:textId="77777777" w:rsidR="007C0FDC" w:rsidRPr="00F01EB4" w:rsidRDefault="007C0FDC" w:rsidP="00042313">
      <w:pPr>
        <w:keepNext/>
        <w:rPr>
          <w:lang w:eastAsia="ja-JP"/>
        </w:rPr>
      </w:pPr>
      <w:r w:rsidRPr="007A0BC6">
        <w:rPr>
          <w:lang w:eastAsia="ja-JP"/>
        </w:rPr>
        <w:t>Overall, from baseline to the end of the study, 275 (out of 350 initial subjects (78.6%); out of 308 subjects continuing at Week 16</w:t>
      </w:r>
      <w:r w:rsidRPr="00F01EB4">
        <w:rPr>
          <w:lang w:eastAsia="ja-JP"/>
        </w:rPr>
        <w:t xml:space="preserve"> (89.3%)) completed the study:</w:t>
      </w:r>
    </w:p>
    <w:p w14:paraId="2DD70FCF" w14:textId="5BD04266" w:rsidR="007C0FDC" w:rsidRPr="00642839" w:rsidRDefault="007C0FDC" w:rsidP="007C0FDC">
      <w:pPr>
        <w:pStyle w:val="ListBullet"/>
        <w:numPr>
          <w:ilvl w:val="0"/>
          <w:numId w:val="1"/>
        </w:numPr>
        <w:rPr>
          <w:lang w:eastAsia="ja-JP"/>
        </w:rPr>
      </w:pPr>
      <w:r w:rsidRPr="00F01EB4">
        <w:rPr>
          <w:lang w:eastAsia="ja-JP"/>
        </w:rPr>
        <w:lastRenderedPageBreak/>
        <w:t>135 in Group A (</w:t>
      </w:r>
      <w:r w:rsidR="00FC5128">
        <w:rPr>
          <w:lang w:eastAsia="ja-JP"/>
        </w:rPr>
        <w:t>ABP 501</w:t>
      </w:r>
      <w:r w:rsidRPr="00AA7D1C">
        <w:rPr>
          <w:lang w:eastAsia="ja-JP"/>
        </w:rPr>
        <w:t>/ABP 501</w:t>
      </w:r>
      <w:r w:rsidRPr="00F01EB4">
        <w:rPr>
          <w:lang w:eastAsia="ja-JP"/>
        </w:rPr>
        <w:t>)</w:t>
      </w:r>
      <w:r w:rsidRPr="00642839">
        <w:rPr>
          <w:lang w:eastAsia="ja-JP"/>
        </w:rPr>
        <w:t xml:space="preserve"> (88.8%)</w:t>
      </w:r>
    </w:p>
    <w:p w14:paraId="2E865184" w14:textId="77777777" w:rsidR="007C0FDC" w:rsidRPr="00F01EB4" w:rsidRDefault="007C0FDC" w:rsidP="007C0FDC">
      <w:pPr>
        <w:pStyle w:val="ListBullet"/>
        <w:numPr>
          <w:ilvl w:val="0"/>
          <w:numId w:val="1"/>
        </w:numPr>
        <w:rPr>
          <w:lang w:eastAsia="ja-JP"/>
        </w:rPr>
      </w:pPr>
      <w:r w:rsidRPr="00642839">
        <w:rPr>
          <w:lang w:eastAsia="ja-JP"/>
        </w:rPr>
        <w:t xml:space="preserve">71 in Group </w:t>
      </w:r>
      <w:r w:rsidRPr="00AA7D1C">
        <w:rPr>
          <w:lang w:eastAsia="ja-JP"/>
        </w:rPr>
        <w:t>B1</w:t>
      </w:r>
      <w:r w:rsidRPr="00F01EB4">
        <w:rPr>
          <w:lang w:eastAsia="ja-JP"/>
        </w:rPr>
        <w:t xml:space="preserve"> (</w:t>
      </w:r>
      <w:r w:rsidRPr="00AA7D1C">
        <w:rPr>
          <w:lang w:eastAsia="ja-JP"/>
        </w:rPr>
        <w:t>adalimumab/adalimumab</w:t>
      </w:r>
      <w:r w:rsidRPr="00F01EB4">
        <w:rPr>
          <w:lang w:eastAsia="ja-JP"/>
        </w:rPr>
        <w:t>) (89.9%)</w:t>
      </w:r>
    </w:p>
    <w:p w14:paraId="71F1FC35" w14:textId="3B22FEC4" w:rsidR="007C0FDC" w:rsidRPr="00642839" w:rsidRDefault="007C0FDC" w:rsidP="007C0FDC">
      <w:pPr>
        <w:pStyle w:val="ListBullet"/>
        <w:numPr>
          <w:ilvl w:val="0"/>
          <w:numId w:val="1"/>
        </w:numPr>
        <w:rPr>
          <w:lang w:eastAsia="ja-JP"/>
        </w:rPr>
      </w:pPr>
      <w:r w:rsidRPr="00642839">
        <w:rPr>
          <w:lang w:eastAsia="ja-JP"/>
        </w:rPr>
        <w:t xml:space="preserve">69 in Group </w:t>
      </w:r>
      <w:r w:rsidRPr="00AA7D1C">
        <w:rPr>
          <w:lang w:eastAsia="ja-JP"/>
        </w:rPr>
        <w:t>B2</w:t>
      </w:r>
      <w:r w:rsidRPr="00F01EB4">
        <w:rPr>
          <w:lang w:eastAsia="ja-JP"/>
        </w:rPr>
        <w:t xml:space="preserve"> (</w:t>
      </w:r>
      <w:r w:rsidRPr="00AA7D1C">
        <w:rPr>
          <w:lang w:eastAsia="ja-JP"/>
        </w:rPr>
        <w:t>adalimumab/ABP 501</w:t>
      </w:r>
      <w:r w:rsidRPr="00F01EB4">
        <w:rPr>
          <w:lang w:eastAsia="ja-JP"/>
        </w:rPr>
        <w:t>)</w:t>
      </w:r>
      <w:r w:rsidRPr="00642839">
        <w:rPr>
          <w:lang w:eastAsia="ja-JP"/>
        </w:rPr>
        <w:t xml:space="preserve"> (89.6%)</w:t>
      </w:r>
      <w:r w:rsidR="00642839">
        <w:rPr>
          <w:lang w:eastAsia="ja-JP"/>
        </w:rPr>
        <w:t>.</w:t>
      </w:r>
    </w:p>
    <w:p w14:paraId="6B65737D" w14:textId="77777777" w:rsidR="007C0FDC" w:rsidRDefault="007C0FDC" w:rsidP="007C0FDC">
      <w:pPr>
        <w:rPr>
          <w:lang w:eastAsia="ja-JP"/>
        </w:rPr>
      </w:pPr>
      <w:r>
        <w:rPr>
          <w:lang w:eastAsia="ja-JP"/>
        </w:rPr>
        <w:t>42 subjects discontinued before or at Week 16, and 33 subjects discontinued post Week 16.</w:t>
      </w:r>
    </w:p>
    <w:p w14:paraId="2E0C7487" w14:textId="5F901F84" w:rsidR="007C0FDC" w:rsidRPr="00E84987" w:rsidRDefault="007C0FDC" w:rsidP="007C0FDC">
      <w:pPr>
        <w:rPr>
          <w:lang w:eastAsia="ja-JP"/>
        </w:rPr>
      </w:pPr>
      <w:r>
        <w:rPr>
          <w:lang w:eastAsia="ja-JP"/>
        </w:rPr>
        <w:t>The most common reasons for discontinuing the study post</w:t>
      </w:r>
      <w:r w:rsidR="00642839">
        <w:rPr>
          <w:lang w:eastAsia="ja-JP"/>
        </w:rPr>
        <w:t>-</w:t>
      </w:r>
      <w:r>
        <w:rPr>
          <w:lang w:eastAsia="ja-JP"/>
        </w:rPr>
        <w:t>Week 16 were: withdrawn consent; adverse events, lack of efficacy, and noncompliance.</w:t>
      </w:r>
    </w:p>
    <w:p w14:paraId="2EDF2B19" w14:textId="77777777" w:rsidR="007C0FDC" w:rsidRPr="002C4BB1" w:rsidRDefault="007C0FDC" w:rsidP="007C0FDC">
      <w:pPr>
        <w:rPr>
          <w:lang w:eastAsia="ja-JP"/>
        </w:rPr>
      </w:pPr>
      <w:r w:rsidRPr="002C4BB1">
        <w:rPr>
          <w:lang w:eastAsia="ja-JP"/>
        </w:rPr>
        <w:t>With regard to analysis sets, the data are as follows:</w:t>
      </w:r>
    </w:p>
    <w:p w14:paraId="42851F92" w14:textId="7C847031" w:rsidR="007C0FDC" w:rsidRPr="002C4BB1" w:rsidRDefault="007C0FDC" w:rsidP="007C0FDC">
      <w:pPr>
        <w:pStyle w:val="ListBullet"/>
        <w:numPr>
          <w:ilvl w:val="0"/>
          <w:numId w:val="1"/>
        </w:numPr>
        <w:rPr>
          <w:lang w:eastAsia="ja-JP"/>
        </w:rPr>
      </w:pPr>
      <w:r w:rsidRPr="002C4BB1">
        <w:rPr>
          <w:lang w:eastAsia="ja-JP"/>
        </w:rPr>
        <w:t>Full Analysis Set: N</w:t>
      </w:r>
      <w:r w:rsidR="00642839">
        <w:rPr>
          <w:lang w:eastAsia="ja-JP"/>
        </w:rPr>
        <w:t xml:space="preserve"> </w:t>
      </w:r>
      <w:r w:rsidRPr="002C4BB1">
        <w:rPr>
          <w:lang w:eastAsia="ja-JP"/>
        </w:rPr>
        <w:t>=</w:t>
      </w:r>
      <w:r w:rsidR="00642839">
        <w:rPr>
          <w:lang w:eastAsia="ja-JP"/>
        </w:rPr>
        <w:t xml:space="preserve"> </w:t>
      </w:r>
      <w:r w:rsidRPr="002C4BB1">
        <w:rPr>
          <w:lang w:eastAsia="ja-JP"/>
        </w:rPr>
        <w:t>350</w:t>
      </w:r>
    </w:p>
    <w:p w14:paraId="0818F471" w14:textId="77777777" w:rsidR="007C0FDC" w:rsidRDefault="007C0FDC" w:rsidP="007C0FDC">
      <w:pPr>
        <w:ind w:left="360"/>
        <w:rPr>
          <w:lang w:eastAsia="ja-JP"/>
        </w:rPr>
      </w:pPr>
      <w:r w:rsidRPr="002C4BB1">
        <w:rPr>
          <w:lang w:eastAsia="ja-JP"/>
        </w:rPr>
        <w:t>Consisted of all subjects initially randomised in the study (based on intention to treat principle). This set was used to perform</w:t>
      </w:r>
      <w:r>
        <w:rPr>
          <w:lang w:eastAsia="ja-JP"/>
        </w:rPr>
        <w:t xml:space="preserve"> the primary efficacy analysis.</w:t>
      </w:r>
    </w:p>
    <w:p w14:paraId="406642B5" w14:textId="0EABF3F5" w:rsidR="007C0FDC" w:rsidRPr="00FD6EB5" w:rsidRDefault="007C0FDC" w:rsidP="007C0FDC">
      <w:pPr>
        <w:pStyle w:val="ListBullet"/>
        <w:numPr>
          <w:ilvl w:val="0"/>
          <w:numId w:val="1"/>
        </w:numPr>
        <w:rPr>
          <w:lang w:eastAsia="ja-JP"/>
        </w:rPr>
      </w:pPr>
      <w:r w:rsidRPr="002C4BB1">
        <w:rPr>
          <w:lang w:eastAsia="ja-JP"/>
        </w:rPr>
        <w:t>Per-protocol Analysis Set</w:t>
      </w:r>
      <w:r>
        <w:rPr>
          <w:lang w:eastAsia="ja-JP"/>
        </w:rPr>
        <w:t xml:space="preserve"> (</w:t>
      </w:r>
      <w:r w:rsidRPr="006C1F38">
        <w:rPr>
          <w:lang w:eastAsia="ja-JP"/>
        </w:rPr>
        <w:t xml:space="preserve">based on data up </w:t>
      </w:r>
      <w:r>
        <w:rPr>
          <w:lang w:eastAsia="ja-JP"/>
        </w:rPr>
        <w:t>to Week 16)</w:t>
      </w:r>
      <w:r w:rsidRPr="002C4BB1">
        <w:rPr>
          <w:lang w:eastAsia="ja-JP"/>
        </w:rPr>
        <w:t>: N</w:t>
      </w:r>
      <w:r w:rsidR="00642839">
        <w:rPr>
          <w:lang w:eastAsia="ja-JP"/>
        </w:rPr>
        <w:t xml:space="preserve"> </w:t>
      </w:r>
      <w:r w:rsidRPr="00FD6EB5">
        <w:rPr>
          <w:lang w:eastAsia="ja-JP"/>
        </w:rPr>
        <w:t>=</w:t>
      </w:r>
      <w:r w:rsidR="00642839">
        <w:rPr>
          <w:lang w:eastAsia="ja-JP"/>
        </w:rPr>
        <w:t xml:space="preserve"> </w:t>
      </w:r>
      <w:r w:rsidRPr="00FD6EB5">
        <w:rPr>
          <w:lang w:eastAsia="ja-JP"/>
        </w:rPr>
        <w:t>310</w:t>
      </w:r>
    </w:p>
    <w:p w14:paraId="2E19E150" w14:textId="77777777" w:rsidR="007C0FDC" w:rsidRPr="006C1F38" w:rsidRDefault="007C0FDC" w:rsidP="007C0FDC">
      <w:pPr>
        <w:ind w:left="360"/>
        <w:rPr>
          <w:lang w:eastAsia="ja-JP"/>
        </w:rPr>
      </w:pPr>
      <w:r>
        <w:rPr>
          <w:lang w:eastAsia="ja-JP"/>
        </w:rPr>
        <w:t>S</w:t>
      </w:r>
      <w:r w:rsidRPr="006C1F38">
        <w:rPr>
          <w:lang w:eastAsia="ja-JP"/>
        </w:rPr>
        <w:t xml:space="preserve">ubsets of the </w:t>
      </w:r>
      <w:r>
        <w:rPr>
          <w:lang w:eastAsia="ja-JP"/>
        </w:rPr>
        <w:t>Full Analysis Set</w:t>
      </w:r>
      <w:r w:rsidRPr="006C1F38">
        <w:rPr>
          <w:lang w:eastAsia="ja-JP"/>
        </w:rPr>
        <w:t xml:space="preserve"> which included subjects who completed the specified treatment period and did not have a protocol violation that would affect evaluation of the primary objective of the study.</w:t>
      </w:r>
    </w:p>
    <w:p w14:paraId="31E57F73" w14:textId="3715EA56" w:rsidR="007C0FDC" w:rsidRPr="00A76804" w:rsidRDefault="007C0FDC" w:rsidP="007C0FDC">
      <w:pPr>
        <w:pStyle w:val="ListBullet"/>
        <w:numPr>
          <w:ilvl w:val="0"/>
          <w:numId w:val="1"/>
        </w:numPr>
        <w:rPr>
          <w:lang w:eastAsia="ja-JP"/>
        </w:rPr>
      </w:pPr>
      <w:r w:rsidRPr="002C4BB1">
        <w:rPr>
          <w:lang w:eastAsia="ja-JP"/>
        </w:rPr>
        <w:t>Per-protocol Analysis Set</w:t>
      </w:r>
      <w:r>
        <w:rPr>
          <w:lang w:eastAsia="ja-JP"/>
        </w:rPr>
        <w:t xml:space="preserve"> (</w:t>
      </w:r>
      <w:r w:rsidRPr="006C1F38">
        <w:rPr>
          <w:lang w:eastAsia="ja-JP"/>
        </w:rPr>
        <w:t xml:space="preserve">based on data </w:t>
      </w:r>
      <w:r>
        <w:rPr>
          <w:lang w:eastAsia="ja-JP"/>
        </w:rPr>
        <w:t>post Week 16)</w:t>
      </w:r>
      <w:r w:rsidRPr="002C4BB1">
        <w:rPr>
          <w:lang w:eastAsia="ja-JP"/>
        </w:rPr>
        <w:t xml:space="preserve">: </w:t>
      </w:r>
      <w:r w:rsidRPr="00AA7D1C">
        <w:rPr>
          <w:i/>
          <w:lang w:eastAsia="ja-JP"/>
        </w:rPr>
        <w:t>not reported in the study report.</w:t>
      </w:r>
      <w:r>
        <w:rPr>
          <w:b/>
          <w:i/>
          <w:lang w:eastAsia="ja-JP"/>
        </w:rPr>
        <w:t xml:space="preserve"> </w:t>
      </w:r>
      <w:r w:rsidRPr="00A76804">
        <w:rPr>
          <w:lang w:eastAsia="ja-JP"/>
        </w:rPr>
        <w:t>Re-</w:t>
      </w:r>
      <w:r w:rsidR="009B0FB8">
        <w:rPr>
          <w:lang w:eastAsia="ja-JP"/>
        </w:rPr>
        <w:t>randomised</w:t>
      </w:r>
      <w:r w:rsidRPr="00A76804">
        <w:rPr>
          <w:lang w:eastAsia="ja-JP"/>
        </w:rPr>
        <w:t xml:space="preserve"> Analysis Set: N</w:t>
      </w:r>
      <w:r w:rsidR="00642839">
        <w:rPr>
          <w:lang w:eastAsia="ja-JP"/>
        </w:rPr>
        <w:t xml:space="preserve"> </w:t>
      </w:r>
      <w:r w:rsidRPr="00A76804">
        <w:rPr>
          <w:lang w:eastAsia="ja-JP"/>
        </w:rPr>
        <w:t>=</w:t>
      </w:r>
      <w:r w:rsidR="00642839">
        <w:rPr>
          <w:lang w:eastAsia="ja-JP"/>
        </w:rPr>
        <w:t xml:space="preserve"> </w:t>
      </w:r>
      <w:r w:rsidRPr="00A76804">
        <w:rPr>
          <w:lang w:eastAsia="ja-JP"/>
        </w:rPr>
        <w:t>308</w:t>
      </w:r>
    </w:p>
    <w:p w14:paraId="4C5719E5" w14:textId="77777777" w:rsidR="007C0FDC" w:rsidRPr="00670917" w:rsidRDefault="007C0FDC" w:rsidP="007C0FDC">
      <w:pPr>
        <w:ind w:left="360"/>
        <w:rPr>
          <w:lang w:eastAsia="ja-JP"/>
        </w:rPr>
      </w:pPr>
      <w:r>
        <w:rPr>
          <w:lang w:eastAsia="ja-JP"/>
        </w:rPr>
        <w:t>C</w:t>
      </w:r>
      <w:r w:rsidRPr="00670917">
        <w:rPr>
          <w:lang w:eastAsia="ja-JP"/>
        </w:rPr>
        <w:t>onsisted of all subjects that continued from week 16 onwards</w:t>
      </w:r>
      <w:r>
        <w:rPr>
          <w:lang w:eastAsia="ja-JP"/>
        </w:rPr>
        <w:t xml:space="preserve"> (with </w:t>
      </w:r>
      <w:r w:rsidRPr="000C4A7E">
        <w:rPr>
          <w:lang w:eastAsia="ja-JP"/>
        </w:rPr>
        <w:t>treatment assignment based</w:t>
      </w:r>
      <w:r w:rsidRPr="00C71986">
        <w:rPr>
          <w:lang w:eastAsia="ja-JP"/>
        </w:rPr>
        <w:t xml:space="preserve"> </w:t>
      </w:r>
      <w:r w:rsidRPr="002C4BB1">
        <w:rPr>
          <w:lang w:eastAsia="ja-JP"/>
        </w:rPr>
        <w:t>on intention to treat principle</w:t>
      </w:r>
      <w:r>
        <w:rPr>
          <w:lang w:eastAsia="ja-JP"/>
        </w:rPr>
        <w:t>).</w:t>
      </w:r>
    </w:p>
    <w:p w14:paraId="44894C18" w14:textId="025C9586" w:rsidR="007C0FDC" w:rsidRPr="00C71986" w:rsidRDefault="007C0FDC" w:rsidP="007C0FDC">
      <w:pPr>
        <w:pStyle w:val="ListBullet"/>
        <w:numPr>
          <w:ilvl w:val="0"/>
          <w:numId w:val="1"/>
        </w:numPr>
        <w:rPr>
          <w:lang w:eastAsia="ja-JP"/>
        </w:rPr>
      </w:pPr>
      <w:r w:rsidRPr="00C71986">
        <w:rPr>
          <w:lang w:eastAsia="ja-JP"/>
        </w:rPr>
        <w:t>Safety Analysis Set: N</w:t>
      </w:r>
      <w:r w:rsidR="00642839">
        <w:rPr>
          <w:lang w:eastAsia="ja-JP"/>
        </w:rPr>
        <w:t xml:space="preserve"> </w:t>
      </w:r>
      <w:r w:rsidRPr="00C71986">
        <w:rPr>
          <w:lang w:eastAsia="ja-JP"/>
        </w:rPr>
        <w:t>=</w:t>
      </w:r>
      <w:r w:rsidR="00642839">
        <w:rPr>
          <w:lang w:eastAsia="ja-JP"/>
        </w:rPr>
        <w:t xml:space="preserve"> </w:t>
      </w:r>
      <w:r>
        <w:rPr>
          <w:lang w:eastAsia="ja-JP"/>
        </w:rPr>
        <w:t>347</w:t>
      </w:r>
    </w:p>
    <w:p w14:paraId="62390FC1" w14:textId="77777777" w:rsidR="007C0FDC" w:rsidRPr="00C71986" w:rsidRDefault="007C0FDC" w:rsidP="007C0FDC">
      <w:pPr>
        <w:ind w:left="360"/>
        <w:rPr>
          <w:lang w:eastAsia="ja-JP"/>
        </w:rPr>
      </w:pPr>
      <w:r w:rsidRPr="00C71986">
        <w:rPr>
          <w:lang w:eastAsia="ja-JP"/>
        </w:rPr>
        <w:t>Included all randomised subjects who received at least 1 dose of investigational product. In this study, this is a subset of the Full Analysis Set.</w:t>
      </w:r>
    </w:p>
    <w:p w14:paraId="421E538D" w14:textId="512FFF63" w:rsidR="007C0FDC" w:rsidRPr="00C71986" w:rsidRDefault="007C0FDC" w:rsidP="007C0FDC">
      <w:pPr>
        <w:pStyle w:val="ListBullet"/>
        <w:numPr>
          <w:ilvl w:val="0"/>
          <w:numId w:val="1"/>
        </w:numPr>
        <w:rPr>
          <w:lang w:eastAsia="ja-JP"/>
        </w:rPr>
      </w:pPr>
      <w:r w:rsidRPr="00C71986">
        <w:rPr>
          <w:lang w:eastAsia="ja-JP"/>
        </w:rPr>
        <w:t>Antidrug Antibody Analysis Set:</w:t>
      </w:r>
      <w:r>
        <w:rPr>
          <w:lang w:eastAsia="ja-JP"/>
        </w:rPr>
        <w:t xml:space="preserve"> N</w:t>
      </w:r>
      <w:r w:rsidR="00642839">
        <w:rPr>
          <w:lang w:eastAsia="ja-JP"/>
        </w:rPr>
        <w:t xml:space="preserve"> </w:t>
      </w:r>
      <w:r>
        <w:rPr>
          <w:lang w:eastAsia="ja-JP"/>
        </w:rPr>
        <w:t>=</w:t>
      </w:r>
      <w:r w:rsidR="00642839">
        <w:rPr>
          <w:lang w:eastAsia="ja-JP"/>
        </w:rPr>
        <w:t xml:space="preserve"> </w:t>
      </w:r>
      <w:r>
        <w:rPr>
          <w:lang w:eastAsia="ja-JP"/>
        </w:rPr>
        <w:t>347</w:t>
      </w:r>
    </w:p>
    <w:p w14:paraId="20782C67" w14:textId="77777777" w:rsidR="007C0FDC" w:rsidRPr="00C71986" w:rsidRDefault="007C0FDC" w:rsidP="007C0FDC">
      <w:pPr>
        <w:ind w:left="360"/>
        <w:rPr>
          <w:lang w:eastAsia="ja-JP"/>
        </w:rPr>
      </w:pPr>
      <w:r>
        <w:rPr>
          <w:lang w:eastAsia="ja-JP"/>
        </w:rPr>
        <w:t>C</w:t>
      </w:r>
      <w:r w:rsidRPr="00C71986">
        <w:rPr>
          <w:lang w:eastAsia="ja-JP"/>
        </w:rPr>
        <w:t>onsisted of the subset of subjects in the safety analysis set who had at least 1 evaluable antibody test result (to either ABP 501 or adalimumab). Immunogenicity data from subjects were analysed according to the actual treatment received.</w:t>
      </w:r>
    </w:p>
    <w:p w14:paraId="3D4C3FA3" w14:textId="1596949A" w:rsidR="007C0FDC" w:rsidRDefault="007C0FDC" w:rsidP="007C0FDC">
      <w:pPr>
        <w:pStyle w:val="ListBullet"/>
        <w:numPr>
          <w:ilvl w:val="0"/>
          <w:numId w:val="1"/>
        </w:numPr>
        <w:rPr>
          <w:lang w:eastAsia="ja-JP"/>
        </w:rPr>
      </w:pPr>
      <w:r w:rsidRPr="00F55950">
        <w:rPr>
          <w:lang w:eastAsia="ja-JP"/>
        </w:rPr>
        <w:t>Pharmacokinetic Analysis Set</w:t>
      </w:r>
      <w:r>
        <w:rPr>
          <w:lang w:eastAsia="ja-JP"/>
        </w:rPr>
        <w:t>: N</w:t>
      </w:r>
      <w:r w:rsidR="00642839">
        <w:rPr>
          <w:lang w:eastAsia="ja-JP"/>
        </w:rPr>
        <w:t xml:space="preserve"> </w:t>
      </w:r>
      <w:r>
        <w:rPr>
          <w:lang w:eastAsia="ja-JP"/>
        </w:rPr>
        <w:t>=</w:t>
      </w:r>
      <w:r w:rsidR="00642839">
        <w:rPr>
          <w:lang w:eastAsia="ja-JP"/>
        </w:rPr>
        <w:t xml:space="preserve"> </w:t>
      </w:r>
      <w:r>
        <w:rPr>
          <w:lang w:eastAsia="ja-JP"/>
        </w:rPr>
        <w:t>347</w:t>
      </w:r>
    </w:p>
    <w:p w14:paraId="31323059" w14:textId="77777777" w:rsidR="007C0FDC" w:rsidRDefault="007C0FDC" w:rsidP="007C0FDC">
      <w:pPr>
        <w:ind w:left="360"/>
        <w:rPr>
          <w:lang w:eastAsia="ja-JP"/>
        </w:rPr>
      </w:pPr>
      <w:r>
        <w:rPr>
          <w:lang w:eastAsia="ja-JP"/>
        </w:rPr>
        <w:t>C</w:t>
      </w:r>
      <w:r w:rsidRPr="00C71986">
        <w:rPr>
          <w:lang w:eastAsia="ja-JP"/>
        </w:rPr>
        <w:t>onsisted of the subset of subjects in the safety analysis set who had at least 1 evaluable result for serum concentration of ABP 501 or adalimumab (including results below the level of detection). Pharmacokinetic concentration data from subjects were analysed according to the actual treatment received.</w:t>
      </w:r>
    </w:p>
    <w:p w14:paraId="6D75A1E4" w14:textId="5ECBC7D9" w:rsidR="007C0FDC" w:rsidRPr="00C82B29" w:rsidRDefault="00642839" w:rsidP="00AA7D1C">
      <w:pPr>
        <w:pStyle w:val="Comment"/>
        <w:rPr>
          <w:lang w:eastAsia="ja-JP"/>
        </w:rPr>
      </w:pPr>
      <w:r>
        <w:rPr>
          <w:b/>
          <w:lang w:eastAsia="ja-JP"/>
        </w:rPr>
        <w:t>C</w:t>
      </w:r>
      <w:r w:rsidR="007C0FDC" w:rsidRPr="00567BA7">
        <w:rPr>
          <w:b/>
          <w:lang w:eastAsia="ja-JP"/>
        </w:rPr>
        <w:t>omment:</w:t>
      </w:r>
      <w:r w:rsidR="007C0FDC">
        <w:rPr>
          <w:b/>
          <w:lang w:eastAsia="ja-JP"/>
        </w:rPr>
        <w:t xml:space="preserve"> </w:t>
      </w:r>
      <w:r>
        <w:rPr>
          <w:b/>
          <w:lang w:eastAsia="ja-JP"/>
        </w:rPr>
        <w:t xml:space="preserve"> </w:t>
      </w:r>
      <w:r w:rsidR="007C0FDC" w:rsidRPr="00783B86">
        <w:rPr>
          <w:lang w:eastAsia="ja-JP"/>
        </w:rPr>
        <w:t>The Full Analysis Set followed the ITT principle which constituted the primary analysis set. If too many patients are lost to follow up, differences between groups could be reduced and equivalence may be falsely concluded. The sponsor has conducted appropriate sensitivity analyses with the Per-protocol Analysis Set for the key efficacy endpoints up to Week 16. The evaluator was unable to locate the any per-protocol analyses for data beyond Week 16. The sponsor should provide these per-protocol analyses</w:t>
      </w:r>
      <w:r w:rsidR="007C0FDC">
        <w:rPr>
          <w:lang w:eastAsia="ja-JP"/>
        </w:rPr>
        <w:t>.</w:t>
      </w:r>
    </w:p>
    <w:p w14:paraId="54D0A6AE" w14:textId="77777777" w:rsidR="007C0FDC" w:rsidRPr="00EC3AE0" w:rsidRDefault="007C0FDC" w:rsidP="00637B36">
      <w:pPr>
        <w:pStyle w:val="Heading5"/>
      </w:pPr>
      <w:r w:rsidRPr="00637B36">
        <w:t>Major</w:t>
      </w:r>
      <w:r w:rsidRPr="00EC3AE0">
        <w:t xml:space="preserve"> protocol violations/deviations</w:t>
      </w:r>
    </w:p>
    <w:p w14:paraId="63974EFB" w14:textId="77777777" w:rsidR="007C0FDC" w:rsidRPr="009E10AC" w:rsidRDefault="007C0FDC" w:rsidP="007C0FDC">
      <w:pPr>
        <w:pStyle w:val="Heading6"/>
      </w:pPr>
      <w:r w:rsidRPr="009E10AC">
        <w:t xml:space="preserve">Baseline </w:t>
      </w:r>
      <w:r>
        <w:t>to Week 16</w:t>
      </w:r>
    </w:p>
    <w:p w14:paraId="3EBDD0FF" w14:textId="4ABEAB2B" w:rsidR="007C0FDC" w:rsidRDefault="007C0FDC" w:rsidP="007C0FDC">
      <w:pPr>
        <w:rPr>
          <w:lang w:eastAsia="ja-JP"/>
        </w:rPr>
      </w:pPr>
      <w:r>
        <w:rPr>
          <w:lang w:eastAsia="ja-JP"/>
        </w:rPr>
        <w:t xml:space="preserve">35 of 350 subjects (10.0%) had one or more major protocol violations from baseline through to Week 16, and the </w:t>
      </w:r>
      <w:r w:rsidRPr="001F2BB8">
        <w:rPr>
          <w:lang w:eastAsia="ja-JP"/>
        </w:rPr>
        <w:t>proportion was reasonably similar in each group (</w:t>
      </w:r>
      <w:r>
        <w:rPr>
          <w:lang w:eastAsia="ja-JP"/>
        </w:rPr>
        <w:t xml:space="preserve">9.7% </w:t>
      </w:r>
      <w:r w:rsidRPr="001F2BB8">
        <w:rPr>
          <w:lang w:eastAsia="ja-JP"/>
        </w:rPr>
        <w:t xml:space="preserve">in the </w:t>
      </w:r>
      <w:r w:rsidR="00FC5128">
        <w:rPr>
          <w:lang w:eastAsia="ja-JP"/>
        </w:rPr>
        <w:t>ABP 501</w:t>
      </w:r>
      <w:r w:rsidRPr="001F2BB8">
        <w:rPr>
          <w:lang w:eastAsia="ja-JP"/>
        </w:rPr>
        <w:t xml:space="preserve"> group, and </w:t>
      </w:r>
      <w:r>
        <w:rPr>
          <w:lang w:eastAsia="ja-JP"/>
        </w:rPr>
        <w:t>10.3%</w:t>
      </w:r>
      <w:r w:rsidRPr="001F2BB8">
        <w:rPr>
          <w:lang w:eastAsia="ja-JP"/>
        </w:rPr>
        <w:t xml:space="preserve"> in the adalimumab group). A summary of eligibility related protocol violations is shown in (a subset of those shown in </w:t>
      </w:r>
      <w:r>
        <w:rPr>
          <w:lang w:eastAsia="ja-JP"/>
        </w:rPr>
        <w:t>Table 20</w:t>
      </w:r>
      <w:r w:rsidRPr="001F2BB8">
        <w:rPr>
          <w:lang w:eastAsia="ja-JP"/>
        </w:rPr>
        <w:t>).</w:t>
      </w:r>
    </w:p>
    <w:p w14:paraId="13078A00" w14:textId="6B2F3003" w:rsidR="007C0FDC" w:rsidRPr="00C337D5" w:rsidRDefault="007C0FDC" w:rsidP="00637B36">
      <w:pPr>
        <w:pStyle w:val="Tabletitle"/>
        <w:rPr>
          <w:lang w:eastAsia="ja-JP"/>
        </w:rPr>
      </w:pPr>
      <w:bookmarkStart w:id="199" w:name="_Ref459370135"/>
      <w:bookmarkStart w:id="200" w:name="_Toc471285611"/>
      <w:r w:rsidRPr="00C337D5">
        <w:lastRenderedPageBreak/>
        <w:t xml:space="preserve">Table </w:t>
      </w:r>
      <w:r>
        <w:t>20</w:t>
      </w:r>
      <w:bookmarkEnd w:id="199"/>
      <w:r>
        <w:t>:</w:t>
      </w:r>
      <w:r w:rsidRPr="00C337D5">
        <w:t xml:space="preserve"> </w:t>
      </w:r>
      <w:r w:rsidRPr="00B87CCF">
        <w:t>Study 20120263</w:t>
      </w:r>
      <w:proofErr w:type="gramStart"/>
      <w:r w:rsidRPr="00B87CCF">
        <w:t>:</w:t>
      </w:r>
      <w:r w:rsidRPr="00C337D5">
        <w:rPr>
          <w:lang w:eastAsia="ja-JP"/>
        </w:rPr>
        <w:t>Major</w:t>
      </w:r>
      <w:proofErr w:type="gramEnd"/>
      <w:r w:rsidRPr="00C337D5">
        <w:rPr>
          <w:lang w:eastAsia="ja-JP"/>
        </w:rPr>
        <w:t xml:space="preserve"> </w:t>
      </w:r>
      <w:r w:rsidR="00642839" w:rsidRPr="00C337D5">
        <w:rPr>
          <w:lang w:eastAsia="ja-JP"/>
        </w:rPr>
        <w:t>protocol violations by initial treatment group</w:t>
      </w:r>
      <w:r w:rsidR="00642839">
        <w:rPr>
          <w:lang w:eastAsia="ja-JP"/>
        </w:rPr>
        <w:t xml:space="preserve">; </w:t>
      </w:r>
      <w:r w:rsidRPr="00C337D5">
        <w:rPr>
          <w:lang w:eastAsia="ja-JP"/>
        </w:rPr>
        <w:t>Baseline to Week 16 (</w:t>
      </w:r>
      <w:r w:rsidRPr="00637B36">
        <w:t>Full</w:t>
      </w:r>
      <w:r w:rsidRPr="00C337D5">
        <w:rPr>
          <w:lang w:eastAsia="ja-JP"/>
        </w:rPr>
        <w:t xml:space="preserve"> Analysis Set)</w:t>
      </w:r>
      <w:bookmarkEnd w:id="200"/>
    </w:p>
    <w:p w14:paraId="2345E0CB" w14:textId="77777777" w:rsidR="007C0FDC" w:rsidRDefault="007C0FDC" w:rsidP="007C0FDC">
      <w:pPr>
        <w:rPr>
          <w:lang w:eastAsia="ja-JP"/>
        </w:rPr>
      </w:pPr>
      <w:r>
        <w:rPr>
          <w:noProof/>
          <w:lang w:eastAsia="en-AU"/>
        </w:rPr>
        <w:drawing>
          <wp:inline distT="0" distB="0" distL="0" distR="0" wp14:anchorId="02D1E3D0" wp14:editId="2E1FB770">
            <wp:extent cx="3885698" cy="2760453"/>
            <wp:effectExtent l="0" t="0" r="635" b="8255"/>
            <wp:docPr id="292" name="Picture 292" descr="Table 20: Study 20120263: Major Protocol Violations by Initial Treatment Group – Baseline to Week 16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biLevel thresh="75000"/>
                      <a:extLst>
                        <a:ext uri="{28A0092B-C50C-407E-A947-70E740481C1C}">
                          <a14:useLocalDpi xmlns:a14="http://schemas.microsoft.com/office/drawing/2010/main" val="0"/>
                        </a:ext>
                      </a:extLst>
                    </a:blip>
                    <a:srcRect b="4478"/>
                    <a:stretch/>
                  </pic:blipFill>
                  <pic:spPr bwMode="auto">
                    <a:xfrm>
                      <a:off x="0" y="0"/>
                      <a:ext cx="3886151" cy="2760775"/>
                    </a:xfrm>
                    <a:prstGeom prst="rect">
                      <a:avLst/>
                    </a:prstGeom>
                    <a:noFill/>
                    <a:ln>
                      <a:noFill/>
                    </a:ln>
                    <a:extLst>
                      <a:ext uri="{53640926-AAD7-44D8-BBD7-CCE9431645EC}">
                        <a14:shadowObscured xmlns:a14="http://schemas.microsoft.com/office/drawing/2010/main"/>
                      </a:ext>
                    </a:extLst>
                  </pic:spPr>
                </pic:pic>
              </a:graphicData>
            </a:graphic>
          </wp:inline>
        </w:drawing>
      </w:r>
    </w:p>
    <w:p w14:paraId="4ACD8777" w14:textId="0C51DB81" w:rsidR="007C0FDC" w:rsidRPr="00C337D5" w:rsidRDefault="007C0FDC" w:rsidP="00637B36">
      <w:pPr>
        <w:pStyle w:val="Tabletitle"/>
        <w:rPr>
          <w:lang w:eastAsia="ja-JP"/>
        </w:rPr>
      </w:pPr>
      <w:bookmarkStart w:id="201" w:name="_Ref459370153"/>
      <w:bookmarkStart w:id="202" w:name="_Toc471285612"/>
      <w:r w:rsidRPr="00C337D5">
        <w:t xml:space="preserve">Table </w:t>
      </w:r>
      <w:r>
        <w:t>21:</w:t>
      </w:r>
      <w:bookmarkEnd w:id="201"/>
      <w:r w:rsidRPr="00C337D5">
        <w:t xml:space="preserve"> </w:t>
      </w:r>
      <w:r w:rsidRPr="00B87CCF">
        <w:t xml:space="preserve">Study 20120263 </w:t>
      </w:r>
      <w:r w:rsidRPr="00C337D5">
        <w:rPr>
          <w:lang w:eastAsia="ja-JP"/>
        </w:rPr>
        <w:t xml:space="preserve">Eligibility </w:t>
      </w:r>
      <w:r w:rsidR="00642839" w:rsidRPr="00C337D5">
        <w:rPr>
          <w:lang w:eastAsia="ja-JP"/>
        </w:rPr>
        <w:t>related protocol deviations/violations by initial treatment</w:t>
      </w:r>
      <w:r w:rsidRPr="00C337D5">
        <w:rPr>
          <w:lang w:eastAsia="ja-JP"/>
        </w:rPr>
        <w:t xml:space="preserve"> (Full Analysis </w:t>
      </w:r>
      <w:r w:rsidRPr="00637B36">
        <w:t>Set</w:t>
      </w:r>
      <w:r w:rsidRPr="00C337D5">
        <w:rPr>
          <w:lang w:eastAsia="ja-JP"/>
        </w:rPr>
        <w:t>).</w:t>
      </w:r>
      <w:bookmarkEnd w:id="202"/>
    </w:p>
    <w:p w14:paraId="49D2B127" w14:textId="77777777" w:rsidR="007C0FDC" w:rsidRDefault="007C0FDC" w:rsidP="007C0FDC">
      <w:pPr>
        <w:rPr>
          <w:lang w:eastAsia="ja-JP"/>
        </w:rPr>
      </w:pPr>
      <w:r>
        <w:rPr>
          <w:noProof/>
          <w:lang w:eastAsia="en-AU"/>
        </w:rPr>
        <w:drawing>
          <wp:inline distT="0" distB="0" distL="0" distR="0" wp14:anchorId="04020041" wp14:editId="5BD0640D">
            <wp:extent cx="5731510" cy="1401579"/>
            <wp:effectExtent l="0" t="0" r="2540" b="8255"/>
            <wp:docPr id="294" name="Picture 294" descr="Table 21: Study 20120263: Eligibility Related Protocol Deviations/Violations by Initial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1510" cy="1401579"/>
                    </a:xfrm>
                    <a:prstGeom prst="rect">
                      <a:avLst/>
                    </a:prstGeom>
                    <a:noFill/>
                    <a:ln>
                      <a:noFill/>
                    </a:ln>
                  </pic:spPr>
                </pic:pic>
              </a:graphicData>
            </a:graphic>
          </wp:inline>
        </w:drawing>
      </w:r>
    </w:p>
    <w:p w14:paraId="32E3059A" w14:textId="77777777" w:rsidR="007C0FDC" w:rsidRPr="009E10AC" w:rsidRDefault="007C0FDC" w:rsidP="007C0FDC">
      <w:pPr>
        <w:pStyle w:val="Heading6"/>
      </w:pPr>
      <w:r w:rsidRPr="009E10AC">
        <w:t>Baseline to end of study</w:t>
      </w:r>
    </w:p>
    <w:p w14:paraId="4A5AB604" w14:textId="77777777" w:rsidR="007C0FDC" w:rsidRPr="00E26F2D" w:rsidRDefault="007C0FDC" w:rsidP="007C0FDC">
      <w:pPr>
        <w:pStyle w:val="Caption"/>
        <w:rPr>
          <w:sz w:val="22"/>
          <w:szCs w:val="22"/>
          <w:lang w:eastAsia="ja-JP"/>
        </w:rPr>
      </w:pPr>
      <w:r w:rsidRPr="00E26F2D">
        <w:rPr>
          <w:sz w:val="22"/>
          <w:szCs w:val="22"/>
          <w:lang w:eastAsia="ja-JP"/>
        </w:rPr>
        <w:t>59 of 350 subjects (16.9%) had 1 or more major protocol violations from baseline through to the end of study. The most common major protocol violation was use of prohibited medications during the study and the proportion was reasonably similar in each group. A summary of major protocol violations is shown in</w:t>
      </w:r>
      <w:r>
        <w:rPr>
          <w:sz w:val="22"/>
          <w:szCs w:val="22"/>
          <w:lang w:eastAsia="ja-JP"/>
        </w:rPr>
        <w:t xml:space="preserve"> Table 22.</w:t>
      </w:r>
    </w:p>
    <w:p w14:paraId="1505A5D3" w14:textId="30D327AF" w:rsidR="007C0FDC" w:rsidRPr="00C337D5" w:rsidRDefault="007C0FDC" w:rsidP="00637B36">
      <w:pPr>
        <w:pStyle w:val="Tabletitle"/>
        <w:rPr>
          <w:lang w:eastAsia="ja-JP"/>
        </w:rPr>
      </w:pPr>
      <w:bookmarkStart w:id="203" w:name="_Ref459370345"/>
      <w:bookmarkStart w:id="204" w:name="_Toc471285613"/>
      <w:r w:rsidRPr="00C337D5">
        <w:lastRenderedPageBreak/>
        <w:t xml:space="preserve">Table </w:t>
      </w:r>
      <w:r>
        <w:t>22:</w:t>
      </w:r>
      <w:bookmarkEnd w:id="203"/>
      <w:r w:rsidRPr="00C337D5">
        <w:t xml:space="preserve"> </w:t>
      </w:r>
      <w:r w:rsidRPr="00B87CCF">
        <w:t xml:space="preserve">Study 20120263 </w:t>
      </w:r>
      <w:r w:rsidRPr="00C337D5">
        <w:rPr>
          <w:lang w:eastAsia="ja-JP"/>
        </w:rPr>
        <w:t xml:space="preserve">Major </w:t>
      </w:r>
      <w:r w:rsidR="00642839" w:rsidRPr="00C337D5">
        <w:rPr>
          <w:lang w:eastAsia="ja-JP"/>
        </w:rPr>
        <w:t>protocol violations by</w:t>
      </w:r>
      <w:r w:rsidRPr="00C337D5">
        <w:rPr>
          <w:lang w:eastAsia="ja-JP"/>
        </w:rPr>
        <w:t xml:space="preserve"> </w:t>
      </w:r>
      <w:r w:rsidR="00642839">
        <w:rPr>
          <w:lang w:eastAsia="ja-JP"/>
        </w:rPr>
        <w:t>i</w:t>
      </w:r>
      <w:r w:rsidRPr="00C337D5">
        <w:rPr>
          <w:lang w:eastAsia="ja-JP"/>
        </w:rPr>
        <w:t>nitial/</w:t>
      </w:r>
      <w:r w:rsidR="00642839">
        <w:rPr>
          <w:lang w:eastAsia="ja-JP"/>
        </w:rPr>
        <w:t>r</w:t>
      </w:r>
      <w:r w:rsidR="00642839" w:rsidRPr="00C337D5">
        <w:rPr>
          <w:lang w:eastAsia="ja-JP"/>
        </w:rPr>
        <w:t>e</w:t>
      </w:r>
      <w:r w:rsidRPr="00C337D5">
        <w:rPr>
          <w:lang w:eastAsia="ja-JP"/>
        </w:rPr>
        <w:t>-</w:t>
      </w:r>
      <w:r w:rsidR="00642839" w:rsidRPr="00C337D5">
        <w:rPr>
          <w:lang w:eastAsia="ja-JP"/>
        </w:rPr>
        <w:t>randomi</w:t>
      </w:r>
      <w:r w:rsidR="00642839">
        <w:rPr>
          <w:lang w:eastAsia="ja-JP"/>
        </w:rPr>
        <w:t>s</w:t>
      </w:r>
      <w:r w:rsidR="00642839" w:rsidRPr="00C337D5">
        <w:rPr>
          <w:lang w:eastAsia="ja-JP"/>
        </w:rPr>
        <w:t xml:space="preserve">ed </w:t>
      </w:r>
      <w:r w:rsidR="00642839">
        <w:rPr>
          <w:lang w:eastAsia="ja-JP"/>
        </w:rPr>
        <w:t>t</w:t>
      </w:r>
      <w:r w:rsidRPr="00C337D5">
        <w:rPr>
          <w:lang w:eastAsia="ja-JP"/>
        </w:rPr>
        <w:t xml:space="preserve">reatment </w:t>
      </w:r>
      <w:r w:rsidR="00642839">
        <w:rPr>
          <w:lang w:eastAsia="ja-JP"/>
        </w:rPr>
        <w:t xml:space="preserve">group; </w:t>
      </w:r>
      <w:r w:rsidR="00642839" w:rsidRPr="00C337D5">
        <w:rPr>
          <w:lang w:eastAsia="ja-JP"/>
        </w:rPr>
        <w:t xml:space="preserve">baseline to end of study </w:t>
      </w:r>
      <w:r w:rsidRPr="00C337D5">
        <w:rPr>
          <w:lang w:eastAsia="ja-JP"/>
        </w:rPr>
        <w:t>(Full Analysis Set)</w:t>
      </w:r>
      <w:bookmarkEnd w:id="204"/>
    </w:p>
    <w:p w14:paraId="14B7587C" w14:textId="77777777" w:rsidR="007C0FDC" w:rsidRDefault="007C0FDC" w:rsidP="007C0FDC">
      <w:pPr>
        <w:rPr>
          <w:lang w:eastAsia="ja-JP"/>
        </w:rPr>
      </w:pPr>
      <w:r>
        <w:rPr>
          <w:noProof/>
          <w:lang w:eastAsia="en-AU"/>
        </w:rPr>
        <w:drawing>
          <wp:inline distT="0" distB="0" distL="0" distR="0" wp14:anchorId="649B2787" wp14:editId="570D0684">
            <wp:extent cx="5727267" cy="2967487"/>
            <wp:effectExtent l="0" t="0" r="0" b="4445"/>
            <wp:docPr id="293" name="Picture 293" descr="Table 22: Study 20120263: Major Protocol Violations by Initial/Re-randomized Treatment Group – Baseline to End of Stud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biLevel thresh="75000"/>
                      <a:extLst>
                        <a:ext uri="{28A0092B-C50C-407E-A947-70E740481C1C}">
                          <a14:useLocalDpi xmlns:a14="http://schemas.microsoft.com/office/drawing/2010/main" val="0"/>
                        </a:ext>
                      </a:extLst>
                    </a:blip>
                    <a:srcRect b="3911"/>
                    <a:stretch/>
                  </pic:blipFill>
                  <pic:spPr bwMode="auto">
                    <a:xfrm>
                      <a:off x="0" y="0"/>
                      <a:ext cx="5731510" cy="2969686"/>
                    </a:xfrm>
                    <a:prstGeom prst="rect">
                      <a:avLst/>
                    </a:prstGeom>
                    <a:noFill/>
                    <a:ln>
                      <a:noFill/>
                    </a:ln>
                    <a:extLst>
                      <a:ext uri="{53640926-AAD7-44D8-BBD7-CCE9431645EC}">
                        <a14:shadowObscured xmlns:a14="http://schemas.microsoft.com/office/drawing/2010/main"/>
                      </a:ext>
                    </a:extLst>
                  </pic:spPr>
                </pic:pic>
              </a:graphicData>
            </a:graphic>
          </wp:inline>
        </w:drawing>
      </w:r>
    </w:p>
    <w:p w14:paraId="58CA55CD" w14:textId="2FA621B8" w:rsidR="007C0FDC" w:rsidRDefault="00642839" w:rsidP="007516F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Pr>
          <w:lang w:eastAsia="ja-JP"/>
        </w:rPr>
        <w:t>The protocol violation/deviation proportions were reasonably similar in both treatment groups up to Week 16, and also reasonably similar in the three treatment groups beyond week 16.</w:t>
      </w:r>
    </w:p>
    <w:p w14:paraId="654A819F" w14:textId="13684BB7" w:rsidR="007C0FDC" w:rsidRDefault="007C0FDC" w:rsidP="007516FC">
      <w:pPr>
        <w:pStyle w:val="Comment"/>
        <w:ind w:firstLine="0"/>
        <w:rPr>
          <w:lang w:eastAsia="ja-JP"/>
        </w:rPr>
      </w:pPr>
      <w:r>
        <w:rPr>
          <w:lang w:eastAsia="ja-JP"/>
        </w:rPr>
        <w:t xml:space="preserve">To mitigate the potential effect of protocol violations/deviations, the </w:t>
      </w:r>
      <w:r w:rsidRPr="009F7B03">
        <w:rPr>
          <w:lang w:eastAsia="ja-JP"/>
        </w:rPr>
        <w:t xml:space="preserve">sponsor has conducted appropriate sensitivity analyses with the </w:t>
      </w:r>
      <w:r>
        <w:rPr>
          <w:lang w:eastAsia="ja-JP"/>
        </w:rPr>
        <w:t>Per-protocol Analysis Set (which excluded subjects for whom major violations were recorded) for subjects up to Week 16</w:t>
      </w:r>
      <w:r w:rsidRPr="009F7B03">
        <w:rPr>
          <w:lang w:eastAsia="ja-JP"/>
        </w:rPr>
        <w:t>.</w:t>
      </w:r>
      <w:r>
        <w:rPr>
          <w:lang w:eastAsia="ja-JP"/>
        </w:rPr>
        <w:t xml:space="preserve"> However, as stated above, there appears to be no Per-protocol Analysis Set for the study period beyond </w:t>
      </w:r>
      <w:r w:rsidR="00642839">
        <w:rPr>
          <w:lang w:eastAsia="ja-JP"/>
        </w:rPr>
        <w:t xml:space="preserve">Week </w:t>
      </w:r>
      <w:r>
        <w:rPr>
          <w:lang w:eastAsia="ja-JP"/>
        </w:rPr>
        <w:t>16.</w:t>
      </w:r>
    </w:p>
    <w:p w14:paraId="765B9D08" w14:textId="77777777" w:rsidR="007C0FDC" w:rsidRDefault="007C0FDC" w:rsidP="007C0FDC">
      <w:pPr>
        <w:pStyle w:val="Heading5"/>
        <w:numPr>
          <w:ilvl w:val="3"/>
          <w:numId w:val="5"/>
        </w:numPr>
      </w:pPr>
      <w:r w:rsidRPr="00EC3AE0">
        <w:t>Baseline data</w:t>
      </w:r>
    </w:p>
    <w:p w14:paraId="33A427CE" w14:textId="232D63FA" w:rsidR="007C0FDC" w:rsidRDefault="007C0FDC" w:rsidP="007C0FDC">
      <w:pPr>
        <w:rPr>
          <w:lang w:eastAsia="ja-JP"/>
        </w:rPr>
      </w:pPr>
      <w:r w:rsidRPr="00BE09ED">
        <w:rPr>
          <w:lang w:eastAsia="ja-JP"/>
        </w:rPr>
        <w:t xml:space="preserve">Both the demographic and the </w:t>
      </w:r>
      <w:r>
        <w:rPr>
          <w:lang w:eastAsia="ja-JP"/>
        </w:rPr>
        <w:t>psoriasis-</w:t>
      </w:r>
      <w:r w:rsidRPr="00BE09ED">
        <w:rPr>
          <w:lang w:eastAsia="ja-JP"/>
        </w:rPr>
        <w:t xml:space="preserve">related baseline characteristic proportions were reasonably balanced between treatment groups </w:t>
      </w:r>
      <w:r>
        <w:rPr>
          <w:lang w:eastAsia="ja-JP"/>
        </w:rPr>
        <w:t>(ABP</w:t>
      </w:r>
      <w:r w:rsidR="00642839">
        <w:rPr>
          <w:lang w:eastAsia="ja-JP"/>
        </w:rPr>
        <w:t xml:space="preserve"> </w:t>
      </w:r>
      <w:r>
        <w:rPr>
          <w:lang w:eastAsia="ja-JP"/>
        </w:rPr>
        <w:t>501 and adalimumab) in the Full Analysis Set</w:t>
      </w:r>
      <w:r w:rsidRPr="00BE09ED">
        <w:rPr>
          <w:lang w:eastAsia="ja-JP"/>
        </w:rPr>
        <w:t xml:space="preserve">, </w:t>
      </w:r>
      <w:r>
        <w:rPr>
          <w:lang w:eastAsia="ja-JP"/>
        </w:rPr>
        <w:t>the Re-</w:t>
      </w:r>
      <w:r w:rsidR="00642839">
        <w:rPr>
          <w:lang w:eastAsia="ja-JP"/>
        </w:rPr>
        <w:t xml:space="preserve">randomised </w:t>
      </w:r>
      <w:r>
        <w:rPr>
          <w:lang w:eastAsia="ja-JP"/>
        </w:rPr>
        <w:t xml:space="preserve">Analysis Set, and the </w:t>
      </w:r>
      <w:r w:rsidRPr="006E03C5">
        <w:rPr>
          <w:lang w:eastAsia="ja-JP"/>
        </w:rPr>
        <w:t>per-protocol analysis set</w:t>
      </w:r>
      <w:r>
        <w:rPr>
          <w:lang w:eastAsia="ja-JP"/>
        </w:rPr>
        <w:t>.</w:t>
      </w:r>
    </w:p>
    <w:p w14:paraId="3B97D2E4" w14:textId="1F614603" w:rsidR="007C0FDC" w:rsidRPr="00464876" w:rsidRDefault="007C0FDC" w:rsidP="007C0FDC">
      <w:pPr>
        <w:rPr>
          <w:lang w:eastAsia="ja-JP"/>
        </w:rPr>
      </w:pPr>
      <w:r w:rsidRPr="00464876">
        <w:rPr>
          <w:lang w:eastAsia="ja-JP"/>
        </w:rPr>
        <w:t xml:space="preserve">The following proportions refer to the </w:t>
      </w:r>
      <w:r>
        <w:rPr>
          <w:lang w:eastAsia="ja-JP"/>
        </w:rPr>
        <w:t>Full Analysis Set</w:t>
      </w:r>
      <w:r w:rsidR="00642839">
        <w:rPr>
          <w:lang w:eastAsia="ja-JP"/>
        </w:rPr>
        <w:t>.</w:t>
      </w:r>
    </w:p>
    <w:p w14:paraId="4A82527D" w14:textId="599CDA83" w:rsidR="007C0FDC" w:rsidRPr="00464876" w:rsidRDefault="007C0FDC" w:rsidP="007C0FDC">
      <w:pPr>
        <w:rPr>
          <w:lang w:eastAsia="ja-JP"/>
        </w:rPr>
      </w:pPr>
      <w:r w:rsidRPr="00464876">
        <w:rPr>
          <w:lang w:eastAsia="ja-JP"/>
        </w:rPr>
        <w:t>The overall mean age was 44.6 years (range 18 to 74 years). The majority of subjects were male (65.1%, 228/350). The majority of subjects were Caucasian (92.6%, 324/350). The duration of psoriasis refers to the time since diagnosis. 91.7% of subjects had psoriasis duration of ≥ 5 years (92.0% (</w:t>
      </w:r>
      <w:r w:rsidR="00FC5128">
        <w:rPr>
          <w:lang w:eastAsia="ja-JP"/>
        </w:rPr>
        <w:t>ABP 501</w:t>
      </w:r>
      <w:r w:rsidRPr="00464876">
        <w:rPr>
          <w:lang w:eastAsia="ja-JP"/>
        </w:rPr>
        <w:t>) and 91.4% (adalimumab). The mean duration was 20.09 years and the m</w:t>
      </w:r>
      <w:r w:rsidR="00637B36">
        <w:rPr>
          <w:lang w:eastAsia="ja-JP"/>
        </w:rPr>
        <w:t>edian duration was 18.00 years.</w:t>
      </w:r>
    </w:p>
    <w:p w14:paraId="04A36134" w14:textId="77777777" w:rsidR="007C0FDC" w:rsidRPr="00464876" w:rsidRDefault="007C0FDC" w:rsidP="007C0FDC">
      <w:pPr>
        <w:rPr>
          <w:lang w:eastAsia="ja-JP"/>
        </w:rPr>
      </w:pPr>
      <w:r w:rsidRPr="00464876">
        <w:rPr>
          <w:lang w:eastAsia="ja-JP"/>
        </w:rPr>
        <w:t xml:space="preserve">The mean PASI score was 20.08 </w:t>
      </w:r>
      <w:r>
        <w:rPr>
          <w:lang w:eastAsia="ja-JP"/>
        </w:rPr>
        <w:t xml:space="preserve">(a PASI score &gt; 20 is considered severe disease) </w:t>
      </w:r>
      <w:r w:rsidRPr="00464876">
        <w:rPr>
          <w:lang w:eastAsia="ja-JP"/>
        </w:rPr>
        <w:t>and the median score was 17.50</w:t>
      </w:r>
      <w:r>
        <w:rPr>
          <w:lang w:eastAsia="ja-JP"/>
        </w:rPr>
        <w:t xml:space="preserve"> (range 12.0 to 61.8) (a PASI score of 10-20 is considered moderate disease)</w:t>
      </w:r>
      <w:r w:rsidRPr="00464876">
        <w:rPr>
          <w:lang w:eastAsia="ja-JP"/>
        </w:rPr>
        <w:t xml:space="preserve">. </w:t>
      </w:r>
      <w:r>
        <w:rPr>
          <w:lang w:eastAsia="ja-JP"/>
        </w:rPr>
        <w:t xml:space="preserve">The mean BSA affected by psoriasis was </w:t>
      </w:r>
      <w:r w:rsidRPr="00464876">
        <w:rPr>
          <w:lang w:eastAsia="ja-JP"/>
        </w:rPr>
        <w:t>26.9</w:t>
      </w:r>
      <w:r>
        <w:rPr>
          <w:lang w:eastAsia="ja-JP"/>
        </w:rPr>
        <w:t xml:space="preserve">% and the </w:t>
      </w:r>
      <w:r w:rsidRPr="00464876">
        <w:rPr>
          <w:lang w:eastAsia="ja-JP"/>
        </w:rPr>
        <w:t>median score was</w:t>
      </w:r>
      <w:r>
        <w:rPr>
          <w:lang w:eastAsia="ja-JP"/>
        </w:rPr>
        <w:t xml:space="preserve"> 21.0% (range 10 to 90%)</w:t>
      </w:r>
      <w:r w:rsidRPr="00464876">
        <w:rPr>
          <w:lang w:eastAsia="ja-JP"/>
        </w:rPr>
        <w:t>.</w:t>
      </w:r>
      <w:r>
        <w:rPr>
          <w:lang w:eastAsia="ja-JP"/>
        </w:rPr>
        <w:t xml:space="preserve"> With regard to sPGA scores (clear, almost clear, mild, moderate, severe, very severe), the number of subjects were: 208 (moderate), 122</w:t>
      </w:r>
      <w:r w:rsidRPr="00630035">
        <w:rPr>
          <w:lang w:eastAsia="ja-JP"/>
        </w:rPr>
        <w:t xml:space="preserve"> </w:t>
      </w:r>
      <w:r>
        <w:rPr>
          <w:lang w:eastAsia="ja-JP"/>
        </w:rPr>
        <w:t>(severe), and 17 (very severe). No subjects were in the sPGA category of clear, almost clear, or mild.</w:t>
      </w:r>
    </w:p>
    <w:p w14:paraId="0AD4A890" w14:textId="77777777" w:rsidR="007C0FDC" w:rsidRDefault="007C0FDC" w:rsidP="007C0FDC">
      <w:pPr>
        <w:rPr>
          <w:lang w:eastAsia="ja-JP"/>
        </w:rPr>
      </w:pPr>
      <w:r>
        <w:rPr>
          <w:lang w:eastAsia="ja-JP"/>
        </w:rPr>
        <w:t>82.0% of subjects</w:t>
      </w:r>
      <w:r w:rsidRPr="00D60FD5">
        <w:rPr>
          <w:lang w:eastAsia="ja-JP"/>
        </w:rPr>
        <w:t xml:space="preserve"> </w:t>
      </w:r>
      <w:r>
        <w:rPr>
          <w:lang w:eastAsia="ja-JP"/>
        </w:rPr>
        <w:t>(</w:t>
      </w:r>
      <w:r w:rsidRPr="00D60FD5">
        <w:rPr>
          <w:lang w:eastAsia="ja-JP"/>
        </w:rPr>
        <w:t>287/350</w:t>
      </w:r>
      <w:r>
        <w:rPr>
          <w:lang w:eastAsia="ja-JP"/>
        </w:rPr>
        <w:t xml:space="preserve">) had </w:t>
      </w:r>
      <w:r w:rsidRPr="00D60FD5">
        <w:rPr>
          <w:lang w:eastAsia="ja-JP"/>
        </w:rPr>
        <w:t>prior</w:t>
      </w:r>
      <w:r>
        <w:rPr>
          <w:lang w:eastAsia="ja-JP"/>
        </w:rPr>
        <w:t xml:space="preserve"> biological agent use for psoriasis</w:t>
      </w:r>
      <w:r w:rsidRPr="00D60FD5">
        <w:rPr>
          <w:lang w:eastAsia="ja-JP"/>
        </w:rPr>
        <w:t>, 75.1</w:t>
      </w:r>
      <w:r>
        <w:rPr>
          <w:lang w:eastAsia="ja-JP"/>
        </w:rPr>
        <w:t xml:space="preserve">% (263/350) had </w:t>
      </w:r>
      <w:r w:rsidRPr="00D60FD5">
        <w:rPr>
          <w:lang w:eastAsia="ja-JP"/>
        </w:rPr>
        <w:t>prior use of systemic or phototherapies</w:t>
      </w:r>
      <w:r>
        <w:rPr>
          <w:lang w:eastAsia="ja-JP"/>
        </w:rPr>
        <w:t xml:space="preserve">, but only 10.3% (36/350) had been using concomitant topical steroids. </w:t>
      </w:r>
      <w:r w:rsidRPr="00D60FD5">
        <w:rPr>
          <w:lang w:eastAsia="ja-JP"/>
        </w:rPr>
        <w:t xml:space="preserve">The </w:t>
      </w:r>
      <w:r>
        <w:rPr>
          <w:lang w:eastAsia="ja-JP"/>
        </w:rPr>
        <w:t xml:space="preserve">summarised </w:t>
      </w:r>
      <w:r w:rsidRPr="00D60FD5">
        <w:rPr>
          <w:lang w:eastAsia="ja-JP"/>
        </w:rPr>
        <w:t xml:space="preserve">baseline medication status </w:t>
      </w:r>
      <w:r>
        <w:rPr>
          <w:lang w:eastAsia="ja-JP"/>
        </w:rPr>
        <w:t xml:space="preserve">for psoriasis </w:t>
      </w:r>
      <w:r w:rsidRPr="00D60FD5">
        <w:rPr>
          <w:lang w:eastAsia="ja-JP"/>
        </w:rPr>
        <w:t>was reasonably balanced between treatment groups</w:t>
      </w:r>
      <w:r>
        <w:rPr>
          <w:lang w:eastAsia="ja-JP"/>
        </w:rPr>
        <w:t>.</w:t>
      </w:r>
    </w:p>
    <w:p w14:paraId="1B535749" w14:textId="77777777" w:rsidR="007C0FDC" w:rsidRDefault="007C0FDC" w:rsidP="007C0FDC">
      <w:pPr>
        <w:pStyle w:val="Heading6"/>
      </w:pPr>
      <w:r>
        <w:lastRenderedPageBreak/>
        <w:t>Baseline data post-Week 16</w:t>
      </w:r>
    </w:p>
    <w:p w14:paraId="67483D1F" w14:textId="77777777" w:rsidR="007C0FDC" w:rsidRDefault="007C0FDC" w:rsidP="007C0FDC">
      <w:pPr>
        <w:rPr>
          <w:lang w:eastAsia="ja-JP"/>
        </w:rPr>
      </w:pPr>
      <w:r w:rsidRPr="003E38CC">
        <w:rPr>
          <w:lang w:eastAsia="ja-JP"/>
        </w:rPr>
        <w:t>The baseline demographic data were similar when comparing the total population at baseline and the group that reached PASI</w:t>
      </w:r>
      <w:r>
        <w:rPr>
          <w:lang w:eastAsia="ja-JP"/>
        </w:rPr>
        <w:t xml:space="preserve"> </w:t>
      </w:r>
      <w:r w:rsidRPr="003E38CC">
        <w:rPr>
          <w:lang w:eastAsia="ja-JP"/>
        </w:rPr>
        <w:t>50 and progressed past Week 16</w:t>
      </w:r>
      <w:r>
        <w:rPr>
          <w:lang w:eastAsia="ja-JP"/>
        </w:rPr>
        <w:t>.</w:t>
      </w:r>
    </w:p>
    <w:p w14:paraId="595DB18A" w14:textId="15277BF9" w:rsidR="007C0FDC" w:rsidRPr="005A394F" w:rsidRDefault="00642839" w:rsidP="007516FC">
      <w:pPr>
        <w:pStyle w:val="Comment"/>
        <w:rPr>
          <w:lang w:eastAsia="ja-JP"/>
        </w:rPr>
      </w:pPr>
      <w:r>
        <w:rPr>
          <w:b/>
          <w:lang w:eastAsia="ja-JP"/>
        </w:rPr>
        <w:t>C</w:t>
      </w:r>
      <w:r w:rsidR="007C0FDC" w:rsidRPr="004E0110">
        <w:rPr>
          <w:b/>
          <w:lang w:eastAsia="ja-JP"/>
        </w:rPr>
        <w:t>omment:</w:t>
      </w:r>
      <w:r w:rsidR="007C0FDC">
        <w:rPr>
          <w:b/>
          <w:lang w:eastAsia="ja-JP"/>
        </w:rPr>
        <w:t xml:space="preserve"> </w:t>
      </w:r>
      <w:r>
        <w:rPr>
          <w:b/>
          <w:lang w:eastAsia="ja-JP"/>
        </w:rPr>
        <w:t xml:space="preserve"> </w:t>
      </w:r>
      <w:r w:rsidR="007C0FDC" w:rsidRPr="002466B0">
        <w:rPr>
          <w:lang w:eastAsia="ja-JP"/>
        </w:rPr>
        <w:t>The Full Analysis Set which was the set used for the primary analysis by the sponsor was reasonably balanced between</w:t>
      </w:r>
      <w:r w:rsidR="007C0FDC">
        <w:rPr>
          <w:lang w:eastAsia="ja-JP"/>
        </w:rPr>
        <w:t xml:space="preserve"> treatment groups. T</w:t>
      </w:r>
      <w:r w:rsidR="007C0FDC" w:rsidRPr="002466B0">
        <w:rPr>
          <w:lang w:eastAsia="ja-JP"/>
        </w:rPr>
        <w:t xml:space="preserve">he Per-protocol Analysis Set </w:t>
      </w:r>
      <w:r w:rsidR="007C0FDC">
        <w:rPr>
          <w:lang w:eastAsia="ja-JP"/>
        </w:rPr>
        <w:t xml:space="preserve">up to Week 16 </w:t>
      </w:r>
      <w:r w:rsidR="007C0FDC" w:rsidRPr="002466B0">
        <w:rPr>
          <w:lang w:eastAsia="ja-JP"/>
        </w:rPr>
        <w:t>was also reasonably balanced between treatment groups. The characteristics shown reflect the population of patients with moderate to severe psoriasis reasonably well (</w:t>
      </w:r>
      <w:r w:rsidR="007C0FDC">
        <w:rPr>
          <w:lang w:eastAsia="ja-JP"/>
        </w:rPr>
        <w:t>for example,</w:t>
      </w:r>
      <w:r w:rsidR="007C0FDC" w:rsidRPr="002466B0">
        <w:rPr>
          <w:lang w:eastAsia="ja-JP"/>
        </w:rPr>
        <w:t xml:space="preserve"> when comparing the study population to the population described in Daudén </w:t>
      </w:r>
      <w:r w:rsidR="007C0FDC" w:rsidRPr="002466B0">
        <w:rPr>
          <w:i/>
          <w:lang w:eastAsia="ja-JP"/>
        </w:rPr>
        <w:t>et al</w:t>
      </w:r>
      <w:r w:rsidR="007C0FDC" w:rsidRPr="002466B0">
        <w:rPr>
          <w:lang w:eastAsia="ja-JP"/>
        </w:rPr>
        <w:t>. (2013), which assessed the characteristics of 1217 patients with moderate to severe psoriasis in 123 centres in Spain, even though the Span</w:t>
      </w:r>
      <w:r w:rsidR="007C0FDC">
        <w:rPr>
          <w:lang w:eastAsia="ja-JP"/>
        </w:rPr>
        <w:t>ish study had more patients with</w:t>
      </w:r>
      <w:r w:rsidR="007C0FDC" w:rsidRPr="002466B0">
        <w:rPr>
          <w:lang w:eastAsia="ja-JP"/>
        </w:rPr>
        <w:t xml:space="preserve"> milder psoriasis) which is supporting the external validity of the study. The demographics were even more similar to the pivotal adalimumab trial (Menter </w:t>
      </w:r>
      <w:r w:rsidR="007C0FDC" w:rsidRPr="002466B0">
        <w:rPr>
          <w:i/>
          <w:lang w:eastAsia="ja-JP"/>
        </w:rPr>
        <w:t>et al</w:t>
      </w:r>
      <w:r w:rsidR="007C0FDC" w:rsidRPr="002466B0">
        <w:rPr>
          <w:lang w:eastAsia="ja-JP"/>
        </w:rPr>
        <w:t xml:space="preserve">., 2008) than to the population described in Daudén </w:t>
      </w:r>
      <w:r w:rsidR="007C0FDC" w:rsidRPr="002466B0">
        <w:rPr>
          <w:i/>
          <w:lang w:eastAsia="ja-JP"/>
        </w:rPr>
        <w:t>et al</w:t>
      </w:r>
      <w:r w:rsidR="007C0FDC" w:rsidRPr="002466B0">
        <w:rPr>
          <w:lang w:eastAsia="ja-JP"/>
        </w:rPr>
        <w:t>. (2013).</w:t>
      </w:r>
      <w:r w:rsidR="007C0FDC">
        <w:rPr>
          <w:lang w:eastAsia="ja-JP"/>
        </w:rPr>
        <w:t xml:space="preserve"> </w:t>
      </w:r>
      <w:r w:rsidR="007C0FDC" w:rsidRPr="002466B0">
        <w:rPr>
          <w:lang w:eastAsia="ja-JP"/>
        </w:rPr>
        <w:t xml:space="preserve">The psoriasis scoring systems appear to be more subjective than the RA scoring systems, and less likely to be useful on their own, but </w:t>
      </w:r>
      <w:r w:rsidR="007C0FDC">
        <w:rPr>
          <w:lang w:eastAsia="ja-JP"/>
        </w:rPr>
        <w:t>generally accepted in psoriasis trials</w:t>
      </w:r>
      <w:r w:rsidR="007C0FDC" w:rsidRPr="002466B0">
        <w:rPr>
          <w:lang w:eastAsia="ja-JP"/>
        </w:rPr>
        <w:t xml:space="preserve"> when used in combination with another validated psoriasis score.</w:t>
      </w:r>
      <w:r w:rsidR="007C0FDC">
        <w:rPr>
          <w:lang w:eastAsia="ja-JP"/>
        </w:rPr>
        <w:t xml:space="preserve"> </w:t>
      </w:r>
      <w:r w:rsidR="007C0FDC" w:rsidRPr="00925F78">
        <w:rPr>
          <w:lang w:eastAsia="ja-JP"/>
        </w:rPr>
        <w:t xml:space="preserve">These scoring systems have been used for approved biological therapies for treatment of psoriasis </w:t>
      </w:r>
      <w:r w:rsidR="007C0FDC">
        <w:rPr>
          <w:lang w:eastAsia="ja-JP"/>
        </w:rPr>
        <w:t>for example,</w:t>
      </w:r>
      <w:r w:rsidR="007C0FDC" w:rsidRPr="00925F78">
        <w:rPr>
          <w:lang w:eastAsia="ja-JP"/>
        </w:rPr>
        <w:t xml:space="preserve"> </w:t>
      </w:r>
      <w:r w:rsidR="007C0FDC">
        <w:rPr>
          <w:lang w:eastAsia="ja-JP"/>
        </w:rPr>
        <w:t>i</w:t>
      </w:r>
      <w:r w:rsidR="007C0FDC" w:rsidRPr="00925F78">
        <w:rPr>
          <w:lang w:eastAsia="ja-JP"/>
        </w:rPr>
        <w:t>nfliximab</w:t>
      </w:r>
      <w:r w:rsidR="007C0FDC">
        <w:rPr>
          <w:lang w:eastAsia="ja-JP"/>
        </w:rPr>
        <w:t xml:space="preserve">. </w:t>
      </w:r>
      <w:r w:rsidR="007C0FDC" w:rsidRPr="002466B0">
        <w:rPr>
          <w:lang w:eastAsia="ja-JP"/>
        </w:rPr>
        <w:t>In summary, the baseline data is sufficiently balanced between treatment groups and sufficiently similar to the pivotal adalimumab trial for psoriasis to support internal validity and sufficiently similar to a real-world moderate to severe psoriasis population to support external validity.</w:t>
      </w:r>
    </w:p>
    <w:p w14:paraId="7A70EED2" w14:textId="77777777" w:rsidR="007C0FDC" w:rsidRPr="00EC3AE0" w:rsidRDefault="007C0FDC" w:rsidP="009E1E7B">
      <w:pPr>
        <w:pStyle w:val="Heading5"/>
      </w:pPr>
      <w:r w:rsidRPr="00EC3AE0">
        <w:t>Results for the primary efficacy outcome</w:t>
      </w:r>
    </w:p>
    <w:p w14:paraId="5986D983" w14:textId="77777777" w:rsidR="007C0FDC" w:rsidRPr="00E26F2D" w:rsidRDefault="007C0FDC" w:rsidP="007C0FDC">
      <w:pPr>
        <w:rPr>
          <w:lang w:eastAsia="ja-JP"/>
        </w:rPr>
      </w:pPr>
      <w:r w:rsidRPr="009F5855">
        <w:rPr>
          <w:lang w:eastAsia="ja-JP"/>
        </w:rPr>
        <w:t xml:space="preserve">The primary efficacy endpoint was </w:t>
      </w:r>
      <w:r>
        <w:rPr>
          <w:lang w:eastAsia="ja-JP"/>
        </w:rPr>
        <w:t xml:space="preserve">the PASI percent improvement from baseline at Week 16. The Full Analysis Set was used for this endpoint. The Per-protocol Analysis Set was also used for a sensitivity analysis. However, no per-protocol analysis data was available for the time period </w:t>
      </w:r>
      <w:r w:rsidRPr="00E26F2D">
        <w:rPr>
          <w:lang w:eastAsia="ja-JP"/>
        </w:rPr>
        <w:t>beyond Week 16.</w:t>
      </w:r>
    </w:p>
    <w:p w14:paraId="25534DBC" w14:textId="72652C6C" w:rsidR="007C0FDC" w:rsidRPr="00642839" w:rsidRDefault="007C0FDC" w:rsidP="007C0FDC">
      <w:pPr>
        <w:pStyle w:val="Caption"/>
        <w:rPr>
          <w:sz w:val="22"/>
          <w:szCs w:val="22"/>
          <w:lang w:eastAsia="ja-JP"/>
        </w:rPr>
      </w:pPr>
      <w:r w:rsidRPr="00642839">
        <w:rPr>
          <w:sz w:val="22"/>
          <w:szCs w:val="22"/>
          <w:lang w:eastAsia="ja-JP"/>
        </w:rPr>
        <w:t>The results for the primary efficacy outcome are for the Full Analysis Set (ITT population; with LOCF), the Full Analysis Set (ITT population; with observed data), and the Per-protocol Analysis Set (PP population; with observed data) are summarised in Tables 23</w:t>
      </w:r>
      <w:r w:rsidR="00642839" w:rsidRPr="00642839">
        <w:rPr>
          <w:sz w:val="22"/>
          <w:szCs w:val="22"/>
          <w:lang w:eastAsia="ja-JP"/>
        </w:rPr>
        <w:t xml:space="preserve"> to </w:t>
      </w:r>
      <w:r w:rsidRPr="007A0BC6">
        <w:rPr>
          <w:sz w:val="22"/>
          <w:szCs w:val="22"/>
          <w:lang w:eastAsia="ja-JP"/>
        </w:rPr>
        <w:t>25.</w:t>
      </w:r>
    </w:p>
    <w:p w14:paraId="07D9E24B" w14:textId="77777777" w:rsidR="007C0FDC" w:rsidRPr="00642839" w:rsidRDefault="007C0FDC" w:rsidP="007C0FDC">
      <w:pPr>
        <w:rPr>
          <w:lang w:eastAsia="ja-JP"/>
        </w:rPr>
      </w:pPr>
      <w:r w:rsidRPr="00642839">
        <w:rPr>
          <w:lang w:eastAsia="ja-JP"/>
        </w:rPr>
        <w:t xml:space="preserve">In the Full Analysis Set (ITT population; with LOCF), the PASI Percent Improvement from Baseline at Week 16 was 80.91% in Treatment Group A (ABP 501) and 83.06% in Treatment Group </w:t>
      </w:r>
      <w:r w:rsidRPr="007516FC">
        <w:rPr>
          <w:lang w:eastAsia="ja-JP"/>
        </w:rPr>
        <w:t>B</w:t>
      </w:r>
      <w:r w:rsidRPr="00642839">
        <w:rPr>
          <w:lang w:eastAsia="ja-JP"/>
        </w:rPr>
        <w:t xml:space="preserve"> (adalimumab). The least-squares mean difference between the 2 treatment groups was: -2.18% (90% CI:</w:t>
      </w:r>
      <w:r w:rsidRPr="007A0BC6">
        <w:t xml:space="preserve"> </w:t>
      </w:r>
      <w:r w:rsidRPr="00313115">
        <w:rPr>
          <w:lang w:eastAsia="ja-JP"/>
        </w:rPr>
        <w:t>-6.55%, 2.18%; 95% CI:</w:t>
      </w:r>
      <w:r w:rsidRPr="00642839">
        <w:t xml:space="preserve"> -</w:t>
      </w:r>
      <w:r w:rsidRPr="00642839">
        <w:rPr>
          <w:lang w:eastAsia="ja-JP"/>
        </w:rPr>
        <w:t>7.39%, 3.02%) (Table 23).</w:t>
      </w:r>
    </w:p>
    <w:p w14:paraId="4CCB052D" w14:textId="4D3355D0" w:rsidR="007C0FDC" w:rsidRPr="00642839" w:rsidRDefault="007C0FDC" w:rsidP="007C0FDC">
      <w:pPr>
        <w:rPr>
          <w:lang w:eastAsia="ja-JP"/>
        </w:rPr>
      </w:pPr>
      <w:r w:rsidRPr="00642839">
        <w:rPr>
          <w:lang w:eastAsia="ja-JP"/>
        </w:rPr>
        <w:t xml:space="preserve">In the Full Analysis Set (ITT population; with observed data), the PASI Percent Improvement from Baseline at Week 16 was 80.91% in Treatment Group A (ABP 501) and 83.06% in Treatment Group </w:t>
      </w:r>
      <w:r w:rsidRPr="007516FC">
        <w:rPr>
          <w:lang w:eastAsia="ja-JP"/>
        </w:rPr>
        <w:t>B</w:t>
      </w:r>
      <w:r w:rsidRPr="00642839">
        <w:rPr>
          <w:lang w:eastAsia="ja-JP"/>
        </w:rPr>
        <w:t xml:space="preserve"> (adalimumab). The least-squares mean difference between the 2 treatment groups was: -2.18% (90% CI:</w:t>
      </w:r>
      <w:r w:rsidRPr="007A0BC6">
        <w:t xml:space="preserve"> </w:t>
      </w:r>
      <w:r w:rsidRPr="00313115">
        <w:rPr>
          <w:lang w:eastAsia="ja-JP"/>
        </w:rPr>
        <w:t>-6.55%, 2.18%; 95% CI:</w:t>
      </w:r>
      <w:r w:rsidRPr="00642839">
        <w:t xml:space="preserve"> -</w:t>
      </w:r>
      <w:r w:rsidR="00883B21">
        <w:rPr>
          <w:lang w:eastAsia="ja-JP"/>
        </w:rPr>
        <w:t xml:space="preserve">7.39%, 3.02%) </w:t>
      </w:r>
      <w:proofErr w:type="gramStart"/>
      <w:r w:rsidR="00883B21">
        <w:rPr>
          <w:lang w:eastAsia="ja-JP"/>
        </w:rPr>
        <w:t>(Table 24).</w:t>
      </w:r>
      <w:proofErr w:type="gramEnd"/>
    </w:p>
    <w:p w14:paraId="23927673" w14:textId="77777777" w:rsidR="007C0FDC" w:rsidRPr="00313115" w:rsidRDefault="007C0FDC" w:rsidP="007C0FDC">
      <w:pPr>
        <w:rPr>
          <w:lang w:eastAsia="ja-JP"/>
        </w:rPr>
      </w:pPr>
      <w:r w:rsidRPr="00642839">
        <w:rPr>
          <w:lang w:eastAsia="ja-JP"/>
        </w:rPr>
        <w:t xml:space="preserve">In the Per-protocol Analysis Set (PP population; with observed data), the PASI Percent Improvement from Baseline at Week 16 was 82.62% in Treatment Group A (ABP 501) and 85.34% in Treatment Group </w:t>
      </w:r>
      <w:r w:rsidRPr="007516FC">
        <w:rPr>
          <w:lang w:eastAsia="ja-JP"/>
        </w:rPr>
        <w:t>B</w:t>
      </w:r>
      <w:r w:rsidRPr="00642839">
        <w:rPr>
          <w:lang w:eastAsia="ja-JP"/>
        </w:rPr>
        <w:t xml:space="preserve"> (adalimumab). The least-squares mean difference between the 2 treatment groups was: -2.64% (90% CI:</w:t>
      </w:r>
      <w:r w:rsidRPr="007A0BC6">
        <w:t xml:space="preserve"> </w:t>
      </w:r>
      <w:r w:rsidRPr="00313115">
        <w:rPr>
          <w:lang w:eastAsia="ja-JP"/>
        </w:rPr>
        <w:t>-6.20%, 0.91%; 95% CI: -6.89%, 1.60%) (Table 25).</w:t>
      </w:r>
    </w:p>
    <w:p w14:paraId="44D6F138" w14:textId="0AD0A82B" w:rsidR="007C0FDC" w:rsidRDefault="007C0FDC" w:rsidP="007C0FDC">
      <w:pPr>
        <w:rPr>
          <w:lang w:eastAsia="ja-JP"/>
        </w:rPr>
      </w:pPr>
      <w:r w:rsidRPr="00E26F2D">
        <w:rPr>
          <w:lang w:eastAsia="ja-JP"/>
        </w:rPr>
        <w:t>In the primary analysis, as well as the two main sensitivity analyses, the 95% CI was within the pre-specified equivalence margin</w:t>
      </w:r>
      <w:r w:rsidR="00642839">
        <w:rPr>
          <w:lang w:eastAsia="ja-JP"/>
        </w:rPr>
        <w:t>.</w:t>
      </w:r>
    </w:p>
    <w:p w14:paraId="04F0CA36" w14:textId="20AB282C" w:rsidR="007C0FDC" w:rsidRPr="00C57C14" w:rsidRDefault="007C0FDC" w:rsidP="00883B21">
      <w:pPr>
        <w:pStyle w:val="Tabletitle"/>
        <w:rPr>
          <w:lang w:eastAsia="ja-JP"/>
        </w:rPr>
      </w:pPr>
      <w:bookmarkStart w:id="205" w:name="_Ref459644707"/>
      <w:bookmarkStart w:id="206" w:name="_Toc471285614"/>
      <w:r w:rsidRPr="00C57C14">
        <w:lastRenderedPageBreak/>
        <w:t xml:space="preserve">Table </w:t>
      </w:r>
      <w:r>
        <w:t>23:</w:t>
      </w:r>
      <w:bookmarkEnd w:id="205"/>
      <w:r w:rsidRPr="00C57C14">
        <w:t xml:space="preserve"> </w:t>
      </w:r>
      <w:r w:rsidRPr="00B87CCF">
        <w:t xml:space="preserve">Study 20120263 </w:t>
      </w:r>
      <w:r w:rsidRPr="00C57C14">
        <w:rPr>
          <w:lang w:eastAsia="ja-JP"/>
        </w:rPr>
        <w:t xml:space="preserve">Summary of </w:t>
      </w:r>
      <w:r w:rsidR="000E5622">
        <w:rPr>
          <w:lang w:eastAsia="ja-JP"/>
        </w:rPr>
        <w:t>P</w:t>
      </w:r>
      <w:r w:rsidR="000E5622" w:rsidRPr="00C57C14">
        <w:rPr>
          <w:lang w:eastAsia="ja-JP"/>
        </w:rPr>
        <w:t xml:space="preserve">ASI </w:t>
      </w:r>
      <w:r w:rsidR="000E5622">
        <w:rPr>
          <w:lang w:eastAsia="ja-JP"/>
        </w:rPr>
        <w:t>p</w:t>
      </w:r>
      <w:r w:rsidR="000E5622" w:rsidRPr="00C57C14">
        <w:rPr>
          <w:lang w:eastAsia="ja-JP"/>
        </w:rPr>
        <w:t xml:space="preserve">ercent </w:t>
      </w:r>
      <w:r w:rsidR="000E5622">
        <w:rPr>
          <w:lang w:eastAsia="ja-JP"/>
        </w:rPr>
        <w:t>i</w:t>
      </w:r>
      <w:r w:rsidRPr="00C57C14">
        <w:rPr>
          <w:lang w:eastAsia="ja-JP"/>
        </w:rPr>
        <w:t>mprovement from Baseline to Week 16 (</w:t>
      </w:r>
      <w:r w:rsidRPr="00883B21">
        <w:t>Full</w:t>
      </w:r>
      <w:r w:rsidRPr="00C57C14">
        <w:rPr>
          <w:lang w:eastAsia="ja-JP"/>
        </w:rPr>
        <w:t xml:space="preserve"> Analysis Set, LOCF)</w:t>
      </w:r>
      <w:bookmarkEnd w:id="206"/>
    </w:p>
    <w:p w14:paraId="248A3D6E" w14:textId="77777777" w:rsidR="007C0FDC" w:rsidRDefault="007C0FDC" w:rsidP="007C0FDC">
      <w:pPr>
        <w:rPr>
          <w:lang w:eastAsia="ja-JP"/>
        </w:rPr>
      </w:pPr>
      <w:r>
        <w:rPr>
          <w:noProof/>
          <w:lang w:eastAsia="en-AU"/>
        </w:rPr>
        <w:drawing>
          <wp:inline distT="0" distB="0" distL="0" distR="0" wp14:anchorId="05AFE5C6" wp14:editId="35DD36A5">
            <wp:extent cx="4869486" cy="2610091"/>
            <wp:effectExtent l="0" t="0" r="7620" b="6350"/>
            <wp:docPr id="299" name="Picture 299" descr="Table 23: Study 20120263: Summary of PASI Percent Improvement from Baseline to Week 16 (Full Analysis Set,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4872962" cy="2611954"/>
                    </a:xfrm>
                    <a:prstGeom prst="rect">
                      <a:avLst/>
                    </a:prstGeom>
                    <a:noFill/>
                    <a:ln>
                      <a:noFill/>
                    </a:ln>
                  </pic:spPr>
                </pic:pic>
              </a:graphicData>
            </a:graphic>
          </wp:inline>
        </w:drawing>
      </w:r>
    </w:p>
    <w:p w14:paraId="66636732" w14:textId="3438D85B" w:rsidR="007C0FDC" w:rsidRPr="00C57C14" w:rsidRDefault="007C0FDC" w:rsidP="004A73E4">
      <w:pPr>
        <w:pStyle w:val="Tabletitle"/>
      </w:pPr>
      <w:bookmarkStart w:id="207" w:name="_Ref459644709"/>
      <w:bookmarkStart w:id="208" w:name="_Toc471285615"/>
      <w:r w:rsidRPr="00C57C14">
        <w:t xml:space="preserve">Table </w:t>
      </w:r>
      <w:r>
        <w:t>24:</w:t>
      </w:r>
      <w:bookmarkEnd w:id="207"/>
      <w:r w:rsidRPr="00C57C14">
        <w:t xml:space="preserve"> </w:t>
      </w:r>
      <w:r w:rsidRPr="00B87CCF">
        <w:t xml:space="preserve">Study 20120263: </w:t>
      </w:r>
      <w:r w:rsidRPr="00C57C14">
        <w:t xml:space="preserve">Summary of PASI </w:t>
      </w:r>
      <w:r w:rsidR="004774C5" w:rsidRPr="00C57C14">
        <w:t xml:space="preserve">percent improvement from </w:t>
      </w:r>
      <w:r w:rsidRPr="00C57C14">
        <w:t xml:space="preserve">Baseline to Week 16 (Full Analysis Set, as </w:t>
      </w:r>
      <w:r w:rsidR="004774C5">
        <w:t>o</w:t>
      </w:r>
      <w:r w:rsidR="004774C5" w:rsidRPr="00C57C14">
        <w:t>bserved</w:t>
      </w:r>
      <w:r w:rsidRPr="00C57C14">
        <w:t>)</w:t>
      </w:r>
      <w:bookmarkEnd w:id="208"/>
    </w:p>
    <w:p w14:paraId="0E7AD8E3" w14:textId="77777777" w:rsidR="007C0FDC" w:rsidRDefault="007C0FDC" w:rsidP="007C0FDC">
      <w:pPr>
        <w:rPr>
          <w:lang w:eastAsia="ja-JP"/>
        </w:rPr>
      </w:pPr>
      <w:r>
        <w:rPr>
          <w:noProof/>
          <w:lang w:eastAsia="en-AU"/>
        </w:rPr>
        <w:drawing>
          <wp:inline distT="0" distB="0" distL="0" distR="0" wp14:anchorId="6F821193" wp14:editId="6BE9289D">
            <wp:extent cx="6032274" cy="1788289"/>
            <wp:effectExtent l="0" t="0" r="6985" b="2540"/>
            <wp:docPr id="300" name="Picture 300" descr="Table 24: Study 20120263: Summary of PASI Percent Improvement from Baseline to Week 16 (Full Analysis Set, as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lum bright="-20000" contrast="40000"/>
                      <a:extLst>
                        <a:ext uri="{28A0092B-C50C-407E-A947-70E740481C1C}">
                          <a14:useLocalDpi xmlns:a14="http://schemas.microsoft.com/office/drawing/2010/main" val="0"/>
                        </a:ext>
                      </a:extLst>
                    </a:blip>
                    <a:srcRect/>
                    <a:stretch>
                      <a:fillRect/>
                    </a:stretch>
                  </pic:blipFill>
                  <pic:spPr bwMode="auto">
                    <a:xfrm>
                      <a:off x="0" y="0"/>
                      <a:ext cx="6028334" cy="1787121"/>
                    </a:xfrm>
                    <a:prstGeom prst="rect">
                      <a:avLst/>
                    </a:prstGeom>
                    <a:noFill/>
                    <a:ln>
                      <a:noFill/>
                    </a:ln>
                  </pic:spPr>
                </pic:pic>
              </a:graphicData>
            </a:graphic>
          </wp:inline>
        </w:drawing>
      </w:r>
    </w:p>
    <w:p w14:paraId="19DF2946" w14:textId="7E115E1C" w:rsidR="007C0FDC" w:rsidRPr="0040179C" w:rsidRDefault="007C0FDC" w:rsidP="004A73E4">
      <w:pPr>
        <w:pStyle w:val="Tabletitle"/>
      </w:pPr>
      <w:bookmarkStart w:id="209" w:name="_Ref459644710"/>
      <w:bookmarkStart w:id="210" w:name="_Toc471285616"/>
      <w:r w:rsidRPr="00C57C14">
        <w:t>Table</w:t>
      </w:r>
      <w:r>
        <w:t xml:space="preserve"> 25</w:t>
      </w:r>
      <w:bookmarkEnd w:id="209"/>
      <w:r>
        <w:t>:</w:t>
      </w:r>
      <w:r w:rsidRPr="00C57C14">
        <w:t xml:space="preserve"> </w:t>
      </w:r>
      <w:r w:rsidRPr="00B87CCF">
        <w:t xml:space="preserve">Study 20120263: </w:t>
      </w:r>
      <w:r w:rsidRPr="00C57C14">
        <w:t xml:space="preserve">Summary of PASI </w:t>
      </w:r>
      <w:r w:rsidR="004774C5" w:rsidRPr="00C57C14">
        <w:t xml:space="preserve">percent improvement from </w:t>
      </w:r>
      <w:r w:rsidRPr="00C57C14">
        <w:t xml:space="preserve">Baseline to Week 16 (Per Protocol Analysis Set for Week 16, as </w:t>
      </w:r>
      <w:r w:rsidR="004774C5">
        <w:t>o</w:t>
      </w:r>
      <w:r w:rsidR="004774C5" w:rsidRPr="00C57C14">
        <w:t>bserved</w:t>
      </w:r>
      <w:r w:rsidRPr="00C57C14">
        <w:t>)</w:t>
      </w:r>
      <w:bookmarkEnd w:id="210"/>
    </w:p>
    <w:p w14:paraId="213F2DBC" w14:textId="77777777" w:rsidR="007C0FDC" w:rsidRDefault="007C0FDC" w:rsidP="007C0FDC">
      <w:pPr>
        <w:rPr>
          <w:lang w:eastAsia="ja-JP"/>
        </w:rPr>
      </w:pPr>
      <w:r>
        <w:rPr>
          <w:noProof/>
          <w:lang w:eastAsia="en-AU"/>
        </w:rPr>
        <w:drawing>
          <wp:inline distT="0" distB="0" distL="0" distR="0" wp14:anchorId="6AC804BF" wp14:editId="166AFB04">
            <wp:extent cx="6056961" cy="1782501"/>
            <wp:effectExtent l="0" t="0" r="1270" b="8255"/>
            <wp:docPr id="301" name="Picture 301" descr="Table 25: Study 20120263: Summary of PASI Percent Improvement from Baseline to Week 16 (Per Protocol Analysis Set for Week 16, as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lum bright="-20000" contrast="40000"/>
                      <a:extLst>
                        <a:ext uri="{28A0092B-C50C-407E-A947-70E740481C1C}">
                          <a14:useLocalDpi xmlns:a14="http://schemas.microsoft.com/office/drawing/2010/main" val="0"/>
                        </a:ext>
                      </a:extLst>
                    </a:blip>
                    <a:srcRect/>
                    <a:stretch>
                      <a:fillRect/>
                    </a:stretch>
                  </pic:blipFill>
                  <pic:spPr bwMode="auto">
                    <a:xfrm>
                      <a:off x="0" y="0"/>
                      <a:ext cx="6066337" cy="1785260"/>
                    </a:xfrm>
                    <a:prstGeom prst="rect">
                      <a:avLst/>
                    </a:prstGeom>
                    <a:noFill/>
                    <a:ln>
                      <a:noFill/>
                    </a:ln>
                  </pic:spPr>
                </pic:pic>
              </a:graphicData>
            </a:graphic>
          </wp:inline>
        </w:drawing>
      </w:r>
    </w:p>
    <w:p w14:paraId="0FCA4DD5" w14:textId="7B5448C9" w:rsidR="007C0FDC" w:rsidRDefault="007C0FDC" w:rsidP="007C0FDC">
      <w:pPr>
        <w:rPr>
          <w:lang w:eastAsia="ja-JP"/>
        </w:rPr>
      </w:pPr>
      <w:r>
        <w:rPr>
          <w:lang w:eastAsia="ja-JP"/>
        </w:rPr>
        <w:t xml:space="preserve">The remaining two sensitivity analyses (one based on repeated measures and the other using a backward model selection with the final model adjusting for neutralising antidrug antibody status, sex, and prior use of systemic therapies or phototherapies) revealed results the 95%CI of which were also within the pre-determined margin (-1.45% (95% CI -6.33%, 3.43%) and </w:t>
      </w:r>
      <w:r w:rsidR="00EE5E39">
        <w:rPr>
          <w:lang w:eastAsia="ja-JP"/>
        </w:rPr>
        <w:noBreakHyphen/>
      </w:r>
      <w:r>
        <w:rPr>
          <w:lang w:eastAsia="ja-JP"/>
        </w:rPr>
        <w:t>3.46% (95% CI -8.22%, 1.29%) respectively).</w:t>
      </w:r>
    </w:p>
    <w:p w14:paraId="5F189142" w14:textId="6B794785" w:rsidR="007C0FDC" w:rsidRDefault="007C0FDC" w:rsidP="007C0FDC">
      <w:pPr>
        <w:rPr>
          <w:lang w:eastAsia="ja-JP"/>
        </w:rPr>
      </w:pPr>
      <w:r>
        <w:rPr>
          <w:lang w:eastAsia="ja-JP"/>
        </w:rPr>
        <w:lastRenderedPageBreak/>
        <w:t>Subgroup analyses included differences in PASI percent improvement in the following subgroups:</w:t>
      </w:r>
      <w:r w:rsidRPr="008009BA">
        <w:rPr>
          <w:lang w:eastAsia="ja-JP"/>
        </w:rPr>
        <w:t xml:space="preserve"> </w:t>
      </w:r>
      <w:r>
        <w:rPr>
          <w:lang w:eastAsia="ja-JP"/>
        </w:rPr>
        <w:t>prior biologic use for psoriasis; region; age; race;</w:t>
      </w:r>
      <w:r w:rsidRPr="008009BA">
        <w:rPr>
          <w:lang w:eastAsia="ja-JP"/>
        </w:rPr>
        <w:t xml:space="preserve"> </w:t>
      </w:r>
      <w:r>
        <w:rPr>
          <w:lang w:eastAsia="ja-JP"/>
        </w:rPr>
        <w:t>sex; disease duration; concomitant topical steroid use; prior use of systemic or phototherapies;</w:t>
      </w:r>
      <w:r w:rsidRPr="008009BA">
        <w:rPr>
          <w:lang w:eastAsia="ja-JP"/>
        </w:rPr>
        <w:t xml:space="preserve"> </w:t>
      </w:r>
      <w:r>
        <w:rPr>
          <w:lang w:eastAsia="ja-JP"/>
        </w:rPr>
        <w:t>neutralising antidrug antibody status. The subgroup results were similar to the entire group result. Confidence intervals were wider where the subgroups were small and not sufficiently powered. However, in both female and male subgroups the criteria for equivalence were met in each group independently at Week</w:t>
      </w:r>
      <w:r w:rsidR="00EE5E39">
        <w:rPr>
          <w:lang w:eastAsia="ja-JP"/>
        </w:rPr>
        <w:t> </w:t>
      </w:r>
      <w:r>
        <w:rPr>
          <w:lang w:eastAsia="ja-JP"/>
        </w:rPr>
        <w:t>16.</w:t>
      </w:r>
    </w:p>
    <w:p w14:paraId="4C89899C" w14:textId="3B461523" w:rsidR="007C0FDC" w:rsidRPr="00F5324D" w:rsidRDefault="00EE5E39" w:rsidP="007516FC">
      <w:pPr>
        <w:pStyle w:val="Comment"/>
        <w:rPr>
          <w:lang w:eastAsia="ja-JP"/>
        </w:rPr>
      </w:pPr>
      <w:r>
        <w:rPr>
          <w:b/>
          <w:lang w:eastAsia="ja-JP"/>
        </w:rPr>
        <w:t>C</w:t>
      </w:r>
      <w:r w:rsidR="007C0FDC" w:rsidRPr="004E0110">
        <w:rPr>
          <w:b/>
          <w:lang w:eastAsia="ja-JP"/>
        </w:rPr>
        <w:t>omment:</w:t>
      </w:r>
      <w:r>
        <w:rPr>
          <w:b/>
          <w:lang w:eastAsia="ja-JP"/>
        </w:rPr>
        <w:t xml:space="preserve"> </w:t>
      </w:r>
      <w:r w:rsidR="007C0FDC">
        <w:rPr>
          <w:b/>
          <w:lang w:eastAsia="ja-JP"/>
        </w:rPr>
        <w:t xml:space="preserve"> </w:t>
      </w:r>
      <w:r w:rsidR="007C0FDC" w:rsidRPr="002A75DA">
        <w:rPr>
          <w:lang w:eastAsia="ja-JP"/>
        </w:rPr>
        <w:t>The sponsor’s criterion for establishing equivalence between ABP</w:t>
      </w:r>
      <w:r>
        <w:rPr>
          <w:lang w:eastAsia="ja-JP"/>
        </w:rPr>
        <w:t xml:space="preserve"> </w:t>
      </w:r>
      <w:r w:rsidR="007C0FDC" w:rsidRPr="002A75DA">
        <w:rPr>
          <w:lang w:eastAsia="ja-JP"/>
        </w:rPr>
        <w:t xml:space="preserve">501 and adalimumab for patients in moderate to severe </w:t>
      </w:r>
      <w:r w:rsidR="007C0FDC">
        <w:rPr>
          <w:lang w:eastAsia="ja-JP"/>
        </w:rPr>
        <w:t>psoriasis</w:t>
      </w:r>
      <w:r w:rsidR="007C0FDC" w:rsidRPr="002A75DA">
        <w:rPr>
          <w:lang w:eastAsia="ja-JP"/>
        </w:rPr>
        <w:t xml:space="preserve"> is for the </w:t>
      </w:r>
      <w:r w:rsidR="007C0FDC">
        <w:rPr>
          <w:lang w:eastAsia="ja-JP"/>
        </w:rPr>
        <w:t>95</w:t>
      </w:r>
      <w:r w:rsidR="007C0FDC" w:rsidRPr="002A75DA">
        <w:rPr>
          <w:lang w:eastAsia="ja-JP"/>
        </w:rPr>
        <w:t xml:space="preserve">% CI of the primary endpoint from the ITT population </w:t>
      </w:r>
      <w:r w:rsidR="007C0FDC">
        <w:rPr>
          <w:lang w:eastAsia="ja-JP"/>
        </w:rPr>
        <w:t xml:space="preserve">(with LOCF) </w:t>
      </w:r>
      <w:r w:rsidR="007C0FDC" w:rsidRPr="002A75DA">
        <w:rPr>
          <w:lang w:eastAsia="ja-JP"/>
        </w:rPr>
        <w:t>to fall within the pre</w:t>
      </w:r>
      <w:r>
        <w:rPr>
          <w:lang w:eastAsia="ja-JP"/>
        </w:rPr>
        <w:noBreakHyphen/>
      </w:r>
      <w:r w:rsidR="007C0FDC" w:rsidRPr="002A75DA">
        <w:rPr>
          <w:lang w:eastAsia="ja-JP"/>
        </w:rPr>
        <w:t>determined margin of (</w:t>
      </w:r>
      <w:r w:rsidR="007C0FDC">
        <w:rPr>
          <w:lang w:eastAsia="ja-JP"/>
        </w:rPr>
        <w:t>±</w:t>
      </w:r>
      <w:r>
        <w:rPr>
          <w:lang w:eastAsia="ja-JP"/>
        </w:rPr>
        <w:t xml:space="preserve"> </w:t>
      </w:r>
      <w:r w:rsidR="007C0FDC">
        <w:rPr>
          <w:lang w:eastAsia="ja-JP"/>
        </w:rPr>
        <w:t>15%</w:t>
      </w:r>
      <w:r w:rsidR="007C0FDC" w:rsidRPr="002A75DA">
        <w:rPr>
          <w:lang w:eastAsia="ja-JP"/>
        </w:rPr>
        <w:t>). The results fulfil the stated criterion.</w:t>
      </w:r>
      <w:r w:rsidR="007C0FDC">
        <w:rPr>
          <w:lang w:eastAsia="ja-JP"/>
        </w:rPr>
        <w:t xml:space="preserve"> </w:t>
      </w:r>
      <w:r w:rsidR="007C0FDC" w:rsidRPr="002A75DA">
        <w:rPr>
          <w:lang w:eastAsia="ja-JP"/>
        </w:rPr>
        <w:t xml:space="preserve">The most relevant sensitivity analysis for </w:t>
      </w:r>
      <w:r w:rsidR="007C0FDC">
        <w:rPr>
          <w:lang w:eastAsia="ja-JP"/>
        </w:rPr>
        <w:t>this</w:t>
      </w:r>
      <w:r w:rsidR="007C0FDC" w:rsidRPr="002A75DA">
        <w:rPr>
          <w:lang w:eastAsia="ja-JP"/>
        </w:rPr>
        <w:t xml:space="preserve"> equivalence study is the analysis of the primary endpoint in the per-protocol population. This was provided by the sponsor, </w:t>
      </w:r>
      <w:r w:rsidR="007C0FDC">
        <w:rPr>
          <w:lang w:eastAsia="ja-JP"/>
        </w:rPr>
        <w:t xml:space="preserve">and </w:t>
      </w:r>
      <w:r w:rsidR="007C0FDC" w:rsidRPr="00066505">
        <w:rPr>
          <w:lang w:eastAsia="ja-JP"/>
        </w:rPr>
        <w:t>equivalence between ABP</w:t>
      </w:r>
      <w:r>
        <w:rPr>
          <w:lang w:eastAsia="ja-JP"/>
        </w:rPr>
        <w:t xml:space="preserve"> </w:t>
      </w:r>
      <w:r w:rsidR="007C0FDC" w:rsidRPr="00066505">
        <w:rPr>
          <w:lang w:eastAsia="ja-JP"/>
        </w:rPr>
        <w:t xml:space="preserve">501 and adalimumab for patients in moderate to severe </w:t>
      </w:r>
      <w:r w:rsidR="007C0FDC">
        <w:rPr>
          <w:lang w:eastAsia="ja-JP"/>
        </w:rPr>
        <w:t>psoriasis is supported by the result (</w:t>
      </w:r>
      <w:r w:rsidR="007C0FDC" w:rsidRPr="006E260D">
        <w:rPr>
          <w:lang w:eastAsia="ja-JP"/>
        </w:rPr>
        <w:t>The least-squa</w:t>
      </w:r>
      <w:r w:rsidR="007C0FDC">
        <w:rPr>
          <w:lang w:eastAsia="ja-JP"/>
        </w:rPr>
        <w:t xml:space="preserve">res mean difference between the two </w:t>
      </w:r>
      <w:r w:rsidR="007C0FDC" w:rsidRPr="006E260D">
        <w:rPr>
          <w:lang w:eastAsia="ja-JP"/>
        </w:rPr>
        <w:t>treatment groups was:</w:t>
      </w:r>
      <w:r w:rsidR="007C0FDC">
        <w:rPr>
          <w:lang w:eastAsia="ja-JP"/>
        </w:rPr>
        <w:t xml:space="preserve"> </w:t>
      </w:r>
      <w:r w:rsidR="007C0FDC" w:rsidRPr="006E260D">
        <w:rPr>
          <w:lang w:eastAsia="ja-JP"/>
        </w:rPr>
        <w:t>-2.64% (95% CI: -6.89, 1.60)</w:t>
      </w:r>
      <w:r w:rsidR="007C0FDC">
        <w:rPr>
          <w:lang w:eastAsia="ja-JP"/>
        </w:rPr>
        <w:t>).</w:t>
      </w:r>
    </w:p>
    <w:p w14:paraId="53711072" w14:textId="77777777" w:rsidR="007C0FDC" w:rsidRPr="005632DC" w:rsidRDefault="007C0FDC" w:rsidP="0004762E">
      <w:pPr>
        <w:pStyle w:val="Heading5"/>
      </w:pPr>
      <w:r w:rsidRPr="005632DC">
        <w:t xml:space="preserve">Results for </w:t>
      </w:r>
      <w:r w:rsidRPr="0004762E">
        <w:t>other</w:t>
      </w:r>
      <w:r w:rsidRPr="005632DC">
        <w:t xml:space="preserve"> efficacy outcomes</w:t>
      </w:r>
    </w:p>
    <w:p w14:paraId="3390B909" w14:textId="77777777" w:rsidR="007C0FDC" w:rsidRPr="003A05CB" w:rsidRDefault="007C0FDC" w:rsidP="007C0FDC">
      <w:pPr>
        <w:rPr>
          <w:lang w:eastAsia="ja-JP"/>
        </w:rPr>
      </w:pPr>
      <w:r w:rsidRPr="003A05CB">
        <w:rPr>
          <w:lang w:eastAsia="ja-JP"/>
        </w:rPr>
        <w:t>The secondary efficacy endpoints were:</w:t>
      </w:r>
    </w:p>
    <w:p w14:paraId="52175D05" w14:textId="77777777" w:rsidR="007C0FDC" w:rsidRPr="00EE5E39" w:rsidRDefault="007C0FDC" w:rsidP="007C0FDC">
      <w:pPr>
        <w:pStyle w:val="ListBullet"/>
        <w:numPr>
          <w:ilvl w:val="0"/>
          <w:numId w:val="1"/>
        </w:numPr>
        <w:rPr>
          <w:lang w:eastAsia="ja-JP"/>
        </w:rPr>
      </w:pPr>
      <w:r w:rsidRPr="00EE5E39">
        <w:rPr>
          <w:lang w:eastAsia="ja-JP"/>
        </w:rPr>
        <w:t>PASI 75 response at Weeks 16, 32, and 50</w:t>
      </w:r>
    </w:p>
    <w:p w14:paraId="65585EFB" w14:textId="77777777" w:rsidR="007C0FDC" w:rsidRPr="007A0BC6" w:rsidRDefault="007C0FDC" w:rsidP="007C0FDC">
      <w:pPr>
        <w:pStyle w:val="ListBullet"/>
        <w:numPr>
          <w:ilvl w:val="0"/>
          <w:numId w:val="1"/>
        </w:numPr>
        <w:rPr>
          <w:lang w:eastAsia="ja-JP"/>
        </w:rPr>
      </w:pPr>
      <w:r w:rsidRPr="007A0BC6">
        <w:rPr>
          <w:lang w:eastAsia="ja-JP"/>
        </w:rPr>
        <w:t>PASI percent improvement from baseline at Weeks 32 and 50</w:t>
      </w:r>
    </w:p>
    <w:p w14:paraId="0A40BF0B" w14:textId="77777777" w:rsidR="007C0FDC" w:rsidRPr="00EE5E39" w:rsidRDefault="007C0FDC" w:rsidP="007C0FDC">
      <w:pPr>
        <w:pStyle w:val="ListBullet"/>
        <w:numPr>
          <w:ilvl w:val="0"/>
          <w:numId w:val="1"/>
        </w:numPr>
        <w:rPr>
          <w:lang w:eastAsia="ja-JP"/>
        </w:rPr>
      </w:pPr>
      <w:r w:rsidRPr="00EE5E39">
        <w:rPr>
          <w:lang w:eastAsia="ja-JP"/>
        </w:rPr>
        <w:t>sPGA responses (0/1) at Weeks 16, 32, and 50</w:t>
      </w:r>
    </w:p>
    <w:p w14:paraId="70EDC623" w14:textId="77777777" w:rsidR="007C0FDC" w:rsidRPr="00EE5E39" w:rsidRDefault="007C0FDC" w:rsidP="007C0FDC">
      <w:pPr>
        <w:pStyle w:val="ListBullet"/>
        <w:numPr>
          <w:ilvl w:val="0"/>
          <w:numId w:val="1"/>
        </w:numPr>
        <w:rPr>
          <w:lang w:eastAsia="ja-JP"/>
        </w:rPr>
      </w:pPr>
      <w:r w:rsidRPr="00EE5E39">
        <w:rPr>
          <w:lang w:eastAsia="ja-JP"/>
        </w:rPr>
        <w:t>BSA involvement at Weeks 16, 32, and 50</w:t>
      </w:r>
    </w:p>
    <w:p w14:paraId="6CD70EF2" w14:textId="0AA5B24A" w:rsidR="007C0FDC" w:rsidRPr="00EE5E39" w:rsidRDefault="007C0FDC" w:rsidP="007C0FDC">
      <w:pPr>
        <w:rPr>
          <w:lang w:eastAsia="ja-JP"/>
        </w:rPr>
      </w:pPr>
      <w:r w:rsidRPr="00EE5E39">
        <w:rPr>
          <w:lang w:eastAsia="ja-JP"/>
        </w:rPr>
        <w:t xml:space="preserve">The </w:t>
      </w:r>
      <w:r w:rsidR="00EE5E39">
        <w:rPr>
          <w:lang w:eastAsia="ja-JP"/>
        </w:rPr>
        <w:t>W</w:t>
      </w:r>
      <w:r w:rsidR="00EE5E39" w:rsidRPr="00EE5E39">
        <w:rPr>
          <w:lang w:eastAsia="ja-JP"/>
        </w:rPr>
        <w:t xml:space="preserve">eek </w:t>
      </w:r>
      <w:r w:rsidRPr="00EE5E39">
        <w:rPr>
          <w:lang w:eastAsia="ja-JP"/>
        </w:rPr>
        <w:t>16 analysis used the assessed differences between:</w:t>
      </w:r>
    </w:p>
    <w:p w14:paraId="116538DA" w14:textId="77777777" w:rsidR="007C0FDC" w:rsidRPr="00EE5E39" w:rsidRDefault="007C0FDC" w:rsidP="007C0FDC">
      <w:pPr>
        <w:pStyle w:val="ListBullet"/>
        <w:numPr>
          <w:ilvl w:val="0"/>
          <w:numId w:val="1"/>
        </w:numPr>
        <w:rPr>
          <w:lang w:eastAsia="ja-JP"/>
        </w:rPr>
      </w:pPr>
      <w:r w:rsidRPr="00EE5E39">
        <w:rPr>
          <w:lang w:eastAsia="ja-JP"/>
        </w:rPr>
        <w:t xml:space="preserve">Treatment Group </w:t>
      </w:r>
      <w:r w:rsidRPr="007516FC">
        <w:rPr>
          <w:lang w:eastAsia="ja-JP"/>
        </w:rPr>
        <w:t>A</w:t>
      </w:r>
      <w:r w:rsidRPr="00EE5E39">
        <w:rPr>
          <w:lang w:eastAsia="ja-JP"/>
        </w:rPr>
        <w:t xml:space="preserve"> (ABP 501) and Treatment Group </w:t>
      </w:r>
      <w:r w:rsidRPr="007516FC">
        <w:rPr>
          <w:lang w:eastAsia="ja-JP"/>
        </w:rPr>
        <w:t>B</w:t>
      </w:r>
      <w:r w:rsidRPr="00EE5E39">
        <w:rPr>
          <w:lang w:eastAsia="ja-JP"/>
        </w:rPr>
        <w:t xml:space="preserve"> (adalimumab).</w:t>
      </w:r>
    </w:p>
    <w:p w14:paraId="7342BC10" w14:textId="77777777" w:rsidR="007C0FDC" w:rsidRPr="00313115" w:rsidRDefault="007C0FDC" w:rsidP="007C0FDC">
      <w:pPr>
        <w:rPr>
          <w:lang w:eastAsia="ja-JP"/>
        </w:rPr>
      </w:pPr>
      <w:r w:rsidRPr="007A0BC6">
        <w:rPr>
          <w:lang w:eastAsia="ja-JP"/>
        </w:rPr>
        <w:t>The Week 32 and 50 analyses assessed differences between</w:t>
      </w:r>
      <w:r w:rsidRPr="00313115">
        <w:rPr>
          <w:lang w:eastAsia="ja-JP"/>
        </w:rPr>
        <w:t>:</w:t>
      </w:r>
    </w:p>
    <w:p w14:paraId="6235ACD8" w14:textId="77777777" w:rsidR="007C0FDC" w:rsidRPr="00EE5E39" w:rsidRDefault="007C0FDC" w:rsidP="007C0FDC">
      <w:pPr>
        <w:pStyle w:val="ListBullet"/>
        <w:numPr>
          <w:ilvl w:val="0"/>
          <w:numId w:val="1"/>
        </w:numPr>
        <w:rPr>
          <w:lang w:eastAsia="ja-JP"/>
        </w:rPr>
      </w:pPr>
      <w:r w:rsidRPr="00EE5E39">
        <w:rPr>
          <w:lang w:eastAsia="ja-JP"/>
        </w:rPr>
        <w:t xml:space="preserve">Treatment Group A (ABP 501/ABP 501) and Treatment Group </w:t>
      </w:r>
      <w:r w:rsidRPr="007516FC">
        <w:rPr>
          <w:lang w:eastAsia="ja-JP"/>
        </w:rPr>
        <w:t>B1</w:t>
      </w:r>
      <w:r w:rsidRPr="00EE5E39">
        <w:rPr>
          <w:lang w:eastAsia="ja-JP"/>
        </w:rPr>
        <w:t xml:space="preserve"> (adalimumab/adalimumab); and</w:t>
      </w:r>
    </w:p>
    <w:p w14:paraId="4034BE33" w14:textId="77777777" w:rsidR="007C0FDC" w:rsidRPr="00EE5E39" w:rsidRDefault="007C0FDC" w:rsidP="007C0FDC">
      <w:pPr>
        <w:pStyle w:val="ListBullet"/>
        <w:numPr>
          <w:ilvl w:val="0"/>
          <w:numId w:val="1"/>
        </w:numPr>
        <w:rPr>
          <w:lang w:eastAsia="ja-JP"/>
        </w:rPr>
      </w:pPr>
      <w:r w:rsidRPr="00EE5E39">
        <w:rPr>
          <w:lang w:eastAsia="ja-JP"/>
        </w:rPr>
        <w:t xml:space="preserve">Treatment Group </w:t>
      </w:r>
      <w:r w:rsidRPr="007516FC">
        <w:rPr>
          <w:lang w:eastAsia="ja-JP"/>
        </w:rPr>
        <w:t>B2</w:t>
      </w:r>
      <w:r w:rsidRPr="00EE5E39">
        <w:rPr>
          <w:lang w:eastAsia="ja-JP"/>
        </w:rPr>
        <w:t xml:space="preserve"> (adalimumab/ABP 501) and Treatment Group </w:t>
      </w:r>
      <w:r w:rsidRPr="007516FC">
        <w:rPr>
          <w:lang w:eastAsia="ja-JP"/>
        </w:rPr>
        <w:t xml:space="preserve">B1 </w:t>
      </w:r>
      <w:r w:rsidRPr="00EE5E39">
        <w:rPr>
          <w:lang w:eastAsia="ja-JP"/>
        </w:rPr>
        <w:t>(adalimumab/adalimumab).</w:t>
      </w:r>
    </w:p>
    <w:p w14:paraId="42717B4D" w14:textId="77777777" w:rsidR="007C0FDC" w:rsidRPr="00313115" w:rsidRDefault="007C0FDC" w:rsidP="007C0FDC">
      <w:pPr>
        <w:rPr>
          <w:lang w:eastAsia="ja-JP"/>
        </w:rPr>
      </w:pPr>
      <w:r w:rsidRPr="007A0BC6">
        <w:rPr>
          <w:lang w:eastAsia="ja-JP"/>
        </w:rPr>
        <w:t>The treatment differences were estimated using an ANCOVA model adjusted for th</w:t>
      </w:r>
      <w:r w:rsidRPr="00313115">
        <w:rPr>
          <w:lang w:eastAsia="ja-JP"/>
        </w:rPr>
        <w:t>e following factors: prior biologic use for PsO, region and baseline scores/categories.</w:t>
      </w:r>
    </w:p>
    <w:p w14:paraId="16940B79" w14:textId="77777777" w:rsidR="007C0FDC" w:rsidRDefault="007C0FDC" w:rsidP="007C0FDC">
      <w:pPr>
        <w:pStyle w:val="Heading6"/>
      </w:pPr>
      <w:r>
        <w:t>Baseline demographics at Week 16</w:t>
      </w:r>
    </w:p>
    <w:p w14:paraId="4888D3E8" w14:textId="11B57ACE" w:rsidR="007C0FDC" w:rsidRDefault="007C0FDC" w:rsidP="007C0FDC">
      <w:pPr>
        <w:rPr>
          <w:lang w:eastAsia="ja-JP"/>
        </w:rPr>
      </w:pPr>
      <w:r w:rsidRPr="003E38CC">
        <w:rPr>
          <w:lang w:eastAsia="ja-JP"/>
        </w:rPr>
        <w:t>The baseline demographic data were similar when comparing the total population at baseline and the group that reached PASI</w:t>
      </w:r>
      <w:r>
        <w:rPr>
          <w:lang w:eastAsia="ja-JP"/>
        </w:rPr>
        <w:t xml:space="preserve"> </w:t>
      </w:r>
      <w:r w:rsidRPr="003E38CC">
        <w:rPr>
          <w:lang w:eastAsia="ja-JP"/>
        </w:rPr>
        <w:t>50 and progressed past Week 16</w:t>
      </w:r>
      <w:r>
        <w:rPr>
          <w:lang w:eastAsia="ja-JP"/>
        </w:rPr>
        <w:t>. An excerpt from another table that shows the mean and median PASI scores in each group is reproduced below (Table</w:t>
      </w:r>
      <w:r w:rsidR="00EE5E39">
        <w:rPr>
          <w:lang w:eastAsia="ja-JP"/>
        </w:rPr>
        <w:t> </w:t>
      </w:r>
      <w:r>
        <w:rPr>
          <w:lang w:eastAsia="ja-JP"/>
        </w:rPr>
        <w:t>26).</w:t>
      </w:r>
    </w:p>
    <w:p w14:paraId="443658E7" w14:textId="2AD48B6A" w:rsidR="007C0FDC" w:rsidRPr="003F1761" w:rsidRDefault="007C0FDC" w:rsidP="0004762E">
      <w:pPr>
        <w:pStyle w:val="Tabletitle"/>
        <w:rPr>
          <w:lang w:eastAsia="ja-JP"/>
        </w:rPr>
      </w:pPr>
      <w:bookmarkStart w:id="211" w:name="_Ref462048030"/>
      <w:bookmarkStart w:id="212" w:name="_Toc471285617"/>
      <w:r w:rsidRPr="003F1761">
        <w:lastRenderedPageBreak/>
        <w:t xml:space="preserve">Table </w:t>
      </w:r>
      <w:r>
        <w:t>26:</w:t>
      </w:r>
      <w:bookmarkEnd w:id="211"/>
      <w:r w:rsidRPr="003F1761">
        <w:t xml:space="preserve"> </w:t>
      </w:r>
      <w:r w:rsidRPr="003F1761">
        <w:rPr>
          <w:lang w:eastAsia="ja-JP"/>
        </w:rPr>
        <w:t xml:space="preserve">Study </w:t>
      </w:r>
      <w:r w:rsidRPr="0004762E">
        <w:t>20120263</w:t>
      </w:r>
      <w:r w:rsidRPr="003F1761">
        <w:rPr>
          <w:lang w:eastAsia="ja-JP"/>
        </w:rPr>
        <w:t xml:space="preserve">: </w:t>
      </w:r>
      <w:r>
        <w:rPr>
          <w:lang w:eastAsia="ja-JP"/>
        </w:rPr>
        <w:t xml:space="preserve">PASI </w:t>
      </w:r>
      <w:r w:rsidR="00EE5E39">
        <w:rPr>
          <w:lang w:eastAsia="ja-JP"/>
        </w:rPr>
        <w:t>s</w:t>
      </w:r>
      <w:r>
        <w:rPr>
          <w:lang w:eastAsia="ja-JP"/>
        </w:rPr>
        <w:t>core</w:t>
      </w:r>
      <w:r w:rsidRPr="003F1761">
        <w:rPr>
          <w:lang w:eastAsia="ja-JP"/>
        </w:rPr>
        <w:t xml:space="preserve"> </w:t>
      </w:r>
      <w:r w:rsidR="00EE5E39">
        <w:rPr>
          <w:lang w:eastAsia="ja-JP"/>
        </w:rPr>
        <w:t>b</w:t>
      </w:r>
      <w:r w:rsidRPr="003F1761">
        <w:rPr>
          <w:lang w:eastAsia="ja-JP"/>
        </w:rPr>
        <w:t xml:space="preserve">aseline </w:t>
      </w:r>
      <w:r w:rsidR="00EE5E39" w:rsidRPr="003F1761">
        <w:rPr>
          <w:lang w:eastAsia="ja-JP"/>
        </w:rPr>
        <w:t>characteristics by initial/re-</w:t>
      </w:r>
      <w:r w:rsidR="009B0FB8">
        <w:rPr>
          <w:lang w:eastAsia="ja-JP"/>
        </w:rPr>
        <w:t>randomised</w:t>
      </w:r>
      <w:r w:rsidR="00EE5E39" w:rsidRPr="003F1761">
        <w:rPr>
          <w:lang w:eastAsia="ja-JP"/>
        </w:rPr>
        <w:t xml:space="preserve"> treatment</w:t>
      </w:r>
      <w:r w:rsidRPr="003F1761">
        <w:rPr>
          <w:lang w:eastAsia="ja-JP"/>
        </w:rPr>
        <w:t xml:space="preserve"> (Full Analysis Set)</w:t>
      </w:r>
      <w:bookmarkEnd w:id="212"/>
    </w:p>
    <w:p w14:paraId="73FD65CA" w14:textId="77777777" w:rsidR="007C0FDC" w:rsidRDefault="007C0FDC" w:rsidP="007C0FDC">
      <w:pPr>
        <w:rPr>
          <w:u w:val="single"/>
          <w:lang w:eastAsia="ja-JP"/>
        </w:rPr>
      </w:pPr>
      <w:r>
        <w:rPr>
          <w:noProof/>
          <w:lang w:eastAsia="en-AU"/>
        </w:rPr>
        <w:drawing>
          <wp:inline distT="0" distB="0" distL="0" distR="0" wp14:anchorId="212C8406" wp14:editId="43D19D2A">
            <wp:extent cx="5731510" cy="1324493"/>
            <wp:effectExtent l="0" t="0" r="2540" b="9525"/>
            <wp:docPr id="8" name="Picture 8" descr="Table 26: Study 20120263: PASI Score Baseline Characteristics by Initial/Re-randomized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731510" cy="1324493"/>
                    </a:xfrm>
                    <a:prstGeom prst="rect">
                      <a:avLst/>
                    </a:prstGeom>
                  </pic:spPr>
                </pic:pic>
              </a:graphicData>
            </a:graphic>
          </wp:inline>
        </w:drawing>
      </w:r>
    </w:p>
    <w:p w14:paraId="5B36E859" w14:textId="77777777" w:rsidR="007C0FDC" w:rsidRDefault="007C0FDC" w:rsidP="007C0FDC">
      <w:pPr>
        <w:spacing w:before="0" w:after="200" w:line="0" w:lineRule="auto"/>
        <w:rPr>
          <w:rFonts w:eastAsia="Times New Roman"/>
          <w:bCs/>
          <w:i/>
          <w:szCs w:val="21"/>
        </w:rPr>
      </w:pPr>
    </w:p>
    <w:p w14:paraId="17B32F4B" w14:textId="77777777" w:rsidR="007C0FDC" w:rsidRPr="00F614D1" w:rsidRDefault="007C0FDC" w:rsidP="007C0FDC">
      <w:pPr>
        <w:pStyle w:val="Heading6"/>
        <w:rPr>
          <w:lang w:eastAsia="ja-JP"/>
        </w:rPr>
      </w:pPr>
      <w:r>
        <w:rPr>
          <w:lang w:eastAsia="ja-JP"/>
        </w:rPr>
        <w:t>PASI 75 response at Week 16</w:t>
      </w:r>
    </w:p>
    <w:p w14:paraId="502A1FE5" w14:textId="7B0B7B7F" w:rsidR="007C0FDC" w:rsidRDefault="0004762E" w:rsidP="007C0FDC">
      <w:pPr>
        <w:rPr>
          <w:lang w:eastAsia="ja-JP"/>
        </w:rPr>
      </w:pPr>
      <w:r>
        <w:rPr>
          <w:lang w:eastAsia="ja-JP"/>
        </w:rPr>
        <w:t>Based on the f</w:t>
      </w:r>
      <w:r w:rsidR="007C0FDC">
        <w:rPr>
          <w:lang w:eastAsia="ja-JP"/>
        </w:rPr>
        <w:t xml:space="preserve">ull </w:t>
      </w:r>
      <w:r>
        <w:rPr>
          <w:lang w:eastAsia="ja-JP"/>
        </w:rPr>
        <w:t>a</w:t>
      </w:r>
      <w:r w:rsidR="007C0FDC">
        <w:rPr>
          <w:lang w:eastAsia="ja-JP"/>
        </w:rPr>
        <w:t xml:space="preserve">nalysis </w:t>
      </w:r>
      <w:r>
        <w:rPr>
          <w:lang w:eastAsia="ja-JP"/>
        </w:rPr>
        <w:t>s</w:t>
      </w:r>
      <w:r w:rsidR="007C0FDC">
        <w:rPr>
          <w:lang w:eastAsia="ja-JP"/>
        </w:rPr>
        <w:t>et (LOCF):</w:t>
      </w:r>
    </w:p>
    <w:p w14:paraId="7B167140" w14:textId="752702B7" w:rsidR="007C0FDC" w:rsidRDefault="007C0FDC" w:rsidP="007C0FDC">
      <w:pPr>
        <w:pStyle w:val="ListBullet"/>
        <w:numPr>
          <w:ilvl w:val="0"/>
          <w:numId w:val="1"/>
        </w:numPr>
        <w:rPr>
          <w:lang w:eastAsia="ja-JP"/>
        </w:rPr>
      </w:pPr>
      <w:r w:rsidRPr="00432F34">
        <w:rPr>
          <w:i/>
          <w:lang w:eastAsia="ja-JP"/>
        </w:rPr>
        <w:t>Week 16:</w:t>
      </w:r>
      <w:r>
        <w:rPr>
          <w:lang w:eastAsia="ja-JP"/>
        </w:rPr>
        <w:t xml:space="preserve"> The PASI 75 response proportions</w:t>
      </w:r>
      <w:r w:rsidRPr="000319D5">
        <w:rPr>
          <w:lang w:eastAsia="ja-JP"/>
        </w:rPr>
        <w:t xml:space="preserve"> were </w:t>
      </w:r>
      <w:r>
        <w:rPr>
          <w:lang w:eastAsia="ja-JP"/>
        </w:rPr>
        <w:t xml:space="preserve">74.4% (ABP 501) and 82.7% (adalimumab). The treatment difference between Group A and Group B was </w:t>
      </w:r>
      <w:r w:rsidRPr="007701B5">
        <w:rPr>
          <w:lang w:eastAsia="ja-JP"/>
        </w:rPr>
        <w:t>-7.729%</w:t>
      </w:r>
      <w:r>
        <w:rPr>
          <w:lang w:eastAsia="ja-JP"/>
        </w:rPr>
        <w:t xml:space="preserve"> with a 95% CI of </w:t>
      </w:r>
      <w:r w:rsidRPr="007701B5">
        <w:rPr>
          <w:lang w:eastAsia="ja-JP"/>
        </w:rPr>
        <w:t>(-16.620%, 1.163%)</w:t>
      </w:r>
      <w:r>
        <w:rPr>
          <w:lang w:eastAsia="ja-JP"/>
        </w:rPr>
        <w:t>.</w:t>
      </w:r>
    </w:p>
    <w:p w14:paraId="27039505" w14:textId="1D32C58D" w:rsidR="007C0FDC" w:rsidRDefault="0004762E" w:rsidP="007C0FDC">
      <w:pPr>
        <w:rPr>
          <w:lang w:eastAsia="ja-JP"/>
        </w:rPr>
      </w:pPr>
      <w:r>
        <w:rPr>
          <w:lang w:eastAsia="ja-JP"/>
        </w:rPr>
        <w:t>Based on the p</w:t>
      </w:r>
      <w:r w:rsidR="007C0FDC">
        <w:rPr>
          <w:lang w:eastAsia="ja-JP"/>
        </w:rPr>
        <w:t xml:space="preserve">er-protocol </w:t>
      </w:r>
      <w:r>
        <w:rPr>
          <w:lang w:eastAsia="ja-JP"/>
        </w:rPr>
        <w:t>a</w:t>
      </w:r>
      <w:r w:rsidR="007C0FDC">
        <w:rPr>
          <w:lang w:eastAsia="ja-JP"/>
        </w:rPr>
        <w:t xml:space="preserve">nalysis </w:t>
      </w:r>
      <w:r>
        <w:rPr>
          <w:lang w:eastAsia="ja-JP"/>
        </w:rPr>
        <w:t>s</w:t>
      </w:r>
      <w:r w:rsidR="007C0FDC">
        <w:rPr>
          <w:lang w:eastAsia="ja-JP"/>
        </w:rPr>
        <w:t>et (observed cases):</w:t>
      </w:r>
    </w:p>
    <w:p w14:paraId="4F78A287" w14:textId="3AEE07E1" w:rsidR="007C0FDC" w:rsidRPr="00D123E4" w:rsidRDefault="007C0FDC" w:rsidP="007C0FDC">
      <w:pPr>
        <w:pStyle w:val="ListBullet"/>
        <w:numPr>
          <w:ilvl w:val="0"/>
          <w:numId w:val="1"/>
        </w:numPr>
        <w:rPr>
          <w:lang w:eastAsia="ja-JP"/>
        </w:rPr>
      </w:pPr>
      <w:r w:rsidRPr="00432F34">
        <w:rPr>
          <w:i/>
          <w:lang w:eastAsia="ja-JP"/>
        </w:rPr>
        <w:t>Week 16:</w:t>
      </w:r>
      <w:r>
        <w:rPr>
          <w:lang w:eastAsia="ja-JP"/>
        </w:rPr>
        <w:t xml:space="preserve"> The PASI 75 response proportions</w:t>
      </w:r>
      <w:r w:rsidRPr="000319D5">
        <w:rPr>
          <w:lang w:eastAsia="ja-JP"/>
        </w:rPr>
        <w:t xml:space="preserve"> were </w:t>
      </w:r>
      <w:r>
        <w:rPr>
          <w:lang w:eastAsia="ja-JP"/>
        </w:rPr>
        <w:t>76.1</w:t>
      </w:r>
      <w:r w:rsidRPr="00C07262">
        <w:rPr>
          <w:lang w:eastAsia="ja-JP"/>
        </w:rPr>
        <w:t xml:space="preserve">% (ABP 501) and </w:t>
      </w:r>
      <w:r>
        <w:rPr>
          <w:lang w:eastAsia="ja-JP"/>
        </w:rPr>
        <w:t>83.6</w:t>
      </w:r>
      <w:r w:rsidRPr="00C07262">
        <w:rPr>
          <w:lang w:eastAsia="ja-JP"/>
        </w:rPr>
        <w:t xml:space="preserve">% (adalimumab). </w:t>
      </w:r>
      <w:r>
        <w:rPr>
          <w:lang w:eastAsia="ja-JP"/>
        </w:rPr>
        <w:t xml:space="preserve">The treatment difference between Group A and Group B was </w:t>
      </w:r>
      <w:r w:rsidRPr="00015743">
        <w:rPr>
          <w:lang w:eastAsia="ja-JP"/>
        </w:rPr>
        <w:t>-6.983</w:t>
      </w:r>
      <w:r>
        <w:rPr>
          <w:lang w:eastAsia="ja-JP"/>
        </w:rPr>
        <w:t xml:space="preserve">% with a 95% CI of </w:t>
      </w:r>
      <w:r w:rsidRPr="00015743">
        <w:rPr>
          <w:lang w:eastAsia="ja-JP"/>
        </w:rPr>
        <w:t>(-15.888</w:t>
      </w:r>
      <w:r>
        <w:rPr>
          <w:lang w:eastAsia="ja-JP"/>
        </w:rPr>
        <w:t>%</w:t>
      </w:r>
      <w:r w:rsidRPr="00015743">
        <w:rPr>
          <w:lang w:eastAsia="ja-JP"/>
        </w:rPr>
        <w:t>, 1.922</w:t>
      </w:r>
      <w:r>
        <w:rPr>
          <w:lang w:eastAsia="ja-JP"/>
        </w:rPr>
        <w:t>%</w:t>
      </w:r>
      <w:r w:rsidRPr="00015743">
        <w:rPr>
          <w:lang w:eastAsia="ja-JP"/>
        </w:rPr>
        <w:t>)</w:t>
      </w:r>
      <w:r>
        <w:rPr>
          <w:lang w:eastAsia="ja-JP"/>
        </w:rPr>
        <w:t>.</w:t>
      </w:r>
    </w:p>
    <w:p w14:paraId="61FFFA58" w14:textId="77777777" w:rsidR="007C0FDC" w:rsidRPr="00F614D1" w:rsidRDefault="007C0FDC" w:rsidP="007C0FDC">
      <w:pPr>
        <w:pStyle w:val="Heading6"/>
        <w:rPr>
          <w:lang w:eastAsia="ja-JP"/>
        </w:rPr>
      </w:pPr>
      <w:r>
        <w:rPr>
          <w:lang w:eastAsia="ja-JP"/>
        </w:rPr>
        <w:t>sPGA positive responses (0/1) at Week 16</w:t>
      </w:r>
    </w:p>
    <w:p w14:paraId="3433F1FD" w14:textId="672383C3" w:rsidR="007C0FDC" w:rsidRDefault="0004762E" w:rsidP="007C0FDC">
      <w:pPr>
        <w:rPr>
          <w:lang w:eastAsia="ja-JP"/>
        </w:rPr>
      </w:pPr>
      <w:r>
        <w:rPr>
          <w:lang w:eastAsia="ja-JP"/>
        </w:rPr>
        <w:t>Based on the f</w:t>
      </w:r>
      <w:r w:rsidR="007C0FDC">
        <w:rPr>
          <w:lang w:eastAsia="ja-JP"/>
        </w:rPr>
        <w:t xml:space="preserve">ull </w:t>
      </w:r>
      <w:r>
        <w:rPr>
          <w:lang w:eastAsia="ja-JP"/>
        </w:rPr>
        <w:t>a</w:t>
      </w:r>
      <w:r w:rsidR="007C0FDC">
        <w:rPr>
          <w:lang w:eastAsia="ja-JP"/>
        </w:rPr>
        <w:t xml:space="preserve">nalysis </w:t>
      </w:r>
      <w:r>
        <w:rPr>
          <w:lang w:eastAsia="ja-JP"/>
        </w:rPr>
        <w:t>s</w:t>
      </w:r>
      <w:r w:rsidR="007C0FDC">
        <w:rPr>
          <w:lang w:eastAsia="ja-JP"/>
        </w:rPr>
        <w:t>et (LOCF):</w:t>
      </w:r>
    </w:p>
    <w:p w14:paraId="47D73F97" w14:textId="7F31683A" w:rsidR="007C0FDC" w:rsidRDefault="007C0FDC" w:rsidP="007C0FDC">
      <w:pPr>
        <w:pStyle w:val="ListBullet"/>
        <w:numPr>
          <w:ilvl w:val="0"/>
          <w:numId w:val="1"/>
        </w:numPr>
        <w:rPr>
          <w:lang w:eastAsia="ja-JP"/>
        </w:rPr>
      </w:pPr>
      <w:r w:rsidRPr="00432F34">
        <w:rPr>
          <w:i/>
          <w:lang w:eastAsia="ja-JP"/>
        </w:rPr>
        <w:t>Week 16:</w:t>
      </w:r>
      <w:r>
        <w:rPr>
          <w:lang w:eastAsia="ja-JP"/>
        </w:rPr>
        <w:t xml:space="preserve"> </w:t>
      </w:r>
      <w:r w:rsidRPr="000319D5">
        <w:rPr>
          <w:lang w:eastAsia="ja-JP"/>
        </w:rPr>
        <w:t xml:space="preserve">The mean sPGA responses were </w:t>
      </w:r>
      <w:r>
        <w:rPr>
          <w:lang w:eastAsia="ja-JP"/>
        </w:rPr>
        <w:t>58.7%</w:t>
      </w:r>
      <w:r w:rsidRPr="00C07262">
        <w:rPr>
          <w:lang w:eastAsia="ja-JP"/>
        </w:rPr>
        <w:t xml:space="preserve"> (ABP 501) and </w:t>
      </w:r>
      <w:r>
        <w:rPr>
          <w:lang w:eastAsia="ja-JP"/>
        </w:rPr>
        <w:t>65.3</w:t>
      </w:r>
      <w:r w:rsidRPr="00C07262">
        <w:rPr>
          <w:lang w:eastAsia="ja-JP"/>
        </w:rPr>
        <w:t xml:space="preserve">% (adalimumab). </w:t>
      </w:r>
      <w:r>
        <w:rPr>
          <w:lang w:eastAsia="ja-JP"/>
        </w:rPr>
        <w:t xml:space="preserve">The treatment difference between Group A and Group B was </w:t>
      </w:r>
      <w:r w:rsidRPr="00F16422">
        <w:rPr>
          <w:lang w:eastAsia="ja-JP"/>
        </w:rPr>
        <w:t>-7.365%</w:t>
      </w:r>
      <w:r>
        <w:rPr>
          <w:lang w:eastAsia="ja-JP"/>
        </w:rPr>
        <w:t xml:space="preserve"> with a 95% CI of </w:t>
      </w:r>
      <w:r w:rsidRPr="00F16422">
        <w:rPr>
          <w:lang w:eastAsia="ja-JP"/>
        </w:rPr>
        <w:t>(-17.203%, 2.472%)</w:t>
      </w:r>
      <w:r w:rsidR="0004762E">
        <w:rPr>
          <w:lang w:eastAsia="ja-JP"/>
        </w:rPr>
        <w:t>.</w:t>
      </w:r>
    </w:p>
    <w:p w14:paraId="27AF650A" w14:textId="23B08799" w:rsidR="007C0FDC" w:rsidRDefault="0004762E" w:rsidP="007C0FDC">
      <w:pPr>
        <w:rPr>
          <w:lang w:eastAsia="ja-JP"/>
        </w:rPr>
      </w:pPr>
      <w:r>
        <w:rPr>
          <w:lang w:eastAsia="ja-JP"/>
        </w:rPr>
        <w:t>Based on the p</w:t>
      </w:r>
      <w:r w:rsidR="007C0FDC">
        <w:rPr>
          <w:lang w:eastAsia="ja-JP"/>
        </w:rPr>
        <w:t xml:space="preserve">er-protocol </w:t>
      </w:r>
      <w:r>
        <w:rPr>
          <w:lang w:eastAsia="ja-JP"/>
        </w:rPr>
        <w:t>a</w:t>
      </w:r>
      <w:r w:rsidR="007C0FDC">
        <w:rPr>
          <w:lang w:eastAsia="ja-JP"/>
        </w:rPr>
        <w:t xml:space="preserve">nalysis </w:t>
      </w:r>
      <w:r>
        <w:rPr>
          <w:lang w:eastAsia="ja-JP"/>
        </w:rPr>
        <w:t>s</w:t>
      </w:r>
      <w:r w:rsidR="007C0FDC">
        <w:rPr>
          <w:lang w:eastAsia="ja-JP"/>
        </w:rPr>
        <w:t>et (observed cases):</w:t>
      </w:r>
    </w:p>
    <w:p w14:paraId="0EC3FAAA" w14:textId="7B6829D2" w:rsidR="007C0FDC" w:rsidRPr="00D123E4" w:rsidRDefault="007C0FDC" w:rsidP="007C0FDC">
      <w:pPr>
        <w:pStyle w:val="ListBullet"/>
        <w:numPr>
          <w:ilvl w:val="0"/>
          <w:numId w:val="1"/>
        </w:numPr>
        <w:rPr>
          <w:lang w:eastAsia="ja-JP"/>
        </w:rPr>
      </w:pPr>
      <w:r w:rsidRPr="00432F34">
        <w:rPr>
          <w:i/>
          <w:lang w:eastAsia="ja-JP"/>
        </w:rPr>
        <w:t>Week 16:</w:t>
      </w:r>
      <w:r>
        <w:rPr>
          <w:lang w:eastAsia="ja-JP"/>
        </w:rPr>
        <w:t xml:space="preserve"> </w:t>
      </w:r>
      <w:r w:rsidRPr="000319D5">
        <w:rPr>
          <w:lang w:eastAsia="ja-JP"/>
        </w:rPr>
        <w:t xml:space="preserve">The mean sPGA responses were </w:t>
      </w:r>
      <w:r>
        <w:rPr>
          <w:lang w:eastAsia="ja-JP"/>
        </w:rPr>
        <w:t>61.3% (ABP 501) and 67.8</w:t>
      </w:r>
      <w:r w:rsidRPr="000E3DF7">
        <w:rPr>
          <w:lang w:eastAsia="ja-JP"/>
        </w:rPr>
        <w:t xml:space="preserve">% (adalimumab). </w:t>
      </w:r>
      <w:r>
        <w:rPr>
          <w:lang w:eastAsia="ja-JP"/>
        </w:rPr>
        <w:t xml:space="preserve">The treatment difference between Group A and Group B was </w:t>
      </w:r>
      <w:r w:rsidRPr="00EB1D0D">
        <w:rPr>
          <w:lang w:eastAsia="ja-JP"/>
        </w:rPr>
        <w:t>-6.516</w:t>
      </w:r>
      <w:r>
        <w:rPr>
          <w:lang w:eastAsia="ja-JP"/>
        </w:rPr>
        <w:t xml:space="preserve">% with a 95% CI of </w:t>
      </w:r>
      <w:r w:rsidRPr="00EB1D0D">
        <w:rPr>
          <w:lang w:eastAsia="ja-JP"/>
        </w:rPr>
        <w:t>(</w:t>
      </w:r>
      <w:r>
        <w:rPr>
          <w:lang w:eastAsia="ja-JP"/>
        </w:rPr>
        <w:noBreakHyphen/>
      </w:r>
      <w:r w:rsidRPr="00EB1D0D">
        <w:rPr>
          <w:lang w:eastAsia="ja-JP"/>
        </w:rPr>
        <w:t>16.887</w:t>
      </w:r>
      <w:r>
        <w:rPr>
          <w:lang w:eastAsia="ja-JP"/>
        </w:rPr>
        <w:t>%</w:t>
      </w:r>
      <w:r w:rsidRPr="00EB1D0D">
        <w:rPr>
          <w:lang w:eastAsia="ja-JP"/>
        </w:rPr>
        <w:t>, 3.855</w:t>
      </w:r>
      <w:r>
        <w:rPr>
          <w:lang w:eastAsia="ja-JP"/>
        </w:rPr>
        <w:t>%</w:t>
      </w:r>
      <w:r w:rsidRPr="00EB1D0D">
        <w:rPr>
          <w:lang w:eastAsia="ja-JP"/>
        </w:rPr>
        <w:t>)</w:t>
      </w:r>
      <w:r>
        <w:rPr>
          <w:lang w:eastAsia="ja-JP"/>
        </w:rPr>
        <w:t>.</w:t>
      </w:r>
    </w:p>
    <w:p w14:paraId="0F7410EB" w14:textId="66195A44" w:rsidR="007C0FDC" w:rsidRPr="00F614D1" w:rsidRDefault="007C0FDC" w:rsidP="007C0FDC">
      <w:pPr>
        <w:pStyle w:val="Heading6"/>
        <w:rPr>
          <w:lang w:eastAsia="ja-JP"/>
        </w:rPr>
      </w:pPr>
      <w:r>
        <w:rPr>
          <w:lang w:eastAsia="ja-JP"/>
        </w:rPr>
        <w:t xml:space="preserve">BSA involvement at Week 16 (mean change from </w:t>
      </w:r>
      <w:r w:rsidR="00EE5E39">
        <w:rPr>
          <w:lang w:eastAsia="ja-JP"/>
        </w:rPr>
        <w:t>Baseline</w:t>
      </w:r>
      <w:r>
        <w:rPr>
          <w:lang w:eastAsia="ja-JP"/>
        </w:rPr>
        <w:t>)</w:t>
      </w:r>
    </w:p>
    <w:p w14:paraId="72B9D3F2" w14:textId="4A212F23" w:rsidR="007C0FDC" w:rsidRPr="00AF0DAD" w:rsidRDefault="0004762E" w:rsidP="007C0FDC">
      <w:pPr>
        <w:rPr>
          <w:lang w:eastAsia="ja-JP"/>
        </w:rPr>
      </w:pPr>
      <w:r>
        <w:rPr>
          <w:lang w:eastAsia="ja-JP"/>
        </w:rPr>
        <w:t>Based on the f</w:t>
      </w:r>
      <w:r w:rsidR="007C0FDC" w:rsidRPr="00AF0DAD">
        <w:rPr>
          <w:lang w:eastAsia="ja-JP"/>
        </w:rPr>
        <w:t xml:space="preserve">ull </w:t>
      </w:r>
      <w:r>
        <w:rPr>
          <w:lang w:eastAsia="ja-JP"/>
        </w:rPr>
        <w:t>a</w:t>
      </w:r>
      <w:r w:rsidR="007C0FDC" w:rsidRPr="00AF0DAD">
        <w:rPr>
          <w:lang w:eastAsia="ja-JP"/>
        </w:rPr>
        <w:t xml:space="preserve">nalysis </w:t>
      </w:r>
      <w:r>
        <w:rPr>
          <w:lang w:eastAsia="ja-JP"/>
        </w:rPr>
        <w:t>s</w:t>
      </w:r>
      <w:r w:rsidR="007C0FDC" w:rsidRPr="00AF0DAD">
        <w:rPr>
          <w:lang w:eastAsia="ja-JP"/>
        </w:rPr>
        <w:t>et (LOCF):</w:t>
      </w:r>
    </w:p>
    <w:p w14:paraId="5E04DD2E" w14:textId="77777777" w:rsidR="007C0FDC" w:rsidRPr="00AF0DAD" w:rsidRDefault="007C0FDC" w:rsidP="007C0FDC">
      <w:pPr>
        <w:pStyle w:val="ListBullet"/>
        <w:numPr>
          <w:ilvl w:val="0"/>
          <w:numId w:val="1"/>
        </w:numPr>
        <w:rPr>
          <w:lang w:eastAsia="ja-JP"/>
        </w:rPr>
      </w:pPr>
      <w:r w:rsidRPr="00432F34">
        <w:rPr>
          <w:i/>
          <w:lang w:eastAsia="ja-JP"/>
        </w:rPr>
        <w:t>Week 16:</w:t>
      </w:r>
      <w:r w:rsidRPr="00AF0DAD">
        <w:rPr>
          <w:lang w:eastAsia="ja-JP"/>
        </w:rPr>
        <w:t xml:space="preserve"> The mean BSA change</w:t>
      </w:r>
      <w:r>
        <w:rPr>
          <w:lang w:eastAsia="ja-JP"/>
        </w:rPr>
        <w:t>s</w:t>
      </w:r>
      <w:r w:rsidRPr="00AF0DAD">
        <w:rPr>
          <w:lang w:eastAsia="ja-JP"/>
        </w:rPr>
        <w:t xml:space="preserve"> </w:t>
      </w:r>
      <w:r>
        <w:rPr>
          <w:lang w:eastAsia="ja-JP"/>
        </w:rPr>
        <w:t>were</w:t>
      </w:r>
      <w:r w:rsidRPr="00AF0DAD">
        <w:rPr>
          <w:lang w:eastAsia="ja-JP"/>
        </w:rPr>
        <w:t xml:space="preserve"> -18.0% (ABP 501) and -22.1% (adalimumab). The treatment difference between Group A and Group B was 1.93% with a 95% CI of (-0.24%, 4.10%)</w:t>
      </w:r>
      <w:r>
        <w:rPr>
          <w:lang w:eastAsia="ja-JP"/>
        </w:rPr>
        <w:t>.</w:t>
      </w:r>
    </w:p>
    <w:p w14:paraId="7BA607B2" w14:textId="5676D419" w:rsidR="007C0FDC" w:rsidRPr="00AF0DAD" w:rsidRDefault="0004762E" w:rsidP="007C0FDC">
      <w:pPr>
        <w:rPr>
          <w:lang w:eastAsia="ja-JP"/>
        </w:rPr>
      </w:pPr>
      <w:r>
        <w:rPr>
          <w:lang w:eastAsia="ja-JP"/>
        </w:rPr>
        <w:t>Based on the p</w:t>
      </w:r>
      <w:r w:rsidR="007C0FDC" w:rsidRPr="00AF0DAD">
        <w:rPr>
          <w:lang w:eastAsia="ja-JP"/>
        </w:rPr>
        <w:t xml:space="preserve">er-protocol </w:t>
      </w:r>
      <w:r>
        <w:rPr>
          <w:lang w:eastAsia="ja-JP"/>
        </w:rPr>
        <w:t>a</w:t>
      </w:r>
      <w:r w:rsidR="007C0FDC" w:rsidRPr="00AF0DAD">
        <w:rPr>
          <w:lang w:eastAsia="ja-JP"/>
        </w:rPr>
        <w:t xml:space="preserve">nalysis </w:t>
      </w:r>
      <w:r>
        <w:rPr>
          <w:lang w:eastAsia="ja-JP"/>
        </w:rPr>
        <w:t>s</w:t>
      </w:r>
      <w:r w:rsidR="007C0FDC" w:rsidRPr="00AF0DAD">
        <w:rPr>
          <w:lang w:eastAsia="ja-JP"/>
        </w:rPr>
        <w:t>et (observed cases):</w:t>
      </w:r>
    </w:p>
    <w:p w14:paraId="2B823DA3" w14:textId="77777777" w:rsidR="007C0FDC" w:rsidRDefault="007C0FDC" w:rsidP="007C0FDC">
      <w:pPr>
        <w:pStyle w:val="ListBullet"/>
        <w:numPr>
          <w:ilvl w:val="0"/>
          <w:numId w:val="1"/>
        </w:numPr>
        <w:rPr>
          <w:lang w:eastAsia="ja-JP"/>
        </w:rPr>
      </w:pPr>
      <w:r w:rsidRPr="00432F34">
        <w:rPr>
          <w:i/>
          <w:lang w:eastAsia="ja-JP"/>
        </w:rPr>
        <w:t>Week 16:</w:t>
      </w:r>
      <w:r w:rsidRPr="00AF0DAD">
        <w:rPr>
          <w:lang w:eastAsia="ja-JP"/>
        </w:rPr>
        <w:t xml:space="preserve"> The mean BSA change</w:t>
      </w:r>
      <w:r>
        <w:rPr>
          <w:lang w:eastAsia="ja-JP"/>
        </w:rPr>
        <w:t>s</w:t>
      </w:r>
      <w:r w:rsidRPr="00AF0DAD">
        <w:rPr>
          <w:lang w:eastAsia="ja-JP"/>
        </w:rPr>
        <w:t xml:space="preserve"> </w:t>
      </w:r>
      <w:r>
        <w:rPr>
          <w:lang w:eastAsia="ja-JP"/>
        </w:rPr>
        <w:t>were</w:t>
      </w:r>
      <w:r w:rsidRPr="00AF0DAD">
        <w:rPr>
          <w:lang w:eastAsia="ja-JP"/>
        </w:rPr>
        <w:t xml:space="preserve"> -18.1% (ABP 501) and -22.7% (adalimumab). The treatment difference between Group A and Group B was 2.13% </w:t>
      </w:r>
      <w:r>
        <w:rPr>
          <w:lang w:eastAsia="ja-JP"/>
        </w:rPr>
        <w:t>with a 95% CI of (0.27%, 4.00%).</w:t>
      </w:r>
    </w:p>
    <w:p w14:paraId="3E83675D" w14:textId="0EBF0658" w:rsidR="007C0FDC" w:rsidRPr="005F2F0C" w:rsidRDefault="007C0FDC" w:rsidP="007C0FDC">
      <w:pPr>
        <w:pStyle w:val="Heading6"/>
      </w:pPr>
      <w:r>
        <w:t>R</w:t>
      </w:r>
      <w:r w:rsidRPr="00C5644D">
        <w:t>esults</w:t>
      </w:r>
      <w:r>
        <w:t xml:space="preserve"> post</w:t>
      </w:r>
      <w:r w:rsidR="00EE5E39">
        <w:t>-</w:t>
      </w:r>
      <w:r>
        <w:t>Week 16 (PASI 50 responders)</w:t>
      </w:r>
    </w:p>
    <w:p w14:paraId="522129C2" w14:textId="77777777" w:rsidR="007C0FDC" w:rsidRPr="00E26F2D" w:rsidRDefault="007C0FDC" w:rsidP="007C0FDC">
      <w:pPr>
        <w:pStyle w:val="Heading6"/>
        <w:rPr>
          <w:lang w:eastAsia="ja-JP"/>
        </w:rPr>
      </w:pPr>
      <w:r w:rsidRPr="00E26F2D">
        <w:rPr>
          <w:lang w:eastAsia="ja-JP"/>
        </w:rPr>
        <w:t>PASI percent improvement from baseline at Weeks 32 and 50</w:t>
      </w:r>
    </w:p>
    <w:p w14:paraId="5D4BE28C" w14:textId="5BF6432E" w:rsidR="007C0FDC" w:rsidRPr="00E26F2D" w:rsidRDefault="007C0FDC" w:rsidP="007C0FDC">
      <w:pPr>
        <w:rPr>
          <w:lang w:eastAsia="ja-JP"/>
        </w:rPr>
      </w:pPr>
      <w:r w:rsidRPr="00E26F2D">
        <w:rPr>
          <w:lang w:eastAsia="ja-JP"/>
        </w:rPr>
        <w:t xml:space="preserve">Based on the </w:t>
      </w:r>
      <w:r w:rsidR="0004762E">
        <w:rPr>
          <w:lang w:eastAsia="ja-JP"/>
        </w:rPr>
        <w:t>r</w:t>
      </w:r>
      <w:r w:rsidRPr="00E26F2D">
        <w:rPr>
          <w:lang w:eastAsia="ja-JP"/>
        </w:rPr>
        <w:t>e-</w:t>
      </w:r>
      <w:r w:rsidR="00EE5E39" w:rsidRPr="00E26F2D">
        <w:rPr>
          <w:lang w:eastAsia="ja-JP"/>
        </w:rPr>
        <w:t>randomi</w:t>
      </w:r>
      <w:r w:rsidR="00EE5E39">
        <w:rPr>
          <w:lang w:eastAsia="ja-JP"/>
        </w:rPr>
        <w:t>s</w:t>
      </w:r>
      <w:r w:rsidR="00EE5E39" w:rsidRPr="00E26F2D">
        <w:rPr>
          <w:lang w:eastAsia="ja-JP"/>
        </w:rPr>
        <w:t xml:space="preserve">ed </w:t>
      </w:r>
      <w:r w:rsidR="0004762E">
        <w:rPr>
          <w:lang w:eastAsia="ja-JP"/>
        </w:rPr>
        <w:t>a</w:t>
      </w:r>
      <w:r w:rsidRPr="00E26F2D">
        <w:rPr>
          <w:lang w:eastAsia="ja-JP"/>
        </w:rPr>
        <w:t xml:space="preserve">nalysis </w:t>
      </w:r>
      <w:r w:rsidR="0004762E">
        <w:rPr>
          <w:lang w:eastAsia="ja-JP"/>
        </w:rPr>
        <w:t>s</w:t>
      </w:r>
      <w:r w:rsidRPr="00E26F2D">
        <w:rPr>
          <w:lang w:eastAsia="ja-JP"/>
        </w:rPr>
        <w:t>et (observed cases):</w:t>
      </w:r>
    </w:p>
    <w:p w14:paraId="433F045A" w14:textId="187B337E" w:rsidR="007C0FDC" w:rsidRPr="00E26F2D" w:rsidRDefault="007C0FDC" w:rsidP="007C0FDC">
      <w:pPr>
        <w:pStyle w:val="ListBullet"/>
        <w:numPr>
          <w:ilvl w:val="0"/>
          <w:numId w:val="1"/>
        </w:numPr>
        <w:rPr>
          <w:lang w:eastAsia="ja-JP"/>
        </w:rPr>
      </w:pPr>
      <w:r w:rsidRPr="00432F34">
        <w:rPr>
          <w:i/>
          <w:lang w:eastAsia="ja-JP"/>
        </w:rPr>
        <w:t>Week 32:</w:t>
      </w:r>
      <w:r w:rsidRPr="00E26F2D">
        <w:rPr>
          <w:lang w:eastAsia="ja-JP"/>
        </w:rPr>
        <w:t xml:space="preserve"> The mean PASI scores were 2.62 (87.62% mean improvement) (ABP 501/ABP 501), 2.27 (88.16%) (adalimumab/adalimumab), and </w:t>
      </w:r>
      <w:r w:rsidRPr="007516FC">
        <w:rPr>
          <w:i/>
          <w:lang w:eastAsia="ja-JP"/>
        </w:rPr>
        <w:t>2.53 (86.98%)</w:t>
      </w:r>
      <w:r w:rsidRPr="00E26F2D">
        <w:rPr>
          <w:lang w:eastAsia="ja-JP"/>
        </w:rPr>
        <w:t xml:space="preserve"> (adalimumab/ABP </w:t>
      </w:r>
      <w:r w:rsidRPr="00E26F2D">
        <w:rPr>
          <w:lang w:eastAsia="ja-JP"/>
        </w:rPr>
        <w:lastRenderedPageBreak/>
        <w:t>501). The treatment difference between Group A and Group B1 was -0.49% with a 95% CI of (-5.60%, 4.61%). The treatment difference between Group B2 and Group B1 was -1.05 with a 95% CI of (-6.93, 4.84</w:t>
      </w:r>
      <w:r w:rsidR="0004762E">
        <w:rPr>
          <w:lang w:eastAsia="ja-JP"/>
        </w:rPr>
        <w:t>).</w:t>
      </w:r>
    </w:p>
    <w:p w14:paraId="6396D552" w14:textId="647F01D6" w:rsidR="007C0FDC" w:rsidRPr="00E26F2D" w:rsidRDefault="007C0FDC" w:rsidP="007C0FDC">
      <w:pPr>
        <w:pStyle w:val="ListBullet"/>
        <w:numPr>
          <w:ilvl w:val="0"/>
          <w:numId w:val="1"/>
        </w:numPr>
        <w:rPr>
          <w:lang w:eastAsia="ja-JP"/>
        </w:rPr>
      </w:pPr>
      <w:r w:rsidRPr="00432F34">
        <w:rPr>
          <w:i/>
          <w:lang w:eastAsia="ja-JP"/>
        </w:rPr>
        <w:t>Week 50:</w:t>
      </w:r>
      <w:r w:rsidRPr="00E26F2D">
        <w:rPr>
          <w:lang w:eastAsia="ja-JP"/>
        </w:rPr>
        <w:t xml:space="preserve"> The mean PASI scores were 2.57 (87.16% mean improvement) (ABP 501/ABP 501), 2.36 (88.11%) (adalimumab/adalimumab), and </w:t>
      </w:r>
      <w:r w:rsidRPr="007516FC">
        <w:rPr>
          <w:i/>
          <w:lang w:eastAsia="ja-JP"/>
        </w:rPr>
        <w:t>2.98 (85.82%)</w:t>
      </w:r>
      <w:r w:rsidRPr="00E26F2D">
        <w:rPr>
          <w:lang w:eastAsia="ja-JP"/>
        </w:rPr>
        <w:t xml:space="preserve"> (</w:t>
      </w:r>
      <w:proofErr w:type="gramStart"/>
      <w:r w:rsidRPr="00E26F2D">
        <w:rPr>
          <w:lang w:eastAsia="ja-JP"/>
        </w:rPr>
        <w:t>adalimumab/ABP</w:t>
      </w:r>
      <w:proofErr w:type="gramEnd"/>
      <w:r w:rsidRPr="00E26F2D">
        <w:rPr>
          <w:lang w:eastAsia="ja-JP"/>
        </w:rPr>
        <w:t xml:space="preserve"> 501). The treatment difference between Group A and Group B1 was -1.16 with a 95% CI of (</w:t>
      </w:r>
      <w:r>
        <w:rPr>
          <w:lang w:eastAsia="ja-JP"/>
        </w:rPr>
        <w:noBreakHyphen/>
      </w:r>
      <w:r w:rsidRPr="00E26F2D">
        <w:rPr>
          <w:lang w:eastAsia="ja-JP"/>
        </w:rPr>
        <w:t xml:space="preserve">7.17, 4.86). The treatment difference between Group B2 and Group B1 was -2.37 </w:t>
      </w:r>
      <w:r w:rsidR="0004762E">
        <w:rPr>
          <w:lang w:eastAsia="ja-JP"/>
        </w:rPr>
        <w:t>with a 95% CI of (-9.26, 4.52).</w:t>
      </w:r>
    </w:p>
    <w:p w14:paraId="2C82A8D2" w14:textId="77777777" w:rsidR="007C0FDC" w:rsidRPr="00E26F2D" w:rsidRDefault="007C0FDC" w:rsidP="007C0FDC">
      <w:pPr>
        <w:pStyle w:val="Heading6"/>
        <w:rPr>
          <w:lang w:eastAsia="ja-JP"/>
        </w:rPr>
      </w:pPr>
      <w:r w:rsidRPr="00E26F2D">
        <w:rPr>
          <w:lang w:eastAsia="ja-JP"/>
        </w:rPr>
        <w:t>PASI 75 response at Weeks 32 and 50</w:t>
      </w:r>
    </w:p>
    <w:p w14:paraId="2B9347B3" w14:textId="366B36CE" w:rsidR="007C0FDC" w:rsidRPr="00E26F2D" w:rsidRDefault="0004762E" w:rsidP="007C0FDC">
      <w:pPr>
        <w:rPr>
          <w:lang w:eastAsia="ja-JP"/>
        </w:rPr>
      </w:pPr>
      <w:r>
        <w:rPr>
          <w:lang w:eastAsia="ja-JP"/>
        </w:rPr>
        <w:t>Based on the r</w:t>
      </w:r>
      <w:r w:rsidR="007C0FDC" w:rsidRPr="00E26F2D">
        <w:rPr>
          <w:lang w:eastAsia="ja-JP"/>
        </w:rPr>
        <w:t>e-</w:t>
      </w:r>
      <w:r w:rsidR="00EE5E39" w:rsidRPr="00E26F2D">
        <w:rPr>
          <w:lang w:eastAsia="ja-JP"/>
        </w:rPr>
        <w:t>randomi</w:t>
      </w:r>
      <w:r w:rsidR="00EE5E39">
        <w:rPr>
          <w:lang w:eastAsia="ja-JP"/>
        </w:rPr>
        <w:t>s</w:t>
      </w:r>
      <w:r w:rsidR="00EE5E39" w:rsidRPr="00E26F2D">
        <w:rPr>
          <w:lang w:eastAsia="ja-JP"/>
        </w:rPr>
        <w:t xml:space="preserve">ed </w:t>
      </w:r>
      <w:r w:rsidR="007C0FDC" w:rsidRPr="00E26F2D">
        <w:rPr>
          <w:lang w:eastAsia="ja-JP"/>
        </w:rPr>
        <w:t>analysis set (observed cases):</w:t>
      </w:r>
    </w:p>
    <w:p w14:paraId="4C325579" w14:textId="12FE88F2" w:rsidR="007C0FDC" w:rsidRPr="00E26F2D" w:rsidRDefault="007C0FDC" w:rsidP="007C0FDC">
      <w:pPr>
        <w:pStyle w:val="ListBullet"/>
        <w:numPr>
          <w:ilvl w:val="0"/>
          <w:numId w:val="1"/>
        </w:numPr>
        <w:rPr>
          <w:lang w:eastAsia="ja-JP"/>
        </w:rPr>
      </w:pPr>
      <w:r w:rsidRPr="002526E4">
        <w:rPr>
          <w:rStyle w:val="Heading6Char"/>
          <w:rFonts w:eastAsia="Cambria"/>
        </w:rPr>
        <w:t>Week 32:</w:t>
      </w:r>
      <w:r w:rsidRPr="00E26F2D">
        <w:rPr>
          <w:lang w:eastAsia="ja-JP"/>
        </w:rPr>
        <w:t xml:space="preserve"> The PASI 75 response proportions were 82.5% (ABP 501/ABP 501), 84.7% (adalimumab/adalimumab), and </w:t>
      </w:r>
      <w:r w:rsidRPr="007516FC">
        <w:rPr>
          <w:i/>
          <w:lang w:eastAsia="ja-JP"/>
        </w:rPr>
        <w:t>84.5%</w:t>
      </w:r>
      <w:r w:rsidRPr="00E26F2D">
        <w:rPr>
          <w:lang w:eastAsia="ja-JP"/>
        </w:rPr>
        <w:t xml:space="preserve"> (adalimumab/ABP 501). The treatment difference between Group A and Group B1 was -2.751% with a 95% CI of (-13.935%, 8.433%). The treatment difference between Group B2 and Group B1 was 0.582% with a 95% CI of (</w:t>
      </w:r>
      <w:r>
        <w:rPr>
          <w:lang w:eastAsia="ja-JP"/>
        </w:rPr>
        <w:noBreakHyphen/>
      </w:r>
      <w:r w:rsidR="0004762E">
        <w:rPr>
          <w:lang w:eastAsia="ja-JP"/>
        </w:rPr>
        <w:t>12.899%, 14.063%).</w:t>
      </w:r>
    </w:p>
    <w:p w14:paraId="4205ECAE" w14:textId="77777777" w:rsidR="007C0FDC" w:rsidRPr="00E26F2D" w:rsidRDefault="007C0FDC" w:rsidP="007C0FDC">
      <w:pPr>
        <w:pStyle w:val="ListBullet"/>
        <w:numPr>
          <w:ilvl w:val="0"/>
          <w:numId w:val="1"/>
        </w:numPr>
        <w:rPr>
          <w:lang w:eastAsia="ja-JP"/>
        </w:rPr>
      </w:pPr>
      <w:r w:rsidRPr="002526E4">
        <w:rPr>
          <w:i/>
          <w:lang w:eastAsia="ja-JP"/>
        </w:rPr>
        <w:t>Week 50:</w:t>
      </w:r>
      <w:r w:rsidRPr="00E26F2D">
        <w:rPr>
          <w:lang w:eastAsia="ja-JP"/>
        </w:rPr>
        <w:t xml:space="preserve"> The PASI 75 response proportions were 85.1% (ABP 501/ABP 501), 87.1% (adalimumab/adalimumab), and </w:t>
      </w:r>
      <w:r w:rsidRPr="007516FC">
        <w:rPr>
          <w:i/>
          <w:lang w:eastAsia="ja-JP"/>
        </w:rPr>
        <w:t>81.2%</w:t>
      </w:r>
      <w:r w:rsidRPr="00E26F2D">
        <w:rPr>
          <w:lang w:eastAsia="ja-JP"/>
        </w:rPr>
        <w:t xml:space="preserve"> (adalimumab/ABP 501). The treatment difference between Group A and Group B1 was -4.680% with a 95% CI of (-15.263%, 5.904%). The treatment difference between Group B2 and Group B1 was -6.511% with a 95% CI of (</w:t>
      </w:r>
      <w:r>
        <w:rPr>
          <w:lang w:eastAsia="ja-JP"/>
        </w:rPr>
        <w:noBreakHyphen/>
      </w:r>
      <w:r w:rsidRPr="00E26F2D">
        <w:rPr>
          <w:lang w:eastAsia="ja-JP"/>
        </w:rPr>
        <w:t>19.058%, 6.037%).</w:t>
      </w:r>
    </w:p>
    <w:p w14:paraId="7855B45C" w14:textId="77777777" w:rsidR="007C0FDC" w:rsidRPr="00E26F2D" w:rsidRDefault="007C0FDC" w:rsidP="007C0FDC">
      <w:pPr>
        <w:pStyle w:val="Heading6"/>
        <w:rPr>
          <w:lang w:eastAsia="ja-JP"/>
        </w:rPr>
      </w:pPr>
      <w:r w:rsidRPr="00E26F2D">
        <w:rPr>
          <w:lang w:eastAsia="ja-JP"/>
        </w:rPr>
        <w:t>sPGA positive responses (0/1) at Weeks 32 and 50</w:t>
      </w:r>
    </w:p>
    <w:p w14:paraId="0AF535DF" w14:textId="1E61CAB1" w:rsidR="007C0FDC" w:rsidRPr="00E26F2D" w:rsidRDefault="007C0FDC" w:rsidP="007C0FDC">
      <w:pPr>
        <w:rPr>
          <w:lang w:eastAsia="ja-JP"/>
        </w:rPr>
      </w:pPr>
      <w:r w:rsidRPr="00E26F2D">
        <w:rPr>
          <w:lang w:eastAsia="ja-JP"/>
        </w:rPr>
        <w:t xml:space="preserve">Based on the </w:t>
      </w:r>
      <w:r w:rsidR="0004762E">
        <w:rPr>
          <w:lang w:eastAsia="ja-JP"/>
        </w:rPr>
        <w:t>r</w:t>
      </w:r>
      <w:r w:rsidRPr="00E26F2D">
        <w:rPr>
          <w:lang w:eastAsia="ja-JP"/>
        </w:rPr>
        <w:t>e-</w:t>
      </w:r>
      <w:r w:rsidR="00CA284B" w:rsidRPr="00E26F2D">
        <w:rPr>
          <w:lang w:eastAsia="ja-JP"/>
        </w:rPr>
        <w:t>randomi</w:t>
      </w:r>
      <w:r w:rsidR="00CA284B">
        <w:rPr>
          <w:lang w:eastAsia="ja-JP"/>
        </w:rPr>
        <w:t>s</w:t>
      </w:r>
      <w:r w:rsidR="00CA284B" w:rsidRPr="00E26F2D">
        <w:rPr>
          <w:lang w:eastAsia="ja-JP"/>
        </w:rPr>
        <w:t xml:space="preserve">ed </w:t>
      </w:r>
      <w:r w:rsidR="0004762E">
        <w:rPr>
          <w:lang w:eastAsia="ja-JP"/>
        </w:rPr>
        <w:t>analysis set (observed cases):</w:t>
      </w:r>
    </w:p>
    <w:p w14:paraId="7C2056A4" w14:textId="6624870C" w:rsidR="007C0FDC" w:rsidRPr="00E26F2D" w:rsidRDefault="007C0FDC" w:rsidP="007C0FDC">
      <w:pPr>
        <w:pStyle w:val="ListBullet"/>
        <w:numPr>
          <w:ilvl w:val="0"/>
          <w:numId w:val="1"/>
        </w:numPr>
        <w:rPr>
          <w:lang w:eastAsia="ja-JP"/>
        </w:rPr>
      </w:pPr>
      <w:r w:rsidRPr="002526E4">
        <w:rPr>
          <w:i/>
          <w:lang w:eastAsia="ja-JP"/>
        </w:rPr>
        <w:t>Week 32:</w:t>
      </w:r>
      <w:r w:rsidRPr="00E26F2D">
        <w:rPr>
          <w:lang w:eastAsia="ja-JP"/>
        </w:rPr>
        <w:t xml:space="preserve"> The mean sPGA responses were 66.4% (ABP 501/ABP 501), 72.2% (adalimumab/adalimumab), and </w:t>
      </w:r>
      <w:r w:rsidRPr="007516FC">
        <w:rPr>
          <w:i/>
          <w:lang w:eastAsia="ja-JP"/>
        </w:rPr>
        <w:t>70.4%</w:t>
      </w:r>
      <w:r w:rsidRPr="00E26F2D">
        <w:rPr>
          <w:lang w:eastAsia="ja-JP"/>
        </w:rPr>
        <w:t xml:space="preserve"> (adalimumab/ABP 501). The treatment difference between Group A and Group B1 was -8.158% with a 95% CI of (-20.487%, 4.171%). The treatment difference between Group B2 and Group B1 was -4.195% with a 95% CI of (</w:t>
      </w:r>
      <w:r>
        <w:rPr>
          <w:lang w:eastAsia="ja-JP"/>
        </w:rPr>
        <w:noBreakHyphen/>
      </w:r>
      <w:r w:rsidR="001016C7">
        <w:rPr>
          <w:lang w:eastAsia="ja-JP"/>
        </w:rPr>
        <w:t>18.099%, 9.709%).</w:t>
      </w:r>
    </w:p>
    <w:p w14:paraId="7FA8DF57" w14:textId="0304396E" w:rsidR="007C0FDC" w:rsidRPr="00E26F2D" w:rsidRDefault="007C0FDC" w:rsidP="007C0FDC">
      <w:pPr>
        <w:pStyle w:val="ListBullet"/>
        <w:numPr>
          <w:ilvl w:val="0"/>
          <w:numId w:val="1"/>
        </w:numPr>
        <w:rPr>
          <w:lang w:eastAsia="ja-JP"/>
        </w:rPr>
      </w:pPr>
      <w:r w:rsidRPr="002526E4">
        <w:rPr>
          <w:i/>
          <w:lang w:eastAsia="ja-JP"/>
        </w:rPr>
        <w:t>Week 50:</w:t>
      </w:r>
      <w:r w:rsidRPr="00E26F2D">
        <w:rPr>
          <w:lang w:eastAsia="ja-JP"/>
        </w:rPr>
        <w:t xml:space="preserve"> The mean sPGA responses were 68.7% (ABP 501/ABP 501), 74.3% (adalimumab/adalimumab), and </w:t>
      </w:r>
      <w:r w:rsidRPr="00E26F2D">
        <w:rPr>
          <w:u w:val="single"/>
          <w:lang w:eastAsia="ja-JP"/>
        </w:rPr>
        <w:t>69.6%</w:t>
      </w:r>
      <w:r w:rsidRPr="00E26F2D">
        <w:rPr>
          <w:lang w:eastAsia="ja-JP"/>
        </w:rPr>
        <w:t xml:space="preserve"> (adalimumab/ABP 501). The treatment difference between Group A and Group B1 was -9.636% with a 95% CI of (-22.328%, 3.056%). The treatment difference between Group B2 and Group B1 was -7.541% with a 95% CI of (</w:t>
      </w:r>
      <w:r>
        <w:rPr>
          <w:lang w:eastAsia="ja-JP"/>
        </w:rPr>
        <w:noBreakHyphen/>
      </w:r>
      <w:r w:rsidR="001016C7">
        <w:rPr>
          <w:lang w:eastAsia="ja-JP"/>
        </w:rPr>
        <w:t>21.821%, 6.738%).</w:t>
      </w:r>
    </w:p>
    <w:p w14:paraId="0C8CFFEC" w14:textId="77777777" w:rsidR="007C0FDC" w:rsidRPr="00E26F2D" w:rsidRDefault="007C0FDC" w:rsidP="007C0FDC">
      <w:pPr>
        <w:pStyle w:val="Heading6"/>
        <w:rPr>
          <w:lang w:eastAsia="ja-JP"/>
        </w:rPr>
      </w:pPr>
      <w:r w:rsidRPr="00E26F2D">
        <w:rPr>
          <w:lang w:eastAsia="ja-JP"/>
        </w:rPr>
        <w:t>BSA involvement at Weeks 32 and 50 (mean change from baseline)</w:t>
      </w:r>
    </w:p>
    <w:p w14:paraId="1842C931" w14:textId="6411348C" w:rsidR="007C0FDC" w:rsidRPr="00E26F2D" w:rsidRDefault="001016C7" w:rsidP="007C0FDC">
      <w:pPr>
        <w:rPr>
          <w:lang w:eastAsia="ja-JP"/>
        </w:rPr>
      </w:pPr>
      <w:r>
        <w:rPr>
          <w:lang w:eastAsia="ja-JP"/>
        </w:rPr>
        <w:t>Based on the r</w:t>
      </w:r>
      <w:r w:rsidR="007C0FDC" w:rsidRPr="00E26F2D">
        <w:rPr>
          <w:lang w:eastAsia="ja-JP"/>
        </w:rPr>
        <w:t>e-</w:t>
      </w:r>
      <w:r w:rsidR="009B0FB8">
        <w:rPr>
          <w:lang w:eastAsia="ja-JP"/>
        </w:rPr>
        <w:t>randomised</w:t>
      </w:r>
      <w:r>
        <w:rPr>
          <w:lang w:eastAsia="ja-JP"/>
        </w:rPr>
        <w:t xml:space="preserve"> analysis set (observed cases):</w:t>
      </w:r>
    </w:p>
    <w:p w14:paraId="552D2914" w14:textId="6ED66CDF" w:rsidR="007C0FDC" w:rsidRPr="00E26F2D" w:rsidRDefault="007C0FDC" w:rsidP="007C0FDC">
      <w:pPr>
        <w:pStyle w:val="ListBullet"/>
        <w:numPr>
          <w:ilvl w:val="0"/>
          <w:numId w:val="1"/>
        </w:numPr>
        <w:rPr>
          <w:lang w:eastAsia="ja-JP"/>
        </w:rPr>
      </w:pPr>
      <w:r w:rsidRPr="002526E4">
        <w:rPr>
          <w:i/>
          <w:lang w:eastAsia="ja-JP"/>
        </w:rPr>
        <w:t>Week 32:</w:t>
      </w:r>
      <w:r w:rsidRPr="00E26F2D">
        <w:rPr>
          <w:lang w:eastAsia="ja-JP"/>
        </w:rPr>
        <w:t xml:space="preserve"> The mean BSA changes were -20.6% (ABP 501/ABP 501), -25.3% (adalimumab/adalimumab), and </w:t>
      </w:r>
      <w:r w:rsidRPr="007516FC">
        <w:rPr>
          <w:i/>
          <w:lang w:eastAsia="ja-JP"/>
        </w:rPr>
        <w:t>-23.8%</w:t>
      </w:r>
      <w:r w:rsidRPr="00E26F2D">
        <w:rPr>
          <w:lang w:eastAsia="ja-JP"/>
        </w:rPr>
        <w:t xml:space="preserve"> (adalimumab/ABP 501). The treatment difference between Group A and Group B1 was 1.51% with a 95% CI of (-0.44%, 3.46%). The treatment difference between Group B2 and Group B1 was 0.83% with a 95% CI of (-1.41%,</w:t>
      </w:r>
      <w:r w:rsidR="00CA284B">
        <w:rPr>
          <w:lang w:eastAsia="ja-JP"/>
        </w:rPr>
        <w:t> </w:t>
      </w:r>
      <w:r w:rsidRPr="00E26F2D">
        <w:rPr>
          <w:lang w:eastAsia="ja-JP"/>
        </w:rPr>
        <w:t>3.07%).</w:t>
      </w:r>
    </w:p>
    <w:p w14:paraId="408DBAA9" w14:textId="77777777" w:rsidR="007C0FDC" w:rsidRPr="00E26F2D" w:rsidRDefault="007C0FDC" w:rsidP="007C0FDC">
      <w:pPr>
        <w:pStyle w:val="ListBullet"/>
        <w:numPr>
          <w:ilvl w:val="0"/>
          <w:numId w:val="1"/>
        </w:numPr>
        <w:rPr>
          <w:lang w:eastAsia="ja-JP"/>
        </w:rPr>
      </w:pPr>
      <w:r w:rsidRPr="002526E4">
        <w:rPr>
          <w:i/>
          <w:lang w:eastAsia="ja-JP"/>
        </w:rPr>
        <w:t>Week 50:</w:t>
      </w:r>
      <w:r w:rsidRPr="00E26F2D">
        <w:rPr>
          <w:lang w:eastAsia="ja-JP"/>
        </w:rPr>
        <w:t xml:space="preserve"> The mean BSA changes were -20.7% (ABP 501/ABP 501), -25.5% (adalimumab/adalimumab), and </w:t>
      </w:r>
      <w:r w:rsidRPr="007516FC">
        <w:rPr>
          <w:i/>
          <w:lang w:eastAsia="ja-JP"/>
        </w:rPr>
        <w:t>-25.1%</w:t>
      </w:r>
      <w:r w:rsidRPr="00E26F2D">
        <w:rPr>
          <w:lang w:eastAsia="ja-JP"/>
        </w:rPr>
        <w:t xml:space="preserve"> (adalimumab/ABP 501). The treatment difference between Group A and Group B1 was 0.99% with a 95% CI of (-0.91%, 2.90%). The treatment difference between Group B2 and Group B1 was 0.63% with a 95% CI of (-1.55%, 2.81%).</w:t>
      </w:r>
    </w:p>
    <w:p w14:paraId="183EA96F" w14:textId="77777777" w:rsidR="007C0FDC" w:rsidRPr="00E26F2D" w:rsidRDefault="007C0FDC" w:rsidP="007C0FDC">
      <w:pPr>
        <w:pStyle w:val="Heading6"/>
        <w:rPr>
          <w:lang w:eastAsia="ja-JP"/>
        </w:rPr>
      </w:pPr>
      <w:r w:rsidRPr="00E26F2D">
        <w:rPr>
          <w:lang w:eastAsia="ja-JP"/>
        </w:rPr>
        <w:lastRenderedPageBreak/>
        <w:t>Exploratory endpoints</w:t>
      </w:r>
    </w:p>
    <w:p w14:paraId="36F6B81A" w14:textId="434D245F" w:rsidR="007C0FDC" w:rsidRDefault="007C0FDC" w:rsidP="007C0FDC">
      <w:pPr>
        <w:rPr>
          <w:lang w:eastAsia="ja-JP"/>
        </w:rPr>
      </w:pPr>
      <w:r w:rsidRPr="00E26F2D">
        <w:rPr>
          <w:lang w:eastAsia="ja-JP"/>
        </w:rPr>
        <w:t xml:space="preserve">The exploratory endpoint was subject’s ranking of pain at injection site at </w:t>
      </w:r>
      <w:r w:rsidR="00CA284B">
        <w:rPr>
          <w:lang w:eastAsia="ja-JP"/>
        </w:rPr>
        <w:t>B</w:t>
      </w:r>
      <w:r w:rsidR="00CA284B" w:rsidRPr="00E26F2D">
        <w:rPr>
          <w:lang w:eastAsia="ja-JP"/>
        </w:rPr>
        <w:t>aseline</w:t>
      </w:r>
      <w:r w:rsidRPr="00E26F2D">
        <w:rPr>
          <w:lang w:eastAsia="ja-JP"/>
        </w:rPr>
        <w:t xml:space="preserve">, </w:t>
      </w:r>
      <w:r w:rsidR="00CA284B">
        <w:rPr>
          <w:lang w:eastAsia="ja-JP"/>
        </w:rPr>
        <w:t>W</w:t>
      </w:r>
      <w:r w:rsidR="00CA284B" w:rsidRPr="00E26F2D">
        <w:rPr>
          <w:lang w:eastAsia="ja-JP"/>
        </w:rPr>
        <w:t xml:space="preserve">eeks </w:t>
      </w:r>
      <w:r w:rsidRPr="00E26F2D">
        <w:rPr>
          <w:lang w:eastAsia="ja-JP"/>
        </w:rPr>
        <w:t xml:space="preserve">4, 8, </w:t>
      </w:r>
      <w:r>
        <w:rPr>
          <w:lang w:eastAsia="ja-JP"/>
        </w:rPr>
        <w:t>and 12.</w:t>
      </w:r>
    </w:p>
    <w:p w14:paraId="3201A0CD" w14:textId="1EF90047" w:rsidR="007C0FDC" w:rsidRDefault="007C0FDC" w:rsidP="007C0FDC">
      <w:pPr>
        <w:rPr>
          <w:lang w:eastAsia="ja-JP"/>
        </w:rPr>
      </w:pPr>
      <w:r w:rsidRPr="00D832E1">
        <w:rPr>
          <w:lang w:eastAsia="ja-JP"/>
        </w:rPr>
        <w:t>The mean injection site pain rating scores were generally lower in the ABP 501 group (range:</w:t>
      </w:r>
      <w:r w:rsidR="00CA284B">
        <w:rPr>
          <w:lang w:eastAsia="ja-JP"/>
        </w:rPr>
        <w:t> </w:t>
      </w:r>
      <w:r w:rsidRPr="00D832E1">
        <w:rPr>
          <w:lang w:eastAsia="ja-JP"/>
        </w:rPr>
        <w:t xml:space="preserve">3.3 to 4.5 mm) compared to the adalimumab group (range: </w:t>
      </w:r>
      <w:r>
        <w:rPr>
          <w:lang w:eastAsia="ja-JP"/>
        </w:rPr>
        <w:t xml:space="preserve">12.4 to 19.3 mm) at each study visit. </w:t>
      </w:r>
      <w:r w:rsidRPr="00D832E1">
        <w:rPr>
          <w:lang w:eastAsia="ja-JP"/>
        </w:rPr>
        <w:t xml:space="preserve">The mean pain scores </w:t>
      </w:r>
      <w:r>
        <w:rPr>
          <w:lang w:eastAsia="ja-JP"/>
        </w:rPr>
        <w:t>decreased</w:t>
      </w:r>
      <w:r w:rsidRPr="00D832E1">
        <w:rPr>
          <w:lang w:eastAsia="ja-JP"/>
        </w:rPr>
        <w:t xml:space="preserve"> over the 12 weeks of measurement (from 4.5 mm at baseline to 3.3 mm at week 12</w:t>
      </w:r>
      <w:r>
        <w:rPr>
          <w:lang w:eastAsia="ja-JP"/>
        </w:rPr>
        <w:t xml:space="preserve"> in the ABP 501</w:t>
      </w:r>
      <w:r w:rsidRPr="00D832E1">
        <w:rPr>
          <w:lang w:eastAsia="ja-JP"/>
        </w:rPr>
        <w:t xml:space="preserve"> group</w:t>
      </w:r>
      <w:r>
        <w:rPr>
          <w:lang w:eastAsia="ja-JP"/>
        </w:rPr>
        <w:t>, and from 19.3 mm at baseline to 12.4 mm at week 12</w:t>
      </w:r>
      <w:r w:rsidRPr="00D832E1">
        <w:rPr>
          <w:lang w:eastAsia="ja-JP"/>
        </w:rPr>
        <w:t xml:space="preserve"> </w:t>
      </w:r>
      <w:r>
        <w:rPr>
          <w:lang w:eastAsia="ja-JP"/>
        </w:rPr>
        <w:t xml:space="preserve">in the </w:t>
      </w:r>
      <w:r w:rsidRPr="00D832E1">
        <w:rPr>
          <w:lang w:eastAsia="ja-JP"/>
        </w:rPr>
        <w:t>adalimumab group</w:t>
      </w:r>
      <w:r>
        <w:rPr>
          <w:lang w:eastAsia="ja-JP"/>
        </w:rPr>
        <w:t xml:space="preserve">). </w:t>
      </w:r>
      <w:r w:rsidRPr="00D832E1">
        <w:rPr>
          <w:lang w:eastAsia="ja-JP"/>
        </w:rPr>
        <w:t>The sponsor attributed the difference in pain scores between groups to the use of different excipients in ABP</w:t>
      </w:r>
      <w:r w:rsidR="00CA284B">
        <w:rPr>
          <w:lang w:eastAsia="ja-JP"/>
        </w:rPr>
        <w:t xml:space="preserve"> </w:t>
      </w:r>
      <w:r w:rsidRPr="00D832E1">
        <w:rPr>
          <w:lang w:eastAsia="ja-JP"/>
        </w:rPr>
        <w:t>501.</w:t>
      </w:r>
    </w:p>
    <w:p w14:paraId="4C30AB56" w14:textId="4EFBD9F9" w:rsidR="00CA284B" w:rsidRPr="007516FC" w:rsidRDefault="00CA284B" w:rsidP="007516FC">
      <w:pPr>
        <w:pStyle w:val="Comment"/>
      </w:pPr>
      <w:r w:rsidRPr="007516FC">
        <w:rPr>
          <w:b/>
        </w:rPr>
        <w:t>C</w:t>
      </w:r>
      <w:r w:rsidR="007C0FDC" w:rsidRPr="007516FC">
        <w:rPr>
          <w:b/>
        </w:rPr>
        <w:t>omment:</w:t>
      </w:r>
      <w:r w:rsidRPr="007516FC">
        <w:rPr>
          <w:b/>
        </w:rPr>
        <w:t xml:space="preserve">  </w:t>
      </w:r>
      <w:r w:rsidR="007C0FDC" w:rsidRPr="007516FC">
        <w:t>The results of the secondary efficacy endpoints are generally supportive of equivalence and efficacy throughout the study.</w:t>
      </w:r>
    </w:p>
    <w:p w14:paraId="4E6D01C7" w14:textId="1E81A27E" w:rsidR="007C0FDC" w:rsidRPr="007516FC" w:rsidRDefault="007C0FDC" w:rsidP="007516FC">
      <w:pPr>
        <w:pStyle w:val="Comment"/>
        <w:ind w:firstLine="0"/>
      </w:pPr>
      <w:r w:rsidRPr="007516FC">
        <w:t>When comparing the secondary endpoint results, the treatment effect appears to be slightly lower in the ABP 501/ABP 501 group. As alluded above, the scoring systems used in psoriasis have a greater degree of subjectivity relative to scoring systems in different diseases (for example, rheumatoid arthritis, which can also be scored with radiographic evidence and biomarkers). With regard to the PASI 75 percentage at Week 16, which was one of the primary endpoints in the REVEAL trial (Menter et al., 2008), the percentage of patients reaching PASI 75 at Week 16 was higher in this study in both groups (74.4% (ABP 501) and 82.7% (adalimumab) compared to 71% (adalimumab in the REVEAL trial) and 7% (placebo in the REVEAL trial)). At Week</w:t>
      </w:r>
      <w:r w:rsidR="00CA284B">
        <w:t> </w:t>
      </w:r>
      <w:r w:rsidRPr="007516FC">
        <w:t>32, the PASI 75 proportion had increased further in all groups. But when comparing the secondary endpoint results in Week 32 with Week 50, the scores were generally better in Week 50 in groups A and B1, but slightly worse for group B2 (the adalimumab/ABP 501 single-switch group) for all variables (including PASI 75 proportion) except BSA. This is not necessarily significant, as the study population that switched only consisted of 77 subjects. But a reduction in efficacy may be related to immunogenicity associated with switching and should be further investigated in a post-market setting. Of the 308 subjects in the Re-</w:t>
      </w:r>
      <w:r w:rsidR="00CA284B" w:rsidRPr="007516FC">
        <w:t>randomi</w:t>
      </w:r>
      <w:r w:rsidR="00CA284B">
        <w:t>s</w:t>
      </w:r>
      <w:r w:rsidR="00CA284B" w:rsidRPr="007516FC">
        <w:t xml:space="preserve">ed </w:t>
      </w:r>
      <w:r w:rsidRPr="007516FC">
        <w:t>Analysis Set, 275 subjects (89.3%) completed the study. There appears to be no Per</w:t>
      </w:r>
      <w:r w:rsidR="003C70FE">
        <w:noBreakHyphen/>
      </w:r>
      <w:r w:rsidRPr="007516FC">
        <w:t>protocol Analysis Set for the study period beyond week 16 which should be supplied by the sponsor.</w:t>
      </w:r>
    </w:p>
    <w:p w14:paraId="46EA0828" w14:textId="77777777" w:rsidR="007C0FDC" w:rsidRDefault="007C0FDC" w:rsidP="007A1F37">
      <w:pPr>
        <w:pStyle w:val="Heading5"/>
      </w:pPr>
      <w:r w:rsidRPr="007A1F37">
        <w:t>Evaluator</w:t>
      </w:r>
      <w:r w:rsidRPr="00EC3AE0">
        <w:t xml:space="preserve"> </w:t>
      </w:r>
      <w:r>
        <w:t>c</w:t>
      </w:r>
      <w:r w:rsidRPr="00EC3AE0">
        <w:t>ommentary</w:t>
      </w:r>
    </w:p>
    <w:p w14:paraId="1B47D0B5" w14:textId="77777777" w:rsidR="007C0FDC" w:rsidRDefault="007C0FDC" w:rsidP="007C0FDC">
      <w:pPr>
        <w:rPr>
          <w:lang w:eastAsia="ja-JP"/>
        </w:rPr>
      </w:pPr>
      <w:bookmarkStart w:id="213" w:name="_Ref271037188"/>
      <w:bookmarkStart w:id="214" w:name="_Ref271037210"/>
      <w:bookmarkStart w:id="215" w:name="_Toc272414655"/>
      <w:bookmarkStart w:id="216" w:name="_Toc290888503"/>
      <w:bookmarkStart w:id="217" w:name="_Toc416353719"/>
      <w:bookmarkStart w:id="218" w:name="_Toc421005270"/>
      <w:bookmarkStart w:id="219" w:name="_Toc432079152"/>
      <w:bookmarkStart w:id="220" w:name="_Toc432080725"/>
      <w:bookmarkStart w:id="221" w:name="_Toc241374311"/>
      <w:bookmarkStart w:id="222" w:name="_Ref243294291"/>
      <w:r>
        <w:rPr>
          <w:lang w:eastAsia="ja-JP"/>
        </w:rPr>
        <w:t>Evaluator’s comments are provided under each subsection (where applicable) and are not repeated here.</w:t>
      </w:r>
    </w:p>
    <w:p w14:paraId="2D1E71FE" w14:textId="77777777" w:rsidR="007C0FDC" w:rsidRPr="0024448F" w:rsidRDefault="007C0FDC" w:rsidP="007A1F37">
      <w:pPr>
        <w:pStyle w:val="Heading3"/>
      </w:pPr>
      <w:bookmarkStart w:id="223" w:name="_Ref460843957"/>
      <w:bookmarkStart w:id="224" w:name="_Toc470272296"/>
      <w:bookmarkStart w:id="225" w:name="_Toc509822405"/>
      <w:r>
        <w:t xml:space="preserve">Justification for extrapolation to other indications approved for the </w:t>
      </w:r>
      <w:r w:rsidRPr="007A1F37">
        <w:t>reference</w:t>
      </w:r>
      <w:r>
        <w:t xml:space="preserve"> product</w:t>
      </w:r>
      <w:bookmarkEnd w:id="223"/>
      <w:bookmarkEnd w:id="224"/>
      <w:bookmarkEnd w:id="225"/>
    </w:p>
    <w:p w14:paraId="0407E6A2" w14:textId="77777777" w:rsidR="007C0FDC" w:rsidRDefault="007C0FDC" w:rsidP="007C0FDC">
      <w:pPr>
        <w:rPr>
          <w:lang w:eastAsia="ja-JP"/>
        </w:rPr>
      </w:pPr>
      <w:r>
        <w:rPr>
          <w:lang w:eastAsia="ja-JP"/>
        </w:rPr>
        <w:t>The sponsor has provided a 145-page document which outlines the sponsor’s scientific justification for extrapolation of i</w:t>
      </w:r>
      <w:r w:rsidRPr="0020203E">
        <w:rPr>
          <w:lang w:eastAsia="ja-JP"/>
        </w:rPr>
        <w:t>ndications</w:t>
      </w:r>
      <w:r>
        <w:rPr>
          <w:lang w:eastAsia="ja-JP"/>
        </w:rPr>
        <w:t>. It was not specifically prepared for Australia, that is, contains reference to the indication of hidradenitis suppurativa. At the time of submission, hidradenitis suppurativa was not a registered indication in the reference product Humira in Australia.</w:t>
      </w:r>
    </w:p>
    <w:p w14:paraId="3E2781A9" w14:textId="77777777" w:rsidR="007C0FDC" w:rsidRPr="00CB5E86" w:rsidRDefault="007C0FDC" w:rsidP="007C0FDC">
      <w:pPr>
        <w:rPr>
          <w:lang w:eastAsia="ja-JP"/>
        </w:rPr>
      </w:pPr>
      <w:r>
        <w:rPr>
          <w:lang w:eastAsia="ja-JP"/>
        </w:rPr>
        <w:t>The following summarises the sponsor’s justification:</w:t>
      </w:r>
    </w:p>
    <w:p w14:paraId="0CA5FBB3" w14:textId="77777777" w:rsidR="007C0FDC" w:rsidRPr="00945415" w:rsidRDefault="007C0FDC" w:rsidP="007A1F37">
      <w:pPr>
        <w:pStyle w:val="Heading4"/>
      </w:pPr>
      <w:r w:rsidRPr="007A1F37">
        <w:t>Analytical</w:t>
      </w:r>
      <w:r w:rsidRPr="00945415">
        <w:t xml:space="preserve"> similarities and mechanism of action</w:t>
      </w:r>
    </w:p>
    <w:p w14:paraId="56B5CA8F" w14:textId="6E4377B7" w:rsidR="007C0FDC" w:rsidRPr="00945415" w:rsidRDefault="007C0FDC" w:rsidP="007C0FDC">
      <w:pPr>
        <w:pStyle w:val="ListBullet"/>
        <w:numPr>
          <w:ilvl w:val="0"/>
          <w:numId w:val="1"/>
        </w:numPr>
        <w:rPr>
          <w:lang w:eastAsia="ja-JP"/>
        </w:rPr>
      </w:pPr>
      <w:r w:rsidRPr="00945415">
        <w:rPr>
          <w:lang w:eastAsia="ja-JP"/>
        </w:rPr>
        <w:t>The ABP 501 quality program demonstrated similarity with minimal analytical differences between ABP 501, adalimumab (US), and adalimumab (EU), with no clinically significant functional differences.</w:t>
      </w:r>
    </w:p>
    <w:p w14:paraId="1728A333" w14:textId="77777777" w:rsidR="007C0FDC" w:rsidRPr="00945415" w:rsidRDefault="007C0FDC" w:rsidP="007C0FDC">
      <w:pPr>
        <w:pStyle w:val="ListBullet"/>
        <w:numPr>
          <w:ilvl w:val="0"/>
          <w:numId w:val="1"/>
        </w:numPr>
        <w:rPr>
          <w:lang w:eastAsia="ja-JP"/>
        </w:rPr>
      </w:pPr>
      <w:r w:rsidRPr="00945415">
        <w:rPr>
          <w:lang w:eastAsia="ja-JP"/>
        </w:rPr>
        <w:lastRenderedPageBreak/>
        <w:t>Functional similarity was demonstrated in multiple cell types, including similarity in the potency of inhibition of chemokine production, inhibition of apoptosis and necrosis, binding to TNF-α, and sTNF-α-driven signalling.</w:t>
      </w:r>
    </w:p>
    <w:p w14:paraId="0D098770" w14:textId="77777777" w:rsidR="007C0FDC" w:rsidRPr="00945415" w:rsidRDefault="007C0FDC" w:rsidP="007C0FDC">
      <w:pPr>
        <w:pStyle w:val="ListBullet"/>
        <w:numPr>
          <w:ilvl w:val="0"/>
          <w:numId w:val="1"/>
        </w:numPr>
        <w:rPr>
          <w:lang w:eastAsia="ja-JP"/>
        </w:rPr>
      </w:pPr>
      <w:r w:rsidRPr="00945415">
        <w:rPr>
          <w:lang w:eastAsia="ja-JP"/>
        </w:rPr>
        <w:t>Similarity was shown with regard to antibody-dependent cell-mediated cytotoxicity (ADCC) and complement-dependent cytotoxicity (CDC) activities, binding to mbTNF-α and for the ability to block proliferation in a mixed lymphocyte reaction (MLR). This may be important for IBD indications.</w:t>
      </w:r>
    </w:p>
    <w:p w14:paraId="419D9819" w14:textId="77777777" w:rsidR="007C0FDC" w:rsidRPr="00945415" w:rsidRDefault="007C0FDC" w:rsidP="007A1F37">
      <w:pPr>
        <w:pStyle w:val="Heading4"/>
      </w:pPr>
      <w:r w:rsidRPr="00945415">
        <w:t xml:space="preserve">PK </w:t>
      </w:r>
      <w:r w:rsidRPr="007A1F37">
        <w:t>similarities</w:t>
      </w:r>
    </w:p>
    <w:p w14:paraId="55E0CAB3" w14:textId="77777777" w:rsidR="007C0FDC" w:rsidRPr="00945415" w:rsidRDefault="007C0FDC" w:rsidP="007C0FDC">
      <w:pPr>
        <w:pStyle w:val="ListBullet"/>
        <w:numPr>
          <w:ilvl w:val="0"/>
          <w:numId w:val="1"/>
        </w:numPr>
        <w:rPr>
          <w:lang w:eastAsia="ja-JP"/>
        </w:rPr>
      </w:pPr>
      <w:r w:rsidRPr="00945415">
        <w:rPr>
          <w:lang w:eastAsia="ja-JP"/>
        </w:rPr>
        <w:t>Pharmacokinetic similarity of ABP 501 to adalimumab was shown in healthy subjects. Trough PK levels evaluated in the two clinical efficacy studies were also similar between treatment groups. Of the covariates investigated for impact in PK, only the presence of ADAs was clinically significant.</w:t>
      </w:r>
    </w:p>
    <w:p w14:paraId="2BCD2A24" w14:textId="77777777" w:rsidR="007C0FDC" w:rsidRPr="00945415" w:rsidRDefault="007C0FDC" w:rsidP="007A1F37">
      <w:pPr>
        <w:pStyle w:val="Heading4"/>
      </w:pPr>
      <w:r w:rsidRPr="00945415">
        <w:t xml:space="preserve">Efficacy </w:t>
      </w:r>
      <w:r w:rsidRPr="007A1F37">
        <w:t>similarities</w:t>
      </w:r>
    </w:p>
    <w:p w14:paraId="78D67D3E" w14:textId="77777777" w:rsidR="007C0FDC" w:rsidRPr="00945415" w:rsidRDefault="007C0FDC" w:rsidP="007C0FDC">
      <w:pPr>
        <w:pStyle w:val="ListBullet"/>
        <w:numPr>
          <w:ilvl w:val="0"/>
          <w:numId w:val="1"/>
        </w:numPr>
        <w:rPr>
          <w:lang w:eastAsia="ja-JP"/>
        </w:rPr>
      </w:pPr>
      <w:r w:rsidRPr="00945415">
        <w:rPr>
          <w:lang w:eastAsia="ja-JP"/>
        </w:rPr>
        <w:t>Studies 20120262 (RA patients with concomitant immunosuppressive therapy) and 20120263 (psoriasis patients; younger with fewer co-morbidities) covered a wide range of individuals and demonstrated clinical equivalence. Given that the efficacy of ABP 501 and adalimumab was found to be similar in the respective studies conducted in RA and Ps, similar achievement of efficacy for ABP 501 and adalimumab would also be expected in other indications for which licensure is sought.</w:t>
      </w:r>
    </w:p>
    <w:p w14:paraId="578FAF61" w14:textId="77777777" w:rsidR="007C0FDC" w:rsidRPr="00945415" w:rsidRDefault="007C0FDC" w:rsidP="007A1F37">
      <w:pPr>
        <w:pStyle w:val="ListBullet"/>
        <w:rPr>
          <w:lang w:eastAsia="ja-JP"/>
        </w:rPr>
      </w:pPr>
      <w:r w:rsidRPr="00945415">
        <w:rPr>
          <w:lang w:eastAsia="ja-JP"/>
        </w:rPr>
        <w:t xml:space="preserve">In Study 20120262, the primary efficacy endpoint, 20% improvement in American College of Rheumatology (ACR) core set measurements (ACR20) </w:t>
      </w:r>
      <w:r>
        <w:rPr>
          <w:lang w:eastAsia="ja-JP"/>
        </w:rPr>
        <w:t>at Week 2</w:t>
      </w:r>
      <w:r w:rsidRPr="00945415">
        <w:rPr>
          <w:lang w:eastAsia="ja-JP"/>
        </w:rPr>
        <w:t>4, was selected for its sensitive nature and durability, and its history of use in all regulatory assessments for approval of adalimumab.</w:t>
      </w:r>
    </w:p>
    <w:p w14:paraId="3E47FFD2" w14:textId="77777777" w:rsidR="007C0FDC" w:rsidRPr="00945415" w:rsidRDefault="007C0FDC" w:rsidP="007C0FDC">
      <w:pPr>
        <w:pStyle w:val="ListBullet"/>
        <w:numPr>
          <w:ilvl w:val="0"/>
          <w:numId w:val="1"/>
        </w:numPr>
        <w:rPr>
          <w:lang w:eastAsia="ja-JP"/>
        </w:rPr>
      </w:pPr>
      <w:r w:rsidRPr="00945415">
        <w:rPr>
          <w:lang w:eastAsia="ja-JP"/>
        </w:rPr>
        <w:t>Study 20120263 in subjects with moderate to severe Ps is considered appropriate to demonstrate similar efficacy of ABP 501 to that of adalimumab based on the large treatment effect and the sensitivity of the clinical assessment of PASI endpoints. Additionally, the Ps patient population tends to be young with few comorbidities and without concomitant immunosuppressive therapy. Thus, it is considered to be sensitive for the purpose of demonstrating no clinically meaningful differences between products.</w:t>
      </w:r>
    </w:p>
    <w:p w14:paraId="6B2DDE1F" w14:textId="77777777" w:rsidR="007C0FDC" w:rsidRPr="00945415" w:rsidRDefault="007C0FDC" w:rsidP="007516FC">
      <w:pPr>
        <w:pStyle w:val="Heading4"/>
      </w:pPr>
      <w:r w:rsidRPr="00945415">
        <w:t>Dosing considerations</w:t>
      </w:r>
    </w:p>
    <w:p w14:paraId="59AF4C5D" w14:textId="77777777" w:rsidR="007C0FDC" w:rsidRPr="00945415" w:rsidRDefault="007C0FDC" w:rsidP="007C0FDC">
      <w:pPr>
        <w:pStyle w:val="ListBullet"/>
        <w:numPr>
          <w:ilvl w:val="0"/>
          <w:numId w:val="1"/>
        </w:numPr>
        <w:rPr>
          <w:lang w:eastAsia="ja-JP"/>
        </w:rPr>
      </w:pPr>
      <w:r w:rsidRPr="00945415">
        <w:rPr>
          <w:lang w:eastAsia="ja-JP"/>
        </w:rPr>
        <w:t>The dosing regimens across the adult indications in arthritides are identical and adalimumab may be administered as monotherapy or with concomitant medications.</w:t>
      </w:r>
    </w:p>
    <w:p w14:paraId="3511646D" w14:textId="77777777" w:rsidR="007C0FDC" w:rsidRPr="00945415" w:rsidRDefault="007C0FDC" w:rsidP="007C0FDC">
      <w:pPr>
        <w:pStyle w:val="ListBullet"/>
        <w:numPr>
          <w:ilvl w:val="0"/>
          <w:numId w:val="1"/>
        </w:numPr>
        <w:rPr>
          <w:lang w:eastAsia="ja-JP"/>
        </w:rPr>
      </w:pPr>
      <w:r w:rsidRPr="00945415">
        <w:rPr>
          <w:lang w:eastAsia="ja-JP"/>
        </w:rPr>
        <w:t>The clinical efficacy study in psoriasis patients used a similar dosing regimen (80 mg loading dose) to the regimen in Crohn’s disease (CD), ulcerative colitis (UC), and HS.</w:t>
      </w:r>
    </w:p>
    <w:p w14:paraId="77467EDD" w14:textId="77777777" w:rsidR="007C0FDC" w:rsidRPr="00945415" w:rsidRDefault="007C0FDC" w:rsidP="007516FC">
      <w:pPr>
        <w:pStyle w:val="Heading4"/>
      </w:pPr>
      <w:r w:rsidRPr="00945415">
        <w:t>Safety similarities</w:t>
      </w:r>
    </w:p>
    <w:p w14:paraId="667DD93F" w14:textId="77777777" w:rsidR="007C0FDC" w:rsidRPr="00945415" w:rsidRDefault="007C0FDC" w:rsidP="007C0FDC">
      <w:pPr>
        <w:pStyle w:val="ListBullet"/>
        <w:numPr>
          <w:ilvl w:val="0"/>
          <w:numId w:val="1"/>
        </w:numPr>
        <w:rPr>
          <w:lang w:eastAsia="ja-JP"/>
        </w:rPr>
      </w:pPr>
      <w:r w:rsidRPr="00945415">
        <w:rPr>
          <w:lang w:eastAsia="ja-JP"/>
        </w:rPr>
        <w:t>There were no clinically meaningful differences in toxicities between treatment groups in either of the clinical efficacy studies. The size of the safety database and the duration of exposure from the 2 clinical studies in therapeutic indications are adequate to inform the toxicities associated with ABP 501 for all indications of use.</w:t>
      </w:r>
    </w:p>
    <w:p w14:paraId="0504348F" w14:textId="77777777" w:rsidR="007C0FDC" w:rsidRPr="00945415" w:rsidRDefault="007C0FDC" w:rsidP="007C0FDC">
      <w:pPr>
        <w:pStyle w:val="ListBullet"/>
        <w:numPr>
          <w:ilvl w:val="0"/>
          <w:numId w:val="1"/>
        </w:numPr>
        <w:rPr>
          <w:lang w:eastAsia="ja-JP"/>
        </w:rPr>
      </w:pPr>
      <w:r w:rsidRPr="00945415">
        <w:rPr>
          <w:lang w:eastAsia="ja-JP"/>
        </w:rPr>
        <w:t>The adverse events of interest from both clinical efficacy studies were similar to the adverse events described published literature for adalimumab.</w:t>
      </w:r>
    </w:p>
    <w:p w14:paraId="0D61104B" w14:textId="77777777" w:rsidR="007C0FDC" w:rsidRPr="00945415" w:rsidRDefault="007C0FDC" w:rsidP="007C0FDC">
      <w:pPr>
        <w:pStyle w:val="ListBullet"/>
        <w:numPr>
          <w:ilvl w:val="0"/>
          <w:numId w:val="1"/>
        </w:numPr>
        <w:rPr>
          <w:lang w:eastAsia="ja-JP"/>
        </w:rPr>
      </w:pPr>
      <w:r w:rsidRPr="00945415">
        <w:rPr>
          <w:lang w:eastAsia="ja-JP"/>
        </w:rPr>
        <w:t>In summary, the safety profiles of ABP 501 and adalimumab were found to be similar in the respective studies in the RA and Ps populations as well as in healthy subjects, and are further expected to be similar in all proposed indications of use for which licensure is sought.</w:t>
      </w:r>
    </w:p>
    <w:p w14:paraId="5FBAC584" w14:textId="77777777" w:rsidR="007C0FDC" w:rsidRPr="00945415" w:rsidRDefault="007C0FDC" w:rsidP="007516FC">
      <w:pPr>
        <w:pStyle w:val="Heading4"/>
      </w:pPr>
      <w:r w:rsidRPr="00945415">
        <w:lastRenderedPageBreak/>
        <w:t>Immunogenicity</w:t>
      </w:r>
    </w:p>
    <w:p w14:paraId="1B38429B" w14:textId="04B91E9B" w:rsidR="007C0FDC" w:rsidRPr="00945415" w:rsidRDefault="007C0FDC" w:rsidP="007C0FDC">
      <w:pPr>
        <w:pStyle w:val="ListBullet"/>
        <w:numPr>
          <w:ilvl w:val="0"/>
          <w:numId w:val="1"/>
        </w:numPr>
        <w:rPr>
          <w:lang w:eastAsia="ja-JP"/>
        </w:rPr>
      </w:pPr>
      <w:r w:rsidRPr="00945415">
        <w:rPr>
          <w:lang w:eastAsia="ja-JP"/>
        </w:rPr>
        <w:t xml:space="preserve">The rate of ADA development against adalimumab was generally similar across conditions of use, taking into consideration concomitant MTX use, when compared using the same method. The 2 clinical studies provided a population (RA) with concomitant immunosuppressant therapy (MTX) and a population without concomitant immunosuppressant therapy (Ps). The incidence of developing binding and neutralizing ADAs was similar between the ABP 501 and adalimumab arms in the respective studies. No meaningful differences in the incidence of developing binding and neutralizing ADAs between subjects who underwent a single transition from adalimumab to ABP 501 in Study 20120263, and those who remained on their initial </w:t>
      </w:r>
      <w:r w:rsidR="009B0FB8">
        <w:rPr>
          <w:lang w:eastAsia="ja-JP"/>
        </w:rPr>
        <w:t>randomised</w:t>
      </w:r>
      <w:r w:rsidRPr="00945415">
        <w:rPr>
          <w:lang w:eastAsia="ja-JP"/>
        </w:rPr>
        <w:t xml:space="preserve"> treatment, demonstrates that a single transition from adalimumab to ABP 501 does not pose an</w:t>
      </w:r>
      <w:r w:rsidR="007A1F37">
        <w:rPr>
          <w:lang w:eastAsia="ja-JP"/>
        </w:rPr>
        <w:t xml:space="preserve"> increased immunogenicity risk.</w:t>
      </w:r>
    </w:p>
    <w:p w14:paraId="585FEC21" w14:textId="77777777" w:rsidR="007C0FDC" w:rsidRPr="00945415" w:rsidRDefault="007C0FDC" w:rsidP="007516FC">
      <w:pPr>
        <w:pStyle w:val="Heading4"/>
      </w:pPr>
      <w:r w:rsidRPr="00945415">
        <w:t>Summary</w:t>
      </w:r>
    </w:p>
    <w:p w14:paraId="72F29430" w14:textId="77777777" w:rsidR="007C0FDC" w:rsidRDefault="007C0FDC" w:rsidP="007C0FDC">
      <w:pPr>
        <w:pStyle w:val="ListBullet"/>
        <w:numPr>
          <w:ilvl w:val="0"/>
          <w:numId w:val="1"/>
        </w:numPr>
        <w:rPr>
          <w:lang w:eastAsia="ja-JP"/>
        </w:rPr>
      </w:pPr>
      <w:r w:rsidRPr="00945415">
        <w:rPr>
          <w:lang w:eastAsia="ja-JP"/>
        </w:rPr>
        <w:t>In summary, the ABP 501 studies in subjects with RA or Ps included sensitive and appropriate populations for the demonstration of similarity in efficacy. Also, the clinical endpoints and the timing of the assessment of those endpoints were appropriate to detect clinically meaningful differences between ABP 501 and adalimumab if such differences exist. No clinically meaningful differences in efficacy were demonstrated between ABP 501 and adalimumab in either study in therapeutic indications. Therefore, these studies provide supporting evidence regarding efficacy to justify extrapolation across all indications of use.</w:t>
      </w:r>
    </w:p>
    <w:p w14:paraId="3316F65D" w14:textId="2A6A5C89" w:rsidR="007C0FDC" w:rsidRPr="007516FC" w:rsidRDefault="003C70FE" w:rsidP="007516FC">
      <w:pPr>
        <w:pStyle w:val="Comment"/>
      </w:pPr>
      <w:r w:rsidRPr="007516FC">
        <w:rPr>
          <w:b/>
        </w:rPr>
        <w:t xml:space="preserve">Comment:  </w:t>
      </w:r>
      <w:r w:rsidR="007C0FDC" w:rsidRPr="007516FC">
        <w:t>The sponsor has chosen two appropriate clinical study populations (indications) to enable extrapolation to the other approved indications of the reference product. For extrapolation purposes, the factors to be considered for choosing appropriate indications to investigate the biosimilar candidate include:</w:t>
      </w:r>
    </w:p>
    <w:p w14:paraId="12F61412" w14:textId="77777777" w:rsidR="007C0FDC" w:rsidRPr="007516FC" w:rsidRDefault="007C0FDC" w:rsidP="00F7667F">
      <w:pPr>
        <w:pStyle w:val="ListBullet"/>
        <w:ind w:left="1560"/>
      </w:pPr>
      <w:r w:rsidRPr="007516FC">
        <w:t>The expected/historical placebo-adjusted response rate in a particular indication under investigation</w:t>
      </w:r>
    </w:p>
    <w:p w14:paraId="056CB88E" w14:textId="77777777" w:rsidR="007C0FDC" w:rsidRPr="007516FC" w:rsidRDefault="007C0FDC" w:rsidP="00F7667F">
      <w:pPr>
        <w:pStyle w:val="ListBullet"/>
        <w:ind w:left="1560"/>
      </w:pPr>
      <w:r w:rsidRPr="007516FC">
        <w:t>A valid clinical model for this class of drug</w:t>
      </w:r>
    </w:p>
    <w:p w14:paraId="36F0D409" w14:textId="77777777" w:rsidR="007C0FDC" w:rsidRPr="007516FC" w:rsidRDefault="007C0FDC" w:rsidP="00F7667F">
      <w:pPr>
        <w:pStyle w:val="ListBullet"/>
        <w:ind w:left="1560"/>
      </w:pPr>
      <w:r w:rsidRPr="007516FC">
        <w:t>An identical (or at least highly similar) dosing regimen</w:t>
      </w:r>
    </w:p>
    <w:p w14:paraId="50033CCD" w14:textId="77777777" w:rsidR="007C0FDC" w:rsidRPr="007516FC" w:rsidRDefault="007C0FDC" w:rsidP="00F7667F">
      <w:pPr>
        <w:pStyle w:val="ListBullet"/>
        <w:ind w:left="1560"/>
      </w:pPr>
      <w:r w:rsidRPr="007516FC">
        <w:t>An identical (or at least highly similar) mechanism of action</w:t>
      </w:r>
    </w:p>
    <w:p w14:paraId="27407504" w14:textId="4D6CCBE2" w:rsidR="007C0FDC" w:rsidRPr="007516FC" w:rsidRDefault="007C0FDC" w:rsidP="00F7667F">
      <w:pPr>
        <w:pStyle w:val="ListBullet"/>
        <w:ind w:left="1560"/>
      </w:pPr>
      <w:r w:rsidRPr="007516FC">
        <w:t>A population that is sufficiently sensitive to immunogenicity</w:t>
      </w:r>
    </w:p>
    <w:p w14:paraId="6ED5ED8C" w14:textId="45B21D86" w:rsidR="007C0FDC" w:rsidRPr="007516FC" w:rsidRDefault="007C0FDC" w:rsidP="00F7667F">
      <w:pPr>
        <w:pStyle w:val="ListBullet"/>
        <w:ind w:left="1560"/>
      </w:pPr>
      <w:r w:rsidRPr="007516FC">
        <w:t>Generalisability (external validity) of the study sample with regard to relevant populations (including paediatric populations)</w:t>
      </w:r>
      <w:r w:rsidR="003C70FE">
        <w:t>.</w:t>
      </w:r>
    </w:p>
    <w:p w14:paraId="2006FE8F" w14:textId="77777777" w:rsidR="001A41D9" w:rsidRPr="007516FC" w:rsidRDefault="007C0FDC" w:rsidP="007516FC">
      <w:pPr>
        <w:pStyle w:val="Comment"/>
        <w:ind w:hanging="54"/>
      </w:pPr>
      <w:r w:rsidRPr="007516FC">
        <w:t>The highest placebo-adjusted response rate (that is, the best signal-to noise ratio) should be used to detect differences between treatments (Lee, 2014). Even though the rheumatoid arthritis population appears to be the main population for adalimumab, its signal-to noise ratio is inferior to the relatively high ratio in a psoriasis study population. Despite its potentially lower signal-to noise ratio and concomitant immunomodulator (methotrexate) administration, the RA study is still considered a valid model for testing TNF-α antagonists and sufficiently robust and relevant to patients with other arthritides. The psoriasis study provided a better signal-to noise ratio and also a population more sensitive to immunogenicity making it better for extrapolation, and especially to extrap</w:t>
      </w:r>
      <w:r w:rsidR="001A41D9" w:rsidRPr="007516FC">
        <w:t>olation to IBD in that regard.</w:t>
      </w:r>
    </w:p>
    <w:p w14:paraId="4760809A" w14:textId="61D68E51" w:rsidR="001A41D9" w:rsidRPr="007516FC" w:rsidRDefault="007C0FDC" w:rsidP="007516FC">
      <w:pPr>
        <w:pStyle w:val="Comment"/>
        <w:ind w:hanging="54"/>
      </w:pPr>
      <w:r w:rsidRPr="007516FC">
        <w:t>The dosing regimen is very similar for all approved reference product adult indications. However, no paediatric population was investigated. Malignancies (in particular lymphoma) have been associated with children and adolescents treated with TNF-α antagonists, including adalimumab. This is currently outlined in the reference product information.</w:t>
      </w:r>
    </w:p>
    <w:p w14:paraId="5C3266D1" w14:textId="7F1EA4DF" w:rsidR="001A41D9" w:rsidRPr="007516FC" w:rsidRDefault="007C0FDC" w:rsidP="007516FC">
      <w:pPr>
        <w:pStyle w:val="Comment"/>
        <w:ind w:hanging="54"/>
      </w:pPr>
      <w:r w:rsidRPr="007516FC">
        <w:lastRenderedPageBreak/>
        <w:t>Other areas of TGA may provide advice on similarity of potentially relevant functions in vitro (in particular in vitro comparison of receptor binding). The IBD indications may differ with regard to mechanism of action: the arthritis and psoriasis indications use the Fab region, whereas the Fc region may have a greater role in the IBD indications.</w:t>
      </w:r>
    </w:p>
    <w:p w14:paraId="149F35B9" w14:textId="77777777" w:rsidR="007C0FDC" w:rsidRPr="007516FC" w:rsidRDefault="007C0FDC" w:rsidP="007516FC">
      <w:pPr>
        <w:pStyle w:val="Comment"/>
        <w:ind w:hanging="54"/>
      </w:pPr>
      <w:r w:rsidRPr="007516FC">
        <w:t>In summary, consideration of each of the studies on their own would have made it difficult to support extrapolation to all other indications. Overall, taking into account the two clinical equivalence studies and the PK study, extrapolation to all currently approved indications of the reference product is supported from a clinical evaluation point of view. However, safety concerns remain that require appropriate monitoring in the post-authorisation phase (especially regarding immunogenicity (in particular in IBD), and paediatric indications).</w:t>
      </w:r>
    </w:p>
    <w:p w14:paraId="3ADCACDC" w14:textId="77777777" w:rsidR="007C0FDC" w:rsidRDefault="007C0FDC" w:rsidP="00930785">
      <w:pPr>
        <w:pStyle w:val="Heading3"/>
      </w:pPr>
      <w:bookmarkStart w:id="226" w:name="_Toc470272297"/>
      <w:bookmarkStart w:id="227" w:name="_Toc509822406"/>
      <w:r w:rsidRPr="00300796">
        <w:t xml:space="preserve">Other </w:t>
      </w:r>
      <w:r w:rsidRPr="00930785">
        <w:t>efficacy</w:t>
      </w:r>
      <w:r w:rsidRPr="00300796">
        <w:t xml:space="preserve"> studies</w:t>
      </w:r>
      <w:bookmarkEnd w:id="213"/>
      <w:bookmarkEnd w:id="214"/>
      <w:bookmarkEnd w:id="215"/>
      <w:bookmarkEnd w:id="216"/>
      <w:bookmarkEnd w:id="217"/>
      <w:bookmarkEnd w:id="218"/>
      <w:bookmarkEnd w:id="219"/>
      <w:bookmarkEnd w:id="220"/>
      <w:bookmarkEnd w:id="226"/>
      <w:bookmarkEnd w:id="227"/>
    </w:p>
    <w:p w14:paraId="3EE045AB" w14:textId="77777777" w:rsidR="007C0FDC" w:rsidRDefault="007C0FDC" w:rsidP="007C0FDC">
      <w:pPr>
        <w:rPr>
          <w:lang w:eastAsia="ja-JP"/>
        </w:rPr>
      </w:pPr>
      <w:bookmarkStart w:id="228" w:name="_Toc241374312"/>
      <w:bookmarkStart w:id="229" w:name="_Toc272414656"/>
      <w:bookmarkStart w:id="230" w:name="_Toc290888507"/>
      <w:bookmarkStart w:id="231" w:name="_Toc416353723"/>
      <w:bookmarkStart w:id="232" w:name="_Toc421005271"/>
      <w:bookmarkStart w:id="233" w:name="_Toc432079153"/>
      <w:bookmarkStart w:id="234" w:name="_Toc432080726"/>
      <w:bookmarkEnd w:id="221"/>
      <w:bookmarkEnd w:id="222"/>
      <w:r>
        <w:rPr>
          <w:lang w:eastAsia="ja-JP"/>
        </w:rPr>
        <w:t>Not applicable.</w:t>
      </w:r>
    </w:p>
    <w:p w14:paraId="3CDD917B" w14:textId="77777777" w:rsidR="007C0FDC" w:rsidRPr="005632DC" w:rsidRDefault="007C0FDC" w:rsidP="00930785">
      <w:pPr>
        <w:pStyle w:val="Heading3"/>
      </w:pPr>
      <w:bookmarkStart w:id="235" w:name="_Toc470272298"/>
      <w:bookmarkStart w:id="236" w:name="_Toc509822407"/>
      <w:r w:rsidRPr="00930785">
        <w:t>Analyses</w:t>
      </w:r>
      <w:r w:rsidRPr="005632DC">
        <w:t xml:space="preserve"> performed</w:t>
      </w:r>
      <w:r>
        <w:t xml:space="preserve"> across trials: pooled and </w:t>
      </w:r>
      <w:proofErr w:type="gramStart"/>
      <w:r>
        <w:t>meta</w:t>
      </w:r>
      <w:proofErr w:type="gramEnd"/>
      <w:r>
        <w:t xml:space="preserve"> </w:t>
      </w:r>
      <w:r w:rsidRPr="005632DC">
        <w:t>analyses</w:t>
      </w:r>
      <w:bookmarkEnd w:id="228"/>
      <w:bookmarkEnd w:id="229"/>
      <w:bookmarkEnd w:id="230"/>
      <w:bookmarkEnd w:id="231"/>
      <w:bookmarkEnd w:id="232"/>
      <w:bookmarkEnd w:id="233"/>
      <w:bookmarkEnd w:id="234"/>
      <w:bookmarkEnd w:id="235"/>
      <w:bookmarkEnd w:id="236"/>
    </w:p>
    <w:p w14:paraId="1B22E5CA" w14:textId="77777777" w:rsidR="007C0FDC" w:rsidRDefault="007C0FDC" w:rsidP="007C0FDC">
      <w:pPr>
        <w:rPr>
          <w:lang w:eastAsia="ja-JP"/>
        </w:rPr>
      </w:pPr>
      <w:bookmarkStart w:id="237" w:name="_Ref271126605"/>
      <w:bookmarkStart w:id="238" w:name="_Toc272414657"/>
      <w:bookmarkStart w:id="239" w:name="_Toc290888508"/>
      <w:bookmarkStart w:id="240" w:name="_Toc416353724"/>
      <w:bookmarkStart w:id="241" w:name="_Toc421005272"/>
      <w:bookmarkStart w:id="242" w:name="_Toc432079154"/>
      <w:bookmarkStart w:id="243" w:name="_Toc432080727"/>
      <w:r>
        <w:rPr>
          <w:lang w:eastAsia="ja-JP"/>
        </w:rPr>
        <w:t>Not applicable.</w:t>
      </w:r>
    </w:p>
    <w:p w14:paraId="24D64283" w14:textId="77777777" w:rsidR="007C0FDC" w:rsidRPr="005632DC" w:rsidRDefault="007C0FDC" w:rsidP="00930785">
      <w:pPr>
        <w:pStyle w:val="Heading3"/>
      </w:pPr>
      <w:bookmarkStart w:id="244" w:name="_Toc470272299"/>
      <w:bookmarkStart w:id="245" w:name="_Toc509822408"/>
      <w:r w:rsidRPr="00930785">
        <w:t>Evaluator’s</w:t>
      </w:r>
      <w:r w:rsidRPr="005632DC">
        <w:t xml:space="preserve"> conclusions on clinical efficacy</w:t>
      </w:r>
      <w:bookmarkEnd w:id="237"/>
      <w:bookmarkEnd w:id="238"/>
      <w:bookmarkEnd w:id="239"/>
      <w:bookmarkEnd w:id="240"/>
      <w:bookmarkEnd w:id="241"/>
      <w:bookmarkEnd w:id="242"/>
      <w:bookmarkEnd w:id="243"/>
      <w:bookmarkEnd w:id="244"/>
      <w:bookmarkEnd w:id="245"/>
    </w:p>
    <w:p w14:paraId="4AC2640C" w14:textId="77777777" w:rsidR="007C0FDC" w:rsidRDefault="007C0FDC" w:rsidP="007C0FDC">
      <w:pPr>
        <w:rPr>
          <w:lang w:eastAsia="ja-JP"/>
        </w:rPr>
      </w:pPr>
      <w:r>
        <w:rPr>
          <w:lang w:eastAsia="ja-JP"/>
        </w:rPr>
        <w:t>There is sufficient evidence to support clinical efficacy of ABP 501 in rheumatoid arthritis and psoriasis and also biosimilarity of ABP 501 to the reference product adalimumab (Humira).</w:t>
      </w:r>
    </w:p>
    <w:p w14:paraId="1E84ECA4" w14:textId="77777777" w:rsidR="007C0FDC" w:rsidRDefault="007C0FDC" w:rsidP="007C0FDC">
      <w:pPr>
        <w:rPr>
          <w:lang w:eastAsia="ja-JP"/>
        </w:rPr>
      </w:pPr>
      <w:r>
        <w:rPr>
          <w:lang w:eastAsia="ja-JP"/>
        </w:rPr>
        <w:t>The sponsor has not nominated one of the provided clinical equivalence studies as the pivotal or main study.</w:t>
      </w:r>
    </w:p>
    <w:p w14:paraId="6C76FF9B" w14:textId="5633F62C" w:rsidR="007C0FDC" w:rsidRDefault="007C0FDC" w:rsidP="007C0FDC">
      <w:pPr>
        <w:rPr>
          <w:lang w:eastAsia="ja-JP"/>
        </w:rPr>
      </w:pPr>
      <w:r>
        <w:rPr>
          <w:lang w:eastAsia="ja-JP"/>
        </w:rPr>
        <w:t>Study 20120262 (RA patients) was the shorter study (26 weeks), but rheumatoid arthritis is arguably the more significant indication for adalimumab. Furthermore, the study population was larger (N</w:t>
      </w:r>
      <w:r w:rsidR="005B6947">
        <w:rPr>
          <w:lang w:eastAsia="ja-JP"/>
        </w:rPr>
        <w:t xml:space="preserve"> </w:t>
      </w:r>
      <w:r>
        <w:rPr>
          <w:lang w:eastAsia="ja-JP"/>
        </w:rPr>
        <w:t>=</w:t>
      </w:r>
      <w:r w:rsidR="005B6947">
        <w:rPr>
          <w:lang w:eastAsia="ja-JP"/>
        </w:rPr>
        <w:t xml:space="preserve"> </w:t>
      </w:r>
      <w:r>
        <w:rPr>
          <w:lang w:eastAsia="ja-JP"/>
        </w:rPr>
        <w:t xml:space="preserve">526, compared to N=350 in the psoriasis study) and older with more co-morbidities. Most other trials of TNF-α antagonist biosimilars used rheumatoid arthritis as their main study indication (Lai </w:t>
      </w:r>
      <w:r w:rsidR="005B6947">
        <w:rPr>
          <w:lang w:eastAsia="ja-JP"/>
        </w:rPr>
        <w:t xml:space="preserve">and </w:t>
      </w:r>
      <w:r>
        <w:rPr>
          <w:lang w:eastAsia="ja-JP"/>
        </w:rPr>
        <w:t>La Noce, 2016).</w:t>
      </w:r>
    </w:p>
    <w:p w14:paraId="2C38C7B5" w14:textId="77777777" w:rsidR="007C0FDC" w:rsidRDefault="007C0FDC" w:rsidP="007C0FDC">
      <w:pPr>
        <w:rPr>
          <w:lang w:eastAsia="ja-JP"/>
        </w:rPr>
      </w:pPr>
      <w:r>
        <w:rPr>
          <w:lang w:eastAsia="ja-JP"/>
        </w:rPr>
        <w:t>The investigation of medicines for rheumatoid arthritis has a better choice of endpoints: the ACR score, for example, is highly validated and is also a composite endpoint. Additionally, biomarkers and radiographic evidence can be used for rheumatoid arthritis. The RA study used a highly validated ACR endpoint.</w:t>
      </w:r>
    </w:p>
    <w:p w14:paraId="195241E6" w14:textId="77777777" w:rsidR="007C0FDC" w:rsidRDefault="007C0FDC" w:rsidP="007C0FDC">
      <w:pPr>
        <w:rPr>
          <w:lang w:eastAsia="ja-JP"/>
        </w:rPr>
      </w:pPr>
      <w:r>
        <w:rPr>
          <w:lang w:eastAsia="ja-JP"/>
        </w:rPr>
        <w:t>The main limitations of the provided RA study are the shorter study period (that is, no longer term data up to 52 weeks), the wider pre-determined equivalence margin (0.738, 1/0.738), and the concomitant immunomodulator (methotrexate) administration at variable (but stable) doses. Methotrexate had the potential to reduce the occurrence of immunogenicity and to mask the difference in treatment effect between groups. However, the study has an open-label extension up to 72 weeks which should be followed up as a post-authorisation efficacy study. Furthermore, even though the equivalence margin was wider, the main study results (using 95% CI) were also met when the recommended margin of ±15% was applied.</w:t>
      </w:r>
    </w:p>
    <w:p w14:paraId="03B6D18D" w14:textId="77777777" w:rsidR="007C0FDC" w:rsidRDefault="007C0FDC" w:rsidP="007C0FDC">
      <w:pPr>
        <w:rPr>
          <w:lang w:eastAsia="ja-JP"/>
        </w:rPr>
      </w:pPr>
      <w:r>
        <w:rPr>
          <w:lang w:eastAsia="ja-JP"/>
        </w:rPr>
        <w:t>Study 20120263 (psoriasis</w:t>
      </w:r>
      <w:r w:rsidRPr="000F626D">
        <w:rPr>
          <w:lang w:eastAsia="ja-JP"/>
        </w:rPr>
        <w:t xml:space="preserve"> patients) was the </w:t>
      </w:r>
      <w:r>
        <w:rPr>
          <w:lang w:eastAsia="ja-JP"/>
        </w:rPr>
        <w:t>longer</w:t>
      </w:r>
      <w:r w:rsidRPr="000F626D">
        <w:rPr>
          <w:lang w:eastAsia="ja-JP"/>
        </w:rPr>
        <w:t xml:space="preserve"> study</w:t>
      </w:r>
      <w:r>
        <w:rPr>
          <w:lang w:eastAsia="ja-JP"/>
        </w:rPr>
        <w:t xml:space="preserve"> (48 weeks with follow-up until 52 weeks)</w:t>
      </w:r>
      <w:r w:rsidRPr="000F626D">
        <w:rPr>
          <w:lang w:eastAsia="ja-JP"/>
        </w:rPr>
        <w:t xml:space="preserve">, </w:t>
      </w:r>
      <w:r>
        <w:rPr>
          <w:lang w:eastAsia="ja-JP"/>
        </w:rPr>
        <w:t>but had fewer participants compared to the RA study. Psoriasis patients are younger with fewer co-morbidities when compared to RA patients. Even though the psoriasis study had a longer duration, the primary endpoint was set at Week 16 compared to Week 24 in the RA study. No per-protocol analysis results were supplied for the study period post Week 16.</w:t>
      </w:r>
    </w:p>
    <w:p w14:paraId="1791BC28" w14:textId="77777777" w:rsidR="007C0FDC" w:rsidRDefault="007C0FDC" w:rsidP="007C0FDC">
      <w:pPr>
        <w:rPr>
          <w:lang w:eastAsia="ja-JP"/>
        </w:rPr>
      </w:pPr>
      <w:r>
        <w:rPr>
          <w:lang w:eastAsia="ja-JP"/>
        </w:rPr>
        <w:lastRenderedPageBreak/>
        <w:t>The psoriasis assessment tools are often considered a limitation of clinical trials in psoriasis patients. Psoriasis assessments appear to be more subjective with clinicians often overestimating body surface area affected. The patient experience of severity is also rather subjective.</w:t>
      </w:r>
    </w:p>
    <w:p w14:paraId="4CEC0B45" w14:textId="77777777" w:rsidR="007C0FDC" w:rsidRDefault="007C0FDC" w:rsidP="007C0FDC">
      <w:pPr>
        <w:rPr>
          <w:lang w:eastAsia="ja-JP"/>
        </w:rPr>
      </w:pPr>
      <w:r>
        <w:rPr>
          <w:lang w:eastAsia="ja-JP"/>
        </w:rPr>
        <w:t xml:space="preserve">The PASI is still considered the gold standard and widely used in psoriasis clinical trials, including the reference product pivotal REVEAL trial. The PASI’s disadvantages are that the upper end of the scale is rarely used (the highest score in Study 20120263 was 61.8/72), and may have low response distribution and no consensus on interpretability, whereas sPGA may not necessarily discriminate small change and may not have a robust range (Feldman &amp; Kruger, 2005; Spuls </w:t>
      </w:r>
      <w:r w:rsidRPr="008227D5">
        <w:rPr>
          <w:i/>
          <w:lang w:eastAsia="ja-JP"/>
        </w:rPr>
        <w:t>et al</w:t>
      </w:r>
      <w:r>
        <w:rPr>
          <w:lang w:eastAsia="ja-JP"/>
        </w:rPr>
        <w:t>., 2010). In the relevant EU guideline (CHMP/EWP/2454/02 corr), a combination of endpoint measures is recommended (for example, PASI and sPGA or PASI and</w:t>
      </w:r>
      <w:r w:rsidRPr="003877A1">
        <w:rPr>
          <w:lang w:eastAsia="ja-JP"/>
        </w:rPr>
        <w:t xml:space="preserve"> </w:t>
      </w:r>
      <w:r>
        <w:rPr>
          <w:lang w:eastAsia="ja-JP"/>
        </w:rPr>
        <w:t>BSA) which was used in Study 20120263.</w:t>
      </w:r>
    </w:p>
    <w:p w14:paraId="16792D83" w14:textId="77777777" w:rsidR="007C0FDC" w:rsidRDefault="007C0FDC" w:rsidP="007C0FDC">
      <w:pPr>
        <w:rPr>
          <w:lang w:eastAsia="ja-JP"/>
        </w:rPr>
      </w:pPr>
      <w:r>
        <w:rPr>
          <w:lang w:eastAsia="ja-JP"/>
        </w:rPr>
        <w:t>As both supplied clinical studies had strengths and limitations in different areas, they complement each other rather well. Therefore both were used for evaluating efficacy in the tested indication, for establishing equivalence with the reference product, and for extrapolation to the other indications of the reference product. In the evaluator’s opinion both were needed to establish the biosimilar status in ABP 501.</w:t>
      </w:r>
    </w:p>
    <w:p w14:paraId="41D3AD17" w14:textId="77777777" w:rsidR="007C0FDC" w:rsidRDefault="007C0FDC" w:rsidP="007C0FDC">
      <w:pPr>
        <w:rPr>
          <w:lang w:eastAsia="ja-JP"/>
        </w:rPr>
      </w:pPr>
      <w:r>
        <w:rPr>
          <w:lang w:eastAsia="ja-JP"/>
        </w:rPr>
        <w:t>As outlined above, based on the evidence available, the approval of extrapolation to the other reference product indications is considered reasonable in conjunction with appropriate pharmacovigilance activities (for example, participation in relevant disease registries) and risk minimisation activities.</w:t>
      </w:r>
    </w:p>
    <w:p w14:paraId="70A43587" w14:textId="77777777" w:rsidR="007C0FDC" w:rsidRDefault="007C0FDC" w:rsidP="00930785">
      <w:pPr>
        <w:pStyle w:val="Heading2"/>
      </w:pPr>
      <w:bookmarkStart w:id="246" w:name="_Toc470272300"/>
      <w:bookmarkStart w:id="247" w:name="_Toc509822409"/>
      <w:r w:rsidRPr="00930785">
        <w:t>Clinical</w:t>
      </w:r>
      <w:r>
        <w:t xml:space="preserve"> safety</w:t>
      </w:r>
      <w:bookmarkEnd w:id="246"/>
      <w:bookmarkEnd w:id="247"/>
    </w:p>
    <w:p w14:paraId="66A664A4" w14:textId="77777777" w:rsidR="007C0FDC" w:rsidRDefault="007C0FDC" w:rsidP="00930785">
      <w:pPr>
        <w:pStyle w:val="Heading3"/>
      </w:pPr>
      <w:bookmarkStart w:id="248" w:name="_Toc272414659"/>
      <w:bookmarkStart w:id="249" w:name="_Toc290888510"/>
      <w:bookmarkStart w:id="250" w:name="_Toc416353726"/>
      <w:bookmarkStart w:id="251" w:name="_Toc421005274"/>
      <w:bookmarkStart w:id="252" w:name="_Toc432079156"/>
      <w:bookmarkStart w:id="253" w:name="_Toc432080729"/>
      <w:bookmarkStart w:id="254" w:name="_Toc470272301"/>
      <w:bookmarkStart w:id="255" w:name="_Toc509822410"/>
      <w:r w:rsidRPr="00545B14">
        <w:t xml:space="preserve">Studies </w:t>
      </w:r>
      <w:r w:rsidRPr="00930785">
        <w:t>providing</w:t>
      </w:r>
      <w:r w:rsidRPr="00545B14">
        <w:t xml:space="preserve"> evaluable safety data</w:t>
      </w:r>
      <w:bookmarkEnd w:id="248"/>
      <w:bookmarkEnd w:id="249"/>
      <w:bookmarkEnd w:id="250"/>
      <w:bookmarkEnd w:id="251"/>
      <w:bookmarkEnd w:id="252"/>
      <w:bookmarkEnd w:id="253"/>
      <w:bookmarkEnd w:id="254"/>
      <w:bookmarkEnd w:id="255"/>
    </w:p>
    <w:p w14:paraId="186FD74D" w14:textId="77777777" w:rsidR="007C0FDC" w:rsidRDefault="007C0FDC" w:rsidP="007C0FDC">
      <w:pPr>
        <w:rPr>
          <w:lang w:eastAsia="ja-JP"/>
        </w:rPr>
      </w:pPr>
      <w:r>
        <w:rPr>
          <w:lang w:eastAsia="ja-JP"/>
        </w:rPr>
        <w:t>All three studies (one PK bioequivalence study and two equivalence studies in RA and psoriasis respectively; all described in this report) included in this submission provided safety data:</w:t>
      </w:r>
    </w:p>
    <w:p w14:paraId="15A351C8" w14:textId="097163FA" w:rsidR="007C0FDC" w:rsidRPr="00256449" w:rsidRDefault="007C0FDC" w:rsidP="007C0FDC">
      <w:pPr>
        <w:pStyle w:val="ListBullet"/>
        <w:numPr>
          <w:ilvl w:val="0"/>
          <w:numId w:val="1"/>
        </w:numPr>
        <w:rPr>
          <w:lang w:eastAsia="ja-JP"/>
        </w:rPr>
      </w:pPr>
      <w:r w:rsidRPr="00256449">
        <w:rPr>
          <w:lang w:eastAsia="ja-JP"/>
        </w:rPr>
        <w:t>Study 20110217: a Phase I, 3</w:t>
      </w:r>
      <w:r w:rsidR="005B6947">
        <w:rPr>
          <w:lang w:eastAsia="ja-JP"/>
        </w:rPr>
        <w:t xml:space="preserve"> </w:t>
      </w:r>
      <w:r w:rsidRPr="00256449">
        <w:rPr>
          <w:lang w:eastAsia="ja-JP"/>
        </w:rPr>
        <w:t xml:space="preserve">arm parallel group, </w:t>
      </w:r>
      <w:r w:rsidR="005B6947" w:rsidRPr="00256449">
        <w:rPr>
          <w:lang w:eastAsia="ja-JP"/>
        </w:rPr>
        <w:t>randomi</w:t>
      </w:r>
      <w:r w:rsidR="005B6947">
        <w:rPr>
          <w:lang w:eastAsia="ja-JP"/>
        </w:rPr>
        <w:t>s</w:t>
      </w:r>
      <w:r w:rsidR="005B6947" w:rsidRPr="00256449">
        <w:rPr>
          <w:lang w:eastAsia="ja-JP"/>
        </w:rPr>
        <w:t>ed</w:t>
      </w:r>
      <w:r w:rsidRPr="00256449">
        <w:rPr>
          <w:lang w:eastAsia="ja-JP"/>
        </w:rPr>
        <w:t>, single</w:t>
      </w:r>
      <w:r w:rsidR="005B6947">
        <w:rPr>
          <w:lang w:eastAsia="ja-JP"/>
        </w:rPr>
        <w:t xml:space="preserve"> </w:t>
      </w:r>
      <w:r w:rsidRPr="00256449">
        <w:rPr>
          <w:lang w:eastAsia="ja-JP"/>
        </w:rPr>
        <w:t>blind, single</w:t>
      </w:r>
      <w:r w:rsidR="005B6947">
        <w:rPr>
          <w:lang w:eastAsia="ja-JP"/>
        </w:rPr>
        <w:t xml:space="preserve"> </w:t>
      </w:r>
      <w:r w:rsidRPr="00256449">
        <w:rPr>
          <w:lang w:eastAsia="ja-JP"/>
        </w:rPr>
        <w:t>dose PK similarity study that compared ABP 501 to adalimumab (US) and adalimumab (EU) in 203</w:t>
      </w:r>
      <w:r w:rsidR="005B6947">
        <w:rPr>
          <w:lang w:eastAsia="ja-JP"/>
        </w:rPr>
        <w:t> </w:t>
      </w:r>
      <w:r w:rsidRPr="00256449">
        <w:rPr>
          <w:lang w:eastAsia="ja-JP"/>
        </w:rPr>
        <w:t>healthy men and women (one dose only).</w:t>
      </w:r>
    </w:p>
    <w:p w14:paraId="358530F6" w14:textId="5E152ABC" w:rsidR="007C0FDC" w:rsidRPr="00256449" w:rsidRDefault="007C0FDC" w:rsidP="007C0FDC">
      <w:pPr>
        <w:pStyle w:val="ListBullet"/>
        <w:numPr>
          <w:ilvl w:val="0"/>
          <w:numId w:val="1"/>
        </w:numPr>
        <w:rPr>
          <w:lang w:eastAsia="ja-JP"/>
        </w:rPr>
      </w:pPr>
      <w:r w:rsidRPr="00256449">
        <w:rPr>
          <w:lang w:eastAsia="ja-JP"/>
        </w:rPr>
        <w:t>Study 20120262: a Phase III, double</w:t>
      </w:r>
      <w:r w:rsidR="005B6947">
        <w:rPr>
          <w:lang w:eastAsia="ja-JP"/>
        </w:rPr>
        <w:t xml:space="preserve"> </w:t>
      </w:r>
      <w:r w:rsidRPr="00256449">
        <w:rPr>
          <w:lang w:eastAsia="ja-JP"/>
        </w:rPr>
        <w:t>blind, randomised, active comparator-controlled study in 526 subjects with moderate to severe rheumatoid arthritis with concomitant methotrexate and oral corticosteroid use evaluating the efficacy and safety of ABP 501 compared with adalimumab (US) (up to 26 weeks).</w:t>
      </w:r>
    </w:p>
    <w:p w14:paraId="51B415E6" w14:textId="4FCDBBB5" w:rsidR="007C0FDC" w:rsidRPr="00A5318D" w:rsidRDefault="007C0FDC" w:rsidP="007C0FDC">
      <w:pPr>
        <w:pStyle w:val="ListBullet"/>
        <w:numPr>
          <w:ilvl w:val="0"/>
          <w:numId w:val="1"/>
        </w:numPr>
        <w:rPr>
          <w:lang w:eastAsia="ja-JP"/>
        </w:rPr>
      </w:pPr>
      <w:r w:rsidRPr="00256449">
        <w:rPr>
          <w:lang w:eastAsia="ja-JP"/>
        </w:rPr>
        <w:t>Study 20120263: a Phase III, double</w:t>
      </w:r>
      <w:r w:rsidR="005B6947">
        <w:rPr>
          <w:lang w:eastAsia="ja-JP"/>
        </w:rPr>
        <w:t xml:space="preserve"> </w:t>
      </w:r>
      <w:r w:rsidRPr="00256449">
        <w:rPr>
          <w:lang w:eastAsia="ja-JP"/>
        </w:rPr>
        <w:t>blind, randomised, active comparator</w:t>
      </w:r>
      <w:r w:rsidR="005B6947">
        <w:rPr>
          <w:lang w:eastAsia="ja-JP"/>
        </w:rPr>
        <w:t xml:space="preserve"> </w:t>
      </w:r>
      <w:r w:rsidRPr="00256449">
        <w:rPr>
          <w:lang w:eastAsia="ja-JP"/>
        </w:rPr>
        <w:t>controlled study in 350 subjects with</w:t>
      </w:r>
      <w:r w:rsidRPr="00527ABE">
        <w:rPr>
          <w:lang w:eastAsia="ja-JP"/>
        </w:rPr>
        <w:t xml:space="preserve"> moderate to severe psoriasis with no concomitant medications allowed</w:t>
      </w:r>
      <w:r>
        <w:rPr>
          <w:lang w:eastAsia="ja-JP"/>
        </w:rPr>
        <w:t xml:space="preserve"> for the treatment of psoriasis e</w:t>
      </w:r>
      <w:r w:rsidRPr="00650B0B">
        <w:rPr>
          <w:lang w:eastAsia="ja-JP"/>
        </w:rPr>
        <w:t xml:space="preserve">valuating the </w:t>
      </w:r>
      <w:r>
        <w:rPr>
          <w:lang w:eastAsia="ja-JP"/>
        </w:rPr>
        <w:t>efficacy and safety of ABP 501 compared with a</w:t>
      </w:r>
      <w:r w:rsidRPr="00650B0B">
        <w:rPr>
          <w:lang w:eastAsia="ja-JP"/>
        </w:rPr>
        <w:t>dalimumab</w:t>
      </w:r>
      <w:r>
        <w:rPr>
          <w:lang w:eastAsia="ja-JP"/>
        </w:rPr>
        <w:t xml:space="preserve"> (EU) (up to 52 weeks).</w:t>
      </w:r>
    </w:p>
    <w:p w14:paraId="04B8EBCE" w14:textId="77777777" w:rsidR="007C0FDC" w:rsidRPr="00E26F2D" w:rsidRDefault="007C0FDC" w:rsidP="007C0FDC">
      <w:pPr>
        <w:pStyle w:val="Caption"/>
        <w:rPr>
          <w:b/>
          <w:sz w:val="22"/>
          <w:szCs w:val="22"/>
        </w:rPr>
      </w:pPr>
      <w:r w:rsidRPr="00E26F2D">
        <w:rPr>
          <w:sz w:val="22"/>
          <w:szCs w:val="22"/>
          <w:lang w:eastAsia="ja-JP"/>
        </w:rPr>
        <w:t xml:space="preserve">A summary of the studies providing safety data is in </w:t>
      </w:r>
      <w:r>
        <w:rPr>
          <w:sz w:val="22"/>
          <w:szCs w:val="22"/>
          <w:lang w:eastAsia="ja-JP"/>
        </w:rPr>
        <w:t xml:space="preserve">Table 27. </w:t>
      </w:r>
      <w:r w:rsidRPr="00E26F2D">
        <w:rPr>
          <w:sz w:val="22"/>
          <w:szCs w:val="22"/>
          <w:lang w:eastAsia="ja-JP"/>
        </w:rPr>
        <w:t>Studies 20130258 and 20120176 were ongoing at the data lock point date and not part of this submission.</w:t>
      </w:r>
    </w:p>
    <w:p w14:paraId="453AE9BE" w14:textId="77777777" w:rsidR="007C0FDC" w:rsidRPr="005460E5" w:rsidRDefault="007C0FDC" w:rsidP="00632B18">
      <w:pPr>
        <w:pStyle w:val="Tabletitle"/>
        <w:rPr>
          <w:lang w:eastAsia="ja-JP"/>
        </w:rPr>
      </w:pPr>
      <w:bookmarkStart w:id="256" w:name="_Ref459808615"/>
      <w:bookmarkStart w:id="257" w:name="_Toc471285618"/>
      <w:r w:rsidRPr="005460E5">
        <w:lastRenderedPageBreak/>
        <w:t xml:space="preserve">Table </w:t>
      </w:r>
      <w:r>
        <w:t>27:</w:t>
      </w:r>
      <w:bookmarkEnd w:id="256"/>
      <w:r w:rsidRPr="005460E5">
        <w:t xml:space="preserve"> </w:t>
      </w:r>
      <w:r w:rsidRPr="005460E5">
        <w:rPr>
          <w:lang w:eastAsia="ja-JP"/>
        </w:rPr>
        <w:t>Overview of studies providing evaluable safety data</w:t>
      </w:r>
      <w:bookmarkEnd w:id="257"/>
    </w:p>
    <w:p w14:paraId="4E2C4DBB" w14:textId="22A6F21C" w:rsidR="007C0FDC" w:rsidRDefault="007C0FDC" w:rsidP="007C0FDC">
      <w:pPr>
        <w:rPr>
          <w:lang w:eastAsia="ja-JP"/>
        </w:rPr>
      </w:pPr>
      <w:r>
        <w:rPr>
          <w:noProof/>
          <w:lang w:eastAsia="en-AU"/>
        </w:rPr>
        <w:drawing>
          <wp:inline distT="0" distB="0" distL="0" distR="0" wp14:anchorId="5B873CEE" wp14:editId="4511FAB5">
            <wp:extent cx="5731510" cy="2954334"/>
            <wp:effectExtent l="0" t="0" r="8890" b="0"/>
            <wp:docPr id="298" name="Picture 298" descr="Table 27: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biLevel thresh="75000"/>
                      <a:extLst>
                        <a:ext uri="{28A0092B-C50C-407E-A947-70E740481C1C}">
                          <a14:useLocalDpi xmlns:a14="http://schemas.microsoft.com/office/drawing/2010/main" val="0"/>
                        </a:ext>
                      </a:extLst>
                    </a:blip>
                    <a:srcRect/>
                    <a:stretch>
                      <a:fillRect/>
                    </a:stretch>
                  </pic:blipFill>
                  <pic:spPr bwMode="auto">
                    <a:xfrm>
                      <a:off x="0" y="0"/>
                      <a:ext cx="5731510" cy="2954334"/>
                    </a:xfrm>
                    <a:prstGeom prst="rect">
                      <a:avLst/>
                    </a:prstGeom>
                    <a:noFill/>
                    <a:ln>
                      <a:noFill/>
                    </a:ln>
                  </pic:spPr>
                </pic:pic>
              </a:graphicData>
            </a:graphic>
          </wp:inline>
        </w:drawing>
      </w:r>
    </w:p>
    <w:p w14:paraId="14AECDB0" w14:textId="77777777" w:rsidR="007C0FDC" w:rsidRDefault="007C0FDC" w:rsidP="00632B18">
      <w:pPr>
        <w:pStyle w:val="Tabletitle"/>
        <w:rPr>
          <w:lang w:eastAsia="ja-JP"/>
        </w:rPr>
      </w:pPr>
      <w:r w:rsidRPr="005460E5">
        <w:lastRenderedPageBreak/>
        <w:t xml:space="preserve">Table </w:t>
      </w:r>
      <w:r>
        <w:t>27 continued:</w:t>
      </w:r>
      <w:r w:rsidRPr="005460E5">
        <w:t xml:space="preserve"> </w:t>
      </w:r>
      <w:r w:rsidRPr="00632B18">
        <w:t>Overview</w:t>
      </w:r>
      <w:r w:rsidRPr="005460E5">
        <w:rPr>
          <w:lang w:eastAsia="ja-JP"/>
        </w:rPr>
        <w:t xml:space="preserve"> of studies providing evaluable safety data</w:t>
      </w:r>
    </w:p>
    <w:p w14:paraId="11159722" w14:textId="77777777" w:rsidR="007C0FDC" w:rsidRDefault="007C0FDC" w:rsidP="007C0FDC">
      <w:pPr>
        <w:rPr>
          <w:lang w:eastAsia="ja-JP"/>
        </w:rPr>
      </w:pPr>
      <w:r>
        <w:rPr>
          <w:noProof/>
          <w:lang w:eastAsia="en-AU"/>
        </w:rPr>
        <w:drawing>
          <wp:inline distT="0" distB="0" distL="0" distR="0" wp14:anchorId="2C1D19DB" wp14:editId="7375B24F">
            <wp:extent cx="5731510" cy="5145500"/>
            <wp:effectExtent l="0" t="0" r="2540" b="0"/>
            <wp:docPr id="9" name="Picture 9" descr="Table 27 continued: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5731510" cy="5145500"/>
                    </a:xfrm>
                    <a:prstGeom prst="rect">
                      <a:avLst/>
                    </a:prstGeom>
                  </pic:spPr>
                </pic:pic>
              </a:graphicData>
            </a:graphic>
          </wp:inline>
        </w:drawing>
      </w:r>
      <w:r w:rsidRPr="00DF4791">
        <w:rPr>
          <w:lang w:eastAsia="ja-JP"/>
        </w:rPr>
        <w:t>No formal hypotheses were tested</w:t>
      </w:r>
      <w:r>
        <w:rPr>
          <w:lang w:eastAsia="ja-JP"/>
        </w:rPr>
        <w:t xml:space="preserve"> in the safety parts of the studies</w:t>
      </w:r>
      <w:r w:rsidRPr="00DF4791">
        <w:rPr>
          <w:lang w:eastAsia="ja-JP"/>
        </w:rPr>
        <w:t xml:space="preserve">. The safety endpoints were treatment emergent adverse events </w:t>
      </w:r>
      <w:r>
        <w:rPr>
          <w:lang w:eastAsia="ja-JP"/>
        </w:rPr>
        <w:t xml:space="preserve">(TEAEs) </w:t>
      </w:r>
      <w:r w:rsidRPr="00DF4791">
        <w:rPr>
          <w:lang w:eastAsia="ja-JP"/>
        </w:rPr>
        <w:t>and serious adverse events</w:t>
      </w:r>
      <w:r>
        <w:rPr>
          <w:lang w:eastAsia="ja-JP"/>
        </w:rPr>
        <w:t xml:space="preserve"> (AEs)</w:t>
      </w:r>
      <w:r w:rsidRPr="00DF4791">
        <w:rPr>
          <w:lang w:eastAsia="ja-JP"/>
        </w:rPr>
        <w:t>, clinically significant changes in laboratory values and vital si</w:t>
      </w:r>
      <w:r>
        <w:rPr>
          <w:lang w:eastAsia="ja-JP"/>
        </w:rPr>
        <w:t>gns, and the incidence of ADAs.</w:t>
      </w:r>
    </w:p>
    <w:p w14:paraId="04539DB1" w14:textId="77777777" w:rsidR="007C0FDC" w:rsidRDefault="007C0FDC" w:rsidP="007C0FDC">
      <w:pPr>
        <w:rPr>
          <w:lang w:eastAsia="ja-JP"/>
        </w:rPr>
      </w:pPr>
      <w:r>
        <w:rPr>
          <w:lang w:eastAsia="ja-JP"/>
        </w:rPr>
        <w:t>T</w:t>
      </w:r>
      <w:r w:rsidRPr="00DF4791">
        <w:rPr>
          <w:lang w:eastAsia="ja-JP"/>
        </w:rPr>
        <w:t>he Medical Dictionary for</w:t>
      </w:r>
      <w:r>
        <w:rPr>
          <w:lang w:eastAsia="ja-JP"/>
        </w:rPr>
        <w:t xml:space="preserve"> Regulatory Activities (MedDRA) </w:t>
      </w:r>
      <w:r w:rsidRPr="00DF4791">
        <w:rPr>
          <w:lang w:eastAsia="ja-JP"/>
        </w:rPr>
        <w:t>version 15.0 (Study 20110217)</w:t>
      </w:r>
      <w:r>
        <w:rPr>
          <w:lang w:eastAsia="ja-JP"/>
        </w:rPr>
        <w:t xml:space="preserve"> or </w:t>
      </w:r>
      <w:r w:rsidRPr="00DF4791">
        <w:rPr>
          <w:lang w:eastAsia="ja-JP"/>
        </w:rPr>
        <w:t>version 17.1 (Studies 20120262 and 20120263)</w:t>
      </w:r>
      <w:r>
        <w:rPr>
          <w:lang w:eastAsia="ja-JP"/>
        </w:rPr>
        <w:t xml:space="preserve"> were used for coding. The </w:t>
      </w:r>
      <w:r w:rsidRPr="000A743B">
        <w:rPr>
          <w:lang w:eastAsia="ja-JP"/>
        </w:rPr>
        <w:t>Common Terminology Criteria for Adverse Events (CTCAE)</w:t>
      </w:r>
      <w:r>
        <w:rPr>
          <w:lang w:eastAsia="ja-JP"/>
        </w:rPr>
        <w:t xml:space="preserve"> was used for grading adverse events.</w:t>
      </w:r>
    </w:p>
    <w:p w14:paraId="16D53478" w14:textId="77777777" w:rsidR="007C0FDC" w:rsidRDefault="007C0FDC" w:rsidP="007C0FDC">
      <w:pPr>
        <w:rPr>
          <w:lang w:eastAsia="ja-JP"/>
        </w:rPr>
      </w:pPr>
      <w:r>
        <w:rPr>
          <w:lang w:eastAsia="ja-JP"/>
        </w:rPr>
        <w:t xml:space="preserve">Specific adverse events of interest for the safety analysis of the two Phase III studies were defined based on a review of product labels for the reference product Humira (US label and EU SmPC). These included: </w:t>
      </w:r>
      <w:r w:rsidRPr="00934B6F">
        <w:rPr>
          <w:lang w:eastAsia="ja-JP"/>
        </w:rPr>
        <w:t>infections, malignancies, hypersensitivity reactions, demyelinating disease, h</w:t>
      </w:r>
      <w:r>
        <w:rPr>
          <w:lang w:eastAsia="ja-JP"/>
        </w:rPr>
        <w:t>a</w:t>
      </w:r>
      <w:r w:rsidRPr="00934B6F">
        <w:rPr>
          <w:lang w:eastAsia="ja-JP"/>
        </w:rPr>
        <w:t>ematological reactions, heart failure, lupus-like syndrome, liver enzyme elevations, and injection site reactions.</w:t>
      </w:r>
      <w:bookmarkStart w:id="258" w:name="_Ref269204367"/>
      <w:bookmarkStart w:id="259" w:name="_Ref271195835"/>
      <w:bookmarkStart w:id="260" w:name="_Ref271195841"/>
      <w:bookmarkStart w:id="261" w:name="_Toc272414660"/>
      <w:bookmarkStart w:id="262" w:name="_Toc290888511"/>
      <w:bookmarkStart w:id="263" w:name="_Toc416353727"/>
      <w:bookmarkStart w:id="264" w:name="_Toc421005283"/>
      <w:bookmarkStart w:id="265" w:name="_Toc432079160"/>
      <w:bookmarkStart w:id="266" w:name="_Toc432080733"/>
    </w:p>
    <w:p w14:paraId="0C4A96AB" w14:textId="79A2F077" w:rsidR="007C0FDC" w:rsidRDefault="005B6947" w:rsidP="007516FC">
      <w:pPr>
        <w:pStyle w:val="Comment"/>
        <w:rPr>
          <w:lang w:eastAsia="ja-JP"/>
        </w:rPr>
      </w:pPr>
      <w:r>
        <w:rPr>
          <w:b/>
          <w:lang w:eastAsia="ja-JP"/>
        </w:rPr>
        <w:t>Comment</w:t>
      </w:r>
      <w:r w:rsidR="007C0FDC">
        <w:rPr>
          <w:b/>
          <w:lang w:eastAsia="ja-JP"/>
        </w:rPr>
        <w:t xml:space="preserve">: </w:t>
      </w:r>
      <w:r>
        <w:rPr>
          <w:b/>
          <w:lang w:eastAsia="ja-JP"/>
        </w:rPr>
        <w:t xml:space="preserve"> </w:t>
      </w:r>
      <w:r w:rsidR="007C0FDC">
        <w:rPr>
          <w:lang w:eastAsia="ja-JP"/>
        </w:rPr>
        <w:t>As this is a biosimilar application, the main purpose of the clinical safety section was to evaluate whether there are significant differences between the biosimilar and the reference product. The efficacy and safety of the reference product has been previously established for the currently approved indications.</w:t>
      </w:r>
    </w:p>
    <w:p w14:paraId="2482E501" w14:textId="77777777" w:rsidR="007C0FDC" w:rsidRPr="00545B14" w:rsidRDefault="007C0FDC" w:rsidP="00632B18">
      <w:pPr>
        <w:pStyle w:val="Heading3"/>
      </w:pPr>
      <w:bookmarkStart w:id="267" w:name="_Toc241374318"/>
      <w:bookmarkStart w:id="268" w:name="_Ref271196630"/>
      <w:bookmarkStart w:id="269" w:name="_Toc272414662"/>
      <w:bookmarkStart w:id="270" w:name="_Toc290888526"/>
      <w:bookmarkStart w:id="271" w:name="_Toc416353742"/>
      <w:bookmarkStart w:id="272" w:name="_Toc421005285"/>
      <w:bookmarkStart w:id="273" w:name="_Toc432079162"/>
      <w:bookmarkStart w:id="274" w:name="_Toc432080735"/>
      <w:bookmarkStart w:id="275" w:name="_Toc470272302"/>
      <w:bookmarkStart w:id="276" w:name="_Toc509822411"/>
      <w:bookmarkEnd w:id="258"/>
      <w:bookmarkEnd w:id="259"/>
      <w:bookmarkEnd w:id="260"/>
      <w:bookmarkEnd w:id="261"/>
      <w:bookmarkEnd w:id="262"/>
      <w:bookmarkEnd w:id="263"/>
      <w:bookmarkEnd w:id="264"/>
      <w:bookmarkEnd w:id="265"/>
      <w:bookmarkEnd w:id="266"/>
      <w:r w:rsidRPr="00545B14">
        <w:lastRenderedPageBreak/>
        <w:t xml:space="preserve">Patient </w:t>
      </w:r>
      <w:r w:rsidRPr="00632B18">
        <w:t>exposure</w:t>
      </w:r>
      <w:bookmarkEnd w:id="267"/>
      <w:bookmarkEnd w:id="268"/>
      <w:bookmarkEnd w:id="269"/>
      <w:bookmarkEnd w:id="270"/>
      <w:bookmarkEnd w:id="271"/>
      <w:bookmarkEnd w:id="272"/>
      <w:bookmarkEnd w:id="273"/>
      <w:bookmarkEnd w:id="274"/>
      <w:bookmarkEnd w:id="275"/>
      <w:bookmarkEnd w:id="276"/>
    </w:p>
    <w:p w14:paraId="4C982AC2" w14:textId="77777777" w:rsidR="007C0FDC" w:rsidRDefault="007C0FDC" w:rsidP="007C0FDC">
      <w:r w:rsidRPr="00D37873">
        <w:t>A summary of patient exposure to ABP 501 and to the reference product adalimumab (</w:t>
      </w:r>
      <w:r>
        <w:t>Humira</w:t>
      </w:r>
      <w:r w:rsidRPr="00D37873">
        <w:t xml:space="preserve">) is provided in </w:t>
      </w:r>
      <w:r>
        <w:t>Table 28. Some subjects were exposed to both ABP 501 and adalimumab due to the study design in Study 20120263 which re-randomised some adalimumab subjects into the ABP 501 group.</w:t>
      </w:r>
    </w:p>
    <w:p w14:paraId="04AD34B0" w14:textId="77777777" w:rsidR="007C0FDC" w:rsidRPr="00B55DD7" w:rsidRDefault="007C0FDC" w:rsidP="007C0FDC">
      <w:r>
        <w:t>The maximum duration of IP exposure was 48 weeks (Study 20120263 in psoriasis patients; median exposure: 330 days). RA patients were exposed to a maximum of 22 weeks in Study 20120262 (median exposure: 155 days). However, there is an open-label extension of Study 20120262 (named Study 20130258 and not part of this submission) in which RA patients continue until Week 72.</w:t>
      </w:r>
    </w:p>
    <w:p w14:paraId="03CB001C" w14:textId="77777777" w:rsidR="007C0FDC" w:rsidRPr="00FE59F1" w:rsidRDefault="007C0FDC" w:rsidP="00632B18">
      <w:pPr>
        <w:pStyle w:val="Tabletitle"/>
      </w:pPr>
      <w:bookmarkStart w:id="277" w:name="_Ref459810179"/>
      <w:bookmarkStart w:id="278" w:name="_Toc471285619"/>
      <w:r w:rsidRPr="00FE59F1">
        <w:t xml:space="preserve">Table </w:t>
      </w:r>
      <w:r>
        <w:t>28:</w:t>
      </w:r>
      <w:bookmarkEnd w:id="277"/>
      <w:r w:rsidRPr="00FE59F1">
        <w:t xml:space="preserve"> Exposure to ABP 501 and adalimumab in all clinical studies</w:t>
      </w:r>
      <w:bookmarkEnd w:id="278"/>
    </w:p>
    <w:p w14:paraId="1DCFE02E" w14:textId="77777777" w:rsidR="007C0FDC" w:rsidRDefault="007C0FDC" w:rsidP="007C0FDC">
      <w:r>
        <w:rPr>
          <w:noProof/>
          <w:lang w:eastAsia="en-AU"/>
        </w:rPr>
        <w:drawing>
          <wp:inline distT="0" distB="0" distL="0" distR="0" wp14:anchorId="0546730B" wp14:editId="7AB827A9">
            <wp:extent cx="4076868" cy="1975449"/>
            <wp:effectExtent l="0" t="0" r="0" b="6350"/>
            <wp:docPr id="305" name="Picture 305" descr="Table 28: Exposure to ABP 501 and adalimumab in all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val="0"/>
                        </a:ext>
                      </a:extLst>
                    </a:blip>
                    <a:srcRect b="9843"/>
                    <a:stretch/>
                  </pic:blipFill>
                  <pic:spPr bwMode="auto">
                    <a:xfrm>
                      <a:off x="0" y="0"/>
                      <a:ext cx="4080930" cy="1977417"/>
                    </a:xfrm>
                    <a:prstGeom prst="rect">
                      <a:avLst/>
                    </a:prstGeom>
                    <a:noFill/>
                    <a:ln>
                      <a:noFill/>
                    </a:ln>
                    <a:extLst>
                      <a:ext uri="{53640926-AAD7-44D8-BBD7-CCE9431645EC}">
                        <a14:shadowObscured xmlns:a14="http://schemas.microsoft.com/office/drawing/2010/main"/>
                      </a:ext>
                    </a:extLst>
                  </pic:spPr>
                </pic:pic>
              </a:graphicData>
            </a:graphic>
          </wp:inline>
        </w:drawing>
      </w:r>
    </w:p>
    <w:p w14:paraId="4AD80C6B" w14:textId="77777777" w:rsidR="007C0FDC" w:rsidRDefault="007C0FDC" w:rsidP="00632B18">
      <w:pPr>
        <w:pStyle w:val="Heading4"/>
      </w:pPr>
      <w:r w:rsidRPr="00906AAC">
        <w:t>Study 20120262 (RA patients)</w:t>
      </w:r>
    </w:p>
    <w:p w14:paraId="5D613831" w14:textId="1FA4FC99" w:rsidR="007C0FDC" w:rsidRPr="00D360CE" w:rsidRDefault="007C0FDC" w:rsidP="007C0FDC">
      <w:pPr>
        <w:pStyle w:val="Caption"/>
        <w:rPr>
          <w:sz w:val="22"/>
          <w:szCs w:val="22"/>
          <w:lang w:eastAsia="ja-JP"/>
        </w:rPr>
      </w:pPr>
      <w:r w:rsidRPr="00D360CE">
        <w:rPr>
          <w:sz w:val="22"/>
          <w:szCs w:val="22"/>
          <w:lang w:eastAsia="ja-JP"/>
        </w:rPr>
        <w:t>The dose for all subjects (RA patients) was SC 40 mg IP every 2 weeks. Dose adjustments were not allowed, but in case of infection at a visit, the administration of IP could be delayed up to 3</w:t>
      </w:r>
      <w:r w:rsidR="005B6947">
        <w:rPr>
          <w:sz w:val="22"/>
          <w:szCs w:val="22"/>
          <w:lang w:eastAsia="ja-JP"/>
        </w:rPr>
        <w:t> </w:t>
      </w:r>
      <w:r w:rsidRPr="00D360CE">
        <w:rPr>
          <w:sz w:val="22"/>
          <w:szCs w:val="22"/>
          <w:lang w:eastAsia="ja-JP"/>
        </w:rPr>
        <w:t>days. 526 randomised subjects received at least 1 dose of IP. The overall mean dose received by subjects was 456.2 mg (SD: 75.4 mg). The overall dose and the exposure duration were similar for both treatment groups.</w:t>
      </w:r>
    </w:p>
    <w:p w14:paraId="75B5890A" w14:textId="6ED223B5" w:rsidR="007C0FDC" w:rsidRDefault="007C0FDC" w:rsidP="00632B18">
      <w:pPr>
        <w:pStyle w:val="Heading4"/>
      </w:pPr>
      <w:r w:rsidRPr="00906AAC">
        <w:t xml:space="preserve">Study </w:t>
      </w:r>
      <w:r w:rsidRPr="00632B18">
        <w:t>20120263</w:t>
      </w:r>
      <w:r w:rsidRPr="00906AAC">
        <w:t xml:space="preserve"> (</w:t>
      </w:r>
      <w:r w:rsidR="005B6947">
        <w:t>psoriasis</w:t>
      </w:r>
      <w:r w:rsidR="005B6947" w:rsidRPr="00906AAC">
        <w:t xml:space="preserve"> </w:t>
      </w:r>
      <w:r w:rsidRPr="00906AAC">
        <w:t>patients)</w:t>
      </w:r>
    </w:p>
    <w:p w14:paraId="50572B49" w14:textId="47DE891B" w:rsidR="007C0FDC" w:rsidRDefault="007C0FDC" w:rsidP="007C0FDC">
      <w:pPr>
        <w:rPr>
          <w:lang w:eastAsia="ja-JP"/>
        </w:rPr>
      </w:pPr>
      <w:r>
        <w:rPr>
          <w:lang w:eastAsia="ja-JP"/>
        </w:rPr>
        <w:t>The dose for all subjects (psoriasis patients) was an initial loading dose of SC 80 mg followed by SC 40 mg IP every 2 weeks. Dose adjustments were not allowed, but in case of infection at a visit, the administration of IP could be delayed up to 3 days.</w:t>
      </w:r>
    </w:p>
    <w:p w14:paraId="3B2463AA" w14:textId="31AEE11E" w:rsidR="007C0FDC" w:rsidRDefault="007C0FDC" w:rsidP="007C0FDC">
      <w:pPr>
        <w:rPr>
          <w:lang w:eastAsia="ja-JP"/>
        </w:rPr>
      </w:pPr>
      <w:r>
        <w:rPr>
          <w:lang w:eastAsia="ja-JP"/>
        </w:rPr>
        <w:t xml:space="preserve">The design of </w:t>
      </w:r>
      <w:r w:rsidRPr="004B3AAD">
        <w:rPr>
          <w:lang w:eastAsia="ja-JP"/>
        </w:rPr>
        <w:t>Study 20120263</w:t>
      </w:r>
      <w:r>
        <w:rPr>
          <w:lang w:eastAsia="ja-JP"/>
        </w:rPr>
        <w:t xml:space="preserve"> was different to </w:t>
      </w:r>
      <w:r w:rsidRPr="004B3AAD">
        <w:rPr>
          <w:lang w:eastAsia="ja-JP"/>
        </w:rPr>
        <w:t>S</w:t>
      </w:r>
      <w:r>
        <w:rPr>
          <w:lang w:eastAsia="ja-JP"/>
        </w:rPr>
        <w:t xml:space="preserve">tudy 20120262, as it had a </w:t>
      </w:r>
      <w:r w:rsidR="005B6947">
        <w:rPr>
          <w:lang w:eastAsia="ja-JP"/>
        </w:rPr>
        <w:t>W</w:t>
      </w:r>
      <w:r>
        <w:rPr>
          <w:lang w:eastAsia="ja-JP"/>
        </w:rPr>
        <w:t>eek 16 evaluation point, after which only patients with a PASI 50 response could continue, and at which approximately half of the adalimumab group was switched to ABP 501 after re-randomisation.</w:t>
      </w:r>
    </w:p>
    <w:p w14:paraId="7E1049EB" w14:textId="1CFEFD8A" w:rsidR="007C0FDC" w:rsidRDefault="007C0FDC" w:rsidP="007C0FDC">
      <w:pPr>
        <w:rPr>
          <w:lang w:eastAsia="ja-JP"/>
        </w:rPr>
      </w:pPr>
      <w:r>
        <w:rPr>
          <w:lang w:eastAsia="ja-JP"/>
        </w:rPr>
        <w:t>From baseline to Week 16, 174 subjects were treated with ABP 501 and 173 subjects were treated with adalimumab. Most subjects received 8 doses; 1 subject received 9 doses</w:t>
      </w:r>
      <w:r w:rsidRPr="00F46EF6">
        <w:rPr>
          <w:lang w:eastAsia="ja-JP"/>
        </w:rPr>
        <w:t xml:space="preserve"> </w:t>
      </w:r>
      <w:r>
        <w:rPr>
          <w:lang w:eastAsia="ja-JP"/>
        </w:rPr>
        <w:t xml:space="preserve">(adalimumab group). </w:t>
      </w:r>
      <w:r>
        <w:t>The overall mean (SD) dose received by subjects up to Week 16 was 350.3</w:t>
      </w:r>
      <w:r w:rsidR="005B6947">
        <w:t> </w:t>
      </w:r>
      <w:r>
        <w:t xml:space="preserve">mg (SD: 32.87 mg). </w:t>
      </w:r>
      <w:r w:rsidRPr="00F46EF6">
        <w:t>The overall dose and the exposure duration were similar for both treatment groups.</w:t>
      </w:r>
    </w:p>
    <w:p w14:paraId="51F0C26B" w14:textId="7D514F1A" w:rsidR="007C0FDC" w:rsidRPr="0038081D" w:rsidRDefault="007C0FDC" w:rsidP="00632B18">
      <w:r w:rsidRPr="007516FC">
        <w:rPr>
          <w:i/>
        </w:rPr>
        <w:t>Post Week 16, 308 subjects received at least 1 dose of IP: 152</w:t>
      </w:r>
      <w:r>
        <w:t xml:space="preserve"> subjects continued on ABP 501 (ABP 501/ABP 501), 79 subjects continued on adalimumab (adalimumab/adalimumab), and 77 subjects transitioned from adalimumab to ABP 501 (adalimumab/ABP 501). The overall mean (SD) dose received by subjects post Week 16 was 630.5 mg (SD: 131.69 mg). </w:t>
      </w:r>
      <w:r w:rsidRPr="00F46EF6">
        <w:t xml:space="preserve">The overall dose and the exposure duration were similar for </w:t>
      </w:r>
      <w:r>
        <w:t xml:space="preserve">all three </w:t>
      </w:r>
      <w:r w:rsidRPr="00F46EF6">
        <w:t>treatment groups.</w:t>
      </w:r>
    </w:p>
    <w:p w14:paraId="1C5F5B10" w14:textId="77777777" w:rsidR="007C0FDC" w:rsidRPr="004A6FF6" w:rsidRDefault="007C0FDC" w:rsidP="00632B18">
      <w:pPr>
        <w:pStyle w:val="Heading4"/>
      </w:pPr>
      <w:r w:rsidRPr="004A6FF6">
        <w:lastRenderedPageBreak/>
        <w:t xml:space="preserve">Study 20110217 (PK </w:t>
      </w:r>
      <w:r w:rsidRPr="00632B18">
        <w:t>study</w:t>
      </w:r>
      <w:r w:rsidRPr="004A6FF6">
        <w:t xml:space="preserve"> in healthy subjects)</w:t>
      </w:r>
    </w:p>
    <w:p w14:paraId="113546A3" w14:textId="77777777" w:rsidR="007C0FDC" w:rsidRDefault="007C0FDC" w:rsidP="007C0FDC">
      <w:pPr>
        <w:rPr>
          <w:lang w:eastAsia="ja-JP"/>
        </w:rPr>
      </w:pPr>
      <w:r>
        <w:rPr>
          <w:lang w:eastAsia="ja-JP"/>
        </w:rPr>
        <w:t xml:space="preserve">The study subjects received a single </w:t>
      </w:r>
      <w:r w:rsidRPr="007516FC">
        <w:rPr>
          <w:lang w:eastAsia="ja-JP"/>
        </w:rPr>
        <w:t>40 mg dose</w:t>
      </w:r>
      <w:r>
        <w:rPr>
          <w:lang w:eastAsia="ja-JP"/>
        </w:rPr>
        <w:t xml:space="preserve"> of either </w:t>
      </w:r>
      <w:r w:rsidRPr="00A748E9">
        <w:rPr>
          <w:lang w:eastAsia="ja-JP"/>
        </w:rPr>
        <w:t>ABP 501, adal</w:t>
      </w:r>
      <w:r>
        <w:rPr>
          <w:lang w:eastAsia="ja-JP"/>
        </w:rPr>
        <w:t>imumab (US), or adalimumab (EU). 67 subjects received ABP 501, 69 subjects received adalimumab (US), and 67 subjects received adalimumab (EU).</w:t>
      </w:r>
    </w:p>
    <w:p w14:paraId="43E39C2E" w14:textId="5F845CD0" w:rsidR="007C0FDC" w:rsidRDefault="007A0BC6" w:rsidP="007516FC">
      <w:pPr>
        <w:pStyle w:val="Comment"/>
        <w:rPr>
          <w:lang w:eastAsia="ja-JP"/>
        </w:rPr>
      </w:pPr>
      <w:r>
        <w:rPr>
          <w:b/>
          <w:lang w:eastAsia="ja-JP"/>
        </w:rPr>
        <w:t>C</w:t>
      </w:r>
      <w:r w:rsidR="007C0FDC" w:rsidRPr="004E0110">
        <w:rPr>
          <w:b/>
          <w:lang w:eastAsia="ja-JP"/>
        </w:rPr>
        <w:t>omment:</w:t>
      </w:r>
      <w:r>
        <w:rPr>
          <w:b/>
          <w:lang w:eastAsia="ja-JP"/>
        </w:rPr>
        <w:t xml:space="preserve"> </w:t>
      </w:r>
      <w:r w:rsidR="007C0FDC">
        <w:rPr>
          <w:b/>
          <w:lang w:eastAsia="ja-JP"/>
        </w:rPr>
        <w:t xml:space="preserve"> </w:t>
      </w:r>
      <w:r w:rsidR="007C0FDC">
        <w:rPr>
          <w:lang w:eastAsia="ja-JP"/>
        </w:rPr>
        <w:t>Patient exposure was adequate to show comparability to the reference product. Furthermore, a subset of Study 20</w:t>
      </w:r>
      <w:r w:rsidR="007C0FDC" w:rsidRPr="00B24535">
        <w:rPr>
          <w:lang w:eastAsia="ja-JP"/>
        </w:rPr>
        <w:t>120263</w:t>
      </w:r>
      <w:r w:rsidR="007C0FDC">
        <w:rPr>
          <w:lang w:eastAsia="ja-JP"/>
        </w:rPr>
        <w:t xml:space="preserve"> switched from adalimumab to ABP 501 providing safety for that scenario for a small group of subjects until </w:t>
      </w:r>
      <w:r>
        <w:rPr>
          <w:lang w:eastAsia="ja-JP"/>
        </w:rPr>
        <w:t xml:space="preserve">Week </w:t>
      </w:r>
      <w:r w:rsidR="007C0FDC">
        <w:rPr>
          <w:lang w:eastAsia="ja-JP"/>
        </w:rPr>
        <w:t>48 (32</w:t>
      </w:r>
      <w:r>
        <w:rPr>
          <w:lang w:eastAsia="ja-JP"/>
        </w:rPr>
        <w:t> </w:t>
      </w:r>
      <w:r w:rsidR="007C0FDC">
        <w:rPr>
          <w:lang w:eastAsia="ja-JP"/>
        </w:rPr>
        <w:t>weeks of data after switching).</w:t>
      </w:r>
    </w:p>
    <w:p w14:paraId="0DEB56B3" w14:textId="77777777" w:rsidR="007C0FDC" w:rsidRPr="00545B14" w:rsidRDefault="007C0FDC" w:rsidP="00632B18">
      <w:pPr>
        <w:pStyle w:val="Heading3"/>
      </w:pPr>
      <w:bookmarkStart w:id="279" w:name="_Toc241374319"/>
      <w:bookmarkStart w:id="280" w:name="_Ref271044764"/>
      <w:bookmarkStart w:id="281" w:name="_Toc272414663"/>
      <w:bookmarkStart w:id="282" w:name="_Toc290888527"/>
      <w:bookmarkStart w:id="283" w:name="_Toc416353743"/>
      <w:bookmarkStart w:id="284" w:name="_Toc421005286"/>
      <w:bookmarkStart w:id="285" w:name="_Toc432079163"/>
      <w:bookmarkStart w:id="286" w:name="_Toc432080736"/>
      <w:bookmarkStart w:id="287" w:name="_Toc470272303"/>
      <w:bookmarkStart w:id="288" w:name="_Toc509822412"/>
      <w:r w:rsidRPr="00632B18">
        <w:t>Adverse</w:t>
      </w:r>
      <w:r w:rsidRPr="00545B14">
        <w:t xml:space="preserve"> events</w:t>
      </w:r>
      <w:bookmarkEnd w:id="279"/>
      <w:bookmarkEnd w:id="280"/>
      <w:bookmarkEnd w:id="281"/>
      <w:bookmarkEnd w:id="282"/>
      <w:bookmarkEnd w:id="283"/>
      <w:bookmarkEnd w:id="284"/>
      <w:bookmarkEnd w:id="285"/>
      <w:bookmarkEnd w:id="286"/>
      <w:bookmarkEnd w:id="287"/>
      <w:bookmarkEnd w:id="288"/>
    </w:p>
    <w:p w14:paraId="1869B72B" w14:textId="77777777" w:rsidR="007C0FDC" w:rsidRDefault="007C0FDC" w:rsidP="007C0FDC">
      <w:pPr>
        <w:rPr>
          <w:lang w:eastAsia="ja-JP"/>
        </w:rPr>
      </w:pPr>
      <w:r>
        <w:rPr>
          <w:lang w:eastAsia="ja-JP"/>
        </w:rPr>
        <w:t>The sponsor has not provided an integrated safety summary for the three submitted studies and provided the following reasons: difference in treatment duration, indication, concomitant methotrexate use between the studies. Instead, the safety data are presented for each study individually.</w:t>
      </w:r>
    </w:p>
    <w:p w14:paraId="2AA4B18F" w14:textId="77777777" w:rsidR="007C0FDC" w:rsidRDefault="007C0FDC" w:rsidP="00632B18">
      <w:pPr>
        <w:pStyle w:val="Heading4"/>
      </w:pPr>
      <w:bookmarkStart w:id="289" w:name="_Ref272333567"/>
      <w:bookmarkStart w:id="290" w:name="_Toc272414665"/>
      <w:bookmarkStart w:id="291" w:name="_Toc290888529"/>
      <w:bookmarkStart w:id="292" w:name="_Toc416353745"/>
      <w:bookmarkStart w:id="293" w:name="_Toc421005288"/>
      <w:bookmarkStart w:id="294" w:name="_Toc432079165"/>
      <w:bookmarkStart w:id="295" w:name="_Toc432080738"/>
      <w:r>
        <w:t>All a</w:t>
      </w:r>
      <w:r w:rsidRPr="00545B14">
        <w:t>dverse events</w:t>
      </w:r>
      <w:bookmarkEnd w:id="289"/>
      <w:bookmarkEnd w:id="290"/>
      <w:bookmarkEnd w:id="291"/>
      <w:bookmarkEnd w:id="292"/>
      <w:bookmarkEnd w:id="293"/>
      <w:bookmarkEnd w:id="294"/>
      <w:bookmarkEnd w:id="295"/>
      <w:r>
        <w:t xml:space="preserve"> and treatment-emergent adverse events (overview)</w:t>
      </w:r>
    </w:p>
    <w:p w14:paraId="0B3C72A0" w14:textId="77777777" w:rsidR="007C0FDC" w:rsidRPr="00906AAC" w:rsidRDefault="007C0FDC" w:rsidP="00632B18">
      <w:pPr>
        <w:pStyle w:val="Heading5"/>
        <w:rPr>
          <w:lang w:eastAsia="ja-JP"/>
        </w:rPr>
      </w:pPr>
      <w:r w:rsidRPr="00906AAC">
        <w:rPr>
          <w:lang w:eastAsia="ja-JP"/>
        </w:rPr>
        <w:t>Study 20120262 (RA patients)</w:t>
      </w:r>
    </w:p>
    <w:p w14:paraId="29061607" w14:textId="77777777" w:rsidR="007C0FDC" w:rsidRDefault="007C0FDC" w:rsidP="007C0FDC">
      <w:pPr>
        <w:rPr>
          <w:lang w:eastAsia="ja-JP"/>
        </w:rPr>
      </w:pPr>
      <w:r>
        <w:rPr>
          <w:lang w:eastAsia="ja-JP"/>
        </w:rPr>
        <w:t>52.3% of all subjects had at least 1 adverse event, and this was similar in each treatment group (50.0% in the ABP 501 group and 54.6% in the adalimumab group). 20.0% had a TEAE (18.9%; 21.0%). 5 subjects had a TEAE with a Grade ≥ 3 (1.1%; 0.8%). An overall summary of AEs/TEAEs for this study is shown in Table 29.</w:t>
      </w:r>
    </w:p>
    <w:p w14:paraId="6987E355" w14:textId="5E6845D0" w:rsidR="007C0FDC" w:rsidRPr="00616D73" w:rsidRDefault="007C0FDC" w:rsidP="00632B18">
      <w:pPr>
        <w:pStyle w:val="Tabletitle"/>
      </w:pPr>
      <w:bookmarkStart w:id="296" w:name="_Ref460228504"/>
      <w:bookmarkStart w:id="297" w:name="_Toc471285620"/>
      <w:r w:rsidRPr="00616D73">
        <w:t xml:space="preserve">Table </w:t>
      </w:r>
      <w:r>
        <w:t>29:</w:t>
      </w:r>
      <w:bookmarkEnd w:id="296"/>
      <w:r w:rsidRPr="00616D73">
        <w:t xml:space="preserve"> Study 20120262 </w:t>
      </w:r>
      <w:r w:rsidRPr="00632B18">
        <w:t>Overall</w:t>
      </w:r>
      <w:r w:rsidRPr="00616D73">
        <w:t xml:space="preserve"> </w:t>
      </w:r>
      <w:r w:rsidR="007A0BC6" w:rsidRPr="00616D73">
        <w:t xml:space="preserve">summary of adverse events by treatment </w:t>
      </w:r>
      <w:r w:rsidRPr="00616D73">
        <w:t>(Safety Analysis Set)</w:t>
      </w:r>
      <w:bookmarkEnd w:id="297"/>
    </w:p>
    <w:p w14:paraId="1D291716" w14:textId="77777777" w:rsidR="007C0FDC" w:rsidRDefault="007C0FDC" w:rsidP="007C0FDC">
      <w:pPr>
        <w:rPr>
          <w:lang w:eastAsia="ja-JP"/>
        </w:rPr>
      </w:pPr>
      <w:r>
        <w:rPr>
          <w:noProof/>
          <w:lang w:eastAsia="en-AU"/>
        </w:rPr>
        <w:drawing>
          <wp:inline distT="0" distB="0" distL="0" distR="0" wp14:anchorId="05D68738" wp14:editId="120E1689">
            <wp:extent cx="4375729" cy="2648310"/>
            <wp:effectExtent l="0" t="0" r="6350" b="0"/>
            <wp:docPr id="310" name="Picture 310" descr="Table 29: Study 20120262: Overall Summary of Adverse Events by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lum bright="-20000" contrast="40000"/>
                      <a:extLst>
                        <a:ext uri="{28A0092B-C50C-407E-A947-70E740481C1C}">
                          <a14:useLocalDpi xmlns:a14="http://schemas.microsoft.com/office/drawing/2010/main" val="0"/>
                        </a:ext>
                      </a:extLst>
                    </a:blip>
                    <a:srcRect b="4361"/>
                    <a:stretch/>
                  </pic:blipFill>
                  <pic:spPr bwMode="auto">
                    <a:xfrm>
                      <a:off x="0" y="0"/>
                      <a:ext cx="4384861" cy="2653837"/>
                    </a:xfrm>
                    <a:prstGeom prst="rect">
                      <a:avLst/>
                    </a:prstGeom>
                    <a:noFill/>
                    <a:ln>
                      <a:noFill/>
                    </a:ln>
                    <a:extLst>
                      <a:ext uri="{53640926-AAD7-44D8-BBD7-CCE9431645EC}">
                        <a14:shadowObscured xmlns:a14="http://schemas.microsoft.com/office/drawing/2010/main"/>
                      </a:ext>
                    </a:extLst>
                  </pic:spPr>
                </pic:pic>
              </a:graphicData>
            </a:graphic>
          </wp:inline>
        </w:drawing>
      </w:r>
    </w:p>
    <w:p w14:paraId="4C676D59" w14:textId="77777777" w:rsidR="007C0FDC" w:rsidRDefault="007C0FDC" w:rsidP="00632B18">
      <w:pPr>
        <w:pStyle w:val="Heading4"/>
      </w:pPr>
      <w:r w:rsidRPr="00906AAC">
        <w:t xml:space="preserve">Study </w:t>
      </w:r>
      <w:r>
        <w:t>20120263</w:t>
      </w:r>
      <w:r w:rsidRPr="00906AAC">
        <w:t xml:space="preserve"> (</w:t>
      </w:r>
      <w:r>
        <w:t>Psoriasis</w:t>
      </w:r>
      <w:r w:rsidRPr="00906AAC">
        <w:t xml:space="preserve"> </w:t>
      </w:r>
      <w:r w:rsidRPr="00632B18">
        <w:t>patients</w:t>
      </w:r>
      <w:r w:rsidRPr="00906AAC">
        <w:t>)</w:t>
      </w:r>
    </w:p>
    <w:p w14:paraId="36DADEAD" w14:textId="77777777" w:rsidR="007C0FDC" w:rsidRDefault="007C0FDC" w:rsidP="007C0FDC">
      <w:pPr>
        <w:rPr>
          <w:lang w:eastAsia="ja-JP"/>
        </w:rPr>
      </w:pPr>
      <w:r>
        <w:rPr>
          <w:lang w:eastAsia="ja-JP"/>
        </w:rPr>
        <w:t>Up to Week 16, 65.4</w:t>
      </w:r>
      <w:r w:rsidRPr="002C4FE1">
        <w:rPr>
          <w:lang w:eastAsia="ja-JP"/>
        </w:rPr>
        <w:t xml:space="preserve">% of all subjects had at </w:t>
      </w:r>
      <w:r>
        <w:rPr>
          <w:lang w:eastAsia="ja-JP"/>
        </w:rPr>
        <w:t xml:space="preserve">least 1 adverse event </w:t>
      </w:r>
      <w:r w:rsidRPr="002C4FE1">
        <w:rPr>
          <w:lang w:eastAsia="ja-JP"/>
        </w:rPr>
        <w:t>(</w:t>
      </w:r>
      <w:r>
        <w:rPr>
          <w:lang w:eastAsia="ja-JP"/>
        </w:rPr>
        <w:t>67.2% in the ABP 501 group and 63.6</w:t>
      </w:r>
      <w:r w:rsidRPr="002C4FE1">
        <w:rPr>
          <w:lang w:eastAsia="ja-JP"/>
        </w:rPr>
        <w:t xml:space="preserve">% in the adalimumab group). </w:t>
      </w:r>
      <w:r>
        <w:rPr>
          <w:lang w:eastAsia="ja-JP"/>
        </w:rPr>
        <w:t>24.8</w:t>
      </w:r>
      <w:r w:rsidRPr="002C4FE1">
        <w:rPr>
          <w:lang w:eastAsia="ja-JP"/>
        </w:rPr>
        <w:t>% had a TEAE (</w:t>
      </w:r>
      <w:r>
        <w:rPr>
          <w:lang w:eastAsia="ja-JP"/>
        </w:rPr>
        <w:t>24.7</w:t>
      </w:r>
      <w:r w:rsidRPr="002C4FE1">
        <w:rPr>
          <w:lang w:eastAsia="ja-JP"/>
        </w:rPr>
        <w:t xml:space="preserve">%; </w:t>
      </w:r>
      <w:r>
        <w:rPr>
          <w:lang w:eastAsia="ja-JP"/>
        </w:rPr>
        <w:t>24.9</w:t>
      </w:r>
      <w:r w:rsidRPr="002C4FE1">
        <w:rPr>
          <w:lang w:eastAsia="ja-JP"/>
        </w:rPr>
        <w:t xml:space="preserve">%). </w:t>
      </w:r>
      <w:r w:rsidRPr="001C454C">
        <w:rPr>
          <w:lang w:eastAsia="ja-JP"/>
        </w:rPr>
        <w:t xml:space="preserve">An overall summary of AEs/TEAEs for this study </w:t>
      </w:r>
      <w:r>
        <w:rPr>
          <w:lang w:eastAsia="ja-JP"/>
        </w:rPr>
        <w:t xml:space="preserve">up to Week 16 </w:t>
      </w:r>
      <w:r w:rsidRPr="001C454C">
        <w:rPr>
          <w:lang w:eastAsia="ja-JP"/>
        </w:rPr>
        <w:t>is shown in</w:t>
      </w:r>
      <w:r>
        <w:rPr>
          <w:lang w:eastAsia="ja-JP"/>
        </w:rPr>
        <w:t xml:space="preserve"> Table 30</w:t>
      </w:r>
      <w:r w:rsidRPr="001C454C">
        <w:rPr>
          <w:lang w:eastAsia="ja-JP"/>
        </w:rPr>
        <w:t>.</w:t>
      </w:r>
    </w:p>
    <w:p w14:paraId="059D698B" w14:textId="194DF797" w:rsidR="007C0FDC" w:rsidRPr="00A8668C" w:rsidRDefault="007C0FDC" w:rsidP="00632B18">
      <w:pPr>
        <w:pStyle w:val="Tabletitle"/>
      </w:pPr>
      <w:bookmarkStart w:id="298" w:name="_Ref460241686"/>
      <w:bookmarkStart w:id="299" w:name="_Toc471285621"/>
      <w:r w:rsidRPr="00A8668C">
        <w:lastRenderedPageBreak/>
        <w:t xml:space="preserve">Table </w:t>
      </w:r>
      <w:r>
        <w:t>30:</w:t>
      </w:r>
      <w:bookmarkEnd w:id="298"/>
      <w:r w:rsidRPr="00A8668C">
        <w:t xml:space="preserve"> Study 20120263: Overall </w:t>
      </w:r>
      <w:r w:rsidR="007A0BC6" w:rsidRPr="00A8668C">
        <w:t xml:space="preserve">summary of adverse events by treatment up </w:t>
      </w:r>
      <w:r w:rsidR="007A0BC6">
        <w:t xml:space="preserve">to </w:t>
      </w:r>
      <w:r>
        <w:t>Week</w:t>
      </w:r>
      <w:r w:rsidR="007A0BC6">
        <w:t> </w:t>
      </w:r>
      <w:r>
        <w:t>16</w:t>
      </w:r>
      <w:r w:rsidRPr="00A8668C">
        <w:t xml:space="preserve"> (Safety Analysis Set)</w:t>
      </w:r>
      <w:bookmarkEnd w:id="299"/>
    </w:p>
    <w:p w14:paraId="02E6B30C" w14:textId="77777777" w:rsidR="007C0FDC" w:rsidRPr="00342EC5" w:rsidRDefault="007C0FDC" w:rsidP="007C0FDC">
      <w:pPr>
        <w:rPr>
          <w:lang w:eastAsia="ja-JP"/>
        </w:rPr>
      </w:pPr>
      <w:r>
        <w:rPr>
          <w:noProof/>
          <w:lang w:eastAsia="en-AU"/>
        </w:rPr>
        <w:drawing>
          <wp:inline distT="0" distB="0" distL="0" distR="0" wp14:anchorId="4183392C" wp14:editId="3AF09DEB">
            <wp:extent cx="4786132" cy="2351121"/>
            <wp:effectExtent l="0" t="0" r="0" b="11430"/>
            <wp:docPr id="312" name="Picture 312" descr="Table 30: Study 20120263: Overall Summary of Adverse Events by Treatment up to week 1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biLevel thresh="75000"/>
                      <a:extLst>
                        <a:ext uri="{28A0092B-C50C-407E-A947-70E740481C1C}">
                          <a14:useLocalDpi xmlns:a14="http://schemas.microsoft.com/office/drawing/2010/main" val="0"/>
                        </a:ext>
                      </a:extLst>
                    </a:blip>
                    <a:srcRect/>
                    <a:stretch>
                      <a:fillRect/>
                    </a:stretch>
                  </pic:blipFill>
                  <pic:spPr bwMode="auto">
                    <a:xfrm>
                      <a:off x="0" y="0"/>
                      <a:ext cx="4791028" cy="2353526"/>
                    </a:xfrm>
                    <a:prstGeom prst="rect">
                      <a:avLst/>
                    </a:prstGeom>
                    <a:noFill/>
                    <a:ln>
                      <a:noFill/>
                    </a:ln>
                  </pic:spPr>
                </pic:pic>
              </a:graphicData>
            </a:graphic>
          </wp:inline>
        </w:drawing>
      </w:r>
    </w:p>
    <w:p w14:paraId="676F73A7" w14:textId="5F202C67" w:rsidR="007C0FDC" w:rsidRPr="007C41D3" w:rsidRDefault="007C0FDC" w:rsidP="00632B18">
      <w:pPr>
        <w:rPr>
          <w:lang w:eastAsia="ja-JP"/>
        </w:rPr>
      </w:pPr>
      <w:r>
        <w:rPr>
          <w:lang w:eastAsia="ja-JP"/>
        </w:rPr>
        <w:t>Using post Week 16 data</w:t>
      </w:r>
      <w:r w:rsidRPr="007C41D3">
        <w:rPr>
          <w:lang w:eastAsia="ja-JP"/>
        </w:rPr>
        <w:t xml:space="preserve">, </w:t>
      </w:r>
      <w:r>
        <w:rPr>
          <w:lang w:eastAsia="ja-JP"/>
        </w:rPr>
        <w:t xml:space="preserve">the proportion of all AEs was slightly lower in the </w:t>
      </w:r>
      <w:r w:rsidRPr="00A25453">
        <w:rPr>
          <w:lang w:eastAsia="ja-JP"/>
        </w:rPr>
        <w:t>adalimumab/adalimumab</w:t>
      </w:r>
      <w:r>
        <w:rPr>
          <w:lang w:eastAsia="ja-JP"/>
        </w:rPr>
        <w:t xml:space="preserve"> group (65.8%) compared to the ABP 501/ABP 501 (71.7%) and </w:t>
      </w:r>
      <w:r w:rsidRPr="00A25453">
        <w:rPr>
          <w:lang w:eastAsia="ja-JP"/>
        </w:rPr>
        <w:t>adalimumab/ABP 501</w:t>
      </w:r>
      <w:r>
        <w:rPr>
          <w:lang w:eastAsia="ja-JP"/>
        </w:rPr>
        <w:t xml:space="preserve"> (70.1%) groups. However, the proportion of TEAEs was lowest in the ABP 501/ABP 501 group (18.4% versus 22.8% versus 26.0%). 12 subjects had a TEAE with a </w:t>
      </w:r>
      <w:r w:rsidR="007A0BC6">
        <w:rPr>
          <w:lang w:eastAsia="ja-JP"/>
        </w:rPr>
        <w:t xml:space="preserve">Grade </w:t>
      </w:r>
      <w:r>
        <w:rPr>
          <w:lang w:eastAsia="ja-JP"/>
        </w:rPr>
        <w:t xml:space="preserve">≥ 3 (4.6%; 2.5%; 3.9%). </w:t>
      </w:r>
      <w:r w:rsidRPr="007C41D3">
        <w:rPr>
          <w:lang w:eastAsia="ja-JP"/>
        </w:rPr>
        <w:t xml:space="preserve">An overall summary of AEs/TEAEs for this study </w:t>
      </w:r>
      <w:r>
        <w:rPr>
          <w:lang w:eastAsia="ja-JP"/>
        </w:rPr>
        <w:t>post Week 16</w:t>
      </w:r>
      <w:r w:rsidRPr="007C41D3">
        <w:rPr>
          <w:lang w:eastAsia="ja-JP"/>
        </w:rPr>
        <w:t xml:space="preserve"> is shown in</w:t>
      </w:r>
      <w:r>
        <w:rPr>
          <w:lang w:eastAsia="ja-JP"/>
        </w:rPr>
        <w:t xml:space="preserve"> Table 31</w:t>
      </w:r>
      <w:r w:rsidRPr="007C41D3">
        <w:rPr>
          <w:lang w:eastAsia="ja-JP"/>
        </w:rPr>
        <w:t>.</w:t>
      </w:r>
    </w:p>
    <w:p w14:paraId="39B4B286" w14:textId="48955135" w:rsidR="007C0FDC" w:rsidRPr="007C41D3" w:rsidRDefault="007C0FDC" w:rsidP="00632B18">
      <w:pPr>
        <w:pStyle w:val="Tabletitle"/>
      </w:pPr>
      <w:bookmarkStart w:id="300" w:name="_Ref460242418"/>
      <w:bookmarkStart w:id="301" w:name="_Toc471285622"/>
      <w:r w:rsidRPr="007C41D3">
        <w:t xml:space="preserve">Table </w:t>
      </w:r>
      <w:r>
        <w:t>31</w:t>
      </w:r>
      <w:bookmarkEnd w:id="300"/>
      <w:r>
        <w:t>:</w:t>
      </w:r>
      <w:r w:rsidRPr="007C41D3">
        <w:t xml:space="preserve"> Study </w:t>
      </w:r>
      <w:r w:rsidRPr="00632B18">
        <w:t>20120263</w:t>
      </w:r>
      <w:r w:rsidRPr="007C41D3">
        <w:t xml:space="preserve"> Overall </w:t>
      </w:r>
      <w:r w:rsidR="000E5622" w:rsidRPr="007C41D3">
        <w:t>summary of adverse events by treatment</w:t>
      </w:r>
      <w:r w:rsidRPr="007C41D3">
        <w:t xml:space="preserve"> </w:t>
      </w:r>
      <w:r>
        <w:t>post</w:t>
      </w:r>
      <w:r w:rsidR="009B0FB8">
        <w:noBreakHyphen/>
      </w:r>
      <w:r>
        <w:t>Week</w:t>
      </w:r>
      <w:r w:rsidR="000E5622">
        <w:t> </w:t>
      </w:r>
      <w:r>
        <w:t>16</w:t>
      </w:r>
      <w:r w:rsidRPr="007C41D3">
        <w:t xml:space="preserve"> (Safety Analysis Set)</w:t>
      </w:r>
      <w:bookmarkEnd w:id="301"/>
    </w:p>
    <w:p w14:paraId="64319BE3" w14:textId="77777777" w:rsidR="007C0FDC" w:rsidRDefault="007C0FDC" w:rsidP="007C0FDC">
      <w:pPr>
        <w:rPr>
          <w:u w:val="single"/>
          <w:lang w:eastAsia="ja-JP"/>
        </w:rPr>
      </w:pPr>
      <w:r>
        <w:rPr>
          <w:noProof/>
          <w:u w:val="single"/>
          <w:lang w:eastAsia="en-AU"/>
        </w:rPr>
        <w:drawing>
          <wp:inline distT="0" distB="0" distL="0" distR="0" wp14:anchorId="29DA9873" wp14:editId="0CD2498E">
            <wp:extent cx="4832430" cy="2768265"/>
            <wp:effectExtent l="0" t="0" r="0" b="635"/>
            <wp:docPr id="313" name="Picture 313" descr="Table 31: Study 20120263: Overall Summary of Adverse Events by Treatment post Week 1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biLevel thresh="75000"/>
                      <a:extLst>
                        <a:ext uri="{28A0092B-C50C-407E-A947-70E740481C1C}">
                          <a14:useLocalDpi xmlns:a14="http://schemas.microsoft.com/office/drawing/2010/main" val="0"/>
                        </a:ext>
                      </a:extLst>
                    </a:blip>
                    <a:srcRect/>
                    <a:stretch>
                      <a:fillRect/>
                    </a:stretch>
                  </pic:blipFill>
                  <pic:spPr bwMode="auto">
                    <a:xfrm>
                      <a:off x="0" y="0"/>
                      <a:ext cx="4829274" cy="2766457"/>
                    </a:xfrm>
                    <a:prstGeom prst="rect">
                      <a:avLst/>
                    </a:prstGeom>
                    <a:noFill/>
                    <a:ln>
                      <a:noFill/>
                    </a:ln>
                  </pic:spPr>
                </pic:pic>
              </a:graphicData>
            </a:graphic>
          </wp:inline>
        </w:drawing>
      </w:r>
    </w:p>
    <w:p w14:paraId="5E36522B" w14:textId="32988D92" w:rsidR="007C0FDC" w:rsidRPr="00147B38" w:rsidRDefault="007C0FDC" w:rsidP="00632B18">
      <w:pPr>
        <w:pStyle w:val="Tabletitle"/>
      </w:pPr>
      <w:bookmarkStart w:id="302" w:name="_Toc471285623"/>
      <w:r w:rsidRPr="00147B38">
        <w:lastRenderedPageBreak/>
        <w:t xml:space="preserve">Table </w:t>
      </w:r>
      <w:r>
        <w:t>32:</w:t>
      </w:r>
      <w:r w:rsidRPr="00147B38">
        <w:t xml:space="preserve"> Study 20120263 Overall </w:t>
      </w:r>
      <w:r w:rsidR="007A0BC6" w:rsidRPr="00147B38">
        <w:t xml:space="preserve">summary of adverse events by treatment (entire study) </w:t>
      </w:r>
      <w:r w:rsidRPr="00147B38">
        <w:t xml:space="preserve">(Safety </w:t>
      </w:r>
      <w:r w:rsidRPr="00632B18">
        <w:t>Analysis</w:t>
      </w:r>
      <w:r w:rsidRPr="00147B38">
        <w:t xml:space="preserve"> Set)</w:t>
      </w:r>
      <w:bookmarkEnd w:id="302"/>
    </w:p>
    <w:p w14:paraId="64FB1B61" w14:textId="77777777" w:rsidR="007C0FDC" w:rsidRDefault="007C0FDC" w:rsidP="007C0FDC">
      <w:pPr>
        <w:rPr>
          <w:u w:val="single"/>
          <w:lang w:eastAsia="ja-JP"/>
        </w:rPr>
      </w:pPr>
      <w:r>
        <w:rPr>
          <w:noProof/>
          <w:u w:val="single"/>
          <w:lang w:eastAsia="en-AU"/>
        </w:rPr>
        <w:drawing>
          <wp:inline distT="0" distB="0" distL="0" distR="0" wp14:anchorId="113D8CC4" wp14:editId="014DF56D">
            <wp:extent cx="5731510" cy="3103476"/>
            <wp:effectExtent l="0" t="0" r="2540" b="1905"/>
            <wp:docPr id="314" name="Picture 314" descr="Table 32: Study 20120263: Overall Summary of Adverse Events by Treatment (Entire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1510" cy="3103476"/>
                    </a:xfrm>
                    <a:prstGeom prst="rect">
                      <a:avLst/>
                    </a:prstGeom>
                    <a:noFill/>
                    <a:ln>
                      <a:noFill/>
                    </a:ln>
                  </pic:spPr>
                </pic:pic>
              </a:graphicData>
            </a:graphic>
          </wp:inline>
        </w:drawing>
      </w:r>
    </w:p>
    <w:p w14:paraId="10563753" w14:textId="77777777" w:rsidR="007C0FDC" w:rsidRDefault="007C0FDC" w:rsidP="00632B18">
      <w:pPr>
        <w:pStyle w:val="Heading5"/>
        <w:rPr>
          <w:lang w:eastAsia="ja-JP"/>
        </w:rPr>
      </w:pPr>
      <w:r w:rsidRPr="004A6FF6">
        <w:rPr>
          <w:lang w:eastAsia="ja-JP"/>
        </w:rPr>
        <w:t xml:space="preserve">Study </w:t>
      </w:r>
      <w:r w:rsidRPr="00632B18">
        <w:t>20110217</w:t>
      </w:r>
      <w:r w:rsidRPr="004A6FF6">
        <w:rPr>
          <w:lang w:eastAsia="ja-JP"/>
        </w:rPr>
        <w:t xml:space="preserve"> (PK study in healthy subjects)</w:t>
      </w:r>
    </w:p>
    <w:p w14:paraId="569531E2" w14:textId="77777777" w:rsidR="007C0FDC" w:rsidRPr="005C25BD" w:rsidRDefault="007C0FDC" w:rsidP="007C0FDC">
      <w:pPr>
        <w:pStyle w:val="Caption"/>
        <w:rPr>
          <w:b/>
          <w:sz w:val="22"/>
          <w:szCs w:val="22"/>
        </w:rPr>
      </w:pPr>
      <w:r w:rsidRPr="005C25BD">
        <w:rPr>
          <w:sz w:val="22"/>
          <w:szCs w:val="22"/>
          <w:lang w:eastAsia="ja-JP"/>
        </w:rPr>
        <w:t>58.1% of all subjects had at least 1 adverse event. There were notable differences between groups in both AE and TEAE groups (</w:t>
      </w:r>
      <w:r>
        <w:rPr>
          <w:sz w:val="22"/>
          <w:szCs w:val="22"/>
          <w:lang w:eastAsia="ja-JP"/>
        </w:rPr>
        <w:t>Table 33</w:t>
      </w:r>
      <w:r w:rsidRPr="005C25BD">
        <w:rPr>
          <w:sz w:val="22"/>
          <w:szCs w:val="22"/>
          <w:lang w:eastAsia="ja-JP"/>
        </w:rPr>
        <w:t>). With regard to TEAEs, the percentages were 35.8% (ABP 501), 24.6% (adalimumab (US)), and 41.8% (adalimumab (EU)).</w:t>
      </w:r>
    </w:p>
    <w:p w14:paraId="34A796ED" w14:textId="298484B7" w:rsidR="007C0FDC" w:rsidRPr="00620B3D" w:rsidRDefault="007C0FDC" w:rsidP="00632B18">
      <w:pPr>
        <w:pStyle w:val="Tabletitle"/>
      </w:pPr>
      <w:bookmarkStart w:id="303" w:name="_Ref460245642"/>
      <w:bookmarkStart w:id="304" w:name="_Toc471285624"/>
      <w:r w:rsidRPr="00620B3D">
        <w:t xml:space="preserve">Table </w:t>
      </w:r>
      <w:r>
        <w:t>33:</w:t>
      </w:r>
      <w:bookmarkEnd w:id="303"/>
      <w:r w:rsidRPr="00620B3D">
        <w:t xml:space="preserve"> Study 20110217 </w:t>
      </w:r>
      <w:r w:rsidR="007A0BC6" w:rsidRPr="00620B3D">
        <w:t>overall summary of adverse events by treatment (Safety Analysis Set)</w:t>
      </w:r>
      <w:bookmarkEnd w:id="304"/>
    </w:p>
    <w:p w14:paraId="1C55C430" w14:textId="77777777" w:rsidR="007C0FDC" w:rsidRDefault="007C0FDC" w:rsidP="007C0FDC">
      <w:pPr>
        <w:rPr>
          <w:lang w:eastAsia="ja-JP"/>
        </w:rPr>
      </w:pPr>
      <w:r>
        <w:rPr>
          <w:noProof/>
          <w:lang w:eastAsia="en-AU"/>
        </w:rPr>
        <w:drawing>
          <wp:inline distT="0" distB="0" distL="0" distR="0" wp14:anchorId="26CD0F3F" wp14:editId="0C47E072">
            <wp:extent cx="4415742" cy="2132825"/>
            <wp:effectExtent l="0" t="0" r="4445" b="1270"/>
            <wp:docPr id="311" name="Picture 311" descr="Table 33: Study 20110217: Overall Summary of Adverse Events by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biLevel thresh="75000"/>
                      <a:extLst>
                        <a:ext uri="{28A0092B-C50C-407E-A947-70E740481C1C}">
                          <a14:useLocalDpi xmlns:a14="http://schemas.microsoft.com/office/drawing/2010/main" val="0"/>
                        </a:ext>
                      </a:extLst>
                    </a:blip>
                    <a:srcRect/>
                    <a:stretch>
                      <a:fillRect/>
                    </a:stretch>
                  </pic:blipFill>
                  <pic:spPr bwMode="auto">
                    <a:xfrm>
                      <a:off x="0" y="0"/>
                      <a:ext cx="4418935" cy="2134367"/>
                    </a:xfrm>
                    <a:prstGeom prst="rect">
                      <a:avLst/>
                    </a:prstGeom>
                    <a:noFill/>
                    <a:ln>
                      <a:noFill/>
                    </a:ln>
                  </pic:spPr>
                </pic:pic>
              </a:graphicData>
            </a:graphic>
          </wp:inline>
        </w:drawing>
      </w:r>
    </w:p>
    <w:p w14:paraId="215420DC" w14:textId="77777777" w:rsidR="007C0FDC" w:rsidRPr="00183E85" w:rsidRDefault="007C0FDC" w:rsidP="007C0FDC">
      <w:pPr>
        <w:pStyle w:val="Heading4"/>
        <w:numPr>
          <w:ilvl w:val="2"/>
          <w:numId w:val="5"/>
        </w:numPr>
      </w:pPr>
      <w:bookmarkStart w:id="305" w:name="_Toc241374320"/>
      <w:bookmarkStart w:id="306" w:name="_Ref272333507"/>
      <w:bookmarkStart w:id="307" w:name="_Toc272414666"/>
      <w:bookmarkStart w:id="308" w:name="_Toc290888530"/>
      <w:bookmarkStart w:id="309" w:name="_Toc416353746"/>
      <w:bookmarkStart w:id="310" w:name="_Toc421005289"/>
      <w:bookmarkStart w:id="311" w:name="_Toc432079166"/>
      <w:bookmarkStart w:id="312" w:name="_Toc432080739"/>
      <w:r>
        <w:t>Common</w:t>
      </w:r>
      <w:r w:rsidRPr="00545B14">
        <w:t xml:space="preserve"> </w:t>
      </w:r>
      <w:r>
        <w:t xml:space="preserve">treatment-emergent </w:t>
      </w:r>
      <w:r w:rsidRPr="00545B14">
        <w:t>adverse events</w:t>
      </w:r>
    </w:p>
    <w:p w14:paraId="337D4CF9" w14:textId="77777777" w:rsidR="007C0FDC" w:rsidRDefault="007C0FDC" w:rsidP="00632B18">
      <w:pPr>
        <w:pStyle w:val="Heading5"/>
        <w:rPr>
          <w:lang w:eastAsia="ja-JP"/>
        </w:rPr>
      </w:pPr>
      <w:r w:rsidRPr="00906AAC">
        <w:rPr>
          <w:lang w:eastAsia="ja-JP"/>
        </w:rPr>
        <w:t>Study 20120262 (RA patients)</w:t>
      </w:r>
    </w:p>
    <w:p w14:paraId="68FEB702" w14:textId="77777777" w:rsidR="007C0FDC" w:rsidRPr="00383709" w:rsidRDefault="007C0FDC" w:rsidP="00632B18">
      <w:pPr>
        <w:rPr>
          <w:lang w:eastAsia="ja-JP"/>
        </w:rPr>
      </w:pPr>
      <w:r>
        <w:rPr>
          <w:lang w:eastAsia="ja-JP"/>
        </w:rPr>
        <w:t>The most common adverse event by preferred term (≥ 5% overall) was nasopharyngitis (6.8%), and the proportions were similar between the two groups.</w:t>
      </w:r>
    </w:p>
    <w:p w14:paraId="0EBFBDAB" w14:textId="77777777" w:rsidR="007C0FDC" w:rsidRDefault="007C0FDC" w:rsidP="00632B18">
      <w:pPr>
        <w:pStyle w:val="Heading5"/>
        <w:rPr>
          <w:lang w:eastAsia="ja-JP"/>
        </w:rPr>
      </w:pPr>
      <w:r w:rsidRPr="00906AAC">
        <w:rPr>
          <w:lang w:eastAsia="ja-JP"/>
        </w:rPr>
        <w:t xml:space="preserve">Study </w:t>
      </w:r>
      <w:r>
        <w:rPr>
          <w:lang w:eastAsia="ja-JP"/>
        </w:rPr>
        <w:t>20120263</w:t>
      </w:r>
      <w:r w:rsidRPr="00906AAC">
        <w:rPr>
          <w:lang w:eastAsia="ja-JP"/>
        </w:rPr>
        <w:t xml:space="preserve"> (</w:t>
      </w:r>
      <w:r w:rsidRPr="00632B18">
        <w:t>Psoriasis</w:t>
      </w:r>
      <w:r w:rsidRPr="00906AAC">
        <w:rPr>
          <w:lang w:eastAsia="ja-JP"/>
        </w:rPr>
        <w:t xml:space="preserve"> patients)</w:t>
      </w:r>
    </w:p>
    <w:p w14:paraId="6CDBF8D9" w14:textId="3C7A3734" w:rsidR="007C0FDC" w:rsidRDefault="007C0FDC" w:rsidP="007C0FDC">
      <w:pPr>
        <w:rPr>
          <w:lang w:eastAsia="ja-JP"/>
        </w:rPr>
      </w:pPr>
      <w:r>
        <w:rPr>
          <w:lang w:eastAsia="ja-JP"/>
        </w:rPr>
        <w:t>Up to Week 16, the most common adverse events by preferred term (≥</w:t>
      </w:r>
      <w:r w:rsidR="007A0BC6">
        <w:rPr>
          <w:lang w:eastAsia="ja-JP"/>
        </w:rPr>
        <w:t xml:space="preserve"> </w:t>
      </w:r>
      <w:r>
        <w:rPr>
          <w:lang w:eastAsia="ja-JP"/>
        </w:rPr>
        <w:t>5% overall) were nasopharyngitis (15.0%), headache (8.6%), and upper respiratory tract infection (5.2%), and the proportions were similar between the two groups.</w:t>
      </w:r>
    </w:p>
    <w:p w14:paraId="4DE691B8" w14:textId="5BE434B3" w:rsidR="007C0FDC" w:rsidRDefault="007C0FDC" w:rsidP="007C0FDC">
      <w:pPr>
        <w:rPr>
          <w:lang w:eastAsia="ja-JP"/>
        </w:rPr>
      </w:pPr>
      <w:r>
        <w:rPr>
          <w:lang w:eastAsia="ja-JP"/>
        </w:rPr>
        <w:lastRenderedPageBreak/>
        <w:t xml:space="preserve">Post </w:t>
      </w:r>
      <w:r w:rsidR="007A0BC6">
        <w:rPr>
          <w:lang w:eastAsia="ja-JP"/>
        </w:rPr>
        <w:t xml:space="preserve">Week </w:t>
      </w:r>
      <w:r>
        <w:rPr>
          <w:lang w:eastAsia="ja-JP"/>
        </w:rPr>
        <w:t>16, the most common adverse events by preferred term (≥</w:t>
      </w:r>
      <w:r w:rsidR="007A0BC6">
        <w:rPr>
          <w:lang w:eastAsia="ja-JP"/>
        </w:rPr>
        <w:t xml:space="preserve"> </w:t>
      </w:r>
      <w:r>
        <w:rPr>
          <w:lang w:eastAsia="ja-JP"/>
        </w:rPr>
        <w:t>5% overall) were nasopharyngitis (18.5%), upper respiratory tract infection (7.1%), and psoriasis (6.2%), and the proportions were similar across the 3 groups.</w:t>
      </w:r>
    </w:p>
    <w:p w14:paraId="21712779" w14:textId="77777777" w:rsidR="007C0FDC" w:rsidRPr="00383709" w:rsidRDefault="007C0FDC" w:rsidP="007C0FDC">
      <w:pPr>
        <w:rPr>
          <w:lang w:eastAsia="ja-JP"/>
        </w:rPr>
      </w:pPr>
      <w:r>
        <w:rPr>
          <w:lang w:eastAsia="ja-JP"/>
        </w:rPr>
        <w:t>Across the entire study, the most frequently reported adverse events were similar between all treatment groups, including the group that underwent a single transition from adalimumab to ABP 501.</w:t>
      </w:r>
    </w:p>
    <w:p w14:paraId="0D040874" w14:textId="77777777" w:rsidR="007C0FDC" w:rsidRPr="004A6FF6" w:rsidRDefault="007C0FDC" w:rsidP="004C2A23">
      <w:pPr>
        <w:pStyle w:val="Heading5"/>
        <w:rPr>
          <w:lang w:eastAsia="ja-JP"/>
        </w:rPr>
      </w:pPr>
      <w:r w:rsidRPr="004A6FF6">
        <w:rPr>
          <w:lang w:eastAsia="ja-JP"/>
        </w:rPr>
        <w:t>Study 20110217 (PK study in healthy subjects)</w:t>
      </w:r>
    </w:p>
    <w:p w14:paraId="6EC50628" w14:textId="77777777" w:rsidR="007C0FDC" w:rsidRDefault="007C0FDC" w:rsidP="007C0FDC">
      <w:pPr>
        <w:rPr>
          <w:lang w:eastAsia="ja-JP"/>
        </w:rPr>
      </w:pPr>
      <w:r>
        <w:rPr>
          <w:lang w:eastAsia="ja-JP"/>
        </w:rPr>
        <w:t>58.1% of subjects overall experienced any treatment emergent adverse event. All adverse events were Grade 1 or Grade 2, except for one Grade 3 dermoid cyst. The most common adverse event was headache (23.6%); all other adverse events had a subject incidence of less than 10%. Events were similar between the ABP 501 and adalimumab (US) groups. The adalimumab (EU) group appeared to have a greater incidence of TEAEs.</w:t>
      </w:r>
    </w:p>
    <w:p w14:paraId="178A1954" w14:textId="77777777" w:rsidR="007C0FDC" w:rsidRDefault="007C0FDC" w:rsidP="007C0FDC">
      <w:pPr>
        <w:pStyle w:val="Heading4"/>
        <w:numPr>
          <w:ilvl w:val="2"/>
          <w:numId w:val="5"/>
        </w:numPr>
      </w:pPr>
      <w:bookmarkStart w:id="313" w:name="_Ref460365373"/>
      <w:r w:rsidRPr="00545B14">
        <w:t>Deaths and other serious adverse events</w:t>
      </w:r>
      <w:bookmarkEnd w:id="305"/>
      <w:bookmarkEnd w:id="306"/>
      <w:bookmarkEnd w:id="307"/>
      <w:bookmarkEnd w:id="308"/>
      <w:bookmarkEnd w:id="309"/>
      <w:bookmarkEnd w:id="310"/>
      <w:bookmarkEnd w:id="311"/>
      <w:bookmarkEnd w:id="312"/>
      <w:bookmarkEnd w:id="313"/>
    </w:p>
    <w:p w14:paraId="27FA7B77" w14:textId="77777777" w:rsidR="007C0FDC" w:rsidRDefault="007C0FDC" w:rsidP="004C2A23">
      <w:pPr>
        <w:pStyle w:val="Heading5"/>
        <w:rPr>
          <w:lang w:eastAsia="ja-JP"/>
        </w:rPr>
      </w:pPr>
      <w:r w:rsidRPr="00906AAC">
        <w:rPr>
          <w:lang w:eastAsia="ja-JP"/>
        </w:rPr>
        <w:t>Study 20120262 (RA patients)</w:t>
      </w:r>
    </w:p>
    <w:p w14:paraId="4F5F56CD" w14:textId="77777777" w:rsidR="007C0FDC" w:rsidRDefault="007C0FDC" w:rsidP="007C0FDC">
      <w:pPr>
        <w:rPr>
          <w:lang w:eastAsia="ja-JP"/>
        </w:rPr>
      </w:pPr>
      <w:r>
        <w:rPr>
          <w:lang w:eastAsia="ja-JP"/>
        </w:rPr>
        <w:t>No subject died in this study. Overall the proportion of subjects experiencing a serious treatment-emergent adverse event was 4.4%, 3.8% in the ABP 501 group and 5.0% in the adalimumab group. There were more cardiac disorders in the adalimumab group (4 counts compared to 1 in the ABP 501 group): 2 (0.8%) occurrences of myocardial infarction, one occurrence (0.4%) of congestive cardiac failure and one occurrence (0.4%) of worsening of Wolff-Parkinson-White syndrome (which was pre-existing). Some of the severe adverse events were deemed unrelated to the study drug (for example, humerus fracture or meniscus tear).</w:t>
      </w:r>
    </w:p>
    <w:p w14:paraId="1791D6C2" w14:textId="5CC69729" w:rsidR="007C0FDC" w:rsidRPr="003341B0" w:rsidRDefault="007C0FDC" w:rsidP="007C0FDC">
      <w:pPr>
        <w:rPr>
          <w:lang w:eastAsia="ja-JP"/>
        </w:rPr>
      </w:pPr>
      <w:r>
        <w:rPr>
          <w:lang w:eastAsia="ja-JP"/>
        </w:rPr>
        <w:t>There were 2 (0.8%) subjects with infections/infestations in the ABP 501 group (compared to 3</w:t>
      </w:r>
      <w:r w:rsidR="007A0BC6">
        <w:rPr>
          <w:lang w:eastAsia="ja-JP"/>
        </w:rPr>
        <w:t> </w:t>
      </w:r>
      <w:r>
        <w:rPr>
          <w:lang w:eastAsia="ja-JP"/>
        </w:rPr>
        <w:t>(1.2%) in the adalimumab group). The two subjects in the ABP 501 both had sepsis related to IP: subject [information redacted] had a peritoneal abscess, appendicitis perforated and sepsis; subject [information redacted] had sepsis and pneumonia.</w:t>
      </w:r>
    </w:p>
    <w:p w14:paraId="50E8939D" w14:textId="77777777" w:rsidR="007C0FDC" w:rsidRDefault="007C0FDC" w:rsidP="004C2A23">
      <w:pPr>
        <w:pStyle w:val="Heading5"/>
        <w:rPr>
          <w:lang w:eastAsia="ja-JP"/>
        </w:rPr>
      </w:pPr>
      <w:r w:rsidRPr="00906AAC">
        <w:rPr>
          <w:lang w:eastAsia="ja-JP"/>
        </w:rPr>
        <w:t xml:space="preserve">Study </w:t>
      </w:r>
      <w:r>
        <w:rPr>
          <w:lang w:eastAsia="ja-JP"/>
        </w:rPr>
        <w:t>20120263</w:t>
      </w:r>
      <w:r w:rsidRPr="00906AAC">
        <w:rPr>
          <w:lang w:eastAsia="ja-JP"/>
        </w:rPr>
        <w:t xml:space="preserve"> (</w:t>
      </w:r>
      <w:r w:rsidRPr="004C2A23">
        <w:t>Psoriasis</w:t>
      </w:r>
      <w:r w:rsidRPr="00906AAC">
        <w:rPr>
          <w:lang w:eastAsia="ja-JP"/>
        </w:rPr>
        <w:t xml:space="preserve"> patients)</w:t>
      </w:r>
    </w:p>
    <w:p w14:paraId="0573BE4A" w14:textId="49A1DB75" w:rsidR="007C0FDC" w:rsidRPr="003341B0" w:rsidRDefault="007C0FDC" w:rsidP="007C0FDC">
      <w:pPr>
        <w:rPr>
          <w:lang w:eastAsia="ja-JP"/>
        </w:rPr>
      </w:pPr>
      <w:r w:rsidRPr="00236769">
        <w:rPr>
          <w:lang w:eastAsia="ja-JP"/>
        </w:rPr>
        <w:t>No subject died in this study. Overall, 23 of 347 subjects (6.6%) experienced serious TEAEs. Three subjects (13.6%) in the non-re-randomised ABP 501 treatment group experienced a total of 4 serious adverse events including acute myocardial infarction, arrhythmia, hypersensitivity, and lentigo maligna.</w:t>
      </w:r>
    </w:p>
    <w:p w14:paraId="4457BE9A" w14:textId="77777777" w:rsidR="007C0FDC" w:rsidRPr="004A6FF6" w:rsidRDefault="007C0FDC" w:rsidP="004C2A23">
      <w:pPr>
        <w:pStyle w:val="Heading5"/>
        <w:rPr>
          <w:lang w:eastAsia="ja-JP"/>
        </w:rPr>
      </w:pPr>
      <w:r w:rsidRPr="004A6FF6">
        <w:rPr>
          <w:lang w:eastAsia="ja-JP"/>
        </w:rPr>
        <w:t xml:space="preserve">Study </w:t>
      </w:r>
      <w:r w:rsidRPr="004C2A23">
        <w:t>20110217</w:t>
      </w:r>
      <w:r w:rsidRPr="004A6FF6">
        <w:rPr>
          <w:lang w:eastAsia="ja-JP"/>
        </w:rPr>
        <w:t xml:space="preserve"> (PK study in healthy subjects)</w:t>
      </w:r>
    </w:p>
    <w:p w14:paraId="7537E9BE" w14:textId="2B3FD0F8" w:rsidR="007C0FDC" w:rsidRDefault="007C0FDC" w:rsidP="007C0FDC">
      <w:pPr>
        <w:rPr>
          <w:lang w:eastAsia="ja-JP"/>
        </w:rPr>
      </w:pPr>
      <w:r>
        <w:rPr>
          <w:lang w:eastAsia="ja-JP"/>
        </w:rPr>
        <w:t>No subject died in this study. One serious adverse event was reported in the adalimumab (EU) group, but not in the ABP 501 group.</w:t>
      </w:r>
      <w:r w:rsidRPr="00EF45C6">
        <w:rPr>
          <w:lang w:eastAsia="ja-JP"/>
        </w:rPr>
        <w:t xml:space="preserve"> </w:t>
      </w:r>
      <w:r>
        <w:rPr>
          <w:lang w:eastAsia="ja-JP"/>
        </w:rPr>
        <w:t>The subject [information redacted] had a Grade 3 dermoid cyst deemed unrelated to the study drug and was withdrawn from the study due to this event.</w:t>
      </w:r>
      <w:bookmarkStart w:id="314" w:name="_Toc241374325"/>
      <w:bookmarkStart w:id="315" w:name="_Ref272333477"/>
      <w:bookmarkStart w:id="316" w:name="_Toc272414667"/>
      <w:bookmarkStart w:id="317" w:name="_Toc290888531"/>
      <w:bookmarkStart w:id="318" w:name="_Toc416353747"/>
      <w:bookmarkStart w:id="319" w:name="_Toc421005290"/>
      <w:bookmarkStart w:id="320" w:name="_Toc432079167"/>
      <w:bookmarkStart w:id="321" w:name="_Toc432080740"/>
    </w:p>
    <w:p w14:paraId="7D0F0905" w14:textId="77777777" w:rsidR="007C0FDC" w:rsidRDefault="007C0FDC" w:rsidP="007C0FDC">
      <w:pPr>
        <w:pStyle w:val="Heading4"/>
        <w:numPr>
          <w:ilvl w:val="2"/>
          <w:numId w:val="5"/>
        </w:numPr>
      </w:pPr>
      <w:r w:rsidRPr="00545B14">
        <w:t>Discontinuation</w:t>
      </w:r>
      <w:r>
        <w:t>s</w:t>
      </w:r>
      <w:r w:rsidRPr="00545B14">
        <w:t xml:space="preserve"> due to adverse events</w:t>
      </w:r>
      <w:bookmarkStart w:id="322" w:name="_Toc241374321"/>
      <w:bookmarkStart w:id="323" w:name="_Ref271044780"/>
      <w:bookmarkStart w:id="324" w:name="_Ref271196640"/>
      <w:bookmarkStart w:id="325" w:name="_Ref272333085"/>
      <w:bookmarkStart w:id="326" w:name="_Toc272414668"/>
      <w:bookmarkStart w:id="327" w:name="_Toc290888532"/>
      <w:bookmarkStart w:id="328" w:name="_Toc416353748"/>
      <w:bookmarkStart w:id="329" w:name="_Toc421005291"/>
      <w:bookmarkStart w:id="330" w:name="_Toc432079168"/>
      <w:bookmarkStart w:id="331" w:name="_Toc432080741"/>
      <w:bookmarkEnd w:id="314"/>
      <w:bookmarkEnd w:id="315"/>
      <w:bookmarkEnd w:id="316"/>
      <w:bookmarkEnd w:id="317"/>
      <w:bookmarkEnd w:id="318"/>
      <w:bookmarkEnd w:id="319"/>
      <w:bookmarkEnd w:id="320"/>
      <w:bookmarkEnd w:id="321"/>
    </w:p>
    <w:p w14:paraId="44D9ED57" w14:textId="77777777" w:rsidR="007C0FDC" w:rsidRDefault="007C0FDC" w:rsidP="004C2A23">
      <w:pPr>
        <w:pStyle w:val="Heading5"/>
        <w:rPr>
          <w:lang w:eastAsia="ja-JP"/>
        </w:rPr>
      </w:pPr>
      <w:r w:rsidRPr="00906AAC">
        <w:rPr>
          <w:lang w:eastAsia="ja-JP"/>
        </w:rPr>
        <w:t>Study 20120262 (</w:t>
      </w:r>
      <w:r w:rsidRPr="004C2A23">
        <w:t>RA</w:t>
      </w:r>
      <w:r w:rsidRPr="00906AAC">
        <w:rPr>
          <w:lang w:eastAsia="ja-JP"/>
        </w:rPr>
        <w:t xml:space="preserve"> patients)</w:t>
      </w:r>
    </w:p>
    <w:p w14:paraId="77730B6D" w14:textId="77777777" w:rsidR="007C0FDC" w:rsidRPr="00C4030B" w:rsidRDefault="007C0FDC" w:rsidP="007C0FDC">
      <w:pPr>
        <w:rPr>
          <w:lang w:eastAsia="ja-JP"/>
        </w:rPr>
      </w:pPr>
      <w:r w:rsidRPr="00C4030B">
        <w:rPr>
          <w:lang w:eastAsia="ja-JP"/>
        </w:rPr>
        <w:t xml:space="preserve">7 subjects (1.3%) discontinued IP due to a </w:t>
      </w:r>
      <w:r>
        <w:rPr>
          <w:lang w:eastAsia="ja-JP"/>
        </w:rPr>
        <w:t xml:space="preserve">TEAE. </w:t>
      </w:r>
      <w:r w:rsidRPr="00C4030B">
        <w:rPr>
          <w:lang w:eastAsia="ja-JP"/>
        </w:rPr>
        <w:t xml:space="preserve">5 (1.9%) subjects </w:t>
      </w:r>
      <w:r>
        <w:rPr>
          <w:lang w:eastAsia="ja-JP"/>
        </w:rPr>
        <w:t xml:space="preserve">were </w:t>
      </w:r>
      <w:r w:rsidRPr="00C4030B">
        <w:rPr>
          <w:lang w:eastAsia="ja-JP"/>
        </w:rPr>
        <w:t>in the ABP 501 group and 2 (0.8%) subjects in the ada</w:t>
      </w:r>
      <w:r>
        <w:rPr>
          <w:lang w:eastAsia="ja-JP"/>
        </w:rPr>
        <w:t xml:space="preserve">limumab group. </w:t>
      </w:r>
      <w:r w:rsidRPr="00C4030B">
        <w:rPr>
          <w:lang w:eastAsia="ja-JP"/>
        </w:rPr>
        <w:t xml:space="preserve">One subject in the ABP 501 group experienced 2 </w:t>
      </w:r>
      <w:r>
        <w:rPr>
          <w:lang w:eastAsia="ja-JP"/>
        </w:rPr>
        <w:t>TEAEs</w:t>
      </w:r>
      <w:r w:rsidRPr="00C4030B">
        <w:rPr>
          <w:lang w:eastAsia="ja-JP"/>
        </w:rPr>
        <w:t xml:space="preserve"> (pneumonia and hypertension) leading to discontinuation</w:t>
      </w:r>
      <w:r>
        <w:rPr>
          <w:lang w:eastAsia="ja-JP"/>
        </w:rPr>
        <w:t xml:space="preserve">. The TEAEs in the ABP 501 group were </w:t>
      </w:r>
      <w:r w:rsidRPr="00C4030B">
        <w:rPr>
          <w:lang w:eastAsia="ja-JP"/>
        </w:rPr>
        <w:t>pneumonia, cerebrovascular accident, and</w:t>
      </w:r>
      <w:r>
        <w:rPr>
          <w:lang w:eastAsia="ja-JP"/>
        </w:rPr>
        <w:t xml:space="preserve"> hypersensitivity. The TEAE</w:t>
      </w:r>
      <w:r w:rsidRPr="00C4030B">
        <w:rPr>
          <w:lang w:eastAsia="ja-JP"/>
        </w:rPr>
        <w:t xml:space="preserve"> </w:t>
      </w:r>
      <w:r>
        <w:rPr>
          <w:lang w:eastAsia="ja-JP"/>
        </w:rPr>
        <w:t>in the adalimumab group was corneal graft rejection.</w:t>
      </w:r>
    </w:p>
    <w:p w14:paraId="138A5939" w14:textId="77777777" w:rsidR="007C0FDC" w:rsidRDefault="007C0FDC" w:rsidP="004C2A23">
      <w:pPr>
        <w:pStyle w:val="Heading5"/>
        <w:rPr>
          <w:lang w:eastAsia="ja-JP"/>
        </w:rPr>
      </w:pPr>
      <w:r w:rsidRPr="00906AAC">
        <w:rPr>
          <w:lang w:eastAsia="ja-JP"/>
        </w:rPr>
        <w:t xml:space="preserve">Study </w:t>
      </w:r>
      <w:r>
        <w:rPr>
          <w:lang w:eastAsia="ja-JP"/>
        </w:rPr>
        <w:t>20120263</w:t>
      </w:r>
      <w:r w:rsidRPr="00906AAC">
        <w:rPr>
          <w:lang w:eastAsia="ja-JP"/>
        </w:rPr>
        <w:t xml:space="preserve"> (</w:t>
      </w:r>
      <w:r w:rsidRPr="004C2A23">
        <w:t>Psoriasis</w:t>
      </w:r>
      <w:r w:rsidRPr="00906AAC">
        <w:rPr>
          <w:lang w:eastAsia="ja-JP"/>
        </w:rPr>
        <w:t xml:space="preserve"> patients)</w:t>
      </w:r>
    </w:p>
    <w:p w14:paraId="3D8DA6AA" w14:textId="77777777" w:rsidR="007C0FDC" w:rsidRDefault="007C0FDC" w:rsidP="004C2A23">
      <w:pPr>
        <w:rPr>
          <w:lang w:eastAsia="ja-JP"/>
        </w:rPr>
      </w:pPr>
      <w:r w:rsidRPr="00C4030B">
        <w:rPr>
          <w:lang w:eastAsia="ja-JP"/>
        </w:rPr>
        <w:t xml:space="preserve">12 subjects (3.5%) discontinued IP due to </w:t>
      </w:r>
      <w:r>
        <w:rPr>
          <w:lang w:eastAsia="ja-JP"/>
        </w:rPr>
        <w:t>a TEAE</w:t>
      </w:r>
      <w:r w:rsidRPr="00C4030B">
        <w:rPr>
          <w:lang w:eastAsia="ja-JP"/>
        </w:rPr>
        <w:t xml:space="preserve"> </w:t>
      </w:r>
      <w:r>
        <w:rPr>
          <w:lang w:eastAsia="ja-JP"/>
        </w:rPr>
        <w:t>up to Week 16.</w:t>
      </w:r>
      <w:r w:rsidRPr="00C4030B">
        <w:rPr>
          <w:lang w:eastAsia="ja-JP"/>
        </w:rPr>
        <w:t xml:space="preserve"> </w:t>
      </w:r>
      <w:r>
        <w:rPr>
          <w:lang w:eastAsia="ja-JP"/>
        </w:rPr>
        <w:t xml:space="preserve">7 </w:t>
      </w:r>
      <w:r w:rsidRPr="00C4030B">
        <w:rPr>
          <w:lang w:eastAsia="ja-JP"/>
        </w:rPr>
        <w:t>(</w:t>
      </w:r>
      <w:r>
        <w:rPr>
          <w:lang w:eastAsia="ja-JP"/>
        </w:rPr>
        <w:t>4.0</w:t>
      </w:r>
      <w:r w:rsidRPr="00C4030B">
        <w:rPr>
          <w:lang w:eastAsia="ja-JP"/>
        </w:rPr>
        <w:t xml:space="preserve">%) subjects </w:t>
      </w:r>
      <w:r>
        <w:rPr>
          <w:lang w:eastAsia="ja-JP"/>
        </w:rPr>
        <w:t xml:space="preserve">were </w:t>
      </w:r>
      <w:r w:rsidRPr="00C4030B">
        <w:rPr>
          <w:lang w:eastAsia="ja-JP"/>
        </w:rPr>
        <w:t xml:space="preserve">in the ABP 501 group and </w:t>
      </w:r>
      <w:r>
        <w:rPr>
          <w:lang w:eastAsia="ja-JP"/>
        </w:rPr>
        <w:t>5</w:t>
      </w:r>
      <w:r w:rsidRPr="00C4030B">
        <w:rPr>
          <w:lang w:eastAsia="ja-JP"/>
        </w:rPr>
        <w:t xml:space="preserve"> (</w:t>
      </w:r>
      <w:r>
        <w:rPr>
          <w:lang w:eastAsia="ja-JP"/>
        </w:rPr>
        <w:t>2.9</w:t>
      </w:r>
      <w:r w:rsidRPr="00C4030B">
        <w:rPr>
          <w:lang w:eastAsia="ja-JP"/>
        </w:rPr>
        <w:t>%) subjects in the ada</w:t>
      </w:r>
      <w:r>
        <w:rPr>
          <w:lang w:eastAsia="ja-JP"/>
        </w:rPr>
        <w:t>limumab group.</w:t>
      </w:r>
      <w:r w:rsidRPr="00C4030B">
        <w:rPr>
          <w:lang w:eastAsia="ja-JP"/>
        </w:rPr>
        <w:t xml:space="preserve"> 3 events in the ABP 501</w:t>
      </w:r>
      <w:r>
        <w:rPr>
          <w:lang w:eastAsia="ja-JP"/>
        </w:rPr>
        <w:t xml:space="preserve"> group </w:t>
      </w:r>
      <w:r w:rsidRPr="00C4030B">
        <w:rPr>
          <w:lang w:eastAsia="ja-JP"/>
        </w:rPr>
        <w:t xml:space="preserve">leading to discontinuation </w:t>
      </w:r>
      <w:r>
        <w:rPr>
          <w:lang w:eastAsia="ja-JP"/>
        </w:rPr>
        <w:t xml:space="preserve">were serious adverse events </w:t>
      </w:r>
      <w:r w:rsidRPr="00C4030B">
        <w:rPr>
          <w:lang w:eastAsia="ja-JP"/>
        </w:rPr>
        <w:t>(arrhythmia, hypersen</w:t>
      </w:r>
      <w:r>
        <w:rPr>
          <w:lang w:eastAsia="ja-JP"/>
        </w:rPr>
        <w:t>sitivity, and lentigo maligna).</w:t>
      </w:r>
    </w:p>
    <w:p w14:paraId="7E3FA21E" w14:textId="4A4090EF" w:rsidR="007C0FDC" w:rsidRPr="00C4030B" w:rsidRDefault="007C0FDC" w:rsidP="007C0FDC">
      <w:pPr>
        <w:rPr>
          <w:lang w:eastAsia="ja-JP"/>
        </w:rPr>
      </w:pPr>
      <w:r>
        <w:rPr>
          <w:lang w:eastAsia="ja-JP"/>
        </w:rPr>
        <w:lastRenderedPageBreak/>
        <w:t>11 subjects (3.6%) discontinued IP due to a TEAE post Week 16. The percentages per treatment group were 4.6%, 1.3%, and 3.9% in the ABP 501/ABP 501, adalimumab/adalimumab, and adalimumab/ABP 501 groups, respectively. 2 serious TEAEs leading to discontinuation were: drug-induced liver injury (ABP 501/ABP 501) and ophthalmic herpes zoster (adalimumab/ABP</w:t>
      </w:r>
      <w:r w:rsidR="00602DC4">
        <w:rPr>
          <w:lang w:eastAsia="ja-JP"/>
        </w:rPr>
        <w:t> </w:t>
      </w:r>
      <w:r>
        <w:rPr>
          <w:lang w:eastAsia="ja-JP"/>
        </w:rPr>
        <w:t>501).</w:t>
      </w:r>
    </w:p>
    <w:p w14:paraId="6A3B5B59" w14:textId="77777777" w:rsidR="007C0FDC" w:rsidRPr="004A6FF6" w:rsidRDefault="007C0FDC" w:rsidP="004C2A23">
      <w:pPr>
        <w:pStyle w:val="Heading5"/>
        <w:rPr>
          <w:lang w:eastAsia="ja-JP"/>
        </w:rPr>
      </w:pPr>
      <w:r w:rsidRPr="004A6FF6">
        <w:rPr>
          <w:lang w:eastAsia="ja-JP"/>
        </w:rPr>
        <w:t xml:space="preserve">Study </w:t>
      </w:r>
      <w:r w:rsidRPr="004C2A23">
        <w:t>20110217</w:t>
      </w:r>
      <w:r w:rsidRPr="004A6FF6">
        <w:rPr>
          <w:lang w:eastAsia="ja-JP"/>
        </w:rPr>
        <w:t xml:space="preserve"> (PK study in healthy subjects)</w:t>
      </w:r>
    </w:p>
    <w:p w14:paraId="022C4851" w14:textId="2A050EAC" w:rsidR="007C0FDC" w:rsidRDefault="007C0FDC" w:rsidP="007C0FDC">
      <w:pPr>
        <w:rPr>
          <w:lang w:eastAsia="ja-JP"/>
        </w:rPr>
      </w:pPr>
      <w:r>
        <w:rPr>
          <w:lang w:eastAsia="ja-JP"/>
        </w:rPr>
        <w:t>There were no discontinuations (drug cessation) due to the study design (single</w:t>
      </w:r>
      <w:r w:rsidR="00602DC4">
        <w:rPr>
          <w:lang w:eastAsia="ja-JP"/>
        </w:rPr>
        <w:t xml:space="preserve"> </w:t>
      </w:r>
      <w:r>
        <w:rPr>
          <w:lang w:eastAsia="ja-JP"/>
        </w:rPr>
        <w:t xml:space="preserve">dose study). However, a </w:t>
      </w:r>
      <w:r w:rsidRPr="00D512EB">
        <w:rPr>
          <w:lang w:eastAsia="ja-JP"/>
        </w:rPr>
        <w:t>serious event of dermoid cyst re</w:t>
      </w:r>
      <w:r>
        <w:rPr>
          <w:lang w:eastAsia="ja-JP"/>
        </w:rPr>
        <w:t>sulted in study discontinuation (exit) in one subject.</w:t>
      </w:r>
    </w:p>
    <w:p w14:paraId="77DEFCE0" w14:textId="77777777" w:rsidR="007C0FDC" w:rsidRDefault="007C0FDC" w:rsidP="004C2A23">
      <w:pPr>
        <w:pStyle w:val="Heading3"/>
      </w:pPr>
      <w:bookmarkStart w:id="332" w:name="_Toc470272304"/>
      <w:bookmarkStart w:id="333" w:name="_Toc509822413"/>
      <w:r>
        <w:t xml:space="preserve">Evaluation of </w:t>
      </w:r>
      <w:r w:rsidRPr="004C2A23">
        <w:t>issues</w:t>
      </w:r>
      <w:r>
        <w:t xml:space="preserve"> </w:t>
      </w:r>
      <w:bookmarkEnd w:id="322"/>
      <w:bookmarkEnd w:id="323"/>
      <w:bookmarkEnd w:id="324"/>
      <w:bookmarkEnd w:id="325"/>
      <w:bookmarkEnd w:id="326"/>
      <w:bookmarkEnd w:id="327"/>
      <w:bookmarkEnd w:id="328"/>
      <w:bookmarkEnd w:id="329"/>
      <w:r>
        <w:t>with possible regulatory impact</w:t>
      </w:r>
      <w:bookmarkEnd w:id="330"/>
      <w:bookmarkEnd w:id="331"/>
      <w:bookmarkEnd w:id="332"/>
      <w:bookmarkEnd w:id="333"/>
    </w:p>
    <w:p w14:paraId="40981916" w14:textId="77777777" w:rsidR="007C0FDC" w:rsidRDefault="007C0FDC" w:rsidP="007C0FDC">
      <w:pPr>
        <w:rPr>
          <w:lang w:eastAsia="ja-JP"/>
        </w:rPr>
      </w:pPr>
      <w:r>
        <w:rPr>
          <w:lang w:eastAsia="ja-JP"/>
        </w:rPr>
        <w:t>Adverse events of interest in the Phase III studies were: infections, malignancies, hypersensitivity, demyelinating diseases, haematological reactions, heart failure, lupus-like syndrome, liver enzyme elevations, and injection site reactions.</w:t>
      </w:r>
    </w:p>
    <w:p w14:paraId="26072734" w14:textId="77777777" w:rsidR="007C0FDC" w:rsidRDefault="007C0FDC" w:rsidP="007C0FDC">
      <w:pPr>
        <w:rPr>
          <w:lang w:eastAsia="ja-JP"/>
        </w:rPr>
      </w:pPr>
      <w:r>
        <w:rPr>
          <w:lang w:eastAsia="ja-JP"/>
        </w:rPr>
        <w:t>An overview of the results of the adverse events of interest in the Phase III studies is shown in the following tables.</w:t>
      </w:r>
    </w:p>
    <w:p w14:paraId="7B77B0EE" w14:textId="5B134F28" w:rsidR="007C0FDC" w:rsidRPr="008E6A65" w:rsidRDefault="007C0FDC" w:rsidP="0045370B">
      <w:pPr>
        <w:pStyle w:val="Tabletitle"/>
        <w:rPr>
          <w:lang w:eastAsia="ja-JP"/>
        </w:rPr>
      </w:pPr>
      <w:bookmarkStart w:id="334" w:name="_Toc471285625"/>
      <w:r w:rsidRPr="008E6A65">
        <w:t>Table</w:t>
      </w:r>
      <w:r>
        <w:t xml:space="preserve"> 34:</w:t>
      </w:r>
      <w:r w:rsidRPr="008E6A65">
        <w:t xml:space="preserve"> </w:t>
      </w:r>
      <w:r w:rsidRPr="008E6A65">
        <w:rPr>
          <w:lang w:eastAsia="ja-JP"/>
        </w:rPr>
        <w:t xml:space="preserve">Study </w:t>
      </w:r>
      <w:r w:rsidRPr="0045370B">
        <w:t>20120263</w:t>
      </w:r>
      <w:r w:rsidRPr="008E6A65">
        <w:rPr>
          <w:lang w:eastAsia="ja-JP"/>
        </w:rPr>
        <w:t xml:space="preserve"> Adverse </w:t>
      </w:r>
      <w:r w:rsidR="00602DC4" w:rsidRPr="008E6A65">
        <w:rPr>
          <w:lang w:eastAsia="ja-JP"/>
        </w:rPr>
        <w:t xml:space="preserve">events of interest in subjects by treatment groups </w:t>
      </w:r>
      <w:r w:rsidRPr="008E6A65">
        <w:rPr>
          <w:lang w:eastAsia="ja-JP"/>
        </w:rPr>
        <w:t>(Safety Analysis Set)</w:t>
      </w:r>
      <w:bookmarkEnd w:id="334"/>
    </w:p>
    <w:p w14:paraId="39CB9FC2" w14:textId="77777777" w:rsidR="007C0FDC" w:rsidRDefault="007C0FDC" w:rsidP="007C0FDC">
      <w:pPr>
        <w:rPr>
          <w:lang w:eastAsia="ja-JP"/>
        </w:rPr>
      </w:pPr>
      <w:r w:rsidRPr="008E6A65">
        <w:rPr>
          <w:noProof/>
          <w:lang w:eastAsia="en-AU"/>
        </w:rPr>
        <w:drawing>
          <wp:inline distT="0" distB="0" distL="0" distR="0" wp14:anchorId="496912C0" wp14:editId="5F01201C">
            <wp:extent cx="3947816" cy="2078966"/>
            <wp:effectExtent l="0" t="0" r="0" b="0"/>
            <wp:docPr id="317" name="Picture 317" descr="Table 34: Study 20120263: Adverse Events of Interest in Subjects by Treatment Group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val="0"/>
                        </a:ext>
                      </a:extLst>
                    </a:blip>
                    <a:srcRect b="9399"/>
                    <a:stretch/>
                  </pic:blipFill>
                  <pic:spPr bwMode="auto">
                    <a:xfrm>
                      <a:off x="0" y="0"/>
                      <a:ext cx="3955023" cy="2082761"/>
                    </a:xfrm>
                    <a:prstGeom prst="rect">
                      <a:avLst/>
                    </a:prstGeom>
                    <a:noFill/>
                    <a:ln>
                      <a:noFill/>
                    </a:ln>
                    <a:extLst>
                      <a:ext uri="{53640926-AAD7-44D8-BBD7-CCE9431645EC}">
                        <a14:shadowObscured xmlns:a14="http://schemas.microsoft.com/office/drawing/2010/main"/>
                      </a:ext>
                    </a:extLst>
                  </pic:spPr>
                </pic:pic>
              </a:graphicData>
            </a:graphic>
          </wp:inline>
        </w:drawing>
      </w:r>
    </w:p>
    <w:p w14:paraId="53BCB4B6" w14:textId="2E0F6DC4" w:rsidR="007C0FDC" w:rsidRPr="008E6A65" w:rsidRDefault="007C0FDC" w:rsidP="0045370B">
      <w:pPr>
        <w:pStyle w:val="Tabletitle"/>
        <w:rPr>
          <w:lang w:eastAsia="ja-JP"/>
        </w:rPr>
      </w:pPr>
      <w:bookmarkStart w:id="335" w:name="_Toc471285626"/>
      <w:r w:rsidRPr="008E6A65">
        <w:t xml:space="preserve">Table </w:t>
      </w:r>
      <w:r>
        <w:t>35:</w:t>
      </w:r>
      <w:r w:rsidRPr="008E6A65">
        <w:t xml:space="preserve"> </w:t>
      </w:r>
      <w:r w:rsidRPr="008E6A65">
        <w:rPr>
          <w:lang w:eastAsia="ja-JP"/>
        </w:rPr>
        <w:t xml:space="preserve">Study 20120263 </w:t>
      </w:r>
      <w:r w:rsidR="00602DC4">
        <w:rPr>
          <w:lang w:eastAsia="ja-JP"/>
        </w:rPr>
        <w:t>A</w:t>
      </w:r>
      <w:r w:rsidR="00602DC4" w:rsidRPr="008E6A65">
        <w:rPr>
          <w:lang w:eastAsia="ja-JP"/>
        </w:rPr>
        <w:t>dverse events of interest by treatment groups</w:t>
      </w:r>
      <w:r w:rsidR="00602DC4">
        <w:rPr>
          <w:lang w:eastAsia="ja-JP"/>
        </w:rPr>
        <w:t>;</w:t>
      </w:r>
      <w:r w:rsidRPr="008E6A65">
        <w:rPr>
          <w:lang w:eastAsia="ja-JP"/>
        </w:rPr>
        <w:t xml:space="preserve"> Baseline to Week 16 (Safety Analysis Set)</w:t>
      </w:r>
      <w:bookmarkEnd w:id="335"/>
    </w:p>
    <w:p w14:paraId="096D7ECA" w14:textId="77777777" w:rsidR="007C0FDC" w:rsidRDefault="007C0FDC" w:rsidP="007C0FDC">
      <w:pPr>
        <w:rPr>
          <w:lang w:eastAsia="ja-JP"/>
        </w:rPr>
      </w:pPr>
      <w:r>
        <w:rPr>
          <w:noProof/>
          <w:lang w:eastAsia="en-AU"/>
        </w:rPr>
        <w:drawing>
          <wp:inline distT="0" distB="0" distL="0" distR="0" wp14:anchorId="4939B7ED" wp14:editId="1CF17CEE">
            <wp:extent cx="3880753" cy="2152891"/>
            <wp:effectExtent l="0" t="0" r="5715" b="6350"/>
            <wp:docPr id="315" name="Picture 315" descr="Table 35: Study 20120263: Adverse Events of Interest by Treatment Groups – Baseline to Week 1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biLevel thresh="75000"/>
                      <a:extLst>
                        <a:ext uri="{28A0092B-C50C-407E-A947-70E740481C1C}">
                          <a14:useLocalDpi xmlns:a14="http://schemas.microsoft.com/office/drawing/2010/main" val="0"/>
                        </a:ext>
                      </a:extLst>
                    </a:blip>
                    <a:srcRect/>
                    <a:stretch>
                      <a:fillRect/>
                    </a:stretch>
                  </pic:blipFill>
                  <pic:spPr bwMode="auto">
                    <a:xfrm>
                      <a:off x="0" y="0"/>
                      <a:ext cx="3878218" cy="2151485"/>
                    </a:xfrm>
                    <a:prstGeom prst="rect">
                      <a:avLst/>
                    </a:prstGeom>
                    <a:noFill/>
                    <a:ln>
                      <a:noFill/>
                    </a:ln>
                  </pic:spPr>
                </pic:pic>
              </a:graphicData>
            </a:graphic>
          </wp:inline>
        </w:drawing>
      </w:r>
    </w:p>
    <w:p w14:paraId="48A5C899" w14:textId="374E4BD7" w:rsidR="007C0FDC" w:rsidRPr="008E6A65" w:rsidRDefault="007C0FDC" w:rsidP="0045370B">
      <w:pPr>
        <w:pStyle w:val="Tabletitle"/>
        <w:rPr>
          <w:lang w:eastAsia="ja-JP"/>
        </w:rPr>
      </w:pPr>
      <w:bookmarkStart w:id="336" w:name="_Toc471285627"/>
      <w:r w:rsidRPr="008E6A65">
        <w:lastRenderedPageBreak/>
        <w:t xml:space="preserve">Table </w:t>
      </w:r>
      <w:r>
        <w:t>36:</w:t>
      </w:r>
      <w:r w:rsidRPr="008E6A65">
        <w:t xml:space="preserve"> </w:t>
      </w:r>
      <w:r w:rsidRPr="008E6A65">
        <w:rPr>
          <w:lang w:eastAsia="ja-JP"/>
        </w:rPr>
        <w:t xml:space="preserve">Study 20120263 Adverse </w:t>
      </w:r>
      <w:r w:rsidR="00602DC4" w:rsidRPr="008E6A65">
        <w:rPr>
          <w:lang w:eastAsia="ja-JP"/>
        </w:rPr>
        <w:t>events of interest in subjects</w:t>
      </w:r>
      <w:r w:rsidR="00602DC4">
        <w:rPr>
          <w:lang w:eastAsia="ja-JP"/>
        </w:rPr>
        <w:t>;</w:t>
      </w:r>
      <w:r w:rsidR="00602DC4" w:rsidRPr="008E6A65">
        <w:rPr>
          <w:lang w:eastAsia="ja-JP"/>
        </w:rPr>
        <w:t xml:space="preserve"> </w:t>
      </w:r>
      <w:r w:rsidR="00602DC4">
        <w:rPr>
          <w:lang w:eastAsia="ja-JP"/>
        </w:rPr>
        <w:t>p</w:t>
      </w:r>
      <w:r w:rsidR="00602DC4" w:rsidRPr="008E6A65">
        <w:rPr>
          <w:lang w:eastAsia="ja-JP"/>
        </w:rPr>
        <w:t>ost</w:t>
      </w:r>
      <w:r w:rsidR="009B0FB8">
        <w:rPr>
          <w:lang w:eastAsia="ja-JP"/>
        </w:rPr>
        <w:t>-</w:t>
      </w:r>
      <w:r w:rsidRPr="008E6A65">
        <w:rPr>
          <w:lang w:eastAsia="ja-JP"/>
        </w:rPr>
        <w:t xml:space="preserve">Week 16 to </w:t>
      </w:r>
      <w:r w:rsidR="009B0FB8">
        <w:rPr>
          <w:lang w:eastAsia="ja-JP"/>
        </w:rPr>
        <w:t>e</w:t>
      </w:r>
      <w:r w:rsidRPr="008E6A65">
        <w:rPr>
          <w:lang w:eastAsia="ja-JP"/>
        </w:rPr>
        <w:t xml:space="preserve">nd of </w:t>
      </w:r>
      <w:r w:rsidR="009B0FB8">
        <w:rPr>
          <w:lang w:eastAsia="ja-JP"/>
        </w:rPr>
        <w:t>s</w:t>
      </w:r>
      <w:r w:rsidRPr="008E6A65">
        <w:rPr>
          <w:lang w:eastAsia="ja-JP"/>
        </w:rPr>
        <w:t xml:space="preserve">tudy (Safety </w:t>
      </w:r>
      <w:r w:rsidRPr="0045370B">
        <w:t>Analysis</w:t>
      </w:r>
      <w:r w:rsidRPr="008E6A65">
        <w:rPr>
          <w:lang w:eastAsia="ja-JP"/>
        </w:rPr>
        <w:t xml:space="preserve"> Set)</w:t>
      </w:r>
      <w:bookmarkEnd w:id="336"/>
    </w:p>
    <w:p w14:paraId="1B0D7EC9" w14:textId="77777777" w:rsidR="007C0FDC" w:rsidRDefault="007C0FDC" w:rsidP="007C0FDC">
      <w:pPr>
        <w:rPr>
          <w:lang w:eastAsia="ja-JP"/>
        </w:rPr>
      </w:pPr>
      <w:r>
        <w:rPr>
          <w:noProof/>
          <w:lang w:eastAsia="en-AU"/>
        </w:rPr>
        <w:drawing>
          <wp:inline distT="0" distB="0" distL="0" distR="0" wp14:anchorId="4B1396D8" wp14:editId="498EBFE6">
            <wp:extent cx="5731785" cy="1768416"/>
            <wp:effectExtent l="0" t="0" r="2540" b="3810"/>
            <wp:docPr id="316" name="Picture 316" descr="Table 36: Study 20120263: Adverse Events of Interest in Subjects – Post Week 16 to End of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b="6819"/>
                    <a:stretch/>
                  </pic:blipFill>
                  <pic:spPr bwMode="auto">
                    <a:xfrm>
                      <a:off x="0" y="0"/>
                      <a:ext cx="5731510" cy="1768331"/>
                    </a:xfrm>
                    <a:prstGeom prst="rect">
                      <a:avLst/>
                    </a:prstGeom>
                    <a:noFill/>
                    <a:ln>
                      <a:noFill/>
                    </a:ln>
                    <a:extLst>
                      <a:ext uri="{53640926-AAD7-44D8-BBD7-CCE9431645EC}">
                        <a14:shadowObscured xmlns:a14="http://schemas.microsoft.com/office/drawing/2010/main"/>
                      </a:ext>
                    </a:extLst>
                  </pic:spPr>
                </pic:pic>
              </a:graphicData>
            </a:graphic>
          </wp:inline>
        </w:drawing>
      </w:r>
    </w:p>
    <w:p w14:paraId="6FC59964" w14:textId="77777777" w:rsidR="007C0FDC" w:rsidRPr="00545B14" w:rsidRDefault="007C0FDC" w:rsidP="007C0FDC">
      <w:pPr>
        <w:pStyle w:val="Heading4"/>
        <w:numPr>
          <w:ilvl w:val="2"/>
          <w:numId w:val="5"/>
        </w:numPr>
      </w:pPr>
      <w:bookmarkStart w:id="337" w:name="_Toc272414669"/>
      <w:bookmarkStart w:id="338" w:name="_Toc290888533"/>
      <w:bookmarkStart w:id="339" w:name="_Toc416353749"/>
      <w:bookmarkStart w:id="340" w:name="_Toc421005292"/>
      <w:bookmarkStart w:id="341" w:name="_Toc432079169"/>
      <w:bookmarkStart w:id="342" w:name="_Toc432080742"/>
      <w:r>
        <w:t>Infections</w:t>
      </w:r>
    </w:p>
    <w:p w14:paraId="0A9A9043" w14:textId="77777777" w:rsidR="007C0FDC" w:rsidRDefault="007C0FDC" w:rsidP="0045370B">
      <w:pPr>
        <w:pStyle w:val="Heading5"/>
        <w:rPr>
          <w:lang w:eastAsia="ja-JP"/>
        </w:rPr>
      </w:pPr>
      <w:r w:rsidRPr="00906AAC">
        <w:rPr>
          <w:lang w:eastAsia="ja-JP"/>
        </w:rPr>
        <w:t>Study 20120262 (RA patients)</w:t>
      </w:r>
    </w:p>
    <w:p w14:paraId="669D026D" w14:textId="77777777" w:rsidR="007C0FDC" w:rsidRPr="00D47975" w:rsidRDefault="007C0FDC" w:rsidP="007C0FDC">
      <w:pPr>
        <w:rPr>
          <w:lang w:eastAsia="ja-JP"/>
        </w:rPr>
      </w:pPr>
      <w:r>
        <w:rPr>
          <w:lang w:eastAsia="ja-JP"/>
        </w:rPr>
        <w:t>Overall, 24.5% of subjects experienced any infection adverse event</w:t>
      </w:r>
      <w:r w:rsidRPr="00497F5E">
        <w:rPr>
          <w:lang w:eastAsia="ja-JP"/>
        </w:rPr>
        <w:t xml:space="preserve"> </w:t>
      </w:r>
      <w:r>
        <w:rPr>
          <w:lang w:eastAsia="ja-JP"/>
        </w:rPr>
        <w:t xml:space="preserve">(ABP 501: 23.1%; adalimumab: 26.0%). The most commonly reported (≥ 5% overall) infection adverse event by preferred term was nasopharyngitis (ABP 501: 6.4%; adalimumab: 7.3%). Other events were </w:t>
      </w:r>
      <w:r w:rsidRPr="003F1883">
        <w:rPr>
          <w:lang w:eastAsia="ja-JP"/>
        </w:rPr>
        <w:t xml:space="preserve">upper respiratory tract infection (1.5% and 3.8%), and bronchitis (2.3% and 1.9%) </w:t>
      </w:r>
      <w:r>
        <w:rPr>
          <w:lang w:eastAsia="ja-JP"/>
        </w:rPr>
        <w:t xml:space="preserve">in the ABP 501 and </w:t>
      </w:r>
      <w:r w:rsidRPr="003F1883">
        <w:rPr>
          <w:lang w:eastAsia="ja-JP"/>
        </w:rPr>
        <w:t>adalimumab treatment groups, respectively.</w:t>
      </w:r>
      <w:r>
        <w:rPr>
          <w:lang w:eastAsia="ja-JP"/>
        </w:rPr>
        <w:t xml:space="preserve"> </w:t>
      </w:r>
      <w:r w:rsidRPr="003F1883">
        <w:rPr>
          <w:lang w:eastAsia="ja-JP"/>
        </w:rPr>
        <w:t>There was 1 report of opportunistic infection (cytomegalovirus) in the ABP 501 group. There were no reports</w:t>
      </w:r>
      <w:r>
        <w:rPr>
          <w:lang w:eastAsia="ja-JP"/>
        </w:rPr>
        <w:t xml:space="preserve"> of invasive fungal infections. There were no cases of tuberculosis.</w:t>
      </w:r>
    </w:p>
    <w:p w14:paraId="3072F042" w14:textId="77777777" w:rsidR="007C0FDC" w:rsidRDefault="007C0FDC" w:rsidP="0045370B">
      <w:pPr>
        <w:pStyle w:val="Heading5"/>
        <w:rPr>
          <w:lang w:eastAsia="ja-JP"/>
        </w:rPr>
      </w:pPr>
      <w:r w:rsidRPr="00906AAC">
        <w:rPr>
          <w:lang w:eastAsia="ja-JP"/>
        </w:rPr>
        <w:t xml:space="preserve">Study </w:t>
      </w:r>
      <w:r>
        <w:rPr>
          <w:lang w:eastAsia="ja-JP"/>
        </w:rPr>
        <w:t>20120263</w:t>
      </w:r>
      <w:r w:rsidRPr="00906AAC">
        <w:rPr>
          <w:lang w:eastAsia="ja-JP"/>
        </w:rPr>
        <w:t xml:space="preserve"> (</w:t>
      </w:r>
      <w:r>
        <w:rPr>
          <w:lang w:eastAsia="ja-JP"/>
        </w:rPr>
        <w:t>Psoriasis</w:t>
      </w:r>
      <w:r w:rsidRPr="00906AAC">
        <w:rPr>
          <w:lang w:eastAsia="ja-JP"/>
        </w:rPr>
        <w:t xml:space="preserve"> patients)</w:t>
      </w:r>
    </w:p>
    <w:p w14:paraId="4477D397" w14:textId="77777777" w:rsidR="007C0FDC" w:rsidRDefault="007C0FDC" w:rsidP="007C0FDC">
      <w:pPr>
        <w:rPr>
          <w:lang w:eastAsia="ja-JP"/>
        </w:rPr>
      </w:pPr>
      <w:r>
        <w:rPr>
          <w:lang w:eastAsia="ja-JP"/>
        </w:rPr>
        <w:t>Up to Week 16, overall 33.7% of subjects experienced any infection adverse event, and the proportions were balanced between the 2 groups (ABP 501: 33.9%; adalimumab: 33.5%). The most commonly reported (≥ 5% overall) infection adverse events were nasopharyngitis (ABP 501: 14.4%; adalimumab: 15.6%) and upper respiratory tract infection (ABP 501: 5.2%; adalimumab: 5.2%).</w:t>
      </w:r>
    </w:p>
    <w:p w14:paraId="43FD29DD" w14:textId="51C0354C" w:rsidR="007C0FDC" w:rsidRDefault="007C0FDC" w:rsidP="007C0FDC">
      <w:pPr>
        <w:rPr>
          <w:lang w:eastAsia="ja-JP"/>
        </w:rPr>
      </w:pPr>
      <w:r>
        <w:rPr>
          <w:lang w:eastAsia="ja-JP"/>
        </w:rPr>
        <w:t xml:space="preserve">Post </w:t>
      </w:r>
      <w:r w:rsidR="00602DC4">
        <w:rPr>
          <w:lang w:eastAsia="ja-JP"/>
        </w:rPr>
        <w:t xml:space="preserve">Week </w:t>
      </w:r>
      <w:r>
        <w:rPr>
          <w:lang w:eastAsia="ja-JP"/>
        </w:rPr>
        <w:t>16, 43.2% of subjects experienced any infection adverse event (44.1%, 36.7%, 48.1% in the ABP 501/ABP 501, adalimumab/adalimumab, and adalimumab/ABP 501 groups respectively). The most commonly reported (≥ 5% overall) infection adverse events by preferred term for the ABP 501/ABP 501, adalimumab/adalimumab, and adalimumab/ABP 501 groups were nasopharyngitis (16.4%, 17.7%, 23.4%) and upper respiratory tract infection (5.9%, 7.6%, 9.1%).</w:t>
      </w:r>
    </w:p>
    <w:p w14:paraId="623BCD3D" w14:textId="77777777" w:rsidR="007C0FDC" w:rsidRPr="00151200" w:rsidRDefault="007C0FDC" w:rsidP="007C0FDC">
      <w:pPr>
        <w:rPr>
          <w:lang w:eastAsia="ja-JP"/>
        </w:rPr>
      </w:pPr>
      <w:r>
        <w:rPr>
          <w:lang w:eastAsia="ja-JP"/>
        </w:rPr>
        <w:t>There was one case of latent tuberculosis in the adalimumab group (Quantiferon positive), but deemed unrelated to adalimumab.</w:t>
      </w:r>
    </w:p>
    <w:p w14:paraId="2B3D81B7" w14:textId="77777777" w:rsidR="007C0FDC" w:rsidRPr="004A6FF6" w:rsidRDefault="007C0FDC" w:rsidP="0045370B">
      <w:pPr>
        <w:pStyle w:val="Heading5"/>
        <w:rPr>
          <w:lang w:eastAsia="ja-JP"/>
        </w:rPr>
      </w:pPr>
      <w:r w:rsidRPr="004A6FF6">
        <w:rPr>
          <w:lang w:eastAsia="ja-JP"/>
        </w:rPr>
        <w:t xml:space="preserve">Study 20110217 (PK </w:t>
      </w:r>
      <w:r w:rsidRPr="0045370B">
        <w:t>study</w:t>
      </w:r>
      <w:r w:rsidRPr="004A6FF6">
        <w:rPr>
          <w:lang w:eastAsia="ja-JP"/>
        </w:rPr>
        <w:t xml:space="preserve"> in healthy subjects)</w:t>
      </w:r>
    </w:p>
    <w:p w14:paraId="71A61A2D" w14:textId="77777777" w:rsidR="007C0FDC" w:rsidRDefault="007C0FDC" w:rsidP="007C0FDC">
      <w:pPr>
        <w:rPr>
          <w:lang w:eastAsia="ja-JP"/>
        </w:rPr>
      </w:pPr>
      <w:r w:rsidRPr="00C43AA9">
        <w:rPr>
          <w:lang w:eastAsia="ja-JP"/>
        </w:rPr>
        <w:t xml:space="preserve">Overall, </w:t>
      </w:r>
      <w:r>
        <w:rPr>
          <w:lang w:eastAsia="ja-JP"/>
        </w:rPr>
        <w:t xml:space="preserve">10.8% </w:t>
      </w:r>
      <w:r w:rsidRPr="00C43AA9">
        <w:rPr>
          <w:lang w:eastAsia="ja-JP"/>
        </w:rPr>
        <w:t xml:space="preserve">of subjects experienced any infection adverse event (ABP 501: </w:t>
      </w:r>
      <w:r>
        <w:rPr>
          <w:lang w:eastAsia="ja-JP"/>
        </w:rPr>
        <w:t>13.4%</w:t>
      </w:r>
      <w:r w:rsidRPr="00C43AA9">
        <w:rPr>
          <w:lang w:eastAsia="ja-JP"/>
        </w:rPr>
        <w:t>; adalimumab</w:t>
      </w:r>
      <w:r>
        <w:rPr>
          <w:lang w:eastAsia="ja-JP"/>
        </w:rPr>
        <w:t xml:space="preserve"> (US): 5.8%, </w:t>
      </w:r>
      <w:r w:rsidRPr="00C43AA9">
        <w:rPr>
          <w:lang w:eastAsia="ja-JP"/>
        </w:rPr>
        <w:t>adalimumab</w:t>
      </w:r>
      <w:r>
        <w:rPr>
          <w:lang w:eastAsia="ja-JP"/>
        </w:rPr>
        <w:t xml:space="preserve"> (EU): 13.4%).</w:t>
      </w:r>
    </w:p>
    <w:p w14:paraId="0C47223E" w14:textId="77777777" w:rsidR="007C0FDC" w:rsidRPr="00BB5AA6" w:rsidRDefault="007C0FDC" w:rsidP="007C0FDC">
      <w:pPr>
        <w:pStyle w:val="Heading4"/>
        <w:numPr>
          <w:ilvl w:val="2"/>
          <w:numId w:val="5"/>
        </w:numPr>
      </w:pPr>
      <w:r w:rsidRPr="00BB5AA6">
        <w:t>Malignancy</w:t>
      </w:r>
    </w:p>
    <w:p w14:paraId="1FF95B99" w14:textId="77777777" w:rsidR="007C0FDC" w:rsidRDefault="007C0FDC" w:rsidP="007C0FDC">
      <w:pPr>
        <w:rPr>
          <w:lang w:eastAsia="ja-JP"/>
        </w:rPr>
      </w:pPr>
      <w:r>
        <w:rPr>
          <w:lang w:eastAsia="ja-JP"/>
        </w:rPr>
        <w:t>In clinical trials with TNF blockers, more cases of lymphoma were observed in patients in the TNF blocker group relative to the control group. Post-marketing cases of acute and chronic leukaemia have been associated with TNF blocker use.</w:t>
      </w:r>
    </w:p>
    <w:p w14:paraId="3C3BC377" w14:textId="77777777" w:rsidR="007C0FDC" w:rsidRDefault="007C0FDC" w:rsidP="0045370B">
      <w:pPr>
        <w:pStyle w:val="Heading5"/>
        <w:rPr>
          <w:lang w:eastAsia="ja-JP"/>
        </w:rPr>
      </w:pPr>
      <w:r w:rsidRPr="00906AAC">
        <w:rPr>
          <w:lang w:eastAsia="ja-JP"/>
        </w:rPr>
        <w:t xml:space="preserve">Study </w:t>
      </w:r>
      <w:r w:rsidRPr="0045370B">
        <w:t>20120262</w:t>
      </w:r>
      <w:r w:rsidRPr="00906AAC">
        <w:rPr>
          <w:lang w:eastAsia="ja-JP"/>
        </w:rPr>
        <w:t xml:space="preserve"> (RA patients)</w:t>
      </w:r>
    </w:p>
    <w:p w14:paraId="5BC67FA0" w14:textId="77777777" w:rsidR="007C0FDC" w:rsidRDefault="007C0FDC" w:rsidP="007C0FDC">
      <w:pPr>
        <w:rPr>
          <w:lang w:eastAsia="ja-JP"/>
        </w:rPr>
      </w:pPr>
      <w:r w:rsidRPr="00067195">
        <w:rPr>
          <w:lang w:eastAsia="ja-JP"/>
        </w:rPr>
        <w:t>3 events of malignanc</w:t>
      </w:r>
      <w:r>
        <w:rPr>
          <w:lang w:eastAsia="ja-JP"/>
        </w:rPr>
        <w:t>ies in 2 subjects were reported:</w:t>
      </w:r>
      <w:r w:rsidRPr="00067195">
        <w:rPr>
          <w:lang w:eastAsia="ja-JP"/>
        </w:rPr>
        <w:t xml:space="preserve"> 1 subject in the ABP 501 group was diagnosed with basal cell carcinoma (left shoulder) and squamous cell carcinoma (left thigh), </w:t>
      </w:r>
      <w:proofErr w:type="gramStart"/>
      <w:r w:rsidRPr="00067195">
        <w:rPr>
          <w:lang w:eastAsia="ja-JP"/>
        </w:rPr>
        <w:lastRenderedPageBreak/>
        <w:t>and</w:t>
      </w:r>
      <w:proofErr w:type="gramEnd"/>
      <w:r w:rsidRPr="00067195">
        <w:rPr>
          <w:lang w:eastAsia="ja-JP"/>
        </w:rPr>
        <w:t xml:space="preserve"> 1 subject in the</w:t>
      </w:r>
      <w:r>
        <w:rPr>
          <w:lang w:eastAsia="ja-JP"/>
        </w:rPr>
        <w:t xml:space="preserve"> </w:t>
      </w:r>
      <w:r w:rsidRPr="00067195">
        <w:rPr>
          <w:lang w:eastAsia="ja-JP"/>
        </w:rPr>
        <w:t>adalimumab group was diagnosed with squamous cell carcinoma of the skin (cheek and scalp).</w:t>
      </w:r>
      <w:r>
        <w:rPr>
          <w:lang w:eastAsia="ja-JP"/>
        </w:rPr>
        <w:t xml:space="preserve"> None of these malignancies were reported as serious adverse events.</w:t>
      </w:r>
    </w:p>
    <w:p w14:paraId="691AFD55" w14:textId="77777777" w:rsidR="007C0FDC" w:rsidRDefault="007C0FDC" w:rsidP="0045370B">
      <w:pPr>
        <w:pStyle w:val="Heading5"/>
        <w:rPr>
          <w:lang w:eastAsia="ja-JP"/>
        </w:rPr>
      </w:pPr>
      <w:r w:rsidRPr="00906AAC">
        <w:rPr>
          <w:lang w:eastAsia="ja-JP"/>
        </w:rPr>
        <w:t xml:space="preserve">Study </w:t>
      </w:r>
      <w:r w:rsidRPr="0045370B">
        <w:t>20120263</w:t>
      </w:r>
      <w:r w:rsidRPr="00906AAC">
        <w:rPr>
          <w:lang w:eastAsia="ja-JP"/>
        </w:rPr>
        <w:t xml:space="preserve"> (</w:t>
      </w:r>
      <w:r>
        <w:rPr>
          <w:lang w:eastAsia="ja-JP"/>
        </w:rPr>
        <w:t>Psoriasis</w:t>
      </w:r>
      <w:r w:rsidRPr="00906AAC">
        <w:rPr>
          <w:lang w:eastAsia="ja-JP"/>
        </w:rPr>
        <w:t xml:space="preserve"> patients)</w:t>
      </w:r>
    </w:p>
    <w:p w14:paraId="4B758869" w14:textId="55C9754E" w:rsidR="007C0FDC" w:rsidRDefault="007C0FDC" w:rsidP="007C0FDC">
      <w:pPr>
        <w:rPr>
          <w:lang w:eastAsia="ja-JP"/>
        </w:rPr>
      </w:pPr>
      <w:r>
        <w:rPr>
          <w:lang w:eastAsia="ja-JP"/>
        </w:rPr>
        <w:t>Up to Week 16, 2 events of malignancies in 2 subjects were reported: lentigo maligna in the ABP</w:t>
      </w:r>
      <w:r w:rsidR="00602DC4">
        <w:rPr>
          <w:lang w:eastAsia="ja-JP"/>
        </w:rPr>
        <w:t> </w:t>
      </w:r>
      <w:r>
        <w:rPr>
          <w:lang w:eastAsia="ja-JP"/>
        </w:rPr>
        <w:t>501 group and Bowen’s disease in the adalimumab group.</w:t>
      </w:r>
    </w:p>
    <w:p w14:paraId="76FEF883" w14:textId="60BEBFC3" w:rsidR="007C0FDC" w:rsidRPr="003F1883" w:rsidRDefault="007C0FDC" w:rsidP="007C0FDC">
      <w:pPr>
        <w:rPr>
          <w:lang w:eastAsia="ja-JP"/>
        </w:rPr>
      </w:pPr>
      <w:r>
        <w:rPr>
          <w:lang w:eastAsia="ja-JP"/>
        </w:rPr>
        <w:t xml:space="preserve">Post </w:t>
      </w:r>
      <w:r w:rsidR="00602DC4">
        <w:rPr>
          <w:lang w:eastAsia="ja-JP"/>
        </w:rPr>
        <w:t xml:space="preserve">Week </w:t>
      </w:r>
      <w:r>
        <w:rPr>
          <w:lang w:eastAsia="ja-JP"/>
        </w:rPr>
        <w:t>16, a single malignancy event of squamous cell carcinoma (sebaceous adenoma) was reported for a subjec</w:t>
      </w:r>
      <w:r w:rsidR="0045370B">
        <w:rPr>
          <w:lang w:eastAsia="ja-JP"/>
        </w:rPr>
        <w:t>t in the ABP 501/ABP 501 group.</w:t>
      </w:r>
    </w:p>
    <w:p w14:paraId="2E90A7A9" w14:textId="77777777" w:rsidR="007C0FDC" w:rsidRPr="004A6FF6" w:rsidRDefault="007C0FDC" w:rsidP="0045370B">
      <w:pPr>
        <w:pStyle w:val="Heading5"/>
        <w:rPr>
          <w:lang w:eastAsia="ja-JP"/>
        </w:rPr>
      </w:pPr>
      <w:r w:rsidRPr="004A6FF6">
        <w:rPr>
          <w:lang w:eastAsia="ja-JP"/>
        </w:rPr>
        <w:t>Study 20110217 (PK study in healthy subjects)</w:t>
      </w:r>
    </w:p>
    <w:p w14:paraId="7E7CD1C9" w14:textId="77777777" w:rsidR="007C0FDC" w:rsidRDefault="007C0FDC" w:rsidP="007C0FDC">
      <w:pPr>
        <w:rPr>
          <w:lang w:eastAsia="ja-JP"/>
        </w:rPr>
      </w:pPr>
      <w:r>
        <w:rPr>
          <w:lang w:eastAsia="ja-JP"/>
        </w:rPr>
        <w:t>No malignancy was reported.</w:t>
      </w:r>
    </w:p>
    <w:p w14:paraId="15891298" w14:textId="77777777" w:rsidR="007C0FDC" w:rsidRPr="00BB5AA6" w:rsidRDefault="007C0FDC" w:rsidP="007C0FDC">
      <w:pPr>
        <w:pStyle w:val="Heading4"/>
        <w:numPr>
          <w:ilvl w:val="2"/>
          <w:numId w:val="5"/>
        </w:numPr>
      </w:pPr>
      <w:r w:rsidRPr="00BB5AA6">
        <w:t>Hypersensitivity</w:t>
      </w:r>
    </w:p>
    <w:p w14:paraId="469B0D63" w14:textId="77777777" w:rsidR="007C0FDC" w:rsidRPr="00B31594" w:rsidRDefault="007C0FDC" w:rsidP="007C0FDC">
      <w:pPr>
        <w:rPr>
          <w:lang w:eastAsia="ja-JP"/>
        </w:rPr>
      </w:pPr>
      <w:r w:rsidRPr="00D47975">
        <w:rPr>
          <w:lang w:eastAsia="ja-JP"/>
        </w:rPr>
        <w:t xml:space="preserve">Across the 2 studies in therapeutic indications, the proportion of hypersensitivity adverse events was similar </w:t>
      </w:r>
      <w:r>
        <w:rPr>
          <w:lang w:eastAsia="ja-JP"/>
        </w:rPr>
        <w:t>between treatment groups, although the proportions seemed slightly larger in the ABP 501 group.</w:t>
      </w:r>
    </w:p>
    <w:p w14:paraId="455D6356" w14:textId="77777777" w:rsidR="007C0FDC" w:rsidRDefault="007C0FDC" w:rsidP="0045370B">
      <w:pPr>
        <w:pStyle w:val="Heading5"/>
        <w:rPr>
          <w:lang w:eastAsia="ja-JP"/>
        </w:rPr>
      </w:pPr>
      <w:r w:rsidRPr="00906AAC">
        <w:rPr>
          <w:lang w:eastAsia="ja-JP"/>
        </w:rPr>
        <w:t>Study 20120262 (RA patients)</w:t>
      </w:r>
    </w:p>
    <w:p w14:paraId="2AB8A1F3" w14:textId="7851531B" w:rsidR="007C0FDC" w:rsidRPr="003F1883" w:rsidRDefault="007C0FDC" w:rsidP="007C0FDC">
      <w:pPr>
        <w:rPr>
          <w:lang w:eastAsia="ja-JP"/>
        </w:rPr>
      </w:pPr>
      <w:r>
        <w:rPr>
          <w:lang w:eastAsia="ja-JP"/>
        </w:rPr>
        <w:t>The overall proportion of subjects with hypersensitivity adverse events was 4.6%, (ABP</w:t>
      </w:r>
      <w:r w:rsidR="00602DC4">
        <w:rPr>
          <w:lang w:eastAsia="ja-JP"/>
        </w:rPr>
        <w:t> </w:t>
      </w:r>
      <w:r>
        <w:rPr>
          <w:lang w:eastAsia="ja-JP"/>
        </w:rPr>
        <w:t>501:</w:t>
      </w:r>
      <w:r w:rsidR="00602DC4">
        <w:rPr>
          <w:lang w:eastAsia="ja-JP"/>
        </w:rPr>
        <w:t> </w:t>
      </w:r>
      <w:r>
        <w:rPr>
          <w:lang w:eastAsia="ja-JP"/>
        </w:rPr>
        <w:t>5.3%; adalimumab: 3.8%).</w:t>
      </w:r>
    </w:p>
    <w:p w14:paraId="0829BA9A" w14:textId="77777777" w:rsidR="007C0FDC" w:rsidRDefault="007C0FDC" w:rsidP="0045370B">
      <w:pPr>
        <w:pStyle w:val="Heading5"/>
        <w:rPr>
          <w:lang w:eastAsia="ja-JP"/>
        </w:rPr>
      </w:pPr>
      <w:r w:rsidRPr="00906AAC">
        <w:rPr>
          <w:lang w:eastAsia="ja-JP"/>
        </w:rPr>
        <w:t xml:space="preserve">Study </w:t>
      </w:r>
      <w:r w:rsidRPr="0045370B">
        <w:t>20120263</w:t>
      </w:r>
      <w:r w:rsidRPr="00906AAC">
        <w:rPr>
          <w:lang w:eastAsia="ja-JP"/>
        </w:rPr>
        <w:t xml:space="preserve"> (</w:t>
      </w:r>
      <w:r>
        <w:rPr>
          <w:lang w:eastAsia="ja-JP"/>
        </w:rPr>
        <w:t>Psoriasis</w:t>
      </w:r>
      <w:r w:rsidRPr="00906AAC">
        <w:rPr>
          <w:lang w:eastAsia="ja-JP"/>
        </w:rPr>
        <w:t xml:space="preserve"> patients)</w:t>
      </w:r>
    </w:p>
    <w:p w14:paraId="43E858D2" w14:textId="77777777" w:rsidR="007C0FDC" w:rsidRPr="003F1883" w:rsidRDefault="007C0FDC" w:rsidP="007C0FDC">
      <w:pPr>
        <w:rPr>
          <w:lang w:eastAsia="ja-JP"/>
        </w:rPr>
      </w:pPr>
      <w:r>
        <w:rPr>
          <w:lang w:eastAsia="ja-JP"/>
        </w:rPr>
        <w:t>Up to Week 16, the overall incidence of hypersensitivity adverse events was 4.3%, (ABP 501, 4.6%; adalimumab, 4.0%). Post week 16, the overall incidence of hypersensitivity adverse events was 4.2%, (ABP 501/ABP 501, 5.3%; adalimumab/adalimumab, 2.5%; adalimumab/ABP 501, 3.9%). One hypersensitivity event in the ABP 501 group was serious (Grade 4) and led to discontinuation of IP and study.</w:t>
      </w:r>
    </w:p>
    <w:p w14:paraId="43A456F1" w14:textId="77777777" w:rsidR="007C0FDC" w:rsidRPr="004A6FF6" w:rsidRDefault="007C0FDC" w:rsidP="0045370B">
      <w:pPr>
        <w:pStyle w:val="Heading5"/>
        <w:rPr>
          <w:lang w:eastAsia="ja-JP"/>
        </w:rPr>
      </w:pPr>
      <w:r w:rsidRPr="004A6FF6">
        <w:rPr>
          <w:lang w:eastAsia="ja-JP"/>
        </w:rPr>
        <w:t xml:space="preserve">Study </w:t>
      </w:r>
      <w:r w:rsidRPr="0045370B">
        <w:t>20110217</w:t>
      </w:r>
      <w:r w:rsidRPr="004A6FF6">
        <w:rPr>
          <w:lang w:eastAsia="ja-JP"/>
        </w:rPr>
        <w:t xml:space="preserve"> (PK study in healthy subjects)</w:t>
      </w:r>
    </w:p>
    <w:p w14:paraId="12A82F8C" w14:textId="77777777" w:rsidR="007C0FDC" w:rsidRDefault="007C0FDC" w:rsidP="007C0FDC">
      <w:pPr>
        <w:rPr>
          <w:lang w:eastAsia="ja-JP"/>
        </w:rPr>
      </w:pPr>
      <w:r>
        <w:rPr>
          <w:lang w:eastAsia="ja-JP"/>
        </w:rPr>
        <w:t>No hypersensitivity reaction was reported.</w:t>
      </w:r>
    </w:p>
    <w:p w14:paraId="5934D916" w14:textId="62EE2C91" w:rsidR="007C0FDC" w:rsidRPr="00BB5AA6" w:rsidRDefault="007C0FDC" w:rsidP="007C0FDC">
      <w:pPr>
        <w:pStyle w:val="Heading4"/>
        <w:numPr>
          <w:ilvl w:val="2"/>
          <w:numId w:val="5"/>
        </w:numPr>
      </w:pPr>
      <w:r w:rsidRPr="00BB5AA6">
        <w:t>Demyelinating</w:t>
      </w:r>
      <w:r>
        <w:t xml:space="preserve"> </w:t>
      </w:r>
      <w:r w:rsidR="00602DC4">
        <w:t>disease</w:t>
      </w:r>
    </w:p>
    <w:p w14:paraId="5B7908EB" w14:textId="77777777" w:rsidR="007C0FDC" w:rsidRDefault="007C0FDC" w:rsidP="007C0FDC">
      <w:pPr>
        <w:rPr>
          <w:lang w:eastAsia="ja-JP"/>
        </w:rPr>
      </w:pPr>
      <w:r w:rsidRPr="006E2CA1">
        <w:rPr>
          <w:lang w:eastAsia="ja-JP"/>
        </w:rPr>
        <w:t>No events classified as demyelination adverse events were reported</w:t>
      </w:r>
      <w:r>
        <w:rPr>
          <w:lang w:eastAsia="ja-JP"/>
        </w:rPr>
        <w:t>.</w:t>
      </w:r>
    </w:p>
    <w:p w14:paraId="4D57F6BD" w14:textId="663096F5" w:rsidR="007C0FDC" w:rsidRPr="00B1117E" w:rsidRDefault="007C0FDC" w:rsidP="007C0FDC">
      <w:pPr>
        <w:pStyle w:val="Heading4"/>
        <w:numPr>
          <w:ilvl w:val="2"/>
          <w:numId w:val="5"/>
        </w:numPr>
      </w:pPr>
      <w:r>
        <w:t xml:space="preserve">Lupus-like </w:t>
      </w:r>
      <w:r w:rsidR="00602DC4">
        <w:t>s</w:t>
      </w:r>
      <w:r>
        <w:t>yndrome</w:t>
      </w:r>
    </w:p>
    <w:p w14:paraId="42A1828F" w14:textId="77777777" w:rsidR="007C0FDC" w:rsidRDefault="007C0FDC" w:rsidP="007C0FDC">
      <w:pPr>
        <w:rPr>
          <w:lang w:eastAsia="ja-JP"/>
        </w:rPr>
      </w:pPr>
      <w:r w:rsidRPr="0055032D">
        <w:rPr>
          <w:lang w:eastAsia="ja-JP"/>
        </w:rPr>
        <w:t>No events classified as lupus-like syndrome adverse events were reported</w:t>
      </w:r>
      <w:r>
        <w:rPr>
          <w:lang w:eastAsia="ja-JP"/>
        </w:rPr>
        <w:t>.</w:t>
      </w:r>
    </w:p>
    <w:p w14:paraId="491A6FE1" w14:textId="77777777" w:rsidR="007C0FDC" w:rsidRDefault="007C0FDC" w:rsidP="007C0FDC">
      <w:pPr>
        <w:pStyle w:val="Heading4"/>
        <w:numPr>
          <w:ilvl w:val="2"/>
          <w:numId w:val="5"/>
        </w:numPr>
      </w:pPr>
      <w:bookmarkStart w:id="343" w:name="_Toc272414672"/>
      <w:bookmarkStart w:id="344" w:name="_Toc290888536"/>
      <w:bookmarkStart w:id="345" w:name="_Toc416353752"/>
      <w:bookmarkStart w:id="346" w:name="_Toc421005295"/>
      <w:bookmarkStart w:id="347" w:name="_Toc432079172"/>
      <w:bookmarkStart w:id="348" w:name="_Toc432080745"/>
      <w:r w:rsidRPr="00545B14">
        <w:t>Haematology</w:t>
      </w:r>
      <w:bookmarkEnd w:id="343"/>
      <w:bookmarkEnd w:id="344"/>
      <w:bookmarkEnd w:id="345"/>
      <w:bookmarkEnd w:id="346"/>
      <w:r>
        <w:t xml:space="preserve"> and haematological toxicity</w:t>
      </w:r>
      <w:bookmarkEnd w:id="347"/>
      <w:bookmarkEnd w:id="348"/>
    </w:p>
    <w:p w14:paraId="1642F2F7" w14:textId="77777777" w:rsidR="007C0FDC" w:rsidRDefault="007C0FDC" w:rsidP="0045370B">
      <w:pPr>
        <w:pStyle w:val="Heading5"/>
        <w:rPr>
          <w:lang w:eastAsia="ja-JP"/>
        </w:rPr>
      </w:pPr>
      <w:r w:rsidRPr="00906AAC">
        <w:rPr>
          <w:lang w:eastAsia="ja-JP"/>
        </w:rPr>
        <w:t xml:space="preserve">Study </w:t>
      </w:r>
      <w:r w:rsidRPr="0045370B">
        <w:t>20120262</w:t>
      </w:r>
      <w:r w:rsidRPr="00906AAC">
        <w:rPr>
          <w:lang w:eastAsia="ja-JP"/>
        </w:rPr>
        <w:t xml:space="preserve"> (RA patients)</w:t>
      </w:r>
    </w:p>
    <w:p w14:paraId="216FBA9C" w14:textId="77777777" w:rsidR="007C0FDC" w:rsidRPr="00952E36" w:rsidRDefault="007C0FDC" w:rsidP="0045370B">
      <w:pPr>
        <w:rPr>
          <w:lang w:eastAsia="ja-JP"/>
        </w:rPr>
      </w:pPr>
      <w:r w:rsidRPr="00067195">
        <w:rPr>
          <w:lang w:eastAsia="ja-JP"/>
        </w:rPr>
        <w:t xml:space="preserve">1.9% of subjects in both groups </w:t>
      </w:r>
      <w:r>
        <w:rPr>
          <w:lang w:eastAsia="ja-JP"/>
        </w:rPr>
        <w:t>experienced a</w:t>
      </w:r>
      <w:r w:rsidRPr="00067195">
        <w:rPr>
          <w:lang w:eastAsia="ja-JP"/>
        </w:rPr>
        <w:t xml:space="preserve"> h</w:t>
      </w:r>
      <w:r>
        <w:rPr>
          <w:lang w:eastAsia="ja-JP"/>
        </w:rPr>
        <w:t>a</w:t>
      </w:r>
      <w:r w:rsidRPr="00067195">
        <w:rPr>
          <w:lang w:eastAsia="ja-JP"/>
        </w:rPr>
        <w:t>ematological adverse event.</w:t>
      </w:r>
      <w:r>
        <w:rPr>
          <w:lang w:eastAsia="ja-JP"/>
        </w:rPr>
        <w:t xml:space="preserve"> </w:t>
      </w:r>
      <w:r w:rsidRPr="0015111B">
        <w:rPr>
          <w:lang w:eastAsia="ja-JP"/>
        </w:rPr>
        <w:t xml:space="preserve">The only </w:t>
      </w:r>
      <w:r>
        <w:rPr>
          <w:lang w:eastAsia="ja-JP"/>
        </w:rPr>
        <w:t xml:space="preserve">event in </w:t>
      </w:r>
      <w:r w:rsidRPr="0015111B">
        <w:rPr>
          <w:lang w:eastAsia="ja-JP"/>
        </w:rPr>
        <w:t>&gt; 1% of subjects in either treatment group</w:t>
      </w:r>
      <w:r>
        <w:rPr>
          <w:lang w:eastAsia="ja-JP"/>
        </w:rPr>
        <w:t xml:space="preserve"> was leukopaenia (ABP 501: 1.5% (4/</w:t>
      </w:r>
      <w:r w:rsidRPr="0015111B">
        <w:rPr>
          <w:lang w:eastAsia="ja-JP"/>
        </w:rPr>
        <w:t>264</w:t>
      </w:r>
      <w:r>
        <w:rPr>
          <w:lang w:eastAsia="ja-JP"/>
        </w:rPr>
        <w:t>), adalimumab: 1.1% (3/</w:t>
      </w:r>
      <w:r w:rsidRPr="0015111B">
        <w:rPr>
          <w:lang w:eastAsia="ja-JP"/>
        </w:rPr>
        <w:t>262</w:t>
      </w:r>
      <w:r>
        <w:rPr>
          <w:lang w:eastAsia="ja-JP"/>
        </w:rPr>
        <w:t>))</w:t>
      </w:r>
      <w:r w:rsidRPr="0015111B">
        <w:rPr>
          <w:lang w:eastAsia="ja-JP"/>
        </w:rPr>
        <w:t>. None of the h</w:t>
      </w:r>
      <w:r>
        <w:rPr>
          <w:lang w:eastAsia="ja-JP"/>
        </w:rPr>
        <w:t>a</w:t>
      </w:r>
      <w:r w:rsidRPr="0015111B">
        <w:rPr>
          <w:lang w:eastAsia="ja-JP"/>
        </w:rPr>
        <w:t>ematological reaction adverse events were reported as serious adverse events.</w:t>
      </w:r>
    </w:p>
    <w:p w14:paraId="5656B415" w14:textId="77777777" w:rsidR="007C0FDC" w:rsidRDefault="007C0FDC" w:rsidP="0045370B">
      <w:pPr>
        <w:pStyle w:val="Heading5"/>
        <w:rPr>
          <w:lang w:eastAsia="ja-JP"/>
        </w:rPr>
      </w:pPr>
      <w:r w:rsidRPr="00906AAC">
        <w:rPr>
          <w:lang w:eastAsia="ja-JP"/>
        </w:rPr>
        <w:t xml:space="preserve">Study </w:t>
      </w:r>
      <w:r>
        <w:rPr>
          <w:lang w:eastAsia="ja-JP"/>
        </w:rPr>
        <w:t>20120263</w:t>
      </w:r>
      <w:r w:rsidRPr="00906AAC">
        <w:rPr>
          <w:lang w:eastAsia="ja-JP"/>
        </w:rPr>
        <w:t xml:space="preserve"> (</w:t>
      </w:r>
      <w:r>
        <w:rPr>
          <w:lang w:eastAsia="ja-JP"/>
        </w:rPr>
        <w:t>Psoriasis</w:t>
      </w:r>
      <w:r w:rsidRPr="00906AAC">
        <w:rPr>
          <w:lang w:eastAsia="ja-JP"/>
        </w:rPr>
        <w:t xml:space="preserve"> patients)</w:t>
      </w:r>
    </w:p>
    <w:p w14:paraId="5747796C" w14:textId="77777777" w:rsidR="007C0FDC" w:rsidRPr="00952E36" w:rsidRDefault="007C0FDC" w:rsidP="007C0FDC">
      <w:pPr>
        <w:rPr>
          <w:lang w:eastAsia="ja-JP"/>
        </w:rPr>
      </w:pPr>
      <w:r>
        <w:rPr>
          <w:lang w:eastAsia="ja-JP"/>
        </w:rPr>
        <w:t>Up to Week 16, 3 subjects (0.9%) (</w:t>
      </w:r>
      <w:proofErr w:type="gramStart"/>
      <w:r>
        <w:rPr>
          <w:lang w:eastAsia="ja-JP"/>
        </w:rPr>
        <w:t>adalimumab</w:t>
      </w:r>
      <w:proofErr w:type="gramEnd"/>
      <w:r>
        <w:rPr>
          <w:lang w:eastAsia="ja-JP"/>
        </w:rPr>
        <w:t xml:space="preserve"> group) experienced haematological adverse events. Post week 16, 2 subjects (0.6%) (one in the adalimumab/adalimumab group and one in the adalimumab/ABP 501 groups) experienced haematological adverse events. None of the events were considered serious </w:t>
      </w:r>
      <w:r w:rsidRPr="0015111B">
        <w:rPr>
          <w:lang w:eastAsia="ja-JP"/>
        </w:rPr>
        <w:t>and none led to discontinuation of IP or to study discontinuation.</w:t>
      </w:r>
    </w:p>
    <w:p w14:paraId="6C09FE5F" w14:textId="77777777" w:rsidR="007C0FDC" w:rsidRPr="004A6FF6" w:rsidRDefault="007C0FDC" w:rsidP="009E7EF5">
      <w:pPr>
        <w:pStyle w:val="Heading5"/>
        <w:rPr>
          <w:lang w:eastAsia="ja-JP"/>
        </w:rPr>
      </w:pPr>
      <w:r w:rsidRPr="004A6FF6">
        <w:rPr>
          <w:lang w:eastAsia="ja-JP"/>
        </w:rPr>
        <w:lastRenderedPageBreak/>
        <w:t xml:space="preserve">Study </w:t>
      </w:r>
      <w:r w:rsidRPr="009E7EF5">
        <w:t>20110217</w:t>
      </w:r>
      <w:r w:rsidRPr="004A6FF6">
        <w:rPr>
          <w:lang w:eastAsia="ja-JP"/>
        </w:rPr>
        <w:t xml:space="preserve"> (PK study in healthy subjects)</w:t>
      </w:r>
    </w:p>
    <w:p w14:paraId="5670700E" w14:textId="77777777" w:rsidR="007C0FDC" w:rsidRDefault="007C0FDC" w:rsidP="007C0FDC">
      <w:pPr>
        <w:rPr>
          <w:lang w:eastAsia="ja-JP"/>
        </w:rPr>
      </w:pPr>
      <w:r>
        <w:rPr>
          <w:lang w:eastAsia="ja-JP"/>
        </w:rPr>
        <w:t>One case of lymphocytosis occurred in each the ABP 501 group and in the adalimumab (EU) group.</w:t>
      </w:r>
    </w:p>
    <w:p w14:paraId="3287B881" w14:textId="77777777" w:rsidR="007C0FDC" w:rsidRPr="008B1D36" w:rsidRDefault="007C0FDC" w:rsidP="007C0FDC">
      <w:pPr>
        <w:pStyle w:val="Heading4"/>
        <w:numPr>
          <w:ilvl w:val="2"/>
          <w:numId w:val="5"/>
        </w:numPr>
      </w:pPr>
      <w:r>
        <w:t>Immunogenicity and immunological events</w:t>
      </w:r>
    </w:p>
    <w:p w14:paraId="1BBE0A87" w14:textId="77777777" w:rsidR="007C0FDC" w:rsidRDefault="007C0FDC" w:rsidP="009E7EF5">
      <w:pPr>
        <w:pStyle w:val="Heading5"/>
        <w:rPr>
          <w:lang w:eastAsia="ja-JP"/>
        </w:rPr>
      </w:pPr>
      <w:r w:rsidRPr="00906AAC">
        <w:rPr>
          <w:lang w:eastAsia="ja-JP"/>
        </w:rPr>
        <w:t xml:space="preserve">Study </w:t>
      </w:r>
      <w:r w:rsidRPr="009E7EF5">
        <w:t>20120262</w:t>
      </w:r>
      <w:r w:rsidRPr="00906AAC">
        <w:rPr>
          <w:lang w:eastAsia="ja-JP"/>
        </w:rPr>
        <w:t xml:space="preserve"> (RA patients)</w:t>
      </w:r>
    </w:p>
    <w:p w14:paraId="64A69277" w14:textId="77777777" w:rsidR="007C0FDC" w:rsidRPr="008B1D36" w:rsidRDefault="007C0FDC" w:rsidP="007C0FDC">
      <w:pPr>
        <w:rPr>
          <w:lang w:eastAsia="ja-JP"/>
        </w:rPr>
      </w:pPr>
      <w:r w:rsidRPr="008B1D36">
        <w:rPr>
          <w:lang w:eastAsia="ja-JP"/>
        </w:rPr>
        <w:t>5 of 264 subjects (1.9%) in the ABP 501 group and 6 of 262 subjects (2.3%) in the adalimumab group tested positive for pre-existing binding antibodies. No subjects tested positive for neutralising antibodies.</w:t>
      </w:r>
    </w:p>
    <w:p w14:paraId="654DCCA0" w14:textId="77777777" w:rsidR="007C0FDC" w:rsidRPr="009E2921" w:rsidRDefault="007C0FDC" w:rsidP="007C0FDC">
      <w:pPr>
        <w:rPr>
          <w:lang w:eastAsia="ja-JP"/>
        </w:rPr>
      </w:pPr>
      <w:r w:rsidRPr="009E2921">
        <w:rPr>
          <w:lang w:eastAsia="ja-JP"/>
        </w:rPr>
        <w:t>All 526 subjects had at least 1 evaluable antibody test result of ABP 501 or adalimumab and were included in the antibody analysis set. The overall percentage of subjects that developed binding ADAs was 38.2% (ABP 501: 38.3%; adalimumab: 38.2%. The percentage developing neutralising ADAs was 10.1% (ABP 501, 9.1%; adalimumab, 11.1%).</w:t>
      </w:r>
    </w:p>
    <w:p w14:paraId="74AFF774" w14:textId="711C1E80" w:rsidR="007C0FDC" w:rsidRPr="00890C49" w:rsidRDefault="007C0FDC" w:rsidP="007C0FDC">
      <w:pPr>
        <w:rPr>
          <w:lang w:eastAsia="ja-JP"/>
        </w:rPr>
      </w:pPr>
      <w:r w:rsidRPr="009E2921">
        <w:rPr>
          <w:lang w:eastAsia="ja-JP"/>
        </w:rPr>
        <w:t>Using a statistical model adjusted for stratification factors, the difference in the percentage of developing binding ADAs between ABP 501 and adalimumab was 0.219% (90% confidence interval (CI (-6.795%, 7.234%)). The difference for neutralising ADAs was -1.4</w:t>
      </w:r>
      <w:r>
        <w:rPr>
          <w:lang w:eastAsia="ja-JP"/>
        </w:rPr>
        <w:t>34% (90% CI:</w:t>
      </w:r>
      <w:r w:rsidR="00602DC4">
        <w:rPr>
          <w:lang w:eastAsia="ja-JP"/>
        </w:rPr>
        <w:t> </w:t>
      </w:r>
      <w:r>
        <w:rPr>
          <w:lang w:eastAsia="ja-JP"/>
        </w:rPr>
        <w:t>(</w:t>
      </w:r>
      <w:r>
        <w:rPr>
          <w:lang w:eastAsia="ja-JP"/>
        </w:rPr>
        <w:noBreakHyphen/>
        <w:t>6.741%, 3.874%)</w:t>
      </w:r>
      <w:r w:rsidRPr="009E2921">
        <w:rPr>
          <w:lang w:eastAsia="ja-JP"/>
        </w:rPr>
        <w:t>)</w:t>
      </w:r>
      <w:r>
        <w:rPr>
          <w:lang w:eastAsia="ja-JP"/>
        </w:rPr>
        <w:t>.</w:t>
      </w:r>
    </w:p>
    <w:p w14:paraId="1DB51B79" w14:textId="2E761FB1" w:rsidR="007C0FDC" w:rsidRPr="005036A7" w:rsidRDefault="007C0FDC" w:rsidP="009E7EF5">
      <w:pPr>
        <w:pStyle w:val="Tabletitle"/>
      </w:pPr>
      <w:bookmarkStart w:id="349" w:name="_Toc471285628"/>
      <w:r w:rsidRPr="005036A7">
        <w:t xml:space="preserve">Table </w:t>
      </w:r>
      <w:r>
        <w:t>37:</w:t>
      </w:r>
      <w:r w:rsidRPr="005036A7">
        <w:t xml:space="preserve"> Study </w:t>
      </w:r>
      <w:r w:rsidRPr="009E7EF5">
        <w:t>20120262</w:t>
      </w:r>
      <w:r w:rsidRPr="005036A7">
        <w:t xml:space="preserve"> Antidrug </w:t>
      </w:r>
      <w:r w:rsidR="00602DC4" w:rsidRPr="005036A7">
        <w:t xml:space="preserve">antibodies summary results by treatment </w:t>
      </w:r>
      <w:r w:rsidRPr="005036A7">
        <w:t>(ADA</w:t>
      </w:r>
      <w:r w:rsidR="00602DC4">
        <w:t> </w:t>
      </w:r>
      <w:r w:rsidRPr="005036A7">
        <w:t>Analysis Set).</w:t>
      </w:r>
      <w:bookmarkEnd w:id="349"/>
    </w:p>
    <w:p w14:paraId="47EBAE06" w14:textId="77777777" w:rsidR="007C0FDC" w:rsidRDefault="007C0FDC" w:rsidP="007C0FDC">
      <w:r>
        <w:rPr>
          <w:noProof/>
          <w:lang w:eastAsia="en-AU"/>
        </w:rPr>
        <w:drawing>
          <wp:inline distT="0" distB="0" distL="0" distR="0" wp14:anchorId="0464B5D2" wp14:editId="06FE38E8">
            <wp:extent cx="3983899" cy="5179102"/>
            <wp:effectExtent l="0" t="0" r="0" b="2540"/>
            <wp:docPr id="322" name="Picture 322" descr="Table 37: Study 20120262: Antidrug Antibodies Summary Results by Treatment (AD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0"/>
                      <a:ext cx="3991137" cy="5188512"/>
                    </a:xfrm>
                    <a:prstGeom prst="rect">
                      <a:avLst/>
                    </a:prstGeom>
                    <a:noFill/>
                    <a:ln>
                      <a:noFill/>
                    </a:ln>
                  </pic:spPr>
                </pic:pic>
              </a:graphicData>
            </a:graphic>
          </wp:inline>
        </w:drawing>
      </w:r>
    </w:p>
    <w:p w14:paraId="377FF771" w14:textId="77777777" w:rsidR="007C0FDC" w:rsidRDefault="007C0FDC" w:rsidP="009E7EF5">
      <w:pPr>
        <w:pStyle w:val="Heading5"/>
        <w:rPr>
          <w:lang w:eastAsia="ja-JP"/>
        </w:rPr>
      </w:pPr>
      <w:r w:rsidRPr="009E7EF5">
        <w:lastRenderedPageBreak/>
        <w:t>Study</w:t>
      </w:r>
      <w:r w:rsidRPr="00906AAC">
        <w:rPr>
          <w:lang w:eastAsia="ja-JP"/>
        </w:rPr>
        <w:t xml:space="preserve"> </w:t>
      </w:r>
      <w:r>
        <w:rPr>
          <w:lang w:eastAsia="ja-JP"/>
        </w:rPr>
        <w:t>20120263</w:t>
      </w:r>
      <w:r w:rsidRPr="00906AAC">
        <w:rPr>
          <w:lang w:eastAsia="ja-JP"/>
        </w:rPr>
        <w:t xml:space="preserve"> (</w:t>
      </w:r>
      <w:r>
        <w:rPr>
          <w:lang w:eastAsia="ja-JP"/>
        </w:rPr>
        <w:t>Psoriasis</w:t>
      </w:r>
      <w:r w:rsidRPr="00906AAC">
        <w:rPr>
          <w:lang w:eastAsia="ja-JP"/>
        </w:rPr>
        <w:t xml:space="preserve"> patients)</w:t>
      </w:r>
    </w:p>
    <w:p w14:paraId="43448D08" w14:textId="77777777" w:rsidR="007C0FDC" w:rsidRPr="005036A7" w:rsidRDefault="007C0FDC" w:rsidP="007C0FDC">
      <w:pPr>
        <w:rPr>
          <w:u w:val="single"/>
          <w:lang w:eastAsia="ja-JP"/>
        </w:rPr>
      </w:pPr>
      <w:r w:rsidRPr="00EA1F9E">
        <w:rPr>
          <w:lang w:eastAsia="ja-JP"/>
        </w:rPr>
        <w:t>No subjects tested pos</w:t>
      </w:r>
      <w:r>
        <w:rPr>
          <w:lang w:eastAsia="ja-JP"/>
        </w:rPr>
        <w:t xml:space="preserve">itive for pre-existing neutralising antibodies. With regard to </w:t>
      </w:r>
      <w:r w:rsidRPr="00EA1F9E">
        <w:rPr>
          <w:lang w:eastAsia="ja-JP"/>
        </w:rPr>
        <w:t>pre-existing binding antibodies</w:t>
      </w:r>
      <w:r>
        <w:rPr>
          <w:lang w:eastAsia="ja-JP"/>
        </w:rPr>
        <w:t>, n</w:t>
      </w:r>
      <w:r w:rsidRPr="00EA1F9E">
        <w:rPr>
          <w:lang w:eastAsia="ja-JP"/>
        </w:rPr>
        <w:t xml:space="preserve">o subjects </w:t>
      </w:r>
      <w:r>
        <w:rPr>
          <w:lang w:eastAsia="ja-JP"/>
        </w:rPr>
        <w:t>in the non-re-randomis</w:t>
      </w:r>
      <w:r w:rsidRPr="00EA1F9E">
        <w:rPr>
          <w:lang w:eastAsia="ja-JP"/>
        </w:rPr>
        <w:t>ed</w:t>
      </w:r>
      <w:r>
        <w:rPr>
          <w:lang w:eastAsia="ja-JP"/>
        </w:rPr>
        <w:t xml:space="preserve"> group </w:t>
      </w:r>
      <w:r w:rsidRPr="00EA1F9E">
        <w:rPr>
          <w:lang w:eastAsia="ja-JP"/>
        </w:rPr>
        <w:t>tested pos</w:t>
      </w:r>
      <w:r>
        <w:rPr>
          <w:lang w:eastAsia="ja-JP"/>
        </w:rPr>
        <w:t>itive, but in the re-randomis</w:t>
      </w:r>
      <w:r w:rsidRPr="00EA1F9E">
        <w:rPr>
          <w:lang w:eastAsia="ja-JP"/>
        </w:rPr>
        <w:t>ed</w:t>
      </w:r>
      <w:r>
        <w:rPr>
          <w:lang w:eastAsia="ja-JP"/>
        </w:rPr>
        <w:t xml:space="preserve"> group, there was one subject </w:t>
      </w:r>
      <w:r w:rsidRPr="00EA1F9E">
        <w:rPr>
          <w:lang w:eastAsia="ja-JP"/>
        </w:rPr>
        <w:t xml:space="preserve">in </w:t>
      </w:r>
      <w:r>
        <w:rPr>
          <w:lang w:eastAsia="ja-JP"/>
        </w:rPr>
        <w:t>each of the 3 treatment groups that tested positive.</w:t>
      </w:r>
    </w:p>
    <w:p w14:paraId="37E343B9" w14:textId="04AAA012" w:rsidR="007C0FDC" w:rsidRDefault="007C0FDC" w:rsidP="007C0FDC">
      <w:pPr>
        <w:rPr>
          <w:b/>
        </w:rPr>
      </w:pPr>
      <w:r>
        <w:rPr>
          <w:lang w:eastAsia="ja-JP"/>
        </w:rPr>
        <w:t>Up to Week 16, the overall percentage of subjects developing binding ADAs was 59.4% (ABP</w:t>
      </w:r>
      <w:r w:rsidR="00602DC4">
        <w:rPr>
          <w:lang w:eastAsia="ja-JP"/>
        </w:rPr>
        <w:t> </w:t>
      </w:r>
      <w:r>
        <w:rPr>
          <w:lang w:eastAsia="ja-JP"/>
        </w:rPr>
        <w:t>501: 55.2%; adalimumab: 63.6%) and 11.8% for neutralising ADAs (ABP 501: 9.8%; adalimumab: 13.9%) (</w:t>
      </w:r>
      <w:bookmarkStart w:id="350" w:name="_Ref462078892"/>
      <w:r>
        <w:rPr>
          <w:lang w:eastAsia="ja-JP"/>
        </w:rPr>
        <w:t>Table 38).</w:t>
      </w:r>
    </w:p>
    <w:p w14:paraId="24A9E58D" w14:textId="34C4F983" w:rsidR="007C0FDC" w:rsidRPr="005036A7" w:rsidRDefault="007C0FDC" w:rsidP="009E7EF5">
      <w:pPr>
        <w:pStyle w:val="Tabletitle"/>
      </w:pPr>
      <w:bookmarkStart w:id="351" w:name="_Toc471285629"/>
      <w:r w:rsidRPr="005036A7">
        <w:t xml:space="preserve">Table </w:t>
      </w:r>
      <w:r>
        <w:t>38:</w:t>
      </w:r>
      <w:bookmarkEnd w:id="350"/>
      <w:r w:rsidRPr="005036A7">
        <w:t xml:space="preserve"> Study 20120263 </w:t>
      </w:r>
      <w:r w:rsidR="009C545F">
        <w:t>A</w:t>
      </w:r>
      <w:r w:rsidR="009C545F" w:rsidRPr="005036A7">
        <w:t xml:space="preserve">ntidrug </w:t>
      </w:r>
      <w:r w:rsidR="009C545F" w:rsidRPr="009E7EF5">
        <w:t>antibodies</w:t>
      </w:r>
      <w:r w:rsidR="009C545F" w:rsidRPr="005036A7">
        <w:t xml:space="preserve"> summary results by treatment</w:t>
      </w:r>
      <w:r w:rsidR="009C545F">
        <w:t>;</w:t>
      </w:r>
      <w:r w:rsidR="009C545F" w:rsidRPr="005036A7">
        <w:t xml:space="preserve"> through </w:t>
      </w:r>
      <w:r w:rsidR="009C545F">
        <w:t>W</w:t>
      </w:r>
      <w:r w:rsidR="009C545F" w:rsidRPr="005036A7">
        <w:t>eek 16 (</w:t>
      </w:r>
      <w:r w:rsidR="009C545F">
        <w:t>ADA</w:t>
      </w:r>
      <w:r w:rsidR="009C545F" w:rsidRPr="005036A7">
        <w:t xml:space="preserve"> analysis set)</w:t>
      </w:r>
      <w:bookmarkEnd w:id="351"/>
    </w:p>
    <w:p w14:paraId="24D827CB" w14:textId="77777777" w:rsidR="007C0FDC" w:rsidRDefault="007C0FDC" w:rsidP="007C0FDC">
      <w:r>
        <w:rPr>
          <w:noProof/>
          <w:lang w:eastAsia="en-AU"/>
        </w:rPr>
        <w:drawing>
          <wp:inline distT="0" distB="0" distL="0" distR="0" wp14:anchorId="61A99D18" wp14:editId="42FC9D6D">
            <wp:extent cx="4361722" cy="5477774"/>
            <wp:effectExtent l="0" t="0" r="1270" b="8890"/>
            <wp:docPr id="323" name="Picture 323" descr="Table 38: Study 20120263: Antidrug Antibodies Summary Results by Treatment – Through Week 16 (AD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lum bright="-20000" contrast="40000"/>
                      <a:extLst>
                        <a:ext uri="{28A0092B-C50C-407E-A947-70E740481C1C}">
                          <a14:useLocalDpi xmlns:a14="http://schemas.microsoft.com/office/drawing/2010/main" val="0"/>
                        </a:ext>
                      </a:extLst>
                    </a:blip>
                    <a:srcRect b="2608"/>
                    <a:stretch/>
                  </pic:blipFill>
                  <pic:spPr bwMode="auto">
                    <a:xfrm>
                      <a:off x="0" y="0"/>
                      <a:ext cx="4374517" cy="5493843"/>
                    </a:xfrm>
                    <a:prstGeom prst="rect">
                      <a:avLst/>
                    </a:prstGeom>
                    <a:noFill/>
                    <a:ln>
                      <a:noFill/>
                    </a:ln>
                    <a:extLst>
                      <a:ext uri="{53640926-AAD7-44D8-BBD7-CCE9431645EC}">
                        <a14:shadowObscured xmlns:a14="http://schemas.microsoft.com/office/drawing/2010/main"/>
                      </a:ext>
                    </a:extLst>
                  </pic:spPr>
                </pic:pic>
              </a:graphicData>
            </a:graphic>
          </wp:inline>
        </w:drawing>
      </w:r>
    </w:p>
    <w:p w14:paraId="137B5ADC" w14:textId="77777777" w:rsidR="007C0FDC" w:rsidRDefault="007C0FDC" w:rsidP="007C0FDC">
      <w:pPr>
        <w:rPr>
          <w:lang w:eastAsia="ja-JP"/>
        </w:rPr>
      </w:pPr>
      <w:r>
        <w:rPr>
          <w:lang w:eastAsia="ja-JP"/>
        </w:rPr>
        <w:t xml:space="preserve">Post Week 16, the overall percentage of subjects developing binding ADAs was 72.3% and </w:t>
      </w:r>
      <w:r w:rsidRPr="00A43FF1">
        <w:rPr>
          <w:lang w:eastAsia="ja-JP"/>
        </w:rPr>
        <w:t>21.9%</w:t>
      </w:r>
      <w:r>
        <w:rPr>
          <w:lang w:eastAsia="ja-JP"/>
        </w:rPr>
        <w:t xml:space="preserve"> for neutralising ADAs. The percentage of developing binding or neutralising ADAs was as follows: binding ADAs: 68.4%, 74.7%, and 72.7%; neutralising ADAs: 13.8%, 20.3%, 24.7%, for ABP 501/ABP 501, adalimumab/adalimumab, and adalimumab/ABP 501 groups, respectively. The adalimumab/ABP 501 group had the largest proportion of subjects with neutralising ADAs (24.7%).</w:t>
      </w:r>
    </w:p>
    <w:p w14:paraId="7E5961AA" w14:textId="77777777" w:rsidR="007C0FDC" w:rsidRDefault="007C0FDC" w:rsidP="007C0FDC">
      <w:pPr>
        <w:rPr>
          <w:lang w:eastAsia="ja-JP"/>
        </w:rPr>
      </w:pPr>
      <w:r w:rsidRPr="00EA1F9E">
        <w:rPr>
          <w:lang w:eastAsia="ja-JP"/>
        </w:rPr>
        <w:t xml:space="preserve">The difference in the </w:t>
      </w:r>
      <w:r>
        <w:rPr>
          <w:lang w:eastAsia="ja-JP"/>
        </w:rPr>
        <w:t>percentage</w:t>
      </w:r>
      <w:r w:rsidRPr="00EA1F9E">
        <w:rPr>
          <w:lang w:eastAsia="ja-JP"/>
        </w:rPr>
        <w:t xml:space="preserve"> of </w:t>
      </w:r>
      <w:r>
        <w:rPr>
          <w:lang w:eastAsia="ja-JP"/>
        </w:rPr>
        <w:t xml:space="preserve">subjects </w:t>
      </w:r>
      <w:r w:rsidRPr="00EA1F9E">
        <w:rPr>
          <w:lang w:eastAsia="ja-JP"/>
        </w:rPr>
        <w:t>developing binding antibodies between ABP 501 and adalimumab was -8.122% wit</w:t>
      </w:r>
      <w:r>
        <w:rPr>
          <w:lang w:eastAsia="ja-JP"/>
        </w:rPr>
        <w:t xml:space="preserve">h 95% CI of (-18.242%, 1.998%). </w:t>
      </w:r>
      <w:r w:rsidRPr="00EA1F9E">
        <w:rPr>
          <w:lang w:eastAsia="ja-JP"/>
        </w:rPr>
        <w:t xml:space="preserve">The difference in the </w:t>
      </w:r>
      <w:r>
        <w:rPr>
          <w:lang w:eastAsia="ja-JP"/>
        </w:rPr>
        <w:lastRenderedPageBreak/>
        <w:t>percentage of subjects developing neutralis</w:t>
      </w:r>
      <w:r w:rsidRPr="00EA1F9E">
        <w:rPr>
          <w:lang w:eastAsia="ja-JP"/>
        </w:rPr>
        <w:t>ing antibodies between ABP 501 and adalimumab was -3.531% with 95% CI o</w:t>
      </w:r>
      <w:r>
        <w:rPr>
          <w:lang w:eastAsia="ja-JP"/>
        </w:rPr>
        <w:t>f (-10.392%, 3.331%).</w:t>
      </w:r>
    </w:p>
    <w:p w14:paraId="4604BC5B" w14:textId="03A4F05C" w:rsidR="007C0FDC" w:rsidRDefault="007C0FDC" w:rsidP="007C0FDC">
      <w:pPr>
        <w:rPr>
          <w:lang w:eastAsia="ja-JP"/>
        </w:rPr>
      </w:pPr>
      <w:r>
        <w:rPr>
          <w:lang w:eastAsia="ja-JP"/>
        </w:rPr>
        <w:t>The evolution of ADA results throughout the study for each treatment group is shown in Table</w:t>
      </w:r>
      <w:r w:rsidR="009C545F">
        <w:rPr>
          <w:lang w:eastAsia="ja-JP"/>
        </w:rPr>
        <w:t> </w:t>
      </w:r>
      <w:r>
        <w:rPr>
          <w:lang w:eastAsia="ja-JP"/>
        </w:rPr>
        <w:t xml:space="preserve">39. </w:t>
      </w:r>
      <w:r w:rsidRPr="007724B5">
        <w:rPr>
          <w:lang w:eastAsia="ja-JP"/>
        </w:rPr>
        <w:t>It appears</w:t>
      </w:r>
      <w:r>
        <w:rPr>
          <w:lang w:eastAsia="ja-JP"/>
        </w:rPr>
        <w:t xml:space="preserve"> that, from Week 16 onwards, the proportion of ADA-positive subjects is consistently higher in the </w:t>
      </w:r>
      <w:r w:rsidRPr="007724B5">
        <w:rPr>
          <w:lang w:eastAsia="ja-JP"/>
        </w:rPr>
        <w:t>adalimumab/ABP 501</w:t>
      </w:r>
      <w:r>
        <w:rPr>
          <w:lang w:eastAsia="ja-JP"/>
        </w:rPr>
        <w:t xml:space="preserve"> (single-switch) group.</w:t>
      </w:r>
    </w:p>
    <w:p w14:paraId="3EBAC3CE" w14:textId="1E916806" w:rsidR="007C0FDC" w:rsidRDefault="007C0FDC" w:rsidP="009E7EF5">
      <w:pPr>
        <w:pStyle w:val="Tabletitle"/>
        <w:rPr>
          <w:lang w:eastAsia="ja-JP"/>
        </w:rPr>
      </w:pPr>
      <w:bookmarkStart w:id="352" w:name="_Ref462079084"/>
      <w:bookmarkStart w:id="353" w:name="_Toc471285630"/>
      <w:r w:rsidRPr="00A371C6">
        <w:t xml:space="preserve">Table </w:t>
      </w:r>
      <w:r>
        <w:t>39:</w:t>
      </w:r>
      <w:bookmarkEnd w:id="352"/>
      <w:r w:rsidRPr="00A371C6">
        <w:t xml:space="preserve"> Study </w:t>
      </w:r>
      <w:r w:rsidRPr="009E7EF5">
        <w:t>20120263</w:t>
      </w:r>
      <w:r w:rsidRPr="00A371C6">
        <w:t xml:space="preserve"> </w:t>
      </w:r>
      <w:r w:rsidRPr="00A371C6">
        <w:rPr>
          <w:lang w:eastAsia="ja-JP"/>
        </w:rPr>
        <w:t>Anti</w:t>
      </w:r>
      <w:r w:rsidR="009B0FB8">
        <w:rPr>
          <w:lang w:eastAsia="ja-JP"/>
        </w:rPr>
        <w:t>-</w:t>
      </w:r>
      <w:r w:rsidR="009C545F">
        <w:rPr>
          <w:lang w:eastAsia="ja-JP"/>
        </w:rPr>
        <w:t>d</w:t>
      </w:r>
      <w:r w:rsidRPr="00A371C6">
        <w:rPr>
          <w:lang w:eastAsia="ja-JP"/>
        </w:rPr>
        <w:t xml:space="preserve">rug </w:t>
      </w:r>
      <w:r w:rsidR="009C545F" w:rsidRPr="00A371C6">
        <w:rPr>
          <w:lang w:eastAsia="ja-JP"/>
        </w:rPr>
        <w:t>antibodies results by visit and treatment</w:t>
      </w:r>
      <w:r w:rsidR="009C545F">
        <w:rPr>
          <w:lang w:eastAsia="ja-JP"/>
        </w:rPr>
        <w:t>;</w:t>
      </w:r>
      <w:r w:rsidR="009C545F" w:rsidRPr="00A371C6">
        <w:rPr>
          <w:lang w:eastAsia="ja-JP"/>
        </w:rPr>
        <w:t xml:space="preserve"> through entire study</w:t>
      </w:r>
      <w:r w:rsidRPr="00A371C6">
        <w:rPr>
          <w:lang w:eastAsia="ja-JP"/>
        </w:rPr>
        <w:t xml:space="preserve"> (ADA Analysis Set)</w:t>
      </w:r>
      <w:r>
        <w:rPr>
          <w:noProof/>
          <w:lang w:eastAsia="en-AU"/>
        </w:rPr>
        <w:drawing>
          <wp:inline distT="0" distB="0" distL="0" distR="0" wp14:anchorId="7030342A" wp14:editId="044E19BC">
            <wp:extent cx="5731510" cy="6800657"/>
            <wp:effectExtent l="0" t="0" r="2540" b="635"/>
            <wp:docPr id="10" name="Picture 10" descr="Table 39: Study 20120263: Anti-Drug Antibodies Results by Visit and Treatment - Through Entire Study (AD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5731510" cy="6800657"/>
                    </a:xfrm>
                    <a:prstGeom prst="rect">
                      <a:avLst/>
                    </a:prstGeom>
                  </pic:spPr>
                </pic:pic>
              </a:graphicData>
            </a:graphic>
          </wp:inline>
        </w:drawing>
      </w:r>
      <w:bookmarkEnd w:id="353"/>
    </w:p>
    <w:p w14:paraId="1DF67A06" w14:textId="77777777" w:rsidR="007C0FDC" w:rsidRPr="004A6FF6" w:rsidRDefault="007C0FDC" w:rsidP="009E7EF5">
      <w:pPr>
        <w:pStyle w:val="Heading5"/>
        <w:rPr>
          <w:lang w:eastAsia="ja-JP"/>
        </w:rPr>
      </w:pPr>
      <w:r w:rsidRPr="004A6FF6">
        <w:rPr>
          <w:lang w:eastAsia="ja-JP"/>
        </w:rPr>
        <w:t xml:space="preserve">Study </w:t>
      </w:r>
      <w:r w:rsidRPr="009E7EF5">
        <w:t>20110217</w:t>
      </w:r>
      <w:r w:rsidRPr="004A6FF6">
        <w:rPr>
          <w:lang w:eastAsia="ja-JP"/>
        </w:rPr>
        <w:t xml:space="preserve"> (PK study in healthy subjects)</w:t>
      </w:r>
    </w:p>
    <w:p w14:paraId="13B3F6E6" w14:textId="77777777" w:rsidR="007C0FDC" w:rsidRDefault="007C0FDC" w:rsidP="007C0FDC">
      <w:pPr>
        <w:rPr>
          <w:lang w:eastAsia="ja-JP"/>
        </w:rPr>
      </w:pPr>
      <w:r w:rsidRPr="00665D79">
        <w:rPr>
          <w:lang w:eastAsia="ja-JP"/>
        </w:rPr>
        <w:t xml:space="preserve">No pre-existing ADAs were detected in the baseline samples. In the single-dose PK similarity study, the overall </w:t>
      </w:r>
      <w:r>
        <w:rPr>
          <w:lang w:eastAsia="ja-JP"/>
        </w:rPr>
        <w:t>percentage of subjects</w:t>
      </w:r>
      <w:r w:rsidRPr="00665D79">
        <w:rPr>
          <w:lang w:eastAsia="ja-JP"/>
        </w:rPr>
        <w:t xml:space="preserve"> developing binding ADAs was 58.6%; the </w:t>
      </w:r>
      <w:r>
        <w:rPr>
          <w:lang w:eastAsia="ja-JP"/>
        </w:rPr>
        <w:t>values were</w:t>
      </w:r>
      <w:r w:rsidRPr="00665D79">
        <w:rPr>
          <w:lang w:eastAsia="ja-JP"/>
        </w:rPr>
        <w:t xml:space="preserve"> </w:t>
      </w:r>
      <w:r w:rsidRPr="00665D79">
        <w:rPr>
          <w:lang w:eastAsia="ja-JP"/>
        </w:rPr>
        <w:lastRenderedPageBreak/>
        <w:t>similar for the ABP 501 (53.7%)</w:t>
      </w:r>
      <w:r>
        <w:rPr>
          <w:lang w:eastAsia="ja-JP"/>
        </w:rPr>
        <w:t xml:space="preserve"> </w:t>
      </w:r>
      <w:r w:rsidRPr="00665D79">
        <w:rPr>
          <w:lang w:eastAsia="ja-JP"/>
        </w:rPr>
        <w:t>and adalimumab (US) (55.1%)</w:t>
      </w:r>
      <w:r>
        <w:rPr>
          <w:lang w:eastAsia="ja-JP"/>
        </w:rPr>
        <w:t xml:space="preserve"> </w:t>
      </w:r>
      <w:r w:rsidRPr="00665D79">
        <w:rPr>
          <w:lang w:eastAsia="ja-JP"/>
        </w:rPr>
        <w:t>groups but slightly highe</w:t>
      </w:r>
      <w:r>
        <w:rPr>
          <w:lang w:eastAsia="ja-JP"/>
        </w:rPr>
        <w:t>r for the adalimumab (EU) group</w:t>
      </w:r>
      <w:r w:rsidRPr="00665D79">
        <w:rPr>
          <w:lang w:eastAsia="ja-JP"/>
        </w:rPr>
        <w:t xml:space="preserve"> (67.2%)</w:t>
      </w:r>
      <w:r>
        <w:rPr>
          <w:lang w:eastAsia="ja-JP"/>
        </w:rPr>
        <w:t>. With regard to neutralis</w:t>
      </w:r>
      <w:r w:rsidRPr="00665D79">
        <w:rPr>
          <w:lang w:eastAsia="ja-JP"/>
        </w:rPr>
        <w:t>ing antibodies</w:t>
      </w:r>
      <w:r>
        <w:rPr>
          <w:lang w:eastAsia="ja-JP"/>
        </w:rPr>
        <w:t xml:space="preserve">, the values are </w:t>
      </w:r>
      <w:r w:rsidRPr="00665D79">
        <w:rPr>
          <w:lang w:eastAsia="ja-JP"/>
        </w:rPr>
        <w:t>17.9%</w:t>
      </w:r>
      <w:r>
        <w:rPr>
          <w:lang w:eastAsia="ja-JP"/>
        </w:rPr>
        <w:t xml:space="preserve">, 21.7%, </w:t>
      </w:r>
      <w:r w:rsidRPr="00665D79">
        <w:rPr>
          <w:lang w:eastAsia="ja-JP"/>
        </w:rPr>
        <w:t>and 20.9% for the ABP 501, adalimumab (US), and adalimumab (EU) groups, respectively</w:t>
      </w:r>
      <w:r>
        <w:rPr>
          <w:lang w:eastAsia="ja-JP"/>
        </w:rPr>
        <w:t>.</w:t>
      </w:r>
      <w:bookmarkStart w:id="354" w:name="_Toc432079177"/>
      <w:bookmarkStart w:id="355" w:name="_Toc432080750"/>
    </w:p>
    <w:p w14:paraId="7A138A4D" w14:textId="26399D47" w:rsidR="007C0FDC" w:rsidRDefault="009C545F" w:rsidP="007516FC">
      <w:pPr>
        <w:pStyle w:val="Comment"/>
        <w:rPr>
          <w:lang w:eastAsia="ja-JP"/>
        </w:rPr>
      </w:pPr>
      <w:r>
        <w:rPr>
          <w:b/>
          <w:lang w:eastAsia="ja-JP"/>
        </w:rPr>
        <w:t>C</w:t>
      </w:r>
      <w:r w:rsidR="007C0FDC" w:rsidRPr="00567BA7">
        <w:rPr>
          <w:b/>
          <w:lang w:eastAsia="ja-JP"/>
        </w:rPr>
        <w:t>omment:</w:t>
      </w:r>
      <w:r>
        <w:rPr>
          <w:b/>
          <w:lang w:eastAsia="ja-JP"/>
        </w:rPr>
        <w:t xml:space="preserve"> </w:t>
      </w:r>
      <w:r w:rsidR="007C0FDC">
        <w:rPr>
          <w:b/>
          <w:lang w:eastAsia="ja-JP"/>
        </w:rPr>
        <w:t xml:space="preserve"> </w:t>
      </w:r>
      <w:r w:rsidR="007C0FDC">
        <w:rPr>
          <w:lang w:eastAsia="ja-JP"/>
        </w:rPr>
        <w:t>Immunogenicity is one of the most important safety concerns in a biosimilar evaluation. Immunogenicity (through both neutralising and non-neutralising anti-drug-antibodies (ADAs)) has the potential to alter both efficacy and safety. However, the clinical significance of ADAs remains uncertain.</w:t>
      </w:r>
      <w:r w:rsidR="007C0FDC" w:rsidRPr="00A13218">
        <w:rPr>
          <w:lang w:eastAsia="ja-JP"/>
        </w:rPr>
        <w:t xml:space="preserve"> </w:t>
      </w:r>
      <w:r w:rsidR="007C0FDC">
        <w:rPr>
          <w:lang w:eastAsia="ja-JP"/>
        </w:rPr>
        <w:t xml:space="preserve">Limited data shows that </w:t>
      </w:r>
      <w:r w:rsidR="007C0FDC" w:rsidRPr="003024C0">
        <w:rPr>
          <w:lang w:eastAsia="ja-JP"/>
        </w:rPr>
        <w:t xml:space="preserve">ADA </w:t>
      </w:r>
      <w:r w:rsidR="007C0FDC">
        <w:rPr>
          <w:lang w:eastAsia="ja-JP"/>
        </w:rPr>
        <w:t>positive patients are more likely to experience infusion reactions. The development of ADAs is not necessarily linked to non-responder patients. However, when comparing etanercept to adalimumab, it appears that adalimumab patients who develop ADAs have worse clinical outcome compared to those who do not</w:t>
      </w:r>
      <w:r w:rsidR="007C0FDC" w:rsidRPr="00352471">
        <w:rPr>
          <w:lang w:eastAsia="ja-JP"/>
        </w:rPr>
        <w:t xml:space="preserve"> </w:t>
      </w:r>
      <w:r w:rsidR="007C0FDC">
        <w:rPr>
          <w:lang w:eastAsia="ja-JP"/>
        </w:rPr>
        <w:t xml:space="preserve">develop ADAs (Krieckaert </w:t>
      </w:r>
      <w:r w:rsidR="007C0FDC" w:rsidRPr="000118AD">
        <w:rPr>
          <w:i/>
          <w:lang w:eastAsia="ja-JP"/>
        </w:rPr>
        <w:t>et al</w:t>
      </w:r>
      <w:r w:rsidR="007C0FDC">
        <w:rPr>
          <w:lang w:eastAsia="ja-JP"/>
        </w:rPr>
        <w:t xml:space="preserve">., 2012). It was expected that the percentage of ADA positive subjects would be overall lower in in the RA study compared to the psoriasis study due to concomitant methotrexate administration in the RA study. The psoriasis study population was better suited to detect any potential differences between treatment groups. A small literature review of anti-adalimumab antibodies (Hsu </w:t>
      </w:r>
      <w:r w:rsidR="007C0FDC" w:rsidRPr="00F7498C">
        <w:rPr>
          <w:i/>
          <w:lang w:eastAsia="ja-JP"/>
        </w:rPr>
        <w:t>et al</w:t>
      </w:r>
      <w:r w:rsidR="007C0FDC">
        <w:rPr>
          <w:lang w:eastAsia="ja-JP"/>
        </w:rPr>
        <w:t xml:space="preserve">., 2014) revealed a proportion range of </w:t>
      </w:r>
      <w:r w:rsidR="007C0FDC" w:rsidRPr="002D1B30">
        <w:rPr>
          <w:lang w:eastAsia="ja-JP"/>
        </w:rPr>
        <w:t>6</w:t>
      </w:r>
      <w:r>
        <w:rPr>
          <w:lang w:eastAsia="ja-JP"/>
        </w:rPr>
        <w:t xml:space="preserve"> to </w:t>
      </w:r>
      <w:r w:rsidR="007C0FDC" w:rsidRPr="002D1B30">
        <w:rPr>
          <w:lang w:eastAsia="ja-JP"/>
        </w:rPr>
        <w:t>45%</w:t>
      </w:r>
      <w:r w:rsidR="007C0FDC">
        <w:rPr>
          <w:lang w:eastAsia="ja-JP"/>
        </w:rPr>
        <w:t xml:space="preserve"> of subjects tested which is lower compared to the results of the sponsor’s psoriasis study. Different testing methods in the literature review studies may have contributed to the discrepancy, as the sponsor’s study results revealed no significant differences between treatment groups. </w:t>
      </w:r>
      <w:r w:rsidR="007C0FDC" w:rsidRPr="00527F48">
        <w:rPr>
          <w:lang w:eastAsia="ja-JP"/>
        </w:rPr>
        <w:t xml:space="preserve">However, </w:t>
      </w:r>
      <w:r w:rsidR="007C0FDC">
        <w:rPr>
          <w:lang w:eastAsia="ja-JP"/>
        </w:rPr>
        <w:t xml:space="preserve">in the psoriasis study, </w:t>
      </w:r>
      <w:r w:rsidR="007C0FDC" w:rsidRPr="00527F48">
        <w:rPr>
          <w:lang w:eastAsia="ja-JP"/>
        </w:rPr>
        <w:t xml:space="preserve">the proportion of neutralising ADAs was </w:t>
      </w:r>
      <w:r w:rsidR="007C0FDC">
        <w:rPr>
          <w:lang w:eastAsia="ja-JP"/>
        </w:rPr>
        <w:t xml:space="preserve">slightly </w:t>
      </w:r>
      <w:r w:rsidR="007C0FDC" w:rsidRPr="00527F48">
        <w:rPr>
          <w:lang w:eastAsia="ja-JP"/>
        </w:rPr>
        <w:t>higher in the adalimuma</w:t>
      </w:r>
      <w:r w:rsidR="007C0FDC">
        <w:rPr>
          <w:lang w:eastAsia="ja-JP"/>
        </w:rPr>
        <w:t>b/ABP 501 (single-switch) group post Week 16. Only 77 subjects switched from adalimumab to ABP 501. This makes it difficult to draw definite conclusions. But given that there is also a slight reduction in efficacy in this group between Week 32 to Week 50, this should be further monitored in the post-market environment, both as a potential efficacy and safety issue.</w:t>
      </w:r>
    </w:p>
    <w:bookmarkEnd w:id="354"/>
    <w:bookmarkEnd w:id="355"/>
    <w:p w14:paraId="5AADA761" w14:textId="77777777" w:rsidR="007C0FDC" w:rsidRPr="00E7113A" w:rsidRDefault="007C0FDC" w:rsidP="002F4246">
      <w:pPr>
        <w:pStyle w:val="Heading4"/>
      </w:pPr>
      <w:r w:rsidRPr="002F4246">
        <w:t>Injection</w:t>
      </w:r>
      <w:r w:rsidRPr="00490D78">
        <w:t xml:space="preserve"> site reaction</w:t>
      </w:r>
    </w:p>
    <w:p w14:paraId="52FB145F" w14:textId="77777777" w:rsidR="007C0FDC" w:rsidRDefault="007C0FDC" w:rsidP="007C0FDC">
      <w:pPr>
        <w:rPr>
          <w:lang w:eastAsia="ja-JP"/>
        </w:rPr>
      </w:pPr>
      <w:bookmarkStart w:id="356" w:name="_Toc272414678"/>
      <w:bookmarkStart w:id="357" w:name="_Toc290888542"/>
      <w:bookmarkStart w:id="358" w:name="_Toc416353757"/>
      <w:bookmarkStart w:id="359" w:name="_Toc421005300"/>
      <w:bookmarkStart w:id="360" w:name="_Toc432079178"/>
      <w:bookmarkStart w:id="361" w:name="_Toc432080751"/>
      <w:r w:rsidRPr="009F15C1">
        <w:rPr>
          <w:lang w:eastAsia="ja-JP"/>
        </w:rPr>
        <w:t>Across the 2 studies in therapeutic indications, injection site reaction adverse events were reported infrequently with a lower incidence in the ABP 501 arms than the adalimumab arms.</w:t>
      </w:r>
    </w:p>
    <w:p w14:paraId="05495C14" w14:textId="77777777" w:rsidR="007C0FDC" w:rsidRDefault="007C0FDC" w:rsidP="002F4246">
      <w:pPr>
        <w:pStyle w:val="Heading5"/>
        <w:rPr>
          <w:lang w:eastAsia="ja-JP"/>
        </w:rPr>
      </w:pPr>
      <w:r w:rsidRPr="00906AAC">
        <w:rPr>
          <w:lang w:eastAsia="ja-JP"/>
        </w:rPr>
        <w:t xml:space="preserve">Study </w:t>
      </w:r>
      <w:r w:rsidRPr="002F4246">
        <w:t>20120262</w:t>
      </w:r>
      <w:r w:rsidRPr="00906AAC">
        <w:rPr>
          <w:lang w:eastAsia="ja-JP"/>
        </w:rPr>
        <w:t xml:space="preserve"> (RA patients)</w:t>
      </w:r>
    </w:p>
    <w:p w14:paraId="6A5E1D64" w14:textId="77777777" w:rsidR="007C0FDC" w:rsidRPr="00490D78" w:rsidRDefault="007C0FDC" w:rsidP="007C0FDC">
      <w:pPr>
        <w:rPr>
          <w:lang w:eastAsia="ja-JP"/>
        </w:rPr>
      </w:pPr>
      <w:r>
        <w:rPr>
          <w:lang w:eastAsia="ja-JP"/>
        </w:rPr>
        <w:t>T</w:t>
      </w:r>
      <w:r w:rsidRPr="00490D78">
        <w:rPr>
          <w:lang w:eastAsia="ja-JP"/>
        </w:rPr>
        <w:t xml:space="preserve">he overall </w:t>
      </w:r>
      <w:r>
        <w:rPr>
          <w:lang w:eastAsia="ja-JP"/>
        </w:rPr>
        <w:t>percentage of subjects</w:t>
      </w:r>
      <w:r w:rsidRPr="00490D78">
        <w:rPr>
          <w:lang w:eastAsia="ja-JP"/>
        </w:rPr>
        <w:t xml:space="preserve"> </w:t>
      </w:r>
      <w:r>
        <w:rPr>
          <w:lang w:eastAsia="ja-JP"/>
        </w:rPr>
        <w:t>with</w:t>
      </w:r>
      <w:r w:rsidRPr="00490D78">
        <w:rPr>
          <w:lang w:eastAsia="ja-JP"/>
        </w:rPr>
        <w:t xml:space="preserve"> injection site reaction adverse events </w:t>
      </w:r>
      <w:r>
        <w:rPr>
          <w:lang w:eastAsia="ja-JP"/>
        </w:rPr>
        <w:t>was 3.6% (ABP 501: 2.3%; adalimumab:</w:t>
      </w:r>
      <w:r w:rsidRPr="00490D78">
        <w:rPr>
          <w:lang w:eastAsia="ja-JP"/>
        </w:rPr>
        <w:t xml:space="preserve"> 5.0</w:t>
      </w:r>
      <w:r>
        <w:rPr>
          <w:lang w:eastAsia="ja-JP"/>
        </w:rPr>
        <w:t>%).</w:t>
      </w:r>
    </w:p>
    <w:p w14:paraId="379A7306" w14:textId="77777777" w:rsidR="007C0FDC" w:rsidRDefault="007C0FDC" w:rsidP="002F4246">
      <w:pPr>
        <w:pStyle w:val="Heading5"/>
        <w:rPr>
          <w:lang w:eastAsia="ja-JP"/>
        </w:rPr>
      </w:pPr>
      <w:r w:rsidRPr="00906AAC">
        <w:rPr>
          <w:lang w:eastAsia="ja-JP"/>
        </w:rPr>
        <w:t xml:space="preserve">Study </w:t>
      </w:r>
      <w:r w:rsidRPr="002F4246">
        <w:t>20120263</w:t>
      </w:r>
      <w:r w:rsidRPr="00906AAC">
        <w:rPr>
          <w:lang w:eastAsia="ja-JP"/>
        </w:rPr>
        <w:t xml:space="preserve"> (</w:t>
      </w:r>
      <w:r>
        <w:rPr>
          <w:lang w:eastAsia="ja-JP"/>
        </w:rPr>
        <w:t>Psoriasis</w:t>
      </w:r>
      <w:r w:rsidRPr="00906AAC">
        <w:rPr>
          <w:lang w:eastAsia="ja-JP"/>
        </w:rPr>
        <w:t xml:space="preserve"> patients)</w:t>
      </w:r>
    </w:p>
    <w:p w14:paraId="3B3B8406" w14:textId="77777777" w:rsidR="007C0FDC" w:rsidRPr="00490D78" w:rsidRDefault="007C0FDC" w:rsidP="007C0FDC">
      <w:pPr>
        <w:rPr>
          <w:lang w:eastAsia="ja-JP"/>
        </w:rPr>
      </w:pPr>
      <w:r>
        <w:rPr>
          <w:lang w:eastAsia="ja-JP"/>
        </w:rPr>
        <w:t>Up to Week 16</w:t>
      </w:r>
      <w:r w:rsidRPr="00490D78">
        <w:rPr>
          <w:lang w:eastAsia="ja-JP"/>
        </w:rPr>
        <w:t xml:space="preserve">, </w:t>
      </w:r>
      <w:r>
        <w:rPr>
          <w:lang w:eastAsia="ja-JP"/>
        </w:rPr>
        <w:t xml:space="preserve">the </w:t>
      </w:r>
      <w:r w:rsidRPr="00490D78">
        <w:rPr>
          <w:lang w:eastAsia="ja-JP"/>
        </w:rPr>
        <w:t xml:space="preserve">overall </w:t>
      </w:r>
      <w:r>
        <w:rPr>
          <w:lang w:eastAsia="ja-JP"/>
        </w:rPr>
        <w:t>percentage of subjects</w:t>
      </w:r>
      <w:r w:rsidRPr="00490D78">
        <w:rPr>
          <w:lang w:eastAsia="ja-JP"/>
        </w:rPr>
        <w:t xml:space="preserve"> </w:t>
      </w:r>
      <w:r>
        <w:rPr>
          <w:lang w:eastAsia="ja-JP"/>
        </w:rPr>
        <w:t>with</w:t>
      </w:r>
      <w:r w:rsidRPr="00490D78">
        <w:rPr>
          <w:lang w:eastAsia="ja-JP"/>
        </w:rPr>
        <w:t xml:space="preserve"> injection site reaction adverse events </w:t>
      </w:r>
      <w:r>
        <w:rPr>
          <w:lang w:eastAsia="ja-JP"/>
        </w:rPr>
        <w:t xml:space="preserve">was </w:t>
      </w:r>
      <w:r w:rsidRPr="00490D78">
        <w:rPr>
          <w:lang w:eastAsia="ja-JP"/>
        </w:rPr>
        <w:t>3.5% (ABP 501</w:t>
      </w:r>
      <w:r>
        <w:rPr>
          <w:lang w:eastAsia="ja-JP"/>
        </w:rPr>
        <w:t xml:space="preserve">: 1.7%; adalimumab, 5.2%). Post </w:t>
      </w:r>
      <w:r w:rsidRPr="00490D78">
        <w:rPr>
          <w:lang w:eastAsia="ja-JP"/>
        </w:rPr>
        <w:t>week 16, th</w:t>
      </w:r>
      <w:r>
        <w:rPr>
          <w:lang w:eastAsia="ja-JP"/>
        </w:rPr>
        <w:t xml:space="preserve">e overall percentage was 1.6% </w:t>
      </w:r>
      <w:r w:rsidRPr="00490D78">
        <w:rPr>
          <w:lang w:eastAsia="ja-JP"/>
        </w:rPr>
        <w:t>(ABP 501/ABP 501</w:t>
      </w:r>
      <w:r>
        <w:rPr>
          <w:lang w:eastAsia="ja-JP"/>
        </w:rPr>
        <w:t>:</w:t>
      </w:r>
      <w:r w:rsidRPr="00490D78">
        <w:rPr>
          <w:lang w:eastAsia="ja-JP"/>
        </w:rPr>
        <w:t xml:space="preserve"> 1.3</w:t>
      </w:r>
      <w:r>
        <w:rPr>
          <w:lang w:eastAsia="ja-JP"/>
        </w:rPr>
        <w:t>%; adalimumab/adalimumab: 3.8%; adalimumab/ABP 501: 0%).</w:t>
      </w:r>
    </w:p>
    <w:p w14:paraId="7544A1A9" w14:textId="77777777" w:rsidR="007C0FDC" w:rsidRPr="004A6FF6" w:rsidRDefault="007C0FDC" w:rsidP="002F4246">
      <w:pPr>
        <w:pStyle w:val="Heading5"/>
        <w:rPr>
          <w:lang w:eastAsia="ja-JP"/>
        </w:rPr>
      </w:pPr>
      <w:r w:rsidRPr="004A6FF6">
        <w:rPr>
          <w:lang w:eastAsia="ja-JP"/>
        </w:rPr>
        <w:t xml:space="preserve">Study </w:t>
      </w:r>
      <w:r w:rsidRPr="002F4246">
        <w:t>20110217</w:t>
      </w:r>
      <w:r w:rsidRPr="004A6FF6">
        <w:rPr>
          <w:lang w:eastAsia="ja-JP"/>
        </w:rPr>
        <w:t xml:space="preserve"> (PK study in healthy subjects)</w:t>
      </w:r>
    </w:p>
    <w:p w14:paraId="64FAB52C" w14:textId="77777777" w:rsidR="007C0FDC" w:rsidRDefault="007C0FDC" w:rsidP="007C0FDC">
      <w:pPr>
        <w:rPr>
          <w:lang w:eastAsia="ja-JP"/>
        </w:rPr>
      </w:pPr>
      <w:r>
        <w:rPr>
          <w:lang w:eastAsia="ja-JP"/>
        </w:rPr>
        <w:t>One case of injection site rash occurred in each the ABP 501 group and in the adalimumab (EU) group.</w:t>
      </w:r>
    </w:p>
    <w:bookmarkEnd w:id="356"/>
    <w:bookmarkEnd w:id="357"/>
    <w:bookmarkEnd w:id="358"/>
    <w:bookmarkEnd w:id="359"/>
    <w:bookmarkEnd w:id="360"/>
    <w:bookmarkEnd w:id="361"/>
    <w:p w14:paraId="01053EAB" w14:textId="77777777" w:rsidR="007C0FDC" w:rsidRDefault="007C0FDC" w:rsidP="002F4246">
      <w:pPr>
        <w:pStyle w:val="Heading4"/>
      </w:pPr>
      <w:r w:rsidRPr="00545B14">
        <w:t xml:space="preserve">Liver </w:t>
      </w:r>
      <w:r w:rsidRPr="002F4246">
        <w:t>function</w:t>
      </w:r>
      <w:bookmarkEnd w:id="337"/>
      <w:bookmarkEnd w:id="338"/>
      <w:bookmarkEnd w:id="339"/>
      <w:bookmarkEnd w:id="340"/>
      <w:r>
        <w:t xml:space="preserve"> and liver toxicity</w:t>
      </w:r>
      <w:bookmarkEnd w:id="341"/>
      <w:bookmarkEnd w:id="342"/>
    </w:p>
    <w:p w14:paraId="4141C5E4" w14:textId="77777777" w:rsidR="007C0FDC" w:rsidRDefault="007C0FDC" w:rsidP="007C0FDC">
      <w:pPr>
        <w:rPr>
          <w:lang w:eastAsia="ja-JP"/>
        </w:rPr>
      </w:pPr>
      <w:bookmarkStart w:id="362" w:name="_Toc272414670"/>
      <w:bookmarkStart w:id="363" w:name="_Toc290888534"/>
      <w:bookmarkStart w:id="364" w:name="_Toc416353750"/>
      <w:bookmarkStart w:id="365" w:name="_Toc421005293"/>
      <w:bookmarkStart w:id="366" w:name="_Toc432079170"/>
      <w:bookmarkStart w:id="367" w:name="_Toc432080743"/>
      <w:r>
        <w:rPr>
          <w:lang w:eastAsia="ja-JP"/>
        </w:rPr>
        <w:t xml:space="preserve">As per study </w:t>
      </w:r>
      <w:r w:rsidRPr="003D3D76">
        <w:rPr>
          <w:lang w:eastAsia="ja-JP"/>
        </w:rPr>
        <w:t>protocol,</w:t>
      </w:r>
      <w:r>
        <w:rPr>
          <w:lang w:eastAsia="ja-JP"/>
        </w:rPr>
        <w:t xml:space="preserve"> subjects with AST and/or ALT ≥ </w:t>
      </w:r>
      <w:r w:rsidRPr="003D3D76">
        <w:rPr>
          <w:lang w:eastAsia="ja-JP"/>
        </w:rPr>
        <w:t>2 times the upper limit of normal at baseline were exc</w:t>
      </w:r>
      <w:r>
        <w:rPr>
          <w:lang w:eastAsia="ja-JP"/>
        </w:rPr>
        <w:t>luded from the two Phase III studies.</w:t>
      </w:r>
    </w:p>
    <w:p w14:paraId="13519645" w14:textId="0B5360F2" w:rsidR="007C0FDC" w:rsidRPr="003D3D76" w:rsidRDefault="007C0FDC" w:rsidP="007C0FDC">
      <w:pPr>
        <w:rPr>
          <w:lang w:eastAsia="ja-JP"/>
        </w:rPr>
      </w:pPr>
      <w:r>
        <w:rPr>
          <w:lang w:eastAsia="ja-JP"/>
        </w:rPr>
        <w:t>Across the 2 studies in therapeutic indications, most of the liver enzyme elevation adverse events were Grade 1 or Grade 2 and only one liver enzyme elevation adverse event (drug</w:t>
      </w:r>
      <w:r w:rsidR="009C545F">
        <w:rPr>
          <w:lang w:eastAsia="ja-JP"/>
        </w:rPr>
        <w:t> </w:t>
      </w:r>
      <w:r>
        <w:rPr>
          <w:lang w:eastAsia="ja-JP"/>
        </w:rPr>
        <w:t>induced liver injury) was serious.</w:t>
      </w:r>
    </w:p>
    <w:p w14:paraId="3BFE9D39" w14:textId="77777777" w:rsidR="007C0FDC" w:rsidRDefault="007C0FDC" w:rsidP="002F4246">
      <w:pPr>
        <w:pStyle w:val="Heading5"/>
        <w:rPr>
          <w:lang w:eastAsia="ja-JP"/>
        </w:rPr>
      </w:pPr>
      <w:r w:rsidRPr="00906AAC">
        <w:rPr>
          <w:lang w:eastAsia="ja-JP"/>
        </w:rPr>
        <w:lastRenderedPageBreak/>
        <w:t xml:space="preserve">Study </w:t>
      </w:r>
      <w:r w:rsidRPr="002F4246">
        <w:t>20120262</w:t>
      </w:r>
      <w:r w:rsidRPr="00906AAC">
        <w:rPr>
          <w:lang w:eastAsia="ja-JP"/>
        </w:rPr>
        <w:t xml:space="preserve"> (RA patients)</w:t>
      </w:r>
    </w:p>
    <w:p w14:paraId="31E26A7A" w14:textId="3D160B85" w:rsidR="007C0FDC" w:rsidRDefault="007C0FDC" w:rsidP="007C0FDC">
      <w:pPr>
        <w:rPr>
          <w:lang w:eastAsia="ja-JP"/>
        </w:rPr>
      </w:pPr>
      <w:r>
        <w:rPr>
          <w:lang w:eastAsia="ja-JP"/>
        </w:rPr>
        <w:t xml:space="preserve">There were </w:t>
      </w:r>
      <w:r w:rsidRPr="003D3D76">
        <w:rPr>
          <w:lang w:eastAsia="ja-JP"/>
        </w:rPr>
        <w:t>31 e</w:t>
      </w:r>
      <w:r>
        <w:rPr>
          <w:lang w:eastAsia="ja-JP"/>
        </w:rPr>
        <w:t>vents of liver enzyme elevation</w:t>
      </w:r>
      <w:r w:rsidRPr="003D3D76">
        <w:rPr>
          <w:lang w:eastAsia="ja-JP"/>
        </w:rPr>
        <w:t xml:space="preserve"> in </w:t>
      </w:r>
      <w:r>
        <w:rPr>
          <w:lang w:eastAsia="ja-JP"/>
        </w:rPr>
        <w:t xml:space="preserve">4.4% of </w:t>
      </w:r>
      <w:r w:rsidRPr="003D3D76">
        <w:rPr>
          <w:lang w:eastAsia="ja-JP"/>
        </w:rPr>
        <w:t>subjects (4.9%</w:t>
      </w:r>
      <w:r>
        <w:rPr>
          <w:lang w:eastAsia="ja-JP"/>
        </w:rPr>
        <w:t xml:space="preserve"> </w:t>
      </w:r>
      <w:r w:rsidRPr="003D3D76">
        <w:rPr>
          <w:lang w:eastAsia="ja-JP"/>
        </w:rPr>
        <w:t>in the ABP 501 group and 3.8%</w:t>
      </w:r>
      <w:r>
        <w:rPr>
          <w:lang w:eastAsia="ja-JP"/>
        </w:rPr>
        <w:t xml:space="preserve"> in the adalimumab group). </w:t>
      </w:r>
      <w:r w:rsidRPr="003D3D76">
        <w:rPr>
          <w:lang w:eastAsia="ja-JP"/>
        </w:rPr>
        <w:t>All of the liver enzyme elevation</w:t>
      </w:r>
      <w:r>
        <w:rPr>
          <w:lang w:eastAsia="ja-JP"/>
        </w:rPr>
        <w:t xml:space="preserve"> events were</w:t>
      </w:r>
      <w:r w:rsidR="00262B3E">
        <w:rPr>
          <w:lang w:eastAsia="ja-JP"/>
        </w:rPr>
        <w:t xml:space="preserve"> </w:t>
      </w:r>
      <w:r>
        <w:rPr>
          <w:lang w:eastAsia="ja-JP"/>
        </w:rPr>
        <w:t>Grade 1 or Grade 2. One</w:t>
      </w:r>
      <w:r w:rsidRPr="003D3D76">
        <w:rPr>
          <w:lang w:eastAsia="ja-JP"/>
        </w:rPr>
        <w:t xml:space="preserve"> adverse event in a single</w:t>
      </w:r>
      <w:r>
        <w:rPr>
          <w:lang w:eastAsia="ja-JP"/>
        </w:rPr>
        <w:t xml:space="preserve"> </w:t>
      </w:r>
      <w:r w:rsidRPr="003D3D76">
        <w:rPr>
          <w:lang w:eastAsia="ja-JP"/>
        </w:rPr>
        <w:t xml:space="preserve">subject (adalimumab group) resulted in </w:t>
      </w:r>
      <w:r>
        <w:rPr>
          <w:lang w:eastAsia="ja-JP"/>
        </w:rPr>
        <w:t xml:space="preserve">an </w:t>
      </w:r>
      <w:r w:rsidRPr="003D3D76">
        <w:rPr>
          <w:lang w:eastAsia="ja-JP"/>
        </w:rPr>
        <w:t>IP dose delay.</w:t>
      </w:r>
    </w:p>
    <w:p w14:paraId="561B8AD5" w14:textId="77777777" w:rsidR="007C0FDC" w:rsidRPr="002B73EC" w:rsidRDefault="007C0FDC" w:rsidP="007C0FDC">
      <w:pPr>
        <w:rPr>
          <w:lang w:eastAsia="ja-JP"/>
        </w:rPr>
      </w:pPr>
      <w:r>
        <w:rPr>
          <w:lang w:eastAsia="ja-JP"/>
        </w:rPr>
        <w:t>No case met Hy’s law criteria.</w:t>
      </w:r>
    </w:p>
    <w:p w14:paraId="79A9F646" w14:textId="77777777" w:rsidR="007C0FDC" w:rsidRDefault="007C0FDC" w:rsidP="007C0FDC">
      <w:pPr>
        <w:pStyle w:val="Heading5"/>
        <w:numPr>
          <w:ilvl w:val="3"/>
          <w:numId w:val="5"/>
        </w:numPr>
        <w:rPr>
          <w:lang w:eastAsia="ja-JP"/>
        </w:rPr>
      </w:pPr>
      <w:r w:rsidRPr="00906AAC">
        <w:rPr>
          <w:lang w:eastAsia="ja-JP"/>
        </w:rPr>
        <w:t xml:space="preserve">Study </w:t>
      </w:r>
      <w:r>
        <w:rPr>
          <w:lang w:eastAsia="ja-JP"/>
        </w:rPr>
        <w:t>20120263</w:t>
      </w:r>
      <w:r w:rsidRPr="00906AAC">
        <w:rPr>
          <w:lang w:eastAsia="ja-JP"/>
        </w:rPr>
        <w:t xml:space="preserve"> (</w:t>
      </w:r>
      <w:r>
        <w:rPr>
          <w:lang w:eastAsia="ja-JP"/>
        </w:rPr>
        <w:t>Psoriasis</w:t>
      </w:r>
      <w:r w:rsidRPr="00906AAC">
        <w:rPr>
          <w:lang w:eastAsia="ja-JP"/>
        </w:rPr>
        <w:t xml:space="preserve"> patients)</w:t>
      </w:r>
    </w:p>
    <w:p w14:paraId="0859E706" w14:textId="18BAE794" w:rsidR="007C0FDC" w:rsidRDefault="007C0FDC" w:rsidP="007C0FDC">
      <w:pPr>
        <w:rPr>
          <w:lang w:eastAsia="ja-JP"/>
        </w:rPr>
      </w:pPr>
      <w:r>
        <w:rPr>
          <w:lang w:eastAsia="ja-JP"/>
        </w:rPr>
        <w:t>Up to Week 16, the overall proportion of liver enzyme elevation adverse events was 1.7% (ABP</w:t>
      </w:r>
      <w:r w:rsidR="00262B3E">
        <w:rPr>
          <w:lang w:eastAsia="ja-JP"/>
        </w:rPr>
        <w:t> </w:t>
      </w:r>
      <w:r>
        <w:rPr>
          <w:lang w:eastAsia="ja-JP"/>
        </w:rPr>
        <w:t xml:space="preserve">501: 2.3%; adalimumab: 1.2%). </w:t>
      </w:r>
      <w:r w:rsidRPr="003D3D76">
        <w:rPr>
          <w:lang w:eastAsia="ja-JP"/>
        </w:rPr>
        <w:t>All of the liver enzyme elevation</w:t>
      </w:r>
      <w:r>
        <w:rPr>
          <w:lang w:eastAsia="ja-JP"/>
        </w:rPr>
        <w:t xml:space="preserve"> events were Grade 1 or Grade 2, except for one Grade 3 event in each treatment group which led </w:t>
      </w:r>
      <w:r w:rsidRPr="00490B87">
        <w:rPr>
          <w:lang w:eastAsia="ja-JP"/>
        </w:rPr>
        <w:t>discontinuation of IP and study discontinuation</w:t>
      </w:r>
      <w:r>
        <w:rPr>
          <w:lang w:eastAsia="ja-JP"/>
        </w:rPr>
        <w:t>.</w:t>
      </w:r>
    </w:p>
    <w:p w14:paraId="7C0093F0" w14:textId="77777777" w:rsidR="007C0FDC" w:rsidRDefault="007C0FDC" w:rsidP="007C0FDC">
      <w:pPr>
        <w:rPr>
          <w:lang w:eastAsia="ja-JP"/>
        </w:rPr>
      </w:pPr>
      <w:r>
        <w:rPr>
          <w:lang w:eastAsia="ja-JP"/>
        </w:rPr>
        <w:t>Post week 16, the overall incidence of liver enzyme elevation adverse events was 4.2% (ABP 501/ABP 501: 5.9%; adalimumab/ABP 501: 2.6%; adalimumab/adalimumab: 2.5%). One of those events was serious: a Grade 3 event of drug-induced liver injury (DILI) with c</w:t>
      </w:r>
      <w:r w:rsidRPr="0097793D">
        <w:rPr>
          <w:lang w:eastAsia="ja-JP"/>
        </w:rPr>
        <w:t xml:space="preserve">oncurrent increases in ALT and AST levels </w:t>
      </w:r>
      <w:r>
        <w:rPr>
          <w:lang w:eastAsia="ja-JP"/>
        </w:rPr>
        <w:t xml:space="preserve">without </w:t>
      </w:r>
      <w:r w:rsidRPr="0097793D">
        <w:rPr>
          <w:lang w:eastAsia="ja-JP"/>
        </w:rPr>
        <w:t>change in bilirubin</w:t>
      </w:r>
      <w:r>
        <w:rPr>
          <w:lang w:eastAsia="ja-JP"/>
        </w:rPr>
        <w:t>. The event started on D</w:t>
      </w:r>
      <w:r w:rsidRPr="0097793D">
        <w:rPr>
          <w:lang w:eastAsia="ja-JP"/>
        </w:rPr>
        <w:t xml:space="preserve">ay 108 and resolved on </w:t>
      </w:r>
      <w:r>
        <w:rPr>
          <w:lang w:eastAsia="ja-JP"/>
        </w:rPr>
        <w:t>D</w:t>
      </w:r>
      <w:r w:rsidRPr="0097793D">
        <w:rPr>
          <w:lang w:eastAsia="ja-JP"/>
        </w:rPr>
        <w:t>ay 197. The event led to discontinuation of I</w:t>
      </w:r>
      <w:r>
        <w:rPr>
          <w:lang w:eastAsia="ja-JP"/>
        </w:rPr>
        <w:t xml:space="preserve">P and to study discontinuation without </w:t>
      </w:r>
      <w:r w:rsidRPr="0097793D">
        <w:rPr>
          <w:lang w:eastAsia="ja-JP"/>
        </w:rPr>
        <w:t xml:space="preserve">liver enzyme levels </w:t>
      </w:r>
      <w:r>
        <w:rPr>
          <w:lang w:eastAsia="ja-JP"/>
        </w:rPr>
        <w:t xml:space="preserve">decreasing which eventually occurred </w:t>
      </w:r>
      <w:r w:rsidRPr="0097793D">
        <w:rPr>
          <w:lang w:eastAsia="ja-JP"/>
        </w:rPr>
        <w:t xml:space="preserve">within 3 days </w:t>
      </w:r>
      <w:r>
        <w:rPr>
          <w:lang w:eastAsia="ja-JP"/>
        </w:rPr>
        <w:t>of cessation of concomitant metoprolol and ramipril were discontinued.</w:t>
      </w:r>
      <w:r w:rsidRPr="00A96EBE">
        <w:rPr>
          <w:lang w:eastAsia="ja-JP"/>
        </w:rPr>
        <w:t xml:space="preserve"> </w:t>
      </w:r>
      <w:r>
        <w:rPr>
          <w:lang w:eastAsia="ja-JP"/>
        </w:rPr>
        <w:t>The DILI was resolved by the end of the study.</w:t>
      </w:r>
    </w:p>
    <w:p w14:paraId="3D385852" w14:textId="77777777" w:rsidR="007C0FDC" w:rsidRPr="006D3162" w:rsidRDefault="007C0FDC" w:rsidP="007C0FDC">
      <w:pPr>
        <w:rPr>
          <w:lang w:eastAsia="ja-JP"/>
        </w:rPr>
      </w:pPr>
      <w:r>
        <w:rPr>
          <w:lang w:eastAsia="ja-JP"/>
        </w:rPr>
        <w:t>There was no evidence for an increase in liver-related event in subjects that switched from adalimumab to ABP 501.</w:t>
      </w:r>
    </w:p>
    <w:p w14:paraId="35A11EA0" w14:textId="77777777" w:rsidR="007C0FDC" w:rsidRPr="004A6FF6" w:rsidRDefault="007C0FDC" w:rsidP="008B4D17">
      <w:pPr>
        <w:pStyle w:val="Heading5"/>
        <w:rPr>
          <w:lang w:eastAsia="ja-JP"/>
        </w:rPr>
      </w:pPr>
      <w:r w:rsidRPr="004A6FF6">
        <w:rPr>
          <w:lang w:eastAsia="ja-JP"/>
        </w:rPr>
        <w:t xml:space="preserve">Study </w:t>
      </w:r>
      <w:r w:rsidRPr="008B4D17">
        <w:t>20110217</w:t>
      </w:r>
      <w:r w:rsidRPr="004A6FF6">
        <w:rPr>
          <w:lang w:eastAsia="ja-JP"/>
        </w:rPr>
        <w:t xml:space="preserve"> (PK study in healthy subjects)</w:t>
      </w:r>
    </w:p>
    <w:p w14:paraId="0120BBFE" w14:textId="77777777" w:rsidR="007C0FDC" w:rsidRDefault="007C0FDC" w:rsidP="007C0FDC">
      <w:pPr>
        <w:rPr>
          <w:lang w:eastAsia="ja-JP"/>
        </w:rPr>
      </w:pPr>
      <w:r>
        <w:rPr>
          <w:lang w:eastAsia="ja-JP"/>
        </w:rPr>
        <w:t>No liver enzyme elevation events were observed in the ABP 501 group. However, 2 cases occurred in the adalimumab (EU) group.</w:t>
      </w:r>
    </w:p>
    <w:p w14:paraId="5FD8A6E9" w14:textId="77777777" w:rsidR="007C0FDC" w:rsidRDefault="007C0FDC" w:rsidP="008B4D17">
      <w:pPr>
        <w:pStyle w:val="Heading4"/>
      </w:pPr>
      <w:r w:rsidRPr="008B4D17">
        <w:t>Electrocardiograph</w:t>
      </w:r>
      <w:r>
        <w:t xml:space="preserve"> findings and cardiovascular safety</w:t>
      </w:r>
    </w:p>
    <w:p w14:paraId="158815DC" w14:textId="5552CD11" w:rsidR="007C0FDC" w:rsidRDefault="007C0FDC" w:rsidP="007C0FDC">
      <w:pPr>
        <w:rPr>
          <w:lang w:eastAsia="ja-JP"/>
        </w:rPr>
      </w:pPr>
      <w:r>
        <w:rPr>
          <w:lang w:eastAsia="ja-JP"/>
        </w:rPr>
        <w:t>The onset of n</w:t>
      </w:r>
      <w:r w:rsidRPr="009129A8">
        <w:rPr>
          <w:lang w:eastAsia="ja-JP"/>
        </w:rPr>
        <w:t xml:space="preserve">ew or </w:t>
      </w:r>
      <w:r>
        <w:rPr>
          <w:lang w:eastAsia="ja-JP"/>
        </w:rPr>
        <w:t xml:space="preserve">the </w:t>
      </w:r>
      <w:r w:rsidRPr="009129A8">
        <w:rPr>
          <w:lang w:eastAsia="ja-JP"/>
        </w:rPr>
        <w:t xml:space="preserve">worsening </w:t>
      </w:r>
      <w:r>
        <w:rPr>
          <w:lang w:eastAsia="ja-JP"/>
        </w:rPr>
        <w:t xml:space="preserve">of existing </w:t>
      </w:r>
      <w:r w:rsidRPr="009129A8">
        <w:rPr>
          <w:lang w:eastAsia="ja-JP"/>
        </w:rPr>
        <w:t>congestive heart fail</w:t>
      </w:r>
      <w:r>
        <w:rPr>
          <w:lang w:eastAsia="ja-JP"/>
        </w:rPr>
        <w:t>ure is associated with TNF</w:t>
      </w:r>
      <w:r w:rsidR="00262B3E">
        <w:rPr>
          <w:lang w:eastAsia="ja-JP"/>
        </w:rPr>
        <w:t> </w:t>
      </w:r>
      <w:r w:rsidRPr="009129A8">
        <w:rPr>
          <w:lang w:eastAsia="ja-JP"/>
        </w:rPr>
        <w:t>blockers, including adalimumab. Cases of worsening congestive heart failure, myocardial infarction, and cerebrovascular accident have been reported following adalimumab treatment.</w:t>
      </w:r>
    </w:p>
    <w:p w14:paraId="20BB565E" w14:textId="681E81CC" w:rsidR="007C0FDC" w:rsidRDefault="007C0FDC" w:rsidP="007C0FDC">
      <w:pPr>
        <w:rPr>
          <w:lang w:eastAsia="ja-JP"/>
        </w:rPr>
      </w:pPr>
      <w:r>
        <w:rPr>
          <w:lang w:eastAsia="ja-JP"/>
        </w:rPr>
        <w:t>A standard 12-lead ECG was performed during screening in Study 20120262, but no further study-related ECG</w:t>
      </w:r>
      <w:r w:rsidR="00062A40">
        <w:rPr>
          <w:lang w:eastAsia="ja-JP"/>
        </w:rPr>
        <w:t xml:space="preserve"> measurements </w:t>
      </w:r>
      <w:r>
        <w:rPr>
          <w:lang w:eastAsia="ja-JP"/>
        </w:rPr>
        <w:t>w</w:t>
      </w:r>
      <w:r w:rsidR="00062A40">
        <w:rPr>
          <w:lang w:eastAsia="ja-JP"/>
        </w:rPr>
        <w:t>as</w:t>
      </w:r>
      <w:r>
        <w:rPr>
          <w:lang w:eastAsia="ja-JP"/>
        </w:rPr>
        <w:t xml:space="preserve"> performed. ECGs were not conducted in Study 20120263.</w:t>
      </w:r>
    </w:p>
    <w:p w14:paraId="4DED0587" w14:textId="77777777" w:rsidR="007C0FDC" w:rsidRDefault="007C0FDC" w:rsidP="008B4D17">
      <w:pPr>
        <w:pStyle w:val="Heading5"/>
        <w:rPr>
          <w:lang w:eastAsia="ja-JP"/>
        </w:rPr>
      </w:pPr>
      <w:r w:rsidRPr="008B4D17">
        <w:t>Study</w:t>
      </w:r>
      <w:r w:rsidRPr="00906AAC">
        <w:rPr>
          <w:lang w:eastAsia="ja-JP"/>
        </w:rPr>
        <w:t xml:space="preserve"> 20120262 (RA patients)</w:t>
      </w:r>
    </w:p>
    <w:p w14:paraId="18F9DA6C" w14:textId="77777777" w:rsidR="007C0FDC" w:rsidRDefault="007C0FDC" w:rsidP="007C0FDC">
      <w:pPr>
        <w:rPr>
          <w:lang w:eastAsia="ja-JP"/>
        </w:rPr>
      </w:pPr>
      <w:r>
        <w:rPr>
          <w:lang w:eastAsia="ja-JP"/>
        </w:rPr>
        <w:t>4 events of heart failure occurred in 0.6% of subjects (3/526), 1 in the ABP 501 group and 2 in the adalimumab group. One event of cardiopulmonary failure (ABP 501 group) and one event of congestive cardiac failure (adalimumab group) were reported as serious adverse events. The Grade 4 cardiopulmonary failure began on day 39 and resolved on day 48 following treatment with medication, and did not lead to IP or study discontinuation. However, concurrent hypertension and pneumonia lead to discontinuation of IP later on.</w:t>
      </w:r>
    </w:p>
    <w:p w14:paraId="443D148F" w14:textId="77777777" w:rsidR="007C0FDC" w:rsidRDefault="007C0FDC" w:rsidP="008B4D17">
      <w:pPr>
        <w:pStyle w:val="Heading5"/>
        <w:rPr>
          <w:lang w:eastAsia="ja-JP"/>
        </w:rPr>
      </w:pPr>
      <w:r w:rsidRPr="00906AAC">
        <w:rPr>
          <w:lang w:eastAsia="ja-JP"/>
        </w:rPr>
        <w:t xml:space="preserve">Study </w:t>
      </w:r>
      <w:r>
        <w:rPr>
          <w:lang w:eastAsia="ja-JP"/>
        </w:rPr>
        <w:t>20120263</w:t>
      </w:r>
      <w:r w:rsidRPr="00906AAC">
        <w:rPr>
          <w:lang w:eastAsia="ja-JP"/>
        </w:rPr>
        <w:t xml:space="preserve"> (</w:t>
      </w:r>
      <w:r>
        <w:rPr>
          <w:lang w:eastAsia="ja-JP"/>
        </w:rPr>
        <w:t>Psoriasis</w:t>
      </w:r>
      <w:r w:rsidRPr="00906AAC">
        <w:rPr>
          <w:lang w:eastAsia="ja-JP"/>
        </w:rPr>
        <w:t xml:space="preserve"> </w:t>
      </w:r>
      <w:r w:rsidRPr="008B4D17">
        <w:t>patients</w:t>
      </w:r>
      <w:r w:rsidRPr="00906AAC">
        <w:rPr>
          <w:lang w:eastAsia="ja-JP"/>
        </w:rPr>
        <w:t>)</w:t>
      </w:r>
    </w:p>
    <w:p w14:paraId="764A9C0B" w14:textId="77777777" w:rsidR="007C0FDC" w:rsidRDefault="007C0FDC" w:rsidP="007C0FDC">
      <w:pPr>
        <w:rPr>
          <w:lang w:eastAsia="ja-JP"/>
        </w:rPr>
      </w:pPr>
      <w:r w:rsidRPr="009129A8">
        <w:rPr>
          <w:lang w:eastAsia="ja-JP"/>
        </w:rPr>
        <w:t>No events classified as heart failure adverse events were reported for subjects through the entire study</w:t>
      </w:r>
      <w:r>
        <w:rPr>
          <w:lang w:eastAsia="ja-JP"/>
        </w:rPr>
        <w:t>.</w:t>
      </w:r>
    </w:p>
    <w:p w14:paraId="275159FE" w14:textId="77777777" w:rsidR="007C0FDC" w:rsidRPr="004A6FF6" w:rsidRDefault="007C0FDC" w:rsidP="008B4D17">
      <w:pPr>
        <w:pStyle w:val="Heading5"/>
        <w:rPr>
          <w:lang w:eastAsia="ja-JP"/>
        </w:rPr>
      </w:pPr>
      <w:r w:rsidRPr="004A6FF6">
        <w:rPr>
          <w:lang w:eastAsia="ja-JP"/>
        </w:rPr>
        <w:t xml:space="preserve">Study 20110217 (PK </w:t>
      </w:r>
      <w:r w:rsidRPr="008B4D17">
        <w:t>study</w:t>
      </w:r>
      <w:r w:rsidRPr="004A6FF6">
        <w:rPr>
          <w:lang w:eastAsia="ja-JP"/>
        </w:rPr>
        <w:t xml:space="preserve"> in healthy subjects)</w:t>
      </w:r>
    </w:p>
    <w:p w14:paraId="76F632D2" w14:textId="77777777" w:rsidR="007C0FDC" w:rsidRDefault="007C0FDC" w:rsidP="007C0FDC">
      <w:pPr>
        <w:rPr>
          <w:lang w:eastAsia="ja-JP"/>
        </w:rPr>
      </w:pPr>
      <w:r>
        <w:rPr>
          <w:lang w:eastAsia="ja-JP"/>
        </w:rPr>
        <w:t>There were no TEAEs related to ECG abnormalities. 6 subjects in the adalimumab (EU) treatment group had ECG abnormalities, but those were deemed normal or not clinically significant on repeat measurements.</w:t>
      </w:r>
    </w:p>
    <w:p w14:paraId="5E08A26A" w14:textId="77777777" w:rsidR="007C0FDC" w:rsidRDefault="007C0FDC" w:rsidP="007C0FDC">
      <w:pPr>
        <w:pStyle w:val="Heading4"/>
        <w:numPr>
          <w:ilvl w:val="2"/>
          <w:numId w:val="5"/>
        </w:numPr>
      </w:pPr>
      <w:r>
        <w:lastRenderedPageBreak/>
        <w:t xml:space="preserve">Renal </w:t>
      </w:r>
      <w:r w:rsidRPr="00545B14">
        <w:t>function</w:t>
      </w:r>
      <w:bookmarkEnd w:id="362"/>
      <w:bookmarkEnd w:id="363"/>
      <w:bookmarkEnd w:id="364"/>
      <w:bookmarkEnd w:id="365"/>
      <w:r>
        <w:t xml:space="preserve"> and renal toxicity</w:t>
      </w:r>
      <w:bookmarkEnd w:id="366"/>
      <w:bookmarkEnd w:id="367"/>
    </w:p>
    <w:p w14:paraId="0C4BADBA" w14:textId="77777777" w:rsidR="007C0FDC" w:rsidRDefault="007C0FDC" w:rsidP="008B4D17">
      <w:pPr>
        <w:pStyle w:val="Heading5"/>
        <w:rPr>
          <w:lang w:eastAsia="ja-JP"/>
        </w:rPr>
      </w:pPr>
      <w:r w:rsidRPr="00906AAC">
        <w:rPr>
          <w:lang w:eastAsia="ja-JP"/>
        </w:rPr>
        <w:t xml:space="preserve">Study </w:t>
      </w:r>
      <w:r w:rsidRPr="008B4D17">
        <w:t>20120262</w:t>
      </w:r>
      <w:r w:rsidRPr="00906AAC">
        <w:rPr>
          <w:lang w:eastAsia="ja-JP"/>
        </w:rPr>
        <w:t xml:space="preserve"> (RA patients)</w:t>
      </w:r>
    </w:p>
    <w:p w14:paraId="4E547DA7" w14:textId="77777777" w:rsidR="007C0FDC" w:rsidRPr="00600A23" w:rsidRDefault="007C0FDC" w:rsidP="007C0FDC">
      <w:pPr>
        <w:rPr>
          <w:lang w:eastAsia="ja-JP"/>
        </w:rPr>
      </w:pPr>
      <w:r w:rsidRPr="00600A23">
        <w:rPr>
          <w:lang w:eastAsia="ja-JP"/>
        </w:rPr>
        <w:t xml:space="preserve">Based on the data available, there were no clinically significant </w:t>
      </w:r>
      <w:r>
        <w:rPr>
          <w:lang w:eastAsia="ja-JP"/>
        </w:rPr>
        <w:t xml:space="preserve">relevant </w:t>
      </w:r>
      <w:r w:rsidRPr="00600A23">
        <w:rPr>
          <w:lang w:eastAsia="ja-JP"/>
        </w:rPr>
        <w:t>differences between treatment groups.</w:t>
      </w:r>
      <w:r>
        <w:rPr>
          <w:lang w:eastAsia="ja-JP"/>
        </w:rPr>
        <w:t xml:space="preserve"> </w:t>
      </w:r>
      <w:r w:rsidRPr="00600A23">
        <w:rPr>
          <w:lang w:eastAsia="ja-JP"/>
        </w:rPr>
        <w:t>No laboratory abnormalities in renal function tests were reported as adverse events</w:t>
      </w:r>
      <w:r>
        <w:rPr>
          <w:lang w:eastAsia="ja-JP"/>
        </w:rPr>
        <w:t>.</w:t>
      </w:r>
    </w:p>
    <w:p w14:paraId="1A655BA4" w14:textId="77777777" w:rsidR="007C0FDC" w:rsidRDefault="007C0FDC" w:rsidP="008B4D17">
      <w:pPr>
        <w:pStyle w:val="Heading5"/>
        <w:rPr>
          <w:lang w:eastAsia="ja-JP"/>
        </w:rPr>
      </w:pPr>
      <w:r w:rsidRPr="00906AAC">
        <w:rPr>
          <w:lang w:eastAsia="ja-JP"/>
        </w:rPr>
        <w:t xml:space="preserve">Study </w:t>
      </w:r>
      <w:r w:rsidRPr="008B4D17">
        <w:t>20120263</w:t>
      </w:r>
      <w:r w:rsidRPr="00906AAC">
        <w:rPr>
          <w:lang w:eastAsia="ja-JP"/>
        </w:rPr>
        <w:t xml:space="preserve"> (</w:t>
      </w:r>
      <w:r>
        <w:rPr>
          <w:lang w:eastAsia="ja-JP"/>
        </w:rPr>
        <w:t>Psoriasis</w:t>
      </w:r>
      <w:r w:rsidRPr="00906AAC">
        <w:rPr>
          <w:lang w:eastAsia="ja-JP"/>
        </w:rPr>
        <w:t xml:space="preserve"> patients)</w:t>
      </w:r>
    </w:p>
    <w:p w14:paraId="3D79729A" w14:textId="77777777" w:rsidR="007C0FDC" w:rsidRPr="00600A23" w:rsidRDefault="007C0FDC" w:rsidP="007C0FDC">
      <w:pPr>
        <w:rPr>
          <w:lang w:eastAsia="ja-JP"/>
        </w:rPr>
      </w:pPr>
      <w:r w:rsidRPr="00600A23">
        <w:rPr>
          <w:lang w:eastAsia="ja-JP"/>
        </w:rPr>
        <w:t xml:space="preserve">Based on the data available, there were no clinically significant </w:t>
      </w:r>
      <w:r>
        <w:rPr>
          <w:lang w:eastAsia="ja-JP"/>
        </w:rPr>
        <w:t xml:space="preserve">relevant </w:t>
      </w:r>
      <w:r w:rsidRPr="00600A23">
        <w:rPr>
          <w:lang w:eastAsia="ja-JP"/>
        </w:rPr>
        <w:t xml:space="preserve">differences between </w:t>
      </w:r>
      <w:r>
        <w:rPr>
          <w:lang w:eastAsia="ja-JP"/>
        </w:rPr>
        <w:t xml:space="preserve">the </w:t>
      </w:r>
      <w:proofErr w:type="gramStart"/>
      <w:r w:rsidRPr="00600A23">
        <w:rPr>
          <w:lang w:eastAsia="ja-JP"/>
        </w:rPr>
        <w:t>treatment</w:t>
      </w:r>
      <w:proofErr w:type="gramEnd"/>
      <w:r w:rsidRPr="00600A23">
        <w:rPr>
          <w:lang w:eastAsia="ja-JP"/>
        </w:rPr>
        <w:t xml:space="preserve"> groups.</w:t>
      </w:r>
      <w:r>
        <w:rPr>
          <w:lang w:eastAsia="ja-JP"/>
        </w:rPr>
        <w:t xml:space="preserve"> </w:t>
      </w:r>
      <w:r w:rsidRPr="00600A23">
        <w:rPr>
          <w:lang w:eastAsia="ja-JP"/>
        </w:rPr>
        <w:t>No laboratory abnormalities in renal function tests were reported as adverse events</w:t>
      </w:r>
      <w:r>
        <w:rPr>
          <w:lang w:eastAsia="ja-JP"/>
        </w:rPr>
        <w:t>.</w:t>
      </w:r>
    </w:p>
    <w:p w14:paraId="772E577B" w14:textId="77777777" w:rsidR="007C0FDC" w:rsidRPr="004A6FF6" w:rsidRDefault="007C0FDC" w:rsidP="008B4D17">
      <w:pPr>
        <w:pStyle w:val="Heading5"/>
        <w:rPr>
          <w:lang w:eastAsia="ja-JP"/>
        </w:rPr>
      </w:pPr>
      <w:r w:rsidRPr="004A6FF6">
        <w:rPr>
          <w:lang w:eastAsia="ja-JP"/>
        </w:rPr>
        <w:t>Study 20110217 (</w:t>
      </w:r>
      <w:r w:rsidRPr="008B4D17">
        <w:t>PK</w:t>
      </w:r>
      <w:r w:rsidRPr="004A6FF6">
        <w:rPr>
          <w:lang w:eastAsia="ja-JP"/>
        </w:rPr>
        <w:t xml:space="preserve"> study in healthy subjects)</w:t>
      </w:r>
    </w:p>
    <w:p w14:paraId="47DF0C35" w14:textId="77777777" w:rsidR="007C0FDC" w:rsidRDefault="007C0FDC" w:rsidP="007C0FDC">
      <w:pPr>
        <w:rPr>
          <w:lang w:eastAsia="ja-JP"/>
        </w:rPr>
      </w:pPr>
      <w:r w:rsidRPr="00600A23">
        <w:rPr>
          <w:lang w:eastAsia="ja-JP"/>
        </w:rPr>
        <w:t>No laboratory abnormalities in renal function tests were reported as adverse events</w:t>
      </w:r>
      <w:r>
        <w:rPr>
          <w:lang w:eastAsia="ja-JP"/>
        </w:rPr>
        <w:t>.</w:t>
      </w:r>
      <w:bookmarkStart w:id="368" w:name="_Toc272414671"/>
      <w:bookmarkStart w:id="369" w:name="_Toc290888535"/>
      <w:bookmarkStart w:id="370" w:name="_Toc416353751"/>
      <w:bookmarkStart w:id="371" w:name="_Toc421005294"/>
      <w:bookmarkStart w:id="372" w:name="_Toc432079171"/>
      <w:bookmarkStart w:id="373" w:name="_Toc432080744"/>
    </w:p>
    <w:p w14:paraId="52E43747" w14:textId="77777777" w:rsidR="007C0FDC" w:rsidRDefault="007C0FDC" w:rsidP="008B4D17">
      <w:pPr>
        <w:pStyle w:val="Heading4"/>
      </w:pPr>
      <w:r w:rsidRPr="00545B14">
        <w:t>Vital signs</w:t>
      </w:r>
      <w:r>
        <w:t xml:space="preserve"> and clinical </w:t>
      </w:r>
      <w:r w:rsidRPr="008B4D17">
        <w:t>examination</w:t>
      </w:r>
      <w:r>
        <w:t xml:space="preserve"> findings</w:t>
      </w:r>
    </w:p>
    <w:p w14:paraId="18297975" w14:textId="77777777" w:rsidR="007C0FDC" w:rsidRDefault="007C0FDC" w:rsidP="008B4D17">
      <w:pPr>
        <w:pStyle w:val="Heading5"/>
        <w:rPr>
          <w:lang w:eastAsia="ja-JP"/>
        </w:rPr>
      </w:pPr>
      <w:r w:rsidRPr="00906AAC">
        <w:rPr>
          <w:lang w:eastAsia="ja-JP"/>
        </w:rPr>
        <w:t xml:space="preserve">Study 20120262 (RA </w:t>
      </w:r>
      <w:r w:rsidRPr="008B4D17">
        <w:t>patients</w:t>
      </w:r>
      <w:r w:rsidRPr="00906AAC">
        <w:rPr>
          <w:lang w:eastAsia="ja-JP"/>
        </w:rPr>
        <w:t>)</w:t>
      </w:r>
    </w:p>
    <w:p w14:paraId="0A254F1B" w14:textId="77777777" w:rsidR="007C0FDC" w:rsidRPr="0097654B" w:rsidRDefault="007C0FDC" w:rsidP="007C0FDC">
      <w:pPr>
        <w:rPr>
          <w:lang w:eastAsia="ja-JP"/>
        </w:rPr>
      </w:pPr>
      <w:r w:rsidRPr="0097654B">
        <w:rPr>
          <w:lang w:eastAsia="ja-JP"/>
        </w:rPr>
        <w:t xml:space="preserve">Overall, </w:t>
      </w:r>
      <w:r>
        <w:rPr>
          <w:lang w:eastAsia="ja-JP"/>
        </w:rPr>
        <w:t xml:space="preserve">there were no </w:t>
      </w:r>
      <w:r w:rsidRPr="0097654B">
        <w:rPr>
          <w:lang w:eastAsia="ja-JP"/>
        </w:rPr>
        <w:t>clinically relevant changes seen post-baseline</w:t>
      </w:r>
      <w:r>
        <w:rPr>
          <w:lang w:eastAsia="ja-JP"/>
        </w:rPr>
        <w:t>.</w:t>
      </w:r>
    </w:p>
    <w:p w14:paraId="54586ADE" w14:textId="77777777" w:rsidR="007C0FDC" w:rsidRDefault="007C0FDC" w:rsidP="008B4D17">
      <w:pPr>
        <w:pStyle w:val="Heading5"/>
        <w:rPr>
          <w:lang w:eastAsia="ja-JP"/>
        </w:rPr>
      </w:pPr>
      <w:r w:rsidRPr="00906AAC">
        <w:rPr>
          <w:lang w:eastAsia="ja-JP"/>
        </w:rPr>
        <w:t xml:space="preserve">Study </w:t>
      </w:r>
      <w:r w:rsidRPr="008B4D17">
        <w:t>20120263</w:t>
      </w:r>
      <w:r w:rsidRPr="00906AAC">
        <w:rPr>
          <w:lang w:eastAsia="ja-JP"/>
        </w:rPr>
        <w:t xml:space="preserve"> (</w:t>
      </w:r>
      <w:r>
        <w:rPr>
          <w:lang w:eastAsia="ja-JP"/>
        </w:rPr>
        <w:t>Psoriasis</w:t>
      </w:r>
      <w:r w:rsidRPr="00906AAC">
        <w:rPr>
          <w:lang w:eastAsia="ja-JP"/>
        </w:rPr>
        <w:t xml:space="preserve"> patients)</w:t>
      </w:r>
    </w:p>
    <w:p w14:paraId="5F0898FE" w14:textId="77777777" w:rsidR="007C0FDC" w:rsidRPr="00A11BE9" w:rsidRDefault="007C0FDC" w:rsidP="007C0FDC">
      <w:pPr>
        <w:rPr>
          <w:lang w:eastAsia="ja-JP"/>
        </w:rPr>
      </w:pPr>
      <w:r w:rsidRPr="0097654B">
        <w:rPr>
          <w:lang w:eastAsia="ja-JP"/>
        </w:rPr>
        <w:t xml:space="preserve">Overall, </w:t>
      </w:r>
      <w:r>
        <w:rPr>
          <w:lang w:eastAsia="ja-JP"/>
        </w:rPr>
        <w:t xml:space="preserve">there were no </w:t>
      </w:r>
      <w:r w:rsidRPr="0097654B">
        <w:rPr>
          <w:lang w:eastAsia="ja-JP"/>
        </w:rPr>
        <w:t>clinically relevant changes seen post-baseline</w:t>
      </w:r>
      <w:r>
        <w:rPr>
          <w:lang w:eastAsia="ja-JP"/>
        </w:rPr>
        <w:t>.</w:t>
      </w:r>
    </w:p>
    <w:p w14:paraId="67E23A03" w14:textId="77777777" w:rsidR="007C0FDC" w:rsidRPr="004A6FF6" w:rsidRDefault="007C0FDC" w:rsidP="008B4D17">
      <w:pPr>
        <w:pStyle w:val="Heading5"/>
        <w:rPr>
          <w:lang w:eastAsia="ja-JP"/>
        </w:rPr>
      </w:pPr>
      <w:r w:rsidRPr="004A6FF6">
        <w:rPr>
          <w:lang w:eastAsia="ja-JP"/>
        </w:rPr>
        <w:t xml:space="preserve">Study </w:t>
      </w:r>
      <w:r w:rsidRPr="008B4D17">
        <w:t>20110217</w:t>
      </w:r>
      <w:r w:rsidRPr="004A6FF6">
        <w:rPr>
          <w:lang w:eastAsia="ja-JP"/>
        </w:rPr>
        <w:t xml:space="preserve"> (PK study in healthy subjects)</w:t>
      </w:r>
    </w:p>
    <w:p w14:paraId="6CD87AF3" w14:textId="77777777" w:rsidR="007C0FDC" w:rsidRDefault="007C0FDC" w:rsidP="007C0FDC">
      <w:pPr>
        <w:rPr>
          <w:lang w:eastAsia="ja-JP"/>
        </w:rPr>
      </w:pPr>
      <w:r>
        <w:rPr>
          <w:lang w:eastAsia="ja-JP"/>
        </w:rPr>
        <w:t>There were isolated cases of notable changes in blood pressure, diastolic blood pressure, pulse, and oral temperature, but those were deemed normal or not clinically significant on repeat measurements.</w:t>
      </w:r>
    </w:p>
    <w:p w14:paraId="47F1B1C4" w14:textId="77777777" w:rsidR="007C0FDC" w:rsidRDefault="007C0FDC" w:rsidP="008B4D17">
      <w:pPr>
        <w:pStyle w:val="Heading4"/>
      </w:pPr>
      <w:r w:rsidRPr="00545B14">
        <w:t xml:space="preserve">Other </w:t>
      </w:r>
      <w:r w:rsidRPr="008B4D17">
        <w:t>clinical</w:t>
      </w:r>
      <w:r w:rsidRPr="00545B14">
        <w:t xml:space="preserve"> chemistry</w:t>
      </w:r>
      <w:bookmarkEnd w:id="368"/>
      <w:bookmarkEnd w:id="369"/>
      <w:bookmarkEnd w:id="370"/>
      <w:bookmarkEnd w:id="371"/>
      <w:bookmarkEnd w:id="372"/>
      <w:bookmarkEnd w:id="373"/>
    </w:p>
    <w:p w14:paraId="1E3D7EDA" w14:textId="77777777" w:rsidR="007C0FDC" w:rsidRDefault="007C0FDC" w:rsidP="008B4D17">
      <w:pPr>
        <w:pStyle w:val="Heading5"/>
        <w:rPr>
          <w:lang w:eastAsia="ja-JP"/>
        </w:rPr>
      </w:pPr>
      <w:r w:rsidRPr="00906AAC">
        <w:rPr>
          <w:lang w:eastAsia="ja-JP"/>
        </w:rPr>
        <w:t xml:space="preserve">Study </w:t>
      </w:r>
      <w:r w:rsidRPr="008B4D17">
        <w:t>20120262</w:t>
      </w:r>
      <w:r w:rsidRPr="00906AAC">
        <w:rPr>
          <w:lang w:eastAsia="ja-JP"/>
        </w:rPr>
        <w:t xml:space="preserve"> (RA patients)</w:t>
      </w:r>
    </w:p>
    <w:p w14:paraId="38383216" w14:textId="77777777" w:rsidR="007C0FDC" w:rsidRPr="00ED521C" w:rsidRDefault="007C0FDC" w:rsidP="007C0FDC">
      <w:pPr>
        <w:rPr>
          <w:lang w:eastAsia="ja-JP"/>
        </w:rPr>
      </w:pPr>
      <w:r w:rsidRPr="004A37D5">
        <w:rPr>
          <w:lang w:eastAsia="ja-JP"/>
        </w:rPr>
        <w:t>The median results for all other serum chemistry tests were within normal limits over the course of the study.</w:t>
      </w:r>
    </w:p>
    <w:p w14:paraId="5EE63501" w14:textId="77777777" w:rsidR="007C0FDC" w:rsidRDefault="007C0FDC" w:rsidP="008B4D17">
      <w:pPr>
        <w:pStyle w:val="Heading5"/>
        <w:rPr>
          <w:lang w:eastAsia="ja-JP"/>
        </w:rPr>
      </w:pPr>
      <w:r w:rsidRPr="00906AAC">
        <w:rPr>
          <w:lang w:eastAsia="ja-JP"/>
        </w:rPr>
        <w:t xml:space="preserve">Study </w:t>
      </w:r>
      <w:r>
        <w:rPr>
          <w:lang w:eastAsia="ja-JP"/>
        </w:rPr>
        <w:t>20120263</w:t>
      </w:r>
      <w:r w:rsidRPr="00906AAC">
        <w:rPr>
          <w:lang w:eastAsia="ja-JP"/>
        </w:rPr>
        <w:t xml:space="preserve"> (</w:t>
      </w:r>
      <w:r>
        <w:rPr>
          <w:lang w:eastAsia="ja-JP"/>
        </w:rPr>
        <w:t>Psoriasis</w:t>
      </w:r>
      <w:r w:rsidRPr="00906AAC">
        <w:rPr>
          <w:lang w:eastAsia="ja-JP"/>
        </w:rPr>
        <w:t xml:space="preserve"> patients)</w:t>
      </w:r>
    </w:p>
    <w:p w14:paraId="408C5E5A" w14:textId="77777777" w:rsidR="007C0FDC" w:rsidRPr="00ED521C" w:rsidRDefault="007C0FDC" w:rsidP="007C0FDC">
      <w:pPr>
        <w:rPr>
          <w:lang w:eastAsia="ja-JP"/>
        </w:rPr>
      </w:pPr>
      <w:r w:rsidRPr="00975120">
        <w:rPr>
          <w:lang w:eastAsia="ja-JP"/>
        </w:rPr>
        <w:t>The median results for all other serum chemistry tests were within normal limits over the course of the study.</w:t>
      </w:r>
    </w:p>
    <w:p w14:paraId="640C6741" w14:textId="77777777" w:rsidR="007C0FDC" w:rsidRPr="004A6FF6" w:rsidRDefault="007C0FDC" w:rsidP="008B4D17">
      <w:pPr>
        <w:pStyle w:val="Heading5"/>
        <w:rPr>
          <w:lang w:eastAsia="ja-JP"/>
        </w:rPr>
      </w:pPr>
      <w:r w:rsidRPr="004A6FF6">
        <w:rPr>
          <w:lang w:eastAsia="ja-JP"/>
        </w:rPr>
        <w:t>Study 20110217 (PK study in healthy subjects)</w:t>
      </w:r>
    </w:p>
    <w:p w14:paraId="4AE20A2B" w14:textId="77777777" w:rsidR="007C0FDC" w:rsidRDefault="007C0FDC" w:rsidP="007C0FDC">
      <w:pPr>
        <w:rPr>
          <w:lang w:eastAsia="ja-JP"/>
        </w:rPr>
      </w:pPr>
      <w:r w:rsidRPr="00ED521C">
        <w:rPr>
          <w:lang w:eastAsia="ja-JP"/>
        </w:rPr>
        <w:t>Shifts in chemistry laboratory results were not evaluated in Study 20110217.</w:t>
      </w:r>
    </w:p>
    <w:p w14:paraId="5CAD007E" w14:textId="77777777" w:rsidR="007C0FDC" w:rsidRDefault="007C0FDC" w:rsidP="008B4D17">
      <w:pPr>
        <w:pStyle w:val="Heading3"/>
      </w:pPr>
      <w:bookmarkStart w:id="374" w:name="_Toc272414686"/>
      <w:bookmarkStart w:id="375" w:name="_Ref273005527"/>
      <w:bookmarkStart w:id="376" w:name="_Toc290888550"/>
      <w:bookmarkStart w:id="377" w:name="_Toc416353765"/>
      <w:bookmarkStart w:id="378" w:name="_Toc421005308"/>
      <w:bookmarkStart w:id="379" w:name="_Toc432079179"/>
      <w:bookmarkStart w:id="380" w:name="_Toc432080752"/>
      <w:bookmarkStart w:id="381" w:name="_Toc470272305"/>
      <w:bookmarkStart w:id="382" w:name="_Toc509822414"/>
      <w:r w:rsidRPr="00545B14">
        <w:t xml:space="preserve">Other safety </w:t>
      </w:r>
      <w:r w:rsidRPr="008B4D17">
        <w:t>issues</w:t>
      </w:r>
      <w:bookmarkEnd w:id="374"/>
      <w:bookmarkEnd w:id="375"/>
      <w:bookmarkEnd w:id="376"/>
      <w:bookmarkEnd w:id="377"/>
      <w:bookmarkEnd w:id="378"/>
      <w:bookmarkEnd w:id="379"/>
      <w:bookmarkEnd w:id="380"/>
      <w:bookmarkEnd w:id="381"/>
      <w:bookmarkEnd w:id="382"/>
    </w:p>
    <w:p w14:paraId="73F8B8B0" w14:textId="77777777" w:rsidR="007C0FDC" w:rsidRDefault="007C0FDC" w:rsidP="008B4D17">
      <w:pPr>
        <w:rPr>
          <w:lang w:eastAsia="ja-JP"/>
        </w:rPr>
      </w:pPr>
      <w:r>
        <w:rPr>
          <w:lang w:eastAsia="ja-JP"/>
        </w:rPr>
        <w:t>The sponsor provided the following statement:</w:t>
      </w:r>
    </w:p>
    <w:p w14:paraId="27D22CC1" w14:textId="7F3BE40F" w:rsidR="007C0FDC" w:rsidRPr="00180C0C" w:rsidRDefault="00262B3E" w:rsidP="007C0FDC">
      <w:pPr>
        <w:ind w:left="720"/>
        <w:rPr>
          <w:i/>
          <w:lang w:eastAsia="ja-JP"/>
        </w:rPr>
      </w:pPr>
      <w:r>
        <w:rPr>
          <w:i/>
          <w:lang w:eastAsia="ja-JP"/>
        </w:rPr>
        <w:t>‘</w:t>
      </w:r>
      <w:r w:rsidR="007C0FDC" w:rsidRPr="00180C0C">
        <w:rPr>
          <w:i/>
          <w:lang w:eastAsia="ja-JP"/>
        </w:rPr>
        <w:t>In accordance with regulatory guidances, safety studies in special groups and situations are not required and were not conducted (FDA, Draft Guidance for Industry, Biosimilars: Additional Questions and Answers Regarding Implementation of the Biologics Price Competition and Innovation Act of 2009, 2015; World Health Organization, Guidelines on Evaluation of Similar Biotherapeutic Products [SBPs], 2009). Therefore, the following subsections are not included in this marketing application:</w:t>
      </w:r>
    </w:p>
    <w:p w14:paraId="450BA27C" w14:textId="77777777" w:rsidR="007C0FDC" w:rsidRPr="008B4D17" w:rsidRDefault="007C0FDC" w:rsidP="008B4D17">
      <w:pPr>
        <w:pStyle w:val="ListBullet"/>
        <w:ind w:left="1134"/>
        <w:rPr>
          <w:i/>
          <w:lang w:eastAsia="ja-JP"/>
        </w:rPr>
      </w:pPr>
      <w:r w:rsidRPr="008B4D17">
        <w:rPr>
          <w:i/>
          <w:lang w:eastAsia="ja-JP"/>
        </w:rPr>
        <w:t>Intrinsic factors</w:t>
      </w:r>
    </w:p>
    <w:p w14:paraId="6A6535A1" w14:textId="77777777" w:rsidR="007C0FDC" w:rsidRPr="008B4D17" w:rsidRDefault="007C0FDC" w:rsidP="008B4D17">
      <w:pPr>
        <w:pStyle w:val="ListBullet"/>
        <w:ind w:left="1134"/>
        <w:rPr>
          <w:i/>
          <w:lang w:eastAsia="ja-JP"/>
        </w:rPr>
      </w:pPr>
      <w:r w:rsidRPr="008B4D17">
        <w:rPr>
          <w:i/>
          <w:lang w:eastAsia="ja-JP"/>
        </w:rPr>
        <w:t>Safety analyses in subjects with impaired renal function</w:t>
      </w:r>
    </w:p>
    <w:p w14:paraId="47C73F60" w14:textId="77777777" w:rsidR="007C0FDC" w:rsidRPr="008B4D17" w:rsidRDefault="007C0FDC" w:rsidP="008B4D17">
      <w:pPr>
        <w:pStyle w:val="ListBullet"/>
        <w:ind w:left="1134"/>
        <w:rPr>
          <w:i/>
          <w:lang w:eastAsia="ja-JP"/>
        </w:rPr>
      </w:pPr>
      <w:r w:rsidRPr="008B4D17">
        <w:rPr>
          <w:i/>
          <w:lang w:eastAsia="ja-JP"/>
        </w:rPr>
        <w:t>Evaluations for biosimilar dose selection</w:t>
      </w:r>
    </w:p>
    <w:p w14:paraId="41D71034" w14:textId="77777777" w:rsidR="007C0FDC" w:rsidRPr="008B4D17" w:rsidRDefault="007C0FDC" w:rsidP="008B4D17">
      <w:pPr>
        <w:pStyle w:val="ListBullet"/>
        <w:ind w:left="1134"/>
        <w:rPr>
          <w:i/>
          <w:lang w:eastAsia="ja-JP"/>
        </w:rPr>
      </w:pPr>
      <w:r w:rsidRPr="008B4D17">
        <w:rPr>
          <w:i/>
          <w:lang w:eastAsia="ja-JP"/>
        </w:rPr>
        <w:lastRenderedPageBreak/>
        <w:t>Safety of biosimilar candidate in other disease settings</w:t>
      </w:r>
    </w:p>
    <w:p w14:paraId="72957BEC" w14:textId="77777777" w:rsidR="007C0FDC" w:rsidRPr="008B4D17" w:rsidRDefault="007C0FDC" w:rsidP="008B4D17">
      <w:pPr>
        <w:pStyle w:val="ListBullet"/>
        <w:ind w:left="1134"/>
        <w:rPr>
          <w:i/>
          <w:lang w:eastAsia="ja-JP"/>
        </w:rPr>
      </w:pPr>
      <w:r w:rsidRPr="008B4D17">
        <w:rPr>
          <w:i/>
          <w:lang w:eastAsia="ja-JP"/>
        </w:rPr>
        <w:t>Extrinsic factors</w:t>
      </w:r>
    </w:p>
    <w:p w14:paraId="6BBFEF30" w14:textId="77777777" w:rsidR="007C0FDC" w:rsidRPr="008B4D17" w:rsidRDefault="007C0FDC" w:rsidP="008B4D17">
      <w:pPr>
        <w:pStyle w:val="ListBullet"/>
        <w:ind w:left="1134"/>
        <w:rPr>
          <w:i/>
          <w:lang w:eastAsia="ja-JP"/>
        </w:rPr>
      </w:pPr>
      <w:r w:rsidRPr="008B4D17">
        <w:rPr>
          <w:i/>
          <w:lang w:eastAsia="ja-JP"/>
        </w:rPr>
        <w:t>Drug interactions</w:t>
      </w:r>
    </w:p>
    <w:p w14:paraId="3D47F85A" w14:textId="77777777" w:rsidR="007C0FDC" w:rsidRPr="008B4D17" w:rsidRDefault="007C0FDC" w:rsidP="008B4D17">
      <w:pPr>
        <w:pStyle w:val="ListBullet"/>
        <w:ind w:left="1134"/>
        <w:rPr>
          <w:i/>
          <w:lang w:eastAsia="ja-JP"/>
        </w:rPr>
      </w:pPr>
      <w:r w:rsidRPr="008B4D17">
        <w:rPr>
          <w:i/>
          <w:lang w:eastAsia="ja-JP"/>
        </w:rPr>
        <w:t>Use in pregnancy and lactation</w:t>
      </w:r>
    </w:p>
    <w:p w14:paraId="0D0F6E8A" w14:textId="77777777" w:rsidR="007C0FDC" w:rsidRPr="008B4D17" w:rsidRDefault="007C0FDC" w:rsidP="008B4D17">
      <w:pPr>
        <w:pStyle w:val="ListBullet"/>
        <w:ind w:left="1134"/>
        <w:rPr>
          <w:i/>
          <w:lang w:eastAsia="ja-JP"/>
        </w:rPr>
      </w:pPr>
      <w:r w:rsidRPr="008B4D17">
        <w:rPr>
          <w:i/>
          <w:lang w:eastAsia="ja-JP"/>
        </w:rPr>
        <w:t>Overdose</w:t>
      </w:r>
    </w:p>
    <w:p w14:paraId="24104F72" w14:textId="77777777" w:rsidR="007C0FDC" w:rsidRPr="008B4D17" w:rsidRDefault="007C0FDC" w:rsidP="008B4D17">
      <w:pPr>
        <w:pStyle w:val="ListBullet"/>
        <w:ind w:left="1134"/>
        <w:rPr>
          <w:i/>
          <w:lang w:eastAsia="ja-JP"/>
        </w:rPr>
      </w:pPr>
      <w:r w:rsidRPr="008B4D17">
        <w:rPr>
          <w:i/>
          <w:lang w:eastAsia="ja-JP"/>
        </w:rPr>
        <w:t>Drug abuse</w:t>
      </w:r>
    </w:p>
    <w:p w14:paraId="20C47B71" w14:textId="77777777" w:rsidR="007C0FDC" w:rsidRPr="008B4D17" w:rsidRDefault="007C0FDC" w:rsidP="008B4D17">
      <w:pPr>
        <w:pStyle w:val="ListBullet"/>
        <w:ind w:left="1134"/>
        <w:rPr>
          <w:i/>
          <w:lang w:eastAsia="ja-JP"/>
        </w:rPr>
      </w:pPr>
      <w:r w:rsidRPr="008B4D17">
        <w:rPr>
          <w:i/>
          <w:lang w:eastAsia="ja-JP"/>
        </w:rPr>
        <w:t>Effects of off treatment and retreatment</w:t>
      </w:r>
    </w:p>
    <w:p w14:paraId="2CC06C47" w14:textId="456B8FDC" w:rsidR="007C0FDC" w:rsidRPr="008B4D17" w:rsidRDefault="007C0FDC" w:rsidP="008B4D17">
      <w:pPr>
        <w:pStyle w:val="ListBullet"/>
        <w:ind w:left="1134"/>
        <w:rPr>
          <w:i/>
          <w:lang w:eastAsia="ja-JP"/>
        </w:rPr>
      </w:pPr>
      <w:r w:rsidRPr="008B4D17">
        <w:rPr>
          <w:i/>
          <w:lang w:eastAsia="ja-JP"/>
        </w:rPr>
        <w:t>Effects on ability to drive or operate machinery or impairment of mental ability</w:t>
      </w:r>
      <w:bookmarkStart w:id="383" w:name="_Toc241374326"/>
      <w:bookmarkStart w:id="384" w:name="_Ref272333048"/>
      <w:bookmarkStart w:id="385" w:name="_Toc272414679"/>
      <w:bookmarkStart w:id="386" w:name="_Toc290888543"/>
      <w:bookmarkStart w:id="387" w:name="_Toc416353758"/>
      <w:bookmarkStart w:id="388" w:name="_Toc421005301"/>
      <w:bookmarkStart w:id="389" w:name="_Toc432079182"/>
      <w:bookmarkStart w:id="390" w:name="_Toc432080755"/>
      <w:r w:rsidR="00262B3E" w:rsidRPr="008B4D17">
        <w:rPr>
          <w:i/>
          <w:lang w:eastAsia="ja-JP"/>
        </w:rPr>
        <w:t>’.</w:t>
      </w:r>
    </w:p>
    <w:p w14:paraId="6D06AB8B" w14:textId="77777777" w:rsidR="007C0FDC" w:rsidRPr="002D1B30" w:rsidRDefault="007C0FDC" w:rsidP="008B4D17">
      <w:pPr>
        <w:rPr>
          <w:lang w:eastAsia="ja-JP"/>
        </w:rPr>
      </w:pPr>
      <w:r w:rsidRPr="008B1D36">
        <w:rPr>
          <w:lang w:eastAsia="ja-JP"/>
        </w:rPr>
        <w:t>In the safety analysis of the two clinical studies, subgroup analyses of adverse events by any of the following groups showed no clinically meaningful differences between treatment groups or when compared to the overall study population: prior biological use (for RA or psoriasis); age, race, and sex.</w:t>
      </w:r>
    </w:p>
    <w:p w14:paraId="33EFE5D6" w14:textId="77777777" w:rsidR="007C0FDC" w:rsidRPr="00E4342F" w:rsidRDefault="007C0FDC" w:rsidP="008B4D17">
      <w:pPr>
        <w:pStyle w:val="Heading3"/>
      </w:pPr>
      <w:bookmarkStart w:id="391" w:name="_Toc470272306"/>
      <w:bookmarkStart w:id="392" w:name="_Toc509822415"/>
      <w:r w:rsidRPr="00E4342F">
        <w:t>Post</w:t>
      </w:r>
      <w:r>
        <w:t xml:space="preserve"> </w:t>
      </w:r>
      <w:r w:rsidRPr="00E4342F">
        <w:t>marketing experience</w:t>
      </w:r>
      <w:bookmarkEnd w:id="383"/>
      <w:bookmarkEnd w:id="384"/>
      <w:bookmarkEnd w:id="385"/>
      <w:bookmarkEnd w:id="386"/>
      <w:bookmarkEnd w:id="387"/>
      <w:bookmarkEnd w:id="388"/>
      <w:bookmarkEnd w:id="389"/>
      <w:bookmarkEnd w:id="390"/>
      <w:bookmarkEnd w:id="391"/>
      <w:bookmarkEnd w:id="392"/>
    </w:p>
    <w:p w14:paraId="155123C7" w14:textId="77777777" w:rsidR="007C0FDC" w:rsidRDefault="007C0FDC" w:rsidP="007C0FDC">
      <w:pPr>
        <w:rPr>
          <w:lang w:eastAsia="ja-JP"/>
        </w:rPr>
      </w:pPr>
      <w:bookmarkStart w:id="393" w:name="_Toc241374328"/>
      <w:bookmarkStart w:id="394" w:name="_Toc272414691"/>
      <w:bookmarkStart w:id="395" w:name="_Toc290888555"/>
      <w:bookmarkStart w:id="396" w:name="_Toc416353770"/>
      <w:bookmarkStart w:id="397" w:name="_Toc421005312"/>
      <w:bookmarkStart w:id="398" w:name="_Toc432079183"/>
      <w:bookmarkStart w:id="399" w:name="_Toc432080756"/>
      <w:r>
        <w:rPr>
          <w:lang w:eastAsia="ja-JP"/>
        </w:rPr>
        <w:t>Not applicable to ABP 501, as currently not marketed in Australia or overseas.</w:t>
      </w:r>
    </w:p>
    <w:p w14:paraId="64D64562" w14:textId="77777777" w:rsidR="007C0FDC" w:rsidRPr="007744EB" w:rsidRDefault="007C0FDC" w:rsidP="008B4D17">
      <w:pPr>
        <w:pStyle w:val="Heading3"/>
      </w:pPr>
      <w:bookmarkStart w:id="400" w:name="_Toc470272307"/>
      <w:bookmarkStart w:id="401" w:name="_Toc509822416"/>
      <w:r w:rsidRPr="00E4342F">
        <w:t>Evaluator’s overall conclusions on clinical safety</w:t>
      </w:r>
      <w:bookmarkEnd w:id="393"/>
      <w:bookmarkEnd w:id="394"/>
      <w:bookmarkEnd w:id="395"/>
      <w:bookmarkEnd w:id="396"/>
      <w:bookmarkEnd w:id="397"/>
      <w:bookmarkEnd w:id="398"/>
      <w:bookmarkEnd w:id="399"/>
      <w:bookmarkEnd w:id="400"/>
      <w:bookmarkEnd w:id="401"/>
    </w:p>
    <w:p w14:paraId="0B30B45F" w14:textId="77777777" w:rsidR="007C0FDC" w:rsidRDefault="007C0FDC" w:rsidP="007C0FDC">
      <w:pPr>
        <w:rPr>
          <w:lang w:eastAsia="ja-JP"/>
        </w:rPr>
      </w:pPr>
      <w:r>
        <w:rPr>
          <w:lang w:eastAsia="ja-JP"/>
        </w:rPr>
        <w:t>The reference product, adalimumab (Humira) has been marketed for more than a decade and</w:t>
      </w:r>
      <w:r w:rsidRPr="002649B3">
        <w:rPr>
          <w:lang w:eastAsia="ja-JP"/>
        </w:rPr>
        <w:t xml:space="preserve"> </w:t>
      </w:r>
      <w:r>
        <w:rPr>
          <w:lang w:eastAsia="ja-JP"/>
        </w:rPr>
        <w:t>the efficacy and safety has been established for the currently approved indications.</w:t>
      </w:r>
    </w:p>
    <w:p w14:paraId="668445F9" w14:textId="5C102540" w:rsidR="007C0FDC" w:rsidRDefault="007C0FDC" w:rsidP="007C0FDC">
      <w:pPr>
        <w:rPr>
          <w:lang w:eastAsia="ja-JP"/>
        </w:rPr>
      </w:pPr>
      <w:r>
        <w:rPr>
          <w:lang w:eastAsia="ja-JP"/>
        </w:rPr>
        <w:t>As this is a biosimilar application, the main purpose of the clinical safety section is to evaluate whether there are significant differences between the biosim</w:t>
      </w:r>
      <w:r w:rsidR="008B4D17">
        <w:rPr>
          <w:lang w:eastAsia="ja-JP"/>
        </w:rPr>
        <w:t>ilar and the reference product.</w:t>
      </w:r>
    </w:p>
    <w:p w14:paraId="7B7D5AC3" w14:textId="77777777" w:rsidR="007C0FDC" w:rsidRDefault="007C0FDC" w:rsidP="007C0FDC">
      <w:pPr>
        <w:rPr>
          <w:lang w:eastAsia="ja-JP"/>
        </w:rPr>
      </w:pPr>
      <w:r w:rsidRPr="004D6A76">
        <w:rPr>
          <w:lang w:eastAsia="ja-JP"/>
        </w:rPr>
        <w:t>The sponsor has not provid</w:t>
      </w:r>
      <w:r>
        <w:rPr>
          <w:lang w:eastAsia="ja-JP"/>
        </w:rPr>
        <w:t xml:space="preserve">ed an integrated safety summary, but </w:t>
      </w:r>
      <w:r w:rsidRPr="004D6A76">
        <w:rPr>
          <w:lang w:eastAsia="ja-JP"/>
        </w:rPr>
        <w:t>presented the safety data for each study individually.</w:t>
      </w:r>
      <w:r>
        <w:rPr>
          <w:lang w:eastAsia="ja-JP"/>
        </w:rPr>
        <w:t xml:space="preserve"> The safety results from the two clinical studies were more representative with regard to target population and administration duration compared to the PK study which only administered a single dose in healthy subjects.</w:t>
      </w:r>
    </w:p>
    <w:p w14:paraId="130FEDF8" w14:textId="7566542F" w:rsidR="007C0FDC" w:rsidRDefault="007C0FDC" w:rsidP="007C0FDC">
      <w:pPr>
        <w:rPr>
          <w:lang w:eastAsia="ja-JP"/>
        </w:rPr>
      </w:pPr>
      <w:r w:rsidRPr="000C09AF">
        <w:rPr>
          <w:lang w:eastAsia="ja-JP"/>
        </w:rPr>
        <w:t>The maximum durati</w:t>
      </w:r>
      <w:r>
        <w:rPr>
          <w:lang w:eastAsia="ja-JP"/>
        </w:rPr>
        <w:t xml:space="preserve">on of IP exposure was 48 weeks in the psoriasis study and 22 weeks in the RA study. In the </w:t>
      </w:r>
      <w:r w:rsidRPr="000C09AF">
        <w:rPr>
          <w:lang w:eastAsia="ja-JP"/>
        </w:rPr>
        <w:t>psoriasis study</w:t>
      </w:r>
      <w:r>
        <w:rPr>
          <w:lang w:eastAsia="ja-JP"/>
        </w:rPr>
        <w:t>, the median exposure was 330 days and t</w:t>
      </w:r>
      <w:r w:rsidRPr="000C09AF">
        <w:rPr>
          <w:lang w:eastAsia="ja-JP"/>
        </w:rPr>
        <w:t>he overall mean dose was 456.2 mg</w:t>
      </w:r>
      <w:r>
        <w:rPr>
          <w:lang w:eastAsia="ja-JP"/>
        </w:rPr>
        <w:t xml:space="preserve">. In the RA study, the median exposure was 155 days and the overall mean </w:t>
      </w:r>
      <w:r w:rsidRPr="000C09AF">
        <w:rPr>
          <w:lang w:eastAsia="ja-JP"/>
        </w:rPr>
        <w:t xml:space="preserve">dose was 350.3 mg </w:t>
      </w:r>
      <w:r>
        <w:rPr>
          <w:lang w:eastAsia="ja-JP"/>
        </w:rPr>
        <w:t xml:space="preserve">up to Week 16, and </w:t>
      </w:r>
      <w:r w:rsidRPr="000C09AF">
        <w:rPr>
          <w:lang w:eastAsia="ja-JP"/>
        </w:rPr>
        <w:t>630.5 mg</w:t>
      </w:r>
      <w:r>
        <w:rPr>
          <w:lang w:eastAsia="ja-JP"/>
        </w:rPr>
        <w:t xml:space="preserve"> post Week 16. The exposure was sufficient for comparability purposes. The clinical studies were not powered to detect rarer adverse events though.</w:t>
      </w:r>
    </w:p>
    <w:p w14:paraId="6528F1C6" w14:textId="77777777" w:rsidR="007C0FDC" w:rsidRPr="00437AD6" w:rsidRDefault="007C0FDC" w:rsidP="006E14E0">
      <w:pPr>
        <w:pStyle w:val="Heading4"/>
      </w:pPr>
      <w:r w:rsidRPr="00437AD6">
        <w:t xml:space="preserve">Frequency </w:t>
      </w:r>
      <w:r w:rsidRPr="006E14E0">
        <w:t>and</w:t>
      </w:r>
      <w:r w:rsidRPr="00437AD6">
        <w:t xml:space="preserve"> pattern of AEs and TEAEs</w:t>
      </w:r>
    </w:p>
    <w:p w14:paraId="6ED018FC" w14:textId="71B8908C" w:rsidR="007C0FDC" w:rsidRDefault="007C0FDC" w:rsidP="007C0FDC">
      <w:pPr>
        <w:rPr>
          <w:lang w:eastAsia="ja-JP"/>
        </w:rPr>
      </w:pPr>
      <w:r w:rsidRPr="00262B3E">
        <w:rPr>
          <w:rStyle w:val="Heading5Char"/>
          <w:rFonts w:eastAsia="Cambria"/>
          <w:b w:val="0"/>
        </w:rPr>
        <w:t>RA stud</w:t>
      </w:r>
      <w:r w:rsidRPr="00A936DE">
        <w:rPr>
          <w:rStyle w:val="Heading5Char"/>
          <w:rFonts w:eastAsia="Cambria"/>
          <w:b w:val="0"/>
        </w:rPr>
        <w:t>y</w:t>
      </w:r>
      <w:r w:rsidRPr="00062A40">
        <w:rPr>
          <w:b/>
          <w:lang w:eastAsia="ja-JP"/>
        </w:rPr>
        <w:t xml:space="preserve">: </w:t>
      </w:r>
      <w:r>
        <w:rPr>
          <w:lang w:eastAsia="ja-JP"/>
        </w:rPr>
        <w:t xml:space="preserve">the percentage of AEs was similar in </w:t>
      </w:r>
      <w:r w:rsidRPr="00437AD6">
        <w:rPr>
          <w:lang w:eastAsia="ja-JP"/>
        </w:rPr>
        <w:t xml:space="preserve">each treatment group (50.0% in the ABP 501 group and 54.6% in the adalimumab group). 20.0% had a TEAE (18.9%; 21.0%). 5 subjects had a TEAE with a </w:t>
      </w:r>
      <w:r w:rsidR="00C81841">
        <w:rPr>
          <w:lang w:eastAsia="ja-JP"/>
        </w:rPr>
        <w:t>G</w:t>
      </w:r>
      <w:r w:rsidR="00C81841" w:rsidRPr="00437AD6">
        <w:rPr>
          <w:lang w:eastAsia="ja-JP"/>
        </w:rPr>
        <w:t xml:space="preserve">rade </w:t>
      </w:r>
      <w:r w:rsidRPr="00437AD6">
        <w:rPr>
          <w:lang w:eastAsia="ja-JP"/>
        </w:rPr>
        <w:t>≥ 3 (1.1%; 0.8%).</w:t>
      </w:r>
    </w:p>
    <w:p w14:paraId="405B7681" w14:textId="508E4644" w:rsidR="007C0FDC" w:rsidRDefault="007C0FDC" w:rsidP="007C0FDC">
      <w:pPr>
        <w:rPr>
          <w:lang w:eastAsia="ja-JP"/>
        </w:rPr>
      </w:pPr>
      <w:r w:rsidRPr="00A936DE">
        <w:rPr>
          <w:rStyle w:val="Heading5Char"/>
          <w:rFonts w:eastAsia="Cambria"/>
          <w:b w:val="0"/>
        </w:rPr>
        <w:t>Psoriasis study</w:t>
      </w:r>
      <w:r>
        <w:rPr>
          <w:lang w:eastAsia="ja-JP"/>
        </w:rPr>
        <w:t xml:space="preserve">: </w:t>
      </w:r>
      <w:r w:rsidRPr="002827BE">
        <w:rPr>
          <w:lang w:eastAsia="ja-JP"/>
        </w:rPr>
        <w:t xml:space="preserve">Up </w:t>
      </w:r>
      <w:r>
        <w:rPr>
          <w:lang w:eastAsia="ja-JP"/>
        </w:rPr>
        <w:t>to Week 16</w:t>
      </w:r>
      <w:r w:rsidRPr="002827BE">
        <w:rPr>
          <w:lang w:eastAsia="ja-JP"/>
        </w:rPr>
        <w:t>, 65.4% of all subjects had at least 1 adverse event (67.2% in the ABP 501 group and 63.6% in the adalimumab group). 24.8% had a TEAE (24.7%; 24.9%).</w:t>
      </w:r>
      <w:r>
        <w:rPr>
          <w:lang w:eastAsia="ja-JP"/>
        </w:rPr>
        <w:t xml:space="preserve"> P</w:t>
      </w:r>
      <w:r w:rsidRPr="002827BE">
        <w:rPr>
          <w:lang w:eastAsia="ja-JP"/>
        </w:rPr>
        <w:t xml:space="preserve">ost </w:t>
      </w:r>
      <w:r w:rsidR="00313115">
        <w:rPr>
          <w:lang w:eastAsia="ja-JP"/>
        </w:rPr>
        <w:t>W</w:t>
      </w:r>
      <w:r w:rsidR="00313115" w:rsidRPr="002827BE">
        <w:rPr>
          <w:lang w:eastAsia="ja-JP"/>
        </w:rPr>
        <w:t xml:space="preserve">eek </w:t>
      </w:r>
      <w:r w:rsidRPr="002827BE">
        <w:rPr>
          <w:lang w:eastAsia="ja-JP"/>
        </w:rPr>
        <w:t xml:space="preserve">16 data, the proportion of all AEs was slightly lower in the adalimumab/adalimumab group (65.8%) compared to the ABP 501/ABP 501 (71.7%) and adalimumab/ABP 501 (70.1%) groups. </w:t>
      </w:r>
      <w:r>
        <w:rPr>
          <w:lang w:eastAsia="ja-JP"/>
        </w:rPr>
        <w:t>Regarding TEAEs, the proportions were 18.4% versus 22.8% versus 26.0%</w:t>
      </w:r>
      <w:r w:rsidRPr="002827BE">
        <w:rPr>
          <w:lang w:eastAsia="ja-JP"/>
        </w:rPr>
        <w:t>.</w:t>
      </w:r>
      <w:r>
        <w:rPr>
          <w:lang w:eastAsia="ja-JP"/>
        </w:rPr>
        <w:t xml:space="preserve"> </w:t>
      </w:r>
      <w:r w:rsidRPr="00212CC6">
        <w:rPr>
          <w:lang w:eastAsia="ja-JP"/>
        </w:rPr>
        <w:t>12 subjects had a TEAE with a grade ≥ 3 (4.6%; 2.5%; 3.9%).</w:t>
      </w:r>
    </w:p>
    <w:p w14:paraId="0FDE0F8E" w14:textId="77777777" w:rsidR="007C0FDC" w:rsidRPr="008013B1" w:rsidRDefault="007C0FDC" w:rsidP="007C0FDC">
      <w:pPr>
        <w:pStyle w:val="Heading4"/>
        <w:numPr>
          <w:ilvl w:val="2"/>
          <w:numId w:val="5"/>
        </w:numPr>
      </w:pPr>
      <w:r w:rsidRPr="008013B1">
        <w:lastRenderedPageBreak/>
        <w:t>Common adverse events</w:t>
      </w:r>
    </w:p>
    <w:p w14:paraId="55076226" w14:textId="77777777" w:rsidR="007C0FDC" w:rsidRPr="00890C49" w:rsidRDefault="007C0FDC" w:rsidP="007C0FDC">
      <w:pPr>
        <w:rPr>
          <w:lang w:eastAsia="ja-JP"/>
        </w:rPr>
      </w:pPr>
      <w:r>
        <w:rPr>
          <w:lang w:eastAsia="ja-JP"/>
        </w:rPr>
        <w:t>In both clinical studies, the most common</w:t>
      </w:r>
      <w:r w:rsidRPr="008013B1">
        <w:rPr>
          <w:lang w:eastAsia="ja-JP"/>
        </w:rPr>
        <w:t xml:space="preserve"> </w:t>
      </w:r>
      <w:r>
        <w:rPr>
          <w:lang w:eastAsia="ja-JP"/>
        </w:rPr>
        <w:t>adverse events by preferred term (≥ 5% overall) were nasopharyngitis, headache, upper respiratory tract infection, and (worsening of) psoriasis (psoriasis study only). The proportions were similar between the treatment groups,</w:t>
      </w:r>
      <w:r w:rsidRPr="008013B1">
        <w:rPr>
          <w:lang w:eastAsia="ja-JP"/>
        </w:rPr>
        <w:t xml:space="preserve"> </w:t>
      </w:r>
      <w:r>
        <w:rPr>
          <w:lang w:eastAsia="ja-JP"/>
        </w:rPr>
        <w:t>including the group that underwent a transition from adalimumab to ABP 501.</w:t>
      </w:r>
    </w:p>
    <w:p w14:paraId="174D220D" w14:textId="77777777" w:rsidR="007C0FDC" w:rsidRPr="0005640B" w:rsidRDefault="007C0FDC" w:rsidP="007C0FDC">
      <w:pPr>
        <w:pStyle w:val="Heading4"/>
        <w:numPr>
          <w:ilvl w:val="2"/>
          <w:numId w:val="5"/>
        </w:numPr>
      </w:pPr>
      <w:r w:rsidRPr="0005640B">
        <w:t>Deaths and serious adverse events</w:t>
      </w:r>
    </w:p>
    <w:p w14:paraId="052002D3" w14:textId="7D2A7ED5" w:rsidR="007C0FDC" w:rsidRDefault="007C0FDC" w:rsidP="007C0FDC">
      <w:pPr>
        <w:rPr>
          <w:lang w:eastAsia="ja-JP"/>
        </w:rPr>
      </w:pPr>
      <w:r>
        <w:rPr>
          <w:lang w:eastAsia="ja-JP"/>
        </w:rPr>
        <w:t>There were no deaths in any of the 3 studies provided.</w:t>
      </w:r>
    </w:p>
    <w:p w14:paraId="381911AC" w14:textId="77777777" w:rsidR="007C0FDC" w:rsidRDefault="007C0FDC" w:rsidP="007C0FDC">
      <w:pPr>
        <w:rPr>
          <w:lang w:eastAsia="ja-JP"/>
        </w:rPr>
      </w:pPr>
      <w:r w:rsidRPr="00313115">
        <w:rPr>
          <w:rStyle w:val="Heading5Char"/>
          <w:rFonts w:eastAsia="Cambria"/>
          <w:b w:val="0"/>
        </w:rPr>
        <w:t>RA study:</w:t>
      </w:r>
      <w:r>
        <w:rPr>
          <w:lang w:eastAsia="ja-JP"/>
        </w:rPr>
        <w:t xml:space="preserve"> There were </w:t>
      </w:r>
      <w:r w:rsidRPr="00551349">
        <w:rPr>
          <w:lang w:eastAsia="ja-JP"/>
        </w:rPr>
        <w:t xml:space="preserve">2 (0.8%) subjects with infections/infestations </w:t>
      </w:r>
      <w:r>
        <w:rPr>
          <w:lang w:eastAsia="ja-JP"/>
        </w:rPr>
        <w:t xml:space="preserve">(sepsis) in the ABP 501 group and </w:t>
      </w:r>
      <w:r w:rsidRPr="00551349">
        <w:rPr>
          <w:lang w:eastAsia="ja-JP"/>
        </w:rPr>
        <w:t>3</w:t>
      </w:r>
      <w:r>
        <w:rPr>
          <w:lang w:eastAsia="ja-JP"/>
        </w:rPr>
        <w:t xml:space="preserve"> (1.2%) in the adalimumab group</w:t>
      </w:r>
      <w:r w:rsidRPr="00551349">
        <w:rPr>
          <w:lang w:eastAsia="ja-JP"/>
        </w:rPr>
        <w:t>.</w:t>
      </w:r>
    </w:p>
    <w:p w14:paraId="34C7D617" w14:textId="77777777" w:rsidR="007C0FDC" w:rsidRPr="00551349" w:rsidRDefault="007C0FDC" w:rsidP="007C0FDC">
      <w:pPr>
        <w:rPr>
          <w:lang w:eastAsia="ja-JP"/>
        </w:rPr>
      </w:pPr>
      <w:r w:rsidRPr="00313115">
        <w:rPr>
          <w:rStyle w:val="Heading5Char"/>
          <w:rFonts w:eastAsia="Cambria"/>
          <w:b w:val="0"/>
        </w:rPr>
        <w:t>Psoriasis study</w:t>
      </w:r>
      <w:r w:rsidRPr="00062A40">
        <w:rPr>
          <w:b/>
          <w:lang w:eastAsia="ja-JP"/>
        </w:rPr>
        <w:t>:</w:t>
      </w:r>
      <w:r>
        <w:rPr>
          <w:lang w:eastAsia="ja-JP"/>
        </w:rPr>
        <w:t xml:space="preserve"> </w:t>
      </w:r>
      <w:r w:rsidRPr="00551349">
        <w:rPr>
          <w:lang w:eastAsia="ja-JP"/>
        </w:rPr>
        <w:t>Overall, 23 of 347 subjects (6.6%) experienced serious TEAEs. Three subjects (13.6%) in the non-re-randomised ABP 501 treatment group experienced a total of 4 serious adverse events including acute myocardial infarction, arrhythmia, hypersensitivity, and lentigo maligna.</w:t>
      </w:r>
    </w:p>
    <w:p w14:paraId="716D0BB1" w14:textId="77777777" w:rsidR="007C0FDC" w:rsidRPr="005860AE" w:rsidRDefault="007C0FDC" w:rsidP="007C0FDC">
      <w:pPr>
        <w:pStyle w:val="Heading4"/>
        <w:numPr>
          <w:ilvl w:val="2"/>
          <w:numId w:val="5"/>
        </w:numPr>
      </w:pPr>
      <w:r w:rsidRPr="005860AE">
        <w:t>Discontinuations</w:t>
      </w:r>
    </w:p>
    <w:p w14:paraId="7F666F3F" w14:textId="77777777" w:rsidR="007C0FDC" w:rsidRDefault="007C0FDC" w:rsidP="007C0FDC">
      <w:pPr>
        <w:rPr>
          <w:lang w:eastAsia="ja-JP"/>
        </w:rPr>
      </w:pPr>
      <w:r w:rsidRPr="00313115">
        <w:rPr>
          <w:rStyle w:val="Heading5Char"/>
          <w:rFonts w:eastAsia="Cambria"/>
          <w:b w:val="0"/>
        </w:rPr>
        <w:t>RA study:</w:t>
      </w:r>
      <w:r>
        <w:rPr>
          <w:lang w:eastAsia="ja-JP"/>
        </w:rPr>
        <w:t xml:space="preserve"> 7 subjects (1.3%) discontinued IP due to a TEAE (1.9% versus 0.8%). </w:t>
      </w:r>
      <w:r w:rsidRPr="005860AE">
        <w:rPr>
          <w:lang w:eastAsia="ja-JP"/>
        </w:rPr>
        <w:t>The TEAEs in the ABP 501 group were pneumonia, cerebrovascular accident, and hypersensitivity. The TEAE in the adalimumab group was corneal graft rejection.</w:t>
      </w:r>
    </w:p>
    <w:p w14:paraId="17C6BE19" w14:textId="77777777" w:rsidR="007C0FDC" w:rsidRPr="00272518" w:rsidRDefault="007C0FDC" w:rsidP="007C0FDC">
      <w:pPr>
        <w:rPr>
          <w:lang w:eastAsia="ja-JP"/>
        </w:rPr>
      </w:pPr>
      <w:r w:rsidRPr="00313115">
        <w:rPr>
          <w:rStyle w:val="Heading5Char"/>
          <w:rFonts w:eastAsia="Cambria"/>
          <w:b w:val="0"/>
        </w:rPr>
        <w:t>Psoriasis study</w:t>
      </w:r>
      <w:r>
        <w:rPr>
          <w:lang w:eastAsia="ja-JP"/>
        </w:rPr>
        <w:t xml:space="preserve">: Up to Week 16, 12 subjects (3.5%) discontinued IP due to a TEAE (4.0% versus 2.9%). </w:t>
      </w:r>
      <w:r w:rsidRPr="005860AE">
        <w:rPr>
          <w:lang w:eastAsia="ja-JP"/>
        </w:rPr>
        <w:t>3 events in the ABP 501 group leading to discontinuation were serious adverse events (arrhythmia, hypersensitivity, and lentigo maligna).</w:t>
      </w:r>
      <w:r>
        <w:rPr>
          <w:lang w:eastAsia="ja-JP"/>
        </w:rPr>
        <w:t xml:space="preserve"> Post week 16, 11 subjects (3.6%) discontinued IP (4.6%, 1.3%, 3.9%) (ABP 501/ABP 501, adalimumab/adalimumab and adalimumab/ABP 501). 2 serious TEAEs leading to discontinuation were: drug-induced liver injury (ABP 501/ABP 501) and ophthalmic herpes zoster (adalimumab/ABP 501).</w:t>
      </w:r>
    </w:p>
    <w:p w14:paraId="3E778273" w14:textId="77777777" w:rsidR="007C0FDC" w:rsidRDefault="007C0FDC" w:rsidP="007C0FDC">
      <w:pPr>
        <w:pStyle w:val="Heading4"/>
        <w:numPr>
          <w:ilvl w:val="2"/>
          <w:numId w:val="5"/>
        </w:numPr>
      </w:pPr>
      <w:r>
        <w:t>Immunogenicity</w:t>
      </w:r>
    </w:p>
    <w:p w14:paraId="09D4468E" w14:textId="77777777" w:rsidR="007C0FDC" w:rsidRDefault="007C0FDC" w:rsidP="007C0FDC">
      <w:pPr>
        <w:rPr>
          <w:lang w:eastAsia="ja-JP"/>
        </w:rPr>
      </w:pPr>
      <w:r w:rsidRPr="00693F53">
        <w:rPr>
          <w:lang w:eastAsia="ja-JP"/>
        </w:rPr>
        <w:t xml:space="preserve">Only a very small number of subjects tested positive for </w:t>
      </w:r>
      <w:r w:rsidRPr="008B1D36">
        <w:rPr>
          <w:lang w:eastAsia="ja-JP"/>
        </w:rPr>
        <w:t xml:space="preserve">pre-existing binding </w:t>
      </w:r>
      <w:r>
        <w:rPr>
          <w:lang w:eastAsia="ja-JP"/>
        </w:rPr>
        <w:t xml:space="preserve">ADAs in both studies. No subject had </w:t>
      </w:r>
      <w:r w:rsidRPr="008B1D36">
        <w:rPr>
          <w:lang w:eastAsia="ja-JP"/>
        </w:rPr>
        <w:t>pre-existing</w:t>
      </w:r>
      <w:r w:rsidRPr="00693F53">
        <w:rPr>
          <w:lang w:eastAsia="ja-JP"/>
        </w:rPr>
        <w:t xml:space="preserve"> </w:t>
      </w:r>
      <w:r w:rsidRPr="008B1D36">
        <w:rPr>
          <w:lang w:eastAsia="ja-JP"/>
        </w:rPr>
        <w:t>neutralising antibodies</w:t>
      </w:r>
      <w:r>
        <w:rPr>
          <w:lang w:eastAsia="ja-JP"/>
        </w:rPr>
        <w:t xml:space="preserve">. The proportion of subjects developing </w:t>
      </w:r>
      <w:r w:rsidRPr="009E2921">
        <w:rPr>
          <w:lang w:eastAsia="ja-JP"/>
        </w:rPr>
        <w:t xml:space="preserve">binding </w:t>
      </w:r>
      <w:r>
        <w:rPr>
          <w:lang w:eastAsia="ja-JP"/>
        </w:rPr>
        <w:t xml:space="preserve">or neutralising </w:t>
      </w:r>
      <w:r w:rsidRPr="009E2921">
        <w:rPr>
          <w:lang w:eastAsia="ja-JP"/>
        </w:rPr>
        <w:t>ADAs</w:t>
      </w:r>
      <w:r>
        <w:rPr>
          <w:lang w:eastAsia="ja-JP"/>
        </w:rPr>
        <w:t xml:space="preserve"> was similar between treatment groups. In the RA study, binding ADAs were detected in 38.2%, neutralising ADAs was 10.1%. As expected the proportion of ADAs were lower in the RA study compared to the psoriasis study due to the concomitant methotrexate.</w:t>
      </w:r>
    </w:p>
    <w:p w14:paraId="2FA361B8" w14:textId="16AF1CFE" w:rsidR="007C0FDC" w:rsidRDefault="007C0FDC" w:rsidP="007C0FDC">
      <w:pPr>
        <w:rPr>
          <w:lang w:eastAsia="ja-JP"/>
        </w:rPr>
      </w:pPr>
      <w:r>
        <w:rPr>
          <w:lang w:eastAsia="ja-JP"/>
        </w:rPr>
        <w:t xml:space="preserve">In the psoriasis study (up to Week 16), binding ADAs occurred in 59.4% (ABP 501: 55.2%; adalimumab: 63.6%) and neutralising ADAs in 11.8% for (9.8%; 13.9%). Post Week 16, the overall percentage of subjects developing binding ADAs was 72.3% and </w:t>
      </w:r>
      <w:r w:rsidRPr="00A43FF1">
        <w:rPr>
          <w:lang w:eastAsia="ja-JP"/>
        </w:rPr>
        <w:t>21.9%</w:t>
      </w:r>
      <w:r>
        <w:rPr>
          <w:lang w:eastAsia="ja-JP"/>
        </w:rPr>
        <w:t xml:space="preserve"> for neutralising ADAs. The percentage of developing binding or neutralising ADAs was similar for all 3 groups (binding: 68.4%, 74.7%, and 72.7%; neutralising: 13.8%, 20.3%, 24.7%, for ABP 501/ABP 501, adalimumab/adalimumab, and adalimumab/ABP 501 groups, respectively). The results were reasonably similar between treatment groups. The proportion of both binding and neutralising ADAs appeared to be lower in the ABP 501 group.</w:t>
      </w:r>
    </w:p>
    <w:p w14:paraId="29E8A929" w14:textId="77777777" w:rsidR="007C0FDC" w:rsidRPr="005F1435" w:rsidRDefault="007C0FDC" w:rsidP="007C0FDC">
      <w:pPr>
        <w:rPr>
          <w:lang w:eastAsia="ja-JP"/>
        </w:rPr>
      </w:pPr>
      <w:r w:rsidRPr="00527F48">
        <w:rPr>
          <w:lang w:eastAsia="ja-JP"/>
        </w:rPr>
        <w:t xml:space="preserve">However, </w:t>
      </w:r>
      <w:r>
        <w:rPr>
          <w:lang w:eastAsia="ja-JP"/>
        </w:rPr>
        <w:t xml:space="preserve">in the psoriasis study, </w:t>
      </w:r>
      <w:r w:rsidRPr="00527F48">
        <w:rPr>
          <w:lang w:eastAsia="ja-JP"/>
        </w:rPr>
        <w:t xml:space="preserve">the proportion of neutralising ADAs was </w:t>
      </w:r>
      <w:r>
        <w:rPr>
          <w:lang w:eastAsia="ja-JP"/>
        </w:rPr>
        <w:t xml:space="preserve">slightly </w:t>
      </w:r>
      <w:r w:rsidRPr="00527F48">
        <w:rPr>
          <w:lang w:eastAsia="ja-JP"/>
        </w:rPr>
        <w:t>higher in the adalimuma</w:t>
      </w:r>
      <w:r>
        <w:rPr>
          <w:lang w:eastAsia="ja-JP"/>
        </w:rPr>
        <w:t>b/ABP 501 (single-switch) group post Week 16. Only 77 subjects switched from adalimumab to ABP 501. This makes it difficult to draw definite conclusions. There is currently no evidence that the ADA development/immunogenicity in the single-switch group has led to clinically significant changes. But given that there is also a slight reduction in efficacy in this group between Week 32 to Week 50, this should be further monitored in the post-market environment, both as a potential efficacy and safety issue.</w:t>
      </w:r>
    </w:p>
    <w:p w14:paraId="5DAE5126" w14:textId="77777777" w:rsidR="007C0FDC" w:rsidRPr="00551349" w:rsidRDefault="007C0FDC" w:rsidP="006E14E0">
      <w:pPr>
        <w:pStyle w:val="Heading4"/>
      </w:pPr>
      <w:r w:rsidRPr="00551349">
        <w:lastRenderedPageBreak/>
        <w:t xml:space="preserve">Adverse </w:t>
      </w:r>
      <w:r w:rsidRPr="006E14E0">
        <w:t>events</w:t>
      </w:r>
      <w:r w:rsidRPr="00551349">
        <w:t xml:space="preserve"> of interest</w:t>
      </w:r>
    </w:p>
    <w:p w14:paraId="036C150C" w14:textId="77777777" w:rsidR="007C0FDC" w:rsidRDefault="007C0FDC" w:rsidP="007C0FDC">
      <w:pPr>
        <w:rPr>
          <w:lang w:eastAsia="ja-JP"/>
        </w:rPr>
      </w:pPr>
      <w:r w:rsidRPr="00551349">
        <w:rPr>
          <w:lang w:eastAsia="ja-JP"/>
        </w:rPr>
        <w:t xml:space="preserve">Adverse events of interest in the </w:t>
      </w:r>
      <w:r>
        <w:rPr>
          <w:lang w:eastAsia="ja-JP"/>
        </w:rPr>
        <w:t>clinical</w:t>
      </w:r>
      <w:r w:rsidRPr="00551349">
        <w:rPr>
          <w:lang w:eastAsia="ja-JP"/>
        </w:rPr>
        <w:t xml:space="preserve"> studies were: infections, malignancies, hypersensitivity, demyelinating diseases, haematological reactions, heart failure, lupus-like syndrome, liver enzyme elevations, and injection site reactions.</w:t>
      </w:r>
    </w:p>
    <w:p w14:paraId="64701299" w14:textId="03E2E5D4" w:rsidR="007C0FDC" w:rsidRPr="009C458B" w:rsidRDefault="007C0FDC" w:rsidP="007C0FDC">
      <w:pPr>
        <w:rPr>
          <w:u w:val="single"/>
          <w:lang w:eastAsia="ja-JP"/>
        </w:rPr>
      </w:pPr>
      <w:r w:rsidRPr="00313115">
        <w:rPr>
          <w:rStyle w:val="Heading5Char"/>
          <w:rFonts w:eastAsia="Cambria"/>
          <w:b w:val="0"/>
        </w:rPr>
        <w:t>Liver function:</w:t>
      </w:r>
      <w:r w:rsidRPr="00062A40">
        <w:rPr>
          <w:b/>
          <w:lang w:eastAsia="ja-JP"/>
        </w:rPr>
        <w:t xml:space="preserve"> </w:t>
      </w:r>
      <w:r>
        <w:rPr>
          <w:lang w:eastAsia="ja-JP"/>
        </w:rPr>
        <w:t>No case met Hy’s law criteria in the RA study.</w:t>
      </w:r>
      <w:r w:rsidRPr="00B3691E">
        <w:rPr>
          <w:lang w:eastAsia="ja-JP"/>
        </w:rPr>
        <w:t xml:space="preserve"> </w:t>
      </w:r>
      <w:r>
        <w:rPr>
          <w:lang w:eastAsia="ja-JP"/>
        </w:rPr>
        <w:t>There was one Grade 3 event in each treatment group which led to discontinuation of IP in the psoriasis study. The ABP 501 group appeared to have higher proportions of liver enzyme elevation events, even this did not affect the group that switched to ABP 501 in the psoriasis study. One</w:t>
      </w:r>
      <w:r w:rsidRPr="00272518">
        <w:rPr>
          <w:lang w:eastAsia="ja-JP"/>
        </w:rPr>
        <w:t xml:space="preserve"> </w:t>
      </w:r>
      <w:r>
        <w:rPr>
          <w:lang w:eastAsia="ja-JP"/>
        </w:rPr>
        <w:t>Grade 3</w:t>
      </w:r>
      <w:r w:rsidRPr="00272518">
        <w:rPr>
          <w:lang w:eastAsia="ja-JP"/>
        </w:rPr>
        <w:t xml:space="preserve"> </w:t>
      </w:r>
      <w:r>
        <w:rPr>
          <w:lang w:eastAsia="ja-JP"/>
        </w:rPr>
        <w:t>DILI event</w:t>
      </w:r>
      <w:r w:rsidRPr="00272518">
        <w:rPr>
          <w:lang w:eastAsia="ja-JP"/>
        </w:rPr>
        <w:t xml:space="preserve"> led to IP </w:t>
      </w:r>
      <w:r>
        <w:rPr>
          <w:lang w:eastAsia="ja-JP"/>
        </w:rPr>
        <w:t xml:space="preserve">and </w:t>
      </w:r>
      <w:r w:rsidRPr="00272518">
        <w:rPr>
          <w:lang w:eastAsia="ja-JP"/>
        </w:rPr>
        <w:t>study discontinuation</w:t>
      </w:r>
      <w:r>
        <w:rPr>
          <w:lang w:eastAsia="ja-JP"/>
        </w:rPr>
        <w:t xml:space="preserve">. Even though the studies are not powered for safety purposes and even though the absolute numbers of cases were small, liver function should be specifically monitored </w:t>
      </w:r>
      <w:r w:rsidR="006E14E0">
        <w:rPr>
          <w:lang w:eastAsia="ja-JP"/>
        </w:rPr>
        <w:t>in the post-market environment.</w:t>
      </w:r>
    </w:p>
    <w:p w14:paraId="3A865BFD" w14:textId="77777777" w:rsidR="007C0FDC" w:rsidRPr="005F1435" w:rsidRDefault="007C0FDC" w:rsidP="007C0FDC">
      <w:pPr>
        <w:rPr>
          <w:u w:val="single"/>
          <w:lang w:eastAsia="ja-JP"/>
        </w:rPr>
      </w:pPr>
      <w:r w:rsidRPr="00313115">
        <w:rPr>
          <w:rStyle w:val="Heading5Char"/>
          <w:rFonts w:eastAsia="Cambria"/>
          <w:b w:val="0"/>
        </w:rPr>
        <w:t>Haematological reactions:</w:t>
      </w:r>
      <w:r w:rsidRPr="009C458B">
        <w:rPr>
          <w:lang w:eastAsia="ja-JP"/>
        </w:rPr>
        <w:t xml:space="preserve"> </w:t>
      </w:r>
      <w:r>
        <w:rPr>
          <w:lang w:eastAsia="ja-JP"/>
        </w:rPr>
        <w:t>No serious haematological reaction adverse events occurred in the clinical studies.</w:t>
      </w:r>
    </w:p>
    <w:p w14:paraId="4F83BBAC" w14:textId="77777777" w:rsidR="007C0FDC" w:rsidRDefault="007C0FDC" w:rsidP="007C0FDC">
      <w:pPr>
        <w:rPr>
          <w:u w:val="single"/>
          <w:lang w:eastAsia="ja-JP"/>
        </w:rPr>
      </w:pPr>
      <w:r w:rsidRPr="00313115">
        <w:rPr>
          <w:rStyle w:val="Heading5Char"/>
          <w:rFonts w:eastAsia="Cambria"/>
          <w:b w:val="0"/>
        </w:rPr>
        <w:t>Infections:</w:t>
      </w:r>
      <w:r w:rsidRPr="00186364">
        <w:rPr>
          <w:lang w:eastAsia="ja-JP"/>
        </w:rPr>
        <w:t xml:space="preserve"> </w:t>
      </w:r>
      <w:r>
        <w:rPr>
          <w:lang w:eastAsia="ja-JP"/>
        </w:rPr>
        <w:t>In both the RA and psoriasis study, the infection adverse event proportions were similar between groups.</w:t>
      </w:r>
      <w:r w:rsidRPr="00186364">
        <w:rPr>
          <w:lang w:eastAsia="ja-JP"/>
        </w:rPr>
        <w:t xml:space="preserve"> </w:t>
      </w:r>
      <w:r>
        <w:rPr>
          <w:lang w:eastAsia="ja-JP"/>
        </w:rPr>
        <w:t xml:space="preserve">Nasopharyngitis, </w:t>
      </w:r>
      <w:r w:rsidRPr="003F1883">
        <w:rPr>
          <w:lang w:eastAsia="ja-JP"/>
        </w:rPr>
        <w:t>upper re</w:t>
      </w:r>
      <w:r>
        <w:rPr>
          <w:lang w:eastAsia="ja-JP"/>
        </w:rPr>
        <w:t xml:space="preserve">spiratory tract infection, </w:t>
      </w:r>
      <w:r w:rsidRPr="003F1883">
        <w:rPr>
          <w:lang w:eastAsia="ja-JP"/>
        </w:rPr>
        <w:t xml:space="preserve">and bronchitis </w:t>
      </w:r>
      <w:r>
        <w:rPr>
          <w:lang w:eastAsia="ja-JP"/>
        </w:rPr>
        <w:t xml:space="preserve">were most commonly reported. There was one </w:t>
      </w:r>
      <w:r w:rsidRPr="003F1883">
        <w:rPr>
          <w:lang w:eastAsia="ja-JP"/>
        </w:rPr>
        <w:t>opportunistic cytomegalovirus in the ABP 501 group</w:t>
      </w:r>
      <w:r>
        <w:rPr>
          <w:lang w:eastAsia="ja-JP"/>
        </w:rPr>
        <w:t xml:space="preserve"> (RA study)</w:t>
      </w:r>
      <w:r w:rsidRPr="003F1883">
        <w:rPr>
          <w:lang w:eastAsia="ja-JP"/>
        </w:rPr>
        <w:t>. There were no reports</w:t>
      </w:r>
      <w:r>
        <w:rPr>
          <w:lang w:eastAsia="ja-JP"/>
        </w:rPr>
        <w:t xml:space="preserve"> of invasive fungal infections or </w:t>
      </w:r>
      <w:r w:rsidRPr="00962A0A">
        <w:rPr>
          <w:lang w:eastAsia="ja-JP"/>
        </w:rPr>
        <w:t>tuberculosis. In the</w:t>
      </w:r>
      <w:r>
        <w:rPr>
          <w:lang w:eastAsia="ja-JP"/>
        </w:rPr>
        <w:t xml:space="preserve"> psoriasis study, there was one case of latent tuberculosis, but it was deemed unrelated to adalimumab. The rate and type of infection was consistent with known information on the reference product.</w:t>
      </w:r>
    </w:p>
    <w:p w14:paraId="0BC38942" w14:textId="6250B34E" w:rsidR="007C0FDC" w:rsidRDefault="007C0FDC" w:rsidP="007C0FDC">
      <w:pPr>
        <w:rPr>
          <w:lang w:eastAsia="ja-JP"/>
        </w:rPr>
      </w:pPr>
      <w:r w:rsidRPr="00313115">
        <w:rPr>
          <w:rStyle w:val="Heading5Char"/>
          <w:rFonts w:eastAsia="Cambria"/>
          <w:b w:val="0"/>
        </w:rPr>
        <w:t>Malignancies:</w:t>
      </w:r>
      <w:r w:rsidRPr="00962A0A">
        <w:rPr>
          <w:rStyle w:val="Heading5Char"/>
          <w:rFonts w:eastAsia="Cambria"/>
        </w:rPr>
        <w:t xml:space="preserve"> </w:t>
      </w:r>
      <w:r>
        <w:rPr>
          <w:lang w:eastAsia="ja-JP"/>
        </w:rPr>
        <w:t xml:space="preserve">Each of the clinical study had a few cases of malignancy: in the RA study, there were one </w:t>
      </w:r>
      <w:r w:rsidRPr="00067195">
        <w:rPr>
          <w:lang w:eastAsia="ja-JP"/>
        </w:rPr>
        <w:t xml:space="preserve">basal cell carcinoma </w:t>
      </w:r>
      <w:r>
        <w:rPr>
          <w:lang w:eastAsia="ja-JP"/>
        </w:rPr>
        <w:t xml:space="preserve">and one squamous cell carcinoma (ABP 501) and one </w:t>
      </w:r>
      <w:r w:rsidRPr="00067195">
        <w:rPr>
          <w:lang w:eastAsia="ja-JP"/>
        </w:rPr>
        <w:t xml:space="preserve">squamous cell carcinoma </w:t>
      </w:r>
      <w:r>
        <w:rPr>
          <w:lang w:eastAsia="ja-JP"/>
        </w:rPr>
        <w:t>(</w:t>
      </w:r>
      <w:r w:rsidRPr="00067195">
        <w:rPr>
          <w:lang w:eastAsia="ja-JP"/>
        </w:rPr>
        <w:t>adalimumab</w:t>
      </w:r>
      <w:r>
        <w:rPr>
          <w:lang w:eastAsia="ja-JP"/>
        </w:rPr>
        <w:t xml:space="preserve">) which were non-serious. In the psoriasis study, there were two malignancy events: lentigo maligna (ABP 501) and Bowen’s disease (adalimumab). Post </w:t>
      </w:r>
      <w:r w:rsidR="00313115">
        <w:rPr>
          <w:lang w:eastAsia="ja-JP"/>
        </w:rPr>
        <w:t>Week </w:t>
      </w:r>
      <w:r>
        <w:rPr>
          <w:lang w:eastAsia="ja-JP"/>
        </w:rPr>
        <w:t>16, one squamous cell carcinoma occurred in the ABP 501/ABP 501 group. The rate and type of malignancy was consistent with known information on the reference product.</w:t>
      </w:r>
    </w:p>
    <w:p w14:paraId="67755F4C" w14:textId="4CFB8FD3" w:rsidR="007C0FDC" w:rsidRPr="00B31594" w:rsidRDefault="007C0FDC" w:rsidP="007C0FDC">
      <w:pPr>
        <w:rPr>
          <w:lang w:eastAsia="ja-JP"/>
        </w:rPr>
      </w:pPr>
      <w:r w:rsidRPr="00313115">
        <w:rPr>
          <w:rStyle w:val="Heading5Char"/>
          <w:rFonts w:eastAsia="Cambria"/>
          <w:b w:val="0"/>
        </w:rPr>
        <w:t>Hypersensitivity:</w:t>
      </w:r>
      <w:r>
        <w:rPr>
          <w:lang w:eastAsia="ja-JP"/>
        </w:rPr>
        <w:t xml:space="preserve"> </w:t>
      </w:r>
      <w:r w:rsidRPr="00D47975">
        <w:rPr>
          <w:lang w:eastAsia="ja-JP"/>
        </w:rPr>
        <w:t>the proportion</w:t>
      </w:r>
      <w:r>
        <w:rPr>
          <w:lang w:eastAsia="ja-JP"/>
        </w:rPr>
        <w:t xml:space="preserve"> of </w:t>
      </w:r>
      <w:r w:rsidRPr="00D47975">
        <w:rPr>
          <w:lang w:eastAsia="ja-JP"/>
        </w:rPr>
        <w:t xml:space="preserve">events was similar </w:t>
      </w:r>
      <w:r>
        <w:rPr>
          <w:lang w:eastAsia="ja-JP"/>
        </w:rPr>
        <w:t>between treatment groups, although the proportions seemed slightly larger in the ABP 501 group (RA study: 5.3% versus 3.8%; Psoriasis study (up to Week 16) 4.6% versus 4.0%). In the psoriasis study (post Week 16)</w:t>
      </w:r>
      <w:r w:rsidRPr="00357ADA">
        <w:rPr>
          <w:lang w:eastAsia="ja-JP"/>
        </w:rPr>
        <w:t xml:space="preserve"> </w:t>
      </w:r>
      <w:r>
        <w:rPr>
          <w:lang w:eastAsia="ja-JP"/>
        </w:rPr>
        <w:t>(ABP</w:t>
      </w:r>
      <w:r w:rsidR="00313115">
        <w:rPr>
          <w:lang w:eastAsia="ja-JP"/>
        </w:rPr>
        <w:t> </w:t>
      </w:r>
      <w:r>
        <w:rPr>
          <w:lang w:eastAsia="ja-JP"/>
        </w:rPr>
        <w:t>501/ABP 501, 5.3%; adalimumab/adalimumab, 2.5%; adalimumab/ABP 501, 3.9%), one hypersensitivity event in the ABP 501 group was serious (Grade 4) and led to discontinuation of IP and study.</w:t>
      </w:r>
    </w:p>
    <w:p w14:paraId="1CD5DAE7" w14:textId="77777777" w:rsidR="007C0FDC" w:rsidRDefault="007C0FDC" w:rsidP="007C0FDC">
      <w:pPr>
        <w:rPr>
          <w:lang w:eastAsia="ja-JP"/>
        </w:rPr>
      </w:pPr>
      <w:r w:rsidRPr="00313115">
        <w:rPr>
          <w:rStyle w:val="Heading5Char"/>
          <w:rFonts w:eastAsia="Cambria"/>
          <w:b w:val="0"/>
        </w:rPr>
        <w:t>Heart failure:</w:t>
      </w:r>
      <w:r>
        <w:rPr>
          <w:lang w:eastAsia="ja-JP"/>
        </w:rPr>
        <w:t xml:space="preserve"> In the RA study 4 heart failure events occurred in 0.6% of subjects (3/526), 1 in the ABP 501 group and 2 in the adalimumab group. One event of cardiopulmonary failure (ABP 501 group) and one event of congestive cardiac failure (adalimumab group) were reported as serious adverse events. In the psoriasis study, no heart failure adverse events occurred.</w:t>
      </w:r>
    </w:p>
    <w:p w14:paraId="533B7FCC" w14:textId="77777777" w:rsidR="007C0FDC" w:rsidRDefault="007C0FDC" w:rsidP="007C0FDC">
      <w:pPr>
        <w:rPr>
          <w:lang w:eastAsia="ja-JP"/>
        </w:rPr>
      </w:pPr>
      <w:r w:rsidRPr="00313115">
        <w:rPr>
          <w:rStyle w:val="Heading5Char"/>
          <w:rFonts w:eastAsia="Cambria"/>
          <w:b w:val="0"/>
        </w:rPr>
        <w:t>Injection site reactions:</w:t>
      </w:r>
      <w:r>
        <w:rPr>
          <w:lang w:eastAsia="ja-JP"/>
        </w:rPr>
        <w:t xml:space="preserve"> I</w:t>
      </w:r>
      <w:r w:rsidRPr="009F15C1">
        <w:rPr>
          <w:lang w:eastAsia="ja-JP"/>
        </w:rPr>
        <w:t>njection site reaction</w:t>
      </w:r>
      <w:r>
        <w:rPr>
          <w:lang w:eastAsia="ja-JP"/>
        </w:rPr>
        <w:t>s</w:t>
      </w:r>
      <w:r w:rsidRPr="009F15C1">
        <w:rPr>
          <w:lang w:eastAsia="ja-JP"/>
        </w:rPr>
        <w:t xml:space="preserve"> </w:t>
      </w:r>
      <w:r>
        <w:rPr>
          <w:lang w:eastAsia="ja-JP"/>
        </w:rPr>
        <w:t>appeared to be less common in the ABP 501 arms.</w:t>
      </w:r>
    </w:p>
    <w:p w14:paraId="2CA29193" w14:textId="77777777" w:rsidR="007C0FDC" w:rsidRDefault="007C0FDC" w:rsidP="007C0FDC">
      <w:pPr>
        <w:rPr>
          <w:lang w:eastAsia="ja-JP"/>
        </w:rPr>
      </w:pPr>
      <w:r>
        <w:rPr>
          <w:lang w:eastAsia="ja-JP"/>
        </w:rPr>
        <w:t xml:space="preserve">There were no events classified as demyelinating disease, </w:t>
      </w:r>
      <w:r w:rsidRPr="00551349">
        <w:rPr>
          <w:lang w:eastAsia="ja-JP"/>
        </w:rPr>
        <w:t>lupus-like syndrome</w:t>
      </w:r>
      <w:r>
        <w:rPr>
          <w:lang w:eastAsia="ja-JP"/>
        </w:rPr>
        <w:t>, or renal toxicity.</w:t>
      </w:r>
    </w:p>
    <w:p w14:paraId="73B76D6C" w14:textId="77777777" w:rsidR="007C0FDC" w:rsidRDefault="007C0FDC" w:rsidP="007C0FDC">
      <w:pPr>
        <w:rPr>
          <w:lang w:eastAsia="ja-JP"/>
        </w:rPr>
      </w:pPr>
      <w:r>
        <w:rPr>
          <w:lang w:eastAsia="ja-JP"/>
        </w:rPr>
        <w:t>Overall, the adverse event profile was fairly similar in all treatment groups. The safety data from the clinical studies and the PK study demonstrated that there were no clinically meaningful differences between ABP 501 and the reference product adalimumab. The clinical studies were not powered to provide statistical evidence of differences in less common adverse events.</w:t>
      </w:r>
    </w:p>
    <w:p w14:paraId="5EEDAAD7" w14:textId="329799AF" w:rsidR="007C0FDC" w:rsidRDefault="007C0FDC" w:rsidP="007C0FDC">
      <w:pPr>
        <w:rPr>
          <w:lang w:eastAsia="ja-JP"/>
        </w:rPr>
      </w:pPr>
      <w:r>
        <w:rPr>
          <w:lang w:eastAsia="ja-JP"/>
        </w:rPr>
        <w:t>The absence of a difference in the studies not powered for uncommon events does not provide evidence for the absence of safety concerns. There may be the possibility that the following are different in ABP 501 and this should be particularly monitored in the post-market environment and presented in PBRERs/PSURs: liver enzyme elevation; infections; hypersensitivity; ADA development/immunogenicity after switching from adalimumab (Humira) to ABP 501 (</w:t>
      </w:r>
      <w:proofErr w:type="spellStart"/>
      <w:r>
        <w:rPr>
          <w:lang w:eastAsia="ja-JP"/>
        </w:rPr>
        <w:t>Amgevita</w:t>
      </w:r>
      <w:proofErr w:type="spellEnd"/>
      <w:r>
        <w:rPr>
          <w:lang w:eastAsia="ja-JP"/>
        </w:rPr>
        <w:t>).</w:t>
      </w:r>
    </w:p>
    <w:p w14:paraId="5EBFD571" w14:textId="318E0C77" w:rsidR="007C0FDC" w:rsidRDefault="007C0FDC" w:rsidP="007C0FDC">
      <w:pPr>
        <w:rPr>
          <w:lang w:eastAsia="ja-JP"/>
        </w:rPr>
      </w:pPr>
      <w:r>
        <w:rPr>
          <w:lang w:eastAsia="ja-JP"/>
        </w:rPr>
        <w:lastRenderedPageBreak/>
        <w:t xml:space="preserve">Post-market monitoring is essential and the role of the risk management plan crucial in that regard. It is noted that the sponsor is conducting an open-label extension of the RA efficacy study. The study results should be used to contribute to the safety profile further, especially considering that currently there is no long term data ≥ 52 weeks available. Furthermore, as recommended in </w:t>
      </w:r>
      <w:r w:rsidR="00313115">
        <w:rPr>
          <w:lang w:eastAsia="ja-JP"/>
        </w:rPr>
        <w:t>S</w:t>
      </w:r>
      <w:r>
        <w:rPr>
          <w:lang w:eastAsia="ja-JP"/>
        </w:rPr>
        <w:t>ection</w:t>
      </w:r>
      <w:r w:rsidR="00313115">
        <w:rPr>
          <w:lang w:eastAsia="ja-JP"/>
        </w:rPr>
        <w:t xml:space="preserve"> 7.7,</w:t>
      </w:r>
      <w:r>
        <w:rPr>
          <w:lang w:eastAsia="ja-JP"/>
        </w:rPr>
        <w:t xml:space="preserve"> disease registries should be utilised as well.</w:t>
      </w:r>
    </w:p>
    <w:p w14:paraId="006C3A01" w14:textId="77777777" w:rsidR="007C0FDC" w:rsidRDefault="007C0FDC" w:rsidP="00813B85">
      <w:pPr>
        <w:pStyle w:val="Heading2"/>
      </w:pPr>
      <w:bookmarkStart w:id="402" w:name="_Toc470272308"/>
      <w:bookmarkStart w:id="403" w:name="_Toc509822417"/>
      <w:r>
        <w:t xml:space="preserve">First round </w:t>
      </w:r>
      <w:r w:rsidRPr="00813B85">
        <w:t>benefit</w:t>
      </w:r>
      <w:r>
        <w:t>-risk assessment</w:t>
      </w:r>
      <w:bookmarkEnd w:id="402"/>
      <w:bookmarkEnd w:id="403"/>
    </w:p>
    <w:p w14:paraId="52F9E5B2" w14:textId="3180F9D6" w:rsidR="007C0FDC" w:rsidRDefault="007C0FDC" w:rsidP="00813B85">
      <w:pPr>
        <w:pStyle w:val="Heading3"/>
      </w:pPr>
      <w:bookmarkStart w:id="404" w:name="_Toc236802592"/>
      <w:bookmarkStart w:id="405" w:name="_Toc241374331"/>
      <w:bookmarkStart w:id="406" w:name="_Ref272160836"/>
      <w:bookmarkStart w:id="407" w:name="_Toc272414693"/>
      <w:bookmarkStart w:id="408" w:name="_Toc290888557"/>
      <w:bookmarkStart w:id="409" w:name="_Toc416353772"/>
      <w:bookmarkStart w:id="410" w:name="_Toc421005314"/>
      <w:bookmarkStart w:id="411" w:name="_Toc432079185"/>
      <w:bookmarkStart w:id="412" w:name="_Toc432080758"/>
      <w:bookmarkStart w:id="413" w:name="_Toc470272309"/>
      <w:bookmarkStart w:id="414" w:name="_Toc509822418"/>
      <w:r w:rsidRPr="00545B14">
        <w:t xml:space="preserve">First round </w:t>
      </w:r>
      <w:r w:rsidRPr="00813B85">
        <w:t>assessment</w:t>
      </w:r>
      <w:r w:rsidRPr="00545B14">
        <w:t xml:space="preserve"> of </w:t>
      </w:r>
      <w:r w:rsidRPr="000D5752">
        <w:t>benefits</w:t>
      </w:r>
      <w:bookmarkEnd w:id="404"/>
      <w:bookmarkEnd w:id="405"/>
      <w:bookmarkEnd w:id="406"/>
      <w:bookmarkEnd w:id="407"/>
      <w:bookmarkEnd w:id="408"/>
      <w:bookmarkEnd w:id="409"/>
      <w:bookmarkEnd w:id="410"/>
      <w:bookmarkEnd w:id="411"/>
      <w:bookmarkEnd w:id="412"/>
      <w:bookmarkEnd w:id="413"/>
      <w:bookmarkEnd w:id="414"/>
    </w:p>
    <w:tbl>
      <w:tblPr>
        <w:tblStyle w:val="TableGrid"/>
        <w:tblW w:w="9270" w:type="dxa"/>
        <w:tblInd w:w="108" w:type="dxa"/>
        <w:tblLook w:val="04A0" w:firstRow="1" w:lastRow="0" w:firstColumn="1" w:lastColumn="0" w:noHBand="0" w:noVBand="1"/>
      </w:tblPr>
      <w:tblGrid>
        <w:gridCol w:w="2430"/>
        <w:gridCol w:w="6840"/>
      </w:tblGrid>
      <w:tr w:rsidR="008E72A4" w:rsidRPr="00C37A1D" w14:paraId="5507941C" w14:textId="77777777" w:rsidTr="00062A40">
        <w:trPr>
          <w:tblHeader/>
        </w:trPr>
        <w:tc>
          <w:tcPr>
            <w:tcW w:w="9270" w:type="dxa"/>
            <w:gridSpan w:val="2"/>
            <w:shd w:val="clear" w:color="auto" w:fill="006DA7" w:themeFill="accent3"/>
          </w:tcPr>
          <w:p w14:paraId="57EDB362" w14:textId="77777777" w:rsidR="007C0FDC" w:rsidRPr="0013182D" w:rsidRDefault="007C0FDC" w:rsidP="002E64CE">
            <w:pPr>
              <w:rPr>
                <w:rFonts w:asciiTheme="minorHAnsi" w:hAnsiTheme="minorHAnsi"/>
                <w:b/>
                <w:color w:val="FFFFFF" w:themeColor="background1"/>
                <w:sz w:val="22"/>
                <w:szCs w:val="22"/>
              </w:rPr>
            </w:pPr>
            <w:r>
              <w:rPr>
                <w:rFonts w:asciiTheme="minorHAnsi" w:hAnsiTheme="minorHAnsi"/>
                <w:b/>
                <w:color w:val="FFFFFF" w:themeColor="background1"/>
                <w:sz w:val="22"/>
                <w:szCs w:val="22"/>
              </w:rPr>
              <w:t>Rheumatoid arthritis</w:t>
            </w:r>
          </w:p>
        </w:tc>
      </w:tr>
      <w:tr w:rsidR="008E72A4" w:rsidRPr="00C37A1D" w14:paraId="62E9AFBE" w14:textId="77777777" w:rsidTr="00062A40">
        <w:trPr>
          <w:tblHeader/>
        </w:trPr>
        <w:tc>
          <w:tcPr>
            <w:tcW w:w="2430" w:type="dxa"/>
            <w:shd w:val="clear" w:color="auto" w:fill="00517D" w:themeFill="accent3" w:themeFillShade="BF"/>
          </w:tcPr>
          <w:p w14:paraId="1EC9EA63"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6840" w:type="dxa"/>
            <w:shd w:val="clear" w:color="auto" w:fill="00517D" w:themeFill="accent3" w:themeFillShade="BF"/>
          </w:tcPr>
          <w:p w14:paraId="4331A73D"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E72A4" w:rsidRPr="00C37A1D" w14:paraId="1E66C0CC" w14:textId="77777777" w:rsidTr="00062A40">
        <w:tc>
          <w:tcPr>
            <w:tcW w:w="2430" w:type="dxa"/>
          </w:tcPr>
          <w:p w14:paraId="3A07EB08" w14:textId="3661410B" w:rsidR="007C0FDC" w:rsidRPr="008E72A4" w:rsidRDefault="007C0FDC" w:rsidP="008E72A4">
            <w:r w:rsidRPr="008E72A4">
              <w:t>Equivalence of ABP 501 to Humira was shown for patients in moderate to severe rheumatoid arthritis (efficacy and safety)</w:t>
            </w:r>
            <w:r w:rsidR="008E72A4">
              <w:t>.</w:t>
            </w:r>
          </w:p>
        </w:tc>
        <w:tc>
          <w:tcPr>
            <w:tcW w:w="6840" w:type="dxa"/>
          </w:tcPr>
          <w:p w14:paraId="5CD07808" w14:textId="4B6297D6" w:rsidR="007C0FDC" w:rsidRPr="00062A40" w:rsidRDefault="007C0FDC" w:rsidP="008E72A4">
            <w:pPr>
              <w:rPr>
                <w:i/>
              </w:rPr>
            </w:pPr>
            <w:r w:rsidRPr="00062A40">
              <w:rPr>
                <w:i/>
              </w:rPr>
              <w:t>Strengths</w:t>
            </w:r>
            <w:r w:rsidR="008E72A4" w:rsidRPr="00062A40">
              <w:rPr>
                <w:i/>
              </w:rPr>
              <w:t>:</w:t>
            </w:r>
          </w:p>
          <w:p w14:paraId="4499BAD9" w14:textId="77777777" w:rsidR="007C0FDC" w:rsidRPr="008E72A4" w:rsidRDefault="007C0FDC" w:rsidP="00062A40">
            <w:pPr>
              <w:pStyle w:val="ListBullet"/>
            </w:pPr>
            <w:r w:rsidRPr="008E72A4">
              <w:t>Study 20120262 was very similar to the reference product pivotal trial with regard to study population and endpoints. The study design and its endpoints were based on a valid clinical model for rheumatoid arthritis. The ACR scores used are highly validated and composite endpoints.</w:t>
            </w:r>
          </w:p>
          <w:p w14:paraId="58A1FEE8" w14:textId="77777777" w:rsidR="007C0FDC" w:rsidRPr="008E72A4" w:rsidRDefault="007C0FDC" w:rsidP="00062A40">
            <w:pPr>
              <w:pStyle w:val="ListBullet"/>
            </w:pPr>
            <w:r w:rsidRPr="008E72A4">
              <w:t>Even though the original pre-determined equivalence margin was calculated to be relatively wide (0.738, 1/0.738), the primary endpoint also fulfilled the requirements of a more conservative, narrower margin (+/-15%) at 95% CI.</w:t>
            </w:r>
          </w:p>
          <w:p w14:paraId="59BCEF95" w14:textId="77777777" w:rsidR="007C0FDC" w:rsidRPr="008E72A4" w:rsidRDefault="007C0FDC" w:rsidP="00062A40">
            <w:pPr>
              <w:pStyle w:val="ListBullet"/>
            </w:pPr>
            <w:r w:rsidRPr="008E72A4">
              <w:t>The equivalence is supported by the PK study results.</w:t>
            </w:r>
          </w:p>
          <w:p w14:paraId="40401726" w14:textId="2067BB7E" w:rsidR="007C0FDC" w:rsidRPr="00062A40" w:rsidRDefault="007C0FDC" w:rsidP="008E72A4">
            <w:pPr>
              <w:rPr>
                <w:i/>
              </w:rPr>
            </w:pPr>
            <w:r w:rsidRPr="00062A40">
              <w:rPr>
                <w:i/>
              </w:rPr>
              <w:t>Uncertainties</w:t>
            </w:r>
            <w:r w:rsidR="008E72A4" w:rsidRPr="00062A40">
              <w:rPr>
                <w:i/>
              </w:rPr>
              <w:t>:</w:t>
            </w:r>
          </w:p>
          <w:p w14:paraId="75C4D57B" w14:textId="77777777" w:rsidR="007C0FDC" w:rsidRPr="008E72A4" w:rsidRDefault="007C0FDC" w:rsidP="00062A40">
            <w:pPr>
              <w:pStyle w:val="ListBullet"/>
            </w:pPr>
            <w:r w:rsidRPr="008E72A4">
              <w:t>Data was only available until Week 32. Longer term data were not available from Study 20120262; however, the study has an open-label extension up to 72 weeks which should be followed up as a post-authorisation efficacy study.</w:t>
            </w:r>
          </w:p>
          <w:p w14:paraId="1B3ED73B" w14:textId="77777777" w:rsidR="007C0FDC" w:rsidRPr="008E72A4" w:rsidRDefault="007C0FDC" w:rsidP="00062A40">
            <w:pPr>
              <w:pStyle w:val="ListBullet"/>
            </w:pPr>
            <w:r w:rsidRPr="008E72A4">
              <w:t>The concomitant use of another immunomodulator (methotrexate) which reduced the occurrence of immunogenicity may have had the potential to mask the difference in treatment effect between groups.</w:t>
            </w:r>
          </w:p>
          <w:p w14:paraId="54D3BC89" w14:textId="77777777" w:rsidR="007C0FDC" w:rsidRPr="008E72A4" w:rsidRDefault="007C0FDC" w:rsidP="00062A40">
            <w:pPr>
              <w:pStyle w:val="ListBullet"/>
            </w:pPr>
            <w:r w:rsidRPr="008E72A4">
              <w:t>The signal-to-noise ratio with regard to treatment effect was relatively small.</w:t>
            </w:r>
          </w:p>
          <w:p w14:paraId="59F4C642" w14:textId="77777777" w:rsidR="007C0FDC" w:rsidRPr="00CE543E" w:rsidRDefault="007C0FDC" w:rsidP="00062A40">
            <w:pPr>
              <w:pStyle w:val="ListBullet"/>
            </w:pPr>
            <w:r w:rsidRPr="008E72A4">
              <w:t>Radiographic evidence was not part of the study. However, this may arguably only be necessary in a biosimilar application where the RA study is the only trial.</w:t>
            </w:r>
          </w:p>
        </w:tc>
      </w:tr>
      <w:tr w:rsidR="008E72A4" w:rsidRPr="00C37A1D" w14:paraId="643D925B" w14:textId="77777777" w:rsidTr="00062A40">
        <w:trPr>
          <w:tblHeader/>
        </w:trPr>
        <w:tc>
          <w:tcPr>
            <w:tcW w:w="9270" w:type="dxa"/>
            <w:gridSpan w:val="2"/>
            <w:shd w:val="clear" w:color="auto" w:fill="006DA7" w:themeFill="accent3"/>
          </w:tcPr>
          <w:p w14:paraId="66FF1E62" w14:textId="77777777" w:rsidR="007C0FDC" w:rsidRPr="0013182D" w:rsidRDefault="007C0FDC" w:rsidP="002E64CE">
            <w:pPr>
              <w:rPr>
                <w:rFonts w:asciiTheme="minorHAnsi" w:hAnsiTheme="minorHAnsi"/>
                <w:b/>
                <w:color w:val="FFFFFF" w:themeColor="background1"/>
                <w:sz w:val="22"/>
                <w:szCs w:val="22"/>
              </w:rPr>
            </w:pPr>
            <w:r>
              <w:rPr>
                <w:rFonts w:asciiTheme="minorHAnsi" w:hAnsiTheme="minorHAnsi"/>
                <w:b/>
                <w:color w:val="FFFFFF" w:themeColor="background1"/>
                <w:sz w:val="22"/>
                <w:szCs w:val="22"/>
              </w:rPr>
              <w:t>Psoriasis</w:t>
            </w:r>
          </w:p>
        </w:tc>
      </w:tr>
      <w:tr w:rsidR="008E72A4" w:rsidRPr="00C37A1D" w14:paraId="717DAF4B" w14:textId="77777777" w:rsidTr="00062A40">
        <w:trPr>
          <w:tblHeader/>
        </w:trPr>
        <w:tc>
          <w:tcPr>
            <w:tcW w:w="2430" w:type="dxa"/>
            <w:shd w:val="clear" w:color="auto" w:fill="00517D" w:themeFill="accent3" w:themeFillShade="BF"/>
          </w:tcPr>
          <w:p w14:paraId="29249775"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6840" w:type="dxa"/>
            <w:shd w:val="clear" w:color="auto" w:fill="00517D" w:themeFill="accent3" w:themeFillShade="BF"/>
          </w:tcPr>
          <w:p w14:paraId="7BD33AA4"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E72A4" w:rsidRPr="00C37A1D" w14:paraId="630C991C" w14:textId="77777777" w:rsidTr="00062A40">
        <w:tc>
          <w:tcPr>
            <w:tcW w:w="2430" w:type="dxa"/>
          </w:tcPr>
          <w:p w14:paraId="1BCFDF11" w14:textId="374442DC" w:rsidR="007C0FDC" w:rsidRPr="00062A40" w:rsidRDefault="007C0FDC" w:rsidP="008E72A4">
            <w:r w:rsidRPr="008E72A4">
              <w:t>Equivalence of ABP 501 to Humira was shown for patients in moderate to severe psoriasis (efficacy and safety)</w:t>
            </w:r>
            <w:r w:rsidR="008E72A4" w:rsidRPr="00062A40">
              <w:t>.</w:t>
            </w:r>
          </w:p>
        </w:tc>
        <w:tc>
          <w:tcPr>
            <w:tcW w:w="6840" w:type="dxa"/>
          </w:tcPr>
          <w:p w14:paraId="10AD52B0" w14:textId="4C092680" w:rsidR="007C0FDC" w:rsidRPr="00062A40" w:rsidRDefault="007C0FDC" w:rsidP="00062A40">
            <w:pPr>
              <w:rPr>
                <w:i/>
              </w:rPr>
            </w:pPr>
            <w:r w:rsidRPr="00062A40">
              <w:rPr>
                <w:i/>
              </w:rPr>
              <w:t>Strengths</w:t>
            </w:r>
            <w:r w:rsidR="008E72A4" w:rsidRPr="00062A40">
              <w:rPr>
                <w:i/>
              </w:rPr>
              <w:t>:</w:t>
            </w:r>
          </w:p>
          <w:p w14:paraId="6449F6AA" w14:textId="77777777" w:rsidR="007C0FDC" w:rsidRPr="008E72A4" w:rsidRDefault="007C0FDC" w:rsidP="00062A40">
            <w:pPr>
              <w:pStyle w:val="ListBullet"/>
            </w:pPr>
            <w:r w:rsidRPr="008E72A4">
              <w:t xml:space="preserve">Study 20120263 was very similar to the reference product pivotal trial with regard to study population and endpoints. The study design and its endpoints were mainly based on the current gold standard for psoriasis clinical trials, the PASI score. The pre-determined </w:t>
            </w:r>
            <w:r w:rsidRPr="008E72A4">
              <w:lastRenderedPageBreak/>
              <w:t>equivalence margin was reasonable at +/-15%. The reference product pivotal trial used PASI 75 (a categorical variable) as the primary endpoint, whereas Study 20120263 used the continuous PASI variable. This is often considered more suitable in equivalence trials, as more likely to detect smaller differences. Furthermore, there was no clinically significant difference with regard to the PASI 75 proportion comparison.</w:t>
            </w:r>
          </w:p>
          <w:p w14:paraId="4D24827F" w14:textId="50C5D07B" w:rsidR="008E72A4" w:rsidRPr="008E72A4" w:rsidRDefault="007C0FDC" w:rsidP="00062A40">
            <w:pPr>
              <w:pStyle w:val="ListBullet"/>
            </w:pPr>
            <w:r w:rsidRPr="008E72A4">
              <w:t>Longer term data were available, namely until Week 52 (48 weeks of study + 4 weeks follow-up).</w:t>
            </w:r>
          </w:p>
          <w:p w14:paraId="281172E6" w14:textId="4FDBE15D" w:rsidR="008E72A4" w:rsidRPr="008E72A4" w:rsidRDefault="007C0FDC" w:rsidP="00062A40">
            <w:pPr>
              <w:pStyle w:val="ListBullet"/>
            </w:pPr>
            <w:r w:rsidRPr="008E72A4">
              <w:t>The study did not allow subjects to use concomitant systemic immunomodulators.</w:t>
            </w:r>
          </w:p>
          <w:p w14:paraId="5DBB87C8" w14:textId="41618F17" w:rsidR="008E72A4" w:rsidRPr="008E72A4" w:rsidRDefault="007C0FDC" w:rsidP="00062A40">
            <w:pPr>
              <w:pStyle w:val="ListBullet"/>
            </w:pPr>
            <w:r w:rsidRPr="008E72A4">
              <w:t>The placebo-adjusted response rate (that is, signal-to noise ratio) with regard to treatment effect was larger than in the rheumatoid arthritis study.</w:t>
            </w:r>
          </w:p>
          <w:p w14:paraId="44B33B97" w14:textId="77777777" w:rsidR="007C0FDC" w:rsidRPr="008E72A4" w:rsidRDefault="007C0FDC" w:rsidP="00062A40">
            <w:pPr>
              <w:pStyle w:val="ListBullet"/>
            </w:pPr>
            <w:r w:rsidRPr="008E72A4">
              <w:t>The equivalence is supported by the PK study results.</w:t>
            </w:r>
          </w:p>
          <w:p w14:paraId="2B01DB9C" w14:textId="7E54F252" w:rsidR="007C0FDC" w:rsidRPr="00062A40" w:rsidRDefault="007C0FDC" w:rsidP="00062A40">
            <w:pPr>
              <w:rPr>
                <w:i/>
              </w:rPr>
            </w:pPr>
            <w:r w:rsidRPr="00062A40">
              <w:rPr>
                <w:i/>
              </w:rPr>
              <w:t>Uncertainties</w:t>
            </w:r>
            <w:r w:rsidR="008E72A4">
              <w:rPr>
                <w:i/>
              </w:rPr>
              <w:t>:</w:t>
            </w:r>
          </w:p>
          <w:p w14:paraId="0152BBA7" w14:textId="56BB4B2F" w:rsidR="007C0FDC" w:rsidRPr="008E72A4" w:rsidRDefault="007C0FDC" w:rsidP="00062A40">
            <w:r w:rsidRPr="00062A40">
              <w:rPr>
                <w:lang w:eastAsia="en-US"/>
              </w:rPr>
              <w:t>No per-protocol analysis results were supplied for the study period post</w:t>
            </w:r>
            <w:r w:rsidR="00A936DE">
              <w:rPr>
                <w:lang w:eastAsia="en-US"/>
              </w:rPr>
              <w:noBreakHyphen/>
            </w:r>
            <w:r w:rsidRPr="00062A40">
              <w:rPr>
                <w:lang w:eastAsia="en-US"/>
              </w:rPr>
              <w:t>Week 16.</w:t>
            </w:r>
          </w:p>
          <w:p w14:paraId="5DF5B02F" w14:textId="77777777" w:rsidR="007C0FDC" w:rsidRPr="008E72A4" w:rsidRDefault="007C0FDC" w:rsidP="00062A40">
            <w:r w:rsidRPr="008E72A4">
              <w:t>The study provided data on switching from Humira to ABP 501, but this was limited to 77 subjects and no definite conclusions on differences in efficacy and safety could be drawn.</w:t>
            </w:r>
          </w:p>
          <w:p w14:paraId="3574F5F5" w14:textId="77777777" w:rsidR="007C0FDC" w:rsidRPr="008E72A4" w:rsidRDefault="007C0FDC" w:rsidP="00062A40">
            <w:r w:rsidRPr="00062A40">
              <w:rPr>
                <w:lang w:eastAsia="en-US"/>
              </w:rPr>
              <w:t>The psoriasis assessment tools are often considered a limitation of psoriasis clinical trials. Psoriasis assessments appear to be more subjective with clinicians often overestimating body surface area affected. The patient experience of severity is also rather subjective. The PASI’s disadvantages are that the upper end of the scale is rarely used and may have low response distribution and no consensus on interpretability, whereas sPGA may not necessarily discriminate small change and may not have a robust range. However, the combination of validated psoriasis scores can mitigate some of the limitations.</w:t>
            </w:r>
          </w:p>
        </w:tc>
      </w:tr>
      <w:tr w:rsidR="008E72A4" w:rsidRPr="00C37A1D" w14:paraId="3335A6DD" w14:textId="77777777" w:rsidTr="00062A40">
        <w:trPr>
          <w:tblHeader/>
        </w:trPr>
        <w:tc>
          <w:tcPr>
            <w:tcW w:w="9270" w:type="dxa"/>
            <w:gridSpan w:val="2"/>
            <w:shd w:val="clear" w:color="auto" w:fill="006DA7" w:themeFill="accent3"/>
          </w:tcPr>
          <w:p w14:paraId="755AB098" w14:textId="77777777" w:rsidR="007C0FDC" w:rsidRPr="0013182D" w:rsidRDefault="007C0FDC" w:rsidP="002E64CE">
            <w:pPr>
              <w:rPr>
                <w:rFonts w:asciiTheme="minorHAnsi" w:hAnsiTheme="minorHAnsi"/>
                <w:b/>
                <w:color w:val="FFFFFF" w:themeColor="background1"/>
                <w:sz w:val="22"/>
                <w:szCs w:val="22"/>
              </w:rPr>
            </w:pPr>
            <w:r>
              <w:rPr>
                <w:rFonts w:asciiTheme="minorHAnsi" w:hAnsiTheme="minorHAnsi"/>
                <w:b/>
                <w:color w:val="FFFFFF" w:themeColor="background1"/>
                <w:sz w:val="22"/>
                <w:szCs w:val="22"/>
              </w:rPr>
              <w:lastRenderedPageBreak/>
              <w:t>Indications approved for the reference product Humira (other than rheumatoid arthtis or psoriasis)</w:t>
            </w:r>
          </w:p>
        </w:tc>
      </w:tr>
      <w:tr w:rsidR="008E72A4" w:rsidRPr="00C37A1D" w14:paraId="0F35C7AF" w14:textId="77777777" w:rsidTr="00062A40">
        <w:trPr>
          <w:tblHeader/>
        </w:trPr>
        <w:tc>
          <w:tcPr>
            <w:tcW w:w="2430" w:type="dxa"/>
            <w:shd w:val="clear" w:color="auto" w:fill="00517D" w:themeFill="accent3" w:themeFillShade="BF"/>
          </w:tcPr>
          <w:p w14:paraId="2C4F38A3"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6840" w:type="dxa"/>
            <w:shd w:val="clear" w:color="auto" w:fill="00517D" w:themeFill="accent3" w:themeFillShade="BF"/>
          </w:tcPr>
          <w:p w14:paraId="763CA293"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E72A4" w:rsidRPr="00C37A1D" w14:paraId="176C30FD" w14:textId="77777777" w:rsidTr="00062A40">
        <w:tc>
          <w:tcPr>
            <w:tcW w:w="2430" w:type="dxa"/>
          </w:tcPr>
          <w:p w14:paraId="1D3A35CE" w14:textId="77777777" w:rsidR="007C0FDC" w:rsidRPr="00A936DE" w:rsidRDefault="007C0FDC" w:rsidP="00A936DE">
            <w:r w:rsidRPr="00A936DE">
              <w:t>Efficacy can be reasonably extrapolated from the conducted studies to the other indications approved for the reference product Humira</w:t>
            </w:r>
          </w:p>
        </w:tc>
        <w:tc>
          <w:tcPr>
            <w:tcW w:w="6840" w:type="dxa"/>
          </w:tcPr>
          <w:p w14:paraId="5D2EE046" w14:textId="213D4298" w:rsidR="007C0FDC" w:rsidRPr="00062A40" w:rsidRDefault="007C0FDC" w:rsidP="00062A40">
            <w:pPr>
              <w:rPr>
                <w:i/>
              </w:rPr>
            </w:pPr>
            <w:r w:rsidRPr="00062A40">
              <w:rPr>
                <w:i/>
              </w:rPr>
              <w:t>Strengths</w:t>
            </w:r>
            <w:r w:rsidR="00A936DE">
              <w:rPr>
                <w:i/>
              </w:rPr>
              <w:t>:</w:t>
            </w:r>
          </w:p>
          <w:p w14:paraId="6A5EBF5C" w14:textId="77777777" w:rsidR="007C0FDC" w:rsidRPr="00A936DE" w:rsidRDefault="007C0FDC" w:rsidP="00062A40">
            <w:pPr>
              <w:pStyle w:val="ListBullet"/>
            </w:pPr>
            <w:r w:rsidRPr="00A936DE">
              <w:t>A high signal-to noise ratio indication (psoriasis) was used to detect potential differences between treatments, that is, to evaluate for equivalence.</w:t>
            </w:r>
          </w:p>
          <w:p w14:paraId="4FE015C5" w14:textId="5AB494F5" w:rsidR="007C0FDC" w:rsidRPr="00A936DE" w:rsidRDefault="007C0FDC" w:rsidP="00062A40">
            <w:pPr>
              <w:pStyle w:val="ListBullet"/>
            </w:pPr>
            <w:r w:rsidRPr="008F78EA">
              <w:t xml:space="preserve">The two clinical studies complemented each other: </w:t>
            </w:r>
            <w:r w:rsidRPr="00062A40">
              <w:rPr>
                <w:lang w:eastAsia="en-US"/>
              </w:rPr>
              <w:t>the RA study was a valid model for testing TNF-α antagonists and sufficiently robust and relevant to patients with other arthritides. The psoriasis study provided a better signal-to noise ratio and also a population more sensitive to immunogenicity making it better for extrapolation, and especially to extra</w:t>
            </w:r>
            <w:r w:rsidR="00813B85">
              <w:rPr>
                <w:lang w:eastAsia="en-US"/>
              </w:rPr>
              <w:t>polation to IBD in that regard.</w:t>
            </w:r>
          </w:p>
          <w:p w14:paraId="62B00F3D" w14:textId="77777777" w:rsidR="007C0FDC" w:rsidRPr="00A936DE" w:rsidRDefault="007C0FDC" w:rsidP="00062A40">
            <w:pPr>
              <w:pStyle w:val="ListBullet"/>
            </w:pPr>
            <w:r w:rsidRPr="00A936DE">
              <w:lastRenderedPageBreak/>
              <w:t>The dosing regimen used in the clinical studies was within the recommended dose range for all approved reference product adult indications.</w:t>
            </w:r>
          </w:p>
          <w:p w14:paraId="17458DD9" w14:textId="46308DA5" w:rsidR="007C0FDC" w:rsidRPr="00062A40" w:rsidRDefault="007C0FDC" w:rsidP="00062A40">
            <w:pPr>
              <w:rPr>
                <w:i/>
              </w:rPr>
            </w:pPr>
            <w:r w:rsidRPr="00062A40">
              <w:rPr>
                <w:i/>
              </w:rPr>
              <w:t>Uncertainties</w:t>
            </w:r>
            <w:r w:rsidR="00A936DE">
              <w:rPr>
                <w:i/>
              </w:rPr>
              <w:t>:</w:t>
            </w:r>
          </w:p>
          <w:p w14:paraId="625F8CE1" w14:textId="77777777" w:rsidR="007C0FDC" w:rsidRPr="00A936DE" w:rsidRDefault="007C0FDC" w:rsidP="00062A40">
            <w:pPr>
              <w:pStyle w:val="ListBullet"/>
            </w:pPr>
            <w:r w:rsidRPr="00A936DE">
              <w:t>Not all indications were investigated.</w:t>
            </w:r>
          </w:p>
          <w:p w14:paraId="06AC85C8" w14:textId="77777777" w:rsidR="007C0FDC" w:rsidRPr="00A936DE" w:rsidRDefault="007C0FDC" w:rsidP="00062A40">
            <w:pPr>
              <w:pStyle w:val="ListBullet"/>
            </w:pPr>
            <w:r w:rsidRPr="00A936DE">
              <w:t>The IBD indications may differ with regard to mechanism of action: The arthritis and psoriasis indications use the Fab region, whereas the Fc region may have a greater role in the IBD indications.</w:t>
            </w:r>
          </w:p>
          <w:p w14:paraId="23950EAB" w14:textId="77777777" w:rsidR="007C0FDC" w:rsidRPr="008F78EA" w:rsidRDefault="007C0FDC" w:rsidP="00062A40">
            <w:pPr>
              <w:pStyle w:val="ListBullet"/>
            </w:pPr>
            <w:r w:rsidRPr="00A936DE">
              <w:t>The dosing regimen used in the clinical studies differed from the approved reference product</w:t>
            </w:r>
            <w:r w:rsidRPr="008F78EA">
              <w:t xml:space="preserve"> paediatric indications.</w:t>
            </w:r>
          </w:p>
          <w:p w14:paraId="286074C3" w14:textId="77777777" w:rsidR="007C0FDC" w:rsidRPr="00A936DE" w:rsidRDefault="007C0FDC" w:rsidP="00062A40">
            <w:pPr>
              <w:pStyle w:val="ListBullet"/>
            </w:pPr>
            <w:r w:rsidRPr="00A936DE">
              <w:t>Malignancies (in particular lymphoma) have been associated with children and adolescents treated with TNF-α antagonists including adalimumab.</w:t>
            </w:r>
          </w:p>
        </w:tc>
      </w:tr>
    </w:tbl>
    <w:p w14:paraId="2CA00CB7" w14:textId="5CC36FF7" w:rsidR="007C0FDC" w:rsidRDefault="007C0FDC" w:rsidP="00813B85">
      <w:pPr>
        <w:pStyle w:val="Heading3"/>
      </w:pPr>
      <w:bookmarkStart w:id="415" w:name="_Toc236802596"/>
      <w:bookmarkStart w:id="416" w:name="_Toc241374334"/>
      <w:bookmarkStart w:id="417" w:name="_Ref272160964"/>
      <w:bookmarkStart w:id="418" w:name="_Toc272414694"/>
      <w:bookmarkStart w:id="419" w:name="_Toc290888558"/>
      <w:bookmarkStart w:id="420" w:name="_Toc416353773"/>
      <w:bookmarkStart w:id="421" w:name="_Toc421005315"/>
      <w:bookmarkStart w:id="422" w:name="_Toc432079186"/>
      <w:bookmarkStart w:id="423" w:name="_Toc432080759"/>
      <w:bookmarkStart w:id="424" w:name="_Toc470272310"/>
      <w:bookmarkStart w:id="425" w:name="_Toc509822419"/>
      <w:r w:rsidRPr="00813B85">
        <w:lastRenderedPageBreak/>
        <w:t>First</w:t>
      </w:r>
      <w:r w:rsidRPr="000D5752">
        <w:t xml:space="preserve"> round assessment of risks</w:t>
      </w:r>
      <w:bookmarkEnd w:id="415"/>
      <w:bookmarkEnd w:id="416"/>
      <w:bookmarkEnd w:id="417"/>
      <w:bookmarkEnd w:id="418"/>
      <w:bookmarkEnd w:id="419"/>
      <w:bookmarkEnd w:id="420"/>
      <w:bookmarkEnd w:id="421"/>
      <w:bookmarkEnd w:id="422"/>
      <w:bookmarkEnd w:id="423"/>
      <w:bookmarkEnd w:id="424"/>
      <w:bookmarkEnd w:id="425"/>
    </w:p>
    <w:tbl>
      <w:tblPr>
        <w:tblStyle w:val="TableGrid"/>
        <w:tblW w:w="0" w:type="auto"/>
        <w:tblInd w:w="108" w:type="dxa"/>
        <w:tblLook w:val="04A0" w:firstRow="1" w:lastRow="0" w:firstColumn="1" w:lastColumn="0" w:noHBand="0" w:noVBand="1"/>
      </w:tblPr>
      <w:tblGrid>
        <w:gridCol w:w="2694"/>
        <w:gridCol w:w="6095"/>
      </w:tblGrid>
      <w:tr w:rsidR="007C0FDC" w:rsidRPr="00C37A1D" w14:paraId="4EAD04B5" w14:textId="77777777" w:rsidTr="002E64CE">
        <w:trPr>
          <w:tblHeader/>
        </w:trPr>
        <w:tc>
          <w:tcPr>
            <w:tcW w:w="2694" w:type="dxa"/>
            <w:shd w:val="clear" w:color="auto" w:fill="006DA7" w:themeFill="accent3"/>
          </w:tcPr>
          <w:p w14:paraId="131481CE" w14:textId="77777777" w:rsidR="007C0FDC" w:rsidRPr="0013182D" w:rsidRDefault="007C0FDC" w:rsidP="002E64CE">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6095" w:type="dxa"/>
            <w:shd w:val="clear" w:color="auto" w:fill="006DA7" w:themeFill="accent3"/>
          </w:tcPr>
          <w:p w14:paraId="14C46D97" w14:textId="77777777" w:rsidR="007C0FDC" w:rsidRPr="0013182D" w:rsidRDefault="007C0FDC" w:rsidP="002E64C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7C0FDC" w:rsidRPr="007E37CC" w14:paraId="3AE7AB7D" w14:textId="77777777" w:rsidTr="002E64CE">
        <w:tc>
          <w:tcPr>
            <w:tcW w:w="2694" w:type="dxa"/>
          </w:tcPr>
          <w:p w14:paraId="5E9A7F33" w14:textId="77777777" w:rsidR="007C0FDC" w:rsidRPr="00A936DE" w:rsidRDefault="007C0FDC" w:rsidP="00A936DE">
            <w:r w:rsidRPr="00A936DE">
              <w:t>Concerns that efficacy and safety are not equivalent to the reference product in a real world setting</w:t>
            </w:r>
          </w:p>
        </w:tc>
        <w:tc>
          <w:tcPr>
            <w:tcW w:w="6095" w:type="dxa"/>
          </w:tcPr>
          <w:p w14:paraId="680EB37F" w14:textId="4FB6D745" w:rsidR="007C0FDC" w:rsidRPr="00062A40" w:rsidRDefault="007C0FDC" w:rsidP="00062A40">
            <w:r w:rsidRPr="00062A40">
              <w:t>Strengths</w:t>
            </w:r>
            <w:r w:rsidR="00A936DE">
              <w:t>:</w:t>
            </w:r>
          </w:p>
          <w:p w14:paraId="17090587" w14:textId="77777777" w:rsidR="007C0FDC" w:rsidRPr="00A936DE" w:rsidRDefault="007C0FDC" w:rsidP="00062A40">
            <w:pPr>
              <w:pStyle w:val="ListBullet"/>
            </w:pPr>
            <w:r w:rsidRPr="00A936DE">
              <w:t>The clinical studies provided robust efficacy and safety data in the target indications.</w:t>
            </w:r>
          </w:p>
          <w:p w14:paraId="5025BF38" w14:textId="77777777" w:rsidR="007C0FDC" w:rsidRPr="008F78EA" w:rsidRDefault="007C0FDC" w:rsidP="00062A40">
            <w:pPr>
              <w:pStyle w:val="ListBullet"/>
            </w:pPr>
            <w:r w:rsidRPr="00A936DE">
              <w:t>Appropriate pharmacovigilance and risk minimisation measures should b</w:t>
            </w:r>
            <w:r w:rsidRPr="008F78EA">
              <w:t>e implemented to detect, monitor and mitigate the risks.</w:t>
            </w:r>
          </w:p>
          <w:p w14:paraId="5325A381" w14:textId="346D5439" w:rsidR="007C0FDC" w:rsidRPr="00062A40" w:rsidRDefault="007C0FDC" w:rsidP="00062A40">
            <w:r w:rsidRPr="00062A40">
              <w:t>Uncertainties</w:t>
            </w:r>
            <w:r w:rsidR="00A936DE">
              <w:t>:</w:t>
            </w:r>
          </w:p>
          <w:p w14:paraId="65FE75BC" w14:textId="77777777" w:rsidR="007C0FDC" w:rsidRPr="00062A40" w:rsidRDefault="007C0FDC" w:rsidP="00062A40">
            <w:pPr>
              <w:pStyle w:val="ListBullet"/>
            </w:pPr>
            <w:r w:rsidRPr="00A936DE">
              <w:t>The clinical studies were not powered to detect more rare adverse events.</w:t>
            </w:r>
          </w:p>
          <w:p w14:paraId="6DF7A062" w14:textId="77777777" w:rsidR="007C0FDC" w:rsidRPr="00062A40" w:rsidRDefault="007C0FDC" w:rsidP="00062A40">
            <w:pPr>
              <w:pStyle w:val="ListBullet"/>
            </w:pPr>
            <w:r w:rsidRPr="00A936DE">
              <w:t>Uncertainties remain with regard to extrapolation to IBD and paediatric indications.</w:t>
            </w:r>
          </w:p>
          <w:p w14:paraId="4FD0CFCE" w14:textId="77777777" w:rsidR="007C0FDC" w:rsidRPr="00A936DE" w:rsidRDefault="007C0FDC" w:rsidP="00062A40">
            <w:pPr>
              <w:pStyle w:val="ListBullet"/>
            </w:pPr>
            <w:r w:rsidRPr="00A936DE">
              <w:t>No data beyond 52 weeks are available.</w:t>
            </w:r>
          </w:p>
          <w:p w14:paraId="18C0E396" w14:textId="77777777" w:rsidR="007C0FDC" w:rsidRPr="00A936DE" w:rsidRDefault="007C0FDC" w:rsidP="00062A40">
            <w:pPr>
              <w:pStyle w:val="ListBullet"/>
            </w:pPr>
            <w:r w:rsidRPr="00A936DE">
              <w:t>Other unknown risks not detected in the provided studies, including loss of efficacy or new emerging safety signals.</w:t>
            </w:r>
          </w:p>
        </w:tc>
      </w:tr>
    </w:tbl>
    <w:p w14:paraId="64AAA483" w14:textId="77777777" w:rsidR="007C0FDC" w:rsidRPr="00545B14" w:rsidRDefault="007C0FDC" w:rsidP="0037195F">
      <w:pPr>
        <w:pStyle w:val="Heading3"/>
      </w:pPr>
      <w:bookmarkStart w:id="426" w:name="_Toc236802597"/>
      <w:bookmarkStart w:id="427" w:name="_Toc241374335"/>
      <w:bookmarkStart w:id="428" w:name="_Toc272414695"/>
      <w:bookmarkStart w:id="429" w:name="_Toc290888559"/>
      <w:bookmarkStart w:id="430" w:name="_Toc416353775"/>
      <w:bookmarkStart w:id="431" w:name="_Toc421005316"/>
      <w:bookmarkStart w:id="432" w:name="_Toc432079187"/>
      <w:bookmarkStart w:id="433" w:name="_Toc432080760"/>
      <w:bookmarkStart w:id="434" w:name="_Toc470272311"/>
      <w:bookmarkStart w:id="435" w:name="_Toc509822420"/>
      <w:r w:rsidRPr="00545B14">
        <w:t xml:space="preserve">First </w:t>
      </w:r>
      <w:r w:rsidRPr="0037195F">
        <w:t>round</w:t>
      </w:r>
      <w:r w:rsidRPr="00545B14">
        <w:t xml:space="preserve"> assessment of benefit-risk</w:t>
      </w:r>
      <w:bookmarkEnd w:id="426"/>
      <w:bookmarkEnd w:id="427"/>
      <w:bookmarkEnd w:id="428"/>
      <w:bookmarkEnd w:id="429"/>
      <w:bookmarkEnd w:id="430"/>
      <w:bookmarkEnd w:id="431"/>
      <w:r>
        <w:t xml:space="preserve"> balance</w:t>
      </w:r>
      <w:bookmarkEnd w:id="432"/>
      <w:bookmarkEnd w:id="433"/>
      <w:bookmarkEnd w:id="434"/>
      <w:bookmarkEnd w:id="435"/>
    </w:p>
    <w:p w14:paraId="01762816" w14:textId="77777777" w:rsidR="007C0FDC" w:rsidRDefault="007C0FDC" w:rsidP="007C0FDC">
      <w:pPr>
        <w:rPr>
          <w:lang w:eastAsia="ja-JP"/>
        </w:rPr>
      </w:pPr>
      <w:r>
        <w:rPr>
          <w:lang w:eastAsia="ja-JP"/>
        </w:rPr>
        <w:t>Overall, the benefit-risk balance of Amgevita (adalimumab, ABP 501) for the proposed usage is favourable. This assessment is based on the clinical data evaluated from a clinical point of view. The assessment was made by weighing up the risks and benefits as outlined in this evaluation report and summarised in the previous section. However, the favourable assessment is dependent on the satisfactory response to the evaluator questions, the agreement to implement an appropriate risk management plan, and a favourable assessment by the quality, toxicology, and RMP evaluators.</w:t>
      </w:r>
    </w:p>
    <w:p w14:paraId="2CEC7616" w14:textId="77777777" w:rsidR="007C0FDC" w:rsidRDefault="007C0FDC" w:rsidP="0037195F">
      <w:pPr>
        <w:pStyle w:val="Heading2"/>
      </w:pPr>
      <w:bookmarkStart w:id="436" w:name="_Toc470272312"/>
      <w:bookmarkStart w:id="437" w:name="_Toc509822421"/>
      <w:r>
        <w:lastRenderedPageBreak/>
        <w:t xml:space="preserve">First </w:t>
      </w:r>
      <w:r w:rsidRPr="0037195F">
        <w:t>round</w:t>
      </w:r>
      <w:r>
        <w:t xml:space="preserve"> recommendation regarding authorisation</w:t>
      </w:r>
      <w:bookmarkEnd w:id="436"/>
      <w:bookmarkEnd w:id="437"/>
    </w:p>
    <w:p w14:paraId="067AF646" w14:textId="77777777" w:rsidR="007C0FDC" w:rsidRDefault="007C0FDC" w:rsidP="00062A40">
      <w:pPr>
        <w:keepNext/>
        <w:rPr>
          <w:lang w:eastAsia="ja-JP"/>
        </w:rPr>
      </w:pPr>
      <w:r>
        <w:rPr>
          <w:lang w:eastAsia="ja-JP"/>
        </w:rPr>
        <w:t>Approval of Amgevita (adalimumab, ABP 501) is recommended for the following indications (as per proposed Amgevita product information):</w:t>
      </w:r>
    </w:p>
    <w:p w14:paraId="364696F6" w14:textId="1DEBBDA4" w:rsidR="007C0FDC" w:rsidRPr="00A936DE" w:rsidRDefault="00A936DE" w:rsidP="00062A40">
      <w:pPr>
        <w:keepNext/>
        <w:spacing w:line="240" w:lineRule="auto"/>
        <w:ind w:left="720"/>
        <w:rPr>
          <w:i/>
          <w:u w:val="single"/>
          <w:lang w:eastAsia="ja-JP"/>
        </w:rPr>
      </w:pPr>
      <w:r>
        <w:rPr>
          <w:i/>
          <w:lang w:eastAsia="ja-JP"/>
        </w:rPr>
        <w:t>‘</w:t>
      </w:r>
      <w:r w:rsidR="007C0FDC" w:rsidRPr="00A936DE">
        <w:rPr>
          <w:i/>
          <w:u w:val="single"/>
          <w:lang w:eastAsia="ja-JP"/>
        </w:rPr>
        <w:t>Rheumatoid Arthritis</w:t>
      </w:r>
    </w:p>
    <w:p w14:paraId="4D1A2E0D" w14:textId="77777777" w:rsidR="007C0FDC" w:rsidRPr="00246886" w:rsidRDefault="007C0FDC" w:rsidP="00062A40">
      <w:pPr>
        <w:keepNext/>
        <w:spacing w:line="240" w:lineRule="auto"/>
        <w:ind w:left="720"/>
        <w:rPr>
          <w:i/>
          <w:lang w:eastAsia="ja-JP"/>
        </w:rPr>
      </w:pPr>
      <w:r>
        <w:rPr>
          <w:i/>
          <w:lang w:eastAsia="ja-JP"/>
        </w:rPr>
        <w:t>Amgevita</w:t>
      </w:r>
      <w:r w:rsidRPr="00246886">
        <w:rPr>
          <w:i/>
          <w:lang w:eastAsia="ja-JP"/>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0065803E"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can be used alone or in combination with methotrexate.</w:t>
      </w:r>
    </w:p>
    <w:p w14:paraId="50F583FE" w14:textId="77777777" w:rsidR="007C0FDC" w:rsidRPr="00246886" w:rsidRDefault="007C0FDC" w:rsidP="007C0FDC">
      <w:pPr>
        <w:spacing w:line="240" w:lineRule="auto"/>
        <w:ind w:left="720"/>
        <w:rPr>
          <w:i/>
          <w:u w:val="single"/>
          <w:lang w:eastAsia="ja-JP"/>
        </w:rPr>
      </w:pPr>
      <w:r w:rsidRPr="00246886">
        <w:rPr>
          <w:i/>
          <w:u w:val="single"/>
          <w:lang w:eastAsia="ja-JP"/>
        </w:rPr>
        <w:t>Polyarticular Juvenile Idiopathic Arthritis</w:t>
      </w:r>
    </w:p>
    <w:p w14:paraId="75D58D53"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r>
        <w:rPr>
          <w:i/>
          <w:lang w:eastAsia="ja-JP"/>
        </w:rPr>
        <w:t>Amgevita</w:t>
      </w:r>
      <w:r w:rsidRPr="00246886">
        <w:rPr>
          <w:i/>
          <w:lang w:eastAsia="ja-JP"/>
        </w:rPr>
        <w:t xml:space="preserve"> can be given as monotherapy in case of intolerance to methotrexate or when continued treatment with methotrexate is inappropriate.</w:t>
      </w:r>
    </w:p>
    <w:p w14:paraId="1C9BA084" w14:textId="77777777" w:rsidR="007C0FDC" w:rsidRPr="00246886" w:rsidRDefault="007C0FDC" w:rsidP="007C0FDC">
      <w:pPr>
        <w:spacing w:line="240" w:lineRule="auto"/>
        <w:ind w:left="720"/>
        <w:rPr>
          <w:i/>
          <w:u w:val="single"/>
          <w:lang w:eastAsia="ja-JP"/>
        </w:rPr>
      </w:pPr>
      <w:r w:rsidRPr="00246886">
        <w:rPr>
          <w:i/>
          <w:u w:val="single"/>
          <w:lang w:eastAsia="ja-JP"/>
        </w:rPr>
        <w:t>Psoriatic Arthritis</w:t>
      </w:r>
    </w:p>
    <w:p w14:paraId="1969A912"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0587C519" w14:textId="77777777" w:rsidR="007C0FDC" w:rsidRPr="00246886" w:rsidRDefault="007C0FDC" w:rsidP="007C0FDC">
      <w:pPr>
        <w:spacing w:line="240" w:lineRule="auto"/>
        <w:ind w:left="720"/>
        <w:rPr>
          <w:i/>
          <w:u w:val="single"/>
          <w:lang w:eastAsia="ja-JP"/>
        </w:rPr>
      </w:pPr>
      <w:r w:rsidRPr="00246886">
        <w:rPr>
          <w:i/>
          <w:u w:val="single"/>
          <w:lang w:eastAsia="ja-JP"/>
        </w:rPr>
        <w:t>Ankylosing Spondylitis</w:t>
      </w:r>
    </w:p>
    <w:p w14:paraId="44A11457"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reducing signs and symptoms in patients with active ankylosing spondylitis.</w:t>
      </w:r>
    </w:p>
    <w:p w14:paraId="729639A6" w14:textId="77777777" w:rsidR="007C0FDC" w:rsidRPr="00246886" w:rsidRDefault="007C0FDC" w:rsidP="007C0FDC">
      <w:pPr>
        <w:spacing w:line="240" w:lineRule="auto"/>
        <w:ind w:left="720"/>
        <w:rPr>
          <w:i/>
          <w:u w:val="single"/>
          <w:lang w:eastAsia="ja-JP"/>
        </w:rPr>
      </w:pPr>
      <w:r w:rsidRPr="00246886">
        <w:rPr>
          <w:i/>
          <w:u w:val="single"/>
          <w:lang w:eastAsia="ja-JP"/>
        </w:rPr>
        <w:t>Crohn’s Disease in Adults and Children (≥6 years)</w:t>
      </w:r>
    </w:p>
    <w:p w14:paraId="082E92AA"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Crohn’s disease, to reduce the signs and symptoms of the disease and to induce and maintain clinical remission in patients;</w:t>
      </w:r>
    </w:p>
    <w:p w14:paraId="7DBD32E2" w14:textId="7476ED62" w:rsidR="007C0FDC" w:rsidRPr="0037195F" w:rsidRDefault="007C0FDC" w:rsidP="0037195F">
      <w:pPr>
        <w:pStyle w:val="ListBullet"/>
        <w:ind w:left="1134"/>
        <w:rPr>
          <w:i/>
          <w:lang w:eastAsia="ja-JP"/>
        </w:rPr>
      </w:pPr>
      <w:r w:rsidRPr="0037195F">
        <w:rPr>
          <w:i/>
          <w:lang w:eastAsia="ja-JP"/>
        </w:rPr>
        <w:t>who have had an inadequate response to conventional therapies or,</w:t>
      </w:r>
    </w:p>
    <w:p w14:paraId="5E5611F8" w14:textId="6F4CDF79" w:rsidR="007C0FDC" w:rsidRPr="0037195F" w:rsidRDefault="007C0FDC" w:rsidP="0037195F">
      <w:pPr>
        <w:pStyle w:val="ListBullet"/>
        <w:ind w:left="1134"/>
        <w:rPr>
          <w:i/>
          <w:lang w:eastAsia="ja-JP"/>
        </w:rPr>
      </w:pPr>
      <w:proofErr w:type="gramStart"/>
      <w:r w:rsidRPr="0037195F">
        <w:rPr>
          <w:i/>
          <w:lang w:eastAsia="ja-JP"/>
        </w:rPr>
        <w:t>who</w:t>
      </w:r>
      <w:proofErr w:type="gramEnd"/>
      <w:r w:rsidRPr="0037195F">
        <w:rPr>
          <w:i/>
          <w:lang w:eastAsia="ja-JP"/>
        </w:rPr>
        <w:t xml:space="preserve"> have lost response to or are intolerant of infliximab.</w:t>
      </w:r>
    </w:p>
    <w:p w14:paraId="26FC3954" w14:textId="77777777" w:rsidR="007C0FDC" w:rsidRPr="00246886" w:rsidRDefault="007C0FDC" w:rsidP="007C0FDC">
      <w:pPr>
        <w:spacing w:line="240" w:lineRule="auto"/>
        <w:ind w:left="720"/>
        <w:rPr>
          <w:i/>
          <w:u w:val="single"/>
          <w:lang w:eastAsia="ja-JP"/>
        </w:rPr>
      </w:pPr>
      <w:r w:rsidRPr="00246886">
        <w:rPr>
          <w:i/>
          <w:u w:val="single"/>
          <w:lang w:eastAsia="ja-JP"/>
        </w:rPr>
        <w:t>Ulcerative colitis</w:t>
      </w:r>
    </w:p>
    <w:p w14:paraId="35300403" w14:textId="636BD2CD"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w:t>
      </w:r>
      <w:r w:rsidR="00A936DE" w:rsidRPr="00246886">
        <w:rPr>
          <w:i/>
          <w:lang w:eastAsia="ja-JP"/>
        </w:rPr>
        <w:t>Clinical Trials</w:t>
      </w:r>
      <w:r w:rsidRPr="00246886">
        <w:rPr>
          <w:i/>
          <w:lang w:eastAsia="ja-JP"/>
        </w:rPr>
        <w:t>).</w:t>
      </w:r>
    </w:p>
    <w:p w14:paraId="0E16BF49" w14:textId="77777777" w:rsidR="007C0FDC" w:rsidRPr="00246886" w:rsidRDefault="007C0FDC" w:rsidP="007C0FDC">
      <w:pPr>
        <w:spacing w:line="240" w:lineRule="auto"/>
        <w:ind w:left="720"/>
        <w:rPr>
          <w:i/>
          <w:u w:val="single"/>
          <w:lang w:eastAsia="ja-JP"/>
        </w:rPr>
      </w:pPr>
      <w:r w:rsidRPr="00246886">
        <w:rPr>
          <w:i/>
          <w:u w:val="single"/>
          <w:lang w:eastAsia="ja-JP"/>
        </w:rPr>
        <w:t>Psoriasis</w:t>
      </w:r>
    </w:p>
    <w:p w14:paraId="19B4FEFB" w14:textId="09DF20FA" w:rsidR="007C0FDC" w:rsidRPr="00EE2C11"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chronic plaque psoriasis in adult patients who are candidates for sy</w:t>
      </w:r>
      <w:r>
        <w:rPr>
          <w:i/>
          <w:lang w:eastAsia="ja-JP"/>
        </w:rPr>
        <w:t>stemic therapy or phototherapy</w:t>
      </w:r>
      <w:r w:rsidR="00A936DE">
        <w:rPr>
          <w:i/>
          <w:lang w:eastAsia="ja-JP"/>
        </w:rPr>
        <w:t>’</w:t>
      </w:r>
      <w:r>
        <w:rPr>
          <w:i/>
          <w:lang w:eastAsia="ja-JP"/>
        </w:rPr>
        <w:t>.</w:t>
      </w:r>
    </w:p>
    <w:p w14:paraId="4FA6A425" w14:textId="77777777" w:rsidR="007C0FDC" w:rsidRDefault="007C0FDC" w:rsidP="007C0FDC">
      <w:pPr>
        <w:rPr>
          <w:lang w:eastAsia="ja-JP"/>
        </w:rPr>
      </w:pPr>
      <w:r>
        <w:rPr>
          <w:lang w:eastAsia="ja-JP"/>
        </w:rPr>
        <w:t>However, the approval recommendation is dependent on the satisfactory response to the evaluator questions, the agreement to implement an appropriate risk management plan, and a favourable assessment by the quality, toxicology, and RMP evaluators.</w:t>
      </w:r>
    </w:p>
    <w:p w14:paraId="46F40BCA" w14:textId="77777777" w:rsidR="007C0FDC" w:rsidRDefault="007C0FDC" w:rsidP="007C0FDC">
      <w:pPr>
        <w:rPr>
          <w:lang w:eastAsia="ja-JP"/>
        </w:rPr>
      </w:pPr>
      <w:r w:rsidRPr="00333256">
        <w:rPr>
          <w:lang w:eastAsia="ja-JP"/>
        </w:rPr>
        <w:t xml:space="preserve">It is noted the proposed indications for </w:t>
      </w:r>
      <w:r>
        <w:rPr>
          <w:lang w:eastAsia="ja-JP"/>
        </w:rPr>
        <w:t>Amgevita</w:t>
      </w:r>
      <w:r w:rsidRPr="00333256">
        <w:rPr>
          <w:lang w:eastAsia="ja-JP"/>
        </w:rPr>
        <w:t xml:space="preserve"> do not include hidradenitis suppurativa. Hidradenitis suppurativa was added as an indication for the reference product </w:t>
      </w:r>
      <w:r>
        <w:rPr>
          <w:lang w:eastAsia="ja-JP"/>
        </w:rPr>
        <w:t>Humira</w:t>
      </w:r>
      <w:r w:rsidRPr="00333256">
        <w:rPr>
          <w:lang w:eastAsia="ja-JP"/>
        </w:rPr>
        <w:t xml:space="preserve"> </w:t>
      </w:r>
      <w:r w:rsidRPr="00333256">
        <w:rPr>
          <w:lang w:eastAsia="ja-JP"/>
        </w:rPr>
        <w:lastRenderedPageBreak/>
        <w:t>(approved on 6 April 2016).</w:t>
      </w:r>
      <w:r>
        <w:rPr>
          <w:lang w:eastAsia="ja-JP"/>
        </w:rPr>
        <w:t xml:space="preserve"> The addition of </w:t>
      </w:r>
      <w:r w:rsidRPr="00333256">
        <w:rPr>
          <w:lang w:eastAsia="ja-JP"/>
        </w:rPr>
        <w:t>hidradenitis suppurativa</w:t>
      </w:r>
      <w:r>
        <w:rPr>
          <w:lang w:eastAsia="ja-JP"/>
        </w:rPr>
        <w:t xml:space="preserve"> is also supported by the evaluator, that is, the following:</w:t>
      </w:r>
    </w:p>
    <w:p w14:paraId="1B7510E3" w14:textId="67D247E5" w:rsidR="007C0FDC" w:rsidRPr="00333256" w:rsidRDefault="00A936DE" w:rsidP="007C0FDC">
      <w:pPr>
        <w:ind w:left="720"/>
        <w:rPr>
          <w:i/>
          <w:u w:val="single"/>
          <w:lang w:eastAsia="ja-JP"/>
        </w:rPr>
      </w:pPr>
      <w:r>
        <w:rPr>
          <w:i/>
          <w:u w:val="single"/>
          <w:lang w:eastAsia="ja-JP"/>
        </w:rPr>
        <w:t>‘</w:t>
      </w:r>
      <w:r w:rsidR="007C0FDC" w:rsidRPr="00333256">
        <w:rPr>
          <w:i/>
          <w:u w:val="single"/>
          <w:lang w:eastAsia="ja-JP"/>
        </w:rPr>
        <w:t>Hidradenitis Suppurativa</w:t>
      </w:r>
    </w:p>
    <w:p w14:paraId="75159965" w14:textId="439BDDEC" w:rsidR="007C0FDC" w:rsidRPr="00F5324D" w:rsidRDefault="007C0FDC" w:rsidP="007C0FDC">
      <w:pPr>
        <w:ind w:left="720"/>
        <w:rPr>
          <w:i/>
          <w:lang w:eastAsia="ja-JP"/>
        </w:rPr>
      </w:pPr>
      <w:r>
        <w:rPr>
          <w:i/>
          <w:lang w:eastAsia="ja-JP"/>
        </w:rPr>
        <w:t>Amgevita</w:t>
      </w:r>
      <w:r w:rsidRPr="00333256">
        <w:rPr>
          <w:i/>
          <w:lang w:eastAsia="ja-JP"/>
        </w:rPr>
        <w:t xml:space="preserve"> is indicated for the treatment of active moderate to severe hidradenitis suppurativa (acne inversa) in adult patients with an inadequate response to conventional systemic hi</w:t>
      </w:r>
      <w:r>
        <w:rPr>
          <w:i/>
          <w:lang w:eastAsia="ja-JP"/>
        </w:rPr>
        <w:t>dradenitis suppurativa therapy</w:t>
      </w:r>
      <w:r w:rsidR="00A936DE">
        <w:rPr>
          <w:i/>
          <w:lang w:eastAsia="ja-JP"/>
        </w:rPr>
        <w:t>’</w:t>
      </w:r>
      <w:r>
        <w:rPr>
          <w:i/>
          <w:lang w:eastAsia="ja-JP"/>
        </w:rPr>
        <w:t>.</w:t>
      </w:r>
    </w:p>
    <w:p w14:paraId="58AABC17" w14:textId="77777777" w:rsidR="007C0FDC" w:rsidRDefault="007C0FDC" w:rsidP="007C0FDC">
      <w:pPr>
        <w:pStyle w:val="Heading2"/>
        <w:numPr>
          <w:ilvl w:val="0"/>
          <w:numId w:val="5"/>
        </w:numPr>
      </w:pPr>
      <w:bookmarkStart w:id="438" w:name="_Toc470272317"/>
      <w:bookmarkStart w:id="439" w:name="_Toc509822422"/>
      <w:r>
        <w:t>Clinical questions</w:t>
      </w:r>
      <w:bookmarkEnd w:id="438"/>
      <w:bookmarkEnd w:id="439"/>
    </w:p>
    <w:p w14:paraId="28FE96B3" w14:textId="77777777" w:rsidR="007C0FDC" w:rsidRPr="00E01445" w:rsidRDefault="007C0FDC" w:rsidP="00B22D85">
      <w:pPr>
        <w:pStyle w:val="Heading3"/>
      </w:pPr>
      <w:bookmarkStart w:id="440" w:name="_Toc272414702"/>
      <w:bookmarkStart w:id="441" w:name="_Toc290888568"/>
      <w:bookmarkStart w:id="442" w:name="_Toc416353784"/>
      <w:bookmarkStart w:id="443" w:name="_Toc421005324"/>
      <w:bookmarkStart w:id="444" w:name="_Toc432079195"/>
      <w:bookmarkStart w:id="445" w:name="_Toc432080768"/>
      <w:bookmarkStart w:id="446" w:name="_Toc509822423"/>
      <w:r w:rsidRPr="00B22D85">
        <w:t>Pharmacokinetics</w:t>
      </w:r>
      <w:bookmarkEnd w:id="440"/>
      <w:bookmarkEnd w:id="441"/>
      <w:bookmarkEnd w:id="442"/>
      <w:bookmarkEnd w:id="443"/>
      <w:bookmarkEnd w:id="444"/>
      <w:bookmarkEnd w:id="445"/>
      <w:bookmarkEnd w:id="446"/>
    </w:p>
    <w:p w14:paraId="49E80A6C" w14:textId="77777777" w:rsidR="007C0FDC" w:rsidRDefault="007C0FDC" w:rsidP="007C0FDC">
      <w:pPr>
        <w:rPr>
          <w:lang w:eastAsia="ja-JP"/>
        </w:rPr>
      </w:pPr>
      <w:bookmarkStart w:id="447" w:name="_Toc272414703"/>
      <w:bookmarkStart w:id="448" w:name="_Toc290888569"/>
      <w:bookmarkStart w:id="449" w:name="_Toc416353785"/>
      <w:bookmarkStart w:id="450" w:name="_Toc421005325"/>
      <w:bookmarkStart w:id="451" w:name="_Toc432079196"/>
      <w:bookmarkStart w:id="452" w:name="_Toc432080769"/>
      <w:r>
        <w:rPr>
          <w:lang w:eastAsia="ja-JP"/>
        </w:rPr>
        <w:t>No questions.</w:t>
      </w:r>
    </w:p>
    <w:p w14:paraId="65E4B051" w14:textId="77777777" w:rsidR="007C0FDC" w:rsidRPr="00E01445" w:rsidRDefault="007C0FDC" w:rsidP="00B22D85">
      <w:pPr>
        <w:pStyle w:val="Heading3"/>
      </w:pPr>
      <w:bookmarkStart w:id="453" w:name="_Toc509822424"/>
      <w:r w:rsidRPr="00B22D85">
        <w:t>Pharmacodynamics</w:t>
      </w:r>
      <w:bookmarkEnd w:id="447"/>
      <w:bookmarkEnd w:id="448"/>
      <w:bookmarkEnd w:id="449"/>
      <w:bookmarkEnd w:id="450"/>
      <w:bookmarkEnd w:id="451"/>
      <w:bookmarkEnd w:id="452"/>
      <w:bookmarkEnd w:id="453"/>
    </w:p>
    <w:p w14:paraId="114D0086" w14:textId="77777777" w:rsidR="007C0FDC" w:rsidRDefault="007C0FDC" w:rsidP="007C0FDC">
      <w:pPr>
        <w:rPr>
          <w:lang w:eastAsia="ja-JP"/>
        </w:rPr>
      </w:pPr>
      <w:bookmarkStart w:id="454" w:name="_Toc272414704"/>
      <w:bookmarkStart w:id="455" w:name="_Toc290888570"/>
      <w:bookmarkStart w:id="456" w:name="_Toc416353786"/>
      <w:bookmarkStart w:id="457" w:name="_Toc421005326"/>
      <w:bookmarkStart w:id="458" w:name="_Toc432079197"/>
      <w:bookmarkStart w:id="459" w:name="_Toc432080770"/>
      <w:r>
        <w:rPr>
          <w:lang w:eastAsia="ja-JP"/>
        </w:rPr>
        <w:t>Not applicable.</w:t>
      </w:r>
    </w:p>
    <w:p w14:paraId="5219DA23" w14:textId="77777777" w:rsidR="007C0FDC" w:rsidRPr="00E01445" w:rsidRDefault="007C0FDC" w:rsidP="00B22D85">
      <w:pPr>
        <w:pStyle w:val="Heading3"/>
      </w:pPr>
      <w:bookmarkStart w:id="460" w:name="_Toc509822425"/>
      <w:r w:rsidRPr="00B22D85">
        <w:t>Efficacy</w:t>
      </w:r>
      <w:bookmarkEnd w:id="454"/>
      <w:bookmarkEnd w:id="455"/>
      <w:bookmarkEnd w:id="456"/>
      <w:bookmarkEnd w:id="457"/>
      <w:bookmarkEnd w:id="458"/>
      <w:bookmarkEnd w:id="459"/>
      <w:bookmarkEnd w:id="460"/>
    </w:p>
    <w:p w14:paraId="44D2592A" w14:textId="77777777" w:rsidR="007C0FDC" w:rsidRDefault="007C0FDC" w:rsidP="00B22D85">
      <w:pPr>
        <w:pStyle w:val="Numberbullet0"/>
        <w:rPr>
          <w:lang w:eastAsia="ja-JP"/>
        </w:rPr>
      </w:pPr>
      <w:bookmarkStart w:id="461" w:name="_Toc272414705"/>
      <w:bookmarkStart w:id="462" w:name="_Toc290888571"/>
      <w:bookmarkStart w:id="463" w:name="_Toc416353787"/>
      <w:bookmarkStart w:id="464" w:name="_Toc421005327"/>
      <w:bookmarkStart w:id="465" w:name="_Toc432079198"/>
      <w:bookmarkStart w:id="466" w:name="_Toc432080771"/>
      <w:r>
        <w:rPr>
          <w:lang w:eastAsia="ja-JP"/>
        </w:rPr>
        <w:t>In Study 20120262, no r</w:t>
      </w:r>
      <w:r w:rsidRPr="00250BE7">
        <w:rPr>
          <w:lang w:eastAsia="ja-JP"/>
        </w:rPr>
        <w:t xml:space="preserve">adiographic evaluations of joint damage progression </w:t>
      </w:r>
      <w:r>
        <w:rPr>
          <w:lang w:eastAsia="ja-JP"/>
        </w:rPr>
        <w:t xml:space="preserve">(for example, </w:t>
      </w:r>
      <w:r w:rsidRPr="00250BE7">
        <w:rPr>
          <w:lang w:eastAsia="ja-JP"/>
        </w:rPr>
        <w:t xml:space="preserve">using </w:t>
      </w:r>
      <w:r>
        <w:rPr>
          <w:lang w:eastAsia="ja-JP"/>
        </w:rPr>
        <w:t>a</w:t>
      </w:r>
      <w:r w:rsidRPr="00250BE7">
        <w:rPr>
          <w:lang w:eastAsia="ja-JP"/>
        </w:rPr>
        <w:t xml:space="preserve"> Sharp/van der Heij</w:t>
      </w:r>
      <w:r>
        <w:rPr>
          <w:lang w:eastAsia="ja-JP"/>
        </w:rPr>
        <w:t>de score) appear to have been used.</w:t>
      </w:r>
      <w:r w:rsidRPr="00C4057C">
        <w:rPr>
          <w:lang w:eastAsia="ja-JP"/>
        </w:rPr>
        <w:t xml:space="preserve"> </w:t>
      </w:r>
      <w:r w:rsidRPr="00783B86">
        <w:rPr>
          <w:lang w:eastAsia="ja-JP"/>
        </w:rPr>
        <w:t xml:space="preserve">The evaluator was unable to locate any </w:t>
      </w:r>
      <w:r w:rsidRPr="00B22D85">
        <w:t>radiographic</w:t>
      </w:r>
      <w:r>
        <w:rPr>
          <w:lang w:eastAsia="ja-JP"/>
        </w:rPr>
        <w:t xml:space="preserve"> data. Given that the radiographic claims in the Humira PI have been used in the proposed Amgevita PI, relevant data should be provided or a compelling justification be given.</w:t>
      </w:r>
    </w:p>
    <w:p w14:paraId="54B3820A" w14:textId="77777777" w:rsidR="007C0FDC" w:rsidRDefault="007C0FDC" w:rsidP="007C0FDC">
      <w:pPr>
        <w:pStyle w:val="Numberbullet0"/>
        <w:numPr>
          <w:ilvl w:val="0"/>
          <w:numId w:val="8"/>
        </w:numPr>
        <w:ind w:left="425"/>
        <w:rPr>
          <w:lang w:eastAsia="ja-JP"/>
        </w:rPr>
      </w:pPr>
      <w:r>
        <w:rPr>
          <w:lang w:eastAsia="ja-JP"/>
        </w:rPr>
        <w:t>In Study 20120263, t</w:t>
      </w:r>
      <w:r w:rsidRPr="00783B86">
        <w:rPr>
          <w:lang w:eastAsia="ja-JP"/>
        </w:rPr>
        <w:t>he sponsor has conducted appropriate sensitivity analyses with the Per-protocol Analysis Set for the key efficacy endpoints up to Week 16. The evaluator was unable to locate the any per-protocol analyses for data beyond Week 16. The sponsor should provide these per-protocol analyses.</w:t>
      </w:r>
    </w:p>
    <w:p w14:paraId="0590950D" w14:textId="77777777" w:rsidR="007C0FDC" w:rsidRDefault="007C0FDC" w:rsidP="007C0FDC">
      <w:pPr>
        <w:pStyle w:val="Numberbullet0"/>
        <w:numPr>
          <w:ilvl w:val="0"/>
          <w:numId w:val="8"/>
        </w:numPr>
        <w:ind w:left="425"/>
        <w:rPr>
          <w:lang w:eastAsia="ja-JP"/>
        </w:rPr>
      </w:pPr>
      <w:r>
        <w:rPr>
          <w:lang w:eastAsia="ja-JP"/>
        </w:rPr>
        <w:t>The sponsor has not provided a bridging study to link either Humira (US) or Humira (EU) to the Humira product supplied in the Australian market. The sponsor should provide confirmation that one of the Humira reference products tested is identical to the Australian-supplied product.</w:t>
      </w:r>
    </w:p>
    <w:p w14:paraId="16B2B7EA" w14:textId="77777777" w:rsidR="007C0FDC" w:rsidRDefault="007C0FDC" w:rsidP="007C0FDC">
      <w:pPr>
        <w:pStyle w:val="Numberbullet0"/>
        <w:numPr>
          <w:ilvl w:val="0"/>
          <w:numId w:val="8"/>
        </w:numPr>
        <w:ind w:left="425"/>
        <w:rPr>
          <w:lang w:eastAsia="ja-JP"/>
        </w:rPr>
      </w:pPr>
      <w:r w:rsidRPr="002D5350">
        <w:rPr>
          <w:lang w:eastAsia="ja-JP"/>
        </w:rPr>
        <w:t xml:space="preserve">A small literature review of anti-adalimumab antibodies (Hsu </w:t>
      </w:r>
      <w:r w:rsidRPr="002D5350">
        <w:rPr>
          <w:i/>
          <w:lang w:eastAsia="ja-JP"/>
        </w:rPr>
        <w:t>et al</w:t>
      </w:r>
      <w:r w:rsidRPr="002D5350">
        <w:rPr>
          <w:lang w:eastAsia="ja-JP"/>
        </w:rPr>
        <w:t>., 2014) revealed a proportion range of 6–45% of subjects tested which is lower compared to the results of the sponsor’s psoriasis study.</w:t>
      </w:r>
      <w:r>
        <w:rPr>
          <w:lang w:eastAsia="ja-JP"/>
        </w:rPr>
        <w:t xml:space="preserve"> The sponsor should comment on the discrepancy.</w:t>
      </w:r>
    </w:p>
    <w:p w14:paraId="61465B94" w14:textId="77777777" w:rsidR="007C0FDC" w:rsidRPr="00E01445" w:rsidRDefault="007C0FDC" w:rsidP="00B22D85">
      <w:pPr>
        <w:pStyle w:val="Heading3"/>
      </w:pPr>
      <w:bookmarkStart w:id="467" w:name="_Toc509822426"/>
      <w:r w:rsidRPr="00B22D85">
        <w:t>Safety</w:t>
      </w:r>
      <w:bookmarkEnd w:id="461"/>
      <w:bookmarkEnd w:id="462"/>
      <w:bookmarkEnd w:id="463"/>
      <w:bookmarkEnd w:id="464"/>
      <w:bookmarkEnd w:id="465"/>
      <w:bookmarkEnd w:id="466"/>
      <w:bookmarkEnd w:id="467"/>
    </w:p>
    <w:p w14:paraId="63343938" w14:textId="77777777" w:rsidR="007C0FDC" w:rsidRDefault="007C0FDC" w:rsidP="007C0FDC">
      <w:pPr>
        <w:rPr>
          <w:lang w:eastAsia="ja-JP"/>
        </w:rPr>
      </w:pPr>
      <w:r>
        <w:rPr>
          <w:lang w:eastAsia="ja-JP"/>
        </w:rPr>
        <w:t>No questions.</w:t>
      </w:r>
    </w:p>
    <w:p w14:paraId="65840E3B" w14:textId="77777777" w:rsidR="007C0FDC" w:rsidRDefault="007C0FDC" w:rsidP="00B22D85">
      <w:pPr>
        <w:pStyle w:val="Heading2"/>
      </w:pPr>
      <w:bookmarkStart w:id="468" w:name="_Toc470272324"/>
      <w:bookmarkStart w:id="469" w:name="_Toc509822427"/>
      <w:r>
        <w:t xml:space="preserve">Second </w:t>
      </w:r>
      <w:r w:rsidRPr="00B22D85">
        <w:t>round</w:t>
      </w:r>
      <w:r>
        <w:t xml:space="preserve"> evaluation</w:t>
      </w:r>
      <w:bookmarkEnd w:id="468"/>
      <w:bookmarkEnd w:id="469"/>
    </w:p>
    <w:p w14:paraId="5C90FDCE" w14:textId="323415C5" w:rsidR="00A936DE" w:rsidRPr="00A936DE" w:rsidRDefault="007C0FDC" w:rsidP="00B22D85">
      <w:pPr>
        <w:pStyle w:val="Heading3"/>
      </w:pPr>
      <w:bookmarkStart w:id="470" w:name="_Toc509822428"/>
      <w:r w:rsidRPr="00E01445">
        <w:t>Efficacy</w:t>
      </w:r>
      <w:r>
        <w:t xml:space="preserve"> questions </w:t>
      </w:r>
      <w:r w:rsidRPr="00B22D85">
        <w:t>and</w:t>
      </w:r>
      <w:r>
        <w:t xml:space="preserve"> answers</w:t>
      </w:r>
      <w:bookmarkEnd w:id="470"/>
    </w:p>
    <w:p w14:paraId="5154824E" w14:textId="77777777" w:rsidR="007C0FDC" w:rsidRPr="00452D7B" w:rsidRDefault="007C0FDC" w:rsidP="007C0FDC">
      <w:pPr>
        <w:pStyle w:val="Numberbullet0"/>
        <w:numPr>
          <w:ilvl w:val="0"/>
          <w:numId w:val="7"/>
        </w:numPr>
        <w:rPr>
          <w:i/>
          <w:lang w:eastAsia="ja-JP"/>
        </w:rPr>
      </w:pPr>
      <w:r w:rsidRPr="00452D7B">
        <w:rPr>
          <w:i/>
          <w:lang w:eastAsia="ja-JP"/>
        </w:rPr>
        <w:t xml:space="preserve">In Study 20120262, no radiographic evaluations of joint damage progression (for example, using a Sharp/van der Heijde score) appear to have been used. The evaluator was unable to locate any radiographic data. Given that the radiographic claims in the Humira PI have been </w:t>
      </w:r>
      <w:r w:rsidRPr="00452D7B">
        <w:rPr>
          <w:i/>
          <w:lang w:eastAsia="ja-JP"/>
        </w:rPr>
        <w:lastRenderedPageBreak/>
        <w:t>used in the proposed Amgevita PI, relevant data should be provided or a compelling justification be given.</w:t>
      </w:r>
    </w:p>
    <w:p w14:paraId="3217CCB8" w14:textId="5D553CE2" w:rsidR="007C0FDC" w:rsidRPr="00805A90" w:rsidRDefault="007C0FDC" w:rsidP="00805A90">
      <w:pPr>
        <w:pStyle w:val="Heading4"/>
        <w:numPr>
          <w:ilvl w:val="0"/>
          <w:numId w:val="0"/>
        </w:numPr>
        <w:ind w:left="1134" w:hanging="964"/>
        <w:rPr>
          <w:i/>
        </w:rPr>
      </w:pPr>
      <w:r w:rsidRPr="00805A90">
        <w:rPr>
          <w:i/>
        </w:rPr>
        <w:t>Sponsor</w:t>
      </w:r>
      <w:r w:rsidR="00A936DE" w:rsidRPr="00805A90">
        <w:rPr>
          <w:i/>
        </w:rPr>
        <w:t>’s</w:t>
      </w:r>
      <w:r w:rsidRPr="00805A90">
        <w:rPr>
          <w:i/>
        </w:rPr>
        <w:t xml:space="preserve"> respons</w:t>
      </w:r>
      <w:r w:rsidR="00A936DE" w:rsidRPr="00805A90">
        <w:rPr>
          <w:i/>
        </w:rPr>
        <w:t>e</w:t>
      </w:r>
      <w:r w:rsidR="00805A90">
        <w:rPr>
          <w:i/>
        </w:rPr>
        <w:t>:</w:t>
      </w:r>
    </w:p>
    <w:p w14:paraId="56157546" w14:textId="6A401E24" w:rsidR="007C0FDC" w:rsidRPr="00EF7161" w:rsidRDefault="00A936DE" w:rsidP="00805A90">
      <w:pPr>
        <w:ind w:left="142"/>
        <w:rPr>
          <w:lang w:eastAsia="ja-JP"/>
        </w:rPr>
      </w:pPr>
      <w:r>
        <w:rPr>
          <w:lang w:eastAsia="ja-JP"/>
        </w:rPr>
        <w:t xml:space="preserve">The sponsor </w:t>
      </w:r>
      <w:r w:rsidR="007C0FDC" w:rsidRPr="00EF7161">
        <w:rPr>
          <w:lang w:eastAsia="ja-JP"/>
        </w:rPr>
        <w:t>confirms no radiographic evaluations of joint damage were included in ABP 501 Study 20120262 in subjects with moderate to severe rheumatoid arthritis (RA).</w:t>
      </w:r>
    </w:p>
    <w:p w14:paraId="1040F4BF" w14:textId="38D143A3" w:rsidR="007C0FDC" w:rsidRPr="00EF7161" w:rsidRDefault="007C0FDC" w:rsidP="00805A90">
      <w:pPr>
        <w:ind w:left="142"/>
        <w:rPr>
          <w:lang w:eastAsia="ja-JP"/>
        </w:rPr>
      </w:pPr>
      <w:r w:rsidRPr="00EF7161">
        <w:rPr>
          <w:lang w:eastAsia="ja-JP"/>
        </w:rPr>
        <w:t>ABP 501 was developed as a biosimilar candidate to Humira (adalimumab). The regulatory pathway for approval of a biosimilar relies on demonstration of safety and efficacy data in an appropriate indication along with scientific justification to extrapolate to prior information regarding safety and efficacy data obtained by the originator. As the goal of biosimilar development is different from innovator development, the biosimilar candidate is not expected to show treatment effect against standard of care using the assessments that the originator had to demonstrate. Study 20120262 was conducted using sensitive and appropriate endpoints for assessment of similarity of ABP 501 and adalimumab with respect to efficacy. The totality of evidence has demonstrated similarity of ABP 501 and adalimumab, and similar results would be observed if measured by radiographic assessments.</w:t>
      </w:r>
    </w:p>
    <w:p w14:paraId="26F9EF99" w14:textId="576B31A7" w:rsidR="007C0FDC" w:rsidRDefault="007C0FDC" w:rsidP="00805A90">
      <w:pPr>
        <w:ind w:left="142"/>
        <w:rPr>
          <w:lang w:eastAsia="ja-JP"/>
        </w:rPr>
      </w:pPr>
      <w:r w:rsidRPr="00EF7161">
        <w:rPr>
          <w:lang w:eastAsia="ja-JP"/>
        </w:rPr>
        <w:t xml:space="preserve">The determination of clinical equivalence of ABP 501 and adalimumab support extrapolation to the full range of efficacy data in all indications for which adalimumab is approved, including the radiographic claims in the Humira (Australia) PI. Therefore, we submit that the language regarding the radiographic benefits should remain in the </w:t>
      </w:r>
      <w:proofErr w:type="spellStart"/>
      <w:r w:rsidR="00B22D85">
        <w:rPr>
          <w:lang w:eastAsia="ja-JP"/>
        </w:rPr>
        <w:t>Amgevita</w:t>
      </w:r>
      <w:proofErr w:type="spellEnd"/>
      <w:r w:rsidR="00B22D85">
        <w:rPr>
          <w:lang w:eastAsia="ja-JP"/>
        </w:rPr>
        <w:t xml:space="preserve"> PI.</w:t>
      </w:r>
    </w:p>
    <w:p w14:paraId="5D697A80" w14:textId="2A0D85AA" w:rsidR="007C0FDC" w:rsidRPr="00805A90" w:rsidRDefault="007C0FDC" w:rsidP="00805A90">
      <w:pPr>
        <w:pStyle w:val="Heading4"/>
        <w:numPr>
          <w:ilvl w:val="0"/>
          <w:numId w:val="0"/>
        </w:numPr>
        <w:ind w:left="1134" w:hanging="964"/>
        <w:rPr>
          <w:i/>
        </w:rPr>
      </w:pPr>
      <w:r w:rsidRPr="00805A90">
        <w:rPr>
          <w:i/>
        </w:rPr>
        <w:t>Evaluator</w:t>
      </w:r>
      <w:r w:rsidR="00A936DE" w:rsidRPr="00805A90">
        <w:rPr>
          <w:i/>
        </w:rPr>
        <w:t>’s</w:t>
      </w:r>
      <w:r w:rsidRPr="00805A90">
        <w:rPr>
          <w:i/>
        </w:rPr>
        <w:t xml:space="preserve"> comment</w:t>
      </w:r>
      <w:r w:rsidR="00805A90" w:rsidRPr="00805A90">
        <w:rPr>
          <w:i/>
        </w:rPr>
        <w:t>:</w:t>
      </w:r>
    </w:p>
    <w:p w14:paraId="328D6A00" w14:textId="6166ECD7" w:rsidR="007C0FDC" w:rsidRPr="00F435C2" w:rsidRDefault="007C0FDC" w:rsidP="00805A90">
      <w:pPr>
        <w:ind w:left="142"/>
        <w:rPr>
          <w:lang w:eastAsia="ja-JP"/>
        </w:rPr>
      </w:pPr>
      <w:r w:rsidRPr="00F435C2">
        <w:rPr>
          <w:lang w:eastAsia="ja-JP"/>
        </w:rPr>
        <w:t>Radiographic evaluations of joint damage are usually required for rheumatoid arthritis (RA) as a proposed indication where relevant statements are made in the product information document.</w:t>
      </w:r>
    </w:p>
    <w:p w14:paraId="7628523F" w14:textId="77777777" w:rsidR="007C0FDC" w:rsidRPr="00F435C2" w:rsidRDefault="007C0FDC" w:rsidP="00805A90">
      <w:pPr>
        <w:ind w:left="142"/>
        <w:rPr>
          <w:lang w:eastAsia="ja-JP"/>
        </w:rPr>
      </w:pPr>
      <w:r w:rsidRPr="00F435C2">
        <w:rPr>
          <w:lang w:eastAsia="ja-JP"/>
        </w:rPr>
        <w:t xml:space="preserve">However, radiographic benefit may be reasonably extrapolated considering that equivalence in patients with moderate to severe rheumatoid arthritis (RA) was established in </w:t>
      </w:r>
      <w:r>
        <w:rPr>
          <w:lang w:eastAsia="ja-JP"/>
        </w:rPr>
        <w:t>Study 20</w:t>
      </w:r>
      <w:r w:rsidRPr="00F435C2">
        <w:rPr>
          <w:lang w:eastAsia="ja-JP"/>
        </w:rPr>
        <w:t xml:space="preserve">120262 using the validated indicators </w:t>
      </w:r>
      <w:r>
        <w:rPr>
          <w:lang w:eastAsia="ja-JP"/>
        </w:rPr>
        <w:t>that had also been used</w:t>
      </w:r>
      <w:r w:rsidRPr="00F435C2">
        <w:rPr>
          <w:lang w:eastAsia="ja-JP"/>
        </w:rPr>
        <w:t xml:space="preserve"> in the originator trial (Keystone </w:t>
      </w:r>
      <w:r w:rsidRPr="00F435C2">
        <w:rPr>
          <w:i/>
          <w:lang w:eastAsia="ja-JP"/>
        </w:rPr>
        <w:t>et al.</w:t>
      </w:r>
      <w:r w:rsidRPr="00F435C2">
        <w:rPr>
          <w:lang w:eastAsia="ja-JP"/>
        </w:rPr>
        <w:t>, 2004), namely the ACR score</w:t>
      </w:r>
      <w:r>
        <w:rPr>
          <w:lang w:eastAsia="ja-JP"/>
        </w:rPr>
        <w:t>s</w:t>
      </w:r>
      <w:r w:rsidRPr="00F435C2">
        <w:rPr>
          <w:lang w:eastAsia="ja-JP"/>
        </w:rPr>
        <w:t xml:space="preserve"> (with the risk ratio of ACR20 after 24 weeks being the primary endpoint</w:t>
      </w:r>
      <w:r>
        <w:rPr>
          <w:lang w:eastAsia="ja-JP"/>
        </w:rPr>
        <w:t xml:space="preserve"> in the equivalence trial</w:t>
      </w:r>
      <w:r w:rsidRPr="00F435C2">
        <w:rPr>
          <w:lang w:eastAsia="ja-JP"/>
        </w:rPr>
        <w:t xml:space="preserve">). Furthermore, equivalence was also tested and supported </w:t>
      </w:r>
      <w:r>
        <w:rPr>
          <w:lang w:eastAsia="ja-JP"/>
        </w:rPr>
        <w:t xml:space="preserve">separately </w:t>
      </w:r>
      <w:r w:rsidRPr="00F435C2">
        <w:rPr>
          <w:lang w:eastAsia="ja-JP"/>
        </w:rPr>
        <w:t>in a non-arthritis condition.</w:t>
      </w:r>
    </w:p>
    <w:p w14:paraId="03E82956" w14:textId="77777777" w:rsidR="007C0FDC" w:rsidRDefault="007C0FDC" w:rsidP="00805A90">
      <w:pPr>
        <w:ind w:left="142"/>
        <w:rPr>
          <w:lang w:eastAsia="ja-JP"/>
        </w:rPr>
      </w:pPr>
      <w:r w:rsidRPr="00F435C2">
        <w:rPr>
          <w:lang w:eastAsia="ja-JP"/>
        </w:rPr>
        <w:t xml:space="preserve">As a result, there is no objection for the radiographic benefit statement to remain in the proposed product information document for </w:t>
      </w:r>
      <w:r>
        <w:rPr>
          <w:lang w:eastAsia="ja-JP"/>
        </w:rPr>
        <w:t>Amgevita</w:t>
      </w:r>
      <w:r w:rsidRPr="00F435C2">
        <w:rPr>
          <w:lang w:eastAsia="ja-JP"/>
        </w:rPr>
        <w:t>.</w:t>
      </w:r>
    </w:p>
    <w:p w14:paraId="7C8671D3" w14:textId="77777777" w:rsidR="007C0FDC" w:rsidRPr="00452D7B" w:rsidRDefault="007C0FDC" w:rsidP="007C0FDC">
      <w:pPr>
        <w:pStyle w:val="Numberbullet0"/>
        <w:numPr>
          <w:ilvl w:val="0"/>
          <w:numId w:val="8"/>
        </w:numPr>
        <w:ind w:left="425"/>
        <w:rPr>
          <w:i/>
          <w:lang w:eastAsia="ja-JP"/>
        </w:rPr>
      </w:pPr>
      <w:r w:rsidRPr="00452D7B">
        <w:rPr>
          <w:i/>
          <w:lang w:eastAsia="ja-JP"/>
        </w:rPr>
        <w:t>In Study 20120263, the sponsor has conducted appropriate sensitivity analyses with the Per-protocol Analysis Set for the key efficacy endpoints up to Week 16. The evaluator was unable to locate the [any] per-protocol analyses for data beyond Week 16. The sponsor should provide these per-protocol analyses.</w:t>
      </w:r>
    </w:p>
    <w:p w14:paraId="4CC9A496" w14:textId="63CDA33F" w:rsidR="007C0FDC" w:rsidRPr="00805A90" w:rsidRDefault="007C0FDC" w:rsidP="00805A90">
      <w:pPr>
        <w:pStyle w:val="Heading4"/>
        <w:numPr>
          <w:ilvl w:val="0"/>
          <w:numId w:val="0"/>
        </w:numPr>
        <w:ind w:left="1134" w:hanging="964"/>
        <w:rPr>
          <w:i/>
        </w:rPr>
      </w:pPr>
      <w:r w:rsidRPr="00805A90">
        <w:rPr>
          <w:i/>
        </w:rPr>
        <w:t>Sponsor</w:t>
      </w:r>
      <w:r w:rsidR="00A936DE" w:rsidRPr="00805A90">
        <w:rPr>
          <w:i/>
        </w:rPr>
        <w:t>’s</w:t>
      </w:r>
      <w:r w:rsidRPr="00805A90">
        <w:rPr>
          <w:i/>
        </w:rPr>
        <w:t xml:space="preserve"> response</w:t>
      </w:r>
      <w:r w:rsidR="00805A90">
        <w:rPr>
          <w:i/>
        </w:rPr>
        <w:t>:</w:t>
      </w:r>
    </w:p>
    <w:p w14:paraId="6EBBEEEC" w14:textId="5D17AC27" w:rsidR="007C0FDC" w:rsidRPr="00AF73E7" w:rsidRDefault="007C0FDC" w:rsidP="007C0FDC">
      <w:pPr>
        <w:ind w:left="170"/>
        <w:rPr>
          <w:lang w:eastAsia="ja-JP"/>
        </w:rPr>
      </w:pPr>
      <w:r w:rsidRPr="00AF73E7">
        <w:rPr>
          <w:lang w:eastAsia="ja-JP"/>
        </w:rPr>
        <w:t>The sensitivity analyses using the per-protocol population for key efficacy endpoint</w:t>
      </w:r>
      <w:r>
        <w:rPr>
          <w:lang w:eastAsia="ja-JP"/>
        </w:rPr>
        <w:t>s up to and beyond W</w:t>
      </w:r>
      <w:r w:rsidRPr="00AF73E7">
        <w:rPr>
          <w:lang w:eastAsia="ja-JP"/>
        </w:rPr>
        <w:t>eek 16 have been</w:t>
      </w:r>
      <w:r w:rsidR="00A936DE">
        <w:rPr>
          <w:lang w:eastAsia="ja-JP"/>
        </w:rPr>
        <w:t xml:space="preserve"> presented (see following tables)</w:t>
      </w:r>
      <w:r w:rsidRPr="00AF73E7">
        <w:rPr>
          <w:lang w:eastAsia="ja-JP"/>
        </w:rPr>
        <w:t>:</w:t>
      </w:r>
    </w:p>
    <w:p w14:paraId="3AC9CB2C" w14:textId="70344D53" w:rsidR="007C0FDC" w:rsidRPr="00AF73E7" w:rsidRDefault="007C0FDC" w:rsidP="007C0FDC">
      <w:pPr>
        <w:pStyle w:val="ListBullet"/>
        <w:numPr>
          <w:ilvl w:val="0"/>
          <w:numId w:val="1"/>
        </w:numPr>
        <w:ind w:left="530"/>
        <w:rPr>
          <w:lang w:eastAsia="ja-JP"/>
        </w:rPr>
      </w:pPr>
      <w:r w:rsidRPr="00AF73E7">
        <w:rPr>
          <w:lang w:eastAsia="ja-JP"/>
        </w:rPr>
        <w:t>Psoriasis Area Severity Index (PASI) percent improvement from baseline.</w:t>
      </w:r>
    </w:p>
    <w:p w14:paraId="6A841F23" w14:textId="21875E58" w:rsidR="007C0FDC" w:rsidRPr="00AF73E7" w:rsidRDefault="007C0FDC" w:rsidP="007C0FDC">
      <w:pPr>
        <w:pStyle w:val="ListBullet"/>
        <w:numPr>
          <w:ilvl w:val="0"/>
          <w:numId w:val="1"/>
        </w:numPr>
        <w:ind w:left="530"/>
        <w:rPr>
          <w:lang w:eastAsia="ja-JP"/>
        </w:rPr>
      </w:pPr>
      <w:r w:rsidRPr="00AF73E7">
        <w:rPr>
          <w:lang w:eastAsia="ja-JP"/>
        </w:rPr>
        <w:t>PASI</w:t>
      </w:r>
      <w:r w:rsidR="00A936DE">
        <w:rPr>
          <w:lang w:eastAsia="ja-JP"/>
        </w:rPr>
        <w:t xml:space="preserve"> </w:t>
      </w:r>
      <w:r w:rsidRPr="00AF73E7">
        <w:rPr>
          <w:lang w:eastAsia="ja-JP"/>
        </w:rPr>
        <w:t>50</w:t>
      </w:r>
    </w:p>
    <w:p w14:paraId="69AB7ED8" w14:textId="3164A666" w:rsidR="007C0FDC" w:rsidRPr="00AF73E7" w:rsidRDefault="007C0FDC" w:rsidP="007C0FDC">
      <w:pPr>
        <w:pStyle w:val="ListBullet"/>
        <w:numPr>
          <w:ilvl w:val="0"/>
          <w:numId w:val="1"/>
        </w:numPr>
        <w:ind w:left="530"/>
        <w:rPr>
          <w:lang w:eastAsia="ja-JP"/>
        </w:rPr>
      </w:pPr>
      <w:r w:rsidRPr="00AF73E7">
        <w:rPr>
          <w:lang w:eastAsia="ja-JP"/>
        </w:rPr>
        <w:t>PASI</w:t>
      </w:r>
      <w:r w:rsidR="00A936DE">
        <w:rPr>
          <w:lang w:eastAsia="ja-JP"/>
        </w:rPr>
        <w:t xml:space="preserve"> </w:t>
      </w:r>
      <w:r w:rsidRPr="00AF73E7">
        <w:rPr>
          <w:lang w:eastAsia="ja-JP"/>
        </w:rPr>
        <w:t>75</w:t>
      </w:r>
    </w:p>
    <w:p w14:paraId="732E0B58" w14:textId="7D505491" w:rsidR="007C0FDC" w:rsidRPr="00AF73E7" w:rsidRDefault="007C0FDC" w:rsidP="007C0FDC">
      <w:pPr>
        <w:pStyle w:val="ListBullet"/>
        <w:numPr>
          <w:ilvl w:val="0"/>
          <w:numId w:val="1"/>
        </w:numPr>
        <w:ind w:left="530"/>
        <w:rPr>
          <w:lang w:eastAsia="ja-JP"/>
        </w:rPr>
      </w:pPr>
      <w:r w:rsidRPr="00AF73E7">
        <w:rPr>
          <w:lang w:eastAsia="ja-JP"/>
        </w:rPr>
        <w:t>Static Physician’s Global Assessment (sPGA)</w:t>
      </w:r>
    </w:p>
    <w:p w14:paraId="487617DE" w14:textId="0DC943C0" w:rsidR="007C0FDC" w:rsidRPr="00AF73E7" w:rsidRDefault="007C0FDC" w:rsidP="007C0FDC">
      <w:pPr>
        <w:pStyle w:val="ListBullet"/>
        <w:numPr>
          <w:ilvl w:val="0"/>
          <w:numId w:val="1"/>
        </w:numPr>
        <w:ind w:left="530"/>
        <w:rPr>
          <w:lang w:eastAsia="ja-JP"/>
        </w:rPr>
      </w:pPr>
      <w:r w:rsidRPr="00AF73E7">
        <w:rPr>
          <w:lang w:eastAsia="ja-JP"/>
        </w:rPr>
        <w:t>Psoriasis Body Surface Area (BSA)</w:t>
      </w:r>
    </w:p>
    <w:p w14:paraId="757E84E0" w14:textId="7D38E700" w:rsidR="007C0FDC" w:rsidRPr="00AF73E7" w:rsidRDefault="007C0FDC" w:rsidP="007C0FDC">
      <w:pPr>
        <w:pStyle w:val="ListBullet"/>
        <w:numPr>
          <w:ilvl w:val="0"/>
          <w:numId w:val="1"/>
        </w:numPr>
        <w:ind w:left="530"/>
        <w:rPr>
          <w:lang w:eastAsia="ja-JP"/>
        </w:rPr>
      </w:pPr>
      <w:r w:rsidRPr="00AF73E7">
        <w:rPr>
          <w:lang w:eastAsia="ja-JP"/>
        </w:rPr>
        <w:t>PASI</w:t>
      </w:r>
      <w:r w:rsidR="00A936DE">
        <w:rPr>
          <w:lang w:eastAsia="ja-JP"/>
        </w:rPr>
        <w:t xml:space="preserve"> </w:t>
      </w:r>
      <w:r w:rsidRPr="00AF73E7">
        <w:rPr>
          <w:lang w:eastAsia="ja-JP"/>
        </w:rPr>
        <w:t>90</w:t>
      </w:r>
    </w:p>
    <w:p w14:paraId="11BC6E6D" w14:textId="0B02EB6E" w:rsidR="007C0FDC" w:rsidRPr="00AF73E7" w:rsidRDefault="007C0FDC" w:rsidP="007C0FDC">
      <w:pPr>
        <w:pStyle w:val="ListBullet"/>
        <w:numPr>
          <w:ilvl w:val="0"/>
          <w:numId w:val="1"/>
        </w:numPr>
        <w:ind w:left="530"/>
        <w:rPr>
          <w:lang w:eastAsia="ja-JP"/>
        </w:rPr>
      </w:pPr>
      <w:r w:rsidRPr="00AF73E7">
        <w:rPr>
          <w:lang w:eastAsia="ja-JP"/>
        </w:rPr>
        <w:t>PASI</w:t>
      </w:r>
      <w:r w:rsidR="00A936DE">
        <w:rPr>
          <w:lang w:eastAsia="ja-JP"/>
        </w:rPr>
        <w:t xml:space="preserve"> </w:t>
      </w:r>
      <w:r w:rsidRPr="00AF73E7">
        <w:rPr>
          <w:lang w:eastAsia="ja-JP"/>
        </w:rPr>
        <w:t>100</w:t>
      </w:r>
    </w:p>
    <w:p w14:paraId="04E5188E" w14:textId="6D63DA5F" w:rsidR="007C0FDC" w:rsidRPr="00AF73E7" w:rsidRDefault="007C0FDC" w:rsidP="007C0FDC">
      <w:pPr>
        <w:ind w:left="170"/>
        <w:rPr>
          <w:lang w:eastAsia="ja-JP"/>
        </w:rPr>
      </w:pPr>
      <w:r w:rsidRPr="00AF73E7">
        <w:rPr>
          <w:lang w:eastAsia="ja-JP"/>
        </w:rPr>
        <w:lastRenderedPageBreak/>
        <w:t xml:space="preserve">The per-protocol analysis data up </w:t>
      </w:r>
      <w:r>
        <w:rPr>
          <w:lang w:eastAsia="ja-JP"/>
        </w:rPr>
        <w:t>to Week 16</w:t>
      </w:r>
      <w:r w:rsidRPr="00AF73E7">
        <w:rPr>
          <w:lang w:eastAsia="ja-JP"/>
        </w:rPr>
        <w:t xml:space="preserve"> was included in the original marketing application to the TGA by initial treatments. The tables listed above are all-inclusive and by the </w:t>
      </w:r>
      <w:r w:rsidR="00A936DE" w:rsidRPr="00AF73E7">
        <w:rPr>
          <w:lang w:eastAsia="ja-JP"/>
        </w:rPr>
        <w:t>randomi</w:t>
      </w:r>
      <w:r w:rsidR="00A936DE">
        <w:rPr>
          <w:lang w:eastAsia="ja-JP"/>
        </w:rPr>
        <w:t>s</w:t>
      </w:r>
      <w:r w:rsidR="00A936DE" w:rsidRPr="00AF73E7">
        <w:rPr>
          <w:lang w:eastAsia="ja-JP"/>
        </w:rPr>
        <w:t>ed</w:t>
      </w:r>
      <w:r w:rsidRPr="00AF73E7">
        <w:rPr>
          <w:lang w:eastAsia="ja-JP"/>
        </w:rPr>
        <w:t>/re-</w:t>
      </w:r>
      <w:r w:rsidR="00A936DE" w:rsidRPr="00AF73E7">
        <w:rPr>
          <w:lang w:eastAsia="ja-JP"/>
        </w:rPr>
        <w:t>randomi</w:t>
      </w:r>
      <w:r w:rsidR="00A936DE">
        <w:rPr>
          <w:lang w:eastAsia="ja-JP"/>
        </w:rPr>
        <w:t>s</w:t>
      </w:r>
      <w:r w:rsidR="00A936DE" w:rsidRPr="00AF73E7">
        <w:rPr>
          <w:lang w:eastAsia="ja-JP"/>
        </w:rPr>
        <w:t xml:space="preserve">ed </w:t>
      </w:r>
      <w:r w:rsidRPr="00AF73E7">
        <w:rPr>
          <w:lang w:eastAsia="ja-JP"/>
        </w:rPr>
        <w:t>treatments.</w:t>
      </w:r>
    </w:p>
    <w:p w14:paraId="63EBA19A" w14:textId="2ABD643A" w:rsidR="007C0FDC" w:rsidRPr="00AF73E7" w:rsidRDefault="007C0FDC" w:rsidP="007C0FDC">
      <w:pPr>
        <w:ind w:left="170"/>
        <w:rPr>
          <w:lang w:eastAsia="ja-JP"/>
        </w:rPr>
      </w:pPr>
      <w:r w:rsidRPr="00AF73E7">
        <w:rPr>
          <w:lang w:eastAsia="ja-JP"/>
        </w:rPr>
        <w:t xml:space="preserve">These post hoc analyses beyond Week 16 were secondary and descriptive instead of inferential in nature; therefore, no sensitivity analysis was pre-specified for these analyses. Overall, all these sensitivity analyses support the conclusion of clinical similarity between </w:t>
      </w:r>
      <w:r w:rsidR="00FC5128">
        <w:rPr>
          <w:lang w:eastAsia="ja-JP"/>
        </w:rPr>
        <w:t>ABP 501</w:t>
      </w:r>
      <w:r w:rsidRPr="00AF73E7">
        <w:rPr>
          <w:lang w:eastAsia="ja-JP"/>
        </w:rPr>
        <w:t xml:space="preserve"> and adalimumab.</w:t>
      </w:r>
    </w:p>
    <w:p w14:paraId="61A37C9E" w14:textId="3EBAC655" w:rsidR="007C0FDC" w:rsidRDefault="007C0FDC" w:rsidP="00805A90">
      <w:pPr>
        <w:ind w:left="142"/>
        <w:rPr>
          <w:lang w:eastAsia="ja-JP"/>
        </w:rPr>
      </w:pPr>
      <w:r>
        <w:rPr>
          <w:lang w:eastAsia="ja-JP"/>
        </w:rPr>
        <w:t xml:space="preserve">The following tables summarise the provided Per-protocol Analysis Set data and compare them to the </w:t>
      </w:r>
      <w:r w:rsidRPr="008338C8">
        <w:rPr>
          <w:lang w:eastAsia="ja-JP"/>
        </w:rPr>
        <w:t>Re-</w:t>
      </w:r>
      <w:r w:rsidR="009B0FB8">
        <w:rPr>
          <w:lang w:eastAsia="ja-JP"/>
        </w:rPr>
        <w:t>randomised</w:t>
      </w:r>
      <w:r w:rsidRPr="008338C8">
        <w:rPr>
          <w:lang w:eastAsia="ja-JP"/>
        </w:rPr>
        <w:t xml:space="preserve"> Analysis Set</w:t>
      </w:r>
      <w:r>
        <w:rPr>
          <w:lang w:eastAsia="ja-JP"/>
        </w:rPr>
        <w:t xml:space="preserve"> data provided in the initial dossier. Only the secondary endpoints in the initial dossier were considered, that is, Psoriasis Area Severity Index (PASI) percent improvement from baseline, PASI75, Static Physician’s Global Assessment (sPGA), and Psoriasis Body Surface Area (BSA).</w:t>
      </w:r>
    </w:p>
    <w:p w14:paraId="57F093E9" w14:textId="322018E4" w:rsidR="007C0FDC" w:rsidRPr="006C556A" w:rsidRDefault="007C0FDC" w:rsidP="006E5BA0">
      <w:pPr>
        <w:pStyle w:val="Tabletitle"/>
        <w:rPr>
          <w:lang w:eastAsia="ja-JP"/>
        </w:rPr>
      </w:pPr>
      <w:bookmarkStart w:id="471" w:name="_Toc471285631"/>
      <w:r w:rsidRPr="006C556A">
        <w:t xml:space="preserve">Table </w:t>
      </w:r>
      <w:r>
        <w:t>40:</w:t>
      </w:r>
      <w:r w:rsidRPr="006C556A">
        <w:t xml:space="preserve"> </w:t>
      </w:r>
      <w:r w:rsidRPr="006C556A">
        <w:rPr>
          <w:lang w:eastAsia="ja-JP"/>
        </w:rPr>
        <w:t xml:space="preserve">Study </w:t>
      </w:r>
      <w:r w:rsidRPr="006E5BA0">
        <w:t>20120263</w:t>
      </w:r>
      <w:r w:rsidRPr="006C556A">
        <w:rPr>
          <w:lang w:eastAsia="ja-JP"/>
        </w:rPr>
        <w:t xml:space="preserve"> PASI percent improvement from </w:t>
      </w:r>
      <w:r w:rsidR="009B0FB8">
        <w:rPr>
          <w:lang w:eastAsia="ja-JP"/>
        </w:rPr>
        <w:t>B</w:t>
      </w:r>
      <w:r w:rsidR="009B0FB8" w:rsidRPr="006C556A">
        <w:rPr>
          <w:lang w:eastAsia="ja-JP"/>
        </w:rPr>
        <w:t xml:space="preserve">aseline </w:t>
      </w:r>
      <w:r w:rsidRPr="006C556A">
        <w:rPr>
          <w:lang w:eastAsia="ja-JP"/>
        </w:rPr>
        <w:t>at Weeks 32 and 50 (Re-randomi</w:t>
      </w:r>
      <w:r w:rsidR="008F78EA">
        <w:rPr>
          <w:lang w:eastAsia="ja-JP"/>
        </w:rPr>
        <w:t>s</w:t>
      </w:r>
      <w:r w:rsidRPr="006C556A">
        <w:rPr>
          <w:lang w:eastAsia="ja-JP"/>
        </w:rPr>
        <w:t>ed Analysis Set (observed cases) and Per-protocol Analysis Set (observed cases))</w:t>
      </w:r>
      <w:bookmarkEnd w:id="471"/>
    </w:p>
    <w:tbl>
      <w:tblPr>
        <w:tblStyle w:val="TableTGAblue"/>
        <w:tblW w:w="5000" w:type="pct"/>
        <w:tblLook w:val="04A0" w:firstRow="1" w:lastRow="0" w:firstColumn="1" w:lastColumn="0" w:noHBand="0" w:noVBand="1"/>
      </w:tblPr>
      <w:tblGrid>
        <w:gridCol w:w="1849"/>
        <w:gridCol w:w="1849"/>
        <w:gridCol w:w="1848"/>
        <w:gridCol w:w="1848"/>
        <w:gridCol w:w="1848"/>
      </w:tblGrid>
      <w:tr w:rsidR="007C0FDC" w:rsidRPr="00320FCF" w14:paraId="3218B6EA" w14:textId="77777777" w:rsidTr="00062A40">
        <w:trPr>
          <w:cnfStyle w:val="100000000000" w:firstRow="1" w:lastRow="0" w:firstColumn="0" w:lastColumn="0" w:oddVBand="0" w:evenVBand="0" w:oddHBand="0" w:evenHBand="0" w:firstRowFirstColumn="0" w:firstRowLastColumn="0" w:lastRowFirstColumn="0" w:lastRowLastColumn="0"/>
          <w:cantSplit/>
          <w:trHeight w:val="1726"/>
          <w:tblHeader/>
        </w:trPr>
        <w:tc>
          <w:tcPr>
            <w:cnfStyle w:val="001000000000" w:firstRow="0" w:lastRow="0" w:firstColumn="1" w:lastColumn="0" w:oddVBand="0" w:evenVBand="0" w:oddHBand="0" w:evenHBand="0" w:firstRowFirstColumn="0" w:firstRowLastColumn="0" w:lastRowFirstColumn="0" w:lastRowLastColumn="0"/>
            <w:tcW w:w="1000" w:type="pct"/>
          </w:tcPr>
          <w:p w14:paraId="43673BAB" w14:textId="77777777" w:rsidR="007C0FDC" w:rsidRPr="006E5BA0" w:rsidRDefault="007C0FDC" w:rsidP="00062A40">
            <w:pPr>
              <w:ind w:left="0"/>
              <w:rPr>
                <w:sz w:val="21"/>
              </w:rPr>
            </w:pPr>
            <w:r w:rsidRPr="006E5BA0">
              <w:rPr>
                <w:sz w:val="21"/>
                <w:lang w:eastAsia="en-US"/>
              </w:rPr>
              <w:t>PASI percent improvement from baseline</w:t>
            </w:r>
          </w:p>
        </w:tc>
        <w:tc>
          <w:tcPr>
            <w:tcW w:w="1000" w:type="pct"/>
          </w:tcPr>
          <w:p w14:paraId="6A68E9C8"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Treatment difference between A and B1 (in %)</w:t>
            </w:r>
          </w:p>
          <w:p w14:paraId="55DD959E"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(95% CI)</w:t>
            </w:r>
          </w:p>
        </w:tc>
        <w:tc>
          <w:tcPr>
            <w:tcW w:w="1000" w:type="pct"/>
          </w:tcPr>
          <w:p w14:paraId="30C1A0D2"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Treatment difference between B2 and B1 (in %)</w:t>
            </w:r>
          </w:p>
          <w:p w14:paraId="0F436AA3"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(95% CI)</w:t>
            </w:r>
          </w:p>
        </w:tc>
        <w:tc>
          <w:tcPr>
            <w:tcW w:w="1000" w:type="pct"/>
          </w:tcPr>
          <w:p w14:paraId="285EBA98"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Treatment difference between A and B1 (in %)</w:t>
            </w:r>
          </w:p>
          <w:p w14:paraId="552928B7"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(95% CI)</w:t>
            </w:r>
          </w:p>
        </w:tc>
        <w:tc>
          <w:tcPr>
            <w:tcW w:w="1000" w:type="pct"/>
          </w:tcPr>
          <w:p w14:paraId="270BE9F8"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Treatment difference between B2 and B1 (in %)</w:t>
            </w:r>
          </w:p>
          <w:p w14:paraId="0F1BA1BE" w14:textId="77777777" w:rsidR="007C0FDC" w:rsidRPr="006E5BA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6E5BA0">
              <w:rPr>
                <w:sz w:val="21"/>
                <w:lang w:eastAsia="en-US"/>
              </w:rPr>
              <w:t>(95% CI)</w:t>
            </w:r>
          </w:p>
        </w:tc>
      </w:tr>
      <w:tr w:rsidR="007C0FDC" w:rsidRPr="00320FCF" w14:paraId="051FC754"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792DEE05" w14:textId="77777777" w:rsidR="007C0FDC" w:rsidRPr="006E5BA0" w:rsidRDefault="007C0FDC" w:rsidP="008F78EA">
            <w:pPr>
              <w:rPr>
                <w:sz w:val="21"/>
              </w:rPr>
            </w:pPr>
          </w:p>
        </w:tc>
        <w:tc>
          <w:tcPr>
            <w:tcW w:w="2000" w:type="pct"/>
            <w:gridSpan w:val="2"/>
          </w:tcPr>
          <w:p w14:paraId="72112CCD" w14:textId="1467B57A"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Re-</w:t>
            </w:r>
            <w:r w:rsidR="008F78EA" w:rsidRPr="006E5BA0">
              <w:rPr>
                <w:sz w:val="21"/>
                <w:lang w:eastAsia="en-US"/>
              </w:rPr>
              <w:t>randomi</w:t>
            </w:r>
            <w:r w:rsidR="008F78EA" w:rsidRPr="006E5BA0">
              <w:rPr>
                <w:sz w:val="21"/>
              </w:rPr>
              <w:t>s</w:t>
            </w:r>
            <w:r w:rsidR="008F78EA" w:rsidRPr="006E5BA0">
              <w:rPr>
                <w:sz w:val="21"/>
                <w:lang w:eastAsia="en-US"/>
              </w:rPr>
              <w:t xml:space="preserve">ed </w:t>
            </w:r>
            <w:r w:rsidRPr="006E5BA0">
              <w:rPr>
                <w:sz w:val="21"/>
                <w:lang w:eastAsia="en-US"/>
              </w:rPr>
              <w:t>Analysis Set (observed cases)</w:t>
            </w:r>
          </w:p>
        </w:tc>
        <w:tc>
          <w:tcPr>
            <w:tcW w:w="2000" w:type="pct"/>
            <w:gridSpan w:val="2"/>
          </w:tcPr>
          <w:p w14:paraId="17F09F66" w14:textId="77777777"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Per-protocol Analysis Set (observed cases)</w:t>
            </w:r>
          </w:p>
        </w:tc>
      </w:tr>
      <w:tr w:rsidR="007C0FDC" w:rsidRPr="00320FCF" w14:paraId="77131A41"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2F2E88A1" w14:textId="77777777" w:rsidR="007C0FDC" w:rsidRPr="006E5BA0" w:rsidRDefault="007C0FDC" w:rsidP="008F78EA">
            <w:pPr>
              <w:rPr>
                <w:sz w:val="21"/>
              </w:rPr>
            </w:pPr>
            <w:r w:rsidRPr="006E5BA0">
              <w:rPr>
                <w:sz w:val="21"/>
                <w:lang w:eastAsia="en-US"/>
              </w:rPr>
              <w:t>Week 32</w:t>
            </w:r>
          </w:p>
        </w:tc>
        <w:tc>
          <w:tcPr>
            <w:tcW w:w="1000" w:type="pct"/>
          </w:tcPr>
          <w:p w14:paraId="273C5B49" w14:textId="77777777"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-0.49</w:t>
            </w:r>
          </w:p>
          <w:p w14:paraId="5186CE58" w14:textId="77777777"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(-5.60, 4.61)</w:t>
            </w:r>
          </w:p>
        </w:tc>
        <w:tc>
          <w:tcPr>
            <w:tcW w:w="1000" w:type="pct"/>
          </w:tcPr>
          <w:p w14:paraId="3BA6E31B" w14:textId="77777777" w:rsidR="007C0FDC" w:rsidRPr="006E5BA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1.05</w:t>
            </w:r>
          </w:p>
          <w:p w14:paraId="0C63542F"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(-6.93, 4.84)</w:t>
            </w:r>
          </w:p>
        </w:tc>
        <w:tc>
          <w:tcPr>
            <w:tcW w:w="1000" w:type="pct"/>
          </w:tcPr>
          <w:p w14:paraId="59A14C97"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0.07</w:t>
            </w:r>
          </w:p>
          <w:p w14:paraId="1C041B91"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(-4.98, 5.12)</w:t>
            </w:r>
          </w:p>
        </w:tc>
        <w:tc>
          <w:tcPr>
            <w:tcW w:w="1000" w:type="pct"/>
          </w:tcPr>
          <w:p w14:paraId="64A253EE"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-0.56</w:t>
            </w:r>
          </w:p>
          <w:p w14:paraId="427AAB86"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(-6.40, 5.27)</w:t>
            </w:r>
          </w:p>
        </w:tc>
      </w:tr>
      <w:tr w:rsidR="007C0FDC" w:rsidRPr="00320FCF" w14:paraId="6B5A306E"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32E32301" w14:textId="77777777" w:rsidR="007C0FDC" w:rsidRPr="006E5BA0" w:rsidRDefault="007C0FDC" w:rsidP="008F78EA">
            <w:pPr>
              <w:rPr>
                <w:sz w:val="21"/>
              </w:rPr>
            </w:pPr>
            <w:r w:rsidRPr="006E5BA0">
              <w:rPr>
                <w:sz w:val="21"/>
                <w:lang w:eastAsia="en-US"/>
              </w:rPr>
              <w:t>Week 50</w:t>
            </w:r>
          </w:p>
        </w:tc>
        <w:tc>
          <w:tcPr>
            <w:tcW w:w="1000" w:type="pct"/>
          </w:tcPr>
          <w:p w14:paraId="4EC2ACB6" w14:textId="77777777"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-1.16</w:t>
            </w:r>
          </w:p>
          <w:p w14:paraId="1D68A9AC" w14:textId="77777777" w:rsidR="007C0FDC" w:rsidRPr="006E5BA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(-7.17, 4.86)</w:t>
            </w:r>
          </w:p>
        </w:tc>
        <w:tc>
          <w:tcPr>
            <w:tcW w:w="1000" w:type="pct"/>
          </w:tcPr>
          <w:p w14:paraId="5341E002" w14:textId="77777777" w:rsidR="007C0FDC" w:rsidRPr="006E5BA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-2.37</w:t>
            </w:r>
          </w:p>
          <w:p w14:paraId="213B933B"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(-9.26, 4.52)</w:t>
            </w:r>
          </w:p>
        </w:tc>
        <w:tc>
          <w:tcPr>
            <w:tcW w:w="1000" w:type="pct"/>
          </w:tcPr>
          <w:p w14:paraId="058C047F"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-1.80</w:t>
            </w:r>
          </w:p>
          <w:p w14:paraId="6795293E"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(-8.12, 4.53)</w:t>
            </w:r>
          </w:p>
        </w:tc>
        <w:tc>
          <w:tcPr>
            <w:tcW w:w="1000" w:type="pct"/>
          </w:tcPr>
          <w:p w14:paraId="605C16B3"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-1.56</w:t>
            </w:r>
          </w:p>
          <w:p w14:paraId="47DFAF70" w14:textId="77777777" w:rsidR="007C0FDC" w:rsidRPr="006E5BA0" w:rsidRDefault="007C0FDC">
            <w:pPr>
              <w:cnfStyle w:val="000000000000" w:firstRow="0" w:lastRow="0" w:firstColumn="0" w:lastColumn="0" w:oddVBand="0" w:evenVBand="0" w:oddHBand="0" w:evenHBand="0" w:firstRowFirstColumn="0" w:firstRowLastColumn="0" w:lastRowFirstColumn="0" w:lastRowLastColumn="0"/>
              <w:rPr>
                <w:sz w:val="21"/>
              </w:rPr>
            </w:pPr>
            <w:r w:rsidRPr="006E5BA0">
              <w:rPr>
                <w:sz w:val="21"/>
                <w:lang w:eastAsia="en-US"/>
              </w:rPr>
              <w:t>(-8.83, 5.70)</w:t>
            </w:r>
          </w:p>
        </w:tc>
      </w:tr>
    </w:tbl>
    <w:p w14:paraId="7E00D681" w14:textId="0FEC6F7A" w:rsidR="007C0FDC" w:rsidRPr="006C556A" w:rsidRDefault="007C0FDC" w:rsidP="006E5BA0">
      <w:pPr>
        <w:pStyle w:val="Tabletitle"/>
        <w:rPr>
          <w:lang w:eastAsia="ja-JP"/>
        </w:rPr>
      </w:pPr>
      <w:bookmarkStart w:id="472" w:name="_Toc471285632"/>
      <w:r w:rsidRPr="006C556A">
        <w:t xml:space="preserve">Table </w:t>
      </w:r>
      <w:r>
        <w:t>41:</w:t>
      </w:r>
      <w:r w:rsidRPr="006C556A">
        <w:t xml:space="preserve"> </w:t>
      </w:r>
      <w:r w:rsidRPr="006C556A">
        <w:rPr>
          <w:lang w:eastAsia="ja-JP"/>
        </w:rPr>
        <w:t xml:space="preserve">Study </w:t>
      </w:r>
      <w:r w:rsidRPr="006E5BA0">
        <w:t>20120263</w:t>
      </w:r>
      <w:r w:rsidRPr="006C556A">
        <w:rPr>
          <w:lang w:eastAsia="ja-JP"/>
        </w:rPr>
        <w:t xml:space="preserve"> PASI 75 response at Weeks 32 and 50 (Re-</w:t>
      </w:r>
      <w:r w:rsidR="008F78EA" w:rsidRPr="006C556A">
        <w:rPr>
          <w:lang w:eastAsia="ja-JP"/>
        </w:rPr>
        <w:t>randomi</w:t>
      </w:r>
      <w:r w:rsidR="008F78EA">
        <w:rPr>
          <w:lang w:eastAsia="ja-JP"/>
        </w:rPr>
        <w:t>s</w:t>
      </w:r>
      <w:r w:rsidR="008F78EA" w:rsidRPr="006C556A">
        <w:rPr>
          <w:lang w:eastAsia="ja-JP"/>
        </w:rPr>
        <w:t xml:space="preserve">ed </w:t>
      </w:r>
      <w:r w:rsidRPr="006C556A">
        <w:rPr>
          <w:lang w:eastAsia="ja-JP"/>
        </w:rPr>
        <w:t>Analysis Set (observed cases) and Per-protocol Analysis Set (observed cases))</w:t>
      </w:r>
      <w:bookmarkEnd w:id="472"/>
    </w:p>
    <w:tbl>
      <w:tblPr>
        <w:tblStyle w:val="TableTGAblue"/>
        <w:tblW w:w="5025" w:type="pct"/>
        <w:tblLook w:val="04A0" w:firstRow="1" w:lastRow="0" w:firstColumn="1" w:lastColumn="0" w:noHBand="0" w:noVBand="1"/>
      </w:tblPr>
      <w:tblGrid>
        <w:gridCol w:w="1313"/>
        <w:gridCol w:w="1932"/>
        <w:gridCol w:w="2214"/>
        <w:gridCol w:w="1932"/>
        <w:gridCol w:w="1897"/>
      </w:tblGrid>
      <w:tr w:rsidR="007C0FDC" w:rsidRPr="00320FCF" w14:paraId="5EFA5C0D" w14:textId="77777777" w:rsidTr="00062A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7" w:type="pct"/>
          </w:tcPr>
          <w:p w14:paraId="01321E75" w14:textId="77777777" w:rsidR="007C0FDC" w:rsidRPr="00062A40" w:rsidRDefault="007C0FDC" w:rsidP="00062A40">
            <w:pPr>
              <w:ind w:left="0"/>
              <w:rPr>
                <w:sz w:val="21"/>
              </w:rPr>
            </w:pPr>
            <w:r w:rsidRPr="00062A40">
              <w:rPr>
                <w:sz w:val="21"/>
                <w:lang w:eastAsia="en-US"/>
              </w:rPr>
              <w:t>PASI 75 response</w:t>
            </w:r>
          </w:p>
        </w:tc>
        <w:tc>
          <w:tcPr>
            <w:tcW w:w="1040" w:type="pct"/>
          </w:tcPr>
          <w:p w14:paraId="7AC73143"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A and B1 (95% CI)</w:t>
            </w:r>
          </w:p>
        </w:tc>
        <w:tc>
          <w:tcPr>
            <w:tcW w:w="1192" w:type="pct"/>
          </w:tcPr>
          <w:p w14:paraId="46B9D179"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B2 and B1 (95% CI)</w:t>
            </w:r>
          </w:p>
        </w:tc>
        <w:tc>
          <w:tcPr>
            <w:tcW w:w="1040" w:type="pct"/>
          </w:tcPr>
          <w:p w14:paraId="61A5F72E"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A and B1 (95% CI)</w:t>
            </w:r>
          </w:p>
        </w:tc>
        <w:tc>
          <w:tcPr>
            <w:tcW w:w="1021" w:type="pct"/>
          </w:tcPr>
          <w:p w14:paraId="370892F4"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B2 and B1 (95% CI)</w:t>
            </w:r>
          </w:p>
        </w:tc>
      </w:tr>
      <w:tr w:rsidR="007C0FDC" w:rsidRPr="00320FCF" w14:paraId="53B8A1D3" w14:textId="77777777" w:rsidTr="00062A40">
        <w:tc>
          <w:tcPr>
            <w:cnfStyle w:val="001000000000" w:firstRow="0" w:lastRow="0" w:firstColumn="1" w:lastColumn="0" w:oddVBand="0" w:evenVBand="0" w:oddHBand="0" w:evenHBand="0" w:firstRowFirstColumn="0" w:firstRowLastColumn="0" w:lastRowFirstColumn="0" w:lastRowLastColumn="0"/>
            <w:tcW w:w="707" w:type="pct"/>
          </w:tcPr>
          <w:p w14:paraId="45AA4E84" w14:textId="77777777" w:rsidR="007C0FDC" w:rsidRPr="00062A40" w:rsidRDefault="007C0FDC" w:rsidP="008F78EA">
            <w:pPr>
              <w:rPr>
                <w:sz w:val="21"/>
              </w:rPr>
            </w:pPr>
          </w:p>
        </w:tc>
        <w:tc>
          <w:tcPr>
            <w:tcW w:w="2232" w:type="pct"/>
            <w:gridSpan w:val="2"/>
          </w:tcPr>
          <w:p w14:paraId="3192F818" w14:textId="7C7D5FE0" w:rsidR="007C0FDC" w:rsidRPr="00062A4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Re-</w:t>
            </w:r>
            <w:r w:rsidR="008F78EA" w:rsidRPr="00062A40">
              <w:rPr>
                <w:sz w:val="21"/>
                <w:lang w:eastAsia="en-US"/>
              </w:rPr>
              <w:t>randomi</w:t>
            </w:r>
            <w:r w:rsidR="008F78EA" w:rsidRPr="00062A40">
              <w:rPr>
                <w:sz w:val="21"/>
              </w:rPr>
              <w:t>s</w:t>
            </w:r>
            <w:r w:rsidR="008F78EA" w:rsidRPr="00062A40">
              <w:rPr>
                <w:sz w:val="21"/>
                <w:lang w:eastAsia="en-US"/>
              </w:rPr>
              <w:t xml:space="preserve">ed </w:t>
            </w:r>
            <w:r w:rsidRPr="00062A40">
              <w:rPr>
                <w:sz w:val="21"/>
                <w:lang w:eastAsia="en-US"/>
              </w:rPr>
              <w:t>Analysis Set (observed cases)</w:t>
            </w:r>
          </w:p>
        </w:tc>
        <w:tc>
          <w:tcPr>
            <w:tcW w:w="2061" w:type="pct"/>
            <w:gridSpan w:val="2"/>
          </w:tcPr>
          <w:p w14:paraId="6E4477E6" w14:textId="77777777" w:rsidR="007C0FDC" w:rsidRPr="00062A4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Per-protocol Analysis Set (observed cases)</w:t>
            </w:r>
          </w:p>
        </w:tc>
      </w:tr>
      <w:tr w:rsidR="007C0FDC" w:rsidRPr="00320FCF" w14:paraId="6081C7B5" w14:textId="77777777" w:rsidTr="00062A40">
        <w:tc>
          <w:tcPr>
            <w:cnfStyle w:val="001000000000" w:firstRow="0" w:lastRow="0" w:firstColumn="1" w:lastColumn="0" w:oddVBand="0" w:evenVBand="0" w:oddHBand="0" w:evenHBand="0" w:firstRowFirstColumn="0" w:firstRowLastColumn="0" w:lastRowFirstColumn="0" w:lastRowLastColumn="0"/>
            <w:tcW w:w="707" w:type="pct"/>
          </w:tcPr>
          <w:p w14:paraId="6D24EB73" w14:textId="77777777" w:rsidR="007C0FDC" w:rsidRPr="00062A40" w:rsidRDefault="007C0FDC" w:rsidP="00062A40">
            <w:pPr>
              <w:ind w:left="0"/>
              <w:rPr>
                <w:sz w:val="21"/>
              </w:rPr>
            </w:pPr>
            <w:r w:rsidRPr="00062A40">
              <w:rPr>
                <w:sz w:val="21"/>
                <w:lang w:eastAsia="en-US"/>
              </w:rPr>
              <w:t>Week 32</w:t>
            </w:r>
          </w:p>
        </w:tc>
        <w:tc>
          <w:tcPr>
            <w:tcW w:w="1040" w:type="pct"/>
          </w:tcPr>
          <w:p w14:paraId="373DE575" w14:textId="144E561F" w:rsidR="007C0FDC" w:rsidRPr="00062A4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-2.751</w:t>
            </w:r>
            <w:r w:rsidR="00432A3A" w:rsidRPr="00062A40">
              <w:rPr>
                <w:sz w:val="21"/>
              </w:rPr>
              <w:t xml:space="preserve"> </w:t>
            </w:r>
            <w:r w:rsidRPr="00062A40">
              <w:rPr>
                <w:sz w:val="21"/>
                <w:lang w:eastAsia="en-US"/>
              </w:rPr>
              <w:t>(</w:t>
            </w:r>
            <w:r w:rsidR="00432A3A" w:rsidRPr="00062A40">
              <w:rPr>
                <w:sz w:val="21"/>
              </w:rPr>
              <w:noBreakHyphen/>
            </w:r>
            <w:r w:rsidRPr="00062A40">
              <w:rPr>
                <w:sz w:val="21"/>
                <w:lang w:eastAsia="en-US"/>
              </w:rPr>
              <w:t>13.935, 8.433)</w:t>
            </w:r>
          </w:p>
        </w:tc>
        <w:tc>
          <w:tcPr>
            <w:tcW w:w="1192" w:type="pct"/>
          </w:tcPr>
          <w:p w14:paraId="5C987BE4"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0.582</w:t>
            </w:r>
          </w:p>
          <w:p w14:paraId="60D5B11E"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(-12.899, 14.063)</w:t>
            </w:r>
          </w:p>
        </w:tc>
        <w:tc>
          <w:tcPr>
            <w:tcW w:w="1040" w:type="pct"/>
          </w:tcPr>
          <w:p w14:paraId="00F8BD32"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-3.344</w:t>
            </w:r>
          </w:p>
          <w:p w14:paraId="617ECCDA"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(-16.139, 9.451)</w:t>
            </w:r>
          </w:p>
        </w:tc>
        <w:tc>
          <w:tcPr>
            <w:tcW w:w="1021" w:type="pct"/>
          </w:tcPr>
          <w:p w14:paraId="5885AF0C"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-1.090</w:t>
            </w:r>
          </w:p>
          <w:p w14:paraId="1B993B39"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(-15.417, 13.237)</w:t>
            </w:r>
          </w:p>
        </w:tc>
      </w:tr>
      <w:tr w:rsidR="007C0FDC" w:rsidRPr="00320FCF" w14:paraId="71447183" w14:textId="77777777" w:rsidTr="00062A40">
        <w:trPr>
          <w:cantSplit/>
        </w:trPr>
        <w:tc>
          <w:tcPr>
            <w:cnfStyle w:val="001000000000" w:firstRow="0" w:lastRow="0" w:firstColumn="1" w:lastColumn="0" w:oddVBand="0" w:evenVBand="0" w:oddHBand="0" w:evenHBand="0" w:firstRowFirstColumn="0" w:firstRowLastColumn="0" w:lastRowFirstColumn="0" w:lastRowLastColumn="0"/>
            <w:tcW w:w="707" w:type="pct"/>
          </w:tcPr>
          <w:p w14:paraId="6DD747F6" w14:textId="77777777" w:rsidR="007C0FDC" w:rsidRPr="00062A40" w:rsidRDefault="007C0FDC" w:rsidP="00062A40">
            <w:pPr>
              <w:ind w:left="0"/>
              <w:rPr>
                <w:sz w:val="21"/>
              </w:rPr>
            </w:pPr>
            <w:r w:rsidRPr="00062A40">
              <w:rPr>
                <w:sz w:val="21"/>
                <w:lang w:eastAsia="en-US"/>
              </w:rPr>
              <w:lastRenderedPageBreak/>
              <w:t>Week 50</w:t>
            </w:r>
          </w:p>
        </w:tc>
        <w:tc>
          <w:tcPr>
            <w:tcW w:w="1040" w:type="pct"/>
          </w:tcPr>
          <w:p w14:paraId="76F0A711" w14:textId="77777777" w:rsidR="007C0FDC" w:rsidRPr="00062A4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-4.680</w:t>
            </w:r>
          </w:p>
          <w:p w14:paraId="09463D60" w14:textId="77777777" w:rsidR="007C0FDC" w:rsidRPr="00062A40" w:rsidRDefault="007C0FDC" w:rsidP="008F78E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(-15.263, 5.904)</w:t>
            </w:r>
          </w:p>
        </w:tc>
        <w:tc>
          <w:tcPr>
            <w:tcW w:w="1192" w:type="pct"/>
          </w:tcPr>
          <w:p w14:paraId="66AD4BA3"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-6.511</w:t>
            </w:r>
          </w:p>
          <w:p w14:paraId="213B9C29"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(-19.058, 6.037)</w:t>
            </w:r>
          </w:p>
        </w:tc>
        <w:tc>
          <w:tcPr>
            <w:tcW w:w="1040" w:type="pct"/>
          </w:tcPr>
          <w:p w14:paraId="06E2929C"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-5.241</w:t>
            </w:r>
          </w:p>
          <w:p w14:paraId="3D1F299D"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(-16.517, 6.035)</w:t>
            </w:r>
          </w:p>
        </w:tc>
        <w:tc>
          <w:tcPr>
            <w:tcW w:w="1021" w:type="pct"/>
          </w:tcPr>
          <w:p w14:paraId="6F8C35B0"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-6.529</w:t>
            </w:r>
          </w:p>
          <w:p w14:paraId="70F48FFB" w14:textId="77777777" w:rsidR="007C0FDC" w:rsidRPr="00062A40" w:rsidRDefault="007C0FDC" w:rsidP="00432A3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(-19.769, 6.712)</w:t>
            </w:r>
          </w:p>
        </w:tc>
      </w:tr>
    </w:tbl>
    <w:p w14:paraId="69C3ACFE" w14:textId="45D8EDA9" w:rsidR="007C0FDC" w:rsidRPr="00032BE3" w:rsidRDefault="007C0FDC" w:rsidP="006E5BA0">
      <w:pPr>
        <w:pStyle w:val="Tabletitle"/>
        <w:rPr>
          <w:lang w:eastAsia="ja-JP"/>
        </w:rPr>
      </w:pPr>
      <w:bookmarkStart w:id="473" w:name="_Toc471285633"/>
      <w:r w:rsidRPr="00032BE3">
        <w:t xml:space="preserve">Table </w:t>
      </w:r>
      <w:r>
        <w:t>42:</w:t>
      </w:r>
      <w:r w:rsidRPr="00032BE3">
        <w:t xml:space="preserve"> </w:t>
      </w:r>
      <w:r w:rsidRPr="00032BE3">
        <w:rPr>
          <w:lang w:eastAsia="ja-JP"/>
        </w:rPr>
        <w:t>Study 20120263 sPGA positive responses (0/1) at Weeks 32 and 50 (Re</w:t>
      </w:r>
      <w:r w:rsidR="008E7DDA">
        <w:rPr>
          <w:lang w:eastAsia="ja-JP"/>
        </w:rPr>
        <w:noBreakHyphen/>
      </w:r>
      <w:r w:rsidRPr="00032BE3">
        <w:rPr>
          <w:lang w:eastAsia="ja-JP"/>
        </w:rPr>
        <w:t>randomi</w:t>
      </w:r>
      <w:r w:rsidR="008E7DDA">
        <w:rPr>
          <w:lang w:eastAsia="ja-JP"/>
        </w:rPr>
        <w:t>s</w:t>
      </w:r>
      <w:r w:rsidRPr="00032BE3">
        <w:rPr>
          <w:lang w:eastAsia="ja-JP"/>
        </w:rPr>
        <w:t xml:space="preserve">ed Analysis </w:t>
      </w:r>
      <w:r w:rsidRPr="006E5BA0">
        <w:t>Set</w:t>
      </w:r>
      <w:r w:rsidRPr="00032BE3">
        <w:rPr>
          <w:lang w:eastAsia="ja-JP"/>
        </w:rPr>
        <w:t xml:space="preserve"> (observed cases) and Per-protocol Analysis Set (observed cases))</w:t>
      </w:r>
      <w:bookmarkEnd w:id="473"/>
    </w:p>
    <w:tbl>
      <w:tblPr>
        <w:tblStyle w:val="TableTGAblue"/>
        <w:tblW w:w="5025" w:type="pct"/>
        <w:tblLook w:val="04A0" w:firstRow="1" w:lastRow="0" w:firstColumn="1" w:lastColumn="0" w:noHBand="0" w:noVBand="1"/>
      </w:tblPr>
      <w:tblGrid>
        <w:gridCol w:w="1542"/>
        <w:gridCol w:w="1911"/>
        <w:gridCol w:w="1910"/>
        <w:gridCol w:w="1911"/>
        <w:gridCol w:w="2014"/>
      </w:tblGrid>
      <w:tr w:rsidR="008E7DDA" w:rsidRPr="00320FCF" w14:paraId="4FDF4945" w14:textId="77777777" w:rsidTr="00062A40">
        <w:trPr>
          <w:cnfStyle w:val="100000000000" w:firstRow="1" w:lastRow="0" w:firstColumn="0" w:lastColumn="0" w:oddVBand="0" w:evenVBand="0" w:oddHBand="0" w:evenHBand="0" w:firstRowFirstColumn="0" w:firstRowLastColumn="0" w:lastRowFirstColumn="0" w:lastRowLastColumn="0"/>
          <w:cantSplit/>
          <w:trHeight w:val="1501"/>
          <w:tblHeader/>
        </w:trPr>
        <w:tc>
          <w:tcPr>
            <w:cnfStyle w:val="001000000000" w:firstRow="0" w:lastRow="0" w:firstColumn="1" w:lastColumn="0" w:oddVBand="0" w:evenVBand="0" w:oddHBand="0" w:evenHBand="0" w:firstRowFirstColumn="0" w:firstRowLastColumn="0" w:lastRowFirstColumn="0" w:lastRowLastColumn="0"/>
            <w:tcW w:w="830" w:type="pct"/>
          </w:tcPr>
          <w:p w14:paraId="12D0769A" w14:textId="77777777" w:rsidR="007C0FDC" w:rsidRPr="00062A40" w:rsidRDefault="007C0FDC" w:rsidP="00062A40">
            <w:pPr>
              <w:rPr>
                <w:sz w:val="21"/>
              </w:rPr>
            </w:pPr>
            <w:r w:rsidRPr="00062A40">
              <w:rPr>
                <w:sz w:val="21"/>
                <w:lang w:eastAsia="en-US"/>
              </w:rPr>
              <w:t>sPGA positive responses (0/1)</w:t>
            </w:r>
          </w:p>
        </w:tc>
        <w:tc>
          <w:tcPr>
            <w:tcW w:w="1029" w:type="pct"/>
          </w:tcPr>
          <w:p w14:paraId="62629BC1"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A and B1 (95% CI)</w:t>
            </w:r>
          </w:p>
        </w:tc>
        <w:tc>
          <w:tcPr>
            <w:tcW w:w="1028" w:type="pct"/>
          </w:tcPr>
          <w:p w14:paraId="7BFE2296"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B2 and B1 (95% CI)</w:t>
            </w:r>
          </w:p>
        </w:tc>
        <w:tc>
          <w:tcPr>
            <w:tcW w:w="1029" w:type="pct"/>
          </w:tcPr>
          <w:p w14:paraId="5F81CEC6"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A and B1 (95% CI)</w:t>
            </w:r>
          </w:p>
        </w:tc>
        <w:tc>
          <w:tcPr>
            <w:tcW w:w="1084" w:type="pct"/>
          </w:tcPr>
          <w:p w14:paraId="11E66C8E" w14:textId="77777777" w:rsidR="007C0FDC" w:rsidRPr="00062A40" w:rsidRDefault="007C0FDC" w:rsidP="00062A40">
            <w:pPr>
              <w:ind w:left="0"/>
              <w:cnfStyle w:val="100000000000" w:firstRow="1" w:lastRow="0" w:firstColumn="0" w:lastColumn="0" w:oddVBand="0" w:evenVBand="0" w:oddHBand="0" w:evenHBand="0" w:firstRowFirstColumn="0" w:firstRowLastColumn="0" w:lastRowFirstColumn="0" w:lastRowLastColumn="0"/>
              <w:rPr>
                <w:sz w:val="21"/>
              </w:rPr>
            </w:pPr>
            <w:r w:rsidRPr="00062A40">
              <w:rPr>
                <w:sz w:val="21"/>
                <w:lang w:eastAsia="en-US"/>
              </w:rPr>
              <w:t>Treatment difference between B2 and B1 (95% CI)</w:t>
            </w:r>
          </w:p>
        </w:tc>
      </w:tr>
      <w:tr w:rsidR="007C0FDC" w:rsidRPr="00320FCF" w14:paraId="5964216D" w14:textId="77777777" w:rsidTr="00062A40">
        <w:tc>
          <w:tcPr>
            <w:cnfStyle w:val="001000000000" w:firstRow="0" w:lastRow="0" w:firstColumn="1" w:lastColumn="0" w:oddVBand="0" w:evenVBand="0" w:oddHBand="0" w:evenHBand="0" w:firstRowFirstColumn="0" w:firstRowLastColumn="0" w:lastRowFirstColumn="0" w:lastRowLastColumn="0"/>
            <w:tcW w:w="830" w:type="pct"/>
          </w:tcPr>
          <w:p w14:paraId="440AB30F" w14:textId="77777777" w:rsidR="007C0FDC" w:rsidRPr="00062A40" w:rsidRDefault="007C0FDC" w:rsidP="00062A40">
            <w:pPr>
              <w:rPr>
                <w:sz w:val="21"/>
              </w:rPr>
            </w:pPr>
          </w:p>
        </w:tc>
        <w:tc>
          <w:tcPr>
            <w:tcW w:w="2057" w:type="pct"/>
            <w:gridSpan w:val="2"/>
          </w:tcPr>
          <w:p w14:paraId="69841BDE" w14:textId="2E2251D9" w:rsidR="007C0FDC" w:rsidRPr="00062A40" w:rsidRDefault="007C0FDC" w:rsidP="00062A40">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Re-</w:t>
            </w:r>
            <w:r w:rsidR="008E7DDA" w:rsidRPr="00062A40">
              <w:rPr>
                <w:sz w:val="21"/>
                <w:lang w:eastAsia="en-US"/>
              </w:rPr>
              <w:t>randomi</w:t>
            </w:r>
            <w:r w:rsidR="008E7DDA">
              <w:rPr>
                <w:sz w:val="21"/>
              </w:rPr>
              <w:t>s</w:t>
            </w:r>
            <w:r w:rsidR="008E7DDA" w:rsidRPr="00062A40">
              <w:rPr>
                <w:sz w:val="21"/>
                <w:lang w:eastAsia="en-US"/>
              </w:rPr>
              <w:t xml:space="preserve">ed </w:t>
            </w:r>
            <w:r w:rsidRPr="00062A40">
              <w:rPr>
                <w:sz w:val="21"/>
                <w:lang w:eastAsia="en-US"/>
              </w:rPr>
              <w:t>Analysis Set (observed cases)</w:t>
            </w:r>
          </w:p>
        </w:tc>
        <w:tc>
          <w:tcPr>
            <w:tcW w:w="2113" w:type="pct"/>
            <w:gridSpan w:val="2"/>
          </w:tcPr>
          <w:p w14:paraId="0C2DF030"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Per-protocol Analysis Set (observed cases)</w:t>
            </w:r>
          </w:p>
        </w:tc>
      </w:tr>
      <w:tr w:rsidR="008E7DDA" w:rsidRPr="00320FCF" w14:paraId="49FECC94" w14:textId="77777777" w:rsidTr="00062A40">
        <w:tc>
          <w:tcPr>
            <w:cnfStyle w:val="001000000000" w:firstRow="0" w:lastRow="0" w:firstColumn="1" w:lastColumn="0" w:oddVBand="0" w:evenVBand="0" w:oddHBand="0" w:evenHBand="0" w:firstRowFirstColumn="0" w:firstRowLastColumn="0" w:lastRowFirstColumn="0" w:lastRowLastColumn="0"/>
            <w:tcW w:w="830" w:type="pct"/>
          </w:tcPr>
          <w:p w14:paraId="71633114" w14:textId="77777777" w:rsidR="007C0FDC" w:rsidRPr="00062A40" w:rsidRDefault="007C0FDC" w:rsidP="008E7DDA">
            <w:pPr>
              <w:rPr>
                <w:sz w:val="21"/>
              </w:rPr>
            </w:pPr>
            <w:r w:rsidRPr="00062A40">
              <w:rPr>
                <w:sz w:val="21"/>
                <w:lang w:eastAsia="en-US"/>
              </w:rPr>
              <w:t>Week 32</w:t>
            </w:r>
          </w:p>
        </w:tc>
        <w:tc>
          <w:tcPr>
            <w:tcW w:w="1029" w:type="pct"/>
          </w:tcPr>
          <w:p w14:paraId="055ECE58"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-8.158</w:t>
            </w:r>
          </w:p>
          <w:p w14:paraId="211EC609"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(-20.487, 4.171)</w:t>
            </w:r>
          </w:p>
        </w:tc>
        <w:tc>
          <w:tcPr>
            <w:tcW w:w="1028" w:type="pct"/>
          </w:tcPr>
          <w:p w14:paraId="34A0065C"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-4.195</w:t>
            </w:r>
          </w:p>
          <w:p w14:paraId="7A20CF03"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(-18.099, 9.709)</w:t>
            </w:r>
          </w:p>
        </w:tc>
        <w:tc>
          <w:tcPr>
            <w:tcW w:w="1029" w:type="pct"/>
          </w:tcPr>
          <w:p w14:paraId="57B28CE4"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-11.782</w:t>
            </w:r>
          </w:p>
          <w:p w14:paraId="77D3E8C2"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(-24.909, 1.346)</w:t>
            </w:r>
          </w:p>
        </w:tc>
        <w:tc>
          <w:tcPr>
            <w:tcW w:w="1084" w:type="pct"/>
          </w:tcPr>
          <w:p w14:paraId="179543D4"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-6.428</w:t>
            </w:r>
          </w:p>
          <w:p w14:paraId="5457DE7A"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(-21.014, 8.158)</w:t>
            </w:r>
          </w:p>
        </w:tc>
      </w:tr>
      <w:tr w:rsidR="008E7DDA" w:rsidRPr="00320FCF" w14:paraId="3D62C1B8" w14:textId="77777777" w:rsidTr="00062A40">
        <w:tc>
          <w:tcPr>
            <w:cnfStyle w:val="001000000000" w:firstRow="0" w:lastRow="0" w:firstColumn="1" w:lastColumn="0" w:oddVBand="0" w:evenVBand="0" w:oddHBand="0" w:evenHBand="0" w:firstRowFirstColumn="0" w:firstRowLastColumn="0" w:lastRowFirstColumn="0" w:lastRowLastColumn="0"/>
            <w:tcW w:w="830" w:type="pct"/>
          </w:tcPr>
          <w:p w14:paraId="4EFB36F0" w14:textId="77777777" w:rsidR="007C0FDC" w:rsidRPr="00062A40" w:rsidRDefault="007C0FDC" w:rsidP="008E7DDA">
            <w:pPr>
              <w:rPr>
                <w:sz w:val="21"/>
              </w:rPr>
            </w:pPr>
            <w:r w:rsidRPr="00062A40">
              <w:rPr>
                <w:sz w:val="21"/>
                <w:lang w:eastAsia="en-US"/>
              </w:rPr>
              <w:t>Week 50</w:t>
            </w:r>
          </w:p>
        </w:tc>
        <w:tc>
          <w:tcPr>
            <w:tcW w:w="1029" w:type="pct"/>
          </w:tcPr>
          <w:p w14:paraId="1677619E"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-9.636</w:t>
            </w:r>
          </w:p>
          <w:p w14:paraId="7CE8A85C"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(-22.328, 3.056)</w:t>
            </w:r>
          </w:p>
        </w:tc>
        <w:tc>
          <w:tcPr>
            <w:tcW w:w="1028" w:type="pct"/>
          </w:tcPr>
          <w:p w14:paraId="048FD9F2"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-7.541</w:t>
            </w:r>
          </w:p>
          <w:p w14:paraId="1DA8CA98"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(-21.821, 6.738)</w:t>
            </w:r>
          </w:p>
        </w:tc>
        <w:tc>
          <w:tcPr>
            <w:tcW w:w="1029" w:type="pct"/>
          </w:tcPr>
          <w:p w14:paraId="6F70ED1A"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-9.991</w:t>
            </w:r>
          </w:p>
          <w:p w14:paraId="5A44EE03"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(-23.772, 3.789)</w:t>
            </w:r>
          </w:p>
        </w:tc>
        <w:tc>
          <w:tcPr>
            <w:tcW w:w="1084" w:type="pct"/>
          </w:tcPr>
          <w:p w14:paraId="216BD4C4"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-4.709</w:t>
            </w:r>
          </w:p>
          <w:p w14:paraId="40CE175A" w14:textId="77777777" w:rsidR="007C0FDC" w:rsidRPr="00062A40" w:rsidRDefault="007C0FDC" w:rsidP="008E7DDA">
            <w:pPr>
              <w:cnfStyle w:val="000000000000" w:firstRow="0" w:lastRow="0" w:firstColumn="0" w:lastColumn="0" w:oddVBand="0" w:evenVBand="0" w:oddHBand="0" w:evenHBand="0" w:firstRowFirstColumn="0" w:firstRowLastColumn="0" w:lastRowFirstColumn="0" w:lastRowLastColumn="0"/>
              <w:rPr>
                <w:sz w:val="21"/>
              </w:rPr>
            </w:pPr>
            <w:r w:rsidRPr="00062A40">
              <w:rPr>
                <w:sz w:val="21"/>
                <w:lang w:eastAsia="en-US"/>
              </w:rPr>
              <w:t>(-19.748, 10.331)</w:t>
            </w:r>
          </w:p>
        </w:tc>
      </w:tr>
    </w:tbl>
    <w:p w14:paraId="10AE8A83" w14:textId="36600A34" w:rsidR="007C0FDC" w:rsidRPr="00032BE3" w:rsidRDefault="007C0FDC" w:rsidP="006E5BA0">
      <w:pPr>
        <w:pStyle w:val="Tabletitle"/>
        <w:rPr>
          <w:lang w:eastAsia="ja-JP"/>
        </w:rPr>
      </w:pPr>
      <w:bookmarkStart w:id="474" w:name="_Toc471285634"/>
      <w:r w:rsidRPr="00032BE3">
        <w:t>Table</w:t>
      </w:r>
      <w:r>
        <w:t xml:space="preserve"> 43:</w:t>
      </w:r>
      <w:r w:rsidRPr="00032BE3">
        <w:t xml:space="preserve"> </w:t>
      </w:r>
      <w:r w:rsidRPr="00032BE3">
        <w:rPr>
          <w:lang w:eastAsia="ja-JP"/>
        </w:rPr>
        <w:t>Study 20120263 BSA involvement at Weeks 32 and 50 (mean change from baseline) (Re-</w:t>
      </w:r>
      <w:r w:rsidR="009B0FB8" w:rsidRPr="006E5BA0">
        <w:t>randomised</w:t>
      </w:r>
      <w:r w:rsidRPr="00032BE3">
        <w:rPr>
          <w:lang w:eastAsia="ja-JP"/>
        </w:rPr>
        <w:t xml:space="preserve"> Analysis Set (observed cases) and Per-protocol Analysis Set (observed cases))</w:t>
      </w:r>
      <w:bookmarkEnd w:id="474"/>
    </w:p>
    <w:tbl>
      <w:tblPr>
        <w:tblStyle w:val="TableTGAblue"/>
        <w:tblW w:w="5000" w:type="pct"/>
        <w:tblLook w:val="04A0" w:firstRow="1" w:lastRow="0" w:firstColumn="1" w:lastColumn="0" w:noHBand="0" w:noVBand="1"/>
      </w:tblPr>
      <w:tblGrid>
        <w:gridCol w:w="1849"/>
        <w:gridCol w:w="1849"/>
        <w:gridCol w:w="1848"/>
        <w:gridCol w:w="1848"/>
        <w:gridCol w:w="1848"/>
      </w:tblGrid>
      <w:tr w:rsidR="007C0FDC" w:rsidRPr="00320FCF" w14:paraId="628BEC08" w14:textId="77777777" w:rsidTr="002E64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tcPr>
          <w:p w14:paraId="13046ED4" w14:textId="77777777" w:rsidR="007C0FDC" w:rsidRPr="00320FCF" w:rsidRDefault="007C0FDC" w:rsidP="002E64CE">
            <w:pPr>
              <w:rPr>
                <w:sz w:val="20"/>
                <w:szCs w:val="20"/>
                <w:lang w:eastAsia="ja-JP"/>
              </w:rPr>
            </w:pPr>
            <w:r w:rsidRPr="00320FCF">
              <w:rPr>
                <w:sz w:val="20"/>
                <w:szCs w:val="20"/>
                <w:lang w:eastAsia="ja-JP"/>
              </w:rPr>
              <w:t>BSA involvement</w:t>
            </w:r>
          </w:p>
        </w:tc>
        <w:tc>
          <w:tcPr>
            <w:tcW w:w="1000" w:type="pct"/>
          </w:tcPr>
          <w:p w14:paraId="2C1C6713" w14:textId="77777777" w:rsidR="007C0FDC" w:rsidRPr="00320FCF"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Treatment difference between A and B1 (95% CI)</w:t>
            </w:r>
          </w:p>
        </w:tc>
        <w:tc>
          <w:tcPr>
            <w:tcW w:w="1000" w:type="pct"/>
          </w:tcPr>
          <w:p w14:paraId="58AB163F" w14:textId="77777777" w:rsidR="007C0FDC" w:rsidRPr="00320FCF"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Treatment difference between B2 and B1 (95% CI)</w:t>
            </w:r>
          </w:p>
        </w:tc>
        <w:tc>
          <w:tcPr>
            <w:tcW w:w="1000" w:type="pct"/>
          </w:tcPr>
          <w:p w14:paraId="368160A1" w14:textId="77777777" w:rsidR="007C0FDC" w:rsidRPr="00320FCF"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Treatment difference between A and B1 (95% CI)</w:t>
            </w:r>
          </w:p>
        </w:tc>
        <w:tc>
          <w:tcPr>
            <w:tcW w:w="1000" w:type="pct"/>
          </w:tcPr>
          <w:p w14:paraId="1C64CFFD" w14:textId="77777777" w:rsidR="007C0FDC" w:rsidRPr="00320FCF" w:rsidRDefault="007C0FDC" w:rsidP="002E64C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Treatment difference between B2 and B1 (95% CI)</w:t>
            </w:r>
          </w:p>
        </w:tc>
      </w:tr>
      <w:tr w:rsidR="007C0FDC" w:rsidRPr="00320FCF" w14:paraId="6907B3AE"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2CEAE7EB" w14:textId="77777777" w:rsidR="007C0FDC" w:rsidRPr="00320FCF" w:rsidRDefault="007C0FDC" w:rsidP="002E64CE">
            <w:pPr>
              <w:rPr>
                <w:sz w:val="20"/>
                <w:szCs w:val="20"/>
                <w:lang w:eastAsia="ja-JP"/>
              </w:rPr>
            </w:pPr>
          </w:p>
        </w:tc>
        <w:tc>
          <w:tcPr>
            <w:tcW w:w="2000" w:type="pct"/>
            <w:gridSpan w:val="2"/>
          </w:tcPr>
          <w:p w14:paraId="4ACFE342" w14:textId="1D742FE1"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Re-randomi</w:t>
            </w:r>
            <w:r w:rsidR="008E7DDA">
              <w:rPr>
                <w:sz w:val="20"/>
                <w:szCs w:val="20"/>
                <w:lang w:eastAsia="ja-JP"/>
              </w:rPr>
              <w:t>s</w:t>
            </w:r>
            <w:r w:rsidRPr="00320FCF">
              <w:rPr>
                <w:sz w:val="20"/>
                <w:szCs w:val="20"/>
                <w:lang w:eastAsia="ja-JP"/>
              </w:rPr>
              <w:t>ed Analysis Set (observed cases)</w:t>
            </w:r>
          </w:p>
        </w:tc>
        <w:tc>
          <w:tcPr>
            <w:tcW w:w="2000" w:type="pct"/>
            <w:gridSpan w:val="2"/>
          </w:tcPr>
          <w:p w14:paraId="244E405B"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Per-protocol Analysis Set (observed cases)</w:t>
            </w:r>
          </w:p>
        </w:tc>
      </w:tr>
      <w:tr w:rsidR="007C0FDC" w:rsidRPr="00320FCF" w14:paraId="5DA3E75A"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67850522" w14:textId="77777777" w:rsidR="007C0FDC" w:rsidRPr="00320FCF" w:rsidRDefault="007C0FDC" w:rsidP="002E64CE">
            <w:pPr>
              <w:rPr>
                <w:sz w:val="20"/>
                <w:szCs w:val="20"/>
                <w:lang w:eastAsia="ja-JP"/>
              </w:rPr>
            </w:pPr>
            <w:r w:rsidRPr="00320FCF">
              <w:rPr>
                <w:sz w:val="20"/>
                <w:szCs w:val="20"/>
                <w:lang w:eastAsia="ja-JP"/>
              </w:rPr>
              <w:t>Week 32</w:t>
            </w:r>
          </w:p>
        </w:tc>
        <w:tc>
          <w:tcPr>
            <w:tcW w:w="1000" w:type="pct"/>
          </w:tcPr>
          <w:p w14:paraId="7522CAE8"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1.51</w:t>
            </w:r>
          </w:p>
          <w:p w14:paraId="52CF1327"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(-0.44, 3.46)</w:t>
            </w:r>
          </w:p>
        </w:tc>
        <w:tc>
          <w:tcPr>
            <w:tcW w:w="1000" w:type="pct"/>
          </w:tcPr>
          <w:p w14:paraId="6D1E9628"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0.83</w:t>
            </w:r>
          </w:p>
          <w:p w14:paraId="49737850"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(-1.41, 3.07)</w:t>
            </w:r>
          </w:p>
        </w:tc>
        <w:tc>
          <w:tcPr>
            <w:tcW w:w="1000" w:type="pct"/>
          </w:tcPr>
          <w:p w14:paraId="6DDB7199"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0.76</w:t>
            </w:r>
          </w:p>
          <w:p w14:paraId="16A1E0F0"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(-1.01, 2.53)</w:t>
            </w:r>
          </w:p>
        </w:tc>
        <w:tc>
          <w:tcPr>
            <w:tcW w:w="1000" w:type="pct"/>
          </w:tcPr>
          <w:p w14:paraId="5B3F0F75"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-0.05</w:t>
            </w:r>
          </w:p>
          <w:p w14:paraId="1D40E528"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(-2.08, 1.99)</w:t>
            </w:r>
          </w:p>
        </w:tc>
      </w:tr>
      <w:tr w:rsidR="007C0FDC" w:rsidRPr="00320FCF" w14:paraId="393DE3AE" w14:textId="77777777" w:rsidTr="002E64CE">
        <w:tc>
          <w:tcPr>
            <w:cnfStyle w:val="001000000000" w:firstRow="0" w:lastRow="0" w:firstColumn="1" w:lastColumn="0" w:oddVBand="0" w:evenVBand="0" w:oddHBand="0" w:evenHBand="0" w:firstRowFirstColumn="0" w:firstRowLastColumn="0" w:lastRowFirstColumn="0" w:lastRowLastColumn="0"/>
            <w:tcW w:w="1000" w:type="pct"/>
          </w:tcPr>
          <w:p w14:paraId="73EF4DE5" w14:textId="77777777" w:rsidR="007C0FDC" w:rsidRPr="00320FCF" w:rsidRDefault="007C0FDC" w:rsidP="002E64CE">
            <w:pPr>
              <w:rPr>
                <w:sz w:val="20"/>
                <w:szCs w:val="20"/>
                <w:lang w:eastAsia="ja-JP"/>
              </w:rPr>
            </w:pPr>
            <w:r w:rsidRPr="00320FCF">
              <w:rPr>
                <w:sz w:val="20"/>
                <w:szCs w:val="20"/>
                <w:lang w:eastAsia="ja-JP"/>
              </w:rPr>
              <w:t>Week 50</w:t>
            </w:r>
          </w:p>
        </w:tc>
        <w:tc>
          <w:tcPr>
            <w:tcW w:w="1000" w:type="pct"/>
          </w:tcPr>
          <w:p w14:paraId="3E8C411A"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0.99</w:t>
            </w:r>
          </w:p>
          <w:p w14:paraId="25AA667A"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(-0.91, 2.90)</w:t>
            </w:r>
          </w:p>
        </w:tc>
        <w:tc>
          <w:tcPr>
            <w:tcW w:w="1000" w:type="pct"/>
          </w:tcPr>
          <w:p w14:paraId="152A1C9B"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0.63</w:t>
            </w:r>
          </w:p>
          <w:p w14:paraId="0B982853"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(-1.55, 2.81)</w:t>
            </w:r>
          </w:p>
        </w:tc>
        <w:tc>
          <w:tcPr>
            <w:tcW w:w="1000" w:type="pct"/>
          </w:tcPr>
          <w:p w14:paraId="674FAC9A"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0.84</w:t>
            </w:r>
          </w:p>
          <w:p w14:paraId="769D6F7A"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(-1.20, 2.88)</w:t>
            </w:r>
          </w:p>
        </w:tc>
        <w:tc>
          <w:tcPr>
            <w:tcW w:w="1000" w:type="pct"/>
          </w:tcPr>
          <w:p w14:paraId="10CA8BDE"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0.33</w:t>
            </w:r>
          </w:p>
          <w:p w14:paraId="45647088" w14:textId="77777777" w:rsidR="007C0FDC" w:rsidRPr="00320FCF" w:rsidRDefault="007C0FDC" w:rsidP="002E64C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320FCF">
              <w:rPr>
                <w:sz w:val="20"/>
                <w:szCs w:val="20"/>
                <w:lang w:eastAsia="ja-JP"/>
              </w:rPr>
              <w:t>(-2.01, 2.68)</w:t>
            </w:r>
          </w:p>
        </w:tc>
      </w:tr>
    </w:tbl>
    <w:p w14:paraId="16544EA0" w14:textId="62FC9594" w:rsidR="007C0FDC" w:rsidRPr="00805A90" w:rsidRDefault="007C0FDC" w:rsidP="00805A90">
      <w:pPr>
        <w:pStyle w:val="Heading4"/>
        <w:numPr>
          <w:ilvl w:val="0"/>
          <w:numId w:val="0"/>
        </w:numPr>
        <w:ind w:left="1134" w:hanging="964"/>
        <w:rPr>
          <w:i/>
        </w:rPr>
      </w:pPr>
      <w:r w:rsidRPr="00805A90">
        <w:rPr>
          <w:i/>
        </w:rPr>
        <w:lastRenderedPageBreak/>
        <w:t>Evaluator</w:t>
      </w:r>
      <w:r w:rsidR="008E7DDA" w:rsidRPr="00805A90">
        <w:rPr>
          <w:i/>
        </w:rPr>
        <w:t>’s response</w:t>
      </w:r>
      <w:r w:rsidR="00805A90">
        <w:rPr>
          <w:i/>
        </w:rPr>
        <w:t>:</w:t>
      </w:r>
    </w:p>
    <w:p w14:paraId="3B58FD62" w14:textId="58F8FC0B" w:rsidR="007C0FDC" w:rsidRPr="006C4568" w:rsidRDefault="007C0FDC" w:rsidP="00805A90">
      <w:pPr>
        <w:ind w:left="142"/>
        <w:rPr>
          <w:lang w:eastAsia="ja-JP"/>
        </w:rPr>
      </w:pPr>
      <w:r w:rsidRPr="006C4568">
        <w:rPr>
          <w:lang w:eastAsia="ja-JP"/>
        </w:rPr>
        <w:t>The Per-protocol Analysis Set (per-protocol principle) provided a more conservative estimate of equivalence, and was therefore requested additional to the Re-</w:t>
      </w:r>
      <w:r w:rsidR="009B0FB8">
        <w:rPr>
          <w:lang w:eastAsia="ja-JP"/>
        </w:rPr>
        <w:t>randomised</w:t>
      </w:r>
      <w:r w:rsidRPr="006C4568">
        <w:rPr>
          <w:lang w:eastAsia="ja-JP"/>
        </w:rPr>
        <w:t xml:space="preserve"> Analysis Set (intention-to-treat principle).</w:t>
      </w:r>
    </w:p>
    <w:p w14:paraId="5FFD6759" w14:textId="62EA2768" w:rsidR="007C0FDC" w:rsidRPr="006C4568" w:rsidRDefault="007C0FDC" w:rsidP="00805A90">
      <w:pPr>
        <w:ind w:left="142"/>
        <w:rPr>
          <w:lang w:eastAsia="ja-JP"/>
        </w:rPr>
      </w:pPr>
      <w:r w:rsidRPr="006C4568">
        <w:rPr>
          <w:lang w:eastAsia="ja-JP"/>
        </w:rPr>
        <w:t>There seem to be no significant differences between treatment groups for ‘PASI percent improvement from baseline’ and ‘BSA involvement’. This is the case for both the Re-</w:t>
      </w:r>
      <w:r w:rsidR="009B0FB8">
        <w:rPr>
          <w:lang w:eastAsia="ja-JP"/>
        </w:rPr>
        <w:t>randomised</w:t>
      </w:r>
      <w:r w:rsidRPr="006C4568">
        <w:rPr>
          <w:lang w:eastAsia="ja-JP"/>
        </w:rPr>
        <w:t xml:space="preserve"> Analysis Set and the Per-protocol Analysis Set.</w:t>
      </w:r>
    </w:p>
    <w:p w14:paraId="1772BDDE" w14:textId="4BF6B2D2" w:rsidR="007C0FDC" w:rsidRPr="006C4568" w:rsidRDefault="007C0FDC" w:rsidP="00805A90">
      <w:pPr>
        <w:ind w:left="142"/>
        <w:rPr>
          <w:lang w:eastAsia="ja-JP"/>
        </w:rPr>
      </w:pPr>
      <w:r w:rsidRPr="006C4568">
        <w:rPr>
          <w:lang w:eastAsia="ja-JP"/>
        </w:rPr>
        <w:t>With regard to ‘PASI 75 response’ and ‘sPGA positive responses (0/1)’ treatment effect appears to be slightly lower in the ABP 501/ABP 501 group (group A). This is the case for both the Re-</w:t>
      </w:r>
      <w:r w:rsidR="009B0FB8">
        <w:rPr>
          <w:lang w:eastAsia="ja-JP"/>
        </w:rPr>
        <w:t>randomised</w:t>
      </w:r>
      <w:r w:rsidRPr="006C4568">
        <w:rPr>
          <w:lang w:eastAsia="ja-JP"/>
        </w:rPr>
        <w:t xml:space="preserve"> Analysis Set and the Per-protocol Analysis Set, and more pronounced in the pre-protocol analysis, as expected.</w:t>
      </w:r>
    </w:p>
    <w:p w14:paraId="27EA9CC8" w14:textId="77777777" w:rsidR="007C0FDC" w:rsidRPr="006C4568" w:rsidRDefault="007C0FDC" w:rsidP="00805A90">
      <w:pPr>
        <w:ind w:left="142"/>
        <w:rPr>
          <w:lang w:eastAsia="ja-JP"/>
        </w:rPr>
      </w:pPr>
      <w:r w:rsidRPr="006C4568">
        <w:rPr>
          <w:lang w:eastAsia="ja-JP"/>
        </w:rPr>
        <w:t>The ‘PASI percent improvement from baseline’ and ‘BSA involvement’ involve continuous variables, whereas ‘PASI 75 response’ and ‘sPGA positive responses (0/1)’ involve categorical variables. Using categorical variables can be problematic and continuous variables are more suitable for equivalence trials (</w:t>
      </w:r>
      <w:r>
        <w:rPr>
          <w:lang w:eastAsia="ja-JP"/>
        </w:rPr>
        <w:t>for example,</w:t>
      </w:r>
      <w:r w:rsidRPr="006C4568">
        <w:rPr>
          <w:lang w:eastAsia="ja-JP"/>
        </w:rPr>
        <w:t xml:space="preserve"> to detect smaller differences in treatment effect)</w:t>
      </w:r>
      <w:r>
        <w:rPr>
          <w:lang w:eastAsia="ja-JP"/>
        </w:rPr>
        <w:t xml:space="preserve">. The secondary endpoints that used </w:t>
      </w:r>
      <w:r w:rsidRPr="006C4568">
        <w:rPr>
          <w:lang w:eastAsia="ja-JP"/>
        </w:rPr>
        <w:t>continuous variables</w:t>
      </w:r>
      <w:r>
        <w:rPr>
          <w:lang w:eastAsia="ja-JP"/>
        </w:rPr>
        <w:t xml:space="preserve"> produced a satisfactory result.</w:t>
      </w:r>
    </w:p>
    <w:p w14:paraId="6E8D61CC" w14:textId="77777777" w:rsidR="007C0FDC" w:rsidRDefault="007C0FDC" w:rsidP="00805A90">
      <w:pPr>
        <w:ind w:left="142"/>
        <w:rPr>
          <w:sz w:val="16"/>
          <w:szCs w:val="16"/>
          <w:lang w:eastAsia="ja-JP"/>
        </w:rPr>
      </w:pPr>
      <w:r w:rsidRPr="006C4568">
        <w:rPr>
          <w:lang w:eastAsia="ja-JP"/>
        </w:rPr>
        <w:t>Overall, the results of the secondary efficacy endpoints were generally supportive of equivalence and efficacy throughout the study.</w:t>
      </w:r>
    </w:p>
    <w:p w14:paraId="40EDB157" w14:textId="77777777" w:rsidR="007C0FDC" w:rsidRPr="00364D12" w:rsidRDefault="007C0FDC" w:rsidP="007C0FDC">
      <w:pPr>
        <w:pStyle w:val="Numberbullet0"/>
        <w:numPr>
          <w:ilvl w:val="0"/>
          <w:numId w:val="8"/>
        </w:numPr>
        <w:ind w:left="425"/>
        <w:rPr>
          <w:i/>
          <w:lang w:eastAsia="ja-JP"/>
        </w:rPr>
      </w:pPr>
      <w:r w:rsidRPr="00364D12">
        <w:rPr>
          <w:i/>
          <w:lang w:eastAsia="ja-JP"/>
        </w:rPr>
        <w:t>The sponsor has not provided a bridging study to link either Humira (US) or Humira (EU) to the Humira product supplied in the Australian market. The sponsor should provide confirmation that one of the Humira reference products tested is identical to the Australian-supplied product.</w:t>
      </w:r>
    </w:p>
    <w:p w14:paraId="79B93589" w14:textId="0F034BF9" w:rsidR="007C0FDC" w:rsidRPr="00805A90" w:rsidRDefault="007C0FDC" w:rsidP="00805A90">
      <w:pPr>
        <w:pStyle w:val="Heading4"/>
        <w:numPr>
          <w:ilvl w:val="0"/>
          <w:numId w:val="0"/>
        </w:numPr>
        <w:ind w:left="1134" w:hanging="992"/>
        <w:rPr>
          <w:i/>
        </w:rPr>
      </w:pPr>
      <w:r w:rsidRPr="00805A90">
        <w:rPr>
          <w:i/>
        </w:rPr>
        <w:t>Sponsor</w:t>
      </w:r>
      <w:r w:rsidR="00266164" w:rsidRPr="00805A90">
        <w:rPr>
          <w:i/>
        </w:rPr>
        <w:t>’s</w:t>
      </w:r>
      <w:r w:rsidRPr="00805A90">
        <w:rPr>
          <w:i/>
        </w:rPr>
        <w:t xml:space="preserve"> response</w:t>
      </w:r>
      <w:r w:rsidR="00805A90" w:rsidRPr="00805A90">
        <w:rPr>
          <w:i/>
        </w:rPr>
        <w:t>:</w:t>
      </w:r>
    </w:p>
    <w:p w14:paraId="5147CE4B" w14:textId="52370DA9" w:rsidR="007C0FDC" w:rsidRPr="00DF6571" w:rsidRDefault="007C0FDC" w:rsidP="00805A90">
      <w:pPr>
        <w:ind w:left="142"/>
        <w:rPr>
          <w:lang w:eastAsia="ja-JP"/>
        </w:rPr>
      </w:pPr>
      <w:r w:rsidRPr="00DF6571">
        <w:rPr>
          <w:lang w:eastAsia="ja-JP"/>
        </w:rPr>
        <w:t xml:space="preserve">As noted in the </w:t>
      </w:r>
      <w:r w:rsidR="00266164" w:rsidRPr="00DF6571">
        <w:rPr>
          <w:lang w:eastAsia="ja-JP"/>
        </w:rPr>
        <w:t>clinical evaluation report</w:t>
      </w:r>
      <w:r w:rsidRPr="00DF6571">
        <w:rPr>
          <w:lang w:eastAsia="ja-JP"/>
        </w:rPr>
        <w:t>, a full justification demonstrating that Humira available in Australia is comparable to Humira available in the EU or US was provided in the initial submission to register Amgevita. The clinical evaluator notes that ‘the justification will be evaluated’, but no further comment is provided. It is therefore unclear whether the evaluator has specifically assessed the rationale.</w:t>
      </w:r>
    </w:p>
    <w:p w14:paraId="4AC1E119" w14:textId="58525606" w:rsidR="007C0FDC" w:rsidRDefault="007C0FDC" w:rsidP="00805A90">
      <w:pPr>
        <w:ind w:left="142"/>
        <w:rPr>
          <w:lang w:eastAsia="ja-JP"/>
        </w:rPr>
      </w:pPr>
      <w:r w:rsidRPr="00DF6571">
        <w:rPr>
          <w:lang w:eastAsia="ja-JP"/>
        </w:rPr>
        <w:t xml:space="preserve">The ‘Australian Regulatory Guideline for Prescription Medicines, Regulation of Biosimilar Medicines’ states that a ‘bridging study may be abridged or omitted if you include evidence that the medicine is manufactured in a single site for global distribution’. </w:t>
      </w:r>
      <w:r w:rsidR="00266164">
        <w:rPr>
          <w:lang w:eastAsia="ja-JP"/>
        </w:rPr>
        <w:t>The sponsor</w:t>
      </w:r>
      <w:r w:rsidR="00266164" w:rsidRPr="00DF6571">
        <w:rPr>
          <w:lang w:eastAsia="ja-JP"/>
        </w:rPr>
        <w:t xml:space="preserve"> </w:t>
      </w:r>
      <w:r w:rsidRPr="00DF6571">
        <w:rPr>
          <w:lang w:eastAsia="ja-JP"/>
        </w:rPr>
        <w:t>believes that the justification provided in the initial submission, together with further rationale provided in Response to Module 3 Question 26</w:t>
      </w:r>
      <w:r>
        <w:rPr>
          <w:lang w:eastAsia="ja-JP"/>
        </w:rPr>
        <w:t xml:space="preserve"> [not provided here]</w:t>
      </w:r>
      <w:r w:rsidRPr="00DF6571">
        <w:rPr>
          <w:lang w:eastAsia="ja-JP"/>
        </w:rPr>
        <w:t>, provides sufficient evidence to demonstrate that Australian Humira is manufactured at a ‘single site’ for global distribution and that the Humira reference products tested are therefore the same as the Australian product. The criteria for not providing a bridging study, as cited in the guid</w:t>
      </w:r>
      <w:r w:rsidR="006E5BA0">
        <w:rPr>
          <w:lang w:eastAsia="ja-JP"/>
        </w:rPr>
        <w:t>eline, have therefore been met.</w:t>
      </w:r>
    </w:p>
    <w:p w14:paraId="0AE54B5C" w14:textId="77777777" w:rsidR="007C0FDC" w:rsidRDefault="007C0FDC" w:rsidP="00805A90">
      <w:pPr>
        <w:ind w:left="142"/>
        <w:rPr>
          <w:lang w:eastAsia="ja-JP"/>
        </w:rPr>
      </w:pPr>
      <w:r>
        <w:rPr>
          <w:lang w:eastAsia="ja-JP"/>
        </w:rPr>
        <w:t>The sponsor response to Question 26 by the TGA quality (Module 3) evaluator is as follows:</w:t>
      </w:r>
    </w:p>
    <w:p w14:paraId="1988C2A5" w14:textId="2513F166" w:rsidR="007C0FDC" w:rsidRPr="00D072FC" w:rsidRDefault="00266164" w:rsidP="00266164">
      <w:pPr>
        <w:ind w:left="720"/>
        <w:rPr>
          <w:lang w:eastAsia="ja-JP"/>
        </w:rPr>
      </w:pPr>
      <w:r>
        <w:rPr>
          <w:lang w:eastAsia="ja-JP"/>
        </w:rPr>
        <w:t>‘The sponsor</w:t>
      </w:r>
      <w:r w:rsidRPr="00D072FC">
        <w:rPr>
          <w:lang w:eastAsia="ja-JP"/>
        </w:rPr>
        <w:t xml:space="preserve"> </w:t>
      </w:r>
      <w:r w:rsidR="007C0FDC" w:rsidRPr="00D072FC">
        <w:rPr>
          <w:lang w:eastAsia="ja-JP"/>
        </w:rPr>
        <w:t>acknowledges that the ‘Australian Regulatory Guideline for Prescription Medicines, Regulation of Biosimilar Medicines’ states that where comparability studies do not use Australian reference product, a bridging study must be provided to demonstrate relevance to the Australian product. However, the guideline also states that a ‘bridging study may be abridged or omitted if you include evidence that the medicine is manufactured in a single site for global distribution’. The ABP 501 biosimilar studies used non-Australian reference products (EU Humira and US Humira). Amgen believes that the justification provided in the current submission provides sufficient evidence to demonstrate that a bridging study to Australian Humira is not necessary.</w:t>
      </w:r>
    </w:p>
    <w:p w14:paraId="2E9FEC97" w14:textId="77777777" w:rsidR="007C0FDC" w:rsidRPr="00D072FC" w:rsidRDefault="007C0FDC" w:rsidP="006E5BA0">
      <w:pPr>
        <w:keepNext/>
        <w:ind w:left="720"/>
        <w:rPr>
          <w:lang w:eastAsia="ja-JP"/>
        </w:rPr>
      </w:pPr>
      <w:r w:rsidRPr="00D072FC">
        <w:rPr>
          <w:lang w:eastAsia="ja-JP"/>
        </w:rPr>
        <w:t>Further evidence to support the arguments presented are as follows:</w:t>
      </w:r>
    </w:p>
    <w:p w14:paraId="48441C9F" w14:textId="0920AA34" w:rsidR="007C0FDC" w:rsidRPr="00D072FC" w:rsidRDefault="007C0FDC" w:rsidP="006E5BA0">
      <w:pPr>
        <w:pStyle w:val="ListBullet"/>
        <w:ind w:left="1134"/>
        <w:rPr>
          <w:lang w:eastAsia="ja-JP"/>
        </w:rPr>
      </w:pPr>
      <w:r w:rsidRPr="00D072FC">
        <w:rPr>
          <w:lang w:eastAsia="ja-JP"/>
        </w:rPr>
        <w:lastRenderedPageBreak/>
        <w:t>Humira (adalimumab) is an innovator product marketed globally. While several manufacturing sites may be utilised for global supply of Humira, comparability between sites is required in order for each site to be registered. Once comparability is established between sites, Humira is considered the same irrespective of the site of manufacture. As such, Humira manufactured at different sites is considered the same product and for the purpose of compliance with the above-mentioned guideline can be considered as manufactured at a ‘single manufacturing site’.</w:t>
      </w:r>
    </w:p>
    <w:p w14:paraId="780AC957" w14:textId="77777777" w:rsidR="007C0FDC" w:rsidRPr="00D072FC" w:rsidRDefault="007C0FDC" w:rsidP="006E5BA0">
      <w:pPr>
        <w:pStyle w:val="ListBullet"/>
        <w:ind w:left="1134"/>
        <w:rPr>
          <w:lang w:eastAsia="ja-JP"/>
        </w:rPr>
      </w:pPr>
      <w:r w:rsidRPr="00D072FC">
        <w:rPr>
          <w:lang w:eastAsia="ja-JP"/>
        </w:rPr>
        <w:t xml:space="preserve">The Australian drug substance manufacturing sites are no longer protected information given 5 years have passed since the goods have been registered. Under Section 25A(e) of the </w:t>
      </w:r>
      <w:r w:rsidRPr="002F1333">
        <w:rPr>
          <w:i/>
          <w:lang w:eastAsia="ja-JP"/>
        </w:rPr>
        <w:t>Therapeutic Goods Act 1989</w:t>
      </w:r>
      <w:r w:rsidRPr="00D072FC">
        <w:rPr>
          <w:lang w:eastAsia="ja-JP"/>
        </w:rPr>
        <w:t>, Amgen requests that the TGA access the Australian Register of Therapeutic Goods for Humira to confirm the Australian drug substance manufacturing sites are the same as those registered in Europe, as shown in Humira SmPC 2016 Annex II A. This should confirm drug substance manufacture for the European reference product is the same as for the Australian product. Although the sites of European (or US) drug product manufacture are not publically available, drug substance manufacture is more relevant as a predictor of biological molecule similarity.</w:t>
      </w:r>
    </w:p>
    <w:p w14:paraId="50DAF6AE" w14:textId="452E3FB1" w:rsidR="007C0FDC" w:rsidRDefault="00266164" w:rsidP="00062A40">
      <w:pPr>
        <w:ind w:left="720"/>
        <w:rPr>
          <w:lang w:eastAsia="ja-JP"/>
        </w:rPr>
      </w:pPr>
      <w:r>
        <w:rPr>
          <w:lang w:eastAsia="ja-JP"/>
        </w:rPr>
        <w:t>The sponsor</w:t>
      </w:r>
      <w:r w:rsidRPr="00D072FC">
        <w:rPr>
          <w:lang w:eastAsia="ja-JP"/>
        </w:rPr>
        <w:t xml:space="preserve"> </w:t>
      </w:r>
      <w:r w:rsidR="007C0FDC" w:rsidRPr="00D072FC">
        <w:rPr>
          <w:lang w:eastAsia="ja-JP"/>
        </w:rPr>
        <w:t>has justified that the comparability studies presented in the marketing application meet the requirements of the ‘Australian Regulatory Guideline for Prescription Medicine, Regulation of Biosimilar Medicines’ by establishing that Humira (</w:t>
      </w:r>
      <w:proofErr w:type="gramStart"/>
      <w:r w:rsidR="007C0FDC" w:rsidRPr="00D072FC">
        <w:rPr>
          <w:lang w:eastAsia="ja-JP"/>
        </w:rPr>
        <w:t>adalimumab</w:t>
      </w:r>
      <w:proofErr w:type="gramEnd"/>
      <w:r w:rsidR="007C0FDC" w:rsidRPr="00D072FC">
        <w:rPr>
          <w:lang w:eastAsia="ja-JP"/>
        </w:rPr>
        <w:t>) is manufactured at the same sites for global distribution. Furthermore, Amgen has demonstrated that Humira available in Australia has the same indications, and dosing regimen from the product available in the EU and US. Provision of a bridging study to demonstrate comparability of Humira available in Australia with the EU and US reference products is therefore not required</w:t>
      </w:r>
      <w:r>
        <w:rPr>
          <w:lang w:eastAsia="ja-JP"/>
        </w:rPr>
        <w:t>’</w:t>
      </w:r>
      <w:r w:rsidR="007C0FDC" w:rsidRPr="00D072FC">
        <w:rPr>
          <w:lang w:eastAsia="ja-JP"/>
        </w:rPr>
        <w:t>.</w:t>
      </w:r>
    </w:p>
    <w:p w14:paraId="7B365696" w14:textId="0C8656F1" w:rsidR="007C0FDC" w:rsidRPr="00805A90" w:rsidRDefault="007C0FDC" w:rsidP="00805A90">
      <w:pPr>
        <w:pStyle w:val="Heading4"/>
        <w:numPr>
          <w:ilvl w:val="0"/>
          <w:numId w:val="0"/>
        </w:numPr>
        <w:ind w:left="1134" w:hanging="964"/>
        <w:rPr>
          <w:i/>
          <w:szCs w:val="22"/>
        </w:rPr>
      </w:pPr>
      <w:r w:rsidRPr="00805A90">
        <w:rPr>
          <w:i/>
        </w:rPr>
        <w:t>Evaluator</w:t>
      </w:r>
      <w:r w:rsidR="00266164" w:rsidRPr="00805A90">
        <w:rPr>
          <w:i/>
        </w:rPr>
        <w:t>’s</w:t>
      </w:r>
      <w:r w:rsidRPr="00805A90">
        <w:rPr>
          <w:i/>
        </w:rPr>
        <w:t xml:space="preserve"> comment</w:t>
      </w:r>
      <w:r w:rsidR="00805A90">
        <w:rPr>
          <w:i/>
        </w:rPr>
        <w:t>:</w:t>
      </w:r>
    </w:p>
    <w:p w14:paraId="6EA4AF7A" w14:textId="402D67E6" w:rsidR="007C0FDC" w:rsidRDefault="007C0FDC" w:rsidP="00805A90">
      <w:pPr>
        <w:ind w:left="142"/>
        <w:rPr>
          <w:lang w:eastAsia="ja-JP"/>
        </w:rPr>
      </w:pPr>
      <w:r w:rsidRPr="00C304B4">
        <w:rPr>
          <w:lang w:eastAsia="ja-JP"/>
        </w:rPr>
        <w:t xml:space="preserve">The clinical evaluator acknowledges the rationale and reasoning given by the sponsor. It is highly unlikely that </w:t>
      </w:r>
      <w:r>
        <w:rPr>
          <w:lang w:eastAsia="ja-JP"/>
        </w:rPr>
        <w:t>Humira</w:t>
      </w:r>
      <w:r w:rsidRPr="00C304B4">
        <w:rPr>
          <w:lang w:eastAsia="ja-JP"/>
        </w:rPr>
        <w:t xml:space="preserve"> products in different countries with rather similar regulatory requirements (in this case: the US, the EU, and Australia) would be significantly different from each other, and that there would be significant clinical differences. Even though the sponsor’s justification is acceptable for clinical evaluation purposes at this stage, the quality and non-clinical evaluator may require further evidence for their purposes</w:t>
      </w:r>
      <w:r w:rsidR="002F1333">
        <w:rPr>
          <w:lang w:eastAsia="ja-JP"/>
        </w:rPr>
        <w:t>.</w:t>
      </w:r>
    </w:p>
    <w:p w14:paraId="3EECC63E" w14:textId="1A4E48FD" w:rsidR="007C0FDC" w:rsidRPr="00364D12" w:rsidRDefault="007C0FDC" w:rsidP="007C0FDC">
      <w:pPr>
        <w:pStyle w:val="Numberbullet0"/>
        <w:numPr>
          <w:ilvl w:val="0"/>
          <w:numId w:val="8"/>
        </w:numPr>
        <w:ind w:left="425"/>
        <w:rPr>
          <w:i/>
          <w:lang w:eastAsia="ja-JP"/>
        </w:rPr>
      </w:pPr>
      <w:r w:rsidRPr="00364D12">
        <w:rPr>
          <w:i/>
          <w:lang w:eastAsia="ja-JP"/>
        </w:rPr>
        <w:t>A small literature review of anti-adalimumab antibodies (Hsu et al., 2014) revealed a proportion range of 6</w:t>
      </w:r>
      <w:r w:rsidR="00266164">
        <w:rPr>
          <w:i/>
          <w:lang w:eastAsia="ja-JP"/>
        </w:rPr>
        <w:t xml:space="preserve"> to </w:t>
      </w:r>
      <w:r w:rsidRPr="00364D12">
        <w:rPr>
          <w:i/>
          <w:lang w:eastAsia="ja-JP"/>
        </w:rPr>
        <w:t>45% of subjects tested which is lower compared to the results of the sponsor’s psoriasis study. The sponsor should comment on the discrepancy.</w:t>
      </w:r>
    </w:p>
    <w:p w14:paraId="1C7E1A28" w14:textId="18C219F8" w:rsidR="007C0FDC" w:rsidRPr="00805A90" w:rsidRDefault="007C0FDC" w:rsidP="00805A90">
      <w:pPr>
        <w:pStyle w:val="Heading4"/>
        <w:numPr>
          <w:ilvl w:val="0"/>
          <w:numId w:val="0"/>
        </w:numPr>
        <w:ind w:left="1134" w:hanging="964"/>
        <w:rPr>
          <w:i/>
        </w:rPr>
      </w:pPr>
      <w:r w:rsidRPr="00805A90">
        <w:rPr>
          <w:i/>
        </w:rPr>
        <w:t>Sponsor response</w:t>
      </w:r>
      <w:r w:rsidR="00805A90" w:rsidRPr="00805A90">
        <w:rPr>
          <w:i/>
        </w:rPr>
        <w:t>:</w:t>
      </w:r>
    </w:p>
    <w:p w14:paraId="2CBE3E02" w14:textId="28674E0A" w:rsidR="007C0FDC" w:rsidRPr="00DF6571" w:rsidRDefault="00266164" w:rsidP="00805A90">
      <w:pPr>
        <w:ind w:left="142"/>
        <w:rPr>
          <w:lang w:eastAsia="ja-JP"/>
        </w:rPr>
      </w:pPr>
      <w:r>
        <w:rPr>
          <w:lang w:eastAsia="ja-JP"/>
        </w:rPr>
        <w:t>The sponsor</w:t>
      </w:r>
      <w:r w:rsidR="007C0FDC" w:rsidRPr="00DF6571">
        <w:rPr>
          <w:lang w:eastAsia="ja-JP"/>
        </w:rPr>
        <w:t xml:space="preserve"> acknowledges the finding of lower incidence of anti-adalimumab antibodies in the literature as compared to the incidence of anti-drug antibody in the studies for ABP 501. The higher rates of anti-drug antibodies observed in ABP 501 clinical studies is the result of improvements in bioanalytical assays that now allow for anti-adalimumab antibodies that were always present in adalimumab-treated patients but are now detectable. Over the years, various improvements in label and signal detection such as chemiluminescent readouts and new electrochemiluminescent (ECL) plate-based technologies (</w:t>
      </w:r>
      <w:r w:rsidR="007C0FDC">
        <w:rPr>
          <w:lang w:eastAsia="ja-JP"/>
        </w:rPr>
        <w:t>for example,</w:t>
      </w:r>
      <w:r w:rsidR="007C0FDC" w:rsidRPr="00DF6571">
        <w:rPr>
          <w:lang w:eastAsia="ja-JP"/>
        </w:rPr>
        <w:t xml:space="preserve"> MSD) have extended assay sensitivity. In addition, procedural advances such as acid treatment (Patton </w:t>
      </w:r>
      <w:r w:rsidR="007C0FDC" w:rsidRPr="00404747">
        <w:rPr>
          <w:i/>
          <w:lang w:eastAsia="ja-JP"/>
        </w:rPr>
        <w:t xml:space="preserve">et </w:t>
      </w:r>
      <w:r w:rsidR="007C0FDC" w:rsidRPr="00404747">
        <w:rPr>
          <w:i/>
          <w:lang w:eastAsia="ja-JP"/>
        </w:rPr>
        <w:lastRenderedPageBreak/>
        <w:t>al.,</w:t>
      </w:r>
      <w:r w:rsidR="007C0FDC" w:rsidRPr="00DF6571">
        <w:rPr>
          <w:lang w:eastAsia="ja-JP"/>
        </w:rPr>
        <w:t xml:space="preserve"> 2005)</w:t>
      </w:r>
      <w:r>
        <w:rPr>
          <w:lang w:eastAsia="ja-JP"/>
        </w:rPr>
        <w:t>;</w:t>
      </w:r>
      <w:r>
        <w:rPr>
          <w:rStyle w:val="FootnoteReference"/>
          <w:i/>
          <w:lang w:eastAsia="ja-JP"/>
        </w:rPr>
        <w:footnoteReference w:id="2"/>
      </w:r>
      <w:r w:rsidR="007C0FDC" w:rsidRPr="00DF6571">
        <w:rPr>
          <w:lang w:eastAsia="ja-JP"/>
        </w:rPr>
        <w:t xml:space="preserve"> have reduced or eliminated the interfering high drug concentrations present in the serum sample.</w:t>
      </w:r>
    </w:p>
    <w:p w14:paraId="195DA586" w14:textId="30E2EDB1" w:rsidR="007C0FDC" w:rsidRDefault="00266164" w:rsidP="00805A90">
      <w:pPr>
        <w:ind w:left="142"/>
        <w:rPr>
          <w:lang w:eastAsia="ja-JP"/>
        </w:rPr>
      </w:pPr>
      <w:r>
        <w:rPr>
          <w:lang w:eastAsia="ja-JP"/>
        </w:rPr>
        <w:t>The sponsor’s</w:t>
      </w:r>
      <w:r w:rsidRPr="00DF6571">
        <w:rPr>
          <w:lang w:eastAsia="ja-JP"/>
        </w:rPr>
        <w:t xml:space="preserve"> </w:t>
      </w:r>
      <w:r w:rsidR="007C0FDC" w:rsidRPr="00DF6571">
        <w:rPr>
          <w:lang w:eastAsia="ja-JP"/>
        </w:rPr>
        <w:t>methods utilize the electrochemiluminescent bridging immunoassay or ECLIA (Moxness et al., 2005</w:t>
      </w:r>
      <w:r w:rsidR="007C0FDC">
        <w:rPr>
          <w:rStyle w:val="FootnoteReference"/>
          <w:i/>
          <w:lang w:eastAsia="ja-JP"/>
        </w:rPr>
        <w:footnoteReference w:id="3"/>
      </w:r>
      <w:r w:rsidR="007C0FDC" w:rsidRPr="00DF6571">
        <w:rPr>
          <w:lang w:eastAsia="ja-JP"/>
        </w:rPr>
        <w:t>). This bridging immunoassay approach, extensively used in the clinical setting, detects all classes of ADA. In addition, the treatment of serum samples with acid to lower pH has been shown to dissociate ADA that may be bound by circulating drug levels, thus allowing the sensitive detection of ADA despite the presence of high drug concentrations. To ensure high assay sensitivity and high drug tolerance, Amgen implement this low pH acid treatment to detect ADAs to adalimumab and ABP 501. The higher rate of anti-adalimumab and anti-ABP 501 antibody incidence observed in our clinical studies is due to the use of the ECL platform in combination with acid dissociation. This has resulted in highly sensitive, specific and drug tolerant assays with a sensitivity of 25 ng/</w:t>
      </w:r>
      <w:r w:rsidRPr="00DF6571">
        <w:rPr>
          <w:lang w:eastAsia="ja-JP"/>
        </w:rPr>
        <w:t>m</w:t>
      </w:r>
      <w:r>
        <w:rPr>
          <w:lang w:eastAsia="ja-JP"/>
        </w:rPr>
        <w:t>L</w:t>
      </w:r>
      <w:r w:rsidRPr="00DF6571">
        <w:rPr>
          <w:lang w:eastAsia="ja-JP"/>
        </w:rPr>
        <w:t xml:space="preserve"> </w:t>
      </w:r>
      <w:r w:rsidR="007C0FDC" w:rsidRPr="00DF6571">
        <w:rPr>
          <w:lang w:eastAsia="ja-JP"/>
        </w:rPr>
        <w:t>anti-adalimumab in presences of 20,000 ng/m</w:t>
      </w:r>
      <w:r>
        <w:rPr>
          <w:lang w:eastAsia="ja-JP"/>
        </w:rPr>
        <w:t>L</w:t>
      </w:r>
      <w:r w:rsidR="007C0FDC" w:rsidRPr="00DF6571">
        <w:rPr>
          <w:lang w:eastAsia="ja-JP"/>
        </w:rPr>
        <w:t xml:space="preserve"> of drug. All samples tested in our clinical trials for binding antibodies are well below the drug tolerance of the assay, thus detecting all anti-adalimumab antibody responses.</w:t>
      </w:r>
    </w:p>
    <w:p w14:paraId="38A3D481" w14:textId="5BE9DAE9" w:rsidR="007C0FDC" w:rsidRPr="00805A90" w:rsidRDefault="007C0FDC" w:rsidP="00805A90">
      <w:pPr>
        <w:pStyle w:val="Heading4"/>
        <w:numPr>
          <w:ilvl w:val="0"/>
          <w:numId w:val="0"/>
        </w:numPr>
        <w:ind w:left="1134" w:hanging="964"/>
        <w:rPr>
          <w:i/>
        </w:rPr>
      </w:pPr>
      <w:r w:rsidRPr="00805A90">
        <w:rPr>
          <w:i/>
        </w:rPr>
        <w:t>Evaluator</w:t>
      </w:r>
      <w:r w:rsidR="00266164" w:rsidRPr="00805A90">
        <w:rPr>
          <w:i/>
        </w:rPr>
        <w:t>’s</w:t>
      </w:r>
      <w:r w:rsidRPr="00805A90">
        <w:rPr>
          <w:i/>
        </w:rPr>
        <w:t xml:space="preserve"> comment</w:t>
      </w:r>
      <w:r w:rsidR="00805A90">
        <w:rPr>
          <w:i/>
        </w:rPr>
        <w:t>:</w:t>
      </w:r>
    </w:p>
    <w:p w14:paraId="001C3601" w14:textId="77777777" w:rsidR="007C0FDC" w:rsidRPr="00DF6571" w:rsidRDefault="007C0FDC" w:rsidP="00805A90">
      <w:pPr>
        <w:ind w:left="142"/>
        <w:rPr>
          <w:lang w:eastAsia="ja-JP"/>
        </w:rPr>
      </w:pPr>
      <w:r w:rsidRPr="009A50B2">
        <w:rPr>
          <w:lang w:eastAsia="ja-JP"/>
        </w:rPr>
        <w:t>The sponsor’s response has been noted. The response is acceptable from a clinical point of view at this stage. However, post-market monitoring of immunogenicity/development of ADAs is essential.</w:t>
      </w:r>
    </w:p>
    <w:p w14:paraId="55506F5F" w14:textId="77777777" w:rsidR="007C0FDC" w:rsidRPr="00E01445" w:rsidRDefault="007C0FDC" w:rsidP="00404747">
      <w:pPr>
        <w:pStyle w:val="Heading3"/>
      </w:pPr>
      <w:bookmarkStart w:id="475" w:name="_Toc509822429"/>
      <w:r>
        <w:t>Extrapolation to uveitis</w:t>
      </w:r>
      <w:bookmarkEnd w:id="475"/>
    </w:p>
    <w:p w14:paraId="09CD7365" w14:textId="77777777" w:rsidR="007C0FDC" w:rsidRDefault="007C0FDC" w:rsidP="007C0FDC">
      <w:pPr>
        <w:rPr>
          <w:lang w:eastAsia="ja-JP"/>
        </w:rPr>
      </w:pPr>
      <w:r>
        <w:rPr>
          <w:lang w:eastAsia="ja-JP"/>
        </w:rPr>
        <w:t>After the first round evaluation phase for this application, an additional indication was approved by the TGA for the reference product Humira, namely the following:</w:t>
      </w:r>
    </w:p>
    <w:p w14:paraId="29D0B06D" w14:textId="3F718424" w:rsidR="007C0FDC" w:rsidRPr="00E7639B" w:rsidRDefault="003D2104" w:rsidP="007C0FDC">
      <w:pPr>
        <w:ind w:left="567"/>
        <w:rPr>
          <w:i/>
          <w:lang w:eastAsia="ja-JP"/>
        </w:rPr>
      </w:pPr>
      <w:r>
        <w:rPr>
          <w:i/>
          <w:lang w:eastAsia="ja-JP"/>
        </w:rPr>
        <w:t>‘</w:t>
      </w:r>
      <w:r w:rsidR="007C0FDC" w:rsidRPr="00E7639B">
        <w:rPr>
          <w:i/>
          <w:lang w:eastAsia="ja-JP"/>
        </w:rPr>
        <w:t xml:space="preserve">Humira is indicated for the treatment of </w:t>
      </w:r>
      <w:r w:rsidR="007C0FDC" w:rsidRPr="00062A40">
        <w:rPr>
          <w:i/>
          <w:lang w:eastAsia="ja-JP"/>
        </w:rPr>
        <w:t>non-infectious intermediate, posterior and pan-uveitis in adult patients</w:t>
      </w:r>
      <w:r w:rsidR="007C0FDC" w:rsidRPr="00E7639B">
        <w:rPr>
          <w:i/>
          <w:lang w:eastAsia="ja-JP"/>
        </w:rPr>
        <w:t xml:space="preserve"> who have had an inadequate response to corticosteroids, in patients in need of corticosteroid sparing, or in whom corticosteroid treatment is inappropriate</w:t>
      </w:r>
      <w:r>
        <w:rPr>
          <w:i/>
          <w:lang w:eastAsia="ja-JP"/>
        </w:rPr>
        <w:t>’</w:t>
      </w:r>
      <w:r w:rsidR="007C0FDC" w:rsidRPr="00E7639B">
        <w:rPr>
          <w:i/>
          <w:lang w:eastAsia="ja-JP"/>
        </w:rPr>
        <w:t>.</w:t>
      </w:r>
    </w:p>
    <w:p w14:paraId="460D0B0E" w14:textId="77777777" w:rsidR="007C0FDC" w:rsidRDefault="007C0FDC" w:rsidP="007C0FDC">
      <w:pPr>
        <w:rPr>
          <w:lang w:eastAsia="ja-JP"/>
        </w:rPr>
      </w:pPr>
      <w:r>
        <w:rPr>
          <w:lang w:eastAsia="ja-JP"/>
        </w:rPr>
        <w:t>The sponsor is proposing to add uveitis as an indication for Amgevita, as indicated in their updated proposed product information (PI) wording. However, the sponsor has not commented on this addition in the dossier (outside the PI wording).</w:t>
      </w:r>
    </w:p>
    <w:p w14:paraId="7D6E0088" w14:textId="357FFF2D" w:rsidR="007C0FDC" w:rsidRPr="00805A90" w:rsidRDefault="007C0FDC" w:rsidP="00805A90">
      <w:pPr>
        <w:pStyle w:val="Heading4"/>
        <w:numPr>
          <w:ilvl w:val="0"/>
          <w:numId w:val="0"/>
        </w:numPr>
        <w:ind w:left="1134" w:hanging="964"/>
        <w:rPr>
          <w:i/>
        </w:rPr>
      </w:pPr>
      <w:r w:rsidRPr="00805A90">
        <w:rPr>
          <w:i/>
        </w:rPr>
        <w:t>Evaluator</w:t>
      </w:r>
      <w:r w:rsidR="003D2104" w:rsidRPr="00805A90">
        <w:rPr>
          <w:i/>
        </w:rPr>
        <w:t>’s</w:t>
      </w:r>
      <w:r w:rsidRPr="00805A90">
        <w:rPr>
          <w:i/>
        </w:rPr>
        <w:t xml:space="preserve"> comment</w:t>
      </w:r>
      <w:r w:rsidR="00805A90">
        <w:rPr>
          <w:i/>
        </w:rPr>
        <w:t>:</w:t>
      </w:r>
    </w:p>
    <w:p w14:paraId="0017698E" w14:textId="0C0B7E28" w:rsidR="007C0FDC" w:rsidRDefault="007C0FDC" w:rsidP="00805A90">
      <w:pPr>
        <w:ind w:left="142"/>
        <w:rPr>
          <w:lang w:eastAsia="ja-JP"/>
        </w:rPr>
      </w:pPr>
      <w:r w:rsidRPr="009A50B2">
        <w:rPr>
          <w:lang w:eastAsia="ja-JP"/>
        </w:rPr>
        <w:t>The conditions under which an extrapolation is r</w:t>
      </w:r>
      <w:r>
        <w:rPr>
          <w:lang w:eastAsia="ja-JP"/>
        </w:rPr>
        <w:t xml:space="preserve">easonable (as outlined in </w:t>
      </w:r>
      <w:r w:rsidR="003D2104">
        <w:rPr>
          <w:lang w:eastAsia="ja-JP"/>
        </w:rPr>
        <w:t xml:space="preserve">Section: </w:t>
      </w:r>
      <w:r>
        <w:rPr>
          <w:lang w:eastAsia="ja-JP"/>
        </w:rPr>
        <w:t>Efficacy above</w:t>
      </w:r>
      <w:r w:rsidRPr="009A50B2">
        <w:rPr>
          <w:lang w:eastAsia="ja-JP"/>
        </w:rPr>
        <w:t xml:space="preserve">) </w:t>
      </w:r>
      <w:r>
        <w:rPr>
          <w:lang w:eastAsia="ja-JP"/>
        </w:rPr>
        <w:t xml:space="preserve">apply, in the opinion of the clinical evaluator, </w:t>
      </w:r>
      <w:r w:rsidRPr="009A50B2">
        <w:rPr>
          <w:lang w:eastAsia="ja-JP"/>
        </w:rPr>
        <w:t xml:space="preserve">to this indication, including the same dosing intervals </w:t>
      </w:r>
      <w:r>
        <w:rPr>
          <w:lang w:eastAsia="ja-JP"/>
        </w:rPr>
        <w:t xml:space="preserve">in uveitis </w:t>
      </w:r>
      <w:r w:rsidRPr="009A50B2">
        <w:rPr>
          <w:lang w:eastAsia="ja-JP"/>
        </w:rPr>
        <w:t>as for the psoriasis indication.</w:t>
      </w:r>
      <w:r>
        <w:rPr>
          <w:lang w:eastAsia="ja-JP"/>
        </w:rPr>
        <w:t xml:space="preserve"> Uveitis is often part of the spectrum of diseases for which adalimumab is already indicated (for example, uveitis as part of juvenile idiopathic a</w:t>
      </w:r>
      <w:r w:rsidRPr="006D18ED">
        <w:rPr>
          <w:lang w:eastAsia="ja-JP"/>
        </w:rPr>
        <w:t xml:space="preserve">rthritis </w:t>
      </w:r>
      <w:r>
        <w:rPr>
          <w:lang w:eastAsia="ja-JP"/>
        </w:rPr>
        <w:t xml:space="preserve">(JIA)). TNFα, the target of adalimumab is found in synovial fluid, gut wall, and aqueous humour in patients with </w:t>
      </w:r>
      <w:r w:rsidRPr="00E728F8">
        <w:rPr>
          <w:lang w:eastAsia="ja-JP"/>
        </w:rPr>
        <w:t>rh</w:t>
      </w:r>
      <w:r>
        <w:rPr>
          <w:lang w:eastAsia="ja-JP"/>
        </w:rPr>
        <w:t>eumatoid arthritis (RA),</w:t>
      </w:r>
      <w:r w:rsidRPr="00E728F8">
        <w:rPr>
          <w:lang w:eastAsia="ja-JP"/>
        </w:rPr>
        <w:t xml:space="preserve"> inflammatory bowel disease </w:t>
      </w:r>
      <w:r>
        <w:rPr>
          <w:lang w:eastAsia="ja-JP"/>
        </w:rPr>
        <w:t xml:space="preserve">(IBD), </w:t>
      </w:r>
      <w:r w:rsidRPr="00E728F8">
        <w:rPr>
          <w:lang w:eastAsia="ja-JP"/>
        </w:rPr>
        <w:t>and uveitis</w:t>
      </w:r>
      <w:r>
        <w:rPr>
          <w:lang w:eastAsia="ja-JP"/>
        </w:rPr>
        <w:t xml:space="preserve"> respectively.</w:t>
      </w:r>
    </w:p>
    <w:p w14:paraId="1D3921B6" w14:textId="77777777" w:rsidR="007C0FDC" w:rsidRDefault="007C0FDC" w:rsidP="00805A90">
      <w:pPr>
        <w:ind w:left="142"/>
        <w:rPr>
          <w:lang w:eastAsia="ja-JP"/>
        </w:rPr>
      </w:pPr>
      <w:r>
        <w:rPr>
          <w:lang w:eastAsia="ja-JP"/>
        </w:rPr>
        <w:t>However, given the lack of suitable data, ‘</w:t>
      </w:r>
      <w:r w:rsidRPr="006D18ED">
        <w:rPr>
          <w:lang w:eastAsia="ja-JP"/>
        </w:rPr>
        <w:t>Long-term safety data in the treatment of adults with uveitis</w:t>
      </w:r>
      <w:r>
        <w:rPr>
          <w:lang w:eastAsia="ja-JP"/>
        </w:rPr>
        <w:t>’ should be added as missing information in the RMP.</w:t>
      </w:r>
    </w:p>
    <w:p w14:paraId="33CF14A4" w14:textId="77777777" w:rsidR="007C0FDC" w:rsidRDefault="007C0FDC" w:rsidP="00404747">
      <w:pPr>
        <w:pStyle w:val="Heading2"/>
      </w:pPr>
      <w:bookmarkStart w:id="476" w:name="_Toc470272325"/>
      <w:bookmarkStart w:id="477" w:name="_Toc509822430"/>
      <w:r>
        <w:lastRenderedPageBreak/>
        <w:t xml:space="preserve">Second </w:t>
      </w:r>
      <w:r w:rsidRPr="00404747">
        <w:t>round</w:t>
      </w:r>
      <w:r>
        <w:t xml:space="preserve"> benefit-risk assessment</w:t>
      </w:r>
      <w:bookmarkEnd w:id="476"/>
      <w:bookmarkEnd w:id="477"/>
    </w:p>
    <w:p w14:paraId="2A57B0AB" w14:textId="77777777" w:rsidR="007C0FDC" w:rsidRPr="00500C5C" w:rsidRDefault="007C0FDC" w:rsidP="00404747">
      <w:pPr>
        <w:pStyle w:val="Heading3"/>
      </w:pPr>
      <w:bookmarkStart w:id="478" w:name="_Toc272414709"/>
      <w:bookmarkStart w:id="479" w:name="_Toc290888575"/>
      <w:bookmarkStart w:id="480" w:name="_Toc416353792"/>
      <w:bookmarkStart w:id="481" w:name="_Toc421005334"/>
      <w:bookmarkStart w:id="482" w:name="_Toc432079207"/>
      <w:bookmarkStart w:id="483" w:name="_Toc432080780"/>
      <w:bookmarkStart w:id="484" w:name="_Toc470272326"/>
      <w:bookmarkStart w:id="485" w:name="_Toc509822431"/>
      <w:r w:rsidRPr="00500C5C">
        <w:t xml:space="preserve">Second round </w:t>
      </w:r>
      <w:r w:rsidRPr="00404747">
        <w:t>assessment</w:t>
      </w:r>
      <w:r w:rsidRPr="00500C5C">
        <w:t xml:space="preserve"> of benefits</w:t>
      </w:r>
      <w:bookmarkEnd w:id="478"/>
      <w:bookmarkEnd w:id="479"/>
      <w:bookmarkEnd w:id="480"/>
      <w:bookmarkEnd w:id="481"/>
      <w:bookmarkEnd w:id="482"/>
      <w:bookmarkEnd w:id="483"/>
      <w:bookmarkEnd w:id="484"/>
      <w:bookmarkEnd w:id="485"/>
    </w:p>
    <w:p w14:paraId="012168D7" w14:textId="77777777" w:rsidR="007C0FDC" w:rsidRDefault="007C0FDC" w:rsidP="007C0FDC">
      <w:pPr>
        <w:rPr>
          <w:lang w:eastAsia="ja-JP"/>
        </w:rPr>
      </w:pPr>
      <w:r w:rsidRPr="0065688E">
        <w:rPr>
          <w:lang w:eastAsia="ja-JP"/>
        </w:rPr>
        <w:t xml:space="preserve">After consideration of the responses to clinical questions, the benefits of </w:t>
      </w:r>
      <w:r>
        <w:rPr>
          <w:lang w:eastAsia="ja-JP"/>
        </w:rPr>
        <w:t xml:space="preserve">Amgevita (adalimumab, ABP 501) </w:t>
      </w:r>
      <w:r w:rsidRPr="0065688E">
        <w:rPr>
          <w:lang w:eastAsia="ja-JP"/>
        </w:rPr>
        <w:t xml:space="preserve">in the proposed usage are unchanged from those identified in </w:t>
      </w:r>
      <w:r>
        <w:rPr>
          <w:lang w:eastAsia="ja-JP"/>
        </w:rPr>
        <w:t>the first round evaluation above</w:t>
      </w:r>
      <w:r w:rsidRPr="0065688E">
        <w:rPr>
          <w:lang w:eastAsia="ja-JP"/>
        </w:rPr>
        <w:t>.</w:t>
      </w:r>
    </w:p>
    <w:p w14:paraId="79BFB5FA" w14:textId="77777777" w:rsidR="007C0FDC" w:rsidRPr="00500C5C" w:rsidRDefault="007C0FDC" w:rsidP="00404747">
      <w:pPr>
        <w:pStyle w:val="Heading3"/>
      </w:pPr>
      <w:bookmarkStart w:id="486" w:name="_Toc272414710"/>
      <w:bookmarkStart w:id="487" w:name="_Toc290888576"/>
      <w:bookmarkStart w:id="488" w:name="_Toc416353793"/>
      <w:bookmarkStart w:id="489" w:name="_Toc421005335"/>
      <w:bookmarkStart w:id="490" w:name="_Toc432079208"/>
      <w:bookmarkStart w:id="491" w:name="_Toc432080781"/>
      <w:bookmarkStart w:id="492" w:name="_Toc470272327"/>
      <w:bookmarkStart w:id="493" w:name="_Toc509822432"/>
      <w:r w:rsidRPr="00500C5C">
        <w:t xml:space="preserve">Second round </w:t>
      </w:r>
      <w:r w:rsidRPr="00404747">
        <w:t>assessment</w:t>
      </w:r>
      <w:r w:rsidRPr="00500C5C">
        <w:t xml:space="preserve"> of risks</w:t>
      </w:r>
      <w:bookmarkEnd w:id="486"/>
      <w:bookmarkEnd w:id="487"/>
      <w:bookmarkEnd w:id="488"/>
      <w:bookmarkEnd w:id="489"/>
      <w:bookmarkEnd w:id="490"/>
      <w:bookmarkEnd w:id="491"/>
      <w:bookmarkEnd w:id="492"/>
      <w:bookmarkEnd w:id="493"/>
    </w:p>
    <w:p w14:paraId="4AB528AA" w14:textId="77777777" w:rsidR="007C0FDC" w:rsidRDefault="007C0FDC" w:rsidP="007C0FDC">
      <w:pPr>
        <w:rPr>
          <w:lang w:eastAsia="ja-JP"/>
        </w:rPr>
      </w:pPr>
      <w:r w:rsidRPr="0065688E">
        <w:rPr>
          <w:lang w:eastAsia="ja-JP"/>
        </w:rPr>
        <w:t xml:space="preserve">After consideration of the responses to clinical questions, the risks of </w:t>
      </w:r>
      <w:r>
        <w:rPr>
          <w:lang w:eastAsia="ja-JP"/>
        </w:rPr>
        <w:t xml:space="preserve">Amgevita (adalimumab, ABP 501) </w:t>
      </w:r>
      <w:r w:rsidRPr="0065688E">
        <w:rPr>
          <w:lang w:eastAsia="ja-JP"/>
        </w:rPr>
        <w:t xml:space="preserve">in the proposed usage are unchanged from those identified in </w:t>
      </w:r>
      <w:r>
        <w:rPr>
          <w:lang w:eastAsia="ja-JP"/>
        </w:rPr>
        <w:t>first round evaluation</w:t>
      </w:r>
      <w:r w:rsidRPr="0065688E">
        <w:rPr>
          <w:lang w:eastAsia="ja-JP"/>
        </w:rPr>
        <w:t>.</w:t>
      </w:r>
    </w:p>
    <w:p w14:paraId="22E5D5E8" w14:textId="77777777" w:rsidR="007C0FDC" w:rsidRPr="00545B14" w:rsidRDefault="007C0FDC" w:rsidP="00404747">
      <w:pPr>
        <w:pStyle w:val="Heading3"/>
      </w:pPr>
      <w:bookmarkStart w:id="494" w:name="_Toc272414711"/>
      <w:bookmarkStart w:id="495" w:name="_Toc290888577"/>
      <w:bookmarkStart w:id="496" w:name="_Toc416353794"/>
      <w:bookmarkStart w:id="497" w:name="_Toc421005336"/>
      <w:bookmarkStart w:id="498" w:name="_Toc432079209"/>
      <w:bookmarkStart w:id="499" w:name="_Toc432080782"/>
      <w:bookmarkStart w:id="500" w:name="_Toc470272328"/>
      <w:bookmarkStart w:id="501" w:name="_Toc509822433"/>
      <w:r w:rsidRPr="00545B14">
        <w:t xml:space="preserve">Second round assessment of </w:t>
      </w:r>
      <w:r w:rsidRPr="00404747">
        <w:t>benefit</w:t>
      </w:r>
      <w:r w:rsidRPr="00545B14">
        <w:t xml:space="preserve">-risk </w:t>
      </w:r>
      <w:bookmarkEnd w:id="494"/>
      <w:bookmarkEnd w:id="495"/>
      <w:bookmarkEnd w:id="496"/>
      <w:bookmarkEnd w:id="497"/>
      <w:r>
        <w:t>balance</w:t>
      </w:r>
      <w:bookmarkEnd w:id="498"/>
      <w:bookmarkEnd w:id="499"/>
      <w:bookmarkEnd w:id="500"/>
      <w:bookmarkEnd w:id="501"/>
    </w:p>
    <w:p w14:paraId="664BD815" w14:textId="77777777" w:rsidR="007C0FDC" w:rsidRPr="00404747" w:rsidRDefault="007C0FDC" w:rsidP="007C0FDC">
      <w:r w:rsidRPr="0065688E">
        <w:rPr>
          <w:lang w:eastAsia="ja-JP"/>
        </w:rPr>
        <w:t xml:space="preserve">The benefit-risk balance of </w:t>
      </w:r>
      <w:r>
        <w:rPr>
          <w:lang w:eastAsia="ja-JP"/>
        </w:rPr>
        <w:t xml:space="preserve">Amgevita (adalimumab, ABP 501), </w:t>
      </w:r>
      <w:r w:rsidRPr="0065688E">
        <w:rPr>
          <w:lang w:eastAsia="ja-JP"/>
        </w:rPr>
        <w:t>given the proposed usage, is favourable.</w:t>
      </w:r>
      <w:r>
        <w:rPr>
          <w:lang w:eastAsia="ja-JP"/>
        </w:rPr>
        <w:t xml:space="preserve"> </w:t>
      </w:r>
      <w:r w:rsidRPr="0065688E">
        <w:rPr>
          <w:lang w:eastAsia="ja-JP"/>
        </w:rPr>
        <w:t xml:space="preserve">This assessment is based on the </w:t>
      </w:r>
      <w:r>
        <w:rPr>
          <w:lang w:eastAsia="ja-JP"/>
        </w:rPr>
        <w:t>clinical</w:t>
      </w:r>
      <w:r w:rsidRPr="0065688E">
        <w:rPr>
          <w:lang w:eastAsia="ja-JP"/>
        </w:rPr>
        <w:t xml:space="preserve"> data evaluated from a clinical point of view. The assessment was made by weighing up the risks and benefits as outlined in this evaluation report</w:t>
      </w:r>
      <w:r>
        <w:rPr>
          <w:lang w:eastAsia="ja-JP"/>
        </w:rPr>
        <w:t>.</w:t>
      </w:r>
      <w:bookmarkStart w:id="502" w:name="_Toc470272329"/>
    </w:p>
    <w:p w14:paraId="06AD7D51" w14:textId="77777777" w:rsidR="007C0FDC" w:rsidRDefault="007C0FDC" w:rsidP="00404747">
      <w:pPr>
        <w:pStyle w:val="Heading2"/>
      </w:pPr>
      <w:bookmarkStart w:id="503" w:name="_Toc509822434"/>
      <w:r>
        <w:t xml:space="preserve">Second </w:t>
      </w:r>
      <w:r w:rsidRPr="00404747">
        <w:t>round</w:t>
      </w:r>
      <w:r>
        <w:t xml:space="preserve"> recommendation regarding authorisation</w:t>
      </w:r>
      <w:bookmarkEnd w:id="502"/>
      <w:bookmarkEnd w:id="503"/>
    </w:p>
    <w:p w14:paraId="48AD3E2E" w14:textId="77777777" w:rsidR="007C0FDC" w:rsidRDefault="007C0FDC" w:rsidP="007C0FDC">
      <w:pPr>
        <w:rPr>
          <w:lang w:eastAsia="ja-JP"/>
        </w:rPr>
      </w:pPr>
      <w:r>
        <w:rPr>
          <w:lang w:eastAsia="ja-JP"/>
        </w:rPr>
        <w:t>Approval of Amgevita (adalimumab, ABP 501) is recommended for the following indications (as per proposed Amgevita product information):</w:t>
      </w:r>
    </w:p>
    <w:p w14:paraId="39373591" w14:textId="29C4F86C" w:rsidR="007C0FDC" w:rsidRPr="00246886" w:rsidRDefault="003D2104" w:rsidP="007C0FDC">
      <w:pPr>
        <w:spacing w:line="240" w:lineRule="auto"/>
        <w:ind w:left="720"/>
        <w:rPr>
          <w:i/>
          <w:u w:val="single"/>
          <w:lang w:eastAsia="ja-JP"/>
        </w:rPr>
      </w:pPr>
      <w:r>
        <w:rPr>
          <w:i/>
          <w:u w:val="single"/>
          <w:lang w:eastAsia="ja-JP"/>
        </w:rPr>
        <w:t>‘</w:t>
      </w:r>
      <w:r w:rsidR="007C0FDC" w:rsidRPr="00246886">
        <w:rPr>
          <w:i/>
          <w:u w:val="single"/>
          <w:lang w:eastAsia="ja-JP"/>
        </w:rPr>
        <w:t>Rheumatoid Arthritis</w:t>
      </w:r>
    </w:p>
    <w:p w14:paraId="160EC0C3"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4F05BE73"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can be used alone or in combination with methotrexate.</w:t>
      </w:r>
    </w:p>
    <w:p w14:paraId="2A6811CD" w14:textId="77777777" w:rsidR="007C0FDC" w:rsidRPr="00246886" w:rsidRDefault="007C0FDC" w:rsidP="007C0FDC">
      <w:pPr>
        <w:spacing w:line="240" w:lineRule="auto"/>
        <w:ind w:left="720"/>
        <w:rPr>
          <w:i/>
          <w:u w:val="single"/>
          <w:lang w:eastAsia="ja-JP"/>
        </w:rPr>
      </w:pPr>
      <w:r w:rsidRPr="00246886">
        <w:rPr>
          <w:i/>
          <w:u w:val="single"/>
          <w:lang w:eastAsia="ja-JP"/>
        </w:rPr>
        <w:t>Polyarticular Juvenile Idiopathic Arthritis</w:t>
      </w:r>
    </w:p>
    <w:p w14:paraId="757FBF02"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r>
        <w:rPr>
          <w:i/>
          <w:lang w:eastAsia="ja-JP"/>
        </w:rPr>
        <w:t>Amgevita</w:t>
      </w:r>
      <w:r w:rsidRPr="00246886">
        <w:rPr>
          <w:i/>
          <w:lang w:eastAsia="ja-JP"/>
        </w:rPr>
        <w:t xml:space="preserve"> can be given as monotherapy in case of intolerance to methotrexate or when continued treatment with methotrexate is inappropriate.</w:t>
      </w:r>
    </w:p>
    <w:p w14:paraId="40CFB240" w14:textId="77777777" w:rsidR="007C0FDC" w:rsidRPr="00246886" w:rsidRDefault="007C0FDC" w:rsidP="007C0FDC">
      <w:pPr>
        <w:spacing w:line="240" w:lineRule="auto"/>
        <w:ind w:left="720"/>
        <w:rPr>
          <w:i/>
          <w:u w:val="single"/>
          <w:lang w:eastAsia="ja-JP"/>
        </w:rPr>
      </w:pPr>
      <w:r w:rsidRPr="00246886">
        <w:rPr>
          <w:i/>
          <w:u w:val="single"/>
          <w:lang w:eastAsia="ja-JP"/>
        </w:rPr>
        <w:t>Psoriatic Arthritis</w:t>
      </w:r>
    </w:p>
    <w:p w14:paraId="7AF62B45"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50E6F718" w14:textId="77777777" w:rsidR="007C0FDC" w:rsidRPr="00246886" w:rsidRDefault="007C0FDC" w:rsidP="007C0FDC">
      <w:pPr>
        <w:spacing w:line="240" w:lineRule="auto"/>
        <w:ind w:left="720"/>
        <w:rPr>
          <w:i/>
          <w:u w:val="single"/>
          <w:lang w:eastAsia="ja-JP"/>
        </w:rPr>
      </w:pPr>
      <w:r w:rsidRPr="00246886">
        <w:rPr>
          <w:i/>
          <w:u w:val="single"/>
          <w:lang w:eastAsia="ja-JP"/>
        </w:rPr>
        <w:t>Ankylosing Spondylitis</w:t>
      </w:r>
    </w:p>
    <w:p w14:paraId="47A22577" w14:textId="77777777"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reducing signs and symptoms in patients with active ankylosing spondylitis.</w:t>
      </w:r>
    </w:p>
    <w:p w14:paraId="32842697" w14:textId="77777777" w:rsidR="007C0FDC" w:rsidRPr="00246886" w:rsidRDefault="007C0FDC" w:rsidP="00404747">
      <w:pPr>
        <w:keepNext/>
        <w:spacing w:line="240" w:lineRule="auto"/>
        <w:ind w:left="720"/>
        <w:rPr>
          <w:i/>
          <w:u w:val="single"/>
          <w:lang w:eastAsia="ja-JP"/>
        </w:rPr>
      </w:pPr>
      <w:r w:rsidRPr="00246886">
        <w:rPr>
          <w:i/>
          <w:u w:val="single"/>
          <w:lang w:eastAsia="ja-JP"/>
        </w:rPr>
        <w:t>Crohn’s Disease in Adults and Children (≥6 years)</w:t>
      </w:r>
    </w:p>
    <w:p w14:paraId="12C938F6" w14:textId="77777777" w:rsidR="007C0FDC" w:rsidRPr="00246886" w:rsidRDefault="007C0FDC" w:rsidP="007C0FDC">
      <w:pPr>
        <w:spacing w:line="240" w:lineRule="auto"/>
        <w:ind w:left="720"/>
        <w:rPr>
          <w:i/>
          <w:lang w:eastAsia="ja-JP"/>
        </w:rPr>
      </w:pPr>
      <w:r>
        <w:rPr>
          <w:i/>
          <w:lang w:eastAsia="ja-JP"/>
        </w:rPr>
        <w:lastRenderedPageBreak/>
        <w:t>Amgevita</w:t>
      </w:r>
      <w:r w:rsidRPr="00246886">
        <w:rPr>
          <w:i/>
          <w:lang w:eastAsia="ja-JP"/>
        </w:rPr>
        <w:t xml:space="preserve"> is indicated for the treatment of moderate to severe Crohn’s disease, to reduce the signs and symptoms of the disease and to induce and maintain clinical remission in patients;</w:t>
      </w:r>
    </w:p>
    <w:p w14:paraId="4C9B017E" w14:textId="741C0A02" w:rsidR="007C0FDC" w:rsidRPr="00404747" w:rsidRDefault="007C0FDC" w:rsidP="00404747">
      <w:pPr>
        <w:pStyle w:val="ListBullet"/>
        <w:ind w:left="1134"/>
        <w:rPr>
          <w:i/>
          <w:lang w:eastAsia="ja-JP"/>
        </w:rPr>
      </w:pPr>
      <w:r w:rsidRPr="00404747">
        <w:rPr>
          <w:i/>
          <w:lang w:eastAsia="ja-JP"/>
        </w:rPr>
        <w:t>who have had an inadequate response to conventional therapies or,</w:t>
      </w:r>
    </w:p>
    <w:p w14:paraId="71952D97" w14:textId="1844A2D4" w:rsidR="007C0FDC" w:rsidRPr="00404747" w:rsidRDefault="007C0FDC" w:rsidP="00404747">
      <w:pPr>
        <w:pStyle w:val="ListBullet"/>
        <w:ind w:left="1134"/>
        <w:rPr>
          <w:i/>
          <w:lang w:eastAsia="ja-JP"/>
        </w:rPr>
      </w:pPr>
      <w:proofErr w:type="gramStart"/>
      <w:r w:rsidRPr="00404747">
        <w:rPr>
          <w:i/>
          <w:lang w:eastAsia="ja-JP"/>
        </w:rPr>
        <w:t>who</w:t>
      </w:r>
      <w:proofErr w:type="gramEnd"/>
      <w:r w:rsidRPr="00404747">
        <w:rPr>
          <w:i/>
          <w:lang w:eastAsia="ja-JP"/>
        </w:rPr>
        <w:t xml:space="preserve"> have lost response to or are intolerant of infliximab.</w:t>
      </w:r>
    </w:p>
    <w:p w14:paraId="0302EC80" w14:textId="77777777" w:rsidR="007C0FDC" w:rsidRPr="00246886" w:rsidRDefault="007C0FDC" w:rsidP="007C0FDC">
      <w:pPr>
        <w:spacing w:line="240" w:lineRule="auto"/>
        <w:ind w:left="720"/>
        <w:rPr>
          <w:i/>
          <w:u w:val="single"/>
          <w:lang w:eastAsia="ja-JP"/>
        </w:rPr>
      </w:pPr>
      <w:r w:rsidRPr="00246886">
        <w:rPr>
          <w:i/>
          <w:u w:val="single"/>
          <w:lang w:eastAsia="ja-JP"/>
        </w:rPr>
        <w:t>Ulcerative colitis</w:t>
      </w:r>
    </w:p>
    <w:p w14:paraId="22379AAE" w14:textId="008C5359" w:rsidR="007C0FDC" w:rsidRPr="00246886"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w:t>
      </w:r>
      <w:r w:rsidR="003D2104" w:rsidRPr="00246886">
        <w:rPr>
          <w:i/>
          <w:lang w:eastAsia="ja-JP"/>
        </w:rPr>
        <w:t>Clinical Trials</w:t>
      </w:r>
      <w:r w:rsidRPr="00246886">
        <w:rPr>
          <w:i/>
          <w:lang w:eastAsia="ja-JP"/>
        </w:rPr>
        <w:t>).</w:t>
      </w:r>
    </w:p>
    <w:p w14:paraId="4A35D72F" w14:textId="77777777" w:rsidR="007C0FDC" w:rsidRPr="00246886" w:rsidRDefault="007C0FDC" w:rsidP="007C0FDC">
      <w:pPr>
        <w:spacing w:line="240" w:lineRule="auto"/>
        <w:ind w:left="720"/>
        <w:rPr>
          <w:i/>
          <w:u w:val="single"/>
          <w:lang w:eastAsia="ja-JP"/>
        </w:rPr>
      </w:pPr>
      <w:r w:rsidRPr="00246886">
        <w:rPr>
          <w:i/>
          <w:u w:val="single"/>
          <w:lang w:eastAsia="ja-JP"/>
        </w:rPr>
        <w:t>Psoriasis</w:t>
      </w:r>
    </w:p>
    <w:p w14:paraId="0E8D0BFB" w14:textId="77777777" w:rsidR="007C0FDC" w:rsidRPr="00EE2C11" w:rsidRDefault="007C0FDC" w:rsidP="007C0FDC">
      <w:pPr>
        <w:spacing w:line="240" w:lineRule="auto"/>
        <w:ind w:left="720"/>
        <w:rPr>
          <w:i/>
          <w:lang w:eastAsia="ja-JP"/>
        </w:rPr>
      </w:pPr>
      <w:r>
        <w:rPr>
          <w:i/>
          <w:lang w:eastAsia="ja-JP"/>
        </w:rPr>
        <w:t>Amgevita</w:t>
      </w:r>
      <w:r w:rsidRPr="00246886">
        <w:rPr>
          <w:i/>
          <w:lang w:eastAsia="ja-JP"/>
        </w:rPr>
        <w:t xml:space="preserve"> is indicated for the treatment of moderate to severe chronic plaque psoriasis in adult patients who are candidates for sy</w:t>
      </w:r>
      <w:r>
        <w:rPr>
          <w:i/>
          <w:lang w:eastAsia="ja-JP"/>
        </w:rPr>
        <w:t>stemic therapy or phototherapy.</w:t>
      </w:r>
    </w:p>
    <w:p w14:paraId="541150DB" w14:textId="77777777" w:rsidR="007C0FDC" w:rsidRPr="00333256" w:rsidRDefault="007C0FDC" w:rsidP="007C0FDC">
      <w:pPr>
        <w:ind w:left="720"/>
        <w:rPr>
          <w:i/>
          <w:u w:val="single"/>
          <w:lang w:eastAsia="ja-JP"/>
        </w:rPr>
      </w:pPr>
      <w:r w:rsidRPr="00333256">
        <w:rPr>
          <w:i/>
          <w:u w:val="single"/>
          <w:lang w:eastAsia="ja-JP"/>
        </w:rPr>
        <w:t>Hidradenitis Suppurativa</w:t>
      </w:r>
    </w:p>
    <w:p w14:paraId="3757D5FF" w14:textId="77777777" w:rsidR="007C0FDC" w:rsidRDefault="007C0FDC" w:rsidP="007C0FDC">
      <w:pPr>
        <w:ind w:left="720"/>
        <w:rPr>
          <w:i/>
          <w:lang w:eastAsia="ja-JP"/>
        </w:rPr>
      </w:pPr>
      <w:r>
        <w:rPr>
          <w:i/>
          <w:lang w:eastAsia="ja-JP"/>
        </w:rPr>
        <w:t>Amgevita</w:t>
      </w:r>
      <w:r w:rsidRPr="00333256">
        <w:rPr>
          <w:i/>
          <w:lang w:eastAsia="ja-JP"/>
        </w:rPr>
        <w:t xml:space="preserve"> is indicated for the treatment of active moderate to severe hidradenitis suppurativa (acne inversa) in adult patients with an inadequate response to conventional systemic hi</w:t>
      </w:r>
      <w:r>
        <w:rPr>
          <w:i/>
          <w:lang w:eastAsia="ja-JP"/>
        </w:rPr>
        <w:t>dradenitis suppurativa therapy.</w:t>
      </w:r>
    </w:p>
    <w:p w14:paraId="3FB97BD1" w14:textId="77777777" w:rsidR="007C0FDC" w:rsidRPr="00005FDF" w:rsidRDefault="007C0FDC" w:rsidP="007C0FDC">
      <w:pPr>
        <w:ind w:left="720"/>
        <w:rPr>
          <w:i/>
          <w:u w:val="single"/>
          <w:lang w:eastAsia="ja-JP"/>
        </w:rPr>
      </w:pPr>
      <w:r w:rsidRPr="00005FDF">
        <w:rPr>
          <w:i/>
          <w:u w:val="single"/>
          <w:lang w:eastAsia="ja-JP"/>
        </w:rPr>
        <w:t>Uveitis</w:t>
      </w:r>
    </w:p>
    <w:p w14:paraId="49CFD525" w14:textId="3D659FA0" w:rsidR="007C0FDC" w:rsidRPr="00F5324D" w:rsidRDefault="007C0FDC" w:rsidP="007C0FDC">
      <w:pPr>
        <w:ind w:left="720"/>
        <w:rPr>
          <w:i/>
          <w:lang w:eastAsia="ja-JP"/>
        </w:rPr>
      </w:pPr>
      <w:r w:rsidRPr="00005FDF">
        <w:rPr>
          <w:i/>
          <w:lang w:eastAsia="ja-JP"/>
        </w:rPr>
        <w:t>Humira is indicated for the treatment of non-infectious intermediate, posterior and pan-uveitis in adult patients who have had an inadequate response to corticosteroids, in patients in need of corticosteroid sparing, or in whom corticosteroid treatment is inappropriate</w:t>
      </w:r>
      <w:r w:rsidR="003D2104">
        <w:rPr>
          <w:i/>
          <w:lang w:eastAsia="ja-JP"/>
        </w:rPr>
        <w:t>’</w:t>
      </w:r>
      <w:r w:rsidRPr="00005FDF">
        <w:rPr>
          <w:i/>
          <w:lang w:eastAsia="ja-JP"/>
        </w:rPr>
        <w:t>.</w:t>
      </w:r>
    </w:p>
    <w:p w14:paraId="4530CC93" w14:textId="2FF37E27" w:rsidR="007C0FDC" w:rsidRDefault="007C0FDC" w:rsidP="007C0FDC">
      <w:pPr>
        <w:rPr>
          <w:lang w:eastAsia="ja-JP"/>
        </w:rPr>
      </w:pPr>
      <w:r>
        <w:rPr>
          <w:lang w:eastAsia="ja-JP"/>
        </w:rPr>
        <w:t xml:space="preserve">Note: the proposed indications from Amgevita differ from those found in the first round clinical evaluation report. The two additional indications were approved for the reference product, Humira, since the completion of the first round clinical evaluation </w:t>
      </w:r>
      <w:r w:rsidR="003D2104">
        <w:rPr>
          <w:lang w:eastAsia="ja-JP"/>
        </w:rPr>
        <w:t>r</w:t>
      </w:r>
      <w:r>
        <w:rPr>
          <w:lang w:eastAsia="ja-JP"/>
        </w:rPr>
        <w:t>eport. As indicated above, there is no objection for an extrapolation to these two additional indications.</w:t>
      </w:r>
    </w:p>
    <w:p w14:paraId="7C24FEF6" w14:textId="77777777" w:rsidR="007C0FDC" w:rsidRDefault="007C0FDC" w:rsidP="00404747">
      <w:pPr>
        <w:pStyle w:val="Heading2"/>
      </w:pPr>
      <w:bookmarkStart w:id="504" w:name="_Toc470272330"/>
      <w:bookmarkStart w:id="505" w:name="_Toc509822435"/>
      <w:r>
        <w:t xml:space="preserve">Second </w:t>
      </w:r>
      <w:r w:rsidRPr="00404747">
        <w:t>round</w:t>
      </w:r>
      <w:r>
        <w:t xml:space="preserve"> comments on product documentation</w:t>
      </w:r>
      <w:bookmarkEnd w:id="504"/>
      <w:bookmarkEnd w:id="505"/>
    </w:p>
    <w:p w14:paraId="32562239" w14:textId="77777777" w:rsidR="007C0FDC" w:rsidRDefault="007C0FDC" w:rsidP="00404747">
      <w:pPr>
        <w:pStyle w:val="Heading3"/>
      </w:pPr>
      <w:bookmarkStart w:id="506" w:name="_Toc470272331"/>
      <w:bookmarkStart w:id="507" w:name="_Toc509822436"/>
      <w:r>
        <w:t>Second</w:t>
      </w:r>
      <w:r w:rsidRPr="00E92AEB">
        <w:t xml:space="preserve"> round comments on </w:t>
      </w:r>
      <w:r>
        <w:t>draft PI (clinical aspects)</w:t>
      </w:r>
      <w:bookmarkEnd w:id="506"/>
      <w:bookmarkEnd w:id="507"/>
    </w:p>
    <w:p w14:paraId="2D6BAC1D" w14:textId="77777777" w:rsidR="007C0FDC" w:rsidRDefault="007C0FDC" w:rsidP="007C0FDC">
      <w:pPr>
        <w:rPr>
          <w:lang w:eastAsia="ja-JP"/>
        </w:rPr>
      </w:pPr>
      <w:r>
        <w:rPr>
          <w:lang w:eastAsia="ja-JP"/>
        </w:rPr>
        <w:t xml:space="preserve">The sponsor has not provided a separate response item with regard to the PI recommendations </w:t>
      </w:r>
      <w:proofErr w:type="gramStart"/>
      <w:r>
        <w:rPr>
          <w:lang w:eastAsia="ja-JP"/>
        </w:rPr>
        <w:t>in</w:t>
      </w:r>
      <w:proofErr w:type="gramEnd"/>
      <w:r>
        <w:rPr>
          <w:lang w:eastAsia="ja-JP"/>
        </w:rPr>
        <w:t xml:space="preserve"> the first round clinical evaluation report. However, the sponsor has provided an updated, annotated, proposed PI document in which the recommended changes are incorporated. Below is an assessment of the PI changes in relation to the first round clinical evaluation report PI recommendations:</w:t>
      </w:r>
    </w:p>
    <w:p w14:paraId="16B6B259" w14:textId="77777777" w:rsidR="007C0FDC" w:rsidRDefault="007C0FDC" w:rsidP="007C0FDC">
      <w:pPr>
        <w:pStyle w:val="ListParagraph"/>
        <w:numPr>
          <w:ilvl w:val="0"/>
          <w:numId w:val="20"/>
        </w:numPr>
        <w:rPr>
          <w:lang w:eastAsia="ja-JP"/>
        </w:rPr>
      </w:pPr>
      <w:r w:rsidRPr="000A7393">
        <w:rPr>
          <w:lang w:eastAsia="ja-JP"/>
        </w:rPr>
        <w:t>In the ‘Indications’ section, the sponsor should consider adding the hidradenitis suppurativa indication.</w:t>
      </w:r>
    </w:p>
    <w:p w14:paraId="79E4C3B0" w14:textId="77777777" w:rsidR="007C0FDC" w:rsidRDefault="007C0FDC" w:rsidP="007C0FDC">
      <w:pPr>
        <w:rPr>
          <w:lang w:eastAsia="ja-JP"/>
        </w:rPr>
      </w:pPr>
      <w:r>
        <w:rPr>
          <w:lang w:eastAsia="ja-JP"/>
        </w:rPr>
        <w:t xml:space="preserve">The sponsor has added the relevant indication to the </w:t>
      </w:r>
      <w:r w:rsidRPr="000A7393">
        <w:rPr>
          <w:lang w:eastAsia="ja-JP"/>
        </w:rPr>
        <w:t>‘Indications’ section</w:t>
      </w:r>
      <w:r>
        <w:rPr>
          <w:lang w:eastAsia="ja-JP"/>
        </w:rPr>
        <w:t>, and has also added the ‘Uveitis’ indication that has been recently approved for the reference product Humira:</w:t>
      </w:r>
    </w:p>
    <w:p w14:paraId="58344274" w14:textId="77777777" w:rsidR="007C0FDC" w:rsidRPr="00AC1BAE" w:rsidRDefault="007C0FDC" w:rsidP="00404747">
      <w:pPr>
        <w:keepNext/>
        <w:ind w:left="720"/>
        <w:rPr>
          <w:i/>
          <w:u w:val="single"/>
          <w:lang w:eastAsia="ja-JP"/>
        </w:rPr>
      </w:pPr>
      <w:r w:rsidRPr="00AC1BAE">
        <w:rPr>
          <w:i/>
          <w:u w:val="single"/>
          <w:lang w:eastAsia="ja-JP"/>
        </w:rPr>
        <w:t>Hidradenitis Suppurativa</w:t>
      </w:r>
    </w:p>
    <w:p w14:paraId="67E63E5F" w14:textId="77777777" w:rsidR="007C0FDC" w:rsidRPr="00AC1BAE" w:rsidRDefault="007C0FDC" w:rsidP="007C0FDC">
      <w:pPr>
        <w:ind w:left="720"/>
        <w:rPr>
          <w:i/>
          <w:lang w:eastAsia="ja-JP"/>
        </w:rPr>
      </w:pPr>
      <w:r>
        <w:rPr>
          <w:i/>
          <w:lang w:eastAsia="ja-JP"/>
        </w:rPr>
        <w:t>Amgevita</w:t>
      </w:r>
      <w:r w:rsidRPr="00AC1BAE">
        <w:rPr>
          <w:i/>
          <w:lang w:eastAsia="ja-JP"/>
        </w:rPr>
        <w:t xml:space="preserve"> is indicated for the treatment of active moderate to severe hidradenitis suppurativa (acne inversa) in adult patients with an inadequate response to conventional systemic hidradenitis suppurativa therapy.</w:t>
      </w:r>
    </w:p>
    <w:p w14:paraId="06F3A160" w14:textId="77777777" w:rsidR="007C0FDC" w:rsidRPr="00AC1BAE" w:rsidRDefault="007C0FDC" w:rsidP="007C0FDC">
      <w:pPr>
        <w:ind w:left="720"/>
        <w:rPr>
          <w:i/>
          <w:u w:val="single"/>
          <w:lang w:eastAsia="ja-JP"/>
        </w:rPr>
      </w:pPr>
      <w:r w:rsidRPr="00AC1BAE">
        <w:rPr>
          <w:i/>
          <w:u w:val="single"/>
          <w:lang w:eastAsia="ja-JP"/>
        </w:rPr>
        <w:lastRenderedPageBreak/>
        <w:t>Uveitis</w:t>
      </w:r>
    </w:p>
    <w:p w14:paraId="4B8291B4" w14:textId="77777777" w:rsidR="007C0FDC" w:rsidRDefault="007C0FDC" w:rsidP="007C0FDC">
      <w:pPr>
        <w:ind w:left="720"/>
        <w:rPr>
          <w:i/>
          <w:lang w:eastAsia="ja-JP"/>
        </w:rPr>
      </w:pPr>
      <w:r>
        <w:rPr>
          <w:i/>
          <w:lang w:eastAsia="ja-JP"/>
        </w:rPr>
        <w:t>Amgevita</w:t>
      </w:r>
      <w:r w:rsidRPr="00AC1BAE">
        <w:rPr>
          <w:i/>
          <w:lang w:eastAsia="ja-JP"/>
        </w:rPr>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p w14:paraId="6B1C7836" w14:textId="77777777" w:rsidR="007C0FDC" w:rsidRPr="009A50B2" w:rsidRDefault="007C0FDC" w:rsidP="00404747">
      <w:pPr>
        <w:pStyle w:val="Heading4"/>
      </w:pPr>
      <w:r w:rsidRPr="009A50B2">
        <w:t xml:space="preserve">Evaluator </w:t>
      </w:r>
      <w:r w:rsidRPr="00404747">
        <w:t>comment</w:t>
      </w:r>
    </w:p>
    <w:p w14:paraId="3E3C96F2" w14:textId="2895C652" w:rsidR="007C0FDC" w:rsidRDefault="007C0FDC" w:rsidP="007C0FDC">
      <w:pPr>
        <w:rPr>
          <w:lang w:eastAsia="ja-JP"/>
        </w:rPr>
      </w:pPr>
      <w:r w:rsidRPr="00F80254">
        <w:rPr>
          <w:lang w:eastAsia="ja-JP"/>
        </w:rPr>
        <w:t xml:space="preserve">It is recommended that the proposed insertion be </w:t>
      </w:r>
      <w:r w:rsidR="00404747">
        <w:rPr>
          <w:lang w:eastAsia="ja-JP"/>
        </w:rPr>
        <w:t>approved.</w:t>
      </w:r>
    </w:p>
    <w:p w14:paraId="357787F9" w14:textId="77777777" w:rsidR="007C0FDC" w:rsidRPr="006231CE" w:rsidRDefault="007C0FDC" w:rsidP="007C0FDC">
      <w:pPr>
        <w:pStyle w:val="ListParagraph"/>
        <w:numPr>
          <w:ilvl w:val="0"/>
          <w:numId w:val="20"/>
        </w:numPr>
        <w:rPr>
          <w:i/>
          <w:lang w:eastAsia="ja-JP"/>
        </w:rPr>
      </w:pPr>
      <w:r w:rsidRPr="006231CE">
        <w:rPr>
          <w:i/>
          <w:lang w:eastAsia="ja-JP"/>
        </w:rPr>
        <w:t>The reference product Humira has been updated to reflect the additional indication of hidradenitis suppurativa. The sponsor should align the PI document to accommodate the changes made. Even if the sponsor chooses not to include hidradenitis suppurativa as an indication for Amgevita, the PI sections other than the indication section should be updated to reflect the increase in trial data available (for example, in the ‘Adverse Effects’ section).</w:t>
      </w:r>
    </w:p>
    <w:p w14:paraId="45A82EED" w14:textId="5417BA85" w:rsidR="007C0FDC" w:rsidRDefault="007C0FDC" w:rsidP="007C0FDC">
      <w:pPr>
        <w:rPr>
          <w:lang w:eastAsia="ja-JP"/>
        </w:rPr>
      </w:pPr>
      <w:r>
        <w:rPr>
          <w:lang w:eastAsia="ja-JP"/>
        </w:rPr>
        <w:t>The sponsor has made multiple additions to the PI to accommodate the recommendation.</w:t>
      </w:r>
      <w:r w:rsidRPr="0002662D">
        <w:rPr>
          <w:lang w:eastAsia="ja-JP"/>
        </w:rPr>
        <w:t xml:space="preserve"> </w:t>
      </w:r>
      <w:r>
        <w:rPr>
          <w:lang w:eastAsia="ja-JP"/>
        </w:rPr>
        <w:t xml:space="preserve">The sponsor has aligned the Amgevita PI document to include all the relevant changes made to the Humira PI document (Version 38) to accommodate for the </w:t>
      </w:r>
      <w:r w:rsidRPr="009766A2">
        <w:rPr>
          <w:lang w:eastAsia="ja-JP"/>
        </w:rPr>
        <w:t xml:space="preserve">hidradenitis </w:t>
      </w:r>
      <w:proofErr w:type="spellStart"/>
      <w:r w:rsidRPr="009766A2">
        <w:rPr>
          <w:lang w:eastAsia="ja-JP"/>
        </w:rPr>
        <w:t>suppurativa</w:t>
      </w:r>
      <w:proofErr w:type="spellEnd"/>
      <w:r w:rsidR="00404747">
        <w:rPr>
          <w:lang w:eastAsia="ja-JP"/>
        </w:rPr>
        <w:t xml:space="preserve"> indication.</w:t>
      </w:r>
    </w:p>
    <w:p w14:paraId="601D2146" w14:textId="77777777" w:rsidR="007C0FDC" w:rsidRDefault="007C0FDC" w:rsidP="007C0FDC">
      <w:pPr>
        <w:rPr>
          <w:lang w:eastAsia="ja-JP"/>
        </w:rPr>
      </w:pPr>
      <w:r>
        <w:rPr>
          <w:lang w:eastAsia="ja-JP"/>
        </w:rPr>
        <w:t>Furthermore, the sponsor has aligned the Amgevita PI document to include all the relevant changes made to the Humira PI document (Version 38) to accommodate for the uveitis indication.</w:t>
      </w:r>
    </w:p>
    <w:p w14:paraId="589258D7" w14:textId="77777777" w:rsidR="007C0FDC" w:rsidRPr="009A50B2" w:rsidRDefault="007C0FDC" w:rsidP="00404747">
      <w:pPr>
        <w:pStyle w:val="Heading4"/>
        <w:rPr>
          <w:szCs w:val="22"/>
        </w:rPr>
      </w:pPr>
      <w:r w:rsidRPr="00404747">
        <w:t>Evaluator</w:t>
      </w:r>
      <w:r>
        <w:t xml:space="preserve"> comment</w:t>
      </w:r>
    </w:p>
    <w:p w14:paraId="016704DA" w14:textId="77777777" w:rsidR="007C0FDC" w:rsidRDefault="007C0FDC" w:rsidP="007C0FDC">
      <w:pPr>
        <w:rPr>
          <w:lang w:eastAsia="ja-JP"/>
        </w:rPr>
      </w:pPr>
      <w:r w:rsidRPr="00F80254">
        <w:rPr>
          <w:lang w:eastAsia="ja-JP"/>
        </w:rPr>
        <w:t>It is recommended that the proposed insertion</w:t>
      </w:r>
      <w:r>
        <w:rPr>
          <w:lang w:eastAsia="ja-JP"/>
        </w:rPr>
        <w:t>s</w:t>
      </w:r>
      <w:r w:rsidRPr="00F80254">
        <w:rPr>
          <w:lang w:eastAsia="ja-JP"/>
        </w:rPr>
        <w:t xml:space="preserve"> be </w:t>
      </w:r>
      <w:r>
        <w:rPr>
          <w:lang w:eastAsia="ja-JP"/>
        </w:rPr>
        <w:t>approved.</w:t>
      </w:r>
    </w:p>
    <w:p w14:paraId="6831E361" w14:textId="77777777" w:rsidR="007C0FDC" w:rsidRDefault="007C0FDC" w:rsidP="00404747">
      <w:pPr>
        <w:pStyle w:val="Heading2"/>
      </w:pPr>
      <w:bookmarkStart w:id="508" w:name="_Toc470272334"/>
      <w:bookmarkStart w:id="509" w:name="_Toc509822437"/>
      <w:r w:rsidRPr="00404747">
        <w:t>References</w:t>
      </w:r>
      <w:bookmarkEnd w:id="508"/>
      <w:bookmarkEnd w:id="509"/>
    </w:p>
    <w:p w14:paraId="5CECE551" w14:textId="77777777" w:rsidR="007C0FDC" w:rsidRDefault="007C0FDC" w:rsidP="003B21A2">
      <w:pPr>
        <w:pStyle w:val="Reference"/>
        <w:rPr>
          <w:lang w:eastAsia="ja-JP"/>
        </w:rPr>
      </w:pPr>
      <w:r>
        <w:rPr>
          <w:lang w:eastAsia="ja-JP"/>
        </w:rPr>
        <w:t>Asahina A, Nakagawa H, Etoh T, Ohtsuki M; Adalimumab M04-688 Study Group 2010.</w:t>
      </w:r>
      <w:r w:rsidRPr="00B30C8E">
        <w:rPr>
          <w:lang w:eastAsia="ja-JP"/>
        </w:rPr>
        <w:t xml:space="preserve"> </w:t>
      </w:r>
      <w:r>
        <w:rPr>
          <w:lang w:eastAsia="ja-JP"/>
        </w:rPr>
        <w:t xml:space="preserve">Adalimumab in Japanese patients with moderate to severe chronic plaque psoriasis: efficacy and safety results from a Phase II/III randomized controlled study. </w:t>
      </w:r>
      <w:r w:rsidRPr="00F5324D">
        <w:rPr>
          <w:i/>
          <w:lang w:eastAsia="ja-JP"/>
        </w:rPr>
        <w:t>J Dermatol</w:t>
      </w:r>
      <w:r>
        <w:rPr>
          <w:lang w:eastAsia="ja-JP"/>
        </w:rPr>
        <w:t xml:space="preserve"> 37(4):299–310.</w:t>
      </w:r>
    </w:p>
    <w:p w14:paraId="07263B02" w14:textId="77777777" w:rsidR="007C0FDC" w:rsidRDefault="007C0FDC" w:rsidP="003B21A2">
      <w:pPr>
        <w:pStyle w:val="Reference"/>
        <w:rPr>
          <w:lang w:eastAsia="ja-JP"/>
        </w:rPr>
      </w:pPr>
      <w:r>
        <w:rPr>
          <w:lang w:eastAsia="ja-JP"/>
        </w:rPr>
        <w:t xml:space="preserve">Daudén E, Pujol RM, Sánchez-Carazo JL, Toribio J, Vanaclocha F, Puig L, Yébenes M, Sabater E, Casado MA, Caloto MT, Aragón B; VACAP Study Investigators 2013. Demographic characteristics and health-related quality of life of patients with moderate-to-severe psoriasis: The VACAP study. </w:t>
      </w:r>
      <w:r w:rsidRPr="00F5324D">
        <w:rPr>
          <w:i/>
          <w:lang w:eastAsia="ja-JP"/>
        </w:rPr>
        <w:t>Actas Dermosifiliogr</w:t>
      </w:r>
      <w:r>
        <w:rPr>
          <w:lang w:eastAsia="ja-JP"/>
        </w:rPr>
        <w:t xml:space="preserve"> 104(9):807–814.</w:t>
      </w:r>
    </w:p>
    <w:p w14:paraId="60B26263" w14:textId="0BC7D445" w:rsidR="007C0FDC" w:rsidRDefault="007C0FDC" w:rsidP="003B21A2">
      <w:pPr>
        <w:pStyle w:val="Reference"/>
        <w:rPr>
          <w:lang w:eastAsia="ja-JP"/>
        </w:rPr>
      </w:pPr>
      <w:r>
        <w:rPr>
          <w:lang w:eastAsia="ja-JP"/>
        </w:rPr>
        <w:t>FDA 2010. Guidance for Industry: Non-Inferiority Clinical Trials (Draft Guidance)</w:t>
      </w:r>
      <w:r w:rsidRPr="005C11D4">
        <w:rPr>
          <w:lang w:eastAsia="ja-JP"/>
        </w:rPr>
        <w:t xml:space="preserve"> </w:t>
      </w:r>
      <w:r>
        <w:rPr>
          <w:lang w:eastAsia="ja-JP"/>
        </w:rPr>
        <w:t>(Accessed 11 August 2016). Available at:</w:t>
      </w:r>
      <w:r w:rsidR="00B379C9">
        <w:rPr>
          <w:lang w:eastAsia="ja-JP"/>
        </w:rPr>
        <w:t xml:space="preserve"> </w:t>
      </w:r>
      <w:r w:rsidRPr="003B21A2">
        <w:t>http://www.fda.gov/downloads/Drugs/.../Guidances/UCM202140.pdf</w:t>
      </w:r>
      <w:r>
        <w:rPr>
          <w:lang w:eastAsia="ja-JP"/>
        </w:rPr>
        <w:t>.</w:t>
      </w:r>
    </w:p>
    <w:p w14:paraId="367565AE" w14:textId="77777777" w:rsidR="007C0FDC" w:rsidRDefault="007C0FDC" w:rsidP="003B21A2">
      <w:pPr>
        <w:pStyle w:val="Reference"/>
        <w:rPr>
          <w:lang w:eastAsia="ja-JP"/>
        </w:rPr>
      </w:pPr>
      <w:r>
        <w:rPr>
          <w:lang w:eastAsia="ja-JP"/>
        </w:rPr>
        <w:t xml:space="preserve">Feldman S, Krueger G 2005. Psoriasis assessment tools in clinical trials. </w:t>
      </w:r>
      <w:r w:rsidRPr="00F5324D">
        <w:rPr>
          <w:i/>
          <w:lang w:eastAsia="ja-JP"/>
        </w:rPr>
        <w:t>Ann Rheum Dis</w:t>
      </w:r>
      <w:r>
        <w:rPr>
          <w:lang w:eastAsia="ja-JP"/>
        </w:rPr>
        <w:t xml:space="preserve"> 64(Suppl 2): ii65–ii68. </w:t>
      </w:r>
    </w:p>
    <w:p w14:paraId="50CA8566" w14:textId="77777777" w:rsidR="007C0FDC" w:rsidRDefault="007C0FDC" w:rsidP="003B21A2">
      <w:pPr>
        <w:pStyle w:val="Reference"/>
        <w:rPr>
          <w:lang w:eastAsia="ja-JP"/>
        </w:rPr>
      </w:pPr>
      <w:r w:rsidRPr="00E00A0E">
        <w:rPr>
          <w:lang w:eastAsia="ja-JP"/>
        </w:rPr>
        <w:t xml:space="preserve">Fredriksson T, Pettersson U 1978. Severe psoriasis – oral therapy with a new retinoid. </w:t>
      </w:r>
      <w:r w:rsidRPr="00E00A0E">
        <w:rPr>
          <w:i/>
          <w:lang w:eastAsia="ja-JP"/>
        </w:rPr>
        <w:t>Dermatologica</w:t>
      </w:r>
      <w:r w:rsidRPr="00E00A0E">
        <w:rPr>
          <w:lang w:eastAsia="ja-JP"/>
        </w:rPr>
        <w:t xml:space="preserve"> 157(4):238–244.</w:t>
      </w:r>
    </w:p>
    <w:p w14:paraId="046C74F2" w14:textId="77777777" w:rsidR="007C0FDC" w:rsidRDefault="007C0FDC" w:rsidP="003B21A2">
      <w:pPr>
        <w:pStyle w:val="Reference"/>
        <w:rPr>
          <w:lang w:eastAsia="ja-JP"/>
        </w:rPr>
      </w:pPr>
      <w:r>
        <w:rPr>
          <w:lang w:eastAsia="ja-JP"/>
        </w:rPr>
        <w:t>Gordon KB, Langley RG, Leonardi C, Toth D, Menter MA, Kang S, Heffernan M, Miller B, Hamlin R, Lim L, Zhong J, Hoffman R, Okun MM 2006.</w:t>
      </w:r>
      <w:r w:rsidRPr="00866017">
        <w:rPr>
          <w:lang w:eastAsia="ja-JP"/>
        </w:rPr>
        <w:t xml:space="preserve"> </w:t>
      </w:r>
      <w:r>
        <w:rPr>
          <w:lang w:eastAsia="ja-JP"/>
        </w:rPr>
        <w:t xml:space="preserve">Clinical response to adalimumab treatment in patients with moderate to severe psoriasis: double-blind, randomized controlled trial and open-label extension study. </w:t>
      </w:r>
      <w:r w:rsidRPr="00F5324D">
        <w:rPr>
          <w:i/>
          <w:lang w:eastAsia="ja-JP"/>
        </w:rPr>
        <w:t>J Am Acad Dermatol</w:t>
      </w:r>
      <w:r>
        <w:rPr>
          <w:lang w:eastAsia="ja-JP"/>
        </w:rPr>
        <w:t xml:space="preserve"> 55(4):598–606.</w:t>
      </w:r>
    </w:p>
    <w:p w14:paraId="4FCF280D" w14:textId="77777777" w:rsidR="007C0FDC" w:rsidRDefault="007C0FDC" w:rsidP="003B21A2">
      <w:pPr>
        <w:pStyle w:val="Reference"/>
        <w:rPr>
          <w:lang w:eastAsia="ja-JP"/>
        </w:rPr>
      </w:pPr>
      <w:r w:rsidRPr="00F5324D">
        <w:rPr>
          <w:lang w:val="de-DE" w:eastAsia="ja-JP"/>
        </w:rPr>
        <w:t xml:space="preserve">Gottlieb AB, Mease PJ, Mark Jackson J, Eisen D, Amy Xia H, Asare C, Stevens SR 2006. </w:t>
      </w:r>
      <w:r>
        <w:rPr>
          <w:lang w:eastAsia="ja-JP"/>
        </w:rPr>
        <w:t xml:space="preserve">Clinical characteristics of psoriatic arthritis and psoriasis in dermatologists' offices. </w:t>
      </w:r>
      <w:r w:rsidRPr="00F5324D">
        <w:rPr>
          <w:i/>
          <w:lang w:eastAsia="ja-JP"/>
        </w:rPr>
        <w:t>J Dermatolog Treat</w:t>
      </w:r>
      <w:r>
        <w:rPr>
          <w:lang w:eastAsia="ja-JP"/>
        </w:rPr>
        <w:t xml:space="preserve"> 17(5):279–287.</w:t>
      </w:r>
    </w:p>
    <w:p w14:paraId="59406725" w14:textId="77777777" w:rsidR="007C0FDC" w:rsidRDefault="007C0FDC" w:rsidP="003B21A2">
      <w:pPr>
        <w:pStyle w:val="Reference"/>
        <w:rPr>
          <w:lang w:eastAsia="ja-JP"/>
        </w:rPr>
      </w:pPr>
      <w:r w:rsidRPr="002D1B30">
        <w:rPr>
          <w:lang w:eastAsia="ja-JP"/>
        </w:rPr>
        <w:t xml:space="preserve">Hsu L, Snodgrass BT, Armstrong AW 2014. Antidrug antibodies in psoriasis: a systematic review. </w:t>
      </w:r>
      <w:r w:rsidRPr="00F5324D">
        <w:rPr>
          <w:i/>
          <w:lang w:eastAsia="ja-JP"/>
        </w:rPr>
        <w:t>Br J Dermatol</w:t>
      </w:r>
      <w:r w:rsidRPr="002D1B30">
        <w:rPr>
          <w:lang w:eastAsia="ja-JP"/>
        </w:rPr>
        <w:t xml:space="preserve"> 170(2):261–73.</w:t>
      </w:r>
    </w:p>
    <w:p w14:paraId="16C1C9EA" w14:textId="77777777" w:rsidR="007C0FDC" w:rsidRDefault="007C0FDC" w:rsidP="003B21A2">
      <w:pPr>
        <w:pStyle w:val="Reference"/>
        <w:rPr>
          <w:lang w:eastAsia="ja-JP"/>
        </w:rPr>
      </w:pPr>
      <w:r>
        <w:rPr>
          <w:lang w:eastAsia="ja-JP"/>
        </w:rPr>
        <w:t xml:space="preserve">Keystone EC, Kavanaugh AF, Sharp JT, Tannenbaum H, Hua Y, Teoh LS, Fischkoff SA, Chartash EK 2004. Radiographic, clinical, and functional outcomes of treatment with adalimumab (a human anti-tumor necrosis factor monoclonal antibody) in patients with active rheumatoid arthritis receiving concomitant methotrexate therapy: a randomized, placebo-controlled, 52-week trial. </w:t>
      </w:r>
      <w:r w:rsidRPr="00F5324D">
        <w:rPr>
          <w:i/>
          <w:lang w:eastAsia="ja-JP"/>
        </w:rPr>
        <w:t>Arthritis Rheum</w:t>
      </w:r>
      <w:r>
        <w:rPr>
          <w:lang w:eastAsia="ja-JP"/>
        </w:rPr>
        <w:t xml:space="preserve"> 50(5):1400–1411.</w:t>
      </w:r>
    </w:p>
    <w:p w14:paraId="236BD6D3" w14:textId="77777777" w:rsidR="007C0FDC" w:rsidRDefault="007C0FDC" w:rsidP="003B21A2">
      <w:pPr>
        <w:pStyle w:val="Reference"/>
        <w:rPr>
          <w:lang w:eastAsia="ja-JP"/>
        </w:rPr>
      </w:pPr>
      <w:r>
        <w:rPr>
          <w:lang w:eastAsia="ja-JP"/>
        </w:rPr>
        <w:t>Kim H, Lee S, Song Y, Yoo D, Koh E, Luo A 2007. A randomized, double-blind, placebo-controlled, phase III study of the human anti-tumor necrosis factor antibody adalimumab administered as subcutaneous injections in Korean rheumatoid arthritis patients treated with methotrexate. APLAR Journal of Rheumatology 10: 9–16.</w:t>
      </w:r>
    </w:p>
    <w:p w14:paraId="7B1D14B2" w14:textId="77777777" w:rsidR="007C0FDC" w:rsidRDefault="007C0FDC" w:rsidP="003B21A2">
      <w:pPr>
        <w:pStyle w:val="Reference"/>
        <w:rPr>
          <w:lang w:eastAsia="ja-JP"/>
        </w:rPr>
      </w:pPr>
      <w:r>
        <w:rPr>
          <w:lang w:eastAsia="ja-JP"/>
        </w:rPr>
        <w:lastRenderedPageBreak/>
        <w:t>Krieckaert CL, Jamnitski A, Nurmohamed MT, Kostense PJ, Boers M, Wolbink G 2012.</w:t>
      </w:r>
      <w:r w:rsidRPr="00DE67BF">
        <w:rPr>
          <w:lang w:eastAsia="ja-JP"/>
        </w:rPr>
        <w:t xml:space="preserve"> </w:t>
      </w:r>
      <w:r>
        <w:rPr>
          <w:lang w:eastAsia="ja-JP"/>
        </w:rPr>
        <w:t>Comparison of long-term clinical outcome with etanercept treatment and adalimumab treatment of rheumatoid arthritis with respect to immunogenicity.</w:t>
      </w:r>
      <w:r w:rsidRPr="00DE67BF">
        <w:rPr>
          <w:lang w:eastAsia="ja-JP"/>
        </w:rPr>
        <w:t xml:space="preserve"> </w:t>
      </w:r>
      <w:r w:rsidRPr="00F5324D">
        <w:rPr>
          <w:i/>
          <w:lang w:eastAsia="ja-JP"/>
        </w:rPr>
        <w:t>Arthritis Rheum</w:t>
      </w:r>
      <w:r>
        <w:rPr>
          <w:lang w:eastAsia="ja-JP"/>
        </w:rPr>
        <w:t xml:space="preserve"> 64(12):3850–3855.</w:t>
      </w:r>
    </w:p>
    <w:p w14:paraId="25AFEBC6" w14:textId="77777777" w:rsidR="007C0FDC" w:rsidRDefault="007C0FDC" w:rsidP="003B21A2">
      <w:pPr>
        <w:pStyle w:val="Reference"/>
        <w:rPr>
          <w:lang w:eastAsia="ja-JP"/>
        </w:rPr>
      </w:pPr>
      <w:r w:rsidRPr="00EF5EE1">
        <w:rPr>
          <w:lang w:eastAsia="ja-JP"/>
        </w:rPr>
        <w:t>Lai Z, La Noce A 2016. Key design considerations on comparative clinical efficacy studies for biosimilars: adalimumab as an example</w:t>
      </w:r>
      <w:r w:rsidRPr="00F5324D">
        <w:rPr>
          <w:i/>
          <w:lang w:eastAsia="ja-JP"/>
        </w:rPr>
        <w:t>. RMD Open</w:t>
      </w:r>
      <w:r w:rsidRPr="00EF5EE1">
        <w:rPr>
          <w:lang w:eastAsia="ja-JP"/>
        </w:rPr>
        <w:t xml:space="preserve"> 2(1):e000154.</w:t>
      </w:r>
    </w:p>
    <w:p w14:paraId="68F4CF30" w14:textId="77777777" w:rsidR="007C0FDC" w:rsidRDefault="007C0FDC" w:rsidP="003B21A2">
      <w:pPr>
        <w:pStyle w:val="Reference"/>
        <w:rPr>
          <w:lang w:eastAsia="ja-JP"/>
        </w:rPr>
      </w:pPr>
      <w:r>
        <w:rPr>
          <w:lang w:eastAsia="ja-JP"/>
        </w:rPr>
        <w:t>Lee H 2014.</w:t>
      </w:r>
      <w:r w:rsidRPr="00352D02">
        <w:rPr>
          <w:lang w:eastAsia="ja-JP"/>
        </w:rPr>
        <w:t xml:space="preserve"> </w:t>
      </w:r>
      <w:r>
        <w:rPr>
          <w:lang w:eastAsia="ja-JP"/>
        </w:rPr>
        <w:t xml:space="preserve">Is extrapolation of the safety and efficacy data in one indication to another appropriate for biosimilars? </w:t>
      </w:r>
      <w:r w:rsidRPr="00F5324D">
        <w:rPr>
          <w:i/>
          <w:lang w:eastAsia="ja-JP"/>
        </w:rPr>
        <w:t>AAPS J</w:t>
      </w:r>
      <w:r>
        <w:rPr>
          <w:lang w:eastAsia="ja-JP"/>
        </w:rPr>
        <w:t xml:space="preserve"> 16(1):22–26.</w:t>
      </w:r>
    </w:p>
    <w:p w14:paraId="12BD507D" w14:textId="77777777" w:rsidR="007C0FDC" w:rsidRDefault="007C0FDC" w:rsidP="003B21A2">
      <w:pPr>
        <w:pStyle w:val="Reference"/>
        <w:rPr>
          <w:lang w:eastAsia="ja-JP"/>
        </w:rPr>
      </w:pPr>
      <w:r w:rsidRPr="00F5324D">
        <w:rPr>
          <w:lang w:val="de-DE" w:eastAsia="ja-JP"/>
        </w:rPr>
        <w:t xml:space="preserve">Lie MR, Peppelenbosch MP, West RL, Zelinkova Z, van der Woude CJ 2014. </w:t>
      </w:r>
      <w:r w:rsidRPr="00EC27ED">
        <w:rPr>
          <w:lang w:eastAsia="ja-JP"/>
        </w:rPr>
        <w:t xml:space="preserve">Adalimumab in Crohn's disease patients: pharmacokinetics in the first 6 months of treatment. </w:t>
      </w:r>
      <w:r w:rsidRPr="00F5324D">
        <w:rPr>
          <w:i/>
          <w:lang w:eastAsia="ja-JP"/>
        </w:rPr>
        <w:t xml:space="preserve">Aliment Pharmacol Ther </w:t>
      </w:r>
      <w:r>
        <w:rPr>
          <w:lang w:eastAsia="ja-JP"/>
        </w:rPr>
        <w:t>40(10):1202–120</w:t>
      </w:r>
      <w:r w:rsidRPr="00EC27ED">
        <w:rPr>
          <w:lang w:eastAsia="ja-JP"/>
        </w:rPr>
        <w:t>8.</w:t>
      </w:r>
    </w:p>
    <w:p w14:paraId="03C57C0B" w14:textId="77777777" w:rsidR="007C0FDC" w:rsidRDefault="007C0FDC" w:rsidP="003B21A2">
      <w:pPr>
        <w:pStyle w:val="Reference"/>
        <w:rPr>
          <w:lang w:eastAsia="ja-JP"/>
        </w:rPr>
      </w:pPr>
      <w:r>
        <w:rPr>
          <w:lang w:eastAsia="ja-JP"/>
        </w:rPr>
        <w:t>Menter A, Tyring SK, Gordon K, Kimball AB, Leonardi CL, Langley RG, Strober BE, Kaul M, Gu Y, Okun M, Papp K 2008.</w:t>
      </w:r>
      <w:r w:rsidRPr="009F5855">
        <w:rPr>
          <w:lang w:eastAsia="ja-JP"/>
        </w:rPr>
        <w:t xml:space="preserve"> </w:t>
      </w:r>
      <w:r>
        <w:rPr>
          <w:lang w:eastAsia="ja-JP"/>
        </w:rPr>
        <w:t xml:space="preserve">Adalimumab therapy for moderate to severe psoriasis: A randomized, controlled phase III trial. </w:t>
      </w:r>
      <w:r w:rsidRPr="00F5324D">
        <w:rPr>
          <w:i/>
          <w:lang w:eastAsia="ja-JP"/>
        </w:rPr>
        <w:t>J Am Acad Dermatol</w:t>
      </w:r>
      <w:r>
        <w:rPr>
          <w:lang w:eastAsia="ja-JP"/>
        </w:rPr>
        <w:t xml:space="preserve"> 58(1):106–115.</w:t>
      </w:r>
    </w:p>
    <w:p w14:paraId="4A34610D" w14:textId="77777777" w:rsidR="007C0FDC" w:rsidRDefault="007C0FDC" w:rsidP="003B21A2">
      <w:pPr>
        <w:pStyle w:val="Reference"/>
        <w:rPr>
          <w:lang w:eastAsia="ja-JP"/>
        </w:rPr>
      </w:pPr>
      <w:r>
        <w:rPr>
          <w:lang w:eastAsia="ja-JP"/>
        </w:rPr>
        <w:t xml:space="preserve">Sany J, Bourgeois P, Saraux A, Durieux S, Lafuma A, Daurès JP, Guillemin F, Sibilia J 2004. Characteristics of patients with rheumatoid arthritis in France: a study of 1109 patients managed by hospital based rheumatologists. </w:t>
      </w:r>
      <w:r w:rsidRPr="00F5324D">
        <w:rPr>
          <w:i/>
          <w:lang w:eastAsia="ja-JP"/>
        </w:rPr>
        <w:t>Ann Rheum Dis</w:t>
      </w:r>
      <w:r>
        <w:rPr>
          <w:lang w:eastAsia="ja-JP"/>
        </w:rPr>
        <w:t xml:space="preserve"> 63(10):1235–1240.</w:t>
      </w:r>
    </w:p>
    <w:p w14:paraId="567C0C42" w14:textId="77777777" w:rsidR="007C0FDC" w:rsidRDefault="007C0FDC" w:rsidP="003B21A2">
      <w:pPr>
        <w:pStyle w:val="Reference"/>
        <w:rPr>
          <w:lang w:eastAsia="ja-JP"/>
        </w:rPr>
      </w:pPr>
      <w:r>
        <w:rPr>
          <w:lang w:eastAsia="ja-JP"/>
        </w:rPr>
        <w:t>Saurat JH, Stingl G, Dubertret L, Papp K, Langley RG, Ortonne JP, Unnebrink K, Kaul M, Camez A; CHAMPION Study Investigators 2008.</w:t>
      </w:r>
      <w:r w:rsidRPr="006611FE">
        <w:rPr>
          <w:lang w:eastAsia="ja-JP"/>
        </w:rPr>
        <w:t xml:space="preserve"> </w:t>
      </w:r>
      <w:r>
        <w:rPr>
          <w:lang w:eastAsia="ja-JP"/>
        </w:rPr>
        <w:t xml:space="preserve">Efficacy and safety results from the randomized controlled comparative study of adalimumab versus methotrexate versus placebo in patients with psoriasis (CHAMPION). </w:t>
      </w:r>
      <w:r w:rsidRPr="00F5324D">
        <w:rPr>
          <w:i/>
          <w:lang w:eastAsia="ja-JP"/>
        </w:rPr>
        <w:t>Br J Dermatol</w:t>
      </w:r>
      <w:r>
        <w:rPr>
          <w:lang w:eastAsia="ja-JP"/>
        </w:rPr>
        <w:t xml:space="preserve"> 158(3):558–566.</w:t>
      </w:r>
    </w:p>
    <w:p w14:paraId="6FEF2653" w14:textId="77777777" w:rsidR="007C0FDC" w:rsidRDefault="007C0FDC" w:rsidP="003B21A2">
      <w:pPr>
        <w:pStyle w:val="Reference"/>
        <w:rPr>
          <w:lang w:eastAsia="ja-JP"/>
        </w:rPr>
      </w:pPr>
      <w:r>
        <w:rPr>
          <w:lang w:eastAsia="ja-JP"/>
        </w:rPr>
        <w:t>Spuls PI, Lecluse LL, Poulsen ML, Bos JD, Stern RS, Nijsten T 2010.</w:t>
      </w:r>
      <w:r w:rsidRPr="00F649D1">
        <w:rPr>
          <w:lang w:eastAsia="ja-JP"/>
        </w:rPr>
        <w:t xml:space="preserve"> </w:t>
      </w:r>
      <w:r>
        <w:rPr>
          <w:lang w:eastAsia="ja-JP"/>
        </w:rPr>
        <w:t xml:space="preserve">How good are clinical severity and outcome measures for psoriasis?: quantitative evaluation in a systematic review. </w:t>
      </w:r>
      <w:r w:rsidRPr="00F5324D">
        <w:rPr>
          <w:i/>
          <w:lang w:eastAsia="ja-JP"/>
        </w:rPr>
        <w:t>J Invest Dermatol</w:t>
      </w:r>
      <w:r>
        <w:rPr>
          <w:lang w:eastAsia="ja-JP"/>
        </w:rPr>
        <w:t xml:space="preserve"> 130(4):933–943.</w:t>
      </w:r>
    </w:p>
    <w:p w14:paraId="449E4300" w14:textId="77777777" w:rsidR="007C0FDC" w:rsidRDefault="007C0FDC" w:rsidP="003B21A2">
      <w:pPr>
        <w:pStyle w:val="Reference"/>
        <w:rPr>
          <w:lang w:eastAsia="ja-JP"/>
        </w:rPr>
      </w:pPr>
      <w:r>
        <w:rPr>
          <w:lang w:eastAsia="ja-JP"/>
        </w:rPr>
        <w:t>Ternant D, Ducourau E, Fuzibet P, Vignault C, Watier H, Lequerré T, Le Loët X, Vittecoq O, Goupille P, Mulleman D, Paintaud G 2015.</w:t>
      </w:r>
      <w:r w:rsidRPr="001B765F">
        <w:rPr>
          <w:lang w:eastAsia="ja-JP"/>
        </w:rPr>
        <w:t xml:space="preserve"> </w:t>
      </w:r>
      <w:r>
        <w:rPr>
          <w:lang w:eastAsia="ja-JP"/>
        </w:rPr>
        <w:t xml:space="preserve">Pharmacokinetics and concentration-effect relationship of adalimumab in rheumatoid arthritis. </w:t>
      </w:r>
      <w:r w:rsidRPr="00F5324D">
        <w:rPr>
          <w:i/>
          <w:lang w:eastAsia="ja-JP"/>
        </w:rPr>
        <w:t>Br J Clin Pharmacol</w:t>
      </w:r>
      <w:r>
        <w:rPr>
          <w:lang w:eastAsia="ja-JP"/>
        </w:rPr>
        <w:t xml:space="preserve"> 79(2):286–97.</w:t>
      </w:r>
    </w:p>
    <w:p w14:paraId="067D32CA" w14:textId="77777777" w:rsidR="007C0FDC" w:rsidRDefault="007C0FDC" w:rsidP="003B21A2">
      <w:pPr>
        <w:pStyle w:val="Reference"/>
        <w:rPr>
          <w:lang w:eastAsia="ja-JP"/>
        </w:rPr>
      </w:pPr>
      <w:r>
        <w:rPr>
          <w:lang w:eastAsia="ja-JP"/>
        </w:rPr>
        <w:t>Thaçi D, Ortonne JP, Chimenti S, Ghislain PD, Arenberger P, Kragballe K, Saurat JH, Khemis A, Sprøgel P, Esslinger HU, Unnebrink K, Kupper H 2010.</w:t>
      </w:r>
      <w:r w:rsidRPr="00B30C8E">
        <w:rPr>
          <w:lang w:eastAsia="ja-JP"/>
        </w:rPr>
        <w:t xml:space="preserve"> </w:t>
      </w:r>
      <w:r>
        <w:rPr>
          <w:lang w:eastAsia="ja-JP"/>
        </w:rPr>
        <w:t xml:space="preserve">A phase IIIb, multicentre, randomized, double-blind, vehicle-controlled study of the efficacy and safety of adalimumab with and without calcipotriol/betamethasone topical treatment in patients with moderate to severe psoriasis: the BELIEVE study. </w:t>
      </w:r>
      <w:r w:rsidRPr="00F5324D">
        <w:rPr>
          <w:i/>
          <w:lang w:eastAsia="ja-JP"/>
        </w:rPr>
        <w:t>Br J Dermatol</w:t>
      </w:r>
      <w:r>
        <w:rPr>
          <w:lang w:eastAsia="ja-JP"/>
        </w:rPr>
        <w:t xml:space="preserve"> 163(2):402–411. </w:t>
      </w:r>
    </w:p>
    <w:p w14:paraId="76F50D0B" w14:textId="77777777" w:rsidR="00B379C9" w:rsidRDefault="007C0FDC" w:rsidP="003B21A2">
      <w:pPr>
        <w:pStyle w:val="Reference"/>
        <w:rPr>
          <w:lang w:eastAsia="ja-JP"/>
        </w:rPr>
      </w:pPr>
      <w:r>
        <w:rPr>
          <w:lang w:eastAsia="ja-JP"/>
        </w:rPr>
        <w:t>Weinblatt ME, Keystone EC, Furst DE, Moreland LW, Weisman MH, Birbara CA, Teoh LA, Fischkoff SA, Chartash EK 2003.</w:t>
      </w:r>
      <w:r w:rsidRPr="006C7A07">
        <w:rPr>
          <w:lang w:eastAsia="ja-JP"/>
        </w:rPr>
        <w:t xml:space="preserve"> </w:t>
      </w:r>
      <w:r>
        <w:rPr>
          <w:lang w:eastAsia="ja-JP"/>
        </w:rPr>
        <w:t xml:space="preserve">Adalimumab, a fully human anti-tumor necrosis factor alpha monoclonal antibody, for the treatment of rheumatoid arthritis in patients taking concomitant methotrexate: the ARMADA trial. </w:t>
      </w:r>
      <w:r w:rsidRPr="00F5324D">
        <w:rPr>
          <w:i/>
          <w:lang w:eastAsia="ja-JP"/>
        </w:rPr>
        <w:t>Arthritis Rheum</w:t>
      </w:r>
      <w:r>
        <w:rPr>
          <w:lang w:eastAsia="ja-JP"/>
        </w:rPr>
        <w:t xml:space="preserve"> 48(1):35–45.</w:t>
      </w:r>
    </w:p>
    <w:p w14:paraId="0C12366B" w14:textId="320255D5" w:rsidR="003D1E62" w:rsidRPr="001D043B" w:rsidRDefault="008E7846" w:rsidP="003B21A2">
      <w:pPr>
        <w:pStyle w:val="Reference"/>
        <w:sectPr w:rsidR="003D1E62" w:rsidRPr="001D043B" w:rsidSect="008D770F">
          <w:headerReference w:type="even" r:id="rId58"/>
          <w:headerReference w:type="default" r:id="rId59"/>
          <w:headerReference w:type="first" r:id="rId60"/>
          <w:footerReference w:type="first" r:id="rId61"/>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FBC4D12" w14:textId="77777777" w:rsidTr="002E64CE">
        <w:trPr>
          <w:trHeight w:hRule="exact" w:val="564"/>
        </w:trPr>
        <w:tc>
          <w:tcPr>
            <w:tcW w:w="9175" w:type="dxa"/>
          </w:tcPr>
          <w:p w14:paraId="31BE61D7" w14:textId="77777777" w:rsidR="00B3567E" w:rsidRPr="00487162" w:rsidRDefault="00B3567E" w:rsidP="002E64CE">
            <w:pPr>
              <w:pStyle w:val="TGASignoff"/>
            </w:pPr>
            <w:r w:rsidRPr="00487162">
              <w:lastRenderedPageBreak/>
              <w:t>Therapeutic Goods Administration</w:t>
            </w:r>
          </w:p>
        </w:tc>
      </w:tr>
      <w:tr w:rsidR="00B3567E" w:rsidRPr="00487162" w14:paraId="6CA581EE" w14:textId="77777777" w:rsidTr="002E64CE">
        <w:trPr>
          <w:trHeight w:val="1221"/>
        </w:trPr>
        <w:tc>
          <w:tcPr>
            <w:tcW w:w="9175" w:type="dxa"/>
            <w:tcMar>
              <w:top w:w="28" w:type="dxa"/>
            </w:tcMar>
          </w:tcPr>
          <w:p w14:paraId="25E58ED2" w14:textId="77777777" w:rsidR="00B3567E" w:rsidRPr="00487162" w:rsidRDefault="00B3567E" w:rsidP="002E64CE">
            <w:pPr>
              <w:pStyle w:val="Address"/>
            </w:pPr>
            <w:r w:rsidRPr="00487162">
              <w:t>PO Box 100 Woden ACT 2606 Australia</w:t>
            </w:r>
          </w:p>
          <w:p w14:paraId="72A4DBB0" w14:textId="77777777" w:rsidR="00B3567E" w:rsidRPr="00487162" w:rsidRDefault="00B3567E" w:rsidP="002E64CE">
            <w:pPr>
              <w:pStyle w:val="Address"/>
            </w:pPr>
            <w:r w:rsidRPr="00487162">
              <w:t xml:space="preserve">Email: </w:t>
            </w:r>
            <w:hyperlink r:id="rId62" w:history="1">
              <w:r w:rsidRPr="008D770F">
                <w:rPr>
                  <w:rStyle w:val="Hyperlink"/>
                </w:rPr>
                <w:t>info@tga.gov.au</w:t>
              </w:r>
            </w:hyperlink>
            <w:r w:rsidRPr="00487162">
              <w:t xml:space="preserve">  Phone: 1800 020 653  Fax: 02 6232 8605</w:t>
            </w:r>
          </w:p>
          <w:p w14:paraId="398CE121" w14:textId="77777777" w:rsidR="00B3567E" w:rsidRPr="008D770F" w:rsidRDefault="00E94FE8" w:rsidP="002E64CE">
            <w:pPr>
              <w:pStyle w:val="Address"/>
              <w:spacing w:line="260" w:lineRule="atLeast"/>
              <w:rPr>
                <w:b/>
                <w:color w:val="0000FF"/>
                <w:u w:val="single"/>
              </w:rPr>
            </w:pPr>
            <w:hyperlink r:id="rId63" w:history="1">
              <w:r w:rsidR="00E979F4" w:rsidRPr="00FE02B1">
                <w:rPr>
                  <w:rStyle w:val="Hyperlink"/>
                  <w:b/>
                </w:rPr>
                <w:t>https://www.tga.gov.au</w:t>
              </w:r>
            </w:hyperlink>
          </w:p>
        </w:tc>
      </w:tr>
    </w:tbl>
    <w:p w14:paraId="24768A96" w14:textId="77777777" w:rsidR="00774E1D" w:rsidRPr="008A5E0B" w:rsidRDefault="00774E1D" w:rsidP="008A5E0B"/>
    <w:sectPr w:rsidR="00774E1D" w:rsidRPr="008A5E0B" w:rsidSect="00B3567E">
      <w:headerReference w:type="even" r:id="rId64"/>
      <w:headerReference w:type="default" r:id="rId65"/>
      <w:footerReference w:type="default" r:id="rId66"/>
      <w:headerReference w:type="first" r:id="rId67"/>
      <w:footerReference w:type="first" r:id="rId68"/>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543FAB" w15:done="0"/>
  <w15:commentEx w15:paraId="7F1B35D8" w15:done="0"/>
  <w15:commentEx w15:paraId="51ED9E8C" w15:done="0"/>
  <w15:commentEx w15:paraId="23E83D19" w15:done="0"/>
  <w15:commentEx w15:paraId="7CFA955E" w15:done="0"/>
  <w15:commentEx w15:paraId="482562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8DC0F" w14:textId="77777777" w:rsidR="00E94FE8" w:rsidRDefault="00E94FE8" w:rsidP="00C40A36">
      <w:pPr>
        <w:spacing w:after="0"/>
      </w:pPr>
      <w:r>
        <w:separator/>
      </w:r>
    </w:p>
  </w:endnote>
  <w:endnote w:type="continuationSeparator" w:id="0">
    <w:p w14:paraId="5EE339F5" w14:textId="77777777" w:rsidR="00E94FE8" w:rsidRDefault="00E94FE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94FE8" w:rsidRPr="00487162" w14:paraId="5046BEF2" w14:textId="77777777" w:rsidTr="00981D66">
      <w:trPr>
        <w:trHeight w:val="269"/>
      </w:trPr>
      <w:tc>
        <w:tcPr>
          <w:tcW w:w="7938" w:type="dxa"/>
          <w:tcMar>
            <w:top w:w="142" w:type="dxa"/>
            <w:bottom w:w="0" w:type="dxa"/>
          </w:tcMar>
        </w:tcPr>
        <w:p w14:paraId="0376204B" w14:textId="77777777" w:rsidR="00E94FE8" w:rsidRPr="00487162" w:rsidRDefault="00E94FE8" w:rsidP="00C137CE">
          <w:pPr>
            <w:pStyle w:val="Footer"/>
          </w:pPr>
          <w:r w:rsidRPr="007C0FDC">
            <w:t>Submission PM-2016-00845-1-1 Clinical Evaluation Report for Amgevita (adalimumab)</w:t>
          </w:r>
        </w:p>
      </w:tc>
      <w:tc>
        <w:tcPr>
          <w:tcW w:w="923" w:type="dxa"/>
          <w:tcMar>
            <w:top w:w="142" w:type="dxa"/>
            <w:bottom w:w="0" w:type="dxa"/>
          </w:tcMar>
        </w:tcPr>
        <w:p w14:paraId="65C1A0E8" w14:textId="77777777" w:rsidR="00E94FE8" w:rsidRPr="00981D66" w:rsidRDefault="00E94FE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0003E">
            <w:rPr>
              <w:noProof/>
            </w:rPr>
            <w:t>97</w:t>
          </w:r>
          <w:r w:rsidRPr="00981D66">
            <w:fldChar w:fldCharType="end"/>
          </w:r>
          <w:r w:rsidRPr="00981D66">
            <w:t xml:space="preserve"> of </w:t>
          </w:r>
          <w:fldSimple w:instr=" NUMPAGES  \* Arabic  \* MERGEFORMAT ">
            <w:r w:rsidR="0060003E">
              <w:rPr>
                <w:noProof/>
              </w:rPr>
              <w:t>99</w:t>
            </w:r>
          </w:fldSimple>
        </w:p>
      </w:tc>
    </w:tr>
  </w:tbl>
  <w:p w14:paraId="45181B83" w14:textId="77777777" w:rsidR="00E94FE8" w:rsidRDefault="00E94FE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94FE8" w:rsidRPr="00487162" w14:paraId="1A9CE5A5" w14:textId="77777777" w:rsidTr="00E45619">
      <w:trPr>
        <w:trHeight w:val="269"/>
      </w:trPr>
      <w:tc>
        <w:tcPr>
          <w:tcW w:w="4519" w:type="dxa"/>
          <w:tcBorders>
            <w:top w:val="single" w:sz="4" w:space="0" w:color="auto"/>
          </w:tcBorders>
          <w:tcMar>
            <w:top w:w="142" w:type="dxa"/>
            <w:bottom w:w="0" w:type="dxa"/>
          </w:tcMar>
        </w:tcPr>
        <w:p w14:paraId="35802A31" w14:textId="77777777" w:rsidR="00E94FE8" w:rsidRPr="00487162" w:rsidRDefault="00E94FE8" w:rsidP="00FE1DEE">
          <w:pPr>
            <w:pStyle w:val="Footer"/>
          </w:pPr>
          <w:r w:rsidRPr="00487162">
            <w:t>Document title, Part #, Section # - Section title</w:t>
          </w:r>
        </w:p>
        <w:p w14:paraId="10DF7870" w14:textId="77777777" w:rsidR="00E94FE8" w:rsidRPr="00487162" w:rsidRDefault="00E94FE8" w:rsidP="00FE1DEE">
          <w:pPr>
            <w:pStyle w:val="Footer"/>
          </w:pPr>
          <w:r w:rsidRPr="00487162">
            <w:t>V1.0 October 2010</w:t>
          </w:r>
        </w:p>
      </w:tc>
      <w:tc>
        <w:tcPr>
          <w:tcW w:w="4342" w:type="dxa"/>
          <w:tcBorders>
            <w:top w:val="single" w:sz="4" w:space="0" w:color="auto"/>
          </w:tcBorders>
          <w:tcMar>
            <w:top w:w="142" w:type="dxa"/>
            <w:bottom w:w="0" w:type="dxa"/>
          </w:tcMar>
        </w:tcPr>
        <w:p w14:paraId="681C23F9" w14:textId="77777777" w:rsidR="00E94FE8" w:rsidRPr="00487162" w:rsidRDefault="00E94FE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100</w:t>
            </w:r>
          </w:fldSimple>
        </w:p>
      </w:tc>
    </w:tr>
  </w:tbl>
  <w:p w14:paraId="1022AAC9" w14:textId="77777777" w:rsidR="00E94FE8" w:rsidRDefault="00E94F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8B412" w14:textId="77777777" w:rsidR="00E94FE8" w:rsidRDefault="00E94FE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94FE8" w14:paraId="7CA992D7" w14:textId="77777777" w:rsidTr="0010601F">
      <w:trPr>
        <w:trHeight w:val="108"/>
      </w:trPr>
      <w:tc>
        <w:tcPr>
          <w:tcW w:w="8875" w:type="dxa"/>
          <w:gridSpan w:val="2"/>
          <w:tcBorders>
            <w:bottom w:val="single" w:sz="4" w:space="0" w:color="auto"/>
          </w:tcBorders>
          <w:tcMar>
            <w:right w:w="284" w:type="dxa"/>
          </w:tcMar>
        </w:tcPr>
        <w:p w14:paraId="2A9B502A" w14:textId="77777777" w:rsidR="00E94FE8" w:rsidRDefault="00E94FE8" w:rsidP="006E08B3">
          <w:pPr>
            <w:pStyle w:val="Heading3"/>
          </w:pPr>
          <w:r>
            <w:t>Copyright</w:t>
          </w:r>
        </w:p>
        <w:p w14:paraId="235F2909" w14:textId="77777777" w:rsidR="00E94FE8" w:rsidRDefault="00E94FE8" w:rsidP="006E08B3">
          <w:r>
            <w:rPr>
              <w:rFonts w:cs="Arial"/>
            </w:rPr>
            <w:t>©</w:t>
          </w:r>
          <w:r>
            <w:t xml:space="preserve"> Commonwealth of Australia [add year]</w:t>
          </w:r>
        </w:p>
        <w:p w14:paraId="14B60694" w14:textId="77777777" w:rsidR="00E94FE8" w:rsidRDefault="00E94FE8" w:rsidP="006E08B3"/>
        <w:p w14:paraId="26271A1C" w14:textId="77777777" w:rsidR="00E94FE8" w:rsidRDefault="00E94FE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5215C71" w14:textId="77777777" w:rsidR="00E94FE8" w:rsidRDefault="00E94FE8" w:rsidP="006E08B3"/>
        <w:p w14:paraId="2BE444B4" w14:textId="77777777" w:rsidR="00E94FE8" w:rsidRDefault="00E94FE8" w:rsidP="006E08B3">
          <w:pPr>
            <w:pStyle w:val="Heading3"/>
          </w:pPr>
          <w:r>
            <w:t>Confidentiality</w:t>
          </w:r>
        </w:p>
        <w:p w14:paraId="6F2C6536" w14:textId="77777777" w:rsidR="00E94FE8" w:rsidRDefault="00E94FE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533AED3" w14:textId="77777777" w:rsidR="00E94FE8" w:rsidRDefault="00E94FE8" w:rsidP="006E08B3"/>
        <w:p w14:paraId="7AC67ED5" w14:textId="77777777" w:rsidR="00E94FE8" w:rsidRDefault="00E94FE8" w:rsidP="006E08B3">
          <w:r>
            <w:t>For submission made by individuals, all personal details, other than your name, will be removed from your submission before it is published on the TGA’s Internet site.</w:t>
          </w:r>
        </w:p>
        <w:p w14:paraId="2BFCBBB3" w14:textId="77777777" w:rsidR="00E94FE8" w:rsidRDefault="00E94FE8" w:rsidP="006E08B3"/>
        <w:p w14:paraId="19B9817F" w14:textId="77777777" w:rsidR="00E94FE8" w:rsidRDefault="00E94FE8" w:rsidP="006E08B3">
          <w:r>
            <w:t>In addition, a list of parties making submissions will be published. If you do not wish to be identified with your submission you must specifically request this in the space provided ib the submission coversheet.</w:t>
          </w:r>
        </w:p>
      </w:tc>
    </w:tr>
    <w:tr w:rsidR="00E94FE8" w14:paraId="2D36B45A" w14:textId="77777777" w:rsidTr="0010601F">
      <w:trPr>
        <w:trHeight w:val="417"/>
      </w:trPr>
      <w:tc>
        <w:tcPr>
          <w:tcW w:w="4519" w:type="dxa"/>
          <w:tcBorders>
            <w:top w:val="single" w:sz="4" w:space="0" w:color="auto"/>
          </w:tcBorders>
          <w:tcMar>
            <w:top w:w="142" w:type="dxa"/>
            <w:bottom w:w="0" w:type="dxa"/>
          </w:tcMar>
        </w:tcPr>
        <w:p w14:paraId="10733AAB" w14:textId="77777777" w:rsidR="00E94FE8" w:rsidRDefault="00E94FE8" w:rsidP="006E08B3">
          <w:r>
            <w:t>Document title, Part #, Section # - Section title</w:t>
          </w:r>
        </w:p>
        <w:p w14:paraId="2F9E6FA3" w14:textId="77777777" w:rsidR="00E94FE8" w:rsidRDefault="00E94FE8" w:rsidP="006E08B3">
          <w:r>
            <w:t>V1.0 October 2010</w:t>
          </w:r>
        </w:p>
      </w:tc>
      <w:tc>
        <w:tcPr>
          <w:tcW w:w="4356" w:type="dxa"/>
          <w:tcBorders>
            <w:top w:val="single" w:sz="4" w:space="0" w:color="auto"/>
          </w:tcBorders>
          <w:tcMar>
            <w:top w:w="142" w:type="dxa"/>
            <w:bottom w:w="0" w:type="dxa"/>
          </w:tcMar>
        </w:tcPr>
        <w:p w14:paraId="6C2D9EEC" w14:textId="77777777" w:rsidR="00E94FE8" w:rsidRDefault="00E94FE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100</w:t>
            </w:r>
          </w:fldSimple>
          <w:r>
            <w:t xml:space="preserve">  </w:t>
          </w:r>
        </w:p>
      </w:tc>
    </w:tr>
  </w:tbl>
  <w:p w14:paraId="26B1BAD6" w14:textId="77777777" w:rsidR="00E94FE8" w:rsidRDefault="00E94F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EA379" w14:textId="77777777" w:rsidR="00E94FE8" w:rsidRDefault="00E94FE8" w:rsidP="00C40A36">
      <w:pPr>
        <w:spacing w:after="0"/>
      </w:pPr>
      <w:r>
        <w:separator/>
      </w:r>
    </w:p>
  </w:footnote>
  <w:footnote w:type="continuationSeparator" w:id="0">
    <w:p w14:paraId="3AEC37CC" w14:textId="77777777" w:rsidR="00E94FE8" w:rsidRDefault="00E94FE8" w:rsidP="00C40A36">
      <w:pPr>
        <w:spacing w:after="0"/>
      </w:pPr>
      <w:r>
        <w:continuationSeparator/>
      </w:r>
    </w:p>
  </w:footnote>
  <w:footnote w:id="1">
    <w:p w14:paraId="75A2E057" w14:textId="77777777" w:rsidR="00E94FE8" w:rsidRPr="00F14441" w:rsidRDefault="00E94FE8" w:rsidP="00F14441">
      <w:pPr>
        <w:pStyle w:val="FootnoteText"/>
      </w:pPr>
      <w:r>
        <w:rPr>
          <w:rStyle w:val="FootnoteReference"/>
        </w:rPr>
        <w:footnoteRef/>
      </w:r>
      <w:r>
        <w:t xml:space="preserve"> </w:t>
      </w:r>
      <w:r w:rsidRPr="00F14441">
        <w:t>The sponsor has now received a waiver from the FDA.</w:t>
      </w:r>
    </w:p>
  </w:footnote>
  <w:footnote w:id="2">
    <w:p w14:paraId="129ACE0B" w14:textId="77777777" w:rsidR="00E94FE8" w:rsidRPr="00DF6571" w:rsidRDefault="00E94FE8" w:rsidP="00404747">
      <w:pPr>
        <w:pStyle w:val="FootnoteText"/>
        <w:rPr>
          <w:lang w:val="en-US"/>
        </w:rPr>
      </w:pPr>
      <w:r>
        <w:rPr>
          <w:rStyle w:val="FootnoteReference"/>
        </w:rPr>
        <w:footnoteRef/>
      </w:r>
      <w:r>
        <w:t xml:space="preserve"> </w:t>
      </w:r>
      <w:r w:rsidRPr="00DF6571">
        <w:t xml:space="preserve">Patton A, </w:t>
      </w:r>
      <w:proofErr w:type="spellStart"/>
      <w:r w:rsidRPr="00DF6571">
        <w:t>Mullenix</w:t>
      </w:r>
      <w:proofErr w:type="spellEnd"/>
      <w:r w:rsidRPr="00DF6571">
        <w:t xml:space="preserve"> MC, Swanson SJ, </w:t>
      </w:r>
      <w:proofErr w:type="spellStart"/>
      <w:r w:rsidRPr="00DF6571">
        <w:t>Koren</w:t>
      </w:r>
      <w:proofErr w:type="spellEnd"/>
      <w:r w:rsidRPr="00DF6571">
        <w:t xml:space="preserve"> E</w:t>
      </w:r>
      <w:r>
        <w:t xml:space="preserve"> 2005</w:t>
      </w:r>
      <w:r w:rsidRPr="00DF6571">
        <w:t>. An acid dissociation bridging ELISA for detection of antibodies directed against therapeutic protein</w:t>
      </w:r>
      <w:r>
        <w:t xml:space="preserve">s in the </w:t>
      </w:r>
      <w:r w:rsidRPr="00404747">
        <w:t>presence</w:t>
      </w:r>
      <w:r>
        <w:t xml:space="preserve"> of antigen</w:t>
      </w:r>
      <w:r w:rsidRPr="00DF6571">
        <w:rPr>
          <w:i/>
        </w:rPr>
        <w:t xml:space="preserve">. </w:t>
      </w:r>
      <w:proofErr w:type="gramStart"/>
      <w:r w:rsidRPr="00DF6571">
        <w:rPr>
          <w:i/>
        </w:rPr>
        <w:t>J Immunol Methods</w:t>
      </w:r>
      <w:r>
        <w:t xml:space="preserve"> 304:</w:t>
      </w:r>
      <w:r w:rsidRPr="00DF6571">
        <w:t>189– 195.</w:t>
      </w:r>
      <w:proofErr w:type="gramEnd"/>
    </w:p>
  </w:footnote>
  <w:footnote w:id="3">
    <w:p w14:paraId="0D5B7A66" w14:textId="77777777" w:rsidR="00E94FE8" w:rsidRPr="00DF6571" w:rsidRDefault="00E94FE8" w:rsidP="007C0FDC">
      <w:pPr>
        <w:pStyle w:val="FootnoteText"/>
        <w:rPr>
          <w:lang w:val="en-US"/>
        </w:rPr>
      </w:pPr>
      <w:r>
        <w:rPr>
          <w:rStyle w:val="FootnoteReference"/>
        </w:rPr>
        <w:footnoteRef/>
      </w:r>
      <w:r>
        <w:t xml:space="preserve"> </w:t>
      </w:r>
      <w:proofErr w:type="spellStart"/>
      <w:r w:rsidRPr="00DF6571">
        <w:t>Moxness</w:t>
      </w:r>
      <w:proofErr w:type="spellEnd"/>
      <w:r w:rsidRPr="00DF6571">
        <w:t xml:space="preserve"> M, </w:t>
      </w:r>
      <w:proofErr w:type="spellStart"/>
      <w:r w:rsidRPr="00DF6571">
        <w:t>Tatarewicz</w:t>
      </w:r>
      <w:proofErr w:type="spellEnd"/>
      <w:r w:rsidRPr="00DF6571">
        <w:t xml:space="preserve"> S, </w:t>
      </w:r>
      <w:proofErr w:type="spellStart"/>
      <w:r w:rsidRPr="00DF6571">
        <w:t>Weeraratne</w:t>
      </w:r>
      <w:proofErr w:type="spellEnd"/>
      <w:r w:rsidRPr="00DF6571">
        <w:t xml:space="preserve"> D, et al. </w:t>
      </w:r>
      <w:r>
        <w:t xml:space="preserve">2005. </w:t>
      </w:r>
      <w:r w:rsidRPr="00DF6571">
        <w:t>Immunogenicity testing by electrochemiluminescent detection for antibodies directed against therapeutic human mo</w:t>
      </w:r>
      <w:r>
        <w:t xml:space="preserve">noclonal antibodies. </w:t>
      </w:r>
      <w:r w:rsidRPr="00DF6571">
        <w:rPr>
          <w:i/>
        </w:rPr>
        <w:t>Clin Chem</w:t>
      </w:r>
      <w:r>
        <w:t xml:space="preserve"> 51(10):1983–</w:t>
      </w:r>
      <w:r w:rsidRPr="00DF6571">
        <w:t>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6774" w14:textId="77777777" w:rsidR="00E94FE8" w:rsidRDefault="00E94FE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9C6F" w14:textId="77777777" w:rsidR="00E94FE8" w:rsidRDefault="00E94FE8">
    <w:pPr>
      <w:rPr>
        <w:noProof/>
        <w:lang w:eastAsia="en-AU"/>
      </w:rPr>
    </w:pPr>
    <w:r w:rsidRPr="002D545C">
      <w:rPr>
        <w:noProof/>
        <w:lang w:eastAsia="en-AU"/>
      </w:rPr>
      <w:drawing>
        <wp:anchor distT="0" distB="0" distL="114300" distR="114300" simplePos="0" relativeHeight="251659264" behindDoc="1" locked="0" layoutInCell="1" allowOverlap="1" wp14:anchorId="297D2917" wp14:editId="419E150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4DD4011" w14:textId="77777777" w:rsidR="00E94FE8" w:rsidRDefault="00E94FE8" w:rsidP="00593AD1">
    <w:pPr>
      <w:pStyle w:val="HeaderNoLine"/>
    </w:pPr>
    <w:r>
      <w:rPr>
        <w:noProof/>
        <w:lang w:eastAsia="en-AU"/>
      </w:rPr>
      <w:drawing>
        <wp:inline distT="0" distB="0" distL="0" distR="0" wp14:anchorId="68995BD9" wp14:editId="5E657769">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9CAB7" w14:textId="77777777" w:rsidR="00E94FE8" w:rsidRDefault="00E94F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FFE1B" w14:textId="77777777" w:rsidR="00E94FE8" w:rsidRDefault="00E94FE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B6F" w14:textId="77777777" w:rsidR="00E94FE8" w:rsidRDefault="00E94FE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2DD8" w14:textId="77777777" w:rsidR="00E94FE8" w:rsidRDefault="00E94F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8104" w14:textId="77777777" w:rsidR="00E94FE8" w:rsidRDefault="00E94FE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EA1BB" w14:textId="77777777" w:rsidR="00E94FE8" w:rsidRDefault="00E94FE8" w:rsidP="006E08B3">
    <w:r>
      <w:t>Therapeutic Goods Administration</w:t>
    </w:r>
  </w:p>
  <w:p w14:paraId="73FF4445" w14:textId="77777777" w:rsidR="00E94FE8" w:rsidRDefault="00E94FE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0E2AA"/>
    <w:lvl w:ilvl="0">
      <w:start w:val="1"/>
      <w:numFmt w:val="decimal"/>
      <w:lvlText w:val="%1."/>
      <w:lvlJc w:val="left"/>
      <w:pPr>
        <w:tabs>
          <w:tab w:val="num" w:pos="1492"/>
        </w:tabs>
        <w:ind w:left="1492" w:hanging="360"/>
      </w:pPr>
    </w:lvl>
  </w:abstractNum>
  <w:abstractNum w:abstractNumId="1">
    <w:nsid w:val="FFFFFF7D"/>
    <w:multiLevelType w:val="singleLevel"/>
    <w:tmpl w:val="EC7A94CE"/>
    <w:lvl w:ilvl="0">
      <w:start w:val="1"/>
      <w:numFmt w:val="decimal"/>
      <w:lvlText w:val="%1."/>
      <w:lvlJc w:val="left"/>
      <w:pPr>
        <w:tabs>
          <w:tab w:val="num" w:pos="1209"/>
        </w:tabs>
        <w:ind w:left="1209" w:hanging="360"/>
      </w:pPr>
    </w:lvl>
  </w:abstractNum>
  <w:abstractNum w:abstractNumId="2">
    <w:nsid w:val="FFFFFF7E"/>
    <w:multiLevelType w:val="singleLevel"/>
    <w:tmpl w:val="D0362746"/>
    <w:lvl w:ilvl="0">
      <w:start w:val="1"/>
      <w:numFmt w:val="decimal"/>
      <w:lvlText w:val="%1."/>
      <w:lvlJc w:val="left"/>
      <w:pPr>
        <w:tabs>
          <w:tab w:val="num" w:pos="926"/>
        </w:tabs>
        <w:ind w:left="926" w:hanging="360"/>
      </w:pPr>
    </w:lvl>
  </w:abstractNum>
  <w:abstractNum w:abstractNumId="3">
    <w:nsid w:val="FFFFFF7F"/>
    <w:multiLevelType w:val="singleLevel"/>
    <w:tmpl w:val="E1AE69BC"/>
    <w:lvl w:ilvl="0">
      <w:start w:val="1"/>
      <w:numFmt w:val="decimal"/>
      <w:lvlText w:val="%1."/>
      <w:lvlJc w:val="left"/>
      <w:pPr>
        <w:tabs>
          <w:tab w:val="num" w:pos="643"/>
        </w:tabs>
        <w:ind w:left="643" w:hanging="360"/>
      </w:pPr>
    </w:lvl>
  </w:abstractNum>
  <w:abstractNum w:abstractNumId="4">
    <w:nsid w:val="FFFFFF80"/>
    <w:multiLevelType w:val="singleLevel"/>
    <w:tmpl w:val="C3C4B9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9A6F6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5980F158"/>
    <w:lvl w:ilvl="0">
      <w:start w:val="1"/>
      <w:numFmt w:val="decimal"/>
      <w:lvlText w:val="%1."/>
      <w:lvlJc w:val="left"/>
      <w:pPr>
        <w:tabs>
          <w:tab w:val="num" w:pos="360"/>
        </w:tabs>
        <w:ind w:left="360" w:hanging="360"/>
      </w:pPr>
    </w:lvl>
  </w:abstractNum>
  <w:abstractNum w:abstractNumId="7">
    <w:nsid w:val="02262D0F"/>
    <w:multiLevelType w:val="hybridMultilevel"/>
    <w:tmpl w:val="942E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64543AC"/>
    <w:multiLevelType w:val="hybridMultilevel"/>
    <w:tmpl w:val="D2825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933FE"/>
    <w:multiLevelType w:val="hybridMultilevel"/>
    <w:tmpl w:val="C408ED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02615B9"/>
    <w:multiLevelType w:val="hybridMultilevel"/>
    <w:tmpl w:val="38687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305085"/>
    <w:multiLevelType w:val="hybridMultilevel"/>
    <w:tmpl w:val="7144A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5631858"/>
    <w:multiLevelType w:val="multilevel"/>
    <w:tmpl w:val="2432F9C2"/>
    <w:lvl w:ilvl="0">
      <w:start w:val="1"/>
      <w:numFmt w:val="decimal"/>
      <w:lvlText w:val="%1"/>
      <w:lvlJc w:val="left"/>
      <w:pPr>
        <w:ind w:left="410" w:hanging="410"/>
      </w:pPr>
      <w:rPr>
        <w:rFonts w:hint="default"/>
      </w:rPr>
    </w:lvl>
    <w:lvl w:ilvl="1">
      <w:start w:val="8"/>
      <w:numFmt w:val="decimalZero"/>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48262D5B"/>
    <w:multiLevelType w:val="hybridMultilevel"/>
    <w:tmpl w:val="DB6C6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9766B73"/>
    <w:multiLevelType w:val="hybridMultilevel"/>
    <w:tmpl w:val="C22CAA6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9BD7F91"/>
    <w:multiLevelType w:val="hybridMultilevel"/>
    <w:tmpl w:val="6EFAF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906AC5D0"/>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FC24329"/>
    <w:multiLevelType w:val="hybridMultilevel"/>
    <w:tmpl w:val="7C241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11"/>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9"/>
  </w:num>
  <w:num w:numId="6">
    <w:abstractNumId w:val="19"/>
  </w:num>
  <w:num w:numId="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9"/>
    <w:lvlOverride w:ilvl="0">
      <w:lvl w:ilvl="0">
        <w:start w:val="1"/>
        <w:numFmt w:val="decimal"/>
        <w:pStyle w:val="Numberbullet0"/>
        <w:lvlText w:val="%1."/>
        <w:lvlJc w:val="left"/>
        <w:pPr>
          <w:ind w:left="709"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9">
    <w:abstractNumId w:val="14"/>
  </w:num>
  <w:num w:numId="10">
    <w:abstractNumId w:val="20"/>
  </w:num>
  <w:num w:numId="11">
    <w:abstractNumId w:val="15"/>
  </w:num>
  <w:num w:numId="12">
    <w:abstractNumId w:val="7"/>
  </w:num>
  <w:num w:numId="13">
    <w:abstractNumId w:val="12"/>
  </w:num>
  <w:num w:numId="14">
    <w:abstractNumId w:val="10"/>
  </w:num>
  <w:num w:numId="15">
    <w:abstractNumId w:val="13"/>
  </w:num>
  <w:num w:numId="16">
    <w:abstractNumId w:val="16"/>
  </w:num>
  <w:num w:numId="17">
    <w:abstractNumId w:val="18"/>
  </w:num>
  <w:num w:numId="18">
    <w:abstractNumId w:val="8"/>
  </w:num>
  <w:num w:numId="19">
    <w:abstractNumId w:val="21"/>
  </w:num>
  <w:num w:numId="20">
    <w:abstractNumId w:val="17"/>
  </w:num>
  <w:num w:numId="21">
    <w:abstractNumId w:val="5"/>
  </w:num>
  <w:num w:numId="22">
    <w:abstractNumId w:val="4"/>
  </w:num>
  <w:num w:numId="23">
    <w:abstractNumId w:val="6"/>
  </w:num>
  <w:num w:numId="24">
    <w:abstractNumId w:val="3"/>
  </w:num>
  <w:num w:numId="25">
    <w:abstractNumId w:val="2"/>
  </w:num>
  <w:num w:numId="26">
    <w:abstractNumId w:val="1"/>
  </w:num>
  <w:num w:numId="27">
    <w:abstractNumId w:val="0"/>
  </w:num>
  <w:numIdMacAtCleanup w:val="2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FDC"/>
    <w:rsid w:val="00002031"/>
    <w:rsid w:val="00004734"/>
    <w:rsid w:val="00006B22"/>
    <w:rsid w:val="0001276A"/>
    <w:rsid w:val="000246AE"/>
    <w:rsid w:val="00025C67"/>
    <w:rsid w:val="00040ACB"/>
    <w:rsid w:val="00042313"/>
    <w:rsid w:val="0004762E"/>
    <w:rsid w:val="0005219C"/>
    <w:rsid w:val="0005559E"/>
    <w:rsid w:val="00062A40"/>
    <w:rsid w:val="00077775"/>
    <w:rsid w:val="00090471"/>
    <w:rsid w:val="00097B5E"/>
    <w:rsid w:val="000A3AED"/>
    <w:rsid w:val="000A63AF"/>
    <w:rsid w:val="000B3532"/>
    <w:rsid w:val="000B3A75"/>
    <w:rsid w:val="000C690F"/>
    <w:rsid w:val="000D1295"/>
    <w:rsid w:val="000D391B"/>
    <w:rsid w:val="000D3D6D"/>
    <w:rsid w:val="000D4FC7"/>
    <w:rsid w:val="000E5622"/>
    <w:rsid w:val="000F02F9"/>
    <w:rsid w:val="000F4869"/>
    <w:rsid w:val="000F5B42"/>
    <w:rsid w:val="000F6E6F"/>
    <w:rsid w:val="001016C7"/>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41D9"/>
    <w:rsid w:val="001A525F"/>
    <w:rsid w:val="001B09F9"/>
    <w:rsid w:val="001B5D98"/>
    <w:rsid w:val="001B6448"/>
    <w:rsid w:val="001C657B"/>
    <w:rsid w:val="001E07CF"/>
    <w:rsid w:val="001E59F1"/>
    <w:rsid w:val="001F497A"/>
    <w:rsid w:val="001F49EB"/>
    <w:rsid w:val="001F6CBA"/>
    <w:rsid w:val="00201D4E"/>
    <w:rsid w:val="002076C9"/>
    <w:rsid w:val="00220B8A"/>
    <w:rsid w:val="00221B44"/>
    <w:rsid w:val="002257F3"/>
    <w:rsid w:val="00227AA1"/>
    <w:rsid w:val="00233456"/>
    <w:rsid w:val="002339A5"/>
    <w:rsid w:val="00257848"/>
    <w:rsid w:val="0026170B"/>
    <w:rsid w:val="00262B3E"/>
    <w:rsid w:val="00266164"/>
    <w:rsid w:val="002666AC"/>
    <w:rsid w:val="0027084A"/>
    <w:rsid w:val="00286434"/>
    <w:rsid w:val="00286C59"/>
    <w:rsid w:val="00292113"/>
    <w:rsid w:val="002942D1"/>
    <w:rsid w:val="002942EA"/>
    <w:rsid w:val="0029501A"/>
    <w:rsid w:val="002B1638"/>
    <w:rsid w:val="002C63ED"/>
    <w:rsid w:val="002D14B7"/>
    <w:rsid w:val="002D545C"/>
    <w:rsid w:val="002D6161"/>
    <w:rsid w:val="002E4C9A"/>
    <w:rsid w:val="002E64CE"/>
    <w:rsid w:val="002F11F8"/>
    <w:rsid w:val="002F1333"/>
    <w:rsid w:val="002F3F56"/>
    <w:rsid w:val="002F4246"/>
    <w:rsid w:val="002F44B5"/>
    <w:rsid w:val="00311AC0"/>
    <w:rsid w:val="00313115"/>
    <w:rsid w:val="0032583B"/>
    <w:rsid w:val="00327883"/>
    <w:rsid w:val="00335504"/>
    <w:rsid w:val="003521E8"/>
    <w:rsid w:val="0037195F"/>
    <w:rsid w:val="003728F3"/>
    <w:rsid w:val="003745A2"/>
    <w:rsid w:val="0037496E"/>
    <w:rsid w:val="0037623D"/>
    <w:rsid w:val="003805E1"/>
    <w:rsid w:val="00386150"/>
    <w:rsid w:val="003874CE"/>
    <w:rsid w:val="00390900"/>
    <w:rsid w:val="00396C92"/>
    <w:rsid w:val="003A7F6C"/>
    <w:rsid w:val="003B1113"/>
    <w:rsid w:val="003B21A2"/>
    <w:rsid w:val="003B4D60"/>
    <w:rsid w:val="003B6212"/>
    <w:rsid w:val="003B634F"/>
    <w:rsid w:val="003B7E39"/>
    <w:rsid w:val="003C58DC"/>
    <w:rsid w:val="003C70FE"/>
    <w:rsid w:val="003D0A3B"/>
    <w:rsid w:val="003D1E62"/>
    <w:rsid w:val="003D2104"/>
    <w:rsid w:val="003E2486"/>
    <w:rsid w:val="003E3208"/>
    <w:rsid w:val="003F0B04"/>
    <w:rsid w:val="003F5863"/>
    <w:rsid w:val="0040134E"/>
    <w:rsid w:val="00404747"/>
    <w:rsid w:val="00415D59"/>
    <w:rsid w:val="00424C66"/>
    <w:rsid w:val="00432A3A"/>
    <w:rsid w:val="0043797D"/>
    <w:rsid w:val="00440A2D"/>
    <w:rsid w:val="0045370B"/>
    <w:rsid w:val="004564A7"/>
    <w:rsid w:val="004617BF"/>
    <w:rsid w:val="00463658"/>
    <w:rsid w:val="004722CC"/>
    <w:rsid w:val="004774C5"/>
    <w:rsid w:val="004936E4"/>
    <w:rsid w:val="00494E60"/>
    <w:rsid w:val="00497487"/>
    <w:rsid w:val="004A73E4"/>
    <w:rsid w:val="004A7E13"/>
    <w:rsid w:val="004B59F4"/>
    <w:rsid w:val="004B7B76"/>
    <w:rsid w:val="004C2A23"/>
    <w:rsid w:val="004C2DCA"/>
    <w:rsid w:val="004F0F38"/>
    <w:rsid w:val="004F4AF5"/>
    <w:rsid w:val="00501921"/>
    <w:rsid w:val="00530354"/>
    <w:rsid w:val="00533472"/>
    <w:rsid w:val="0053625B"/>
    <w:rsid w:val="005434C6"/>
    <w:rsid w:val="00543B39"/>
    <w:rsid w:val="00550096"/>
    <w:rsid w:val="00557FF9"/>
    <w:rsid w:val="00576378"/>
    <w:rsid w:val="00577945"/>
    <w:rsid w:val="00577E38"/>
    <w:rsid w:val="00585322"/>
    <w:rsid w:val="005857C6"/>
    <w:rsid w:val="00586F98"/>
    <w:rsid w:val="00592F6E"/>
    <w:rsid w:val="00593AD1"/>
    <w:rsid w:val="005A5972"/>
    <w:rsid w:val="005A68B6"/>
    <w:rsid w:val="005B4657"/>
    <w:rsid w:val="005B6947"/>
    <w:rsid w:val="005C5570"/>
    <w:rsid w:val="005C79A4"/>
    <w:rsid w:val="005D5442"/>
    <w:rsid w:val="0060003E"/>
    <w:rsid w:val="00602DC4"/>
    <w:rsid w:val="00603F32"/>
    <w:rsid w:val="006170F0"/>
    <w:rsid w:val="00620406"/>
    <w:rsid w:val="00632398"/>
    <w:rsid w:val="00632B18"/>
    <w:rsid w:val="00637B36"/>
    <w:rsid w:val="00640FC3"/>
    <w:rsid w:val="00642020"/>
    <w:rsid w:val="00642839"/>
    <w:rsid w:val="00646206"/>
    <w:rsid w:val="0065337B"/>
    <w:rsid w:val="0065419D"/>
    <w:rsid w:val="006604D8"/>
    <w:rsid w:val="00664A5B"/>
    <w:rsid w:val="006763D2"/>
    <w:rsid w:val="00680C08"/>
    <w:rsid w:val="00682FD2"/>
    <w:rsid w:val="006931B1"/>
    <w:rsid w:val="006A15C0"/>
    <w:rsid w:val="006B4C50"/>
    <w:rsid w:val="006C130C"/>
    <w:rsid w:val="006C3E2A"/>
    <w:rsid w:val="006C642F"/>
    <w:rsid w:val="006D03E5"/>
    <w:rsid w:val="006D5D3E"/>
    <w:rsid w:val="006E08B3"/>
    <w:rsid w:val="006E14E0"/>
    <w:rsid w:val="006E5BA0"/>
    <w:rsid w:val="006F17AC"/>
    <w:rsid w:val="006F1D37"/>
    <w:rsid w:val="006F26D0"/>
    <w:rsid w:val="006F2796"/>
    <w:rsid w:val="006F572E"/>
    <w:rsid w:val="007046D6"/>
    <w:rsid w:val="00705DB0"/>
    <w:rsid w:val="00722B57"/>
    <w:rsid w:val="00740C91"/>
    <w:rsid w:val="0074253D"/>
    <w:rsid w:val="0074429B"/>
    <w:rsid w:val="007513B4"/>
    <w:rsid w:val="007516FC"/>
    <w:rsid w:val="007615BC"/>
    <w:rsid w:val="00762F05"/>
    <w:rsid w:val="007652FF"/>
    <w:rsid w:val="00770EF1"/>
    <w:rsid w:val="00773EF7"/>
    <w:rsid w:val="00774E1D"/>
    <w:rsid w:val="0077675A"/>
    <w:rsid w:val="00780355"/>
    <w:rsid w:val="00785721"/>
    <w:rsid w:val="00793A59"/>
    <w:rsid w:val="007A0BC6"/>
    <w:rsid w:val="007A1F37"/>
    <w:rsid w:val="007B6E9F"/>
    <w:rsid w:val="007C0FDC"/>
    <w:rsid w:val="007C11B4"/>
    <w:rsid w:val="007C1216"/>
    <w:rsid w:val="007C1AF7"/>
    <w:rsid w:val="007E4EC2"/>
    <w:rsid w:val="007E6E27"/>
    <w:rsid w:val="007F3959"/>
    <w:rsid w:val="007F3E00"/>
    <w:rsid w:val="00805A90"/>
    <w:rsid w:val="00805D27"/>
    <w:rsid w:val="00813B85"/>
    <w:rsid w:val="00821776"/>
    <w:rsid w:val="008321F5"/>
    <w:rsid w:val="00832369"/>
    <w:rsid w:val="00834660"/>
    <w:rsid w:val="00836BC2"/>
    <w:rsid w:val="008414A0"/>
    <w:rsid w:val="0085641B"/>
    <w:rsid w:val="00857136"/>
    <w:rsid w:val="00883B21"/>
    <w:rsid w:val="00886D15"/>
    <w:rsid w:val="00887DD8"/>
    <w:rsid w:val="00896018"/>
    <w:rsid w:val="008960DD"/>
    <w:rsid w:val="008961FF"/>
    <w:rsid w:val="0089635C"/>
    <w:rsid w:val="008A2B9D"/>
    <w:rsid w:val="008A5E0B"/>
    <w:rsid w:val="008A6D59"/>
    <w:rsid w:val="008B4B03"/>
    <w:rsid w:val="008B4D17"/>
    <w:rsid w:val="008B596F"/>
    <w:rsid w:val="008B5A3E"/>
    <w:rsid w:val="008C159F"/>
    <w:rsid w:val="008C1623"/>
    <w:rsid w:val="008C1850"/>
    <w:rsid w:val="008C51A9"/>
    <w:rsid w:val="008D770F"/>
    <w:rsid w:val="008E72A4"/>
    <w:rsid w:val="008E7846"/>
    <w:rsid w:val="008E7DDA"/>
    <w:rsid w:val="008F1CCC"/>
    <w:rsid w:val="008F2967"/>
    <w:rsid w:val="008F6943"/>
    <w:rsid w:val="008F69AF"/>
    <w:rsid w:val="008F78EA"/>
    <w:rsid w:val="00902A21"/>
    <w:rsid w:val="00906445"/>
    <w:rsid w:val="00920330"/>
    <w:rsid w:val="009219D7"/>
    <w:rsid w:val="00922D53"/>
    <w:rsid w:val="00923B70"/>
    <w:rsid w:val="00924482"/>
    <w:rsid w:val="00930237"/>
    <w:rsid w:val="00930785"/>
    <w:rsid w:val="009438E8"/>
    <w:rsid w:val="0094614A"/>
    <w:rsid w:val="00946EA5"/>
    <w:rsid w:val="0095160F"/>
    <w:rsid w:val="009633D2"/>
    <w:rsid w:val="00963C08"/>
    <w:rsid w:val="00981A71"/>
    <w:rsid w:val="00981D66"/>
    <w:rsid w:val="0098228C"/>
    <w:rsid w:val="0098585A"/>
    <w:rsid w:val="0098669D"/>
    <w:rsid w:val="00994C95"/>
    <w:rsid w:val="009A4CED"/>
    <w:rsid w:val="009A690D"/>
    <w:rsid w:val="009B0FB8"/>
    <w:rsid w:val="009B1D12"/>
    <w:rsid w:val="009B416B"/>
    <w:rsid w:val="009C4BD5"/>
    <w:rsid w:val="009C545F"/>
    <w:rsid w:val="009D7B77"/>
    <w:rsid w:val="009E0BB0"/>
    <w:rsid w:val="009E1E7B"/>
    <w:rsid w:val="009E3FBB"/>
    <w:rsid w:val="009E7EF5"/>
    <w:rsid w:val="00A102E4"/>
    <w:rsid w:val="00A12C42"/>
    <w:rsid w:val="00A14DF7"/>
    <w:rsid w:val="00A17FAD"/>
    <w:rsid w:val="00A235D9"/>
    <w:rsid w:val="00A30B28"/>
    <w:rsid w:val="00A3246D"/>
    <w:rsid w:val="00A356C5"/>
    <w:rsid w:val="00A36FA7"/>
    <w:rsid w:val="00A475B7"/>
    <w:rsid w:val="00A47AF7"/>
    <w:rsid w:val="00A47C3E"/>
    <w:rsid w:val="00A50226"/>
    <w:rsid w:val="00A60BAD"/>
    <w:rsid w:val="00A714D9"/>
    <w:rsid w:val="00A8449A"/>
    <w:rsid w:val="00A936DE"/>
    <w:rsid w:val="00A964D1"/>
    <w:rsid w:val="00AA0ED0"/>
    <w:rsid w:val="00AA3499"/>
    <w:rsid w:val="00AA7D1C"/>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2D85"/>
    <w:rsid w:val="00B25034"/>
    <w:rsid w:val="00B275F4"/>
    <w:rsid w:val="00B33588"/>
    <w:rsid w:val="00B33863"/>
    <w:rsid w:val="00B3567E"/>
    <w:rsid w:val="00B379C9"/>
    <w:rsid w:val="00B37D17"/>
    <w:rsid w:val="00B4175E"/>
    <w:rsid w:val="00B452CE"/>
    <w:rsid w:val="00B54C25"/>
    <w:rsid w:val="00B6035E"/>
    <w:rsid w:val="00B64ADD"/>
    <w:rsid w:val="00B76B91"/>
    <w:rsid w:val="00B77EB1"/>
    <w:rsid w:val="00B811C6"/>
    <w:rsid w:val="00B85A87"/>
    <w:rsid w:val="00B92E08"/>
    <w:rsid w:val="00B96EBE"/>
    <w:rsid w:val="00BA6187"/>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1841"/>
    <w:rsid w:val="00C82909"/>
    <w:rsid w:val="00C92E9B"/>
    <w:rsid w:val="00CA284B"/>
    <w:rsid w:val="00CA7685"/>
    <w:rsid w:val="00CB6BC0"/>
    <w:rsid w:val="00CC1B7C"/>
    <w:rsid w:val="00CC4B62"/>
    <w:rsid w:val="00CC727F"/>
    <w:rsid w:val="00CE0F61"/>
    <w:rsid w:val="00CF15C3"/>
    <w:rsid w:val="00CF2B6F"/>
    <w:rsid w:val="00CF58B6"/>
    <w:rsid w:val="00D017ED"/>
    <w:rsid w:val="00D040D3"/>
    <w:rsid w:val="00D04C65"/>
    <w:rsid w:val="00D15FF3"/>
    <w:rsid w:val="00D175FA"/>
    <w:rsid w:val="00D224FE"/>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0067"/>
    <w:rsid w:val="00E02FB4"/>
    <w:rsid w:val="00E07F15"/>
    <w:rsid w:val="00E20571"/>
    <w:rsid w:val="00E235F7"/>
    <w:rsid w:val="00E23659"/>
    <w:rsid w:val="00E239D4"/>
    <w:rsid w:val="00E26130"/>
    <w:rsid w:val="00E2741C"/>
    <w:rsid w:val="00E34BE1"/>
    <w:rsid w:val="00E3608B"/>
    <w:rsid w:val="00E40B22"/>
    <w:rsid w:val="00E42EF5"/>
    <w:rsid w:val="00E45619"/>
    <w:rsid w:val="00E4588F"/>
    <w:rsid w:val="00E46DA3"/>
    <w:rsid w:val="00E51BB1"/>
    <w:rsid w:val="00E601D1"/>
    <w:rsid w:val="00E606CF"/>
    <w:rsid w:val="00E624A5"/>
    <w:rsid w:val="00E7344E"/>
    <w:rsid w:val="00E77B22"/>
    <w:rsid w:val="00E8540F"/>
    <w:rsid w:val="00E936E3"/>
    <w:rsid w:val="00E94FE8"/>
    <w:rsid w:val="00E979F4"/>
    <w:rsid w:val="00EB0798"/>
    <w:rsid w:val="00EB40AD"/>
    <w:rsid w:val="00EB586E"/>
    <w:rsid w:val="00EB5FC8"/>
    <w:rsid w:val="00EC3232"/>
    <w:rsid w:val="00ED2CB8"/>
    <w:rsid w:val="00ED3CAD"/>
    <w:rsid w:val="00ED5A41"/>
    <w:rsid w:val="00ED7F6C"/>
    <w:rsid w:val="00EE1DE8"/>
    <w:rsid w:val="00EE5E39"/>
    <w:rsid w:val="00F01EB4"/>
    <w:rsid w:val="00F033EC"/>
    <w:rsid w:val="00F04F68"/>
    <w:rsid w:val="00F12670"/>
    <w:rsid w:val="00F14441"/>
    <w:rsid w:val="00F14B27"/>
    <w:rsid w:val="00F3148D"/>
    <w:rsid w:val="00F325C5"/>
    <w:rsid w:val="00F32FE0"/>
    <w:rsid w:val="00F35298"/>
    <w:rsid w:val="00F47333"/>
    <w:rsid w:val="00F47E37"/>
    <w:rsid w:val="00F53C07"/>
    <w:rsid w:val="00F54B65"/>
    <w:rsid w:val="00F640B6"/>
    <w:rsid w:val="00F7667F"/>
    <w:rsid w:val="00F80E40"/>
    <w:rsid w:val="00F848D9"/>
    <w:rsid w:val="00F90336"/>
    <w:rsid w:val="00FA4021"/>
    <w:rsid w:val="00FA5B82"/>
    <w:rsid w:val="00FA639E"/>
    <w:rsid w:val="00FC25E4"/>
    <w:rsid w:val="00FC4EF7"/>
    <w:rsid w:val="00FC5128"/>
    <w:rsid w:val="00FD1528"/>
    <w:rsid w:val="00FE1DEE"/>
    <w:rsid w:val="00FF2126"/>
    <w:rsid w:val="00FF4DBB"/>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BCD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444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A5972"/>
    <w:pPr>
      <w:framePr w:hSpace="180" w:wrap="around" w:vAnchor="text" w:hAnchor="margin" w:y="9863"/>
      <w:suppressOverlap/>
    </w:pPr>
    <w:rPr>
      <w:rFonts w:ascii="Arial" w:hAnsi="Arial" w:cs="Arial"/>
      <w:b/>
      <w:color w:val="002C47"/>
      <w:sz w:val="28"/>
      <w:szCs w:val="28"/>
    </w:rPr>
  </w:style>
  <w:style w:type="character" w:customStyle="1" w:styleId="DateChar">
    <w:name w:val="Date Char"/>
    <w:basedOn w:val="DefaultParagraphFont"/>
    <w:link w:val="Date"/>
    <w:uiPriority w:val="99"/>
    <w:rsid w:val="005A5972"/>
    <w:rPr>
      <w:rFonts w:ascii="Arial" w:eastAsia="Cambria" w:hAnsi="Arial" w:cs="Arial"/>
      <w:b/>
      <w:color w:val="002C47"/>
      <w:sz w:val="28"/>
      <w:szCs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D1528"/>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A5972"/>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A597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A597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A597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C0FDC"/>
    <w:pPr>
      <w:numPr>
        <w:numId w:val="9"/>
      </w:numPr>
      <w:spacing w:after="0" w:line="240" w:lineRule="auto"/>
    </w:pPr>
    <w:rPr>
      <w:rFonts w:eastAsia="Times New Roman"/>
      <w:kern w:val="24"/>
      <w:szCs w:val="24"/>
      <w:lang w:eastAsia="en-AU"/>
    </w:rPr>
  </w:style>
  <w:style w:type="paragraph" w:customStyle="1" w:styleId="Instructions1">
    <w:name w:val="Instructions 1"/>
    <w:basedOn w:val="Normal"/>
    <w:qFormat/>
    <w:rsid w:val="007C0FD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C0FDC"/>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C0F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C0FDC"/>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C0FDC"/>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C0FDC"/>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C0FDC"/>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C0FDC"/>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C0FDC"/>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C0FDC"/>
    <w:rPr>
      <w:i/>
      <w:color w:val="007099"/>
    </w:rPr>
  </w:style>
  <w:style w:type="paragraph" w:styleId="ListParagraph">
    <w:name w:val="List Paragraph"/>
    <w:basedOn w:val="Normal"/>
    <w:uiPriority w:val="34"/>
    <w:qFormat/>
    <w:rsid w:val="007C0FDC"/>
    <w:pPr>
      <w:ind w:left="720"/>
      <w:contextualSpacing/>
    </w:pPr>
  </w:style>
  <w:style w:type="paragraph" w:styleId="TableofFigures">
    <w:name w:val="table of figures"/>
    <w:basedOn w:val="Normal"/>
    <w:next w:val="Normal"/>
    <w:uiPriority w:val="99"/>
    <w:unhideWhenUsed/>
    <w:rsid w:val="007C0FDC"/>
    <w:pPr>
      <w:spacing w:after="0"/>
    </w:pPr>
  </w:style>
  <w:style w:type="paragraph" w:customStyle="1" w:styleId="Default">
    <w:name w:val="Default"/>
    <w:rsid w:val="007C0FDC"/>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F1444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F14441"/>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7C0FDC"/>
    <w:rPr>
      <w:vertAlign w:val="superscript"/>
    </w:rPr>
  </w:style>
  <w:style w:type="paragraph" w:styleId="Bibliography">
    <w:name w:val="Bibliography"/>
    <w:basedOn w:val="Normal"/>
    <w:next w:val="Normal"/>
    <w:uiPriority w:val="37"/>
    <w:unhideWhenUsed/>
    <w:rsid w:val="007C0FDC"/>
  </w:style>
  <w:style w:type="paragraph" w:styleId="NormalWeb">
    <w:name w:val="Normal (Web)"/>
    <w:basedOn w:val="Normal"/>
    <w:uiPriority w:val="99"/>
    <w:semiHidden/>
    <w:unhideWhenUsed/>
    <w:rsid w:val="007C0FDC"/>
    <w:pPr>
      <w:spacing w:before="100" w:beforeAutospacing="1" w:after="100" w:afterAutospacing="1" w:line="240" w:lineRule="auto"/>
    </w:pPr>
    <w:rPr>
      <w:rFonts w:ascii="Times New Roman" w:eastAsiaTheme="minorEastAsia" w:hAnsi="Times New Roman"/>
      <w:sz w:val="24"/>
      <w:szCs w:val="24"/>
      <w:lang w:eastAsia="en-AU"/>
    </w:rPr>
  </w:style>
  <w:style w:type="paragraph" w:styleId="DocumentMap">
    <w:name w:val="Document Map"/>
    <w:basedOn w:val="Normal"/>
    <w:link w:val="DocumentMapChar"/>
    <w:uiPriority w:val="99"/>
    <w:semiHidden/>
    <w:unhideWhenUsed/>
    <w:rsid w:val="002E64C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E64CE"/>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444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A5972"/>
    <w:pPr>
      <w:framePr w:hSpace="180" w:wrap="around" w:vAnchor="text" w:hAnchor="margin" w:y="9863"/>
      <w:suppressOverlap/>
    </w:pPr>
    <w:rPr>
      <w:rFonts w:ascii="Arial" w:hAnsi="Arial" w:cs="Arial"/>
      <w:b/>
      <w:color w:val="002C47"/>
      <w:sz w:val="28"/>
      <w:szCs w:val="28"/>
    </w:rPr>
  </w:style>
  <w:style w:type="character" w:customStyle="1" w:styleId="DateChar">
    <w:name w:val="Date Char"/>
    <w:basedOn w:val="DefaultParagraphFont"/>
    <w:link w:val="Date"/>
    <w:uiPriority w:val="99"/>
    <w:rsid w:val="005A5972"/>
    <w:rPr>
      <w:rFonts w:ascii="Arial" w:eastAsia="Cambria" w:hAnsi="Arial" w:cs="Arial"/>
      <w:b/>
      <w:color w:val="002C47"/>
      <w:sz w:val="28"/>
      <w:szCs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D1528"/>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A5972"/>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A597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A597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A597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C0FDC"/>
    <w:pPr>
      <w:numPr>
        <w:numId w:val="9"/>
      </w:numPr>
      <w:spacing w:after="0" w:line="240" w:lineRule="auto"/>
    </w:pPr>
    <w:rPr>
      <w:rFonts w:eastAsia="Times New Roman"/>
      <w:kern w:val="24"/>
      <w:szCs w:val="24"/>
      <w:lang w:eastAsia="en-AU"/>
    </w:rPr>
  </w:style>
  <w:style w:type="paragraph" w:customStyle="1" w:styleId="Instructions1">
    <w:name w:val="Instructions 1"/>
    <w:basedOn w:val="Normal"/>
    <w:qFormat/>
    <w:rsid w:val="007C0FD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C0FDC"/>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C0F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C0FDC"/>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C0FDC"/>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C0FDC"/>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C0FDC"/>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C0FDC"/>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C0FDC"/>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C0FDC"/>
    <w:rPr>
      <w:i/>
      <w:color w:val="007099"/>
    </w:rPr>
  </w:style>
  <w:style w:type="paragraph" w:styleId="ListParagraph">
    <w:name w:val="List Paragraph"/>
    <w:basedOn w:val="Normal"/>
    <w:uiPriority w:val="34"/>
    <w:qFormat/>
    <w:rsid w:val="007C0FDC"/>
    <w:pPr>
      <w:ind w:left="720"/>
      <w:contextualSpacing/>
    </w:pPr>
  </w:style>
  <w:style w:type="paragraph" w:styleId="TableofFigures">
    <w:name w:val="table of figures"/>
    <w:basedOn w:val="Normal"/>
    <w:next w:val="Normal"/>
    <w:uiPriority w:val="99"/>
    <w:unhideWhenUsed/>
    <w:rsid w:val="007C0FDC"/>
    <w:pPr>
      <w:spacing w:after="0"/>
    </w:pPr>
  </w:style>
  <w:style w:type="paragraph" w:customStyle="1" w:styleId="Default">
    <w:name w:val="Default"/>
    <w:rsid w:val="007C0FDC"/>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F1444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F14441"/>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7C0FDC"/>
    <w:rPr>
      <w:vertAlign w:val="superscript"/>
    </w:rPr>
  </w:style>
  <w:style w:type="paragraph" w:styleId="Bibliography">
    <w:name w:val="Bibliography"/>
    <w:basedOn w:val="Normal"/>
    <w:next w:val="Normal"/>
    <w:uiPriority w:val="37"/>
    <w:unhideWhenUsed/>
    <w:rsid w:val="007C0FDC"/>
  </w:style>
  <w:style w:type="paragraph" w:styleId="NormalWeb">
    <w:name w:val="Normal (Web)"/>
    <w:basedOn w:val="Normal"/>
    <w:uiPriority w:val="99"/>
    <w:semiHidden/>
    <w:unhideWhenUsed/>
    <w:rsid w:val="007C0FDC"/>
    <w:pPr>
      <w:spacing w:before="100" w:beforeAutospacing="1" w:after="100" w:afterAutospacing="1" w:line="240" w:lineRule="auto"/>
    </w:pPr>
    <w:rPr>
      <w:rFonts w:ascii="Times New Roman" w:eastAsiaTheme="minorEastAsia" w:hAnsi="Times New Roman"/>
      <w:sz w:val="24"/>
      <w:szCs w:val="24"/>
      <w:lang w:eastAsia="en-AU"/>
    </w:rPr>
  </w:style>
  <w:style w:type="paragraph" w:styleId="DocumentMap">
    <w:name w:val="Document Map"/>
    <w:basedOn w:val="Normal"/>
    <w:link w:val="DocumentMapChar"/>
    <w:uiPriority w:val="99"/>
    <w:semiHidden/>
    <w:unhideWhenUsed/>
    <w:rsid w:val="002E64C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E64CE"/>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eader" Target="header3.xm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microsoft.com/office/2007/relationships/hdphoto" Target="media/hdphoto6.wdp"/><Relationship Id="rId61" Type="http://schemas.openxmlformats.org/officeDocument/2006/relationships/footer" Target="footer2.xml"/><Relationship Id="rId10" Type="http://schemas.openxmlformats.org/officeDocument/2006/relationships/hyperlink" Target="https://www.tga.gov.au/product-information-pi" TargetMode="External"/><Relationship Id="rId19" Type="http://schemas.openxmlformats.org/officeDocument/2006/relationships/image" Target="media/image5.emf"/><Relationship Id="rId31" Type="http://schemas.openxmlformats.org/officeDocument/2006/relationships/image" Target="media/image16.emf"/><Relationship Id="rId44" Type="http://schemas.microsoft.com/office/2007/relationships/hdphoto" Target="media/hdphoto5.wdp"/><Relationship Id="rId52" Type="http://schemas.openxmlformats.org/officeDocument/2006/relationships/image" Target="media/image35.emf"/><Relationship Id="rId60" Type="http://schemas.openxmlformats.org/officeDocument/2006/relationships/header" Target="header5.xm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emf"/><Relationship Id="rId27" Type="http://schemas.microsoft.com/office/2007/relationships/hdphoto" Target="media/hdphoto3.wdp"/><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1.emf"/><Relationship Id="rId56" Type="http://schemas.openxmlformats.org/officeDocument/2006/relationships/image" Target="media/image39.png"/><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emf"/><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6.emf"/><Relationship Id="rId41" Type="http://schemas.microsoft.com/office/2007/relationships/hdphoto" Target="media/hdphoto4.wdp"/><Relationship Id="rId54" Type="http://schemas.openxmlformats.org/officeDocument/2006/relationships/image" Target="media/image37.emf"/><Relationship Id="rId62" Type="http://schemas.openxmlformats.org/officeDocument/2006/relationships/hyperlink" Target="mailto:info@tga.gov.a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46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01DA-AA2E-4216-8F58-FFEA298E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73</TotalTime>
  <Pages>99</Pages>
  <Words>33203</Words>
  <Characters>189263</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222022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Adalimumab</dc:title>
  <dc:subject>prescription medicines</dc:subject>
  <dc:creator>Therapeutic Goods Administration</dc:creator>
  <cp:keywords>AusPARs</cp:keywords>
  <cp:lastModifiedBy>SHEPPARD, Fran</cp:lastModifiedBy>
  <cp:revision>48</cp:revision>
  <cp:lastPrinted>2015-09-22T23:53:00Z</cp:lastPrinted>
  <dcterms:created xsi:type="dcterms:W3CDTF">2018-06-25T02:10:00Z</dcterms:created>
  <dcterms:modified xsi:type="dcterms:W3CDTF">2018-07-13T02:50:00Z</dcterms:modified>
</cp:coreProperties>
</file>