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096AA7" w:rsidRDefault="00197776" w:rsidP="00096AA7">
            <w:pPr>
              <w:rPr>
                <w:rFonts w:ascii="Arial" w:hAnsi="Arial" w:cs="Arial"/>
                <w:b/>
                <w:color w:val="002C47"/>
                <w:sz w:val="36"/>
                <w:szCs w:val="36"/>
              </w:rPr>
            </w:pPr>
            <w:r>
              <w:rPr>
                <w:rFonts w:ascii="Arial" w:hAnsi="Arial" w:cs="Arial"/>
                <w:b/>
                <w:color w:val="002C47"/>
                <w:sz w:val="36"/>
                <w:szCs w:val="36"/>
              </w:rPr>
              <w:t xml:space="preserve">December </w:t>
            </w:r>
            <w:r w:rsidR="00EC228C">
              <w:rPr>
                <w:rFonts w:ascii="Arial" w:hAnsi="Arial" w:cs="Arial"/>
                <w:b/>
                <w:color w:val="002C47"/>
                <w:sz w:val="36"/>
                <w:szCs w:val="36"/>
              </w:rPr>
              <w:t>2015</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32583B">
        <w:trPr>
          <w:trHeight w:val="868"/>
        </w:trPr>
        <w:tc>
          <w:tcPr>
            <w:tcW w:w="9079" w:type="dxa"/>
          </w:tcPr>
          <w:p w:rsidR="0032583B" w:rsidRPr="00A964D1" w:rsidRDefault="0032583B" w:rsidP="00E9102E">
            <w:pPr>
              <w:pStyle w:val="Title"/>
              <w:rPr>
                <w:color w:val="FFFFFF" w:themeColor="background1"/>
              </w:rPr>
            </w:pPr>
            <w:r w:rsidRPr="00A964D1">
              <w:rPr>
                <w:color w:val="FFFFFF" w:themeColor="background1"/>
              </w:rPr>
              <w:t xml:space="preserve">Australian Public Assessment Report </w:t>
            </w:r>
            <w:r w:rsidRPr="00E9102E">
              <w:rPr>
                <w:color w:val="FFFFFF" w:themeColor="background1"/>
              </w:rPr>
              <w:t xml:space="preserve">for </w:t>
            </w:r>
            <w:r w:rsidR="00E9102E" w:rsidRPr="00E9102E">
              <w:rPr>
                <w:color w:val="FFFFFF" w:themeColor="background1"/>
              </w:rPr>
              <w:t>Adalimumab (rch)</w:t>
            </w:r>
          </w:p>
        </w:tc>
      </w:tr>
      <w:tr w:rsidR="0032583B" w:rsidRPr="00B64760" w:rsidTr="0032583B">
        <w:tc>
          <w:tcPr>
            <w:tcW w:w="9079" w:type="dxa"/>
          </w:tcPr>
          <w:p w:rsidR="0032583B" w:rsidRPr="008E7846" w:rsidRDefault="0032583B" w:rsidP="00E9102E">
            <w:pPr>
              <w:pStyle w:val="Subtitle"/>
              <w:rPr>
                <w:color w:val="FFFFFF" w:themeColor="background1"/>
              </w:rPr>
            </w:pPr>
            <w:r w:rsidRPr="008E7846">
              <w:rPr>
                <w:color w:val="FFFFFF" w:themeColor="background1"/>
              </w:rPr>
              <w:t xml:space="preserve">Proprietary Product Name: </w:t>
            </w:r>
            <w:proofErr w:type="spellStart"/>
            <w:r w:rsidR="00E9102E">
              <w:rPr>
                <w:color w:val="FFFFFF" w:themeColor="background1"/>
              </w:rPr>
              <w:t>Humira</w:t>
            </w:r>
            <w:proofErr w:type="spellEnd"/>
          </w:p>
        </w:tc>
      </w:tr>
      <w:tr w:rsidR="0032583B" w:rsidRPr="00B64760" w:rsidTr="0032583B">
        <w:trPr>
          <w:trHeight w:val="486"/>
        </w:trPr>
        <w:tc>
          <w:tcPr>
            <w:tcW w:w="9079" w:type="dxa"/>
          </w:tcPr>
          <w:p w:rsidR="0032583B" w:rsidRPr="008E7846" w:rsidRDefault="0032583B" w:rsidP="006938E9">
            <w:pPr>
              <w:pStyle w:val="Subtitle"/>
              <w:rPr>
                <w:color w:val="FFFFFF" w:themeColor="background1"/>
              </w:rPr>
            </w:pPr>
            <w:r w:rsidRPr="002A7825">
              <w:rPr>
                <w:color w:val="FFFFFF" w:themeColor="background1"/>
              </w:rPr>
              <w:t xml:space="preserve">Sponsor: </w:t>
            </w:r>
            <w:r w:rsidR="00E9102E" w:rsidRPr="002A7825">
              <w:rPr>
                <w:color w:val="FFFFFF" w:themeColor="background1"/>
              </w:rPr>
              <w:t>Abb</w:t>
            </w:r>
            <w:r w:rsidR="006938E9" w:rsidRPr="002A7825">
              <w:rPr>
                <w:color w:val="FFFFFF" w:themeColor="background1"/>
              </w:rPr>
              <w:t>V</w:t>
            </w:r>
            <w:r w:rsidR="00E9102E" w:rsidRPr="002A7825">
              <w:rPr>
                <w:color w:val="FFFFFF" w:themeColor="background1"/>
              </w:rPr>
              <w:t>ie Pty Ltd</w:t>
            </w:r>
          </w:p>
        </w:tc>
      </w:tr>
    </w:tbl>
    <w:p w:rsidR="008E7846" w:rsidRPr="0085156D" w:rsidRDefault="008E7846" w:rsidP="0085156D">
      <w:r w:rsidRPr="0085156D">
        <w:br w:type="page"/>
      </w:r>
    </w:p>
    <w:p w:rsidR="008E7846" w:rsidRPr="001F6CBA" w:rsidRDefault="008E7846" w:rsidP="008E7846">
      <w:pPr>
        <w:pStyle w:val="NonTOCHeading2"/>
      </w:pPr>
      <w:r w:rsidRPr="001F6CBA">
        <w:lastRenderedPageBreak/>
        <w:t>About the Therapeutic Goods Administration (TGA)</w:t>
      </w:r>
    </w:p>
    <w:p w:rsidR="008E7846" w:rsidRDefault="008E7846" w:rsidP="00E9102E">
      <w:pPr>
        <w:pStyle w:val="ListBullet"/>
        <w:numPr>
          <w:ilvl w:val="0"/>
          <w:numId w:val="1"/>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0137" w:rsidP="00E9102E">
      <w:pPr>
        <w:pStyle w:val="ListBullet"/>
        <w:numPr>
          <w:ilvl w:val="0"/>
          <w:numId w:val="1"/>
        </w:numPr>
        <w:ind w:left="357" w:hanging="357"/>
      </w:pPr>
      <w:r>
        <w:t xml:space="preserve">The </w:t>
      </w:r>
      <w:r w:rsidR="008E7846">
        <w:t xml:space="preserve">TGA administers the </w:t>
      </w:r>
      <w:r w:rsidR="008E7846" w:rsidRPr="00F640B6">
        <w:rPr>
          <w:i/>
        </w:rPr>
        <w:t>Therapeutic Goods Act 1989</w:t>
      </w:r>
      <w:r w:rsidR="00785717">
        <w:rPr>
          <w:i/>
        </w:rPr>
        <w:t xml:space="preserve"> </w:t>
      </w:r>
      <w:r w:rsidR="00785717" w:rsidRPr="00785717">
        <w:t>(the Act)</w:t>
      </w:r>
      <w:r w:rsidR="008E7846" w:rsidRPr="00785717">
        <w:t>,</w:t>
      </w:r>
      <w:r w:rsidR="008E7846">
        <w:t xml:space="preserve"> applying a risk management approach designed to ensure therapeutic goods supplied in Australia meet acceptable standards of quality, safety and efficacy (performance) when necessary.</w:t>
      </w:r>
    </w:p>
    <w:p w:rsidR="008E7846" w:rsidRDefault="008E7846" w:rsidP="00E9102E">
      <w:pPr>
        <w:pStyle w:val="ListBullet"/>
        <w:numPr>
          <w:ilvl w:val="0"/>
          <w:numId w:val="1"/>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E9102E">
      <w:pPr>
        <w:pStyle w:val="ListBullet"/>
        <w:numPr>
          <w:ilvl w:val="0"/>
          <w:numId w:val="1"/>
        </w:numPr>
        <w:ind w:left="357" w:hanging="357"/>
      </w:pPr>
      <w:r>
        <w:t>The TGA relies on the public, healthcare professionals and industry to report problems with medicines or medical devices. TGA investigates reports received by it to determine any necessary regulatory action.</w:t>
      </w:r>
    </w:p>
    <w:p w:rsidR="00441C3F" w:rsidRDefault="008E7846" w:rsidP="00E9102E">
      <w:pPr>
        <w:pStyle w:val="ListBullet"/>
        <w:numPr>
          <w:ilvl w:val="0"/>
          <w:numId w:val="1"/>
        </w:numPr>
        <w:ind w:left="357" w:hanging="357"/>
      </w:pPr>
      <w:r>
        <w:t xml:space="preserve">To report a problem with a medicine or medical device, please see the information on </w:t>
      </w:r>
      <w:r w:rsidR="00441C3F">
        <w:t>the TGA website &lt;</w:t>
      </w:r>
      <w:hyperlink r:id="rId9" w:history="1">
        <w:r w:rsidR="00441C3F">
          <w:rPr>
            <w:rStyle w:val="Hyperlink"/>
          </w:rPr>
          <w:t>https://www.tga.gov.au</w:t>
        </w:r>
      </w:hyperlink>
      <w:r w:rsidR="00441C3F">
        <w:t>&gt;.</w:t>
      </w:r>
    </w:p>
    <w:p w:rsidR="008E7846" w:rsidRDefault="008E7846" w:rsidP="00527EC7">
      <w:pPr>
        <w:pStyle w:val="NonTOCHeading2"/>
      </w:pPr>
      <w:r>
        <w:t>About AusPARs</w:t>
      </w:r>
    </w:p>
    <w:p w:rsidR="008E7846" w:rsidRDefault="008E7846" w:rsidP="00E9102E">
      <w:pPr>
        <w:pStyle w:val="ListBullet"/>
        <w:numPr>
          <w:ilvl w:val="0"/>
          <w:numId w:val="1"/>
        </w:numPr>
        <w:ind w:left="357" w:hanging="357"/>
      </w:pPr>
      <w:r>
        <w:t>An Australian Public Assessment Re</w:t>
      </w:r>
      <w:r w:rsidR="00133A1B">
        <w:t>port</w:t>
      </w:r>
      <w:r>
        <w:t xml:space="preserve"> (AusPAR) provides information about the evaluation of a prescription medicine and the considerations that led the TGA to approve or not approve a pr</w:t>
      </w:r>
      <w:r w:rsidR="00441C3F">
        <w:t>escription medicine submission.</w:t>
      </w:r>
    </w:p>
    <w:p w:rsidR="008E7846" w:rsidRDefault="008E7846" w:rsidP="00E9102E">
      <w:pPr>
        <w:pStyle w:val="ListBullet"/>
        <w:numPr>
          <w:ilvl w:val="0"/>
          <w:numId w:val="1"/>
        </w:numPr>
        <w:ind w:left="357" w:hanging="357"/>
      </w:pPr>
      <w:r>
        <w:t>AusPARs are prepared and published by the TGA.</w:t>
      </w:r>
    </w:p>
    <w:p w:rsidR="008E7846" w:rsidRDefault="008E7846" w:rsidP="00E9102E">
      <w:pPr>
        <w:pStyle w:val="ListBullet"/>
        <w:numPr>
          <w:ilvl w:val="0"/>
          <w:numId w:val="1"/>
        </w:numPr>
        <w:ind w:left="357" w:hanging="357"/>
      </w:pPr>
      <w:r>
        <w:t>An AusPAR is prepared for submissions that relate to new chemical entities, generic medicines, major variations and extensions of indications.</w:t>
      </w:r>
    </w:p>
    <w:p w:rsidR="008E7846" w:rsidRDefault="008E7846" w:rsidP="00E9102E">
      <w:pPr>
        <w:pStyle w:val="ListBullet"/>
        <w:numPr>
          <w:ilvl w:val="0"/>
          <w:numId w:val="1"/>
        </w:numPr>
        <w:ind w:left="357" w:hanging="357"/>
      </w:pPr>
      <w:r>
        <w:t>An AusPAR is a static document</w:t>
      </w:r>
      <w:r w:rsidR="00133A1B">
        <w:t>;</w:t>
      </w:r>
      <w:r>
        <w:t xml:space="preserve"> it provide</w:t>
      </w:r>
      <w:r w:rsidR="00133A1B">
        <w:t>s</w:t>
      </w:r>
      <w:r>
        <w:t xml:space="preserve"> information that relates to a submission at a particular point in time.</w:t>
      </w:r>
    </w:p>
    <w:p w:rsidR="00B452CE" w:rsidRDefault="008E7846" w:rsidP="00E9102E">
      <w:pPr>
        <w:pStyle w:val="ListBullet"/>
        <w:numPr>
          <w:ilvl w:val="0"/>
          <w:numId w:val="1"/>
        </w:numPr>
        <w:ind w:left="357" w:hanging="357"/>
      </w:pPr>
      <w:r>
        <w:t>A new AusPAR will be developed to reflect changes to indications and/or major variations to a prescription medicine subject to evaluation by the TGA.</w:t>
      </w:r>
    </w:p>
    <w:p w:rsidR="00924482" w:rsidRPr="00DF1D7F" w:rsidRDefault="00924482" w:rsidP="00F54B65">
      <w:pPr>
        <w:pStyle w:val="LegalSubheading"/>
        <w:spacing w:before="312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3E0B99">
        <w:rPr>
          <w:rFonts w:cs="Arial"/>
          <w:lang w:val="en-GB"/>
        </w:rPr>
        <w:t>5</w:t>
      </w:r>
      <w:r w:rsidRPr="00191B3B">
        <w:rPr>
          <w:rFonts w:cs="Arial"/>
          <w:lang w:val="en-GB"/>
        </w:rPr>
        <w:br/>
      </w:r>
      <w:proofErr w:type="gramStart"/>
      <w:r w:rsidRPr="00191B3B">
        <w:rPr>
          <w:rFonts w:cs="Arial"/>
          <w:lang w:val="en-GB"/>
        </w:rPr>
        <w:t>This</w:t>
      </w:r>
      <w:proofErr w:type="gramEnd"/>
      <w:r w:rsidRPr="00191B3B">
        <w:rPr>
          <w:rFonts w:cs="Arial"/>
          <w:lang w:val="en-GB"/>
        </w:rPr>
        <w:t xml:space="preserve">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even" r:id="rId11"/>
          <w:headerReference w:type="default" r:id="rId12"/>
          <w:footerReference w:type="even" r:id="rId13"/>
          <w:footerReference w:type="default" r:id="rId14"/>
          <w:headerReference w:type="first" r:id="rId15"/>
          <w:footerReference w:type="first" r:id="rId16"/>
          <w:pgSz w:w="11906" w:h="16838" w:code="9"/>
          <w:pgMar w:top="426" w:right="1701" w:bottom="0" w:left="1701" w:header="907" w:footer="142" w:gutter="0"/>
          <w:pgNumType w:fmt="lowerRoman" w:start="1"/>
          <w:cols w:space="708"/>
          <w:titlePg/>
          <w:docGrid w:linePitch="360"/>
        </w:sectPr>
      </w:pPr>
    </w:p>
    <w:bookmarkStart w:id="0" w:name="_Toc247691501" w:displacedByCustomXml="next"/>
    <w:bookmarkStart w:id="1" w:name="_Toc196046425"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Contents</w:t>
          </w:r>
        </w:p>
        <w:p w:rsidR="00527EC7" w:rsidRDefault="00DB6124">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38563989" w:history="1">
            <w:r w:rsidR="00527EC7" w:rsidRPr="00007CA7">
              <w:rPr>
                <w:rStyle w:val="Hyperlink"/>
                <w:noProof/>
              </w:rPr>
              <w:t>Common abbreviations</w:t>
            </w:r>
            <w:r w:rsidR="00527EC7">
              <w:rPr>
                <w:noProof/>
                <w:webHidden/>
              </w:rPr>
              <w:tab/>
            </w:r>
            <w:r w:rsidR="00527EC7">
              <w:rPr>
                <w:noProof/>
                <w:webHidden/>
              </w:rPr>
              <w:fldChar w:fldCharType="begin"/>
            </w:r>
            <w:r w:rsidR="00527EC7">
              <w:rPr>
                <w:noProof/>
                <w:webHidden/>
              </w:rPr>
              <w:instrText xml:space="preserve"> PAGEREF _Toc438563989 \h </w:instrText>
            </w:r>
            <w:r w:rsidR="00527EC7">
              <w:rPr>
                <w:noProof/>
                <w:webHidden/>
              </w:rPr>
            </w:r>
            <w:r w:rsidR="00527EC7">
              <w:rPr>
                <w:noProof/>
                <w:webHidden/>
              </w:rPr>
              <w:fldChar w:fldCharType="separate"/>
            </w:r>
            <w:r w:rsidR="00527EC7">
              <w:rPr>
                <w:noProof/>
                <w:webHidden/>
              </w:rPr>
              <w:t>4</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3990" w:history="1">
            <w:r w:rsidR="00527EC7" w:rsidRPr="00007CA7">
              <w:rPr>
                <w:rStyle w:val="Hyperlink"/>
                <w:noProof/>
              </w:rPr>
              <w:t>I. Introduction to product submission</w:t>
            </w:r>
            <w:r w:rsidR="00527EC7">
              <w:rPr>
                <w:noProof/>
                <w:webHidden/>
              </w:rPr>
              <w:tab/>
            </w:r>
            <w:r w:rsidR="00527EC7">
              <w:rPr>
                <w:noProof/>
                <w:webHidden/>
              </w:rPr>
              <w:fldChar w:fldCharType="begin"/>
            </w:r>
            <w:r w:rsidR="00527EC7">
              <w:rPr>
                <w:noProof/>
                <w:webHidden/>
              </w:rPr>
              <w:instrText xml:space="preserve"> PAGEREF _Toc438563990 \h </w:instrText>
            </w:r>
            <w:r w:rsidR="00527EC7">
              <w:rPr>
                <w:noProof/>
                <w:webHidden/>
              </w:rPr>
            </w:r>
            <w:r w:rsidR="00527EC7">
              <w:rPr>
                <w:noProof/>
                <w:webHidden/>
              </w:rPr>
              <w:fldChar w:fldCharType="separate"/>
            </w:r>
            <w:r w:rsidR="00527EC7">
              <w:rPr>
                <w:noProof/>
                <w:webHidden/>
              </w:rPr>
              <w:t>7</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1" w:history="1">
            <w:r w:rsidR="00527EC7" w:rsidRPr="00007CA7">
              <w:rPr>
                <w:rStyle w:val="Hyperlink"/>
                <w:noProof/>
                <w:lang w:eastAsia="en-AU"/>
              </w:rPr>
              <w:t xml:space="preserve">Submission </w:t>
            </w:r>
            <w:r w:rsidR="00527EC7" w:rsidRPr="00007CA7">
              <w:rPr>
                <w:rStyle w:val="Hyperlink"/>
                <w:noProof/>
              </w:rPr>
              <w:t>details</w:t>
            </w:r>
            <w:r w:rsidR="00527EC7">
              <w:rPr>
                <w:noProof/>
                <w:webHidden/>
              </w:rPr>
              <w:tab/>
            </w:r>
            <w:r w:rsidR="00527EC7">
              <w:rPr>
                <w:noProof/>
                <w:webHidden/>
              </w:rPr>
              <w:fldChar w:fldCharType="begin"/>
            </w:r>
            <w:r w:rsidR="00527EC7">
              <w:rPr>
                <w:noProof/>
                <w:webHidden/>
              </w:rPr>
              <w:instrText xml:space="preserve"> PAGEREF _Toc438563991 \h </w:instrText>
            </w:r>
            <w:r w:rsidR="00527EC7">
              <w:rPr>
                <w:noProof/>
                <w:webHidden/>
              </w:rPr>
            </w:r>
            <w:r w:rsidR="00527EC7">
              <w:rPr>
                <w:noProof/>
                <w:webHidden/>
              </w:rPr>
              <w:fldChar w:fldCharType="separate"/>
            </w:r>
            <w:r w:rsidR="00527EC7">
              <w:rPr>
                <w:noProof/>
                <w:webHidden/>
              </w:rPr>
              <w:t>7</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2" w:history="1">
            <w:r w:rsidR="00527EC7" w:rsidRPr="00007CA7">
              <w:rPr>
                <w:rStyle w:val="Hyperlink"/>
                <w:noProof/>
              </w:rPr>
              <w:t>Product background</w:t>
            </w:r>
            <w:r w:rsidR="00527EC7">
              <w:rPr>
                <w:noProof/>
                <w:webHidden/>
              </w:rPr>
              <w:tab/>
            </w:r>
            <w:r w:rsidR="00527EC7">
              <w:rPr>
                <w:noProof/>
                <w:webHidden/>
              </w:rPr>
              <w:fldChar w:fldCharType="begin"/>
            </w:r>
            <w:r w:rsidR="00527EC7">
              <w:rPr>
                <w:noProof/>
                <w:webHidden/>
              </w:rPr>
              <w:instrText xml:space="preserve"> PAGEREF _Toc438563992 \h </w:instrText>
            </w:r>
            <w:r w:rsidR="00527EC7">
              <w:rPr>
                <w:noProof/>
                <w:webHidden/>
              </w:rPr>
            </w:r>
            <w:r w:rsidR="00527EC7">
              <w:rPr>
                <w:noProof/>
                <w:webHidden/>
              </w:rPr>
              <w:fldChar w:fldCharType="separate"/>
            </w:r>
            <w:r w:rsidR="00527EC7">
              <w:rPr>
                <w:noProof/>
                <w:webHidden/>
              </w:rPr>
              <w:t>8</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3" w:history="1">
            <w:r w:rsidR="00527EC7" w:rsidRPr="00007CA7">
              <w:rPr>
                <w:rStyle w:val="Hyperlink"/>
                <w:noProof/>
              </w:rPr>
              <w:t>Regulatory status</w:t>
            </w:r>
            <w:r w:rsidR="00527EC7">
              <w:rPr>
                <w:noProof/>
                <w:webHidden/>
              </w:rPr>
              <w:tab/>
            </w:r>
            <w:r w:rsidR="00527EC7">
              <w:rPr>
                <w:noProof/>
                <w:webHidden/>
              </w:rPr>
              <w:fldChar w:fldCharType="begin"/>
            </w:r>
            <w:r w:rsidR="00527EC7">
              <w:rPr>
                <w:noProof/>
                <w:webHidden/>
              </w:rPr>
              <w:instrText xml:space="preserve"> PAGEREF _Toc438563993 \h </w:instrText>
            </w:r>
            <w:r w:rsidR="00527EC7">
              <w:rPr>
                <w:noProof/>
                <w:webHidden/>
              </w:rPr>
            </w:r>
            <w:r w:rsidR="00527EC7">
              <w:rPr>
                <w:noProof/>
                <w:webHidden/>
              </w:rPr>
              <w:fldChar w:fldCharType="separate"/>
            </w:r>
            <w:r w:rsidR="00527EC7">
              <w:rPr>
                <w:noProof/>
                <w:webHidden/>
              </w:rPr>
              <w:t>9</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4" w:history="1">
            <w:r w:rsidR="00527EC7" w:rsidRPr="00007CA7">
              <w:rPr>
                <w:rStyle w:val="Hyperlink"/>
                <w:noProof/>
              </w:rPr>
              <w:t>Product Information</w:t>
            </w:r>
            <w:r w:rsidR="00527EC7">
              <w:rPr>
                <w:noProof/>
                <w:webHidden/>
              </w:rPr>
              <w:tab/>
            </w:r>
            <w:r w:rsidR="00527EC7">
              <w:rPr>
                <w:noProof/>
                <w:webHidden/>
              </w:rPr>
              <w:fldChar w:fldCharType="begin"/>
            </w:r>
            <w:r w:rsidR="00527EC7">
              <w:rPr>
                <w:noProof/>
                <w:webHidden/>
              </w:rPr>
              <w:instrText xml:space="preserve"> PAGEREF _Toc438563994 \h </w:instrText>
            </w:r>
            <w:r w:rsidR="00527EC7">
              <w:rPr>
                <w:noProof/>
                <w:webHidden/>
              </w:rPr>
            </w:r>
            <w:r w:rsidR="00527EC7">
              <w:rPr>
                <w:noProof/>
                <w:webHidden/>
              </w:rPr>
              <w:fldChar w:fldCharType="separate"/>
            </w:r>
            <w:r w:rsidR="00527EC7">
              <w:rPr>
                <w:noProof/>
                <w:webHidden/>
              </w:rPr>
              <w:t>11</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3995" w:history="1">
            <w:r w:rsidR="00527EC7" w:rsidRPr="00007CA7">
              <w:rPr>
                <w:rStyle w:val="Hyperlink"/>
                <w:noProof/>
              </w:rPr>
              <w:t>II. Quality findings</w:t>
            </w:r>
            <w:r w:rsidR="00527EC7">
              <w:rPr>
                <w:noProof/>
                <w:webHidden/>
              </w:rPr>
              <w:tab/>
            </w:r>
            <w:r w:rsidR="00527EC7">
              <w:rPr>
                <w:noProof/>
                <w:webHidden/>
              </w:rPr>
              <w:fldChar w:fldCharType="begin"/>
            </w:r>
            <w:r w:rsidR="00527EC7">
              <w:rPr>
                <w:noProof/>
                <w:webHidden/>
              </w:rPr>
              <w:instrText xml:space="preserve"> PAGEREF _Toc438563995 \h </w:instrText>
            </w:r>
            <w:r w:rsidR="00527EC7">
              <w:rPr>
                <w:noProof/>
                <w:webHidden/>
              </w:rPr>
            </w:r>
            <w:r w:rsidR="00527EC7">
              <w:rPr>
                <w:noProof/>
                <w:webHidden/>
              </w:rPr>
              <w:fldChar w:fldCharType="separate"/>
            </w:r>
            <w:r w:rsidR="00527EC7">
              <w:rPr>
                <w:noProof/>
                <w:webHidden/>
              </w:rPr>
              <w:t>11</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6" w:history="1">
            <w:r w:rsidR="00527EC7" w:rsidRPr="00007CA7">
              <w:rPr>
                <w:rStyle w:val="Hyperlink"/>
                <w:noProof/>
              </w:rPr>
              <w:t>Quality summary and conclusions</w:t>
            </w:r>
            <w:r w:rsidR="00527EC7">
              <w:rPr>
                <w:noProof/>
                <w:webHidden/>
              </w:rPr>
              <w:tab/>
            </w:r>
            <w:r w:rsidR="00527EC7">
              <w:rPr>
                <w:noProof/>
                <w:webHidden/>
              </w:rPr>
              <w:fldChar w:fldCharType="begin"/>
            </w:r>
            <w:r w:rsidR="00527EC7">
              <w:rPr>
                <w:noProof/>
                <w:webHidden/>
              </w:rPr>
              <w:instrText xml:space="preserve"> PAGEREF _Toc438563996 \h </w:instrText>
            </w:r>
            <w:r w:rsidR="00527EC7">
              <w:rPr>
                <w:noProof/>
                <w:webHidden/>
              </w:rPr>
            </w:r>
            <w:r w:rsidR="00527EC7">
              <w:rPr>
                <w:noProof/>
                <w:webHidden/>
              </w:rPr>
              <w:fldChar w:fldCharType="separate"/>
            </w:r>
            <w:r w:rsidR="00527EC7">
              <w:rPr>
                <w:noProof/>
                <w:webHidden/>
              </w:rPr>
              <w:t>11</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3997" w:history="1">
            <w:r w:rsidR="00527EC7" w:rsidRPr="00007CA7">
              <w:rPr>
                <w:rStyle w:val="Hyperlink"/>
                <w:noProof/>
              </w:rPr>
              <w:t>III. Nonclinical findings</w:t>
            </w:r>
            <w:r w:rsidR="00527EC7">
              <w:rPr>
                <w:noProof/>
                <w:webHidden/>
              </w:rPr>
              <w:tab/>
            </w:r>
            <w:r w:rsidR="00527EC7">
              <w:rPr>
                <w:noProof/>
                <w:webHidden/>
              </w:rPr>
              <w:fldChar w:fldCharType="begin"/>
            </w:r>
            <w:r w:rsidR="00527EC7">
              <w:rPr>
                <w:noProof/>
                <w:webHidden/>
              </w:rPr>
              <w:instrText xml:space="preserve"> PAGEREF _Toc438563997 \h </w:instrText>
            </w:r>
            <w:r w:rsidR="00527EC7">
              <w:rPr>
                <w:noProof/>
                <w:webHidden/>
              </w:rPr>
            </w:r>
            <w:r w:rsidR="00527EC7">
              <w:rPr>
                <w:noProof/>
                <w:webHidden/>
              </w:rPr>
              <w:fldChar w:fldCharType="separate"/>
            </w:r>
            <w:r w:rsidR="00527EC7">
              <w:rPr>
                <w:noProof/>
                <w:webHidden/>
              </w:rPr>
              <w:t>12</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3998" w:history="1">
            <w:r w:rsidR="00527EC7" w:rsidRPr="00007CA7">
              <w:rPr>
                <w:rStyle w:val="Hyperlink"/>
                <w:noProof/>
              </w:rPr>
              <w:t>IV. Clinical findings</w:t>
            </w:r>
            <w:r w:rsidR="00527EC7">
              <w:rPr>
                <w:noProof/>
                <w:webHidden/>
              </w:rPr>
              <w:tab/>
            </w:r>
            <w:r w:rsidR="00527EC7">
              <w:rPr>
                <w:noProof/>
                <w:webHidden/>
              </w:rPr>
              <w:fldChar w:fldCharType="begin"/>
            </w:r>
            <w:r w:rsidR="00527EC7">
              <w:rPr>
                <w:noProof/>
                <w:webHidden/>
              </w:rPr>
              <w:instrText xml:space="preserve"> PAGEREF _Toc438563998 \h </w:instrText>
            </w:r>
            <w:r w:rsidR="00527EC7">
              <w:rPr>
                <w:noProof/>
                <w:webHidden/>
              </w:rPr>
            </w:r>
            <w:r w:rsidR="00527EC7">
              <w:rPr>
                <w:noProof/>
                <w:webHidden/>
              </w:rPr>
              <w:fldChar w:fldCharType="separate"/>
            </w:r>
            <w:r w:rsidR="00527EC7">
              <w:rPr>
                <w:noProof/>
                <w:webHidden/>
              </w:rPr>
              <w:t>12</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3999" w:history="1">
            <w:r w:rsidR="00527EC7" w:rsidRPr="00007CA7">
              <w:rPr>
                <w:rStyle w:val="Hyperlink"/>
                <w:noProof/>
              </w:rPr>
              <w:t>Introduction</w:t>
            </w:r>
            <w:r w:rsidR="00527EC7">
              <w:rPr>
                <w:noProof/>
                <w:webHidden/>
              </w:rPr>
              <w:tab/>
            </w:r>
            <w:r w:rsidR="00527EC7">
              <w:rPr>
                <w:noProof/>
                <w:webHidden/>
              </w:rPr>
              <w:fldChar w:fldCharType="begin"/>
            </w:r>
            <w:r w:rsidR="00527EC7">
              <w:rPr>
                <w:noProof/>
                <w:webHidden/>
              </w:rPr>
              <w:instrText xml:space="preserve"> PAGEREF _Toc438563999 \h </w:instrText>
            </w:r>
            <w:r w:rsidR="00527EC7">
              <w:rPr>
                <w:noProof/>
                <w:webHidden/>
              </w:rPr>
            </w:r>
            <w:r w:rsidR="00527EC7">
              <w:rPr>
                <w:noProof/>
                <w:webHidden/>
              </w:rPr>
              <w:fldChar w:fldCharType="separate"/>
            </w:r>
            <w:r w:rsidR="00527EC7">
              <w:rPr>
                <w:noProof/>
                <w:webHidden/>
              </w:rPr>
              <w:t>12</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0" w:history="1">
            <w:r w:rsidR="00527EC7" w:rsidRPr="00007CA7">
              <w:rPr>
                <w:rStyle w:val="Hyperlink"/>
                <w:noProof/>
              </w:rPr>
              <w:t>Contents of the clinical dossier</w:t>
            </w:r>
            <w:r w:rsidR="00527EC7">
              <w:rPr>
                <w:noProof/>
                <w:webHidden/>
              </w:rPr>
              <w:tab/>
            </w:r>
            <w:r w:rsidR="00527EC7">
              <w:rPr>
                <w:noProof/>
                <w:webHidden/>
              </w:rPr>
              <w:fldChar w:fldCharType="begin"/>
            </w:r>
            <w:r w:rsidR="00527EC7">
              <w:rPr>
                <w:noProof/>
                <w:webHidden/>
              </w:rPr>
              <w:instrText xml:space="preserve"> PAGEREF _Toc438564000 \h </w:instrText>
            </w:r>
            <w:r w:rsidR="00527EC7">
              <w:rPr>
                <w:noProof/>
                <w:webHidden/>
              </w:rPr>
            </w:r>
            <w:r w:rsidR="00527EC7">
              <w:rPr>
                <w:noProof/>
                <w:webHidden/>
              </w:rPr>
              <w:fldChar w:fldCharType="separate"/>
            </w:r>
            <w:r w:rsidR="00527EC7">
              <w:rPr>
                <w:noProof/>
                <w:webHidden/>
              </w:rPr>
              <w:t>12</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1" w:history="1">
            <w:r w:rsidR="00527EC7" w:rsidRPr="00007CA7">
              <w:rPr>
                <w:rStyle w:val="Hyperlink"/>
                <w:noProof/>
              </w:rPr>
              <w:t>Pharmacokinetics</w:t>
            </w:r>
            <w:r w:rsidR="00527EC7">
              <w:rPr>
                <w:noProof/>
                <w:webHidden/>
              </w:rPr>
              <w:tab/>
            </w:r>
            <w:r w:rsidR="00527EC7">
              <w:rPr>
                <w:noProof/>
                <w:webHidden/>
              </w:rPr>
              <w:fldChar w:fldCharType="begin"/>
            </w:r>
            <w:r w:rsidR="00527EC7">
              <w:rPr>
                <w:noProof/>
                <w:webHidden/>
              </w:rPr>
              <w:instrText xml:space="preserve"> PAGEREF _Toc438564001 \h </w:instrText>
            </w:r>
            <w:r w:rsidR="00527EC7">
              <w:rPr>
                <w:noProof/>
                <w:webHidden/>
              </w:rPr>
            </w:r>
            <w:r w:rsidR="00527EC7">
              <w:rPr>
                <w:noProof/>
                <w:webHidden/>
              </w:rPr>
              <w:fldChar w:fldCharType="separate"/>
            </w:r>
            <w:r w:rsidR="00527EC7">
              <w:rPr>
                <w:noProof/>
                <w:webHidden/>
              </w:rPr>
              <w:t>13</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2" w:history="1">
            <w:r w:rsidR="00527EC7" w:rsidRPr="00007CA7">
              <w:rPr>
                <w:rStyle w:val="Hyperlink"/>
                <w:noProof/>
              </w:rPr>
              <w:t>Pharmacodynamics</w:t>
            </w:r>
            <w:r w:rsidR="00527EC7">
              <w:rPr>
                <w:noProof/>
                <w:webHidden/>
              </w:rPr>
              <w:tab/>
            </w:r>
            <w:r w:rsidR="00527EC7">
              <w:rPr>
                <w:noProof/>
                <w:webHidden/>
              </w:rPr>
              <w:fldChar w:fldCharType="begin"/>
            </w:r>
            <w:r w:rsidR="00527EC7">
              <w:rPr>
                <w:noProof/>
                <w:webHidden/>
              </w:rPr>
              <w:instrText xml:space="preserve"> PAGEREF _Toc438564002 \h </w:instrText>
            </w:r>
            <w:r w:rsidR="00527EC7">
              <w:rPr>
                <w:noProof/>
                <w:webHidden/>
              </w:rPr>
            </w:r>
            <w:r w:rsidR="00527EC7">
              <w:rPr>
                <w:noProof/>
                <w:webHidden/>
              </w:rPr>
              <w:fldChar w:fldCharType="separate"/>
            </w:r>
            <w:r w:rsidR="00527EC7">
              <w:rPr>
                <w:noProof/>
                <w:webHidden/>
              </w:rPr>
              <w:t>14</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3" w:history="1">
            <w:r w:rsidR="00527EC7" w:rsidRPr="00007CA7">
              <w:rPr>
                <w:rStyle w:val="Hyperlink"/>
                <w:noProof/>
              </w:rPr>
              <w:t>Dosage selection for the pivotal studies</w:t>
            </w:r>
            <w:r w:rsidR="00527EC7">
              <w:rPr>
                <w:noProof/>
                <w:webHidden/>
              </w:rPr>
              <w:tab/>
            </w:r>
            <w:r w:rsidR="00527EC7">
              <w:rPr>
                <w:noProof/>
                <w:webHidden/>
              </w:rPr>
              <w:fldChar w:fldCharType="begin"/>
            </w:r>
            <w:r w:rsidR="00527EC7">
              <w:rPr>
                <w:noProof/>
                <w:webHidden/>
              </w:rPr>
              <w:instrText xml:space="preserve"> PAGEREF _Toc438564003 \h </w:instrText>
            </w:r>
            <w:r w:rsidR="00527EC7">
              <w:rPr>
                <w:noProof/>
                <w:webHidden/>
              </w:rPr>
            </w:r>
            <w:r w:rsidR="00527EC7">
              <w:rPr>
                <w:noProof/>
                <w:webHidden/>
              </w:rPr>
              <w:fldChar w:fldCharType="separate"/>
            </w:r>
            <w:r w:rsidR="00527EC7">
              <w:rPr>
                <w:noProof/>
                <w:webHidden/>
              </w:rPr>
              <w:t>14</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4" w:history="1">
            <w:r w:rsidR="00527EC7" w:rsidRPr="00007CA7">
              <w:rPr>
                <w:rStyle w:val="Hyperlink"/>
                <w:noProof/>
              </w:rPr>
              <w:t>Efficacy</w:t>
            </w:r>
            <w:r w:rsidR="00527EC7">
              <w:rPr>
                <w:noProof/>
                <w:webHidden/>
              </w:rPr>
              <w:tab/>
            </w:r>
            <w:r w:rsidR="00527EC7">
              <w:rPr>
                <w:noProof/>
                <w:webHidden/>
              </w:rPr>
              <w:fldChar w:fldCharType="begin"/>
            </w:r>
            <w:r w:rsidR="00527EC7">
              <w:rPr>
                <w:noProof/>
                <w:webHidden/>
              </w:rPr>
              <w:instrText xml:space="preserve"> PAGEREF _Toc438564004 \h </w:instrText>
            </w:r>
            <w:r w:rsidR="00527EC7">
              <w:rPr>
                <w:noProof/>
                <w:webHidden/>
              </w:rPr>
            </w:r>
            <w:r w:rsidR="00527EC7">
              <w:rPr>
                <w:noProof/>
                <w:webHidden/>
              </w:rPr>
              <w:fldChar w:fldCharType="separate"/>
            </w:r>
            <w:r w:rsidR="00527EC7">
              <w:rPr>
                <w:noProof/>
                <w:webHidden/>
              </w:rPr>
              <w:t>16</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5" w:history="1">
            <w:r w:rsidR="00527EC7" w:rsidRPr="00007CA7">
              <w:rPr>
                <w:rStyle w:val="Hyperlink"/>
                <w:noProof/>
              </w:rPr>
              <w:t>Safety</w:t>
            </w:r>
            <w:r w:rsidR="00527EC7">
              <w:rPr>
                <w:noProof/>
                <w:webHidden/>
              </w:rPr>
              <w:tab/>
            </w:r>
            <w:r w:rsidR="00527EC7">
              <w:rPr>
                <w:noProof/>
                <w:webHidden/>
              </w:rPr>
              <w:fldChar w:fldCharType="begin"/>
            </w:r>
            <w:r w:rsidR="00527EC7">
              <w:rPr>
                <w:noProof/>
                <w:webHidden/>
              </w:rPr>
              <w:instrText xml:space="preserve"> PAGEREF _Toc438564005 \h </w:instrText>
            </w:r>
            <w:r w:rsidR="00527EC7">
              <w:rPr>
                <w:noProof/>
                <w:webHidden/>
              </w:rPr>
            </w:r>
            <w:r w:rsidR="00527EC7">
              <w:rPr>
                <w:noProof/>
                <w:webHidden/>
              </w:rPr>
              <w:fldChar w:fldCharType="separate"/>
            </w:r>
            <w:r w:rsidR="00527EC7">
              <w:rPr>
                <w:noProof/>
                <w:webHidden/>
              </w:rPr>
              <w:t>19</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6" w:history="1">
            <w:r w:rsidR="00527EC7" w:rsidRPr="00007CA7">
              <w:rPr>
                <w:rStyle w:val="Hyperlink"/>
                <w:noProof/>
              </w:rPr>
              <w:t>First round benefit-risk assessment</w:t>
            </w:r>
            <w:r w:rsidR="00527EC7">
              <w:rPr>
                <w:noProof/>
                <w:webHidden/>
              </w:rPr>
              <w:tab/>
            </w:r>
            <w:r w:rsidR="00527EC7">
              <w:rPr>
                <w:noProof/>
                <w:webHidden/>
              </w:rPr>
              <w:fldChar w:fldCharType="begin"/>
            </w:r>
            <w:r w:rsidR="00527EC7">
              <w:rPr>
                <w:noProof/>
                <w:webHidden/>
              </w:rPr>
              <w:instrText xml:space="preserve"> PAGEREF _Toc438564006 \h </w:instrText>
            </w:r>
            <w:r w:rsidR="00527EC7">
              <w:rPr>
                <w:noProof/>
                <w:webHidden/>
              </w:rPr>
            </w:r>
            <w:r w:rsidR="00527EC7">
              <w:rPr>
                <w:noProof/>
                <w:webHidden/>
              </w:rPr>
              <w:fldChar w:fldCharType="separate"/>
            </w:r>
            <w:r w:rsidR="00527EC7">
              <w:rPr>
                <w:noProof/>
                <w:webHidden/>
              </w:rPr>
              <w:t>22</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07" w:history="1">
            <w:r w:rsidR="00527EC7" w:rsidRPr="00007CA7">
              <w:rPr>
                <w:rStyle w:val="Hyperlink"/>
                <w:noProof/>
              </w:rPr>
              <w:t>First round recommendation regarding authorisation</w:t>
            </w:r>
            <w:r w:rsidR="00527EC7">
              <w:rPr>
                <w:noProof/>
                <w:webHidden/>
              </w:rPr>
              <w:tab/>
            </w:r>
            <w:r w:rsidR="00527EC7">
              <w:rPr>
                <w:noProof/>
                <w:webHidden/>
              </w:rPr>
              <w:fldChar w:fldCharType="begin"/>
            </w:r>
            <w:r w:rsidR="00527EC7">
              <w:rPr>
                <w:noProof/>
                <w:webHidden/>
              </w:rPr>
              <w:instrText xml:space="preserve"> PAGEREF _Toc438564007 \h </w:instrText>
            </w:r>
            <w:r w:rsidR="00527EC7">
              <w:rPr>
                <w:noProof/>
                <w:webHidden/>
              </w:rPr>
            </w:r>
            <w:r w:rsidR="00527EC7">
              <w:rPr>
                <w:noProof/>
                <w:webHidden/>
              </w:rPr>
              <w:fldChar w:fldCharType="separate"/>
            </w:r>
            <w:r w:rsidR="00527EC7">
              <w:rPr>
                <w:noProof/>
                <w:webHidden/>
              </w:rPr>
              <w:t>25</w:t>
            </w:r>
            <w:r w:rsidR="00527EC7">
              <w:rPr>
                <w:noProof/>
                <w:webHidden/>
              </w:rPr>
              <w:fldChar w:fldCharType="end"/>
            </w:r>
          </w:hyperlink>
        </w:p>
        <w:p w:rsidR="00527EC7" w:rsidRDefault="00BD604B" w:rsidP="00527EC7">
          <w:pPr>
            <w:pStyle w:val="TOC3"/>
            <w:rPr>
              <w:rFonts w:asciiTheme="minorHAnsi" w:eastAsiaTheme="minorEastAsia" w:hAnsiTheme="minorHAnsi" w:cstheme="minorBidi"/>
              <w:noProof/>
              <w:lang w:eastAsia="en-AU"/>
            </w:rPr>
          </w:pPr>
          <w:hyperlink w:anchor="_Toc438564008" w:history="1">
            <w:r w:rsidR="00527EC7" w:rsidRPr="00007CA7">
              <w:rPr>
                <w:rStyle w:val="Hyperlink"/>
                <w:noProof/>
              </w:rPr>
              <w:t>Clinical questions</w:t>
            </w:r>
            <w:r w:rsidR="00527EC7">
              <w:rPr>
                <w:noProof/>
                <w:webHidden/>
              </w:rPr>
              <w:tab/>
            </w:r>
            <w:r w:rsidR="00527EC7">
              <w:rPr>
                <w:noProof/>
                <w:webHidden/>
              </w:rPr>
              <w:fldChar w:fldCharType="begin"/>
            </w:r>
            <w:r w:rsidR="00527EC7">
              <w:rPr>
                <w:noProof/>
                <w:webHidden/>
              </w:rPr>
              <w:instrText xml:space="preserve"> PAGEREF _Toc438564008 \h </w:instrText>
            </w:r>
            <w:r w:rsidR="00527EC7">
              <w:rPr>
                <w:noProof/>
                <w:webHidden/>
              </w:rPr>
            </w:r>
            <w:r w:rsidR="00527EC7">
              <w:rPr>
                <w:noProof/>
                <w:webHidden/>
              </w:rPr>
              <w:fldChar w:fldCharType="separate"/>
            </w:r>
            <w:r w:rsidR="00527EC7">
              <w:rPr>
                <w:noProof/>
                <w:webHidden/>
              </w:rPr>
              <w:t>25</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0" w:history="1">
            <w:r w:rsidR="00527EC7" w:rsidRPr="00007CA7">
              <w:rPr>
                <w:rStyle w:val="Hyperlink"/>
                <w:noProof/>
              </w:rPr>
              <w:t>Second round benefit-risk assessment</w:t>
            </w:r>
            <w:r w:rsidR="00527EC7">
              <w:rPr>
                <w:noProof/>
                <w:webHidden/>
              </w:rPr>
              <w:tab/>
            </w:r>
            <w:r w:rsidR="00527EC7">
              <w:rPr>
                <w:noProof/>
                <w:webHidden/>
              </w:rPr>
              <w:fldChar w:fldCharType="begin"/>
            </w:r>
            <w:r w:rsidR="00527EC7">
              <w:rPr>
                <w:noProof/>
                <w:webHidden/>
              </w:rPr>
              <w:instrText xml:space="preserve"> PAGEREF _Toc438564010 \h </w:instrText>
            </w:r>
            <w:r w:rsidR="00527EC7">
              <w:rPr>
                <w:noProof/>
                <w:webHidden/>
              </w:rPr>
            </w:r>
            <w:r w:rsidR="00527EC7">
              <w:rPr>
                <w:noProof/>
                <w:webHidden/>
              </w:rPr>
              <w:fldChar w:fldCharType="separate"/>
            </w:r>
            <w:r w:rsidR="00527EC7">
              <w:rPr>
                <w:noProof/>
                <w:webHidden/>
              </w:rPr>
              <w:t>26</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1" w:history="1">
            <w:r w:rsidR="00527EC7" w:rsidRPr="00007CA7">
              <w:rPr>
                <w:rStyle w:val="Hyperlink"/>
                <w:noProof/>
              </w:rPr>
              <w:t>Second round recommendation regarding authorisation</w:t>
            </w:r>
            <w:r w:rsidR="00527EC7">
              <w:rPr>
                <w:noProof/>
                <w:webHidden/>
              </w:rPr>
              <w:tab/>
            </w:r>
            <w:r w:rsidR="00527EC7">
              <w:rPr>
                <w:noProof/>
                <w:webHidden/>
              </w:rPr>
              <w:fldChar w:fldCharType="begin"/>
            </w:r>
            <w:r w:rsidR="00527EC7">
              <w:rPr>
                <w:noProof/>
                <w:webHidden/>
              </w:rPr>
              <w:instrText xml:space="preserve"> PAGEREF _Toc438564011 \h </w:instrText>
            </w:r>
            <w:r w:rsidR="00527EC7">
              <w:rPr>
                <w:noProof/>
                <w:webHidden/>
              </w:rPr>
            </w:r>
            <w:r w:rsidR="00527EC7">
              <w:rPr>
                <w:noProof/>
                <w:webHidden/>
              </w:rPr>
              <w:fldChar w:fldCharType="separate"/>
            </w:r>
            <w:r w:rsidR="00527EC7">
              <w:rPr>
                <w:noProof/>
                <w:webHidden/>
              </w:rPr>
              <w:t>27</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4012" w:history="1">
            <w:r w:rsidR="00527EC7" w:rsidRPr="00007CA7">
              <w:rPr>
                <w:rStyle w:val="Hyperlink"/>
                <w:noProof/>
              </w:rPr>
              <w:t>V. Pharmacovigilance findings</w:t>
            </w:r>
            <w:r w:rsidR="00527EC7">
              <w:rPr>
                <w:noProof/>
                <w:webHidden/>
              </w:rPr>
              <w:tab/>
            </w:r>
            <w:r w:rsidR="00527EC7">
              <w:rPr>
                <w:noProof/>
                <w:webHidden/>
              </w:rPr>
              <w:fldChar w:fldCharType="begin"/>
            </w:r>
            <w:r w:rsidR="00527EC7">
              <w:rPr>
                <w:noProof/>
                <w:webHidden/>
              </w:rPr>
              <w:instrText xml:space="preserve"> PAGEREF _Toc438564012 \h </w:instrText>
            </w:r>
            <w:r w:rsidR="00527EC7">
              <w:rPr>
                <w:noProof/>
                <w:webHidden/>
              </w:rPr>
            </w:r>
            <w:r w:rsidR="00527EC7">
              <w:rPr>
                <w:noProof/>
                <w:webHidden/>
              </w:rPr>
              <w:fldChar w:fldCharType="separate"/>
            </w:r>
            <w:r w:rsidR="00527EC7">
              <w:rPr>
                <w:noProof/>
                <w:webHidden/>
              </w:rPr>
              <w:t>27</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3" w:history="1">
            <w:r w:rsidR="00527EC7" w:rsidRPr="00007CA7">
              <w:rPr>
                <w:rStyle w:val="Hyperlink"/>
                <w:noProof/>
                <w:lang w:eastAsia="en-AU"/>
              </w:rPr>
              <w:t xml:space="preserve">Risk </w:t>
            </w:r>
            <w:r w:rsidR="00527EC7" w:rsidRPr="00007CA7">
              <w:rPr>
                <w:rStyle w:val="Hyperlink"/>
                <w:noProof/>
              </w:rPr>
              <w:t>management</w:t>
            </w:r>
            <w:r w:rsidR="00527EC7" w:rsidRPr="00007CA7">
              <w:rPr>
                <w:rStyle w:val="Hyperlink"/>
                <w:noProof/>
                <w:lang w:eastAsia="en-AU"/>
              </w:rPr>
              <w:t xml:space="preserve"> plan</w:t>
            </w:r>
            <w:r w:rsidR="00527EC7">
              <w:rPr>
                <w:noProof/>
                <w:webHidden/>
              </w:rPr>
              <w:tab/>
            </w:r>
            <w:r w:rsidR="00527EC7">
              <w:rPr>
                <w:noProof/>
                <w:webHidden/>
              </w:rPr>
              <w:fldChar w:fldCharType="begin"/>
            </w:r>
            <w:r w:rsidR="00527EC7">
              <w:rPr>
                <w:noProof/>
                <w:webHidden/>
              </w:rPr>
              <w:instrText xml:space="preserve"> PAGEREF _Toc438564013 \h </w:instrText>
            </w:r>
            <w:r w:rsidR="00527EC7">
              <w:rPr>
                <w:noProof/>
                <w:webHidden/>
              </w:rPr>
            </w:r>
            <w:r w:rsidR="00527EC7">
              <w:rPr>
                <w:noProof/>
                <w:webHidden/>
              </w:rPr>
              <w:fldChar w:fldCharType="separate"/>
            </w:r>
            <w:r w:rsidR="00527EC7">
              <w:rPr>
                <w:noProof/>
                <w:webHidden/>
              </w:rPr>
              <w:t>27</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4014" w:history="1">
            <w:r w:rsidR="00527EC7" w:rsidRPr="00007CA7">
              <w:rPr>
                <w:rStyle w:val="Hyperlink"/>
                <w:noProof/>
              </w:rPr>
              <w:t>VI. Overall conclusion and risk/benefit assessment</w:t>
            </w:r>
            <w:r w:rsidR="00527EC7">
              <w:rPr>
                <w:noProof/>
                <w:webHidden/>
              </w:rPr>
              <w:tab/>
            </w:r>
            <w:r w:rsidR="00527EC7">
              <w:rPr>
                <w:noProof/>
                <w:webHidden/>
              </w:rPr>
              <w:fldChar w:fldCharType="begin"/>
            </w:r>
            <w:r w:rsidR="00527EC7">
              <w:rPr>
                <w:noProof/>
                <w:webHidden/>
              </w:rPr>
              <w:instrText xml:space="preserve"> PAGEREF _Toc438564014 \h </w:instrText>
            </w:r>
            <w:r w:rsidR="00527EC7">
              <w:rPr>
                <w:noProof/>
                <w:webHidden/>
              </w:rPr>
            </w:r>
            <w:r w:rsidR="00527EC7">
              <w:rPr>
                <w:noProof/>
                <w:webHidden/>
              </w:rPr>
              <w:fldChar w:fldCharType="separate"/>
            </w:r>
            <w:r w:rsidR="00527EC7">
              <w:rPr>
                <w:noProof/>
                <w:webHidden/>
              </w:rPr>
              <w:t>35</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5" w:history="1">
            <w:r w:rsidR="00527EC7" w:rsidRPr="00007CA7">
              <w:rPr>
                <w:rStyle w:val="Hyperlink"/>
                <w:noProof/>
              </w:rPr>
              <w:t>Quality</w:t>
            </w:r>
            <w:r w:rsidR="00527EC7">
              <w:rPr>
                <w:noProof/>
                <w:webHidden/>
              </w:rPr>
              <w:tab/>
            </w:r>
            <w:r w:rsidR="00527EC7">
              <w:rPr>
                <w:noProof/>
                <w:webHidden/>
              </w:rPr>
              <w:fldChar w:fldCharType="begin"/>
            </w:r>
            <w:r w:rsidR="00527EC7">
              <w:rPr>
                <w:noProof/>
                <w:webHidden/>
              </w:rPr>
              <w:instrText xml:space="preserve"> PAGEREF _Toc438564015 \h </w:instrText>
            </w:r>
            <w:r w:rsidR="00527EC7">
              <w:rPr>
                <w:noProof/>
                <w:webHidden/>
              </w:rPr>
            </w:r>
            <w:r w:rsidR="00527EC7">
              <w:rPr>
                <w:noProof/>
                <w:webHidden/>
              </w:rPr>
              <w:fldChar w:fldCharType="separate"/>
            </w:r>
            <w:r w:rsidR="00527EC7">
              <w:rPr>
                <w:noProof/>
                <w:webHidden/>
              </w:rPr>
              <w:t>35</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6" w:history="1">
            <w:r w:rsidR="00527EC7" w:rsidRPr="00007CA7">
              <w:rPr>
                <w:rStyle w:val="Hyperlink"/>
                <w:noProof/>
              </w:rPr>
              <w:t>Nonclinical</w:t>
            </w:r>
            <w:r w:rsidR="00527EC7">
              <w:rPr>
                <w:noProof/>
                <w:webHidden/>
              </w:rPr>
              <w:tab/>
            </w:r>
            <w:r w:rsidR="00527EC7">
              <w:rPr>
                <w:noProof/>
                <w:webHidden/>
              </w:rPr>
              <w:fldChar w:fldCharType="begin"/>
            </w:r>
            <w:r w:rsidR="00527EC7">
              <w:rPr>
                <w:noProof/>
                <w:webHidden/>
              </w:rPr>
              <w:instrText xml:space="preserve"> PAGEREF _Toc438564016 \h </w:instrText>
            </w:r>
            <w:r w:rsidR="00527EC7">
              <w:rPr>
                <w:noProof/>
                <w:webHidden/>
              </w:rPr>
            </w:r>
            <w:r w:rsidR="00527EC7">
              <w:rPr>
                <w:noProof/>
                <w:webHidden/>
              </w:rPr>
              <w:fldChar w:fldCharType="separate"/>
            </w:r>
            <w:r w:rsidR="00527EC7">
              <w:rPr>
                <w:noProof/>
                <w:webHidden/>
              </w:rPr>
              <w:t>35</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7" w:history="1">
            <w:r w:rsidR="00527EC7" w:rsidRPr="00007CA7">
              <w:rPr>
                <w:rStyle w:val="Hyperlink"/>
                <w:noProof/>
              </w:rPr>
              <w:t>Clinical</w:t>
            </w:r>
            <w:r w:rsidR="00527EC7">
              <w:rPr>
                <w:noProof/>
                <w:webHidden/>
              </w:rPr>
              <w:tab/>
            </w:r>
            <w:r w:rsidR="00527EC7">
              <w:rPr>
                <w:noProof/>
                <w:webHidden/>
              </w:rPr>
              <w:fldChar w:fldCharType="begin"/>
            </w:r>
            <w:r w:rsidR="00527EC7">
              <w:rPr>
                <w:noProof/>
                <w:webHidden/>
              </w:rPr>
              <w:instrText xml:space="preserve"> PAGEREF _Toc438564017 \h </w:instrText>
            </w:r>
            <w:r w:rsidR="00527EC7">
              <w:rPr>
                <w:noProof/>
                <w:webHidden/>
              </w:rPr>
            </w:r>
            <w:r w:rsidR="00527EC7">
              <w:rPr>
                <w:noProof/>
                <w:webHidden/>
              </w:rPr>
              <w:fldChar w:fldCharType="separate"/>
            </w:r>
            <w:r w:rsidR="00527EC7">
              <w:rPr>
                <w:noProof/>
                <w:webHidden/>
              </w:rPr>
              <w:t>35</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8" w:history="1">
            <w:r w:rsidR="00527EC7" w:rsidRPr="00007CA7">
              <w:rPr>
                <w:rStyle w:val="Hyperlink"/>
                <w:noProof/>
                <w:lang w:eastAsia="en-AU"/>
              </w:rPr>
              <w:t xml:space="preserve">Risk </w:t>
            </w:r>
            <w:r w:rsidR="00527EC7" w:rsidRPr="00007CA7">
              <w:rPr>
                <w:rStyle w:val="Hyperlink"/>
                <w:noProof/>
              </w:rPr>
              <w:t>management</w:t>
            </w:r>
            <w:r w:rsidR="00527EC7" w:rsidRPr="00007CA7">
              <w:rPr>
                <w:rStyle w:val="Hyperlink"/>
                <w:noProof/>
                <w:lang w:eastAsia="en-AU"/>
              </w:rPr>
              <w:t xml:space="preserve"> plan</w:t>
            </w:r>
            <w:r w:rsidR="00527EC7">
              <w:rPr>
                <w:noProof/>
                <w:webHidden/>
              </w:rPr>
              <w:tab/>
            </w:r>
            <w:r w:rsidR="00527EC7">
              <w:rPr>
                <w:noProof/>
                <w:webHidden/>
              </w:rPr>
              <w:fldChar w:fldCharType="begin"/>
            </w:r>
            <w:r w:rsidR="00527EC7">
              <w:rPr>
                <w:noProof/>
                <w:webHidden/>
              </w:rPr>
              <w:instrText xml:space="preserve"> PAGEREF _Toc438564018 \h </w:instrText>
            </w:r>
            <w:r w:rsidR="00527EC7">
              <w:rPr>
                <w:noProof/>
                <w:webHidden/>
              </w:rPr>
            </w:r>
            <w:r w:rsidR="00527EC7">
              <w:rPr>
                <w:noProof/>
                <w:webHidden/>
              </w:rPr>
              <w:fldChar w:fldCharType="separate"/>
            </w:r>
            <w:r w:rsidR="00527EC7">
              <w:rPr>
                <w:noProof/>
                <w:webHidden/>
              </w:rPr>
              <w:t>39</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19" w:history="1">
            <w:r w:rsidR="00527EC7" w:rsidRPr="00007CA7">
              <w:rPr>
                <w:rStyle w:val="Hyperlink"/>
                <w:noProof/>
              </w:rPr>
              <w:t>Risk-benefit analysis</w:t>
            </w:r>
            <w:r w:rsidR="00527EC7">
              <w:rPr>
                <w:noProof/>
                <w:webHidden/>
              </w:rPr>
              <w:tab/>
            </w:r>
            <w:r w:rsidR="00527EC7">
              <w:rPr>
                <w:noProof/>
                <w:webHidden/>
              </w:rPr>
              <w:fldChar w:fldCharType="begin"/>
            </w:r>
            <w:r w:rsidR="00527EC7">
              <w:rPr>
                <w:noProof/>
                <w:webHidden/>
              </w:rPr>
              <w:instrText xml:space="preserve"> PAGEREF _Toc438564019 \h </w:instrText>
            </w:r>
            <w:r w:rsidR="00527EC7">
              <w:rPr>
                <w:noProof/>
                <w:webHidden/>
              </w:rPr>
            </w:r>
            <w:r w:rsidR="00527EC7">
              <w:rPr>
                <w:noProof/>
                <w:webHidden/>
              </w:rPr>
              <w:fldChar w:fldCharType="separate"/>
            </w:r>
            <w:r w:rsidR="00527EC7">
              <w:rPr>
                <w:noProof/>
                <w:webHidden/>
              </w:rPr>
              <w:t>40</w:t>
            </w:r>
            <w:r w:rsidR="00527EC7">
              <w:rPr>
                <w:noProof/>
                <w:webHidden/>
              </w:rPr>
              <w:fldChar w:fldCharType="end"/>
            </w:r>
          </w:hyperlink>
        </w:p>
        <w:p w:rsidR="00527EC7" w:rsidRDefault="00BD604B">
          <w:pPr>
            <w:pStyle w:val="TOC3"/>
            <w:rPr>
              <w:rFonts w:asciiTheme="minorHAnsi" w:eastAsiaTheme="minorEastAsia" w:hAnsiTheme="minorHAnsi" w:cstheme="minorBidi"/>
              <w:noProof/>
              <w:lang w:eastAsia="en-AU"/>
            </w:rPr>
          </w:pPr>
          <w:hyperlink w:anchor="_Toc438564020" w:history="1">
            <w:r w:rsidR="00527EC7" w:rsidRPr="00007CA7">
              <w:rPr>
                <w:rStyle w:val="Hyperlink"/>
                <w:noProof/>
              </w:rPr>
              <w:t>Outcome</w:t>
            </w:r>
            <w:r w:rsidR="00527EC7">
              <w:rPr>
                <w:noProof/>
                <w:webHidden/>
              </w:rPr>
              <w:tab/>
            </w:r>
            <w:r w:rsidR="00527EC7">
              <w:rPr>
                <w:noProof/>
                <w:webHidden/>
              </w:rPr>
              <w:fldChar w:fldCharType="begin"/>
            </w:r>
            <w:r w:rsidR="00527EC7">
              <w:rPr>
                <w:noProof/>
                <w:webHidden/>
              </w:rPr>
              <w:instrText xml:space="preserve"> PAGEREF _Toc438564020 \h </w:instrText>
            </w:r>
            <w:r w:rsidR="00527EC7">
              <w:rPr>
                <w:noProof/>
                <w:webHidden/>
              </w:rPr>
            </w:r>
            <w:r w:rsidR="00527EC7">
              <w:rPr>
                <w:noProof/>
                <w:webHidden/>
              </w:rPr>
              <w:fldChar w:fldCharType="separate"/>
            </w:r>
            <w:r w:rsidR="00527EC7">
              <w:rPr>
                <w:noProof/>
                <w:webHidden/>
              </w:rPr>
              <w:t>47</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4021" w:history="1">
            <w:r w:rsidR="00527EC7" w:rsidRPr="00007CA7">
              <w:rPr>
                <w:rStyle w:val="Hyperlink"/>
                <w:noProof/>
              </w:rPr>
              <w:t>Attachment 1. Product Information</w:t>
            </w:r>
            <w:r w:rsidR="00527EC7">
              <w:rPr>
                <w:noProof/>
                <w:webHidden/>
              </w:rPr>
              <w:tab/>
            </w:r>
            <w:r w:rsidR="00527EC7">
              <w:rPr>
                <w:noProof/>
                <w:webHidden/>
              </w:rPr>
              <w:fldChar w:fldCharType="begin"/>
            </w:r>
            <w:r w:rsidR="00527EC7">
              <w:rPr>
                <w:noProof/>
                <w:webHidden/>
              </w:rPr>
              <w:instrText xml:space="preserve"> PAGEREF _Toc438564021 \h </w:instrText>
            </w:r>
            <w:r w:rsidR="00527EC7">
              <w:rPr>
                <w:noProof/>
                <w:webHidden/>
              </w:rPr>
            </w:r>
            <w:r w:rsidR="00527EC7">
              <w:rPr>
                <w:noProof/>
                <w:webHidden/>
              </w:rPr>
              <w:fldChar w:fldCharType="separate"/>
            </w:r>
            <w:r w:rsidR="00527EC7">
              <w:rPr>
                <w:noProof/>
                <w:webHidden/>
              </w:rPr>
              <w:t>48</w:t>
            </w:r>
            <w:r w:rsidR="00527EC7">
              <w:rPr>
                <w:noProof/>
                <w:webHidden/>
              </w:rPr>
              <w:fldChar w:fldCharType="end"/>
            </w:r>
          </w:hyperlink>
        </w:p>
        <w:p w:rsidR="00527EC7" w:rsidRDefault="00BD604B">
          <w:pPr>
            <w:pStyle w:val="TOC2"/>
            <w:rPr>
              <w:rFonts w:asciiTheme="minorHAnsi" w:eastAsiaTheme="minorEastAsia" w:hAnsiTheme="minorHAnsi" w:cstheme="minorBidi"/>
              <w:b w:val="0"/>
              <w:noProof/>
              <w:sz w:val="22"/>
              <w:lang w:eastAsia="en-AU"/>
            </w:rPr>
          </w:pPr>
          <w:hyperlink w:anchor="_Toc438564022" w:history="1">
            <w:r w:rsidR="00527EC7" w:rsidRPr="00007CA7">
              <w:rPr>
                <w:rStyle w:val="Hyperlink"/>
                <w:noProof/>
                <w:lang w:eastAsia="en-AU"/>
              </w:rPr>
              <w:t xml:space="preserve">Attachment 2. Extract from the Clinical </w:t>
            </w:r>
            <w:r w:rsidR="00527EC7" w:rsidRPr="00007CA7">
              <w:rPr>
                <w:rStyle w:val="Hyperlink"/>
                <w:noProof/>
              </w:rPr>
              <w:t>Evaluation</w:t>
            </w:r>
            <w:r w:rsidR="00527EC7" w:rsidRPr="00007CA7">
              <w:rPr>
                <w:rStyle w:val="Hyperlink"/>
                <w:noProof/>
                <w:lang w:eastAsia="en-AU"/>
              </w:rPr>
              <w:t xml:space="preserve"> Report</w:t>
            </w:r>
            <w:r w:rsidR="00527EC7">
              <w:rPr>
                <w:noProof/>
                <w:webHidden/>
              </w:rPr>
              <w:tab/>
            </w:r>
            <w:r w:rsidR="00527EC7">
              <w:rPr>
                <w:noProof/>
                <w:webHidden/>
              </w:rPr>
              <w:fldChar w:fldCharType="begin"/>
            </w:r>
            <w:r w:rsidR="00527EC7">
              <w:rPr>
                <w:noProof/>
                <w:webHidden/>
              </w:rPr>
              <w:instrText xml:space="preserve"> PAGEREF _Toc438564022 \h </w:instrText>
            </w:r>
            <w:r w:rsidR="00527EC7">
              <w:rPr>
                <w:noProof/>
                <w:webHidden/>
              </w:rPr>
            </w:r>
            <w:r w:rsidR="00527EC7">
              <w:rPr>
                <w:noProof/>
                <w:webHidden/>
              </w:rPr>
              <w:fldChar w:fldCharType="separate"/>
            </w:r>
            <w:r w:rsidR="00527EC7">
              <w:rPr>
                <w:noProof/>
                <w:webHidden/>
              </w:rPr>
              <w:t>48</w:t>
            </w:r>
            <w:r w:rsidR="00527EC7">
              <w:rPr>
                <w:noProof/>
                <w:webHidden/>
              </w:rPr>
              <w:fldChar w:fldCharType="end"/>
            </w:r>
          </w:hyperlink>
        </w:p>
        <w:p w:rsidR="003A7F6C" w:rsidRPr="00B811C6" w:rsidRDefault="00DB6124" w:rsidP="00B811C6">
          <w:pPr>
            <w:pStyle w:val="TOC2"/>
          </w:pPr>
          <w:r>
            <w:fldChar w:fldCharType="end"/>
          </w:r>
        </w:p>
      </w:sdtContent>
    </w:sdt>
    <w:bookmarkStart w:id="2" w:name="_Toc314842482" w:displacedByCustomXml="prev"/>
    <w:p w:rsidR="00FD119B" w:rsidRDefault="00441C3F" w:rsidP="008A1B96">
      <w:pPr>
        <w:pStyle w:val="Heading2"/>
      </w:pPr>
      <w:bookmarkStart w:id="3" w:name="_Toc351716269"/>
      <w:bookmarkStart w:id="4" w:name="_Toc351718881"/>
      <w:bookmarkStart w:id="5" w:name="_Toc355338616"/>
      <w:bookmarkStart w:id="6" w:name="_Toc356306144"/>
      <w:bookmarkStart w:id="7" w:name="_Toc438563989"/>
      <w:r>
        <w:lastRenderedPageBreak/>
        <w:t>Common</w:t>
      </w:r>
      <w:r w:rsidR="00FD119B" w:rsidRPr="00FD119B">
        <w:t xml:space="preserve"> </w:t>
      </w:r>
      <w:r w:rsidR="00FD119B" w:rsidRPr="008A1B96">
        <w:t>abbreviations</w:t>
      </w:r>
      <w:bookmarkEnd w:id="3"/>
      <w:bookmarkEnd w:id="4"/>
      <w:bookmarkEnd w:id="5"/>
      <w:bookmarkEnd w:id="6"/>
      <w:bookmarkEnd w:id="7"/>
    </w:p>
    <w:tbl>
      <w:tblPr>
        <w:tblStyle w:val="TableTGAblue"/>
        <w:tblW w:w="0" w:type="auto"/>
        <w:tblLook w:val="04A0" w:firstRow="1" w:lastRow="0" w:firstColumn="1" w:lastColumn="0" w:noHBand="0" w:noVBand="1"/>
      </w:tblPr>
      <w:tblGrid>
        <w:gridCol w:w="1890"/>
        <w:gridCol w:w="6830"/>
      </w:tblGrid>
      <w:tr w:rsidR="00537E4D" w:rsidTr="008A1B96">
        <w:trPr>
          <w:cnfStyle w:val="100000000000" w:firstRow="1" w:lastRow="0" w:firstColumn="0" w:lastColumn="0" w:oddVBand="0" w:evenVBand="0" w:oddHBand="0" w:evenHBand="0" w:firstRowFirstColumn="0" w:firstRowLastColumn="0" w:lastRowFirstColumn="0" w:lastRowLastColumn="0"/>
        </w:trPr>
        <w:tc>
          <w:tcPr>
            <w:tcW w:w="1890" w:type="dxa"/>
          </w:tcPr>
          <w:p w:rsidR="00537E4D" w:rsidRDefault="00537E4D" w:rsidP="008A1B96">
            <w:r>
              <w:t>Abbreviation</w:t>
            </w:r>
          </w:p>
        </w:tc>
        <w:tc>
          <w:tcPr>
            <w:tcW w:w="6830" w:type="dxa"/>
          </w:tcPr>
          <w:p w:rsidR="00537E4D" w:rsidRDefault="00537E4D" w:rsidP="008A1B96">
            <w:r>
              <w:t>Meaning</w:t>
            </w:r>
          </w:p>
        </w:tc>
      </w:tr>
      <w:tr w:rsidR="00537E4D" w:rsidRPr="00F80864" w:rsidTr="008A1B96">
        <w:tc>
          <w:tcPr>
            <w:tcW w:w="1890" w:type="dxa"/>
          </w:tcPr>
          <w:p w:rsidR="00537E4D" w:rsidRPr="00F80864" w:rsidRDefault="00537E4D" w:rsidP="008A1B96">
            <w:r w:rsidRPr="00F80864">
              <w:t>AAA</w:t>
            </w:r>
          </w:p>
        </w:tc>
        <w:tc>
          <w:tcPr>
            <w:tcW w:w="6830" w:type="dxa"/>
          </w:tcPr>
          <w:p w:rsidR="00537E4D" w:rsidRPr="00F80864" w:rsidRDefault="00537E4D" w:rsidP="008A1B96">
            <w:r>
              <w:t>Anti-adalimumab antibody</w:t>
            </w:r>
          </w:p>
        </w:tc>
      </w:tr>
      <w:tr w:rsidR="00537E4D" w:rsidRPr="00F80864" w:rsidTr="008A1B96">
        <w:tc>
          <w:tcPr>
            <w:tcW w:w="1890" w:type="dxa"/>
          </w:tcPr>
          <w:p w:rsidR="00537E4D" w:rsidRPr="00F80864" w:rsidRDefault="00537E4D" w:rsidP="008A1B96">
            <w:r w:rsidRPr="00F80864">
              <w:t>ACR</w:t>
            </w:r>
          </w:p>
        </w:tc>
        <w:tc>
          <w:tcPr>
            <w:tcW w:w="6830" w:type="dxa"/>
          </w:tcPr>
          <w:p w:rsidR="00537E4D" w:rsidRPr="00F80864" w:rsidRDefault="00537E4D" w:rsidP="008A1B96">
            <w:r w:rsidRPr="00F80864">
              <w:t>A</w:t>
            </w:r>
            <w:r>
              <w:t>merican College of Rheumatology</w:t>
            </w:r>
          </w:p>
        </w:tc>
      </w:tr>
      <w:tr w:rsidR="00537E4D" w:rsidRPr="00F80864" w:rsidTr="008A1B96">
        <w:tc>
          <w:tcPr>
            <w:tcW w:w="1890" w:type="dxa"/>
          </w:tcPr>
          <w:p w:rsidR="00537E4D" w:rsidRPr="00F80864" w:rsidRDefault="00537E4D" w:rsidP="008A1B96">
            <w:r>
              <w:t>AE</w:t>
            </w:r>
          </w:p>
        </w:tc>
        <w:tc>
          <w:tcPr>
            <w:tcW w:w="6830" w:type="dxa"/>
          </w:tcPr>
          <w:p w:rsidR="00537E4D" w:rsidRPr="00F80864" w:rsidRDefault="00537E4D" w:rsidP="008A1B96">
            <w:r w:rsidRPr="00F80864">
              <w:t>Adverse event</w:t>
            </w:r>
          </w:p>
        </w:tc>
      </w:tr>
      <w:tr w:rsidR="00537E4D" w:rsidRPr="00F80864" w:rsidTr="008A1B96">
        <w:tc>
          <w:tcPr>
            <w:tcW w:w="1890" w:type="dxa"/>
          </w:tcPr>
          <w:p w:rsidR="00537E4D" w:rsidRPr="00F80864" w:rsidRDefault="00537E4D" w:rsidP="008A1B96">
            <w:r>
              <w:t>AESI</w:t>
            </w:r>
          </w:p>
        </w:tc>
        <w:tc>
          <w:tcPr>
            <w:tcW w:w="6830" w:type="dxa"/>
          </w:tcPr>
          <w:p w:rsidR="00537E4D" w:rsidRPr="00F80864" w:rsidRDefault="00537E4D" w:rsidP="008A1B96">
            <w:r w:rsidRPr="00F80864">
              <w:t>Adverse event(s) of special interest</w:t>
            </w:r>
          </w:p>
        </w:tc>
      </w:tr>
      <w:tr w:rsidR="00537E4D" w:rsidRPr="00F80864" w:rsidTr="008A1B96">
        <w:tc>
          <w:tcPr>
            <w:tcW w:w="1890" w:type="dxa"/>
          </w:tcPr>
          <w:p w:rsidR="00537E4D" w:rsidRPr="00F80864" w:rsidRDefault="00537E4D" w:rsidP="008A1B96">
            <w:r>
              <w:t>AJC</w:t>
            </w:r>
          </w:p>
        </w:tc>
        <w:tc>
          <w:tcPr>
            <w:tcW w:w="6830" w:type="dxa"/>
          </w:tcPr>
          <w:p w:rsidR="00537E4D" w:rsidRPr="00F80864" w:rsidRDefault="00537E4D" w:rsidP="008A1B96">
            <w:r w:rsidRPr="00F80864">
              <w:t>Active joint count</w:t>
            </w:r>
          </w:p>
        </w:tc>
      </w:tr>
      <w:tr w:rsidR="00537E4D" w:rsidRPr="00F80864" w:rsidTr="008A1B96">
        <w:tc>
          <w:tcPr>
            <w:tcW w:w="1890" w:type="dxa"/>
          </w:tcPr>
          <w:p w:rsidR="00537E4D" w:rsidRPr="00F80864" w:rsidRDefault="00537E4D" w:rsidP="008A1B96">
            <w:r w:rsidRPr="00F80864">
              <w:t>ALT</w:t>
            </w:r>
          </w:p>
        </w:tc>
        <w:tc>
          <w:tcPr>
            <w:tcW w:w="6830" w:type="dxa"/>
          </w:tcPr>
          <w:p w:rsidR="00537E4D" w:rsidRPr="00F80864" w:rsidRDefault="00537E4D" w:rsidP="008A1B96">
            <w:r w:rsidRPr="00F80864">
              <w:t>Alanine aminotransferase</w:t>
            </w:r>
          </w:p>
        </w:tc>
      </w:tr>
      <w:tr w:rsidR="00537E4D" w:rsidRPr="00F80864" w:rsidTr="008A1B96">
        <w:tc>
          <w:tcPr>
            <w:tcW w:w="1890" w:type="dxa"/>
          </w:tcPr>
          <w:p w:rsidR="00537E4D" w:rsidRPr="00F80864" w:rsidRDefault="00537E4D" w:rsidP="008A1B96">
            <w:r w:rsidRPr="00F80864">
              <w:t>ANA</w:t>
            </w:r>
          </w:p>
        </w:tc>
        <w:tc>
          <w:tcPr>
            <w:tcW w:w="6830" w:type="dxa"/>
          </w:tcPr>
          <w:p w:rsidR="00537E4D" w:rsidRPr="00F80864" w:rsidRDefault="00537E4D" w:rsidP="008A1B96">
            <w:r w:rsidRPr="00F80864">
              <w:t>Anti-nuclear antibody</w:t>
            </w:r>
          </w:p>
        </w:tc>
      </w:tr>
      <w:tr w:rsidR="00537E4D" w:rsidRPr="00F80864" w:rsidTr="008A1B96">
        <w:tc>
          <w:tcPr>
            <w:tcW w:w="1890" w:type="dxa"/>
          </w:tcPr>
          <w:p w:rsidR="00537E4D" w:rsidRPr="00F80864" w:rsidRDefault="00537E4D" w:rsidP="008A1B96">
            <w:r w:rsidRPr="00F80864">
              <w:t>AP</w:t>
            </w:r>
          </w:p>
        </w:tc>
        <w:tc>
          <w:tcPr>
            <w:tcW w:w="6830" w:type="dxa"/>
          </w:tcPr>
          <w:p w:rsidR="00537E4D" w:rsidRPr="00F80864" w:rsidRDefault="00537E4D" w:rsidP="008A1B96">
            <w:r w:rsidRPr="00F80864">
              <w:t>Alkaline phosphatase</w:t>
            </w:r>
          </w:p>
        </w:tc>
      </w:tr>
      <w:tr w:rsidR="00537E4D" w:rsidRPr="00F80864" w:rsidTr="008A1B96">
        <w:tc>
          <w:tcPr>
            <w:tcW w:w="1890" w:type="dxa"/>
          </w:tcPr>
          <w:p w:rsidR="00537E4D" w:rsidRPr="00F80864" w:rsidRDefault="00537E4D" w:rsidP="008A1B96">
            <w:r w:rsidRPr="00F80864">
              <w:t>BCG</w:t>
            </w:r>
          </w:p>
        </w:tc>
        <w:tc>
          <w:tcPr>
            <w:tcW w:w="6830" w:type="dxa"/>
          </w:tcPr>
          <w:p w:rsidR="00537E4D" w:rsidRPr="00F80864" w:rsidRDefault="00537E4D" w:rsidP="008A1B96">
            <w:proofErr w:type="spellStart"/>
            <w:r w:rsidRPr="00F80864">
              <w:t>Bacille</w:t>
            </w:r>
            <w:proofErr w:type="spellEnd"/>
            <w:r w:rsidRPr="00F80864">
              <w:t xml:space="preserve"> </w:t>
            </w:r>
            <w:proofErr w:type="spellStart"/>
            <w:r w:rsidRPr="00F80864">
              <w:t>Calmette-Guérin</w:t>
            </w:r>
            <w:proofErr w:type="spellEnd"/>
          </w:p>
        </w:tc>
      </w:tr>
      <w:tr w:rsidR="00537E4D" w:rsidRPr="00F80864" w:rsidTr="008A1B96">
        <w:tc>
          <w:tcPr>
            <w:tcW w:w="1890" w:type="dxa"/>
          </w:tcPr>
          <w:p w:rsidR="00537E4D" w:rsidRPr="00F80864" w:rsidRDefault="00537E4D" w:rsidP="008A1B96">
            <w:r>
              <w:t>BSA</w:t>
            </w:r>
          </w:p>
        </w:tc>
        <w:tc>
          <w:tcPr>
            <w:tcW w:w="6830" w:type="dxa"/>
          </w:tcPr>
          <w:p w:rsidR="00537E4D" w:rsidRPr="00F80864" w:rsidRDefault="00537E4D" w:rsidP="008A1B96">
            <w:r w:rsidRPr="00F80864">
              <w:t>Body surface area</w:t>
            </w:r>
          </w:p>
        </w:tc>
      </w:tr>
      <w:tr w:rsidR="00537E4D" w:rsidRPr="00F80864" w:rsidTr="008A1B96">
        <w:tc>
          <w:tcPr>
            <w:tcW w:w="1890" w:type="dxa"/>
          </w:tcPr>
          <w:p w:rsidR="00537E4D" w:rsidRPr="00F80864" w:rsidRDefault="00537E4D" w:rsidP="008A1B96">
            <w:r>
              <w:t>BUN</w:t>
            </w:r>
          </w:p>
        </w:tc>
        <w:tc>
          <w:tcPr>
            <w:tcW w:w="6830" w:type="dxa"/>
          </w:tcPr>
          <w:p w:rsidR="00537E4D" w:rsidRPr="00F80864" w:rsidRDefault="00537E4D" w:rsidP="008A1B96">
            <w:r w:rsidRPr="00F80864">
              <w:t>Blood urea nitrogen</w:t>
            </w:r>
          </w:p>
        </w:tc>
      </w:tr>
      <w:tr w:rsidR="00537E4D" w:rsidRPr="00F80864" w:rsidTr="008A1B96">
        <w:tc>
          <w:tcPr>
            <w:tcW w:w="1890" w:type="dxa"/>
          </w:tcPr>
          <w:p w:rsidR="00537E4D" w:rsidRPr="00F80864" w:rsidRDefault="00537E4D" w:rsidP="008A1B96">
            <w:r>
              <w:t>CHQ-PF50</w:t>
            </w:r>
          </w:p>
        </w:tc>
        <w:tc>
          <w:tcPr>
            <w:tcW w:w="6830" w:type="dxa"/>
          </w:tcPr>
          <w:p w:rsidR="00537E4D" w:rsidRPr="00F80864" w:rsidRDefault="00537E4D" w:rsidP="008A1B96">
            <w:r w:rsidRPr="00F80864">
              <w:t>Child Health Questionnaire – PF50</w:t>
            </w:r>
          </w:p>
        </w:tc>
      </w:tr>
      <w:tr w:rsidR="00537E4D" w:rsidRPr="00F80864" w:rsidTr="008A1B96">
        <w:tc>
          <w:tcPr>
            <w:tcW w:w="1890" w:type="dxa"/>
          </w:tcPr>
          <w:p w:rsidR="00537E4D" w:rsidRPr="00F80864" w:rsidRDefault="00537E4D" w:rsidP="008A1B96">
            <w:r>
              <w:t>CHF</w:t>
            </w:r>
          </w:p>
        </w:tc>
        <w:tc>
          <w:tcPr>
            <w:tcW w:w="6830" w:type="dxa"/>
          </w:tcPr>
          <w:p w:rsidR="00537E4D" w:rsidRPr="00F80864" w:rsidRDefault="00537E4D" w:rsidP="008A1B96">
            <w:r w:rsidRPr="00F80864">
              <w:t>Congestive heart failure</w:t>
            </w:r>
          </w:p>
        </w:tc>
      </w:tr>
      <w:tr w:rsidR="00537E4D" w:rsidRPr="00F80864" w:rsidTr="008A1B96">
        <w:tc>
          <w:tcPr>
            <w:tcW w:w="1890" w:type="dxa"/>
          </w:tcPr>
          <w:p w:rsidR="00537E4D" w:rsidRPr="00F80864" w:rsidRDefault="00537E4D" w:rsidP="008A1B96">
            <w:r w:rsidRPr="00F80864">
              <w:t>CK</w:t>
            </w:r>
          </w:p>
        </w:tc>
        <w:tc>
          <w:tcPr>
            <w:tcW w:w="6830" w:type="dxa"/>
          </w:tcPr>
          <w:p w:rsidR="00537E4D" w:rsidRPr="00F80864" w:rsidRDefault="00537E4D" w:rsidP="008A1B96">
            <w:r w:rsidRPr="00F80864">
              <w:t>Creatine phosphokinase</w:t>
            </w:r>
          </w:p>
        </w:tc>
      </w:tr>
      <w:tr w:rsidR="00537E4D" w:rsidRPr="00F80864" w:rsidTr="008A1B96">
        <w:tc>
          <w:tcPr>
            <w:tcW w:w="1890" w:type="dxa"/>
          </w:tcPr>
          <w:p w:rsidR="00537E4D" w:rsidRPr="00F80864" w:rsidRDefault="00537E4D" w:rsidP="008A1B96">
            <w:r>
              <w:t>CPK</w:t>
            </w:r>
          </w:p>
        </w:tc>
        <w:tc>
          <w:tcPr>
            <w:tcW w:w="6830" w:type="dxa"/>
          </w:tcPr>
          <w:p w:rsidR="00537E4D" w:rsidRPr="00F80864" w:rsidRDefault="00537E4D" w:rsidP="008A1B96">
            <w:r w:rsidRPr="00F80864">
              <w:t>Creatine phosphokinase</w:t>
            </w:r>
          </w:p>
        </w:tc>
      </w:tr>
      <w:tr w:rsidR="00537E4D" w:rsidRPr="00F80864" w:rsidTr="008A1B96">
        <w:tc>
          <w:tcPr>
            <w:tcW w:w="1890" w:type="dxa"/>
          </w:tcPr>
          <w:p w:rsidR="00537E4D" w:rsidRPr="00F80864" w:rsidRDefault="00537E4D" w:rsidP="008A1B96">
            <w:r>
              <w:t>CRF</w:t>
            </w:r>
          </w:p>
        </w:tc>
        <w:tc>
          <w:tcPr>
            <w:tcW w:w="6830" w:type="dxa"/>
          </w:tcPr>
          <w:p w:rsidR="00537E4D" w:rsidRPr="00F80864" w:rsidRDefault="00537E4D" w:rsidP="008A1B96">
            <w:r w:rsidRPr="00F80864">
              <w:t>Case report form</w:t>
            </w:r>
          </w:p>
        </w:tc>
      </w:tr>
      <w:tr w:rsidR="00537E4D" w:rsidRPr="00F80864" w:rsidTr="008A1B96">
        <w:tc>
          <w:tcPr>
            <w:tcW w:w="1890" w:type="dxa"/>
          </w:tcPr>
          <w:p w:rsidR="00537E4D" w:rsidRPr="00F80864" w:rsidRDefault="00537E4D" w:rsidP="008A1B96">
            <w:r>
              <w:t>CRO</w:t>
            </w:r>
          </w:p>
        </w:tc>
        <w:tc>
          <w:tcPr>
            <w:tcW w:w="6830" w:type="dxa"/>
          </w:tcPr>
          <w:p w:rsidR="00537E4D" w:rsidRPr="00F80864" w:rsidRDefault="00537E4D" w:rsidP="008A1B96">
            <w:r w:rsidRPr="00F80864">
              <w:t>Contract research organization</w:t>
            </w:r>
          </w:p>
        </w:tc>
      </w:tr>
      <w:tr w:rsidR="00537E4D" w:rsidRPr="00F80864" w:rsidTr="008A1B96">
        <w:tc>
          <w:tcPr>
            <w:tcW w:w="1890" w:type="dxa"/>
          </w:tcPr>
          <w:p w:rsidR="00537E4D" w:rsidRPr="00F80864" w:rsidRDefault="00537E4D" w:rsidP="008A1B96">
            <w:r>
              <w:t>CRP</w:t>
            </w:r>
          </w:p>
        </w:tc>
        <w:tc>
          <w:tcPr>
            <w:tcW w:w="6830" w:type="dxa"/>
          </w:tcPr>
          <w:p w:rsidR="00537E4D" w:rsidRPr="00F80864" w:rsidRDefault="00537E4D" w:rsidP="008A1B96">
            <w:r w:rsidRPr="00F80864">
              <w:t>C-reactive protein</w:t>
            </w:r>
          </w:p>
        </w:tc>
      </w:tr>
      <w:tr w:rsidR="00537E4D" w:rsidRPr="00F80864" w:rsidTr="008A1B96">
        <w:tc>
          <w:tcPr>
            <w:tcW w:w="1890" w:type="dxa"/>
          </w:tcPr>
          <w:p w:rsidR="00537E4D" w:rsidRPr="00F80864" w:rsidRDefault="00537E4D" w:rsidP="008A1B96">
            <w:r w:rsidRPr="00F80864">
              <w:t>CV</w:t>
            </w:r>
          </w:p>
        </w:tc>
        <w:tc>
          <w:tcPr>
            <w:tcW w:w="6830" w:type="dxa"/>
          </w:tcPr>
          <w:p w:rsidR="00537E4D" w:rsidRPr="00F80864" w:rsidRDefault="00537E4D" w:rsidP="008A1B96">
            <w:r>
              <w:t>Coefficient of variation</w:t>
            </w:r>
          </w:p>
        </w:tc>
      </w:tr>
      <w:tr w:rsidR="00537E4D" w:rsidRPr="00F80864" w:rsidTr="008A1B96">
        <w:tc>
          <w:tcPr>
            <w:tcW w:w="1890" w:type="dxa"/>
          </w:tcPr>
          <w:p w:rsidR="00537E4D" w:rsidRPr="00F80864" w:rsidRDefault="00537E4D" w:rsidP="008A1B96">
            <w:r>
              <w:t>CVA</w:t>
            </w:r>
          </w:p>
        </w:tc>
        <w:tc>
          <w:tcPr>
            <w:tcW w:w="6830" w:type="dxa"/>
          </w:tcPr>
          <w:p w:rsidR="00537E4D" w:rsidRPr="00F80864" w:rsidRDefault="00537E4D" w:rsidP="008A1B96">
            <w:r w:rsidRPr="00F80864">
              <w:t>Cerebrovascular accident</w:t>
            </w:r>
          </w:p>
        </w:tc>
      </w:tr>
      <w:tr w:rsidR="00537E4D" w:rsidRPr="00F80864" w:rsidTr="008A1B96">
        <w:tc>
          <w:tcPr>
            <w:tcW w:w="1890" w:type="dxa"/>
          </w:tcPr>
          <w:p w:rsidR="00537E4D" w:rsidRPr="00F80864" w:rsidRDefault="00537E4D" w:rsidP="008A1B96">
            <w:r>
              <w:t>DICHAQ</w:t>
            </w:r>
          </w:p>
        </w:tc>
        <w:tc>
          <w:tcPr>
            <w:tcW w:w="6830" w:type="dxa"/>
          </w:tcPr>
          <w:p w:rsidR="00537E4D" w:rsidRPr="00F80864" w:rsidRDefault="00537E4D" w:rsidP="008A1B96">
            <w:r w:rsidRPr="00F80864">
              <w:t>Disability Index of Childhood Health Assessment Questionnaire</w:t>
            </w:r>
          </w:p>
        </w:tc>
      </w:tr>
      <w:tr w:rsidR="00537E4D" w:rsidRPr="00F80864" w:rsidTr="008A1B96">
        <w:tc>
          <w:tcPr>
            <w:tcW w:w="1890" w:type="dxa"/>
          </w:tcPr>
          <w:p w:rsidR="00537E4D" w:rsidRPr="00F80864" w:rsidRDefault="00537E4D" w:rsidP="008A1B96">
            <w:r>
              <w:t>DMARD</w:t>
            </w:r>
          </w:p>
        </w:tc>
        <w:tc>
          <w:tcPr>
            <w:tcW w:w="6830" w:type="dxa"/>
          </w:tcPr>
          <w:p w:rsidR="00537E4D" w:rsidRPr="00F80864" w:rsidRDefault="00537E4D" w:rsidP="008A1B96">
            <w:r w:rsidRPr="00F80864">
              <w:t>Disease-modifying anti-rheumatic drug</w:t>
            </w:r>
          </w:p>
        </w:tc>
      </w:tr>
      <w:tr w:rsidR="00537E4D" w:rsidRPr="00F80864" w:rsidTr="008A1B96">
        <w:tc>
          <w:tcPr>
            <w:tcW w:w="1890" w:type="dxa"/>
          </w:tcPr>
          <w:p w:rsidR="00537E4D" w:rsidRPr="00F80864" w:rsidRDefault="00537E4D" w:rsidP="008A1B96">
            <w:r w:rsidRPr="00F80864">
              <w:t>dsDNA</w:t>
            </w:r>
          </w:p>
        </w:tc>
        <w:tc>
          <w:tcPr>
            <w:tcW w:w="6830" w:type="dxa"/>
          </w:tcPr>
          <w:p w:rsidR="00537E4D" w:rsidRPr="00F80864" w:rsidRDefault="00537E4D" w:rsidP="008A1B96">
            <w:r w:rsidRPr="00F80864">
              <w:t>Double stranded DNA</w:t>
            </w:r>
          </w:p>
        </w:tc>
      </w:tr>
      <w:tr w:rsidR="00537E4D" w:rsidRPr="00F80864" w:rsidTr="008A1B96">
        <w:tc>
          <w:tcPr>
            <w:tcW w:w="1890" w:type="dxa"/>
          </w:tcPr>
          <w:p w:rsidR="00537E4D" w:rsidRPr="00F80864" w:rsidRDefault="00537E4D" w:rsidP="008A1B96">
            <w:r w:rsidRPr="00F80864">
              <w:t>EMA</w:t>
            </w:r>
          </w:p>
        </w:tc>
        <w:tc>
          <w:tcPr>
            <w:tcW w:w="6830" w:type="dxa"/>
          </w:tcPr>
          <w:p w:rsidR="00537E4D" w:rsidRPr="00F80864" w:rsidRDefault="00537E4D" w:rsidP="008A1B96">
            <w:r>
              <w:t>European Medicines Agency</w:t>
            </w:r>
          </w:p>
        </w:tc>
      </w:tr>
      <w:tr w:rsidR="00537E4D" w:rsidRPr="00F80864" w:rsidTr="008A1B96">
        <w:tc>
          <w:tcPr>
            <w:tcW w:w="1890" w:type="dxa"/>
          </w:tcPr>
          <w:p w:rsidR="00537E4D" w:rsidRPr="00F80864" w:rsidRDefault="00537E4D" w:rsidP="008A1B96">
            <w:proofErr w:type="spellStart"/>
            <w:r w:rsidRPr="00F80864">
              <w:t>eow</w:t>
            </w:r>
            <w:proofErr w:type="spellEnd"/>
          </w:p>
        </w:tc>
        <w:tc>
          <w:tcPr>
            <w:tcW w:w="6830" w:type="dxa"/>
          </w:tcPr>
          <w:p w:rsidR="00537E4D" w:rsidRPr="00F80864" w:rsidRDefault="00537E4D" w:rsidP="008A1B96">
            <w:r>
              <w:t>Every other week</w:t>
            </w:r>
          </w:p>
        </w:tc>
      </w:tr>
      <w:tr w:rsidR="00537E4D" w:rsidRPr="00F80864" w:rsidTr="008A1B96">
        <w:tc>
          <w:tcPr>
            <w:tcW w:w="1890" w:type="dxa"/>
          </w:tcPr>
          <w:p w:rsidR="00537E4D" w:rsidRPr="00F80864" w:rsidRDefault="00537E4D" w:rsidP="008A1B96">
            <w:r>
              <w:lastRenderedPageBreak/>
              <w:t>ESR</w:t>
            </w:r>
          </w:p>
        </w:tc>
        <w:tc>
          <w:tcPr>
            <w:tcW w:w="6830" w:type="dxa"/>
          </w:tcPr>
          <w:p w:rsidR="00537E4D" w:rsidRPr="00F80864" w:rsidRDefault="00537E4D" w:rsidP="008A1B96">
            <w:r w:rsidRPr="00F80864">
              <w:t>Erythrocyte sedimentation rate</w:t>
            </w:r>
          </w:p>
        </w:tc>
      </w:tr>
      <w:tr w:rsidR="00537E4D" w:rsidRPr="00F80864" w:rsidTr="008A1B96">
        <w:tc>
          <w:tcPr>
            <w:tcW w:w="1890" w:type="dxa"/>
          </w:tcPr>
          <w:p w:rsidR="00537E4D" w:rsidRPr="00F80864" w:rsidRDefault="00537E4D" w:rsidP="008A1B96">
            <w:r w:rsidRPr="00F80864">
              <w:t>EU</w:t>
            </w:r>
          </w:p>
        </w:tc>
        <w:tc>
          <w:tcPr>
            <w:tcW w:w="6830" w:type="dxa"/>
          </w:tcPr>
          <w:p w:rsidR="00537E4D" w:rsidRPr="00F80864" w:rsidRDefault="00537E4D" w:rsidP="008A1B96">
            <w:r w:rsidRPr="00F80864">
              <w:t>European Union</w:t>
            </w:r>
          </w:p>
        </w:tc>
      </w:tr>
      <w:tr w:rsidR="00537E4D" w:rsidRPr="00F80864" w:rsidTr="008A1B96">
        <w:tc>
          <w:tcPr>
            <w:tcW w:w="1890" w:type="dxa"/>
          </w:tcPr>
          <w:p w:rsidR="00537E4D" w:rsidRPr="00F80864" w:rsidRDefault="00537E4D" w:rsidP="008A1B96">
            <w:r w:rsidRPr="00F80864">
              <w:t>ET</w:t>
            </w:r>
          </w:p>
        </w:tc>
        <w:tc>
          <w:tcPr>
            <w:tcW w:w="6830" w:type="dxa"/>
          </w:tcPr>
          <w:p w:rsidR="00537E4D" w:rsidRPr="00F80864" w:rsidRDefault="00537E4D" w:rsidP="008A1B96">
            <w:r w:rsidRPr="00F80864">
              <w:t>Early termination</w:t>
            </w:r>
          </w:p>
        </w:tc>
      </w:tr>
      <w:tr w:rsidR="00537E4D" w:rsidRPr="00F80864" w:rsidTr="008A1B96">
        <w:tc>
          <w:tcPr>
            <w:tcW w:w="1890" w:type="dxa"/>
          </w:tcPr>
          <w:p w:rsidR="00537E4D" w:rsidRPr="00F80864" w:rsidRDefault="00537E4D" w:rsidP="008A1B96">
            <w:r w:rsidRPr="00F80864">
              <w:t>GCP</w:t>
            </w:r>
          </w:p>
        </w:tc>
        <w:tc>
          <w:tcPr>
            <w:tcW w:w="6830" w:type="dxa"/>
          </w:tcPr>
          <w:p w:rsidR="00537E4D" w:rsidRPr="00F80864" w:rsidRDefault="00537E4D" w:rsidP="008A1B96">
            <w:r w:rsidRPr="00F80864">
              <w:t>Good clinical practice</w:t>
            </w:r>
          </w:p>
        </w:tc>
      </w:tr>
      <w:tr w:rsidR="00537E4D" w:rsidRPr="00F80864" w:rsidTr="008A1B96">
        <w:tc>
          <w:tcPr>
            <w:tcW w:w="1890" w:type="dxa"/>
          </w:tcPr>
          <w:p w:rsidR="00537E4D" w:rsidRPr="00F80864" w:rsidRDefault="00537E4D" w:rsidP="008A1B96">
            <w:r>
              <w:t>HCP</w:t>
            </w:r>
          </w:p>
        </w:tc>
        <w:tc>
          <w:tcPr>
            <w:tcW w:w="6830" w:type="dxa"/>
          </w:tcPr>
          <w:p w:rsidR="00537E4D" w:rsidRPr="00F80864" w:rsidRDefault="00537E4D" w:rsidP="008A1B96">
            <w:r w:rsidRPr="00F80864">
              <w:t>Health care provider</w:t>
            </w:r>
          </w:p>
        </w:tc>
      </w:tr>
      <w:tr w:rsidR="00537E4D" w:rsidRPr="00F80864" w:rsidTr="008A1B96">
        <w:tc>
          <w:tcPr>
            <w:tcW w:w="1890" w:type="dxa"/>
          </w:tcPr>
          <w:p w:rsidR="00537E4D" w:rsidRPr="00F80864" w:rsidRDefault="00537E4D" w:rsidP="008A1B96">
            <w:r>
              <w:t>HSTCL</w:t>
            </w:r>
          </w:p>
        </w:tc>
        <w:tc>
          <w:tcPr>
            <w:tcW w:w="6830" w:type="dxa"/>
          </w:tcPr>
          <w:p w:rsidR="00537E4D" w:rsidRPr="00F80864" w:rsidRDefault="00537E4D" w:rsidP="008A1B96">
            <w:proofErr w:type="spellStart"/>
            <w:r w:rsidRPr="00F80864">
              <w:t>Hepatosplenic</w:t>
            </w:r>
            <w:proofErr w:type="spellEnd"/>
            <w:r w:rsidRPr="00F80864">
              <w:t xml:space="preserve"> T-cell lymphoma</w:t>
            </w:r>
          </w:p>
        </w:tc>
      </w:tr>
      <w:tr w:rsidR="00537E4D" w:rsidRPr="00F80864" w:rsidTr="008A1B96">
        <w:tc>
          <w:tcPr>
            <w:tcW w:w="1890" w:type="dxa"/>
          </w:tcPr>
          <w:p w:rsidR="00537E4D" w:rsidRPr="00F80864" w:rsidRDefault="00537E4D" w:rsidP="008A1B96">
            <w:r>
              <w:t>IgG1</w:t>
            </w:r>
          </w:p>
        </w:tc>
        <w:tc>
          <w:tcPr>
            <w:tcW w:w="6830" w:type="dxa"/>
          </w:tcPr>
          <w:p w:rsidR="00537E4D" w:rsidRPr="00F80864" w:rsidRDefault="00537E4D" w:rsidP="008A1B96">
            <w:r w:rsidRPr="00F80864">
              <w:t>Human immunoglobulin</w:t>
            </w:r>
          </w:p>
        </w:tc>
      </w:tr>
      <w:tr w:rsidR="00537E4D" w:rsidRPr="00F80864" w:rsidTr="008A1B96">
        <w:tc>
          <w:tcPr>
            <w:tcW w:w="1890" w:type="dxa"/>
          </w:tcPr>
          <w:p w:rsidR="00537E4D" w:rsidRPr="00F80864" w:rsidRDefault="00537E4D" w:rsidP="008A1B96">
            <w:r w:rsidRPr="00F80864">
              <w:t>ICH</w:t>
            </w:r>
          </w:p>
        </w:tc>
        <w:tc>
          <w:tcPr>
            <w:tcW w:w="6830" w:type="dxa"/>
          </w:tcPr>
          <w:p w:rsidR="00537E4D" w:rsidRPr="00F80864" w:rsidRDefault="00537E4D" w:rsidP="008A1B96">
            <w:r w:rsidRPr="00F80864">
              <w:t>International Conference on Harmonisation</w:t>
            </w:r>
          </w:p>
        </w:tc>
      </w:tr>
      <w:tr w:rsidR="00537E4D" w:rsidRPr="00F80864" w:rsidTr="008A1B96">
        <w:tc>
          <w:tcPr>
            <w:tcW w:w="1890" w:type="dxa"/>
          </w:tcPr>
          <w:p w:rsidR="00537E4D" w:rsidRPr="00F80864" w:rsidRDefault="00537E4D" w:rsidP="008A1B96">
            <w:r w:rsidRPr="00F80864">
              <w:t>ILAR</w:t>
            </w:r>
          </w:p>
        </w:tc>
        <w:tc>
          <w:tcPr>
            <w:tcW w:w="6830" w:type="dxa"/>
          </w:tcPr>
          <w:p w:rsidR="00537E4D" w:rsidRPr="00F80864" w:rsidRDefault="00537E4D" w:rsidP="008A1B96">
            <w:r w:rsidRPr="00F80864">
              <w:t>International League o</w:t>
            </w:r>
            <w:r>
              <w:t>f Associations for Rheumatology</w:t>
            </w:r>
          </w:p>
        </w:tc>
      </w:tr>
      <w:tr w:rsidR="00537E4D" w:rsidRPr="00F80864" w:rsidTr="008A1B96">
        <w:tc>
          <w:tcPr>
            <w:tcW w:w="1890" w:type="dxa"/>
          </w:tcPr>
          <w:p w:rsidR="00537E4D" w:rsidRPr="00F80864" w:rsidRDefault="00537E4D" w:rsidP="008A1B96">
            <w:r>
              <w:t>ILD</w:t>
            </w:r>
          </w:p>
        </w:tc>
        <w:tc>
          <w:tcPr>
            <w:tcW w:w="6830" w:type="dxa"/>
          </w:tcPr>
          <w:p w:rsidR="00537E4D" w:rsidRPr="00F80864" w:rsidRDefault="00537E4D" w:rsidP="008A1B96">
            <w:r w:rsidRPr="00F80864">
              <w:t>Interstitial lung disease</w:t>
            </w:r>
          </w:p>
        </w:tc>
      </w:tr>
      <w:tr w:rsidR="00537E4D" w:rsidRPr="00F80864" w:rsidTr="008A1B96">
        <w:tc>
          <w:tcPr>
            <w:tcW w:w="1890" w:type="dxa"/>
          </w:tcPr>
          <w:p w:rsidR="00537E4D" w:rsidRPr="00F80864" w:rsidRDefault="00537E4D" w:rsidP="008A1B96">
            <w:r>
              <w:t>IRB</w:t>
            </w:r>
          </w:p>
        </w:tc>
        <w:tc>
          <w:tcPr>
            <w:tcW w:w="6830" w:type="dxa"/>
          </w:tcPr>
          <w:p w:rsidR="00537E4D" w:rsidRPr="00F80864" w:rsidRDefault="00537E4D" w:rsidP="008A1B96">
            <w:r w:rsidRPr="00F80864">
              <w:t>Institutional Review Board</w:t>
            </w:r>
          </w:p>
        </w:tc>
      </w:tr>
      <w:tr w:rsidR="00537E4D" w:rsidRPr="00F80864" w:rsidTr="008A1B96">
        <w:tc>
          <w:tcPr>
            <w:tcW w:w="1890" w:type="dxa"/>
          </w:tcPr>
          <w:p w:rsidR="00537E4D" w:rsidRPr="00F80864" w:rsidRDefault="00537E4D" w:rsidP="008A1B96">
            <w:r>
              <w:t>JADAS</w:t>
            </w:r>
          </w:p>
        </w:tc>
        <w:tc>
          <w:tcPr>
            <w:tcW w:w="6830" w:type="dxa"/>
          </w:tcPr>
          <w:p w:rsidR="00537E4D" w:rsidRPr="00F80864" w:rsidRDefault="00537E4D" w:rsidP="008A1B96">
            <w:r w:rsidRPr="00F80864">
              <w:t>Juvenile Arthritis Disease Activity Score</w:t>
            </w:r>
          </w:p>
        </w:tc>
      </w:tr>
      <w:tr w:rsidR="00537E4D" w:rsidRPr="00F80864" w:rsidTr="008A1B96">
        <w:tc>
          <w:tcPr>
            <w:tcW w:w="1890" w:type="dxa"/>
          </w:tcPr>
          <w:p w:rsidR="00537E4D" w:rsidRPr="00F80864" w:rsidRDefault="00537E4D" w:rsidP="008A1B96">
            <w:r>
              <w:t>JIA</w:t>
            </w:r>
          </w:p>
        </w:tc>
        <w:tc>
          <w:tcPr>
            <w:tcW w:w="6830" w:type="dxa"/>
          </w:tcPr>
          <w:p w:rsidR="00537E4D" w:rsidRPr="00F80864" w:rsidRDefault="00537E4D" w:rsidP="008A1B96">
            <w:r w:rsidRPr="00F80864">
              <w:t>Juvenile idiopathic arthritis</w:t>
            </w:r>
          </w:p>
        </w:tc>
      </w:tr>
      <w:tr w:rsidR="00537E4D" w:rsidRPr="00F80864" w:rsidTr="008A1B96">
        <w:tc>
          <w:tcPr>
            <w:tcW w:w="1890" w:type="dxa"/>
          </w:tcPr>
          <w:p w:rsidR="00537E4D" w:rsidRPr="00F80864" w:rsidRDefault="00537E4D" w:rsidP="008A1B96">
            <w:r w:rsidRPr="00F80864">
              <w:t>JRA</w:t>
            </w:r>
          </w:p>
        </w:tc>
        <w:tc>
          <w:tcPr>
            <w:tcW w:w="6830" w:type="dxa"/>
          </w:tcPr>
          <w:p w:rsidR="00537E4D" w:rsidRPr="00F80864" w:rsidRDefault="00537E4D" w:rsidP="008A1B96">
            <w:r w:rsidRPr="00F80864">
              <w:t>Juvenile rheumatoid arthritis</w:t>
            </w:r>
          </w:p>
        </w:tc>
      </w:tr>
      <w:tr w:rsidR="00537E4D" w:rsidRPr="00F80864" w:rsidTr="008A1B96">
        <w:tc>
          <w:tcPr>
            <w:tcW w:w="1890" w:type="dxa"/>
          </w:tcPr>
          <w:p w:rsidR="00537E4D" w:rsidRPr="00F80864" w:rsidRDefault="00537E4D" w:rsidP="008A1B96">
            <w:r w:rsidRPr="00F80864">
              <w:t>LFT</w:t>
            </w:r>
          </w:p>
        </w:tc>
        <w:tc>
          <w:tcPr>
            <w:tcW w:w="6830" w:type="dxa"/>
          </w:tcPr>
          <w:p w:rsidR="00537E4D" w:rsidRPr="00F80864" w:rsidRDefault="00537E4D" w:rsidP="008A1B96">
            <w:r w:rsidRPr="00F80864">
              <w:t>Liver function tests</w:t>
            </w:r>
          </w:p>
        </w:tc>
      </w:tr>
      <w:tr w:rsidR="00537E4D" w:rsidRPr="00F80864" w:rsidTr="008A1B96">
        <w:tc>
          <w:tcPr>
            <w:tcW w:w="1890" w:type="dxa"/>
          </w:tcPr>
          <w:p w:rsidR="00537E4D" w:rsidRPr="00F80864" w:rsidRDefault="00537E4D" w:rsidP="008A1B96">
            <w:r>
              <w:t>LOM</w:t>
            </w:r>
          </w:p>
        </w:tc>
        <w:tc>
          <w:tcPr>
            <w:tcW w:w="6830" w:type="dxa"/>
          </w:tcPr>
          <w:p w:rsidR="00537E4D" w:rsidRPr="00F80864" w:rsidRDefault="00537E4D" w:rsidP="008A1B96">
            <w:r w:rsidRPr="00F80864">
              <w:t>Limitation of Passive Motion Joint Count</w:t>
            </w:r>
          </w:p>
        </w:tc>
      </w:tr>
      <w:tr w:rsidR="00537E4D" w:rsidRPr="00F80864" w:rsidTr="008A1B96">
        <w:tc>
          <w:tcPr>
            <w:tcW w:w="1890" w:type="dxa"/>
          </w:tcPr>
          <w:p w:rsidR="00537E4D" w:rsidRPr="00F80864" w:rsidRDefault="00537E4D" w:rsidP="008A1B96">
            <w:r>
              <w:t>MedDRA</w:t>
            </w:r>
          </w:p>
        </w:tc>
        <w:tc>
          <w:tcPr>
            <w:tcW w:w="6830" w:type="dxa"/>
          </w:tcPr>
          <w:p w:rsidR="00537E4D" w:rsidRPr="00F80864" w:rsidRDefault="00537E4D" w:rsidP="008A1B96">
            <w:r w:rsidRPr="00F80864">
              <w:t>Medical Dictionary for Regulatory Activities</w:t>
            </w:r>
          </w:p>
        </w:tc>
      </w:tr>
      <w:tr w:rsidR="00537E4D" w:rsidRPr="00F80864" w:rsidTr="008A1B96">
        <w:tc>
          <w:tcPr>
            <w:tcW w:w="1890" w:type="dxa"/>
          </w:tcPr>
          <w:p w:rsidR="00537E4D" w:rsidRPr="00F80864" w:rsidRDefault="00537E4D" w:rsidP="008A1B96">
            <w:r>
              <w:t>MI</w:t>
            </w:r>
          </w:p>
        </w:tc>
        <w:tc>
          <w:tcPr>
            <w:tcW w:w="6830" w:type="dxa"/>
          </w:tcPr>
          <w:p w:rsidR="00537E4D" w:rsidRPr="00F80864" w:rsidRDefault="00537E4D" w:rsidP="008A1B96">
            <w:r w:rsidRPr="00F80864">
              <w:t>Myocardial infarction</w:t>
            </w:r>
          </w:p>
        </w:tc>
      </w:tr>
      <w:tr w:rsidR="00537E4D" w:rsidRPr="00F80864" w:rsidTr="008A1B96">
        <w:tc>
          <w:tcPr>
            <w:tcW w:w="1890" w:type="dxa"/>
          </w:tcPr>
          <w:p w:rsidR="00537E4D" w:rsidRPr="00F80864" w:rsidRDefault="00537E4D" w:rsidP="008A1B96">
            <w:r>
              <w:t>MTX</w:t>
            </w:r>
          </w:p>
        </w:tc>
        <w:tc>
          <w:tcPr>
            <w:tcW w:w="6830" w:type="dxa"/>
          </w:tcPr>
          <w:p w:rsidR="00537E4D" w:rsidRPr="00F80864" w:rsidRDefault="00537E4D" w:rsidP="008A1B96">
            <w:r w:rsidRPr="00F80864">
              <w:t>Methotrexate</w:t>
            </w:r>
          </w:p>
        </w:tc>
      </w:tr>
      <w:tr w:rsidR="00537E4D" w:rsidRPr="00F80864" w:rsidTr="008A1B96">
        <w:tc>
          <w:tcPr>
            <w:tcW w:w="1890" w:type="dxa"/>
          </w:tcPr>
          <w:p w:rsidR="00537E4D" w:rsidRPr="00F80864" w:rsidRDefault="00537E4D" w:rsidP="008A1B96">
            <w:r>
              <w:t>NMSC</w:t>
            </w:r>
          </w:p>
        </w:tc>
        <w:tc>
          <w:tcPr>
            <w:tcW w:w="6830" w:type="dxa"/>
          </w:tcPr>
          <w:p w:rsidR="00537E4D" w:rsidRPr="00F80864" w:rsidRDefault="00537E4D" w:rsidP="008A1B96">
            <w:r w:rsidRPr="00F80864">
              <w:t>Non-melanoma skin cancer</w:t>
            </w:r>
          </w:p>
        </w:tc>
      </w:tr>
      <w:tr w:rsidR="00537E4D" w:rsidRPr="00F80864" w:rsidTr="008A1B96">
        <w:tc>
          <w:tcPr>
            <w:tcW w:w="1890" w:type="dxa"/>
          </w:tcPr>
          <w:p w:rsidR="00537E4D" w:rsidRPr="00F80864" w:rsidRDefault="00537E4D" w:rsidP="008A1B96">
            <w:r>
              <w:t>OL</w:t>
            </w:r>
          </w:p>
        </w:tc>
        <w:tc>
          <w:tcPr>
            <w:tcW w:w="6830" w:type="dxa"/>
          </w:tcPr>
          <w:p w:rsidR="00537E4D" w:rsidRPr="00F80864" w:rsidRDefault="00537E4D" w:rsidP="008A1B96">
            <w:r w:rsidRPr="00F80864">
              <w:t>Open-label</w:t>
            </w:r>
          </w:p>
        </w:tc>
      </w:tr>
      <w:tr w:rsidR="00537E4D" w:rsidRPr="00F80864" w:rsidTr="008A1B96">
        <w:tc>
          <w:tcPr>
            <w:tcW w:w="1890" w:type="dxa"/>
          </w:tcPr>
          <w:p w:rsidR="00537E4D" w:rsidRPr="00F80864" w:rsidRDefault="00537E4D" w:rsidP="008A1B96">
            <w:proofErr w:type="spellStart"/>
            <w:r>
              <w:t>PedACR</w:t>
            </w:r>
            <w:proofErr w:type="spellEnd"/>
          </w:p>
        </w:tc>
        <w:tc>
          <w:tcPr>
            <w:tcW w:w="6830" w:type="dxa"/>
          </w:tcPr>
          <w:p w:rsidR="00537E4D" w:rsidRPr="00F80864" w:rsidRDefault="00537E4D" w:rsidP="008A1B96">
            <w:proofErr w:type="spellStart"/>
            <w:r w:rsidRPr="00F80864">
              <w:t>Pediatric</w:t>
            </w:r>
            <w:proofErr w:type="spellEnd"/>
            <w:r w:rsidRPr="00F80864">
              <w:t xml:space="preserve"> A</w:t>
            </w:r>
            <w:r>
              <w:t>merican College of Rheumatology</w:t>
            </w:r>
          </w:p>
        </w:tc>
      </w:tr>
      <w:tr w:rsidR="00537E4D" w:rsidRPr="00F80864" w:rsidTr="008A1B96">
        <w:tc>
          <w:tcPr>
            <w:tcW w:w="1890" w:type="dxa"/>
          </w:tcPr>
          <w:p w:rsidR="00537E4D" w:rsidRPr="00F80864" w:rsidRDefault="00537E4D" w:rsidP="008A1B96">
            <w:r w:rsidRPr="00F80864">
              <w:t>PGA</w:t>
            </w:r>
          </w:p>
        </w:tc>
        <w:tc>
          <w:tcPr>
            <w:tcW w:w="6830" w:type="dxa"/>
          </w:tcPr>
          <w:p w:rsidR="00537E4D" w:rsidRPr="00F80864" w:rsidRDefault="00537E4D" w:rsidP="008A1B96">
            <w:r w:rsidRPr="00F80864">
              <w:t>Physician's global assessment</w:t>
            </w:r>
          </w:p>
        </w:tc>
      </w:tr>
      <w:tr w:rsidR="00537E4D" w:rsidRPr="00F80864" w:rsidTr="008A1B96">
        <w:tc>
          <w:tcPr>
            <w:tcW w:w="1890" w:type="dxa"/>
          </w:tcPr>
          <w:p w:rsidR="00537E4D" w:rsidRPr="00F80864" w:rsidRDefault="00537E4D" w:rsidP="008A1B96">
            <w:r w:rsidRPr="00F80864">
              <w:t>PK</w:t>
            </w:r>
          </w:p>
        </w:tc>
        <w:tc>
          <w:tcPr>
            <w:tcW w:w="6830" w:type="dxa"/>
          </w:tcPr>
          <w:p w:rsidR="00537E4D" w:rsidRPr="00F80864" w:rsidRDefault="00537E4D" w:rsidP="008A1B96">
            <w:r>
              <w:t>Pharmacokinetics</w:t>
            </w:r>
          </w:p>
        </w:tc>
      </w:tr>
      <w:tr w:rsidR="00537E4D" w:rsidRPr="00F80864" w:rsidTr="008A1B96">
        <w:tc>
          <w:tcPr>
            <w:tcW w:w="1890" w:type="dxa"/>
          </w:tcPr>
          <w:p w:rsidR="00537E4D" w:rsidRPr="00F80864" w:rsidRDefault="00537E4D" w:rsidP="008A1B96">
            <w:r>
              <w:t>POM</w:t>
            </w:r>
          </w:p>
        </w:tc>
        <w:tc>
          <w:tcPr>
            <w:tcW w:w="6830" w:type="dxa"/>
          </w:tcPr>
          <w:p w:rsidR="00537E4D" w:rsidRPr="00F80864" w:rsidRDefault="00537E4D" w:rsidP="008A1B96">
            <w:r w:rsidRPr="00F80864">
              <w:t>Pain on Passive Motion Joint Count</w:t>
            </w:r>
          </w:p>
        </w:tc>
      </w:tr>
      <w:tr w:rsidR="00537E4D" w:rsidRPr="00F80864" w:rsidTr="008A1B96">
        <w:tc>
          <w:tcPr>
            <w:tcW w:w="1890" w:type="dxa"/>
          </w:tcPr>
          <w:p w:rsidR="00537E4D" w:rsidRPr="00F80864" w:rsidRDefault="00537E4D" w:rsidP="008A1B96">
            <w:r w:rsidRPr="00F80864">
              <w:t>PPD</w:t>
            </w:r>
          </w:p>
        </w:tc>
        <w:tc>
          <w:tcPr>
            <w:tcW w:w="6830" w:type="dxa"/>
          </w:tcPr>
          <w:p w:rsidR="00537E4D" w:rsidRPr="00F80864" w:rsidRDefault="00537E4D" w:rsidP="008A1B96">
            <w:r>
              <w:t>Purified protein derivative</w:t>
            </w:r>
          </w:p>
        </w:tc>
      </w:tr>
      <w:tr w:rsidR="00537E4D" w:rsidRPr="00F80864" w:rsidTr="008A1B96">
        <w:tc>
          <w:tcPr>
            <w:tcW w:w="1890" w:type="dxa"/>
          </w:tcPr>
          <w:p w:rsidR="00537E4D" w:rsidRPr="00F80864" w:rsidRDefault="00537E4D" w:rsidP="008A1B96">
            <w:r>
              <w:lastRenderedPageBreak/>
              <w:t>PT</w:t>
            </w:r>
          </w:p>
        </w:tc>
        <w:tc>
          <w:tcPr>
            <w:tcW w:w="6830" w:type="dxa"/>
          </w:tcPr>
          <w:p w:rsidR="00537E4D" w:rsidRPr="00F80864" w:rsidRDefault="00537E4D" w:rsidP="008A1B96">
            <w:r w:rsidRPr="00F80864">
              <w:t>Preferred Term</w:t>
            </w:r>
          </w:p>
        </w:tc>
      </w:tr>
      <w:tr w:rsidR="00537E4D" w:rsidRPr="00F80864" w:rsidTr="008A1B96">
        <w:tc>
          <w:tcPr>
            <w:tcW w:w="1890" w:type="dxa"/>
          </w:tcPr>
          <w:p w:rsidR="00537E4D" w:rsidRPr="00F80864" w:rsidRDefault="00537E4D" w:rsidP="008A1B96">
            <w:r>
              <w:t>PYs</w:t>
            </w:r>
          </w:p>
        </w:tc>
        <w:tc>
          <w:tcPr>
            <w:tcW w:w="6830" w:type="dxa"/>
          </w:tcPr>
          <w:p w:rsidR="00537E4D" w:rsidRPr="00F80864" w:rsidRDefault="00537E4D" w:rsidP="008A1B96">
            <w:r w:rsidRPr="00F80864">
              <w:t>Patient-years</w:t>
            </w:r>
          </w:p>
        </w:tc>
      </w:tr>
      <w:tr w:rsidR="00537E4D" w:rsidRPr="00F80864" w:rsidTr="008A1B96">
        <w:tc>
          <w:tcPr>
            <w:tcW w:w="1890" w:type="dxa"/>
          </w:tcPr>
          <w:p w:rsidR="00537E4D" w:rsidRPr="00F80864" w:rsidRDefault="00537E4D" w:rsidP="008A1B96">
            <w:r>
              <w:t>RA</w:t>
            </w:r>
          </w:p>
        </w:tc>
        <w:tc>
          <w:tcPr>
            <w:tcW w:w="6830" w:type="dxa"/>
          </w:tcPr>
          <w:p w:rsidR="00537E4D" w:rsidRPr="00F80864" w:rsidRDefault="00537E4D" w:rsidP="008A1B96">
            <w:r w:rsidRPr="00F80864">
              <w:t>Rheumatoid arthritis</w:t>
            </w:r>
          </w:p>
        </w:tc>
      </w:tr>
      <w:tr w:rsidR="00537E4D" w:rsidRPr="00F80864" w:rsidTr="008A1B96">
        <w:tc>
          <w:tcPr>
            <w:tcW w:w="1890" w:type="dxa"/>
          </w:tcPr>
          <w:p w:rsidR="00537E4D" w:rsidRPr="00F80864" w:rsidRDefault="00537E4D" w:rsidP="008A1B96">
            <w:r>
              <w:t>RBC</w:t>
            </w:r>
          </w:p>
        </w:tc>
        <w:tc>
          <w:tcPr>
            <w:tcW w:w="6830" w:type="dxa"/>
          </w:tcPr>
          <w:p w:rsidR="00537E4D" w:rsidRPr="00F80864" w:rsidRDefault="00537E4D" w:rsidP="008A1B96">
            <w:r w:rsidRPr="00F80864">
              <w:t>Red blood cell</w:t>
            </w:r>
          </w:p>
        </w:tc>
      </w:tr>
      <w:tr w:rsidR="00537E4D" w:rsidRPr="00F80864" w:rsidTr="008A1B96">
        <w:tc>
          <w:tcPr>
            <w:tcW w:w="1890" w:type="dxa"/>
          </w:tcPr>
          <w:p w:rsidR="00537E4D" w:rsidRPr="00F80864" w:rsidRDefault="00537E4D" w:rsidP="008A1B96">
            <w:r>
              <w:t>RF</w:t>
            </w:r>
          </w:p>
        </w:tc>
        <w:tc>
          <w:tcPr>
            <w:tcW w:w="6830" w:type="dxa"/>
          </w:tcPr>
          <w:p w:rsidR="00537E4D" w:rsidRPr="00F80864" w:rsidRDefault="00537E4D" w:rsidP="008A1B96">
            <w:r w:rsidRPr="00F80864">
              <w:t>Rheumatoid factor</w:t>
            </w:r>
          </w:p>
        </w:tc>
      </w:tr>
      <w:tr w:rsidR="00537E4D" w:rsidRPr="00F80864" w:rsidTr="008A1B96">
        <w:tc>
          <w:tcPr>
            <w:tcW w:w="1890" w:type="dxa"/>
          </w:tcPr>
          <w:p w:rsidR="00537E4D" w:rsidRPr="00F80864" w:rsidRDefault="00537E4D" w:rsidP="008A1B96">
            <w:r>
              <w:t>SAE</w:t>
            </w:r>
          </w:p>
        </w:tc>
        <w:tc>
          <w:tcPr>
            <w:tcW w:w="6830" w:type="dxa"/>
          </w:tcPr>
          <w:p w:rsidR="00537E4D" w:rsidRPr="00F80864" w:rsidRDefault="00537E4D" w:rsidP="008A1B96">
            <w:r w:rsidRPr="00F80864">
              <w:t>Serious adverse event</w:t>
            </w:r>
          </w:p>
        </w:tc>
      </w:tr>
      <w:tr w:rsidR="00537E4D" w:rsidRPr="00F80864" w:rsidTr="008A1B96">
        <w:tc>
          <w:tcPr>
            <w:tcW w:w="1890" w:type="dxa"/>
          </w:tcPr>
          <w:p w:rsidR="00537E4D" w:rsidRPr="00F80864" w:rsidRDefault="00537E4D" w:rsidP="008A1B96">
            <w:r w:rsidRPr="00F80864">
              <w:t>SC</w:t>
            </w:r>
          </w:p>
        </w:tc>
        <w:tc>
          <w:tcPr>
            <w:tcW w:w="6830" w:type="dxa"/>
          </w:tcPr>
          <w:p w:rsidR="00537E4D" w:rsidRPr="00F80864" w:rsidRDefault="00537E4D" w:rsidP="008A1B96">
            <w:r>
              <w:t>Subcutaneous</w:t>
            </w:r>
          </w:p>
        </w:tc>
      </w:tr>
      <w:tr w:rsidR="00537E4D" w:rsidRPr="00F80864" w:rsidTr="008A1B96">
        <w:tc>
          <w:tcPr>
            <w:tcW w:w="1890" w:type="dxa"/>
          </w:tcPr>
          <w:p w:rsidR="00537E4D" w:rsidRPr="00F80864" w:rsidRDefault="00537E4D" w:rsidP="008A1B96">
            <w:r w:rsidRPr="00F80864">
              <w:t>SD</w:t>
            </w:r>
          </w:p>
        </w:tc>
        <w:tc>
          <w:tcPr>
            <w:tcW w:w="6830" w:type="dxa"/>
          </w:tcPr>
          <w:p w:rsidR="00537E4D" w:rsidRPr="00F80864" w:rsidRDefault="00537E4D" w:rsidP="008A1B96">
            <w:r w:rsidRPr="00F80864">
              <w:t>Standard deviation</w:t>
            </w:r>
          </w:p>
        </w:tc>
      </w:tr>
      <w:tr w:rsidR="00537E4D" w:rsidRPr="00F80864" w:rsidTr="008A1B96">
        <w:tc>
          <w:tcPr>
            <w:tcW w:w="1890" w:type="dxa"/>
          </w:tcPr>
          <w:p w:rsidR="00537E4D" w:rsidRPr="00F80864" w:rsidRDefault="00537E4D" w:rsidP="008A1B96">
            <w:r>
              <w:t>SJC</w:t>
            </w:r>
          </w:p>
        </w:tc>
        <w:tc>
          <w:tcPr>
            <w:tcW w:w="6830" w:type="dxa"/>
          </w:tcPr>
          <w:p w:rsidR="00537E4D" w:rsidRPr="00F80864" w:rsidRDefault="00537E4D" w:rsidP="008A1B96">
            <w:r w:rsidRPr="00F80864">
              <w:t>Swollen Joint Count</w:t>
            </w:r>
          </w:p>
        </w:tc>
      </w:tr>
      <w:tr w:rsidR="00537E4D" w:rsidRPr="00F80864" w:rsidTr="008A1B96">
        <w:tc>
          <w:tcPr>
            <w:tcW w:w="1890" w:type="dxa"/>
          </w:tcPr>
          <w:p w:rsidR="00537E4D" w:rsidRPr="00F80864" w:rsidRDefault="00537E4D" w:rsidP="008A1B96">
            <w:r>
              <w:t>SOC</w:t>
            </w:r>
          </w:p>
        </w:tc>
        <w:tc>
          <w:tcPr>
            <w:tcW w:w="6830" w:type="dxa"/>
          </w:tcPr>
          <w:p w:rsidR="00537E4D" w:rsidRPr="00F80864" w:rsidRDefault="00537E4D" w:rsidP="008A1B96">
            <w:r w:rsidRPr="00F80864">
              <w:t>System Organ Class</w:t>
            </w:r>
          </w:p>
        </w:tc>
      </w:tr>
      <w:tr w:rsidR="00537E4D" w:rsidRPr="00F80864" w:rsidTr="008A1B96">
        <w:tc>
          <w:tcPr>
            <w:tcW w:w="1890" w:type="dxa"/>
          </w:tcPr>
          <w:p w:rsidR="00537E4D" w:rsidRPr="00F80864" w:rsidRDefault="00537E4D" w:rsidP="008A1B96">
            <w:r>
              <w:t>TEAE</w:t>
            </w:r>
          </w:p>
        </w:tc>
        <w:tc>
          <w:tcPr>
            <w:tcW w:w="6830" w:type="dxa"/>
          </w:tcPr>
          <w:p w:rsidR="00537E4D" w:rsidRPr="00F80864" w:rsidRDefault="00537E4D" w:rsidP="008A1B96">
            <w:r w:rsidRPr="00F80864">
              <w:t>Treatment-emergent adverse event</w:t>
            </w:r>
          </w:p>
        </w:tc>
      </w:tr>
      <w:tr w:rsidR="00537E4D" w:rsidRPr="00F80864" w:rsidTr="008A1B96">
        <w:tc>
          <w:tcPr>
            <w:tcW w:w="1890" w:type="dxa"/>
          </w:tcPr>
          <w:p w:rsidR="00537E4D" w:rsidRPr="00F80864" w:rsidRDefault="00537E4D" w:rsidP="008A1B96">
            <w:r>
              <w:t>TB</w:t>
            </w:r>
          </w:p>
        </w:tc>
        <w:tc>
          <w:tcPr>
            <w:tcW w:w="6830" w:type="dxa"/>
          </w:tcPr>
          <w:p w:rsidR="00537E4D" w:rsidRPr="00F80864" w:rsidRDefault="00537E4D" w:rsidP="008A1B96">
            <w:r w:rsidRPr="00F80864">
              <w:t>Tuberculosis</w:t>
            </w:r>
          </w:p>
        </w:tc>
      </w:tr>
      <w:tr w:rsidR="00537E4D" w:rsidRPr="00F80864" w:rsidTr="008A1B96">
        <w:tc>
          <w:tcPr>
            <w:tcW w:w="1890" w:type="dxa"/>
          </w:tcPr>
          <w:p w:rsidR="00537E4D" w:rsidRPr="00F80864" w:rsidRDefault="00537E4D" w:rsidP="008A1B96">
            <w:r>
              <w:t>TI</w:t>
            </w:r>
          </w:p>
        </w:tc>
        <w:tc>
          <w:tcPr>
            <w:tcW w:w="6830" w:type="dxa"/>
          </w:tcPr>
          <w:p w:rsidR="00537E4D" w:rsidRPr="00F80864" w:rsidRDefault="00537E4D" w:rsidP="008A1B96">
            <w:r w:rsidRPr="00F80864">
              <w:t>Treatment interruption</w:t>
            </w:r>
          </w:p>
        </w:tc>
      </w:tr>
      <w:tr w:rsidR="00537E4D" w:rsidRPr="00F80864" w:rsidTr="008A1B96">
        <w:tc>
          <w:tcPr>
            <w:tcW w:w="1890" w:type="dxa"/>
          </w:tcPr>
          <w:p w:rsidR="00537E4D" w:rsidRPr="00F80864" w:rsidRDefault="00537E4D" w:rsidP="008A1B96">
            <w:r>
              <w:t>TJC</w:t>
            </w:r>
          </w:p>
        </w:tc>
        <w:tc>
          <w:tcPr>
            <w:tcW w:w="6830" w:type="dxa"/>
          </w:tcPr>
          <w:p w:rsidR="00537E4D" w:rsidRPr="00F80864" w:rsidRDefault="00537E4D" w:rsidP="008A1B96">
            <w:r w:rsidRPr="00F80864">
              <w:t>Tender Joint Count</w:t>
            </w:r>
          </w:p>
        </w:tc>
      </w:tr>
      <w:tr w:rsidR="00537E4D" w:rsidRPr="00F80864" w:rsidTr="008A1B96">
        <w:tc>
          <w:tcPr>
            <w:tcW w:w="1890" w:type="dxa"/>
          </w:tcPr>
          <w:p w:rsidR="00537E4D" w:rsidRPr="00F80864" w:rsidRDefault="00537E4D" w:rsidP="008A1B96">
            <w:r>
              <w:t>TNF</w:t>
            </w:r>
          </w:p>
        </w:tc>
        <w:tc>
          <w:tcPr>
            <w:tcW w:w="6830" w:type="dxa"/>
          </w:tcPr>
          <w:p w:rsidR="00537E4D" w:rsidRPr="00F80864" w:rsidRDefault="00537E4D" w:rsidP="008A1B96">
            <w:r w:rsidRPr="00F80864">
              <w:t>Tumor necrosis factor</w:t>
            </w:r>
          </w:p>
        </w:tc>
      </w:tr>
      <w:tr w:rsidR="00537E4D" w:rsidRPr="00F80864" w:rsidTr="008A1B96">
        <w:tc>
          <w:tcPr>
            <w:tcW w:w="1890" w:type="dxa"/>
          </w:tcPr>
          <w:p w:rsidR="00537E4D" w:rsidRPr="00F80864" w:rsidRDefault="00537E4D" w:rsidP="008A1B96">
            <w:r>
              <w:t>ULN</w:t>
            </w:r>
          </w:p>
        </w:tc>
        <w:tc>
          <w:tcPr>
            <w:tcW w:w="6830" w:type="dxa"/>
          </w:tcPr>
          <w:p w:rsidR="00537E4D" w:rsidRPr="00F80864" w:rsidRDefault="00537E4D" w:rsidP="008A1B96">
            <w:r w:rsidRPr="00F80864">
              <w:t>Upper limit of normal</w:t>
            </w:r>
          </w:p>
        </w:tc>
      </w:tr>
      <w:tr w:rsidR="00537E4D" w:rsidRPr="00F80864" w:rsidTr="008A1B96">
        <w:tc>
          <w:tcPr>
            <w:tcW w:w="1890" w:type="dxa"/>
          </w:tcPr>
          <w:p w:rsidR="00537E4D" w:rsidRPr="00F80864" w:rsidRDefault="00537E4D" w:rsidP="008A1B96">
            <w:r>
              <w:t>US</w:t>
            </w:r>
          </w:p>
        </w:tc>
        <w:tc>
          <w:tcPr>
            <w:tcW w:w="6830" w:type="dxa"/>
          </w:tcPr>
          <w:p w:rsidR="00537E4D" w:rsidRPr="00F80864" w:rsidRDefault="00537E4D" w:rsidP="008A1B96">
            <w:r w:rsidRPr="00F80864">
              <w:t>United States</w:t>
            </w:r>
          </w:p>
        </w:tc>
      </w:tr>
      <w:tr w:rsidR="00537E4D" w:rsidRPr="00F80864" w:rsidTr="008A1B96">
        <w:tc>
          <w:tcPr>
            <w:tcW w:w="1890" w:type="dxa"/>
          </w:tcPr>
          <w:p w:rsidR="00537E4D" w:rsidRPr="00F80864" w:rsidRDefault="00537E4D" w:rsidP="008A1B96">
            <w:r>
              <w:t>VAS</w:t>
            </w:r>
          </w:p>
        </w:tc>
        <w:tc>
          <w:tcPr>
            <w:tcW w:w="6830" w:type="dxa"/>
          </w:tcPr>
          <w:p w:rsidR="00537E4D" w:rsidRPr="00F80864" w:rsidRDefault="00537E4D" w:rsidP="008A1B96">
            <w:r w:rsidRPr="00F80864">
              <w:t xml:space="preserve">Visual </w:t>
            </w:r>
            <w:proofErr w:type="spellStart"/>
            <w:r w:rsidRPr="00F80864">
              <w:t>analog</w:t>
            </w:r>
            <w:proofErr w:type="spellEnd"/>
            <w:r w:rsidRPr="00F80864">
              <w:t xml:space="preserve"> scale</w:t>
            </w:r>
          </w:p>
        </w:tc>
      </w:tr>
      <w:tr w:rsidR="00537E4D" w:rsidRPr="00F80864" w:rsidTr="008A1B96">
        <w:tc>
          <w:tcPr>
            <w:tcW w:w="1890" w:type="dxa"/>
          </w:tcPr>
          <w:p w:rsidR="00537E4D" w:rsidRPr="00F80864" w:rsidRDefault="00537E4D" w:rsidP="008A1B96">
            <w:r>
              <w:t>WBC</w:t>
            </w:r>
          </w:p>
        </w:tc>
        <w:tc>
          <w:tcPr>
            <w:tcW w:w="6830" w:type="dxa"/>
          </w:tcPr>
          <w:p w:rsidR="00537E4D" w:rsidRPr="00F80864" w:rsidRDefault="00537E4D" w:rsidP="008A1B96">
            <w:r w:rsidRPr="00F80864">
              <w:t>White blood cell</w:t>
            </w:r>
          </w:p>
        </w:tc>
      </w:tr>
    </w:tbl>
    <w:p w:rsidR="008E7846" w:rsidRDefault="00F53C07" w:rsidP="008A1B96">
      <w:pPr>
        <w:pStyle w:val="Heading2"/>
        <w:pageBreakBefore/>
        <w:spacing w:before="120"/>
      </w:pPr>
      <w:bookmarkStart w:id="8" w:name="_Toc438563990"/>
      <w:r>
        <w:lastRenderedPageBreak/>
        <w:t>I.</w:t>
      </w:r>
      <w:r w:rsidR="008E7846">
        <w:t xml:space="preserve"> </w:t>
      </w:r>
      <w:r w:rsidR="008E7846" w:rsidRPr="008A1B96">
        <w:t>Introduction</w:t>
      </w:r>
      <w:r w:rsidR="008E7846">
        <w:t xml:space="preserve"> to product submission</w:t>
      </w:r>
      <w:bookmarkEnd w:id="8"/>
      <w:bookmarkEnd w:id="2"/>
      <w:bookmarkEnd w:id="0"/>
    </w:p>
    <w:p w:rsidR="008E7846" w:rsidRDefault="008E7846" w:rsidP="008A1B96">
      <w:pPr>
        <w:pStyle w:val="Heading3"/>
        <w:spacing w:before="360"/>
        <w:rPr>
          <w:lang w:eastAsia="en-AU"/>
        </w:rPr>
      </w:pPr>
      <w:bookmarkStart w:id="9" w:name="_Toc247691502"/>
      <w:bookmarkStart w:id="10" w:name="_Toc314842483"/>
      <w:bookmarkStart w:id="11" w:name="_Toc438563991"/>
      <w:r>
        <w:rPr>
          <w:lang w:eastAsia="en-AU"/>
        </w:rPr>
        <w:t xml:space="preserve">Submission </w:t>
      </w:r>
      <w:r w:rsidRPr="008A1B96">
        <w:t>details</w:t>
      </w:r>
      <w:bookmarkEnd w:id="9"/>
      <w:bookmarkEnd w:id="10"/>
      <w:bookmarkEnd w:id="11"/>
    </w:p>
    <w:tbl>
      <w:tblPr>
        <w:tblW w:w="9497" w:type="dxa"/>
        <w:tblInd w:w="108" w:type="dxa"/>
        <w:tblLook w:val="01E0" w:firstRow="1" w:lastRow="1" w:firstColumn="1" w:lastColumn="1" w:noHBand="0" w:noVBand="0"/>
      </w:tblPr>
      <w:tblGrid>
        <w:gridCol w:w="2907"/>
        <w:gridCol w:w="6307"/>
        <w:gridCol w:w="283"/>
      </w:tblGrid>
      <w:tr w:rsidR="008E7846" w:rsidRPr="003D1E62" w:rsidTr="00BE74F3">
        <w:trPr>
          <w:trHeight w:hRule="exact" w:val="454"/>
        </w:trPr>
        <w:tc>
          <w:tcPr>
            <w:tcW w:w="2907" w:type="dxa"/>
          </w:tcPr>
          <w:p w:rsidR="008E7846" w:rsidRPr="003D1E62" w:rsidRDefault="001B5C90" w:rsidP="001B5C90">
            <w:pPr>
              <w:rPr>
                <w:i/>
              </w:rPr>
            </w:pPr>
            <w:r>
              <w:rPr>
                <w:i/>
              </w:rPr>
              <w:t>Type of s</w:t>
            </w:r>
            <w:r w:rsidR="008E7846" w:rsidRPr="003D1E62">
              <w:rPr>
                <w:i/>
              </w:rPr>
              <w:t>ubmission</w:t>
            </w:r>
            <w:r>
              <w:rPr>
                <w:i/>
              </w:rPr>
              <w:t>:</w:t>
            </w:r>
          </w:p>
        </w:tc>
        <w:tc>
          <w:tcPr>
            <w:tcW w:w="6590" w:type="dxa"/>
            <w:gridSpan w:val="2"/>
          </w:tcPr>
          <w:p w:rsidR="008E7846" w:rsidRPr="003D1E62" w:rsidRDefault="00452AF0" w:rsidP="001B5C90">
            <w:r>
              <w:rPr>
                <w:rFonts w:asciiTheme="minorHAnsi" w:hAnsiTheme="minorHAnsi"/>
              </w:rPr>
              <w:t>Extension of indications</w:t>
            </w:r>
          </w:p>
        </w:tc>
      </w:tr>
      <w:tr w:rsidR="008E7846" w:rsidRPr="003D1E62" w:rsidTr="00BE74F3">
        <w:trPr>
          <w:trHeight w:hRule="exact" w:val="454"/>
        </w:trPr>
        <w:tc>
          <w:tcPr>
            <w:tcW w:w="2907" w:type="dxa"/>
          </w:tcPr>
          <w:p w:rsidR="008E7846" w:rsidRPr="003D1E62" w:rsidRDefault="008E7846" w:rsidP="003D1E62">
            <w:r w:rsidRPr="003D1E62">
              <w:rPr>
                <w:i/>
              </w:rPr>
              <w:t>Decision</w:t>
            </w:r>
            <w:r w:rsidRPr="003D1E62">
              <w:t>:</w:t>
            </w:r>
          </w:p>
        </w:tc>
        <w:tc>
          <w:tcPr>
            <w:tcW w:w="6590" w:type="dxa"/>
            <w:gridSpan w:val="2"/>
          </w:tcPr>
          <w:p w:rsidR="008E7846" w:rsidRPr="003D1E62" w:rsidRDefault="008E7846" w:rsidP="00452AF0">
            <w:r w:rsidRPr="003D1E62">
              <w:t xml:space="preserve">Approved </w:t>
            </w:r>
          </w:p>
        </w:tc>
      </w:tr>
      <w:tr w:rsidR="008E7846" w:rsidRPr="003D1E62" w:rsidTr="00BE74F3">
        <w:trPr>
          <w:trHeight w:hRule="exact" w:val="454"/>
        </w:trPr>
        <w:tc>
          <w:tcPr>
            <w:tcW w:w="2907" w:type="dxa"/>
          </w:tcPr>
          <w:p w:rsidR="008E7846" w:rsidRPr="003D1E62" w:rsidRDefault="008E7846" w:rsidP="001B5C90">
            <w:pPr>
              <w:rPr>
                <w:i/>
              </w:rPr>
            </w:pPr>
            <w:r w:rsidRPr="003D1E62">
              <w:rPr>
                <w:i/>
              </w:rPr>
              <w:t xml:space="preserve">Date of </w:t>
            </w:r>
            <w:r w:rsidR="001B5C90">
              <w:rPr>
                <w:i/>
              </w:rPr>
              <w:t>d</w:t>
            </w:r>
            <w:r w:rsidRPr="003D1E62">
              <w:rPr>
                <w:i/>
              </w:rPr>
              <w:t>ecision:</w:t>
            </w:r>
          </w:p>
        </w:tc>
        <w:tc>
          <w:tcPr>
            <w:tcW w:w="6590" w:type="dxa"/>
            <w:gridSpan w:val="2"/>
          </w:tcPr>
          <w:p w:rsidR="008E7846" w:rsidRPr="003D1E62" w:rsidRDefault="00BE74F3" w:rsidP="001B5C90">
            <w:r>
              <w:t>14 May 2015</w:t>
            </w:r>
          </w:p>
        </w:tc>
      </w:tr>
      <w:tr w:rsidR="00ED2922" w:rsidRPr="003D1E62" w:rsidTr="00BE74F3">
        <w:trPr>
          <w:trHeight w:hRule="exact" w:val="454"/>
        </w:trPr>
        <w:tc>
          <w:tcPr>
            <w:tcW w:w="2907" w:type="dxa"/>
          </w:tcPr>
          <w:p w:rsidR="00ED2922" w:rsidRPr="00441C3F" w:rsidRDefault="00ED2922" w:rsidP="001B5C90">
            <w:pPr>
              <w:rPr>
                <w:i/>
              </w:rPr>
            </w:pPr>
            <w:r w:rsidRPr="00441C3F">
              <w:rPr>
                <w:i/>
              </w:rPr>
              <w:t>Date of entry onto ARTG</w:t>
            </w:r>
          </w:p>
        </w:tc>
        <w:tc>
          <w:tcPr>
            <w:tcW w:w="6590" w:type="dxa"/>
            <w:gridSpan w:val="2"/>
          </w:tcPr>
          <w:p w:rsidR="00ED2922" w:rsidRPr="00BE74F3" w:rsidRDefault="00211C2A" w:rsidP="00EC463D">
            <w:pPr>
              <w:rPr>
                <w:i/>
                <w:highlight w:val="yellow"/>
              </w:rPr>
            </w:pPr>
            <w:r w:rsidRPr="00211C2A">
              <w:t>25 May 2015</w:t>
            </w:r>
          </w:p>
        </w:tc>
      </w:tr>
      <w:tr w:rsidR="008E7846" w:rsidRPr="00487162" w:rsidTr="00BE74F3">
        <w:trPr>
          <w:gridAfter w:val="1"/>
          <w:wAfter w:w="283" w:type="dxa"/>
        </w:trPr>
        <w:tc>
          <w:tcPr>
            <w:tcW w:w="2907" w:type="dxa"/>
          </w:tcPr>
          <w:p w:rsidR="008E7846" w:rsidRPr="00487162" w:rsidRDefault="001B5C90" w:rsidP="00E45619">
            <w:pPr>
              <w:rPr>
                <w:i/>
              </w:rPr>
            </w:pPr>
            <w:r>
              <w:rPr>
                <w:i/>
              </w:rPr>
              <w:t>Active ingredient(s):</w:t>
            </w:r>
          </w:p>
        </w:tc>
        <w:tc>
          <w:tcPr>
            <w:tcW w:w="6307" w:type="dxa"/>
          </w:tcPr>
          <w:p w:rsidR="008E7846" w:rsidRPr="00487162" w:rsidRDefault="00EC228C" w:rsidP="00E45619">
            <w:r>
              <w:t>Adalimumab (rch)</w:t>
            </w:r>
          </w:p>
        </w:tc>
      </w:tr>
      <w:tr w:rsidR="008E7846" w:rsidRPr="00487162" w:rsidTr="00BE74F3">
        <w:trPr>
          <w:gridAfter w:val="1"/>
          <w:wAfter w:w="283" w:type="dxa"/>
        </w:trPr>
        <w:tc>
          <w:tcPr>
            <w:tcW w:w="2907" w:type="dxa"/>
          </w:tcPr>
          <w:p w:rsidR="008E7846" w:rsidRPr="00487162" w:rsidRDefault="008E7846" w:rsidP="001B5C90">
            <w:pPr>
              <w:rPr>
                <w:i/>
              </w:rPr>
            </w:pPr>
            <w:r w:rsidRPr="00487162">
              <w:rPr>
                <w:i/>
              </w:rPr>
              <w:t>Product</w:t>
            </w:r>
            <w:r w:rsidR="001B5C90">
              <w:rPr>
                <w:i/>
              </w:rPr>
              <w:t xml:space="preserve"> name(s):</w:t>
            </w:r>
          </w:p>
        </w:tc>
        <w:tc>
          <w:tcPr>
            <w:tcW w:w="6307" w:type="dxa"/>
          </w:tcPr>
          <w:p w:rsidR="008E7846" w:rsidRPr="00487162" w:rsidRDefault="00EC228C" w:rsidP="00E45619">
            <w:proofErr w:type="spellStart"/>
            <w:r>
              <w:t>Humira</w:t>
            </w:r>
            <w:proofErr w:type="spellEnd"/>
          </w:p>
        </w:tc>
      </w:tr>
      <w:tr w:rsidR="008E7846" w:rsidRPr="00487162" w:rsidTr="00BE74F3">
        <w:trPr>
          <w:gridAfter w:val="1"/>
          <w:wAfter w:w="283" w:type="dxa"/>
        </w:trPr>
        <w:tc>
          <w:tcPr>
            <w:tcW w:w="2907" w:type="dxa"/>
          </w:tcPr>
          <w:p w:rsidR="008E7846" w:rsidRPr="00487162" w:rsidRDefault="008E7846" w:rsidP="001B5C90">
            <w:pPr>
              <w:rPr>
                <w:i/>
              </w:rPr>
            </w:pPr>
            <w:r w:rsidRPr="00487162">
              <w:rPr>
                <w:i/>
              </w:rPr>
              <w:t xml:space="preserve">Sponsor’s </w:t>
            </w:r>
            <w:r w:rsidR="001B5C90">
              <w:rPr>
                <w:i/>
              </w:rPr>
              <w:t>n</w:t>
            </w:r>
            <w:r w:rsidRPr="00487162">
              <w:rPr>
                <w:i/>
              </w:rPr>
              <w:t xml:space="preserve">ame and </w:t>
            </w:r>
            <w:r w:rsidR="001B5C90">
              <w:rPr>
                <w:i/>
              </w:rPr>
              <w:t>a</w:t>
            </w:r>
            <w:r w:rsidRPr="00487162">
              <w:rPr>
                <w:i/>
              </w:rPr>
              <w:t>ddress:</w:t>
            </w:r>
          </w:p>
        </w:tc>
        <w:tc>
          <w:tcPr>
            <w:tcW w:w="6307" w:type="dxa"/>
          </w:tcPr>
          <w:p w:rsidR="008E7846" w:rsidRDefault="00EC228C" w:rsidP="00E45619">
            <w:r w:rsidRPr="00EC228C">
              <w:t>AbbVie P</w:t>
            </w:r>
            <w:r w:rsidR="000A0BDC">
              <w:t>ty Ltd</w:t>
            </w:r>
          </w:p>
          <w:p w:rsidR="00C546BC" w:rsidRPr="00487162" w:rsidRDefault="00C546BC" w:rsidP="00C546BC">
            <w:r>
              <w:t>Locked Bag 5029, Botany NSW 1455</w:t>
            </w:r>
          </w:p>
        </w:tc>
      </w:tr>
      <w:tr w:rsidR="008E7846" w:rsidRPr="00487162" w:rsidTr="00BE74F3">
        <w:trPr>
          <w:gridAfter w:val="1"/>
          <w:wAfter w:w="283" w:type="dxa"/>
        </w:trPr>
        <w:tc>
          <w:tcPr>
            <w:tcW w:w="2907" w:type="dxa"/>
          </w:tcPr>
          <w:p w:rsidR="008E7846" w:rsidRPr="00487162" w:rsidRDefault="001B5C90" w:rsidP="00E45619">
            <w:pPr>
              <w:rPr>
                <w:i/>
              </w:rPr>
            </w:pPr>
            <w:r>
              <w:rPr>
                <w:i/>
              </w:rPr>
              <w:t>Dose form(s):</w:t>
            </w:r>
          </w:p>
        </w:tc>
        <w:tc>
          <w:tcPr>
            <w:tcW w:w="6307" w:type="dxa"/>
          </w:tcPr>
          <w:p w:rsidR="008E7846" w:rsidRPr="00487162" w:rsidRDefault="0043155B" w:rsidP="0043155B">
            <w:r>
              <w:t>Solution for Injection</w:t>
            </w:r>
          </w:p>
        </w:tc>
      </w:tr>
      <w:tr w:rsidR="008E7846" w:rsidRPr="00487162" w:rsidTr="00BE74F3">
        <w:trPr>
          <w:gridAfter w:val="1"/>
          <w:wAfter w:w="283" w:type="dxa"/>
        </w:trPr>
        <w:tc>
          <w:tcPr>
            <w:tcW w:w="2907" w:type="dxa"/>
          </w:tcPr>
          <w:p w:rsidR="008E7846" w:rsidRPr="00487162" w:rsidRDefault="008E7846" w:rsidP="00E45619">
            <w:pPr>
              <w:rPr>
                <w:i/>
              </w:rPr>
            </w:pPr>
            <w:r w:rsidRPr="00487162">
              <w:rPr>
                <w:i/>
              </w:rPr>
              <w:t xml:space="preserve">Strength(s): </w:t>
            </w:r>
          </w:p>
        </w:tc>
        <w:tc>
          <w:tcPr>
            <w:tcW w:w="6307" w:type="dxa"/>
          </w:tcPr>
          <w:p w:rsidR="008E7846" w:rsidRPr="0043155B" w:rsidRDefault="00452AF0" w:rsidP="00BE74F3">
            <w:pPr>
              <w:rPr>
                <w:rFonts w:asciiTheme="minorHAnsi" w:hAnsiTheme="minorHAnsi"/>
              </w:rPr>
            </w:pPr>
            <w:r w:rsidRPr="00BE74F3">
              <w:rPr>
                <w:rFonts w:asciiTheme="minorHAnsi" w:hAnsiTheme="minorHAnsi"/>
              </w:rPr>
              <w:t>40</w:t>
            </w:r>
            <w:r w:rsidR="0043155B" w:rsidRPr="00BE74F3">
              <w:rPr>
                <w:rFonts w:asciiTheme="minorHAnsi" w:hAnsiTheme="minorHAnsi"/>
              </w:rPr>
              <w:t xml:space="preserve"> </w:t>
            </w:r>
            <w:r w:rsidRPr="00BE74F3">
              <w:rPr>
                <w:rFonts w:asciiTheme="minorHAnsi" w:hAnsiTheme="minorHAnsi"/>
              </w:rPr>
              <w:t>mg</w:t>
            </w:r>
            <w:r w:rsidR="00BE74F3">
              <w:rPr>
                <w:rFonts w:asciiTheme="minorHAnsi" w:hAnsiTheme="minorHAnsi"/>
              </w:rPr>
              <w:t>/</w:t>
            </w:r>
            <w:r w:rsidR="00BE74F3" w:rsidRPr="00BE74F3">
              <w:rPr>
                <w:rFonts w:asciiTheme="minorHAnsi" w:hAnsiTheme="minorHAnsi"/>
              </w:rPr>
              <w:t>0.8 mL</w:t>
            </w:r>
            <w:r w:rsidR="0043155B" w:rsidRPr="00BE74F3">
              <w:rPr>
                <w:rFonts w:asciiTheme="minorHAnsi" w:hAnsiTheme="minorHAnsi"/>
              </w:rPr>
              <w:t>, 20 mg</w:t>
            </w:r>
            <w:r w:rsidR="00BE74F3">
              <w:rPr>
                <w:rFonts w:asciiTheme="minorHAnsi" w:hAnsiTheme="minorHAnsi"/>
              </w:rPr>
              <w:t>/</w:t>
            </w:r>
            <w:r w:rsidR="00BE74F3" w:rsidRPr="00BE74F3">
              <w:rPr>
                <w:rFonts w:asciiTheme="minorHAnsi" w:hAnsiTheme="minorHAnsi"/>
              </w:rPr>
              <w:t xml:space="preserve">0.4 mL </w:t>
            </w:r>
            <w:r w:rsidR="00BE74F3">
              <w:rPr>
                <w:rFonts w:asciiTheme="minorHAnsi" w:hAnsiTheme="minorHAnsi"/>
              </w:rPr>
              <w:t>or</w:t>
            </w:r>
            <w:r w:rsidR="0043155B" w:rsidRPr="00BE74F3">
              <w:rPr>
                <w:rFonts w:asciiTheme="minorHAnsi" w:hAnsiTheme="minorHAnsi"/>
              </w:rPr>
              <w:t xml:space="preserve"> 10 mg</w:t>
            </w:r>
            <w:r w:rsidR="00BE74F3">
              <w:rPr>
                <w:rFonts w:asciiTheme="minorHAnsi" w:hAnsiTheme="minorHAnsi"/>
              </w:rPr>
              <w:t>/</w:t>
            </w:r>
            <w:r w:rsidR="00BE74F3" w:rsidRPr="00BE74F3">
              <w:rPr>
                <w:rFonts w:asciiTheme="minorHAnsi" w:hAnsiTheme="minorHAnsi"/>
              </w:rPr>
              <w:t xml:space="preserve">0.2 mL </w:t>
            </w:r>
          </w:p>
        </w:tc>
      </w:tr>
      <w:tr w:rsidR="008E7846" w:rsidRPr="00487162" w:rsidTr="00BE74F3">
        <w:trPr>
          <w:gridAfter w:val="1"/>
          <w:wAfter w:w="283" w:type="dxa"/>
        </w:trPr>
        <w:tc>
          <w:tcPr>
            <w:tcW w:w="2907" w:type="dxa"/>
          </w:tcPr>
          <w:p w:rsidR="008E7846" w:rsidRPr="00487162" w:rsidRDefault="008E7846" w:rsidP="00E45619">
            <w:pPr>
              <w:rPr>
                <w:i/>
              </w:rPr>
            </w:pPr>
            <w:r w:rsidRPr="00487162">
              <w:rPr>
                <w:i/>
              </w:rPr>
              <w:t>Container(s):</w:t>
            </w:r>
          </w:p>
        </w:tc>
        <w:tc>
          <w:tcPr>
            <w:tcW w:w="6307" w:type="dxa"/>
          </w:tcPr>
          <w:p w:rsidR="008E7846" w:rsidRPr="00487162" w:rsidRDefault="00BE74F3" w:rsidP="00BE74F3">
            <w:r>
              <w:t xml:space="preserve">10 and 20 mg in Pre-filled syringe only and 40 mg in </w:t>
            </w:r>
            <w:r w:rsidR="0043155B">
              <w:t>Vial, Pre-filled syringe or Pre-filled pen</w:t>
            </w:r>
            <w:r>
              <w:t>.</w:t>
            </w:r>
          </w:p>
        </w:tc>
      </w:tr>
      <w:tr w:rsidR="008E7846" w:rsidRPr="00487162" w:rsidTr="00BE74F3">
        <w:trPr>
          <w:gridAfter w:val="1"/>
          <w:wAfter w:w="283" w:type="dxa"/>
        </w:trPr>
        <w:tc>
          <w:tcPr>
            <w:tcW w:w="2907" w:type="dxa"/>
          </w:tcPr>
          <w:p w:rsidR="008E7846" w:rsidRPr="00487162" w:rsidRDefault="008E7846" w:rsidP="00E45619">
            <w:pPr>
              <w:rPr>
                <w:i/>
              </w:rPr>
            </w:pPr>
            <w:r w:rsidRPr="00487162">
              <w:rPr>
                <w:i/>
              </w:rPr>
              <w:t>Pack size(s):</w:t>
            </w:r>
          </w:p>
        </w:tc>
        <w:tc>
          <w:tcPr>
            <w:tcW w:w="6307" w:type="dxa"/>
          </w:tcPr>
          <w:p w:rsidR="008E7846" w:rsidRPr="00487162" w:rsidRDefault="00BB0034" w:rsidP="00BE74F3">
            <w:r>
              <w:t>10 and 20 mg in 2’s and 40 mg in 1, 2, 3, 4 or 6’s</w:t>
            </w:r>
          </w:p>
        </w:tc>
      </w:tr>
      <w:tr w:rsidR="008E7846" w:rsidRPr="00487162" w:rsidTr="00BE74F3">
        <w:trPr>
          <w:gridAfter w:val="1"/>
          <w:wAfter w:w="283" w:type="dxa"/>
        </w:trPr>
        <w:tc>
          <w:tcPr>
            <w:tcW w:w="2907" w:type="dxa"/>
          </w:tcPr>
          <w:p w:rsidR="008E7846" w:rsidRPr="00487162" w:rsidRDefault="008E7846" w:rsidP="001B5C90">
            <w:pPr>
              <w:rPr>
                <w:i/>
              </w:rPr>
            </w:pPr>
            <w:r w:rsidRPr="00487162">
              <w:rPr>
                <w:i/>
              </w:rPr>
              <w:t xml:space="preserve">Approved </w:t>
            </w:r>
            <w:r w:rsidR="001B5C90">
              <w:rPr>
                <w:i/>
              </w:rPr>
              <w:t>t</w:t>
            </w:r>
            <w:r w:rsidRPr="00487162">
              <w:rPr>
                <w:i/>
              </w:rPr>
              <w:t>herapeutic use:</w:t>
            </w:r>
          </w:p>
        </w:tc>
        <w:tc>
          <w:tcPr>
            <w:tcW w:w="6307" w:type="dxa"/>
          </w:tcPr>
          <w:p w:rsidR="00BE74F3" w:rsidRDefault="00BE74F3" w:rsidP="00BE74F3">
            <w:pPr>
              <w:tabs>
                <w:tab w:val="left" w:pos="0"/>
              </w:tabs>
              <w:autoSpaceDE w:val="0"/>
              <w:autoSpaceDN w:val="0"/>
              <w:rPr>
                <w:rFonts w:asciiTheme="minorHAnsi" w:hAnsiTheme="minorHAnsi"/>
                <w:i/>
              </w:rPr>
            </w:pPr>
            <w:r>
              <w:rPr>
                <w:rFonts w:asciiTheme="minorHAnsi" w:hAnsiTheme="minorHAnsi"/>
                <w:i/>
              </w:rPr>
              <w:t>Polyarticular Juvenile Idiopathic Arthritis</w:t>
            </w:r>
          </w:p>
          <w:p w:rsidR="008E7846" w:rsidRPr="00BE74F3" w:rsidRDefault="00BE74F3" w:rsidP="00BE74F3">
            <w:pPr>
              <w:tabs>
                <w:tab w:val="left" w:pos="0"/>
              </w:tabs>
              <w:autoSpaceDE w:val="0"/>
              <w:autoSpaceDN w:val="0"/>
              <w:rPr>
                <w:rFonts w:asciiTheme="minorHAnsi" w:hAnsiTheme="minorHAnsi"/>
                <w:i/>
              </w:rPr>
            </w:pPr>
            <w:proofErr w:type="spellStart"/>
            <w:r>
              <w:rPr>
                <w:rFonts w:asciiTheme="minorHAnsi" w:hAnsiTheme="minorHAnsi"/>
                <w:i/>
              </w:rPr>
              <w:t>Humira</w:t>
            </w:r>
            <w:proofErr w:type="spellEnd"/>
            <w:r>
              <w:rPr>
                <w:rFonts w:asciiTheme="minorHAnsi" w:hAnsiTheme="minorHAnsi"/>
                <w:i/>
              </w:rPr>
              <w:t xml:space="preserve"> in combination with methotrexate is indicated for reducing the signs and symptoms of moderately to severely active polyarticular juvenile idiopathic arthritis in patients 2 years of age and older who have had an inadequate response to one or more disease modifying anti-rheumatic drugs (DMARDs). </w:t>
            </w:r>
            <w:proofErr w:type="spellStart"/>
            <w:r>
              <w:rPr>
                <w:rFonts w:asciiTheme="minorHAnsi" w:hAnsiTheme="minorHAnsi"/>
                <w:i/>
              </w:rPr>
              <w:t>Humira</w:t>
            </w:r>
            <w:proofErr w:type="spellEnd"/>
            <w:r>
              <w:rPr>
                <w:rFonts w:asciiTheme="minorHAnsi" w:hAnsiTheme="minorHAnsi"/>
                <w:i/>
              </w:rPr>
              <w:t xml:space="preserve"> can be given as monotherapy in case of intolerance to methotrexate or when continued treatment with methotrexate is inappropriate.</w:t>
            </w:r>
          </w:p>
        </w:tc>
      </w:tr>
      <w:tr w:rsidR="008E7846" w:rsidRPr="00487162" w:rsidTr="00BE74F3">
        <w:trPr>
          <w:gridAfter w:val="1"/>
          <w:wAfter w:w="283" w:type="dxa"/>
        </w:trPr>
        <w:tc>
          <w:tcPr>
            <w:tcW w:w="2907" w:type="dxa"/>
          </w:tcPr>
          <w:p w:rsidR="008E7846" w:rsidRPr="00487162" w:rsidRDefault="008E7846" w:rsidP="00E45619">
            <w:pPr>
              <w:rPr>
                <w:i/>
              </w:rPr>
            </w:pPr>
            <w:r w:rsidRPr="00487162">
              <w:rPr>
                <w:i/>
              </w:rPr>
              <w:t>Route(s) of administration:</w:t>
            </w:r>
          </w:p>
        </w:tc>
        <w:tc>
          <w:tcPr>
            <w:tcW w:w="6307" w:type="dxa"/>
          </w:tcPr>
          <w:p w:rsidR="008E7846" w:rsidRPr="00487162" w:rsidRDefault="00BB0034" w:rsidP="00E45619">
            <w:r>
              <w:t>Subcutaneous (SC)</w:t>
            </w:r>
            <w:r w:rsidR="00BE74F3">
              <w:t xml:space="preserve"> injection</w:t>
            </w:r>
          </w:p>
        </w:tc>
      </w:tr>
      <w:tr w:rsidR="008E7846" w:rsidRPr="00487162" w:rsidTr="00BE74F3">
        <w:trPr>
          <w:gridAfter w:val="1"/>
          <w:wAfter w:w="283" w:type="dxa"/>
        </w:trPr>
        <w:tc>
          <w:tcPr>
            <w:tcW w:w="2907" w:type="dxa"/>
          </w:tcPr>
          <w:p w:rsidR="008E7846" w:rsidRPr="00487162" w:rsidRDefault="008E7846" w:rsidP="00E45619">
            <w:pPr>
              <w:rPr>
                <w:i/>
              </w:rPr>
            </w:pPr>
            <w:r w:rsidRPr="00487162">
              <w:rPr>
                <w:i/>
              </w:rPr>
              <w:t>Dosage:</w:t>
            </w:r>
          </w:p>
        </w:tc>
        <w:tc>
          <w:tcPr>
            <w:tcW w:w="6307" w:type="dxa"/>
          </w:tcPr>
          <w:p w:rsidR="008E7846" w:rsidRDefault="00BE74F3" w:rsidP="00BE74F3">
            <w:r w:rsidRPr="00BE74F3">
              <w:t xml:space="preserve">The recommended dose of </w:t>
            </w:r>
            <w:proofErr w:type="spellStart"/>
            <w:r w:rsidRPr="00BE74F3">
              <w:t>Humira</w:t>
            </w:r>
            <w:proofErr w:type="spellEnd"/>
            <w:r w:rsidRPr="00BE74F3">
              <w:t xml:space="preserve"> for patients 2 years of age and older with polyarticular juvenile idiopathic arthritis is based on weight as shown below. Methotrexate, glucocorticoids, NSAIDs and/or analgesics may be continued during treatment with </w:t>
            </w:r>
            <w:proofErr w:type="spellStart"/>
            <w:r w:rsidRPr="00BE74F3">
              <w:t>Humira</w:t>
            </w:r>
            <w:proofErr w:type="spellEnd"/>
            <w:r w:rsidRPr="00BE74F3">
              <w:t>.</w:t>
            </w:r>
          </w:p>
          <w:tbl>
            <w:tblPr>
              <w:tblStyle w:val="TableTGAblue"/>
              <w:tblW w:w="0" w:type="auto"/>
              <w:tblLook w:val="0020" w:firstRow="1" w:lastRow="0" w:firstColumn="0" w:lastColumn="0" w:noHBand="0" w:noVBand="0"/>
            </w:tblPr>
            <w:tblGrid>
              <w:gridCol w:w="1798"/>
              <w:gridCol w:w="4273"/>
            </w:tblGrid>
            <w:tr w:rsidR="00BE74F3" w:rsidRPr="008A1B96" w:rsidTr="008A1B96">
              <w:trPr>
                <w:cnfStyle w:val="100000000000" w:firstRow="1" w:lastRow="0" w:firstColumn="0" w:lastColumn="0" w:oddVBand="0" w:evenVBand="0" w:oddHBand="0" w:evenHBand="0" w:firstRowFirstColumn="0" w:firstRowLastColumn="0" w:lastRowFirstColumn="0" w:lastRowLastColumn="0"/>
                <w:trHeight w:val="305"/>
              </w:trPr>
              <w:tc>
                <w:tcPr>
                  <w:tcW w:w="1800" w:type="dxa"/>
                </w:tcPr>
                <w:p w:rsidR="00BE74F3" w:rsidRPr="008A1B96" w:rsidRDefault="008A1B96" w:rsidP="008A1B96">
                  <w:pPr>
                    <w:spacing w:before="0" w:after="0" w:line="40" w:lineRule="atLeast"/>
                    <w:ind w:left="0" w:right="0"/>
                    <w:rPr>
                      <w:sz w:val="18"/>
                      <w:szCs w:val="18"/>
                    </w:rPr>
                  </w:pPr>
                  <w:r w:rsidRPr="008A1B96">
                    <w:rPr>
                      <w:sz w:val="18"/>
                      <w:szCs w:val="18"/>
                    </w:rPr>
                    <w:t>Paediatric Patients</w:t>
                  </w:r>
                </w:p>
                <w:p w:rsidR="00BE74F3" w:rsidRPr="008A1B96" w:rsidRDefault="008A1B96" w:rsidP="008A1B96">
                  <w:pPr>
                    <w:spacing w:before="0" w:after="0" w:line="40" w:lineRule="atLeast"/>
                    <w:ind w:left="0" w:right="0"/>
                    <w:rPr>
                      <w:sz w:val="18"/>
                      <w:szCs w:val="18"/>
                    </w:rPr>
                  </w:pPr>
                  <w:r w:rsidRPr="008A1B96">
                    <w:rPr>
                      <w:sz w:val="18"/>
                      <w:szCs w:val="18"/>
                    </w:rPr>
                    <w:t>(2 years of age and older)</w:t>
                  </w:r>
                </w:p>
              </w:tc>
              <w:tc>
                <w:tcPr>
                  <w:tcW w:w="4281" w:type="dxa"/>
                </w:tcPr>
                <w:p w:rsidR="00BE74F3" w:rsidRPr="008A1B96" w:rsidRDefault="008A1B96" w:rsidP="008A1B96">
                  <w:pPr>
                    <w:spacing w:before="0" w:after="0" w:line="40" w:lineRule="atLeast"/>
                    <w:ind w:left="0" w:right="0"/>
                    <w:rPr>
                      <w:sz w:val="18"/>
                      <w:szCs w:val="18"/>
                    </w:rPr>
                  </w:pPr>
                  <w:r w:rsidRPr="008A1B96">
                    <w:rPr>
                      <w:sz w:val="18"/>
                      <w:szCs w:val="18"/>
                    </w:rPr>
                    <w:t>Dose</w:t>
                  </w:r>
                </w:p>
              </w:tc>
            </w:tr>
            <w:tr w:rsidR="00BE74F3" w:rsidRPr="008A1B96" w:rsidTr="008A1B96">
              <w:trPr>
                <w:trHeight w:val="299"/>
              </w:trPr>
              <w:tc>
                <w:tcPr>
                  <w:tcW w:w="1800" w:type="dxa"/>
                </w:tcPr>
                <w:p w:rsidR="00BE74F3" w:rsidRPr="008A1B96" w:rsidRDefault="00BE74F3" w:rsidP="008A1B96">
                  <w:pPr>
                    <w:spacing w:before="0" w:after="0" w:line="40" w:lineRule="atLeast"/>
                    <w:ind w:left="0" w:right="0"/>
                    <w:rPr>
                      <w:color w:val="000000"/>
                      <w:sz w:val="18"/>
                      <w:szCs w:val="18"/>
                    </w:rPr>
                  </w:pPr>
                  <w:r w:rsidRPr="008A1B96">
                    <w:rPr>
                      <w:color w:val="000000"/>
                      <w:sz w:val="18"/>
                      <w:szCs w:val="18"/>
                    </w:rPr>
                    <w:t xml:space="preserve">10 kg to &lt;15 kg </w:t>
                  </w:r>
                </w:p>
              </w:tc>
              <w:tc>
                <w:tcPr>
                  <w:tcW w:w="4281" w:type="dxa"/>
                </w:tcPr>
                <w:p w:rsidR="00BE74F3" w:rsidRPr="008A1B96" w:rsidRDefault="00BE74F3" w:rsidP="008A1B96">
                  <w:pPr>
                    <w:spacing w:before="0" w:after="0" w:line="40" w:lineRule="atLeast"/>
                    <w:ind w:left="0" w:right="0"/>
                    <w:rPr>
                      <w:color w:val="000000"/>
                      <w:sz w:val="18"/>
                      <w:szCs w:val="18"/>
                    </w:rPr>
                  </w:pPr>
                  <w:r w:rsidRPr="008A1B96">
                    <w:rPr>
                      <w:color w:val="000000"/>
                      <w:sz w:val="18"/>
                      <w:szCs w:val="18"/>
                    </w:rPr>
                    <w:t xml:space="preserve">10 mg fortnightly (10 mg Pre-filled Syringe) </w:t>
                  </w:r>
                </w:p>
              </w:tc>
            </w:tr>
            <w:tr w:rsidR="00BE74F3" w:rsidRPr="008A1B96" w:rsidTr="008A1B96">
              <w:trPr>
                <w:trHeight w:val="299"/>
              </w:trPr>
              <w:tc>
                <w:tcPr>
                  <w:tcW w:w="1800" w:type="dxa"/>
                </w:tcPr>
                <w:p w:rsidR="00BE74F3" w:rsidRPr="008A1B96" w:rsidRDefault="008A1B96" w:rsidP="008A1B96">
                  <w:pPr>
                    <w:spacing w:before="0" w:after="0" w:line="40" w:lineRule="atLeast"/>
                    <w:ind w:left="0" w:right="0"/>
                    <w:rPr>
                      <w:color w:val="000000"/>
                      <w:sz w:val="18"/>
                      <w:szCs w:val="18"/>
                    </w:rPr>
                  </w:pPr>
                  <w:r w:rsidRPr="008A1B96">
                    <w:rPr>
                      <w:color w:val="000000"/>
                      <w:sz w:val="18"/>
                      <w:szCs w:val="18"/>
                    </w:rPr>
                    <w:t>15 kg to &lt;30 kg</w:t>
                  </w:r>
                </w:p>
              </w:tc>
              <w:tc>
                <w:tcPr>
                  <w:tcW w:w="4281" w:type="dxa"/>
                </w:tcPr>
                <w:p w:rsidR="00BE74F3" w:rsidRPr="008A1B96" w:rsidRDefault="00BE74F3" w:rsidP="008A1B96">
                  <w:pPr>
                    <w:spacing w:before="0" w:after="0" w:line="40" w:lineRule="atLeast"/>
                    <w:ind w:left="0" w:right="0"/>
                    <w:rPr>
                      <w:color w:val="000000"/>
                      <w:sz w:val="18"/>
                      <w:szCs w:val="18"/>
                    </w:rPr>
                  </w:pPr>
                  <w:r w:rsidRPr="008A1B96">
                    <w:rPr>
                      <w:color w:val="000000"/>
                      <w:sz w:val="18"/>
                      <w:szCs w:val="18"/>
                    </w:rPr>
                    <w:t>20 mg fortnig</w:t>
                  </w:r>
                  <w:r w:rsidR="008A1B96" w:rsidRPr="008A1B96">
                    <w:rPr>
                      <w:color w:val="000000"/>
                      <w:sz w:val="18"/>
                      <w:szCs w:val="18"/>
                    </w:rPr>
                    <w:t>htly (20 mg Pre-filled Syringe)</w:t>
                  </w:r>
                </w:p>
              </w:tc>
            </w:tr>
            <w:tr w:rsidR="00BE74F3" w:rsidRPr="008A1B96" w:rsidTr="008A1B96">
              <w:trPr>
                <w:trHeight w:val="299"/>
              </w:trPr>
              <w:tc>
                <w:tcPr>
                  <w:tcW w:w="1800" w:type="dxa"/>
                </w:tcPr>
                <w:p w:rsidR="00BE74F3" w:rsidRPr="008A1B96" w:rsidRDefault="00974CDD" w:rsidP="008A1B96">
                  <w:pPr>
                    <w:spacing w:before="0" w:after="0" w:line="40" w:lineRule="atLeast"/>
                    <w:ind w:left="0" w:right="0"/>
                    <w:rPr>
                      <w:color w:val="000000"/>
                      <w:sz w:val="18"/>
                      <w:szCs w:val="18"/>
                    </w:rPr>
                  </w:pPr>
                  <w:r w:rsidRPr="008A1B96">
                    <w:rPr>
                      <w:sz w:val="18"/>
                      <w:szCs w:val="18"/>
                      <w:lang w:val="en-US"/>
                    </w:rPr>
                    <w:t>≥</w:t>
                  </w:r>
                  <w:r w:rsidR="00237330" w:rsidRPr="008A1B96">
                    <w:rPr>
                      <w:sz w:val="18"/>
                      <w:szCs w:val="18"/>
                      <w:lang w:val="en-US"/>
                    </w:rPr>
                    <w:t xml:space="preserve"> </w:t>
                  </w:r>
                  <w:r w:rsidR="008A1B96" w:rsidRPr="008A1B96">
                    <w:rPr>
                      <w:color w:val="000000"/>
                      <w:sz w:val="18"/>
                      <w:szCs w:val="18"/>
                    </w:rPr>
                    <w:t>30 kg</w:t>
                  </w:r>
                </w:p>
              </w:tc>
              <w:tc>
                <w:tcPr>
                  <w:tcW w:w="4281" w:type="dxa"/>
                </w:tcPr>
                <w:p w:rsidR="00BE74F3" w:rsidRPr="008A1B96" w:rsidRDefault="00BE74F3" w:rsidP="008A1B96">
                  <w:pPr>
                    <w:spacing w:before="0" w:after="0" w:line="40" w:lineRule="atLeast"/>
                    <w:ind w:left="0" w:right="0"/>
                    <w:rPr>
                      <w:color w:val="000000"/>
                      <w:sz w:val="18"/>
                      <w:szCs w:val="18"/>
                    </w:rPr>
                  </w:pPr>
                  <w:r w:rsidRPr="008A1B96">
                    <w:rPr>
                      <w:color w:val="000000"/>
                      <w:sz w:val="18"/>
                      <w:szCs w:val="18"/>
                    </w:rPr>
                    <w:t>40 mg fortnightly (</w:t>
                  </w:r>
                  <w:proofErr w:type="spellStart"/>
                  <w:r w:rsidRPr="008A1B96">
                    <w:rPr>
                      <w:color w:val="000000"/>
                      <w:sz w:val="18"/>
                      <w:szCs w:val="18"/>
                    </w:rPr>
                    <w:t>Humira</w:t>
                  </w:r>
                  <w:proofErr w:type="spellEnd"/>
                  <w:r w:rsidRPr="008A1B96">
                    <w:rPr>
                      <w:color w:val="000000"/>
                      <w:sz w:val="18"/>
                      <w:szCs w:val="18"/>
                    </w:rPr>
                    <w:t xml:space="preserve"> 40 mg P</w:t>
                  </w:r>
                  <w:r w:rsidR="008A1B96" w:rsidRPr="008A1B96">
                    <w:rPr>
                      <w:color w:val="000000"/>
                      <w:sz w:val="18"/>
                      <w:szCs w:val="18"/>
                    </w:rPr>
                    <w:t>en or 40 mg Pre-filled Syringe)</w:t>
                  </w:r>
                </w:p>
              </w:tc>
            </w:tr>
          </w:tbl>
          <w:p w:rsidR="00BE74F3" w:rsidRPr="00487162" w:rsidRDefault="00BE74F3" w:rsidP="00BE74F3"/>
        </w:tc>
      </w:tr>
      <w:tr w:rsidR="008E7846" w:rsidRPr="00487162" w:rsidTr="00BE74F3">
        <w:trPr>
          <w:gridAfter w:val="1"/>
          <w:wAfter w:w="283" w:type="dxa"/>
        </w:trPr>
        <w:tc>
          <w:tcPr>
            <w:tcW w:w="2907" w:type="dxa"/>
          </w:tcPr>
          <w:p w:rsidR="008E7846" w:rsidRPr="00487162" w:rsidRDefault="008E7846" w:rsidP="001B5C90">
            <w:pPr>
              <w:rPr>
                <w:i/>
              </w:rPr>
            </w:pPr>
            <w:r w:rsidRPr="00487162">
              <w:rPr>
                <w:i/>
              </w:rPr>
              <w:t xml:space="preserve">ARTG </w:t>
            </w:r>
            <w:r w:rsidR="001B5C90">
              <w:rPr>
                <w:i/>
              </w:rPr>
              <w:t>n</w:t>
            </w:r>
            <w:r w:rsidRPr="00487162">
              <w:rPr>
                <w:i/>
              </w:rPr>
              <w:t>umber (s)</w:t>
            </w:r>
            <w:r w:rsidR="001B5C90">
              <w:rPr>
                <w:i/>
              </w:rPr>
              <w:t>:</w:t>
            </w:r>
          </w:p>
        </w:tc>
        <w:tc>
          <w:tcPr>
            <w:tcW w:w="6307" w:type="dxa"/>
          </w:tcPr>
          <w:p w:rsidR="008E7846" w:rsidRPr="00487162" w:rsidRDefault="0043155B" w:rsidP="0043155B">
            <w:r>
              <w:rPr>
                <w:rFonts w:asciiTheme="minorHAnsi" w:hAnsiTheme="minorHAnsi"/>
              </w:rPr>
              <w:t>95779, 95780, 127116, 155315, 199410, 199411, 199412 and 216038</w:t>
            </w:r>
          </w:p>
        </w:tc>
      </w:tr>
    </w:tbl>
    <w:p w:rsidR="008E7846" w:rsidRDefault="008E7846" w:rsidP="005F01A3">
      <w:pPr>
        <w:pStyle w:val="Heading3"/>
      </w:pPr>
      <w:bookmarkStart w:id="12" w:name="_Toc247691503"/>
      <w:bookmarkStart w:id="13" w:name="_Toc314842484"/>
      <w:bookmarkStart w:id="14" w:name="_Toc438563992"/>
      <w:r>
        <w:lastRenderedPageBreak/>
        <w:t xml:space="preserve">Product </w:t>
      </w:r>
      <w:r w:rsidRPr="005F01A3">
        <w:t>background</w:t>
      </w:r>
      <w:bookmarkEnd w:id="12"/>
      <w:bookmarkEnd w:id="13"/>
      <w:bookmarkEnd w:id="14"/>
    </w:p>
    <w:p w:rsidR="00B7764D" w:rsidRDefault="00940A89" w:rsidP="005F01A3">
      <w:r w:rsidRPr="00940A89">
        <w:t xml:space="preserve">This AusPAR describes the application </w:t>
      </w:r>
      <w:r w:rsidR="00452AF0">
        <w:t>by AbbVie</w:t>
      </w:r>
      <w:r w:rsidR="00537E4D">
        <w:t xml:space="preserve">, the sponsor, </w:t>
      </w:r>
      <w:r w:rsidR="00452AF0">
        <w:t xml:space="preserve">to extend the indications of </w:t>
      </w:r>
      <w:proofErr w:type="spellStart"/>
      <w:r w:rsidR="00452AF0">
        <w:t>Humira</w:t>
      </w:r>
      <w:proofErr w:type="spellEnd"/>
      <w:r w:rsidR="00452AF0">
        <w:t xml:space="preserve"> (</w:t>
      </w:r>
      <w:proofErr w:type="spellStart"/>
      <w:r w:rsidR="00452AF0">
        <w:t>adalimumab</w:t>
      </w:r>
      <w:proofErr w:type="spellEnd"/>
      <w:r w:rsidR="00211C2A">
        <w:t xml:space="preserve"> </w:t>
      </w:r>
      <w:proofErr w:type="spellStart"/>
      <w:r w:rsidR="00211C2A">
        <w:t>rch</w:t>
      </w:r>
      <w:proofErr w:type="spellEnd"/>
      <w:r w:rsidR="00452AF0">
        <w:t>) for the treatment of polyarticular juvenile idiopathic arthritis (</w:t>
      </w:r>
      <w:proofErr w:type="spellStart"/>
      <w:r w:rsidR="00452AF0">
        <w:t>pJIA</w:t>
      </w:r>
      <w:proofErr w:type="spellEnd"/>
      <w:r w:rsidR="00452AF0">
        <w:t>) from patients 4 years of age and older to patients 2 years of age and older.</w:t>
      </w:r>
    </w:p>
    <w:p w:rsidR="00537E4D" w:rsidRDefault="00537E4D" w:rsidP="00537E4D">
      <w:proofErr w:type="spellStart"/>
      <w:r>
        <w:t>Humira</w:t>
      </w:r>
      <w:proofErr w:type="spellEnd"/>
      <w:r>
        <w:t xml:space="preserve"> (</w:t>
      </w:r>
      <w:proofErr w:type="spellStart"/>
      <w:r>
        <w:t>adalimumab</w:t>
      </w:r>
      <w:proofErr w:type="spellEnd"/>
      <w:r w:rsidRPr="00B7764D">
        <w:rPr>
          <w:lang w:val="en-US"/>
        </w:rPr>
        <w:t xml:space="preserve"> </w:t>
      </w:r>
      <w:r>
        <w:rPr>
          <w:lang w:val="en-US"/>
        </w:rPr>
        <w:t>rch</w:t>
      </w:r>
      <w:r>
        <w:t>) is a Tumour Necrosis Factor (TNF</w:t>
      </w:r>
      <w:proofErr w:type="gramStart"/>
      <w:r>
        <w:t>)-</w:t>
      </w:r>
      <w:proofErr w:type="gramEnd"/>
      <w:r>
        <w:sym w:font="Symbol" w:char="F061"/>
      </w:r>
      <w:r>
        <w:t xml:space="preserve"> neutralising recombinant immunoglobulin (IgG</w:t>
      </w:r>
      <w:r>
        <w:rPr>
          <w:vertAlign w:val="subscript"/>
        </w:rPr>
        <w:t>1</w:t>
      </w:r>
      <w:r>
        <w:t xml:space="preserve">) monoclonal antibody containing only human peptide sequences. It binds to TNF and neutralises the biological function of TNF by blocking its interaction with the p55 and p75 cell surface receptors. </w:t>
      </w:r>
      <w:proofErr w:type="spellStart"/>
      <w:r>
        <w:t>Humira</w:t>
      </w:r>
      <w:proofErr w:type="spellEnd"/>
      <w:r>
        <w:t xml:space="preserve"> is produced in a mammalian cell expression system.</w:t>
      </w:r>
    </w:p>
    <w:p w:rsidR="00EC228C" w:rsidRDefault="00EC228C" w:rsidP="005F01A3">
      <w:pPr>
        <w:rPr>
          <w:lang w:val="en-US"/>
        </w:rPr>
      </w:pPr>
      <w:r>
        <w:rPr>
          <w:lang w:val="en-US"/>
        </w:rPr>
        <w:t>The currently approved indications are:</w:t>
      </w:r>
    </w:p>
    <w:p w:rsidR="00EC228C" w:rsidRPr="005F01A3" w:rsidRDefault="00EC228C" w:rsidP="005F01A3">
      <w:pPr>
        <w:ind w:left="567"/>
        <w:rPr>
          <w:i/>
          <w:lang w:val="en-US"/>
        </w:rPr>
      </w:pPr>
      <w:r w:rsidRPr="005F01A3">
        <w:rPr>
          <w:i/>
          <w:lang w:val="en-US"/>
        </w:rPr>
        <w:t>Polyarticular Juvenile Idiopathic Arthritis</w:t>
      </w:r>
    </w:p>
    <w:p w:rsidR="00EC228C" w:rsidRPr="005F01A3" w:rsidRDefault="00EC228C" w:rsidP="005F01A3">
      <w:pPr>
        <w:ind w:left="567"/>
        <w:rPr>
          <w:i/>
          <w:lang w:val="en-US"/>
        </w:rPr>
      </w:pPr>
      <w:proofErr w:type="spellStart"/>
      <w:r w:rsidRPr="005F01A3">
        <w:rPr>
          <w:i/>
          <w:lang w:val="en-US"/>
        </w:rPr>
        <w:t>Humira</w:t>
      </w:r>
      <w:proofErr w:type="spellEnd"/>
      <w:r w:rsidRPr="005F01A3">
        <w:rPr>
          <w:i/>
          <w:lang w:val="en-US"/>
        </w:rPr>
        <w:t xml:space="preserve"> in combination with methotrexate is indicated for reducing the signs and symptoms of moderately to severely active polyarticular juvenile idiopathic arthritis in patients aged 4 years of age and older. </w:t>
      </w:r>
      <w:proofErr w:type="spellStart"/>
      <w:r w:rsidRPr="005F01A3">
        <w:rPr>
          <w:i/>
          <w:lang w:val="en-US"/>
        </w:rPr>
        <w:t>Humira</w:t>
      </w:r>
      <w:proofErr w:type="spellEnd"/>
      <w:r w:rsidRPr="005F01A3">
        <w:rPr>
          <w:i/>
          <w:lang w:val="en-US"/>
        </w:rPr>
        <w:t xml:space="preserve"> can be given as monotherapy in case of intolerance or when continued treatment with methotrexate is inappropriate.</w:t>
      </w:r>
    </w:p>
    <w:p w:rsidR="00452AF0" w:rsidRDefault="00211C2A" w:rsidP="005F01A3">
      <w:r>
        <w:t>The sponsor has p</w:t>
      </w:r>
      <w:r w:rsidR="00452AF0">
        <w:t>roposed</w:t>
      </w:r>
      <w:r>
        <w:t xml:space="preserve"> the following indications in their application:</w:t>
      </w:r>
    </w:p>
    <w:p w:rsidR="00452AF0" w:rsidRPr="005F01A3" w:rsidRDefault="00452AF0" w:rsidP="005F01A3">
      <w:pPr>
        <w:ind w:left="567"/>
        <w:rPr>
          <w:i/>
        </w:rPr>
      </w:pPr>
      <w:r w:rsidRPr="005F01A3">
        <w:rPr>
          <w:i/>
        </w:rPr>
        <w:t>Polyarticular Juvenile Idiopathic Arthritis</w:t>
      </w:r>
    </w:p>
    <w:p w:rsidR="00452AF0" w:rsidRPr="005F01A3" w:rsidRDefault="00452AF0" w:rsidP="005F01A3">
      <w:pPr>
        <w:ind w:left="567"/>
        <w:rPr>
          <w:rFonts w:asciiTheme="minorHAnsi" w:hAnsiTheme="minorHAnsi"/>
          <w:i/>
          <w:lang w:val="en-US"/>
        </w:rPr>
      </w:pPr>
      <w:proofErr w:type="spellStart"/>
      <w:r w:rsidRPr="005F01A3">
        <w:rPr>
          <w:rFonts w:asciiTheme="minorHAnsi" w:hAnsiTheme="minorHAnsi"/>
          <w:i/>
          <w:lang w:val="en-US"/>
        </w:rPr>
        <w:t>Humira</w:t>
      </w:r>
      <w:proofErr w:type="spellEnd"/>
      <w:r w:rsidRPr="005F01A3">
        <w:rPr>
          <w:rFonts w:asciiTheme="minorHAnsi" w:hAnsiTheme="minorHAnsi"/>
          <w:i/>
          <w:lang w:val="en-US"/>
        </w:rPr>
        <w:t xml:space="preserve"> in combination with methotrexate is indicated for reducing the signs and symptoms of moderately to severely active polyarticular juvenile idiopathic arthritis in patients aged </w:t>
      </w:r>
      <w:r w:rsidRPr="005F01A3">
        <w:rPr>
          <w:rFonts w:asciiTheme="minorHAnsi" w:hAnsiTheme="minorHAnsi"/>
          <w:i/>
          <w:u w:val="single"/>
          <w:lang w:val="en-US"/>
        </w:rPr>
        <w:t>2</w:t>
      </w:r>
      <w:r w:rsidRPr="005F01A3">
        <w:rPr>
          <w:rFonts w:asciiTheme="minorHAnsi" w:hAnsiTheme="minorHAnsi"/>
          <w:i/>
          <w:lang w:val="en-US"/>
        </w:rPr>
        <w:t xml:space="preserve"> </w:t>
      </w:r>
      <w:r w:rsidRPr="005F01A3">
        <w:rPr>
          <w:rFonts w:asciiTheme="minorHAnsi" w:hAnsiTheme="minorHAnsi"/>
          <w:i/>
          <w:strike/>
          <w:lang w:val="en-US"/>
        </w:rPr>
        <w:t>[4]</w:t>
      </w:r>
      <w:r w:rsidRPr="005F01A3">
        <w:rPr>
          <w:rFonts w:asciiTheme="minorHAnsi" w:hAnsiTheme="minorHAnsi"/>
          <w:i/>
          <w:lang w:val="en-US"/>
        </w:rPr>
        <w:t xml:space="preserve"> years of age and older. </w:t>
      </w:r>
      <w:proofErr w:type="spellStart"/>
      <w:r w:rsidRPr="005F01A3">
        <w:rPr>
          <w:rFonts w:asciiTheme="minorHAnsi" w:hAnsiTheme="minorHAnsi"/>
          <w:i/>
          <w:lang w:val="en-US"/>
        </w:rPr>
        <w:t>Humira</w:t>
      </w:r>
      <w:proofErr w:type="spellEnd"/>
      <w:r w:rsidRPr="005F01A3">
        <w:rPr>
          <w:rFonts w:asciiTheme="minorHAnsi" w:hAnsiTheme="minorHAnsi"/>
          <w:i/>
          <w:lang w:val="en-US"/>
        </w:rPr>
        <w:t xml:space="preserve"> can be given as monotherapy in case of intolerance </w:t>
      </w:r>
      <w:r w:rsidRPr="005F01A3">
        <w:rPr>
          <w:rFonts w:asciiTheme="minorHAnsi" w:hAnsiTheme="minorHAnsi"/>
          <w:i/>
          <w:u w:val="single"/>
          <w:lang w:val="en-US"/>
        </w:rPr>
        <w:t>to methotrexate</w:t>
      </w:r>
      <w:r w:rsidRPr="005F01A3">
        <w:rPr>
          <w:rFonts w:asciiTheme="minorHAnsi" w:hAnsiTheme="minorHAnsi"/>
          <w:i/>
          <w:lang w:val="en-US"/>
        </w:rPr>
        <w:t xml:space="preserve"> or when continued treatment with methotrexate is inappropriate.</w:t>
      </w:r>
    </w:p>
    <w:p w:rsidR="00452AF0" w:rsidRDefault="00452AF0" w:rsidP="005F01A3">
      <w:r>
        <w:t xml:space="preserve">The </w:t>
      </w:r>
      <w:r w:rsidR="00211C2A">
        <w:t xml:space="preserve">currently </w:t>
      </w:r>
      <w:r>
        <w:t xml:space="preserve">recommended dose of </w:t>
      </w:r>
      <w:proofErr w:type="spellStart"/>
      <w:r>
        <w:t>Humira</w:t>
      </w:r>
      <w:proofErr w:type="spellEnd"/>
      <w:r>
        <w:t xml:space="preserve"> for patients 4 to 17 years of age with polyarticular juvenile idiopathic arthritis is based on weight </w:t>
      </w:r>
      <w:r w:rsidR="00211C2A">
        <w:t>is</w:t>
      </w:r>
      <w:r>
        <w:t xml:space="preserve"> shown below. Methotrexate, glucocorticoids, salicylates, </w:t>
      </w:r>
      <w:r w:rsidR="00B7764D">
        <w:t>Non-steroidal anti-inflammatory drugs (</w:t>
      </w:r>
      <w:r>
        <w:t>NSAIDs</w:t>
      </w:r>
      <w:r w:rsidR="00B7764D">
        <w:t>)</w:t>
      </w:r>
      <w:r>
        <w:t xml:space="preserve"> or analgesics may be continued during treatment with </w:t>
      </w:r>
      <w:proofErr w:type="spellStart"/>
      <w:r>
        <w:t>Humira</w:t>
      </w:r>
      <w:proofErr w:type="spellEnd"/>
      <w:r>
        <w:t>.</w:t>
      </w:r>
    </w:p>
    <w:p w:rsidR="00452AF0" w:rsidRPr="005F01A3" w:rsidRDefault="00452AF0" w:rsidP="005F01A3">
      <w:pPr>
        <w:ind w:left="567"/>
        <w:rPr>
          <w:i/>
        </w:rPr>
      </w:pPr>
      <w:r w:rsidRPr="005F01A3">
        <w:rPr>
          <w:i/>
        </w:rPr>
        <w:t>Paediatric Patients (4 to 17 years)</w:t>
      </w:r>
    </w:p>
    <w:p w:rsidR="00452AF0" w:rsidRPr="005F01A3" w:rsidRDefault="00452AF0" w:rsidP="005F01A3">
      <w:pPr>
        <w:pStyle w:val="ListBullet"/>
        <w:ind w:left="993"/>
        <w:rPr>
          <w:i/>
        </w:rPr>
      </w:pPr>
      <w:r w:rsidRPr="005F01A3">
        <w:rPr>
          <w:i/>
        </w:rPr>
        <w:t>15kg to &lt;30kg, 20mg fortnightly (20mg Pre-filled Syringe)</w:t>
      </w:r>
    </w:p>
    <w:p w:rsidR="00452AF0" w:rsidRPr="005F01A3" w:rsidRDefault="00974CDD" w:rsidP="005F01A3">
      <w:pPr>
        <w:pStyle w:val="ListBullet"/>
        <w:ind w:left="993"/>
        <w:rPr>
          <w:i/>
        </w:rPr>
      </w:pPr>
      <w:r w:rsidRPr="005F01A3">
        <w:rPr>
          <w:i/>
          <w:lang w:val="en-US"/>
        </w:rPr>
        <w:t>≥</w:t>
      </w:r>
      <w:r w:rsidR="00237330" w:rsidRPr="005F01A3">
        <w:rPr>
          <w:i/>
          <w:lang w:val="en-US"/>
        </w:rPr>
        <w:t xml:space="preserve"> </w:t>
      </w:r>
      <w:r w:rsidR="00452AF0" w:rsidRPr="005F01A3">
        <w:rPr>
          <w:i/>
        </w:rPr>
        <w:t>30kg, 40mg fortnightly (</w:t>
      </w:r>
      <w:proofErr w:type="spellStart"/>
      <w:r w:rsidR="00452AF0" w:rsidRPr="005F01A3">
        <w:rPr>
          <w:i/>
        </w:rPr>
        <w:t>Humira</w:t>
      </w:r>
      <w:proofErr w:type="spellEnd"/>
      <w:r w:rsidR="00452AF0" w:rsidRPr="005F01A3">
        <w:rPr>
          <w:i/>
        </w:rPr>
        <w:t xml:space="preserve"> 40mg Pen or 40mg Pre-filled Syringe)</w:t>
      </w:r>
    </w:p>
    <w:p w:rsidR="00452AF0" w:rsidRPr="005F01A3" w:rsidRDefault="00452AF0" w:rsidP="005F01A3">
      <w:pPr>
        <w:ind w:left="567"/>
        <w:rPr>
          <w:i/>
        </w:rPr>
      </w:pPr>
      <w:r w:rsidRPr="005F01A3">
        <w:rPr>
          <w:i/>
        </w:rPr>
        <w:t xml:space="preserve">Limited data are available for </w:t>
      </w:r>
      <w:proofErr w:type="spellStart"/>
      <w:r w:rsidRPr="005F01A3">
        <w:rPr>
          <w:i/>
        </w:rPr>
        <w:t>Humira</w:t>
      </w:r>
      <w:proofErr w:type="spellEnd"/>
      <w:r w:rsidRPr="005F01A3">
        <w:rPr>
          <w:i/>
        </w:rPr>
        <w:t xml:space="preserve"> treatment in paediatric patients with a weight below 15kg.</w:t>
      </w:r>
    </w:p>
    <w:p w:rsidR="00452AF0" w:rsidRDefault="00211C2A" w:rsidP="005F01A3">
      <w:r>
        <w:t>The sponsor has p</w:t>
      </w:r>
      <w:r w:rsidR="00452AF0">
        <w:t xml:space="preserve">roposed </w:t>
      </w:r>
      <w:r>
        <w:t xml:space="preserve">the following dosage in this application </w:t>
      </w:r>
      <w:r w:rsidR="00452AF0">
        <w:t xml:space="preserve">for </w:t>
      </w:r>
      <w:proofErr w:type="spellStart"/>
      <w:r w:rsidR="00452AF0">
        <w:t>Polyarticular</w:t>
      </w:r>
      <w:proofErr w:type="spellEnd"/>
      <w:r w:rsidR="00452AF0">
        <w:t xml:space="preserve"> Juvenile Idiopathic Arthritis</w:t>
      </w:r>
      <w:r w:rsidR="005F01A3">
        <w:t>:</w:t>
      </w:r>
    </w:p>
    <w:p w:rsidR="00452AF0" w:rsidRPr="005F01A3" w:rsidRDefault="00452AF0" w:rsidP="005F01A3">
      <w:pPr>
        <w:ind w:left="567"/>
        <w:rPr>
          <w:i/>
        </w:rPr>
      </w:pPr>
      <w:r w:rsidRPr="005F01A3">
        <w:rPr>
          <w:i/>
        </w:rPr>
        <w:t xml:space="preserve">The recommended dose of </w:t>
      </w:r>
      <w:proofErr w:type="spellStart"/>
      <w:r w:rsidRPr="005F01A3">
        <w:rPr>
          <w:i/>
        </w:rPr>
        <w:t>Humira</w:t>
      </w:r>
      <w:proofErr w:type="spellEnd"/>
      <w:r w:rsidRPr="005F01A3">
        <w:rPr>
          <w:i/>
        </w:rPr>
        <w:t xml:space="preserve"> for patients </w:t>
      </w:r>
      <w:r w:rsidRPr="005F01A3">
        <w:rPr>
          <w:i/>
          <w:u w:val="single"/>
        </w:rPr>
        <w:t>2</w:t>
      </w:r>
      <w:r w:rsidRPr="005F01A3">
        <w:rPr>
          <w:i/>
        </w:rPr>
        <w:t xml:space="preserve"> </w:t>
      </w:r>
      <w:r w:rsidRPr="005F01A3">
        <w:rPr>
          <w:i/>
          <w:strike/>
        </w:rPr>
        <w:t>4 to 17</w:t>
      </w:r>
      <w:r w:rsidRPr="005F01A3">
        <w:rPr>
          <w:i/>
        </w:rPr>
        <w:t xml:space="preserve"> years of age </w:t>
      </w:r>
      <w:r w:rsidRPr="005F01A3">
        <w:rPr>
          <w:i/>
          <w:u w:val="single"/>
        </w:rPr>
        <w:t>and older</w:t>
      </w:r>
      <w:r w:rsidRPr="005F01A3">
        <w:rPr>
          <w:i/>
        </w:rPr>
        <w:t xml:space="preserve"> with polyarticular juvenile idiopathic arthritis is based on weight as shown below. Methotrexate, glucocorticoids, </w:t>
      </w:r>
      <w:r w:rsidRPr="005F01A3">
        <w:rPr>
          <w:i/>
          <w:strike/>
        </w:rPr>
        <w:t>salicylates</w:t>
      </w:r>
      <w:r w:rsidRPr="005F01A3">
        <w:rPr>
          <w:i/>
        </w:rPr>
        <w:t xml:space="preserve">, NSAIDs </w:t>
      </w:r>
      <w:r w:rsidRPr="005F01A3">
        <w:rPr>
          <w:i/>
          <w:u w:val="single"/>
        </w:rPr>
        <w:t>and/</w:t>
      </w:r>
      <w:r w:rsidRPr="005F01A3">
        <w:rPr>
          <w:i/>
        </w:rPr>
        <w:t xml:space="preserve">or analgesics may be continued during treatment with </w:t>
      </w:r>
      <w:proofErr w:type="spellStart"/>
      <w:r w:rsidRPr="005F01A3">
        <w:rPr>
          <w:i/>
        </w:rPr>
        <w:t>Humira</w:t>
      </w:r>
      <w:proofErr w:type="spellEnd"/>
      <w:r w:rsidRPr="005F01A3">
        <w:rPr>
          <w:i/>
        </w:rPr>
        <w:t>.</w:t>
      </w:r>
    </w:p>
    <w:p w:rsidR="00452AF0" w:rsidRPr="005F01A3" w:rsidRDefault="00452AF0" w:rsidP="005F01A3">
      <w:pPr>
        <w:ind w:left="567"/>
        <w:rPr>
          <w:i/>
        </w:rPr>
      </w:pPr>
      <w:r w:rsidRPr="005F01A3">
        <w:rPr>
          <w:i/>
        </w:rPr>
        <w:t>Paediatric Patients (</w:t>
      </w:r>
      <w:r w:rsidRPr="005F01A3">
        <w:rPr>
          <w:i/>
          <w:strike/>
        </w:rPr>
        <w:t>4 to 17</w:t>
      </w:r>
      <w:r w:rsidRPr="005F01A3">
        <w:rPr>
          <w:i/>
        </w:rPr>
        <w:t xml:space="preserve"> </w:t>
      </w:r>
      <w:r w:rsidRPr="005F01A3">
        <w:rPr>
          <w:i/>
          <w:u w:val="single"/>
        </w:rPr>
        <w:t>2</w:t>
      </w:r>
      <w:r w:rsidRPr="005F01A3">
        <w:rPr>
          <w:i/>
          <w:strike/>
        </w:rPr>
        <w:t xml:space="preserve"> </w:t>
      </w:r>
      <w:r w:rsidRPr="005F01A3">
        <w:rPr>
          <w:i/>
        </w:rPr>
        <w:t xml:space="preserve">years </w:t>
      </w:r>
      <w:r w:rsidRPr="005F01A3">
        <w:rPr>
          <w:i/>
          <w:u w:val="single"/>
        </w:rPr>
        <w:t>of age and older</w:t>
      </w:r>
      <w:r w:rsidRPr="005F01A3">
        <w:rPr>
          <w:i/>
        </w:rPr>
        <w:t>)</w:t>
      </w:r>
    </w:p>
    <w:p w:rsidR="00452AF0" w:rsidRPr="005F01A3" w:rsidRDefault="00452AF0" w:rsidP="005F01A3">
      <w:pPr>
        <w:pStyle w:val="ListBullet"/>
        <w:ind w:left="993"/>
        <w:rPr>
          <w:i/>
        </w:rPr>
      </w:pPr>
      <w:r w:rsidRPr="005F01A3">
        <w:rPr>
          <w:i/>
        </w:rPr>
        <w:t>10kg to &lt;15kg, 10mg fortnightly (10mg Pre-filled Syringe)</w:t>
      </w:r>
    </w:p>
    <w:p w:rsidR="00452AF0" w:rsidRPr="005F01A3" w:rsidRDefault="00452AF0" w:rsidP="005F01A3">
      <w:pPr>
        <w:pStyle w:val="ListBullet"/>
        <w:ind w:left="993"/>
        <w:rPr>
          <w:i/>
        </w:rPr>
      </w:pPr>
      <w:r w:rsidRPr="005F01A3">
        <w:rPr>
          <w:i/>
        </w:rPr>
        <w:t>15kg to &lt;30kg, 20mg fortnightly (20mg Pre-filled Syringe)</w:t>
      </w:r>
    </w:p>
    <w:p w:rsidR="00452AF0" w:rsidRPr="005F01A3" w:rsidRDefault="00974CDD" w:rsidP="005F01A3">
      <w:pPr>
        <w:pStyle w:val="ListBullet"/>
        <w:ind w:left="993"/>
        <w:rPr>
          <w:i/>
        </w:rPr>
      </w:pPr>
      <w:r w:rsidRPr="005F01A3">
        <w:rPr>
          <w:i/>
          <w:lang w:val="en-US"/>
        </w:rPr>
        <w:t>≥</w:t>
      </w:r>
      <w:r w:rsidR="00237330" w:rsidRPr="005F01A3">
        <w:rPr>
          <w:i/>
          <w:lang w:val="en-US"/>
        </w:rPr>
        <w:t xml:space="preserve"> </w:t>
      </w:r>
      <w:r w:rsidR="00452AF0" w:rsidRPr="005F01A3">
        <w:rPr>
          <w:i/>
        </w:rPr>
        <w:t>30kg, 40mg fortnightly (</w:t>
      </w:r>
      <w:proofErr w:type="spellStart"/>
      <w:r w:rsidR="00452AF0" w:rsidRPr="005F01A3">
        <w:rPr>
          <w:i/>
        </w:rPr>
        <w:t>Humira</w:t>
      </w:r>
      <w:proofErr w:type="spellEnd"/>
      <w:r w:rsidR="00452AF0" w:rsidRPr="005F01A3">
        <w:rPr>
          <w:i/>
        </w:rPr>
        <w:t xml:space="preserve"> 40mg Pen or 40mg Pre-filled Syringe)</w:t>
      </w:r>
    </w:p>
    <w:p w:rsidR="00452AF0" w:rsidRPr="005F01A3" w:rsidRDefault="00452AF0" w:rsidP="005F01A3">
      <w:pPr>
        <w:ind w:left="567"/>
        <w:rPr>
          <w:i/>
        </w:rPr>
      </w:pPr>
      <w:r w:rsidRPr="005F01A3">
        <w:rPr>
          <w:i/>
          <w:strike/>
        </w:rPr>
        <w:t xml:space="preserve">Limited data are available for </w:t>
      </w:r>
      <w:proofErr w:type="spellStart"/>
      <w:r w:rsidRPr="005F01A3">
        <w:rPr>
          <w:i/>
          <w:strike/>
        </w:rPr>
        <w:t>Humira</w:t>
      </w:r>
      <w:proofErr w:type="spellEnd"/>
      <w:r w:rsidRPr="005F01A3">
        <w:rPr>
          <w:i/>
          <w:strike/>
        </w:rPr>
        <w:t xml:space="preserve"> treatment in paediatric patients with a weight below 15 kg</w:t>
      </w:r>
      <w:r w:rsidRPr="005F01A3">
        <w:rPr>
          <w:i/>
        </w:rPr>
        <w:t xml:space="preserve">. </w:t>
      </w:r>
      <w:proofErr w:type="spellStart"/>
      <w:r w:rsidRPr="005F01A3">
        <w:rPr>
          <w:i/>
          <w:u w:val="single"/>
        </w:rPr>
        <w:t>Humira</w:t>
      </w:r>
      <w:proofErr w:type="spellEnd"/>
      <w:r w:rsidRPr="005F01A3">
        <w:rPr>
          <w:i/>
          <w:u w:val="single"/>
        </w:rPr>
        <w:t xml:space="preserve"> has not been studied in patients with polyarticular JIA less than 2 years of age, or in patients with a weight below 10 kg.</w:t>
      </w:r>
    </w:p>
    <w:p w:rsidR="00537E4D" w:rsidRDefault="00537E4D" w:rsidP="005F01A3">
      <w:bookmarkStart w:id="15" w:name="_Toc314842485"/>
      <w:bookmarkStart w:id="16" w:name="_Toc247691504"/>
      <w:r>
        <w:lastRenderedPageBreak/>
        <w:t>The sponsor originally proposed a different dosage regimen that included doses for patients weighing 10 to &lt;12 kg of 10 mg fortnightly and patients weighing 12 to &lt;15 kg of 15 mg fortnightly but amended this during the evaluation to a single dose covering the weight range of 10 to &lt;15 kg of 10 mg fortnightly. The clinical evaluator has supported the amended dosage regimen.</w:t>
      </w:r>
    </w:p>
    <w:p w:rsidR="00537E4D" w:rsidRDefault="00537E4D" w:rsidP="005F01A3">
      <w:pPr>
        <w:rPr>
          <w:lang w:val="en-US"/>
        </w:rPr>
      </w:pPr>
      <w:r>
        <w:t xml:space="preserve">The sponsor has also proposed updates to the corresponding sections of the Product Information (PI) with the </w:t>
      </w:r>
      <w:proofErr w:type="spellStart"/>
      <w:r>
        <w:t>pJIA</w:t>
      </w:r>
      <w:proofErr w:type="spellEnd"/>
      <w:r>
        <w:t xml:space="preserve"> data, however the details of this is beyond the scope of this AusPAR.</w:t>
      </w:r>
    </w:p>
    <w:p w:rsidR="00B7764D" w:rsidRDefault="00B7764D" w:rsidP="005F01A3">
      <w:r w:rsidRPr="00173579">
        <w:t>There is a European Medicines Agency (EMEA) guidance document relating specifically to the current submission</w:t>
      </w:r>
      <w:r>
        <w:t>:</w:t>
      </w:r>
    </w:p>
    <w:p w:rsidR="00B7764D" w:rsidRDefault="00B7764D" w:rsidP="005F01A3">
      <w:pPr>
        <w:pStyle w:val="ListBullet"/>
        <w:rPr>
          <w:rFonts w:asciiTheme="majorHAnsi" w:hAnsiTheme="majorHAnsi" w:cs="‡oˆøª&amp;Â"/>
          <w:lang w:val="en-US"/>
        </w:rPr>
      </w:pPr>
      <w:r w:rsidRPr="00173579">
        <w:t>Guideline on Clinical Investigation of Medicinal Products for the Treatment of Juvenile Idiopathic Arthritis (</w:t>
      </w:r>
      <w:r w:rsidRPr="005F01A3">
        <w:t>London</w:t>
      </w:r>
      <w:r w:rsidRPr="00173579">
        <w:t>, 18 October 2006; CPMP/EWP/422/04). This document was adopted by the TGA on 26 June 2009</w:t>
      </w:r>
      <w:r>
        <w:rPr>
          <w:rFonts w:asciiTheme="majorHAnsi" w:hAnsiTheme="majorHAnsi" w:cs="‡oˆøª&amp;Â"/>
          <w:lang w:val="en-US"/>
        </w:rPr>
        <w:t xml:space="preserve">. </w:t>
      </w:r>
    </w:p>
    <w:p w:rsidR="008E7846" w:rsidRPr="003F31A2" w:rsidRDefault="00386150" w:rsidP="005F01A3">
      <w:pPr>
        <w:pStyle w:val="Heading3"/>
      </w:pPr>
      <w:bookmarkStart w:id="17" w:name="_Toc438563993"/>
      <w:r w:rsidRPr="005F01A3">
        <w:t>Regulatory</w:t>
      </w:r>
      <w:r>
        <w:t xml:space="preserve"> s</w:t>
      </w:r>
      <w:r w:rsidR="008E7846">
        <w:t>tatus</w:t>
      </w:r>
      <w:bookmarkEnd w:id="15"/>
      <w:bookmarkEnd w:id="16"/>
      <w:bookmarkEnd w:id="17"/>
    </w:p>
    <w:p w:rsidR="00B7764D" w:rsidRDefault="00173579" w:rsidP="005F01A3">
      <w:pPr>
        <w:rPr>
          <w:lang w:val="en-US"/>
        </w:rPr>
      </w:pPr>
      <w:bookmarkStart w:id="18" w:name="_Toc247691505"/>
      <w:bookmarkStart w:id="19" w:name="_Toc314842486"/>
      <w:r>
        <w:rPr>
          <w:lang w:val="en-US"/>
        </w:rPr>
        <w:t xml:space="preserve">The first entry for </w:t>
      </w:r>
      <w:proofErr w:type="spellStart"/>
      <w:r>
        <w:rPr>
          <w:lang w:val="en-US"/>
        </w:rPr>
        <w:t>Humira</w:t>
      </w:r>
      <w:proofErr w:type="spellEnd"/>
      <w:r>
        <w:rPr>
          <w:lang w:val="en-US"/>
        </w:rPr>
        <w:t xml:space="preserve"> on the Australian Register of Therapeutic Goods (ARTG) was on 10 December 2003 for the treatment of adult rheumatoid arthritis</w:t>
      </w:r>
      <w:r w:rsidR="00BE4818" w:rsidRPr="00BE4818">
        <w:t xml:space="preserve"> </w:t>
      </w:r>
      <w:r w:rsidR="00BE4818">
        <w:t xml:space="preserve">and is currently also approved for use in psoriatic arthritis, ankylosing spondylitis, </w:t>
      </w:r>
      <w:proofErr w:type="spellStart"/>
      <w:r w:rsidR="00BE4818">
        <w:t>pJIA</w:t>
      </w:r>
      <w:proofErr w:type="spellEnd"/>
      <w:r w:rsidR="00BE4818">
        <w:t xml:space="preserve">, psoriasis, Crohn’s </w:t>
      </w:r>
      <w:r w:rsidR="00BE4818" w:rsidRPr="00B7764D">
        <w:t>disease and ulcerative colitis</w:t>
      </w:r>
      <w:r w:rsidRPr="00B7764D">
        <w:rPr>
          <w:lang w:val="en-US"/>
        </w:rPr>
        <w:t>.</w:t>
      </w:r>
      <w:r w:rsidR="00B7764D">
        <w:rPr>
          <w:rStyle w:val="FootnoteReference"/>
          <w:lang w:val="en-US"/>
        </w:rPr>
        <w:footnoteReference w:id="1"/>
      </w:r>
    </w:p>
    <w:p w:rsidR="00173579" w:rsidRDefault="00173579" w:rsidP="005F01A3">
      <w:pPr>
        <w:rPr>
          <w:lang w:val="en-US"/>
        </w:rPr>
      </w:pPr>
      <w:proofErr w:type="spellStart"/>
      <w:r w:rsidRPr="00B7764D">
        <w:rPr>
          <w:lang w:val="en-US"/>
        </w:rPr>
        <w:t>Humira</w:t>
      </w:r>
      <w:proofErr w:type="spellEnd"/>
      <w:r w:rsidRPr="00B7764D">
        <w:rPr>
          <w:lang w:val="en-US"/>
        </w:rPr>
        <w:t xml:space="preserve"> in combination with methotrexate for the treatment of </w:t>
      </w:r>
      <w:proofErr w:type="spellStart"/>
      <w:r w:rsidRPr="00B7764D">
        <w:rPr>
          <w:lang w:val="en-US"/>
        </w:rPr>
        <w:t>pJIA</w:t>
      </w:r>
      <w:proofErr w:type="spellEnd"/>
      <w:r w:rsidRPr="00B7764D">
        <w:rPr>
          <w:lang w:val="en-US"/>
        </w:rPr>
        <w:t xml:space="preserve"> in patients aged 4 years of age and older was approved by the TGA in July 2009. The TGA approval</w:t>
      </w:r>
      <w:r>
        <w:rPr>
          <w:lang w:val="en-US"/>
        </w:rPr>
        <w:t xml:space="preserve"> for </w:t>
      </w:r>
      <w:proofErr w:type="spellStart"/>
      <w:r>
        <w:rPr>
          <w:lang w:val="en-US"/>
        </w:rPr>
        <w:t>pJIA</w:t>
      </w:r>
      <w:proofErr w:type="spellEnd"/>
      <w:r>
        <w:rPr>
          <w:lang w:val="en-US"/>
        </w:rPr>
        <w:t xml:space="preserve"> was based on the data from the pr</w:t>
      </w:r>
      <w:r w:rsidR="005F01A3">
        <w:rPr>
          <w:lang w:val="en-US"/>
        </w:rPr>
        <w:t>eviously evaluated Study DE038.</w:t>
      </w:r>
    </w:p>
    <w:p w:rsidR="00BE4818" w:rsidRDefault="00BE4818" w:rsidP="005F01A3">
      <w:proofErr w:type="spellStart"/>
      <w:r>
        <w:t>Adalimumab</w:t>
      </w:r>
      <w:proofErr w:type="spellEnd"/>
      <w:r>
        <w:t xml:space="preserve"> for </w:t>
      </w:r>
      <w:proofErr w:type="spellStart"/>
      <w:r>
        <w:t>pJIA</w:t>
      </w:r>
      <w:proofErr w:type="spellEnd"/>
      <w:r>
        <w:t xml:space="preserve"> has been approved in 85 countries.</w:t>
      </w:r>
      <w:r w:rsidR="00F071E1">
        <w:t xml:space="preserve"> </w:t>
      </w:r>
      <w:r w:rsidR="00B7764D">
        <w:t xml:space="preserve">Similar </w:t>
      </w:r>
      <w:r>
        <w:t>indication in patients 2 years and older</w:t>
      </w:r>
      <w:r w:rsidR="00B7764D">
        <w:t xml:space="preserve"> have been </w:t>
      </w:r>
      <w:r>
        <w:t>approved in Europe, the USA and Singapore with the following indications (Table 1):</w:t>
      </w:r>
    </w:p>
    <w:p w:rsidR="00C546BC" w:rsidRDefault="00C546BC" w:rsidP="005F01A3">
      <w:pPr>
        <w:pStyle w:val="TableTitle"/>
      </w:pPr>
      <w:r>
        <w:lastRenderedPageBreak/>
        <w:t xml:space="preserve">Table 1: International </w:t>
      </w:r>
      <w:r w:rsidRPr="005F01A3">
        <w:t>regulatory</w:t>
      </w:r>
      <w:r>
        <w:t xml:space="preserve"> status</w:t>
      </w:r>
    </w:p>
    <w:tbl>
      <w:tblPr>
        <w:tblStyle w:val="TableTGAblue"/>
        <w:tblW w:w="9039" w:type="dxa"/>
        <w:tblLayout w:type="fixed"/>
        <w:tblLook w:val="0020" w:firstRow="1" w:lastRow="0" w:firstColumn="0" w:lastColumn="0" w:noHBand="0" w:noVBand="0"/>
      </w:tblPr>
      <w:tblGrid>
        <w:gridCol w:w="2332"/>
        <w:gridCol w:w="2332"/>
        <w:gridCol w:w="4375"/>
      </w:tblGrid>
      <w:tr w:rsidR="00452AF0" w:rsidRPr="005F01A3" w:rsidTr="005F01A3">
        <w:trPr>
          <w:cnfStyle w:val="100000000000" w:firstRow="1" w:lastRow="0" w:firstColumn="0" w:lastColumn="0" w:oddVBand="0" w:evenVBand="0" w:oddHBand="0" w:evenHBand="0" w:firstRowFirstColumn="0" w:firstRowLastColumn="0" w:lastRowFirstColumn="0" w:lastRowLastColumn="0"/>
          <w:trHeight w:val="300"/>
        </w:trPr>
        <w:tc>
          <w:tcPr>
            <w:tcW w:w="2332" w:type="dxa"/>
          </w:tcPr>
          <w:p w:rsidR="00452AF0" w:rsidRPr="005F01A3" w:rsidRDefault="005F01A3" w:rsidP="005F01A3">
            <w:pPr>
              <w:ind w:left="0" w:right="0"/>
              <w:rPr>
                <w:sz w:val="20"/>
                <w:szCs w:val="20"/>
              </w:rPr>
            </w:pPr>
            <w:r w:rsidRPr="005F01A3">
              <w:rPr>
                <w:sz w:val="20"/>
                <w:szCs w:val="20"/>
              </w:rPr>
              <w:t>Country/Region</w:t>
            </w:r>
          </w:p>
        </w:tc>
        <w:tc>
          <w:tcPr>
            <w:tcW w:w="2332" w:type="dxa"/>
          </w:tcPr>
          <w:p w:rsidR="00452AF0" w:rsidRPr="005F01A3" w:rsidRDefault="005F01A3" w:rsidP="005F01A3">
            <w:pPr>
              <w:ind w:left="0" w:right="0"/>
              <w:rPr>
                <w:sz w:val="20"/>
                <w:szCs w:val="20"/>
              </w:rPr>
            </w:pPr>
            <w:r w:rsidRPr="005F01A3">
              <w:rPr>
                <w:sz w:val="20"/>
                <w:szCs w:val="20"/>
              </w:rPr>
              <w:t>Status</w:t>
            </w:r>
          </w:p>
        </w:tc>
        <w:tc>
          <w:tcPr>
            <w:tcW w:w="4375" w:type="dxa"/>
          </w:tcPr>
          <w:p w:rsidR="00452AF0" w:rsidRPr="005F01A3" w:rsidRDefault="005F01A3" w:rsidP="005F01A3">
            <w:pPr>
              <w:ind w:left="14" w:right="34"/>
              <w:rPr>
                <w:sz w:val="20"/>
                <w:szCs w:val="20"/>
              </w:rPr>
            </w:pPr>
            <w:r w:rsidRPr="005F01A3">
              <w:rPr>
                <w:sz w:val="20"/>
                <w:szCs w:val="20"/>
              </w:rPr>
              <w:t>Approved Indications</w:t>
            </w:r>
          </w:p>
        </w:tc>
      </w:tr>
      <w:tr w:rsidR="00452AF0" w:rsidRPr="005F01A3" w:rsidTr="005F01A3">
        <w:trPr>
          <w:trHeight w:val="1167"/>
        </w:trPr>
        <w:tc>
          <w:tcPr>
            <w:tcW w:w="2332" w:type="dxa"/>
          </w:tcPr>
          <w:p w:rsidR="00452AF0" w:rsidRPr="005F01A3" w:rsidRDefault="005F01A3" w:rsidP="005F01A3">
            <w:pPr>
              <w:ind w:left="0" w:right="0"/>
              <w:rPr>
                <w:color w:val="000000"/>
                <w:sz w:val="20"/>
                <w:szCs w:val="20"/>
              </w:rPr>
            </w:pPr>
            <w:r w:rsidRPr="005F01A3">
              <w:rPr>
                <w:color w:val="000000"/>
                <w:sz w:val="20"/>
                <w:szCs w:val="20"/>
              </w:rPr>
              <w:t>EU</w:t>
            </w:r>
          </w:p>
          <w:p w:rsidR="00452AF0" w:rsidRPr="005F01A3" w:rsidRDefault="005F01A3" w:rsidP="005F01A3">
            <w:pPr>
              <w:ind w:left="0" w:right="0"/>
              <w:rPr>
                <w:color w:val="000000"/>
                <w:sz w:val="20"/>
                <w:szCs w:val="20"/>
              </w:rPr>
            </w:pPr>
            <w:r w:rsidRPr="005F01A3">
              <w:rPr>
                <w:color w:val="000000"/>
                <w:sz w:val="20"/>
                <w:szCs w:val="20"/>
              </w:rPr>
              <w:t>(Centralised Procedure)</w:t>
            </w:r>
          </w:p>
        </w:tc>
        <w:tc>
          <w:tcPr>
            <w:tcW w:w="2332" w:type="dxa"/>
          </w:tcPr>
          <w:p w:rsidR="00452AF0" w:rsidRPr="005F01A3" w:rsidRDefault="005F01A3" w:rsidP="005F01A3">
            <w:pPr>
              <w:ind w:left="0" w:right="0"/>
              <w:rPr>
                <w:color w:val="000000"/>
                <w:sz w:val="20"/>
                <w:szCs w:val="20"/>
              </w:rPr>
            </w:pPr>
            <w:r w:rsidRPr="005F01A3">
              <w:rPr>
                <w:color w:val="000000"/>
                <w:sz w:val="20"/>
                <w:szCs w:val="20"/>
              </w:rPr>
              <w:t>Approved</w:t>
            </w:r>
          </w:p>
          <w:p w:rsidR="00452AF0" w:rsidRPr="005F01A3" w:rsidRDefault="00452AF0" w:rsidP="005F01A3">
            <w:pPr>
              <w:ind w:left="0" w:right="0"/>
              <w:rPr>
                <w:color w:val="000000"/>
                <w:sz w:val="20"/>
                <w:szCs w:val="20"/>
              </w:rPr>
            </w:pPr>
            <w:r w:rsidRPr="005F01A3">
              <w:rPr>
                <w:color w:val="000000"/>
                <w:sz w:val="20"/>
                <w:szCs w:val="20"/>
              </w:rPr>
              <w:t>25</w:t>
            </w:r>
            <w:r w:rsidR="00C546BC" w:rsidRPr="005F01A3">
              <w:rPr>
                <w:color w:val="000000"/>
                <w:sz w:val="20"/>
                <w:szCs w:val="20"/>
              </w:rPr>
              <w:t xml:space="preserve"> </w:t>
            </w:r>
            <w:r w:rsidRPr="005F01A3">
              <w:rPr>
                <w:color w:val="000000"/>
                <w:sz w:val="20"/>
                <w:szCs w:val="20"/>
              </w:rPr>
              <w:t>Feb</w:t>
            </w:r>
            <w:r w:rsidR="00C546BC" w:rsidRPr="005F01A3">
              <w:rPr>
                <w:color w:val="000000"/>
                <w:sz w:val="20"/>
                <w:szCs w:val="20"/>
              </w:rPr>
              <w:t xml:space="preserve">ruary </w:t>
            </w:r>
            <w:r w:rsidR="005F01A3" w:rsidRPr="005F01A3">
              <w:rPr>
                <w:color w:val="000000"/>
                <w:sz w:val="20"/>
                <w:szCs w:val="20"/>
              </w:rPr>
              <w:t>2013</w:t>
            </w:r>
          </w:p>
        </w:tc>
        <w:tc>
          <w:tcPr>
            <w:tcW w:w="4375" w:type="dxa"/>
          </w:tcPr>
          <w:p w:rsidR="00452AF0" w:rsidRPr="005F01A3" w:rsidRDefault="00452AF0" w:rsidP="005F01A3">
            <w:pPr>
              <w:ind w:left="14" w:right="34"/>
              <w:rPr>
                <w:color w:val="000000"/>
                <w:sz w:val="20"/>
                <w:szCs w:val="20"/>
              </w:rPr>
            </w:pPr>
            <w:proofErr w:type="spellStart"/>
            <w:r w:rsidRPr="005F01A3">
              <w:rPr>
                <w:i/>
                <w:iCs/>
                <w:color w:val="000000"/>
                <w:sz w:val="20"/>
                <w:szCs w:val="20"/>
              </w:rPr>
              <w:t>Humira</w:t>
            </w:r>
            <w:proofErr w:type="spellEnd"/>
            <w:r w:rsidRPr="005F01A3">
              <w:rPr>
                <w:i/>
                <w:iCs/>
                <w:color w:val="000000"/>
                <w:sz w:val="20"/>
                <w:szCs w:val="20"/>
              </w:rPr>
              <w:t xml:space="preserve"> in combination with methotrexate is indicated for the treatment of active polyarticular juvenile idiopathic arthritis, in children and adolescents from the age of 2 years who have had an inadequate response to one or more disease-modifying anti-rheumatic drugs (DMARDs). </w:t>
            </w:r>
            <w:proofErr w:type="spellStart"/>
            <w:r w:rsidRPr="005F01A3">
              <w:rPr>
                <w:i/>
                <w:iCs/>
                <w:color w:val="000000"/>
                <w:sz w:val="20"/>
                <w:szCs w:val="20"/>
              </w:rPr>
              <w:t>Humira</w:t>
            </w:r>
            <w:proofErr w:type="spellEnd"/>
            <w:r w:rsidRPr="005F01A3">
              <w:rPr>
                <w:i/>
                <w:iCs/>
                <w:color w:val="000000"/>
                <w:sz w:val="20"/>
                <w:szCs w:val="20"/>
              </w:rPr>
              <w:t xml:space="preserve"> can be given as monotherapy in case of intolerance to methotrexate or when continued treatment with</w:t>
            </w:r>
            <w:r w:rsidR="005F01A3" w:rsidRPr="005F01A3">
              <w:rPr>
                <w:i/>
                <w:iCs/>
                <w:color w:val="000000"/>
                <w:sz w:val="20"/>
                <w:szCs w:val="20"/>
              </w:rPr>
              <w:t xml:space="preserve"> methotrexate is inappropriate.</w:t>
            </w:r>
          </w:p>
        </w:tc>
      </w:tr>
      <w:tr w:rsidR="00452AF0" w:rsidRPr="005F01A3" w:rsidTr="005F01A3">
        <w:trPr>
          <w:trHeight w:val="708"/>
        </w:trPr>
        <w:tc>
          <w:tcPr>
            <w:tcW w:w="2332" w:type="dxa"/>
          </w:tcPr>
          <w:p w:rsidR="00452AF0" w:rsidRPr="005F01A3" w:rsidRDefault="005F01A3" w:rsidP="005F01A3">
            <w:pPr>
              <w:ind w:left="0" w:right="0"/>
              <w:rPr>
                <w:color w:val="000000"/>
                <w:sz w:val="20"/>
                <w:szCs w:val="20"/>
              </w:rPr>
            </w:pPr>
            <w:r w:rsidRPr="005F01A3">
              <w:rPr>
                <w:color w:val="000000"/>
                <w:sz w:val="20"/>
                <w:szCs w:val="20"/>
              </w:rPr>
              <w:t>United States of America</w:t>
            </w:r>
          </w:p>
        </w:tc>
        <w:tc>
          <w:tcPr>
            <w:tcW w:w="2332" w:type="dxa"/>
          </w:tcPr>
          <w:p w:rsidR="00452AF0" w:rsidRPr="005F01A3" w:rsidRDefault="005F01A3" w:rsidP="005F01A3">
            <w:pPr>
              <w:ind w:left="0" w:right="0"/>
              <w:rPr>
                <w:color w:val="000000"/>
                <w:sz w:val="20"/>
                <w:szCs w:val="20"/>
              </w:rPr>
            </w:pPr>
            <w:r w:rsidRPr="005F01A3">
              <w:rPr>
                <w:color w:val="000000"/>
                <w:sz w:val="20"/>
                <w:szCs w:val="20"/>
              </w:rPr>
              <w:t>Approved</w:t>
            </w:r>
          </w:p>
          <w:p w:rsidR="00452AF0" w:rsidRPr="005F01A3" w:rsidRDefault="00452AF0" w:rsidP="005F01A3">
            <w:pPr>
              <w:ind w:left="0" w:right="0"/>
              <w:rPr>
                <w:color w:val="000000"/>
                <w:sz w:val="20"/>
                <w:szCs w:val="20"/>
              </w:rPr>
            </w:pPr>
            <w:r w:rsidRPr="005F01A3">
              <w:rPr>
                <w:color w:val="000000"/>
                <w:sz w:val="20"/>
                <w:szCs w:val="20"/>
              </w:rPr>
              <w:t>30</w:t>
            </w:r>
            <w:r w:rsidR="00C546BC" w:rsidRPr="005F01A3">
              <w:rPr>
                <w:color w:val="000000"/>
                <w:sz w:val="20"/>
                <w:szCs w:val="20"/>
              </w:rPr>
              <w:t xml:space="preserve"> </w:t>
            </w:r>
            <w:r w:rsidRPr="005F01A3">
              <w:rPr>
                <w:color w:val="000000"/>
                <w:sz w:val="20"/>
                <w:szCs w:val="20"/>
              </w:rPr>
              <w:t>Sep</w:t>
            </w:r>
            <w:r w:rsidR="00C546BC" w:rsidRPr="005F01A3">
              <w:rPr>
                <w:color w:val="000000"/>
                <w:sz w:val="20"/>
                <w:szCs w:val="20"/>
              </w:rPr>
              <w:t xml:space="preserve">tember </w:t>
            </w:r>
            <w:r w:rsidR="005F01A3" w:rsidRPr="005F01A3">
              <w:rPr>
                <w:color w:val="000000"/>
                <w:sz w:val="20"/>
                <w:szCs w:val="20"/>
              </w:rPr>
              <w:t>2014</w:t>
            </w:r>
          </w:p>
        </w:tc>
        <w:tc>
          <w:tcPr>
            <w:tcW w:w="4375" w:type="dxa"/>
          </w:tcPr>
          <w:p w:rsidR="00452AF0" w:rsidRPr="005F01A3" w:rsidRDefault="002B4974" w:rsidP="005F01A3">
            <w:pPr>
              <w:ind w:left="14" w:right="34"/>
              <w:rPr>
                <w:color w:val="000000"/>
                <w:sz w:val="20"/>
                <w:szCs w:val="20"/>
              </w:rPr>
            </w:pPr>
            <w:proofErr w:type="spellStart"/>
            <w:r w:rsidRPr="005F01A3">
              <w:rPr>
                <w:i/>
                <w:iCs/>
                <w:color w:val="000000"/>
                <w:sz w:val="20"/>
                <w:szCs w:val="20"/>
              </w:rPr>
              <w:t>Humira</w:t>
            </w:r>
            <w:proofErr w:type="spellEnd"/>
            <w:r w:rsidR="00452AF0" w:rsidRPr="005F01A3">
              <w:rPr>
                <w:i/>
                <w:iCs/>
                <w:color w:val="000000"/>
                <w:sz w:val="20"/>
                <w:szCs w:val="20"/>
              </w:rPr>
              <w:t xml:space="preserve"> is indicated for reducing the signs and symptoms of moderately to severely active polyarticular juvenile idiopathic arthritis in patients 2 years of age and older. </w:t>
            </w:r>
            <w:proofErr w:type="spellStart"/>
            <w:r w:rsidRPr="005F01A3">
              <w:rPr>
                <w:i/>
                <w:iCs/>
                <w:color w:val="000000"/>
                <w:sz w:val="20"/>
                <w:szCs w:val="20"/>
              </w:rPr>
              <w:t>Humira</w:t>
            </w:r>
            <w:proofErr w:type="spellEnd"/>
            <w:r w:rsidR="00452AF0" w:rsidRPr="005F01A3">
              <w:rPr>
                <w:i/>
                <w:iCs/>
                <w:color w:val="000000"/>
                <w:sz w:val="20"/>
                <w:szCs w:val="20"/>
              </w:rPr>
              <w:t xml:space="preserve"> can be used alone or in</w:t>
            </w:r>
            <w:r w:rsidR="005F01A3" w:rsidRPr="005F01A3">
              <w:rPr>
                <w:i/>
                <w:iCs/>
                <w:color w:val="000000"/>
                <w:sz w:val="20"/>
                <w:szCs w:val="20"/>
              </w:rPr>
              <w:t xml:space="preserve"> combination with methotrexate.</w:t>
            </w:r>
          </w:p>
        </w:tc>
      </w:tr>
      <w:tr w:rsidR="00452AF0" w:rsidRPr="005F01A3" w:rsidTr="005F01A3">
        <w:trPr>
          <w:trHeight w:val="146"/>
        </w:trPr>
        <w:tc>
          <w:tcPr>
            <w:tcW w:w="2332" w:type="dxa"/>
          </w:tcPr>
          <w:p w:rsidR="00452AF0" w:rsidRPr="005F01A3" w:rsidRDefault="005F01A3" w:rsidP="005F01A3">
            <w:pPr>
              <w:ind w:left="0" w:right="0"/>
              <w:rPr>
                <w:color w:val="000000"/>
                <w:sz w:val="20"/>
                <w:szCs w:val="20"/>
              </w:rPr>
            </w:pPr>
            <w:r w:rsidRPr="005F01A3">
              <w:rPr>
                <w:color w:val="000000"/>
                <w:sz w:val="20"/>
                <w:szCs w:val="20"/>
              </w:rPr>
              <w:t>Canada</w:t>
            </w:r>
          </w:p>
        </w:tc>
        <w:tc>
          <w:tcPr>
            <w:tcW w:w="2332" w:type="dxa"/>
          </w:tcPr>
          <w:p w:rsidR="00452AF0" w:rsidRPr="005F01A3" w:rsidRDefault="005F01A3" w:rsidP="005F01A3">
            <w:pPr>
              <w:ind w:left="0" w:right="0"/>
              <w:rPr>
                <w:color w:val="000000"/>
                <w:sz w:val="20"/>
                <w:szCs w:val="20"/>
              </w:rPr>
            </w:pPr>
            <w:r w:rsidRPr="005F01A3">
              <w:rPr>
                <w:color w:val="000000"/>
                <w:sz w:val="20"/>
                <w:szCs w:val="20"/>
              </w:rPr>
              <w:t>N/A</w:t>
            </w:r>
          </w:p>
        </w:tc>
        <w:tc>
          <w:tcPr>
            <w:tcW w:w="4375" w:type="dxa"/>
          </w:tcPr>
          <w:p w:rsidR="00452AF0" w:rsidRPr="005F01A3" w:rsidRDefault="005F01A3" w:rsidP="005F01A3">
            <w:pPr>
              <w:ind w:left="14" w:right="34"/>
              <w:rPr>
                <w:color w:val="000000"/>
                <w:sz w:val="20"/>
                <w:szCs w:val="20"/>
              </w:rPr>
            </w:pPr>
            <w:r w:rsidRPr="005F01A3">
              <w:rPr>
                <w:color w:val="000000"/>
                <w:sz w:val="20"/>
                <w:szCs w:val="20"/>
              </w:rPr>
              <w:t>N/</w:t>
            </w:r>
            <w:r w:rsidR="00452AF0" w:rsidRPr="005F01A3">
              <w:rPr>
                <w:color w:val="000000"/>
                <w:sz w:val="20"/>
                <w:szCs w:val="20"/>
              </w:rPr>
              <w:t xml:space="preserve">A </w:t>
            </w:r>
          </w:p>
        </w:tc>
      </w:tr>
      <w:tr w:rsidR="00452AF0" w:rsidRPr="005F01A3" w:rsidTr="005F01A3">
        <w:trPr>
          <w:trHeight w:val="274"/>
        </w:trPr>
        <w:tc>
          <w:tcPr>
            <w:tcW w:w="2332" w:type="dxa"/>
          </w:tcPr>
          <w:p w:rsidR="00452AF0" w:rsidRPr="005F01A3" w:rsidRDefault="00452AF0" w:rsidP="005F01A3">
            <w:pPr>
              <w:ind w:left="0" w:right="0"/>
              <w:rPr>
                <w:color w:val="000000"/>
                <w:sz w:val="20"/>
                <w:szCs w:val="20"/>
              </w:rPr>
            </w:pPr>
            <w:r w:rsidRPr="005F01A3">
              <w:rPr>
                <w:color w:val="000000"/>
                <w:sz w:val="20"/>
                <w:szCs w:val="20"/>
              </w:rPr>
              <w:t xml:space="preserve">New Zealand </w:t>
            </w:r>
          </w:p>
        </w:tc>
        <w:tc>
          <w:tcPr>
            <w:tcW w:w="2332" w:type="dxa"/>
          </w:tcPr>
          <w:p w:rsidR="00452AF0" w:rsidRPr="005F01A3" w:rsidRDefault="00452AF0" w:rsidP="005F01A3">
            <w:pPr>
              <w:ind w:left="0" w:right="0"/>
              <w:rPr>
                <w:color w:val="000000"/>
                <w:sz w:val="20"/>
                <w:szCs w:val="20"/>
              </w:rPr>
            </w:pPr>
            <w:r w:rsidRPr="005F01A3">
              <w:rPr>
                <w:color w:val="000000"/>
                <w:sz w:val="20"/>
                <w:szCs w:val="20"/>
              </w:rPr>
              <w:t xml:space="preserve">Under Evaluation </w:t>
            </w:r>
          </w:p>
        </w:tc>
        <w:tc>
          <w:tcPr>
            <w:tcW w:w="4375" w:type="dxa"/>
          </w:tcPr>
          <w:p w:rsidR="00452AF0" w:rsidRPr="005F01A3" w:rsidRDefault="005F01A3" w:rsidP="005F01A3">
            <w:pPr>
              <w:ind w:left="14" w:right="34"/>
              <w:rPr>
                <w:color w:val="000000"/>
                <w:sz w:val="20"/>
                <w:szCs w:val="20"/>
              </w:rPr>
            </w:pPr>
            <w:r w:rsidRPr="005F01A3">
              <w:rPr>
                <w:color w:val="000000"/>
                <w:sz w:val="20"/>
                <w:szCs w:val="20"/>
              </w:rPr>
              <w:t>N/</w:t>
            </w:r>
            <w:r w:rsidR="00452AF0" w:rsidRPr="005F01A3">
              <w:rPr>
                <w:color w:val="000000"/>
                <w:sz w:val="20"/>
                <w:szCs w:val="20"/>
              </w:rPr>
              <w:t xml:space="preserve">A </w:t>
            </w:r>
          </w:p>
        </w:tc>
      </w:tr>
      <w:tr w:rsidR="00452AF0" w:rsidRPr="005F01A3" w:rsidTr="005F01A3">
        <w:trPr>
          <w:trHeight w:val="1513"/>
        </w:trPr>
        <w:tc>
          <w:tcPr>
            <w:tcW w:w="2332" w:type="dxa"/>
          </w:tcPr>
          <w:p w:rsidR="00452AF0" w:rsidRPr="005F01A3" w:rsidRDefault="005F01A3" w:rsidP="005F01A3">
            <w:pPr>
              <w:ind w:left="0" w:right="0"/>
              <w:rPr>
                <w:color w:val="000000"/>
                <w:sz w:val="20"/>
                <w:szCs w:val="20"/>
              </w:rPr>
            </w:pPr>
            <w:r w:rsidRPr="005F01A3">
              <w:rPr>
                <w:color w:val="000000"/>
                <w:sz w:val="20"/>
                <w:szCs w:val="20"/>
              </w:rPr>
              <w:t>Singapore</w:t>
            </w:r>
          </w:p>
        </w:tc>
        <w:tc>
          <w:tcPr>
            <w:tcW w:w="2332" w:type="dxa"/>
          </w:tcPr>
          <w:p w:rsidR="00452AF0" w:rsidRPr="005F01A3" w:rsidRDefault="005F01A3" w:rsidP="005F01A3">
            <w:pPr>
              <w:ind w:left="0" w:right="0"/>
              <w:rPr>
                <w:color w:val="000000"/>
                <w:sz w:val="20"/>
                <w:szCs w:val="20"/>
              </w:rPr>
            </w:pPr>
            <w:r w:rsidRPr="005F01A3">
              <w:rPr>
                <w:color w:val="000000"/>
                <w:sz w:val="20"/>
                <w:szCs w:val="20"/>
              </w:rPr>
              <w:t>Approved</w:t>
            </w:r>
          </w:p>
          <w:p w:rsidR="00452AF0" w:rsidRPr="005F01A3" w:rsidRDefault="00452AF0" w:rsidP="005F01A3">
            <w:pPr>
              <w:ind w:left="0" w:right="0"/>
              <w:rPr>
                <w:color w:val="000000"/>
                <w:sz w:val="20"/>
                <w:szCs w:val="20"/>
              </w:rPr>
            </w:pPr>
            <w:r w:rsidRPr="005F01A3">
              <w:rPr>
                <w:color w:val="000000"/>
                <w:sz w:val="20"/>
                <w:szCs w:val="20"/>
              </w:rPr>
              <w:t>19</w:t>
            </w:r>
            <w:r w:rsidR="00C546BC" w:rsidRPr="005F01A3">
              <w:rPr>
                <w:color w:val="000000"/>
                <w:sz w:val="20"/>
                <w:szCs w:val="20"/>
              </w:rPr>
              <w:t xml:space="preserve"> </w:t>
            </w:r>
            <w:r w:rsidRPr="005F01A3">
              <w:rPr>
                <w:color w:val="000000"/>
                <w:sz w:val="20"/>
                <w:szCs w:val="20"/>
              </w:rPr>
              <w:t>Sep</w:t>
            </w:r>
            <w:r w:rsidR="00C546BC" w:rsidRPr="005F01A3">
              <w:rPr>
                <w:color w:val="000000"/>
                <w:sz w:val="20"/>
                <w:szCs w:val="20"/>
              </w:rPr>
              <w:t xml:space="preserve">tember </w:t>
            </w:r>
            <w:r w:rsidRPr="005F01A3">
              <w:rPr>
                <w:color w:val="000000"/>
                <w:sz w:val="20"/>
                <w:szCs w:val="20"/>
              </w:rPr>
              <w:t xml:space="preserve">2014 </w:t>
            </w:r>
          </w:p>
        </w:tc>
        <w:tc>
          <w:tcPr>
            <w:tcW w:w="4375" w:type="dxa"/>
          </w:tcPr>
          <w:p w:rsidR="00452AF0" w:rsidRPr="005F01A3" w:rsidRDefault="00452AF0" w:rsidP="005F01A3">
            <w:pPr>
              <w:ind w:left="14" w:right="34"/>
              <w:rPr>
                <w:color w:val="000000"/>
                <w:sz w:val="20"/>
                <w:szCs w:val="20"/>
              </w:rPr>
            </w:pPr>
            <w:proofErr w:type="spellStart"/>
            <w:r w:rsidRPr="005F01A3">
              <w:rPr>
                <w:i/>
                <w:iCs/>
                <w:color w:val="000000"/>
                <w:sz w:val="20"/>
                <w:szCs w:val="20"/>
              </w:rPr>
              <w:t>Humira</w:t>
            </w:r>
            <w:proofErr w:type="spellEnd"/>
            <w:r w:rsidRPr="005F01A3">
              <w:rPr>
                <w:i/>
                <w:iCs/>
                <w:color w:val="000000"/>
                <w:sz w:val="20"/>
                <w:szCs w:val="20"/>
              </w:rPr>
              <w:t xml:space="preserve"> in combination with methotrexate is indicated for the treatment of active polyarticular juvenile idiopathic arthritis, in children and adolescents from the age of 2 years who have had an inadequate response to one or more disease-modifying anti-rheumatic drugs (DMARDS). </w:t>
            </w:r>
            <w:proofErr w:type="spellStart"/>
            <w:r w:rsidRPr="005F01A3">
              <w:rPr>
                <w:i/>
                <w:iCs/>
                <w:color w:val="000000"/>
                <w:sz w:val="20"/>
                <w:szCs w:val="20"/>
              </w:rPr>
              <w:t>Humira</w:t>
            </w:r>
            <w:proofErr w:type="spellEnd"/>
            <w:r w:rsidRPr="005F01A3">
              <w:rPr>
                <w:i/>
                <w:iCs/>
                <w:color w:val="000000"/>
                <w:sz w:val="20"/>
                <w:szCs w:val="20"/>
              </w:rPr>
              <w:t xml:space="preserve"> can be given as monotherapy in case of intolerance to methotrexate or when continued treatment with methotrexate is inappropriate (for the efficacy in monotherapy see CLINICAL STUDIES). </w:t>
            </w:r>
            <w:proofErr w:type="spellStart"/>
            <w:r w:rsidRPr="005F01A3">
              <w:rPr>
                <w:i/>
                <w:iCs/>
                <w:color w:val="000000"/>
                <w:sz w:val="20"/>
                <w:szCs w:val="20"/>
              </w:rPr>
              <w:t>Humira</w:t>
            </w:r>
            <w:proofErr w:type="spellEnd"/>
            <w:r w:rsidRPr="005F01A3">
              <w:rPr>
                <w:i/>
                <w:iCs/>
                <w:color w:val="000000"/>
                <w:sz w:val="20"/>
                <w:szCs w:val="20"/>
              </w:rPr>
              <w:t xml:space="preserve"> has not been studied in c</w:t>
            </w:r>
            <w:r w:rsidR="005F01A3" w:rsidRPr="005F01A3">
              <w:rPr>
                <w:i/>
                <w:iCs/>
                <w:color w:val="000000"/>
                <w:sz w:val="20"/>
                <w:szCs w:val="20"/>
              </w:rPr>
              <w:t>hildren aged less than 2 years.</w:t>
            </w:r>
          </w:p>
        </w:tc>
      </w:tr>
      <w:tr w:rsidR="00452AF0" w:rsidRPr="005F01A3" w:rsidTr="005F01A3">
        <w:trPr>
          <w:trHeight w:val="146"/>
        </w:trPr>
        <w:tc>
          <w:tcPr>
            <w:tcW w:w="2332" w:type="dxa"/>
          </w:tcPr>
          <w:p w:rsidR="00452AF0" w:rsidRPr="005F01A3" w:rsidRDefault="005F01A3" w:rsidP="005F01A3">
            <w:pPr>
              <w:ind w:left="0" w:right="0"/>
              <w:rPr>
                <w:color w:val="000000"/>
                <w:sz w:val="20"/>
                <w:szCs w:val="20"/>
              </w:rPr>
            </w:pPr>
            <w:r w:rsidRPr="005F01A3">
              <w:rPr>
                <w:color w:val="000000"/>
                <w:sz w:val="20"/>
                <w:szCs w:val="20"/>
              </w:rPr>
              <w:t>Switzerland</w:t>
            </w:r>
          </w:p>
        </w:tc>
        <w:tc>
          <w:tcPr>
            <w:tcW w:w="2332" w:type="dxa"/>
          </w:tcPr>
          <w:p w:rsidR="00452AF0" w:rsidRPr="005F01A3" w:rsidRDefault="005F01A3" w:rsidP="005F01A3">
            <w:pPr>
              <w:ind w:left="0" w:right="0"/>
              <w:rPr>
                <w:color w:val="000000"/>
                <w:sz w:val="20"/>
                <w:szCs w:val="20"/>
              </w:rPr>
            </w:pPr>
            <w:r w:rsidRPr="005F01A3">
              <w:rPr>
                <w:color w:val="000000"/>
                <w:sz w:val="20"/>
                <w:szCs w:val="20"/>
              </w:rPr>
              <w:t>N/A</w:t>
            </w:r>
          </w:p>
        </w:tc>
        <w:tc>
          <w:tcPr>
            <w:tcW w:w="4375" w:type="dxa"/>
          </w:tcPr>
          <w:p w:rsidR="00452AF0" w:rsidRPr="005F01A3" w:rsidRDefault="005F01A3" w:rsidP="005F01A3">
            <w:pPr>
              <w:ind w:left="14" w:right="34"/>
              <w:rPr>
                <w:color w:val="000000"/>
                <w:sz w:val="20"/>
                <w:szCs w:val="20"/>
              </w:rPr>
            </w:pPr>
            <w:r w:rsidRPr="005F01A3">
              <w:rPr>
                <w:color w:val="000000"/>
                <w:sz w:val="20"/>
                <w:szCs w:val="20"/>
              </w:rPr>
              <w:t>N/A</w:t>
            </w:r>
          </w:p>
        </w:tc>
      </w:tr>
    </w:tbl>
    <w:p w:rsidR="00452AF0" w:rsidRDefault="00452AF0" w:rsidP="005F01A3">
      <w:pPr>
        <w:pStyle w:val="TableDescription"/>
      </w:pPr>
      <w:r>
        <w:t>N/A=not applicable (no submission as yet).</w:t>
      </w:r>
    </w:p>
    <w:p w:rsidR="00BE4818" w:rsidRDefault="00BE4818" w:rsidP="005F01A3">
      <w:r>
        <w:t>The dosage regimen approved in the USA is the same as proposed here but the dosage regimen approved in Europe is different and based on body surface area (patient’s height and weight) with more detailed dosage selection.</w:t>
      </w:r>
    </w:p>
    <w:p w:rsidR="00B7764D" w:rsidRDefault="00B7764D" w:rsidP="00BB5741">
      <w:r>
        <w:t>Four biological treatments are approved in Australia for JIA (</w:t>
      </w:r>
      <w:proofErr w:type="spellStart"/>
      <w:r>
        <w:t>abatacept</w:t>
      </w:r>
      <w:proofErr w:type="spellEnd"/>
      <w:r>
        <w:t xml:space="preserve">, </w:t>
      </w:r>
      <w:proofErr w:type="spellStart"/>
      <w:r>
        <w:t>tocilizumab</w:t>
      </w:r>
      <w:proofErr w:type="spellEnd"/>
      <w:r>
        <w:t xml:space="preserve">, </w:t>
      </w:r>
      <w:proofErr w:type="spellStart"/>
      <w:r>
        <w:t>etanercept</w:t>
      </w:r>
      <w:proofErr w:type="spellEnd"/>
      <w:r>
        <w:t xml:space="preserve"> and </w:t>
      </w:r>
      <w:proofErr w:type="spellStart"/>
      <w:r>
        <w:t>canakinumab</w:t>
      </w:r>
      <w:proofErr w:type="spellEnd"/>
      <w:r>
        <w:t xml:space="preserve">) with the latter three approved from the age of 2 years onwards and </w:t>
      </w:r>
      <w:proofErr w:type="spellStart"/>
      <w:r>
        <w:t>canakinumab</w:t>
      </w:r>
      <w:proofErr w:type="spellEnd"/>
      <w:r>
        <w:t xml:space="preserve"> only for systemic JIA.</w:t>
      </w:r>
      <w:r w:rsidR="00F071E1">
        <w:t xml:space="preserve"> </w:t>
      </w:r>
      <w:r>
        <w:t>The approved indications are as follows for JIA:</w:t>
      </w:r>
    </w:p>
    <w:p w:rsidR="00B7764D" w:rsidRPr="00BB5741" w:rsidRDefault="00B7764D" w:rsidP="00BB5741">
      <w:pPr>
        <w:pStyle w:val="Numberbullet0"/>
        <w:rPr>
          <w:i/>
        </w:rPr>
      </w:pPr>
      <w:proofErr w:type="spellStart"/>
      <w:r w:rsidRPr="00BB5741">
        <w:rPr>
          <w:i/>
        </w:rPr>
        <w:t>Abatacept</w:t>
      </w:r>
      <w:proofErr w:type="spellEnd"/>
      <w:r w:rsidRPr="00BB5741">
        <w:rPr>
          <w:i/>
        </w:rPr>
        <w:t>:</w:t>
      </w:r>
    </w:p>
    <w:p w:rsidR="00B7764D" w:rsidRPr="00BB5741" w:rsidRDefault="00B7764D" w:rsidP="00BB5741">
      <w:pPr>
        <w:pStyle w:val="ListBullet2"/>
        <w:rPr>
          <w:i/>
        </w:rPr>
      </w:pPr>
      <w:proofErr w:type="spellStart"/>
      <w:r w:rsidRPr="00BB5741">
        <w:rPr>
          <w:i/>
        </w:rPr>
        <w:t>Orencia</w:t>
      </w:r>
      <w:proofErr w:type="spellEnd"/>
      <w:r w:rsidRPr="00BB5741">
        <w:rPr>
          <w:i/>
        </w:rPr>
        <w:t xml:space="preserve">® is indicated for reducing signs and symptoms in paediatric patients 6 years of age and older with moderately to severely active polyarticular juvenile idiopathic arthritis </w:t>
      </w:r>
      <w:proofErr w:type="gramStart"/>
      <w:r w:rsidRPr="00BB5741">
        <w:rPr>
          <w:i/>
        </w:rPr>
        <w:t>who</w:t>
      </w:r>
      <w:proofErr w:type="gramEnd"/>
      <w:r w:rsidRPr="00BB5741">
        <w:rPr>
          <w:i/>
        </w:rPr>
        <w:t xml:space="preserve"> have had an inadequate response to one or more disease-modifying anti-rheumatic drugs (DMARDs). </w:t>
      </w:r>
      <w:proofErr w:type="spellStart"/>
      <w:r w:rsidRPr="00BB5741">
        <w:rPr>
          <w:i/>
        </w:rPr>
        <w:t>Orencia</w:t>
      </w:r>
      <w:proofErr w:type="spellEnd"/>
      <w:r w:rsidRPr="00BB5741">
        <w:rPr>
          <w:i/>
        </w:rPr>
        <w:t xml:space="preserve"> ® may be used as monotherapy or concomitantly with methotrexate (MTX). (There is no clinical trial data for the use of </w:t>
      </w:r>
      <w:proofErr w:type="spellStart"/>
      <w:r w:rsidRPr="00BB5741">
        <w:rPr>
          <w:i/>
        </w:rPr>
        <w:lastRenderedPageBreak/>
        <w:t>Orencia</w:t>
      </w:r>
      <w:proofErr w:type="spellEnd"/>
      <w:r w:rsidRPr="00BB5741">
        <w:rPr>
          <w:i/>
        </w:rPr>
        <w:t xml:space="preserve">® subcutaneous formulation in </w:t>
      </w:r>
      <w:proofErr w:type="gramStart"/>
      <w:r w:rsidRPr="00BB5741">
        <w:rPr>
          <w:i/>
        </w:rPr>
        <w:t>children,</w:t>
      </w:r>
      <w:proofErr w:type="gramEnd"/>
      <w:r w:rsidRPr="00BB5741">
        <w:rPr>
          <w:i/>
        </w:rPr>
        <w:t xml:space="preserve"> therefore its use in children cannot be recommended.)</w:t>
      </w:r>
    </w:p>
    <w:p w:rsidR="00B7764D" w:rsidRPr="00BB5741" w:rsidRDefault="00BB5741" w:rsidP="00BB5741">
      <w:pPr>
        <w:pStyle w:val="Numberbullet0"/>
        <w:rPr>
          <w:i/>
        </w:rPr>
      </w:pPr>
      <w:proofErr w:type="spellStart"/>
      <w:r w:rsidRPr="00BB5741">
        <w:rPr>
          <w:i/>
        </w:rPr>
        <w:t>Tocilizumab</w:t>
      </w:r>
      <w:proofErr w:type="spellEnd"/>
      <w:r w:rsidRPr="00BB5741">
        <w:rPr>
          <w:i/>
        </w:rPr>
        <w:t>:</w:t>
      </w:r>
    </w:p>
    <w:p w:rsidR="00B7764D" w:rsidRPr="00BB5741" w:rsidRDefault="00B7764D" w:rsidP="00BB5741">
      <w:pPr>
        <w:pStyle w:val="ListBullet2"/>
        <w:rPr>
          <w:i/>
        </w:rPr>
      </w:pPr>
      <w:proofErr w:type="spellStart"/>
      <w:r w:rsidRPr="00BB5741">
        <w:rPr>
          <w:i/>
        </w:rPr>
        <w:t>Polyarticular</w:t>
      </w:r>
      <w:proofErr w:type="spellEnd"/>
      <w:r w:rsidR="00BB5741" w:rsidRPr="00BB5741">
        <w:rPr>
          <w:i/>
        </w:rPr>
        <w:t xml:space="preserve"> Juvenile Idiopathic Arthritis</w:t>
      </w:r>
    </w:p>
    <w:p w:rsidR="00B7764D" w:rsidRPr="00BB5741" w:rsidRDefault="00B7764D" w:rsidP="00BB5741">
      <w:pPr>
        <w:pStyle w:val="ListBullet2"/>
        <w:numPr>
          <w:ilvl w:val="0"/>
          <w:numId w:val="0"/>
        </w:numPr>
        <w:ind w:left="720"/>
        <w:rPr>
          <w:i/>
        </w:rPr>
      </w:pPr>
      <w:proofErr w:type="spellStart"/>
      <w:r w:rsidRPr="00BB5741">
        <w:rPr>
          <w:i/>
        </w:rPr>
        <w:t>Actemra</w:t>
      </w:r>
      <w:proofErr w:type="spellEnd"/>
      <w:r w:rsidRPr="00BB5741">
        <w:rPr>
          <w:i/>
        </w:rPr>
        <w:t xml:space="preserve"> is indicated for the treatment of moderate to severe active polyarticular juvenile idiopathic arthritis in patients 2 years of age and older </w:t>
      </w:r>
      <w:proofErr w:type="gramStart"/>
      <w:r w:rsidRPr="00BB5741">
        <w:rPr>
          <w:i/>
        </w:rPr>
        <w:t>who</w:t>
      </w:r>
      <w:proofErr w:type="gramEnd"/>
      <w:r w:rsidRPr="00BB5741">
        <w:rPr>
          <w:i/>
        </w:rPr>
        <w:t xml:space="preserve"> have had an inadequate response to or intolerance to methotrexate (MTX). </w:t>
      </w:r>
      <w:proofErr w:type="spellStart"/>
      <w:r w:rsidRPr="00BB5741">
        <w:rPr>
          <w:i/>
        </w:rPr>
        <w:t>Actemra</w:t>
      </w:r>
      <w:proofErr w:type="spellEnd"/>
      <w:r w:rsidRPr="00BB5741">
        <w:rPr>
          <w:i/>
        </w:rPr>
        <w:t xml:space="preserve"> can be given alone or in combination with MTX.</w:t>
      </w:r>
    </w:p>
    <w:p w:rsidR="00B7764D" w:rsidRPr="00537E4D" w:rsidRDefault="00B7764D" w:rsidP="00B7764D">
      <w:pPr>
        <w:pStyle w:val="ListBullet2"/>
        <w:rPr>
          <w:i/>
        </w:rPr>
      </w:pPr>
      <w:r w:rsidRPr="00537E4D">
        <w:rPr>
          <w:i/>
        </w:rPr>
        <w:t>Systemi</w:t>
      </w:r>
      <w:r w:rsidR="00BB5741">
        <w:rPr>
          <w:i/>
        </w:rPr>
        <w:t>c Juvenile Idiopathic Arthritis</w:t>
      </w:r>
    </w:p>
    <w:p w:rsidR="00B7764D" w:rsidRPr="00537E4D" w:rsidRDefault="00B7764D" w:rsidP="00B7764D">
      <w:pPr>
        <w:pStyle w:val="ListBullet2"/>
        <w:numPr>
          <w:ilvl w:val="0"/>
          <w:numId w:val="0"/>
        </w:numPr>
        <w:ind w:left="720"/>
        <w:rPr>
          <w:i/>
        </w:rPr>
      </w:pPr>
      <w:proofErr w:type="spellStart"/>
      <w:r w:rsidRPr="00537E4D">
        <w:rPr>
          <w:i/>
        </w:rPr>
        <w:t>Actemra</w:t>
      </w:r>
      <w:proofErr w:type="spellEnd"/>
      <w:r w:rsidRPr="00537E4D">
        <w:rPr>
          <w:i/>
        </w:rPr>
        <w:t xml:space="preserve"> is indicated for the treatment of active systemic juvenile idiopathic arthritis in patients 2 years of age and older. </w:t>
      </w:r>
      <w:proofErr w:type="spellStart"/>
      <w:r w:rsidRPr="00537E4D">
        <w:rPr>
          <w:i/>
        </w:rPr>
        <w:t>Actemra</w:t>
      </w:r>
      <w:proofErr w:type="spellEnd"/>
      <w:r w:rsidRPr="00537E4D">
        <w:rPr>
          <w:i/>
        </w:rPr>
        <w:t xml:space="preserve"> can be given alone or in combination with methotrexate (MTX).</w:t>
      </w:r>
    </w:p>
    <w:p w:rsidR="00B7764D" w:rsidRDefault="00B7764D" w:rsidP="00E9102E">
      <w:pPr>
        <w:pStyle w:val="Numberbullet0"/>
        <w:numPr>
          <w:ilvl w:val="0"/>
          <w:numId w:val="2"/>
        </w:numPr>
      </w:pPr>
      <w:proofErr w:type="spellStart"/>
      <w:r w:rsidRPr="00BE4818">
        <w:rPr>
          <w:i/>
        </w:rPr>
        <w:t>Etanercept</w:t>
      </w:r>
      <w:proofErr w:type="spellEnd"/>
      <w:r w:rsidR="00BB5741">
        <w:t>:</w:t>
      </w:r>
    </w:p>
    <w:p w:rsidR="00B7764D" w:rsidRPr="00537E4D" w:rsidRDefault="00B7764D" w:rsidP="00B7764D">
      <w:pPr>
        <w:pStyle w:val="ListBullet2"/>
        <w:rPr>
          <w:i/>
        </w:rPr>
      </w:pPr>
      <w:r w:rsidRPr="00537E4D">
        <w:rPr>
          <w:i/>
        </w:rPr>
        <w:t xml:space="preserve">Active polyarthritis (rheumatoid factor positive or negative) in children and </w:t>
      </w:r>
      <w:proofErr w:type="gramStart"/>
      <w:r w:rsidRPr="00537E4D">
        <w:rPr>
          <w:i/>
        </w:rPr>
        <w:t>adolescents,</w:t>
      </w:r>
      <w:proofErr w:type="gramEnd"/>
      <w:r w:rsidRPr="00537E4D">
        <w:rPr>
          <w:i/>
        </w:rPr>
        <w:t xml:space="preserve"> aged 2 to 17 years, who have had an inadequate</w:t>
      </w:r>
      <w:r w:rsidR="00BB5741">
        <w:rPr>
          <w:i/>
        </w:rPr>
        <w:t xml:space="preserve"> response to one or more DMARDs</w:t>
      </w:r>
      <w:r w:rsidRPr="00537E4D">
        <w:rPr>
          <w:i/>
        </w:rPr>
        <w:t>.</w:t>
      </w:r>
    </w:p>
    <w:p w:rsidR="00B7764D" w:rsidRPr="00537E4D" w:rsidRDefault="00B7764D" w:rsidP="00B7764D">
      <w:pPr>
        <w:pStyle w:val="ListBullet2"/>
        <w:rPr>
          <w:i/>
        </w:rPr>
      </w:pPr>
      <w:r w:rsidRPr="00537E4D">
        <w:rPr>
          <w:i/>
        </w:rPr>
        <w:t xml:space="preserve">Active extended </w:t>
      </w:r>
      <w:proofErr w:type="spellStart"/>
      <w:r w:rsidRPr="00537E4D">
        <w:rPr>
          <w:i/>
        </w:rPr>
        <w:t>oligoarthritis</w:t>
      </w:r>
      <w:proofErr w:type="spellEnd"/>
      <w:r w:rsidRPr="00537E4D">
        <w:rPr>
          <w:i/>
        </w:rPr>
        <w:t xml:space="preserve"> in children and adolescents, aged 2 to 17 years, who have had an inadequate response to, or who have proved intolerant to, methotrexate.</w:t>
      </w:r>
    </w:p>
    <w:p w:rsidR="00B7764D" w:rsidRPr="00537E4D" w:rsidRDefault="00B7764D" w:rsidP="00B7764D">
      <w:pPr>
        <w:pStyle w:val="ListBullet2"/>
        <w:rPr>
          <w:i/>
        </w:rPr>
      </w:pPr>
      <w:r w:rsidRPr="00537E4D">
        <w:rPr>
          <w:i/>
        </w:rPr>
        <w:t>Active enthesitis-related arthritis in adolescents, aged 12 to 17 years, who have had an inadequate response to, or who have proved intolerant to, conventional therapy.</w:t>
      </w:r>
    </w:p>
    <w:p w:rsidR="00B7764D" w:rsidRPr="00537E4D" w:rsidRDefault="00B7764D" w:rsidP="00B7764D">
      <w:pPr>
        <w:pStyle w:val="ListBullet2"/>
        <w:rPr>
          <w:i/>
        </w:rPr>
      </w:pPr>
      <w:r w:rsidRPr="00537E4D">
        <w:rPr>
          <w:i/>
        </w:rPr>
        <w:t>Active psoriatic arthritis in adolescents, aged 12 to 17 years, who have had an inadequate response to, or who have proved intolerant to, methotrexate.</w:t>
      </w:r>
    </w:p>
    <w:p w:rsidR="00B7764D" w:rsidRPr="00537E4D" w:rsidRDefault="00B7764D" w:rsidP="00B7764D">
      <w:pPr>
        <w:pStyle w:val="ListBullet2"/>
        <w:rPr>
          <w:i/>
        </w:rPr>
      </w:pPr>
      <w:r w:rsidRPr="00537E4D">
        <w:rPr>
          <w:i/>
          <w:sz w:val="23"/>
          <w:szCs w:val="23"/>
        </w:rPr>
        <w:t>Enbrel has not been studied in children aged less than 2 years.</w:t>
      </w:r>
    </w:p>
    <w:p w:rsidR="00B7764D" w:rsidRPr="00537E4D" w:rsidRDefault="00B7764D" w:rsidP="00E9102E">
      <w:pPr>
        <w:pStyle w:val="Numberbullet0"/>
        <w:numPr>
          <w:ilvl w:val="0"/>
          <w:numId w:val="2"/>
        </w:numPr>
        <w:rPr>
          <w:i/>
        </w:rPr>
      </w:pPr>
      <w:proofErr w:type="spellStart"/>
      <w:r w:rsidRPr="00537E4D">
        <w:rPr>
          <w:i/>
        </w:rPr>
        <w:t>Canakinumab</w:t>
      </w:r>
      <w:proofErr w:type="spellEnd"/>
      <w:r w:rsidRPr="00537E4D">
        <w:rPr>
          <w:i/>
        </w:rPr>
        <w:t>:</w:t>
      </w:r>
    </w:p>
    <w:p w:rsidR="00B7764D" w:rsidRPr="00537E4D" w:rsidRDefault="00B7764D" w:rsidP="00B7764D">
      <w:pPr>
        <w:pStyle w:val="ListBullet2"/>
        <w:rPr>
          <w:i/>
        </w:rPr>
      </w:pPr>
      <w:proofErr w:type="spellStart"/>
      <w:r w:rsidRPr="00537E4D">
        <w:rPr>
          <w:i/>
        </w:rPr>
        <w:t>Ilaris</w:t>
      </w:r>
      <w:proofErr w:type="spellEnd"/>
      <w:r w:rsidRPr="00537E4D">
        <w:rPr>
          <w:i/>
        </w:rPr>
        <w:t xml:space="preserve"> is indicated for the treatment of active Systemic Juvenile Idiopathic Arthritis (</w:t>
      </w:r>
      <w:proofErr w:type="spellStart"/>
      <w:r w:rsidRPr="00537E4D">
        <w:rPr>
          <w:i/>
        </w:rPr>
        <w:t>sJIA</w:t>
      </w:r>
      <w:proofErr w:type="spellEnd"/>
      <w:r w:rsidRPr="00537E4D">
        <w:rPr>
          <w:i/>
        </w:rPr>
        <w:t>) in patients aged 2 years or older.</w:t>
      </w:r>
    </w:p>
    <w:p w:rsidR="008E7846" w:rsidRDefault="008E7846" w:rsidP="00BB5741">
      <w:pPr>
        <w:pStyle w:val="Heading3"/>
      </w:pPr>
      <w:bookmarkStart w:id="20" w:name="_Toc438563994"/>
      <w:r>
        <w:t>Product Information</w:t>
      </w:r>
      <w:bookmarkEnd w:id="18"/>
      <w:bookmarkEnd w:id="19"/>
      <w:bookmarkEnd w:id="20"/>
    </w:p>
    <w:p w:rsidR="00940A89" w:rsidRDefault="00940A89" w:rsidP="00940A89">
      <w:pPr>
        <w:rPr>
          <w:b/>
          <w:bCs/>
        </w:rPr>
      </w:pPr>
      <w:bookmarkStart w:id="21" w:name="_Toc247691506"/>
      <w:bookmarkStart w:id="22" w:name="_Toc314842487"/>
      <w:r w:rsidRPr="00940A89">
        <w:t xml:space="preserve">The approved Product Information (PI) current at the time this AusPAR was prepared can be found as Attachment 1. For the most recent </w:t>
      </w:r>
      <w:r w:rsidR="00133A1B">
        <w:t>PI,</w:t>
      </w:r>
      <w:r w:rsidRPr="00940A89">
        <w:t xml:space="preserve"> ple</w:t>
      </w:r>
      <w:r w:rsidR="00441C3F">
        <w:t>ase refer to the TGA website</w:t>
      </w:r>
      <w:r w:rsidR="00441C3F" w:rsidRPr="00441C3F">
        <w:t xml:space="preserve"> at &lt;</w:t>
      </w:r>
      <w:hyperlink r:id="rId17" w:history="1">
        <w:r w:rsidR="00441C3F" w:rsidRPr="00441C3F">
          <w:rPr>
            <w:rStyle w:val="Hyperlink"/>
          </w:rPr>
          <w:t>https://www.tga.gov.au/product-information-pi</w:t>
        </w:r>
      </w:hyperlink>
      <w:r w:rsidR="00441C3F">
        <w:t>&gt;</w:t>
      </w:r>
      <w:r w:rsidRPr="00940A89">
        <w:t>.</w:t>
      </w:r>
    </w:p>
    <w:p w:rsidR="008E7846" w:rsidRPr="003602A9" w:rsidRDefault="008E7846" w:rsidP="00BB5741">
      <w:pPr>
        <w:pStyle w:val="Heading2"/>
      </w:pPr>
      <w:bookmarkStart w:id="23" w:name="_Toc438563995"/>
      <w:r>
        <w:t>II. Quality</w:t>
      </w:r>
      <w:bookmarkEnd w:id="1"/>
      <w:r>
        <w:t xml:space="preserve"> </w:t>
      </w:r>
      <w:r w:rsidRPr="00BB5741">
        <w:t>findings</w:t>
      </w:r>
      <w:bookmarkEnd w:id="21"/>
      <w:bookmarkEnd w:id="22"/>
      <w:bookmarkEnd w:id="23"/>
    </w:p>
    <w:p w:rsidR="008E7846" w:rsidRPr="008751DC" w:rsidRDefault="008E7846" w:rsidP="008E7846">
      <w:pPr>
        <w:pStyle w:val="Heading3"/>
      </w:pPr>
      <w:bookmarkStart w:id="24" w:name="_Toc247691509"/>
      <w:bookmarkStart w:id="25" w:name="_Toc314842493"/>
      <w:bookmarkStart w:id="26" w:name="_Toc438563996"/>
      <w:r>
        <w:t>Quality s</w:t>
      </w:r>
      <w:r w:rsidRPr="008751DC">
        <w:t>ummary</w:t>
      </w:r>
      <w:r>
        <w:t xml:space="preserve"> and conclusions</w:t>
      </w:r>
      <w:bookmarkEnd w:id="24"/>
      <w:bookmarkEnd w:id="25"/>
      <w:bookmarkEnd w:id="26"/>
    </w:p>
    <w:p w:rsidR="002048A6" w:rsidRDefault="002048A6" w:rsidP="00BB5741">
      <w:pPr>
        <w:rPr>
          <w:b/>
        </w:rPr>
      </w:pPr>
      <w:r>
        <w:t>The validation of the methods for Determination of anti-Adalimumab-Antibodies in Human serum via Sandwich ELISA</w:t>
      </w:r>
      <w:r w:rsidR="002B4974">
        <w:rPr>
          <w:rStyle w:val="FootnoteReference"/>
        </w:rPr>
        <w:footnoteReference w:id="2"/>
      </w:r>
      <w:r>
        <w:t xml:space="preserve"> ANA </w:t>
      </w:r>
      <w:r w:rsidRPr="00F42EBF">
        <w:rPr>
          <w:iCs/>
        </w:rPr>
        <w:t>04/009</w:t>
      </w:r>
      <w:r>
        <w:rPr>
          <w:i/>
          <w:iCs/>
        </w:rPr>
        <w:t xml:space="preserve"> </w:t>
      </w:r>
      <w:r>
        <w:t xml:space="preserve">(Double-antigen Technique) and </w:t>
      </w:r>
      <w:r>
        <w:rPr>
          <w:color w:val="000000"/>
        </w:rPr>
        <w:t>Measurement of Adalimumab concentrations in serum</w:t>
      </w:r>
      <w:r>
        <w:rPr>
          <w:b/>
          <w:color w:val="000000"/>
        </w:rPr>
        <w:t xml:space="preserve">, </w:t>
      </w:r>
      <w:r>
        <w:rPr>
          <w:color w:val="000000"/>
        </w:rPr>
        <w:t xml:space="preserve">are </w:t>
      </w:r>
      <w:r>
        <w:t>satisfactory.</w:t>
      </w:r>
    </w:p>
    <w:p w:rsidR="008E7846" w:rsidRDefault="008E7846" w:rsidP="00BB5741">
      <w:pPr>
        <w:pStyle w:val="Heading2"/>
      </w:pPr>
      <w:bookmarkStart w:id="27" w:name="_Toc196046439"/>
      <w:bookmarkStart w:id="28" w:name="_Toc247691510"/>
      <w:bookmarkStart w:id="29" w:name="_Toc314842494"/>
      <w:bookmarkStart w:id="30" w:name="_Toc438563997"/>
      <w:r>
        <w:lastRenderedPageBreak/>
        <w:t>III. Nonclinical</w:t>
      </w:r>
      <w:bookmarkEnd w:id="27"/>
      <w:r>
        <w:t xml:space="preserve"> </w:t>
      </w:r>
      <w:r w:rsidRPr="00BB5741">
        <w:t>findings</w:t>
      </w:r>
      <w:bookmarkEnd w:id="28"/>
      <w:bookmarkEnd w:id="29"/>
      <w:bookmarkEnd w:id="30"/>
    </w:p>
    <w:p w:rsidR="00940A89" w:rsidRDefault="002B4974" w:rsidP="000E6196">
      <w:bookmarkStart w:id="31" w:name="_Toc247691511"/>
      <w:bookmarkStart w:id="32" w:name="_Toc314842495"/>
      <w:r>
        <w:t>No new n</w:t>
      </w:r>
      <w:r w:rsidR="00BB5741">
        <w:t>onclinical data were submitted.</w:t>
      </w:r>
    </w:p>
    <w:p w:rsidR="008E7846" w:rsidRPr="00254787" w:rsidRDefault="008E7846" w:rsidP="00BB5741">
      <w:pPr>
        <w:pStyle w:val="Heading2"/>
      </w:pPr>
      <w:bookmarkStart w:id="33" w:name="_Toc196046462"/>
      <w:bookmarkStart w:id="34" w:name="_Toc247691516"/>
      <w:bookmarkStart w:id="35" w:name="_Toc314842500"/>
      <w:bookmarkStart w:id="36" w:name="_Toc438563998"/>
      <w:bookmarkStart w:id="37" w:name="_Toc163441353"/>
      <w:bookmarkStart w:id="38" w:name="_Toc163441348"/>
      <w:bookmarkEnd w:id="31"/>
      <w:bookmarkEnd w:id="32"/>
      <w:r>
        <w:t xml:space="preserve">IV. </w:t>
      </w:r>
      <w:r w:rsidRPr="00254787">
        <w:t>Clinical</w:t>
      </w:r>
      <w:bookmarkEnd w:id="33"/>
      <w:r>
        <w:t xml:space="preserve"> </w:t>
      </w:r>
      <w:r w:rsidR="003A7F6C" w:rsidRPr="00BB5741">
        <w:t>f</w:t>
      </w:r>
      <w:r w:rsidRPr="00BB5741">
        <w:t>indings</w:t>
      </w:r>
      <w:bookmarkEnd w:id="34"/>
      <w:bookmarkEnd w:id="35"/>
      <w:bookmarkEnd w:id="36"/>
    </w:p>
    <w:p w:rsidR="00C80137" w:rsidRDefault="00C80137" w:rsidP="00BB5741">
      <w:bookmarkStart w:id="39" w:name="_Toc196046463"/>
      <w:r>
        <w:t xml:space="preserve">A summary of the </w:t>
      </w:r>
      <w:r w:rsidRPr="00FD70B8">
        <w:t xml:space="preserve">clinical findings is presented in this section. </w:t>
      </w:r>
      <w:r>
        <w:t xml:space="preserve">Further details of these </w:t>
      </w:r>
      <w:r w:rsidRPr="00FD70B8">
        <w:t>clinical findings can be found in Attachment 2.</w:t>
      </w:r>
    </w:p>
    <w:p w:rsidR="008E7846" w:rsidRDefault="008E7846" w:rsidP="00BB5741">
      <w:pPr>
        <w:pStyle w:val="Heading3"/>
      </w:pPr>
      <w:bookmarkStart w:id="40" w:name="_Toc247691517"/>
      <w:bookmarkStart w:id="41" w:name="_Toc314842501"/>
      <w:bookmarkStart w:id="42" w:name="_Toc438563999"/>
      <w:r w:rsidRPr="00BB5741">
        <w:t>Introduction</w:t>
      </w:r>
      <w:bookmarkEnd w:id="39"/>
      <w:bookmarkEnd w:id="40"/>
      <w:bookmarkEnd w:id="41"/>
      <w:bookmarkEnd w:id="42"/>
    </w:p>
    <w:p w:rsidR="00605AD4" w:rsidRDefault="00605AD4" w:rsidP="00BB5741">
      <w:pPr>
        <w:pStyle w:val="Heading4"/>
      </w:pPr>
      <w:bookmarkStart w:id="43" w:name="_Toc196046464"/>
      <w:bookmarkStart w:id="44" w:name="_Toc247691518"/>
      <w:bookmarkStart w:id="45" w:name="_Toc314842502"/>
      <w:r w:rsidRPr="00605AD4">
        <w:t xml:space="preserve">Clinical </w:t>
      </w:r>
      <w:r w:rsidR="00BB5741" w:rsidRPr="00BB5741">
        <w:t>r</w:t>
      </w:r>
      <w:r w:rsidRPr="00BB5741">
        <w:t>ationale</w:t>
      </w:r>
    </w:p>
    <w:p w:rsidR="00EC228C" w:rsidRDefault="00EC228C" w:rsidP="00BB5741">
      <w:r>
        <w:t xml:space="preserve">The </w:t>
      </w:r>
      <w:r w:rsidR="002B4974">
        <w:t xml:space="preserve">sponsor’s </w:t>
      </w:r>
      <w:r>
        <w:t xml:space="preserve">Clinical Overview stated that the pivotal study (M10-444) in paediatric patients aged 2 to &lt; 4 years of age was undertaken by AbbVie as a commitment to the </w:t>
      </w:r>
      <w:r>
        <w:rPr>
          <w:rFonts w:cs="‡oˆøª&amp;Â"/>
          <w:lang w:val="en-US"/>
        </w:rPr>
        <w:t xml:space="preserve">United States (US) Food and Drug Administration (FDA) and as a requirement of the European Medicines Agency (Pediatric Investigation Plan). The </w:t>
      </w:r>
      <w:r w:rsidR="002B4974">
        <w:rPr>
          <w:rFonts w:cs="‡oˆøª&amp;Â"/>
          <w:lang w:val="en-US"/>
        </w:rPr>
        <w:t xml:space="preserve">sponsor’s </w:t>
      </w:r>
      <w:r>
        <w:rPr>
          <w:rFonts w:cs="‡oˆøª&amp;Â"/>
          <w:lang w:val="en-US"/>
        </w:rPr>
        <w:t xml:space="preserve">Clinical Overview also stated that there is an </w:t>
      </w:r>
      <w:r w:rsidR="002B4974">
        <w:rPr>
          <w:rFonts w:cs="‡oˆøª&amp;Â"/>
          <w:lang w:val="en-US"/>
        </w:rPr>
        <w:t>‘</w:t>
      </w:r>
      <w:r w:rsidRPr="002B4974">
        <w:rPr>
          <w:rFonts w:cs="‡oˆøª&amp;Â"/>
          <w:i/>
          <w:lang w:val="en-US"/>
        </w:rPr>
        <w:t>evident medical need for treatment of this young patient population with JIA</w:t>
      </w:r>
      <w:r w:rsidR="002B4974">
        <w:rPr>
          <w:rFonts w:cs="‡oˆøª&amp;Â"/>
          <w:lang w:val="en-US"/>
        </w:rPr>
        <w:t>’</w:t>
      </w:r>
      <w:r w:rsidR="00BB5741">
        <w:rPr>
          <w:rFonts w:cs="‡oˆøª&amp;Â"/>
          <w:lang w:val="en-US"/>
        </w:rPr>
        <w:t>.</w:t>
      </w:r>
    </w:p>
    <w:p w:rsidR="00EC228C" w:rsidRDefault="00EC228C" w:rsidP="00BB5741">
      <w:pPr>
        <w:rPr>
          <w:lang w:val="en-US"/>
        </w:rPr>
      </w:pPr>
      <w:r>
        <w:rPr>
          <w:lang w:val="en-US"/>
        </w:rPr>
        <w:t>The sponsor's cl</w:t>
      </w:r>
      <w:r w:rsidR="00BB5741">
        <w:rPr>
          <w:lang w:val="en-US"/>
        </w:rPr>
        <w:t>inical rationale is acceptable.</w:t>
      </w:r>
    </w:p>
    <w:p w:rsidR="00605AD4" w:rsidRDefault="00605AD4" w:rsidP="00BB5741">
      <w:pPr>
        <w:pStyle w:val="Heading3"/>
      </w:pPr>
      <w:bookmarkStart w:id="46" w:name="_Toc438564000"/>
      <w:r w:rsidRPr="00605AD4">
        <w:t xml:space="preserve">Contents of </w:t>
      </w:r>
      <w:r w:rsidRPr="00BB5741">
        <w:t>the</w:t>
      </w:r>
      <w:r w:rsidRPr="00605AD4">
        <w:t xml:space="preserve"> clinical dossier</w:t>
      </w:r>
      <w:bookmarkEnd w:id="46"/>
    </w:p>
    <w:p w:rsidR="00EC228C" w:rsidRDefault="00EC228C" w:rsidP="00BB5741">
      <w:pPr>
        <w:pStyle w:val="Heading4"/>
      </w:pPr>
      <w:bookmarkStart w:id="47" w:name="_Toc283278880"/>
      <w:bookmarkStart w:id="48" w:name="_Toc290846234"/>
      <w:r>
        <w:t xml:space="preserve">Scope of the clinical </w:t>
      </w:r>
      <w:r w:rsidRPr="00BB5741">
        <w:t>dossier</w:t>
      </w:r>
      <w:bookmarkEnd w:id="47"/>
      <w:bookmarkEnd w:id="48"/>
    </w:p>
    <w:p w:rsidR="00EC228C" w:rsidRDefault="00EC228C" w:rsidP="00BB5741">
      <w:pPr>
        <w:rPr>
          <w:lang w:val="en-US"/>
        </w:rPr>
      </w:pPr>
      <w:r>
        <w:rPr>
          <w:lang w:val="en-US"/>
        </w:rPr>
        <w:t>The submission contained the following clinical information:</w:t>
      </w:r>
    </w:p>
    <w:p w:rsidR="00EC228C" w:rsidRDefault="00EC228C" w:rsidP="00BB5741">
      <w:pPr>
        <w:pStyle w:val="ListBullet"/>
        <w:rPr>
          <w:lang w:val="en-US"/>
        </w:rPr>
      </w:pPr>
      <w:r>
        <w:rPr>
          <w:lang w:val="en-US"/>
        </w:rPr>
        <w:t xml:space="preserve">Study M10-444 - uncontrolled study of compassionate use of </w:t>
      </w:r>
      <w:proofErr w:type="spellStart"/>
      <w:r>
        <w:rPr>
          <w:lang w:val="en-US"/>
        </w:rPr>
        <w:t>adalimumab</w:t>
      </w:r>
      <w:proofErr w:type="spellEnd"/>
      <w:r>
        <w:rPr>
          <w:lang w:val="en-US"/>
        </w:rPr>
        <w:t xml:space="preserve"> for the treatment of active </w:t>
      </w:r>
      <w:proofErr w:type="spellStart"/>
      <w:r w:rsidR="00F42EBF">
        <w:rPr>
          <w:rFonts w:asciiTheme="minorHAnsi" w:hAnsiTheme="minorHAnsi"/>
        </w:rPr>
        <w:t>polyarticular</w:t>
      </w:r>
      <w:proofErr w:type="spellEnd"/>
      <w:r w:rsidR="00F42EBF">
        <w:rPr>
          <w:rFonts w:asciiTheme="minorHAnsi" w:hAnsiTheme="minorHAnsi"/>
        </w:rPr>
        <w:t xml:space="preserve"> </w:t>
      </w:r>
      <w:r>
        <w:rPr>
          <w:lang w:val="en-US"/>
        </w:rPr>
        <w:t>juvenile idiopathic arthritis (</w:t>
      </w:r>
      <w:proofErr w:type="spellStart"/>
      <w:r w:rsidR="00F42EBF">
        <w:rPr>
          <w:lang w:val="en-US"/>
        </w:rPr>
        <w:t>p</w:t>
      </w:r>
      <w:r>
        <w:rPr>
          <w:lang w:val="en-US"/>
        </w:rPr>
        <w:t>JIA</w:t>
      </w:r>
      <w:proofErr w:type="spellEnd"/>
      <w:r>
        <w:rPr>
          <w:lang w:val="en-US"/>
        </w:rPr>
        <w:t xml:space="preserve">) in children aged 2 to &lt; 4 </w:t>
      </w:r>
      <w:r w:rsidRPr="00BB5741">
        <w:t>years</w:t>
      </w:r>
      <w:r>
        <w:rPr>
          <w:lang w:val="en-US"/>
        </w:rPr>
        <w:t xml:space="preserve"> and aged </w:t>
      </w:r>
      <w:r w:rsidR="00974CDD">
        <w:rPr>
          <w:lang w:val="en-US"/>
        </w:rPr>
        <w:t>≥ </w:t>
      </w:r>
      <w:r>
        <w:rPr>
          <w:lang w:val="en-US"/>
        </w:rPr>
        <w:t xml:space="preserve">4 years weighing &lt; 15 kg. </w:t>
      </w:r>
    </w:p>
    <w:p w:rsidR="00EC228C" w:rsidRDefault="00EC228C" w:rsidP="00BB5741">
      <w:pPr>
        <w:pStyle w:val="ListBullet"/>
        <w:rPr>
          <w:lang w:val="en-US"/>
        </w:rPr>
      </w:pPr>
      <w:r>
        <w:rPr>
          <w:lang w:val="en-US"/>
        </w:rPr>
        <w:t>Study P10-262 (interim report of first 4 years registry experience)</w:t>
      </w:r>
      <w:r w:rsidR="002B4974">
        <w:rPr>
          <w:lang w:val="en-US"/>
        </w:rPr>
        <w:t>:</w:t>
      </w:r>
      <w:r>
        <w:rPr>
          <w:lang w:val="en-US"/>
        </w:rPr>
        <w:t xml:space="preserve"> A long-term, multi-Centre, longitudinal post-marketing, observational registry to assess long term safety and effectiveness of </w:t>
      </w:r>
      <w:proofErr w:type="spellStart"/>
      <w:r w:rsidR="002B4974" w:rsidRPr="00BB5741">
        <w:t>Humira</w:t>
      </w:r>
      <w:proofErr w:type="spellEnd"/>
      <w:r>
        <w:rPr>
          <w:vertAlign w:val="superscript"/>
          <w:lang w:val="en-US"/>
        </w:rPr>
        <w:t xml:space="preserve"> </w:t>
      </w:r>
      <w:r>
        <w:rPr>
          <w:lang w:val="en-US"/>
        </w:rPr>
        <w:t>(</w:t>
      </w:r>
      <w:proofErr w:type="spellStart"/>
      <w:r>
        <w:rPr>
          <w:lang w:val="en-US"/>
        </w:rPr>
        <w:t>adalimumab</w:t>
      </w:r>
      <w:proofErr w:type="spellEnd"/>
      <w:r>
        <w:rPr>
          <w:lang w:val="en-US"/>
        </w:rPr>
        <w:t xml:space="preserve">) in children with moderately to severely active </w:t>
      </w:r>
      <w:proofErr w:type="spellStart"/>
      <w:r>
        <w:rPr>
          <w:lang w:val="en-US"/>
        </w:rPr>
        <w:t>polyarticular</w:t>
      </w:r>
      <w:proofErr w:type="spellEnd"/>
      <w:r>
        <w:rPr>
          <w:lang w:val="en-US"/>
        </w:rPr>
        <w:t xml:space="preserve"> or </w:t>
      </w:r>
      <w:proofErr w:type="spellStart"/>
      <w:r>
        <w:rPr>
          <w:lang w:val="en-US"/>
        </w:rPr>
        <w:t>polyarticular</w:t>
      </w:r>
      <w:proofErr w:type="spellEnd"/>
      <w:r>
        <w:rPr>
          <w:lang w:val="en-US"/>
        </w:rPr>
        <w:t>-course juvenile idiopathic arthriti</w:t>
      </w:r>
      <w:r w:rsidR="00BB5741">
        <w:rPr>
          <w:lang w:val="en-US"/>
        </w:rPr>
        <w:t>s (JIA)–STRIVE.</w:t>
      </w:r>
    </w:p>
    <w:p w:rsidR="00EC228C" w:rsidRDefault="00EC228C" w:rsidP="002B4974">
      <w:pPr>
        <w:pStyle w:val="ListBullet"/>
        <w:rPr>
          <w:lang w:val="en-US"/>
        </w:rPr>
      </w:pPr>
      <w:r>
        <w:rPr>
          <w:lang w:val="en-US"/>
        </w:rPr>
        <w:t>Bioanalysis validation report (ANA11-009)</w:t>
      </w:r>
      <w:r w:rsidR="002B4974">
        <w:rPr>
          <w:lang w:val="en-US"/>
        </w:rPr>
        <w:t>:</w:t>
      </w:r>
      <w:r>
        <w:rPr>
          <w:lang w:val="en-US"/>
        </w:rPr>
        <w:t xml:space="preserve"> </w:t>
      </w:r>
      <w:r>
        <w:rPr>
          <w:rFonts w:ascii="Times New Roman" w:hAnsi="Times New Roman"/>
          <w:sz w:val="23"/>
          <w:szCs w:val="23"/>
          <w:lang w:val="en-US"/>
        </w:rPr>
        <w:t>Partial validation of the analytical method after lot change of detection Biotin-labeled antibody</w:t>
      </w:r>
      <w:r>
        <w:rPr>
          <w:lang w:val="en-US"/>
        </w:rPr>
        <w:t xml:space="preserve"> (analytes = anti-adalimumab antibodies; method = sandwich ELI</w:t>
      </w:r>
      <w:r w:rsidR="00BB5741">
        <w:rPr>
          <w:lang w:val="en-US"/>
        </w:rPr>
        <w:t>SA [double antigen technique]).</w:t>
      </w:r>
    </w:p>
    <w:p w:rsidR="00EC228C" w:rsidRDefault="002B4974" w:rsidP="00BB5741">
      <w:pPr>
        <w:pStyle w:val="ListBullet"/>
        <w:rPr>
          <w:lang w:val="en-US"/>
        </w:rPr>
      </w:pPr>
      <w:r>
        <w:rPr>
          <w:lang w:val="en-US"/>
        </w:rPr>
        <w:t xml:space="preserve">A </w:t>
      </w:r>
      <w:r w:rsidR="00EC228C">
        <w:rPr>
          <w:lang w:val="en-US"/>
        </w:rPr>
        <w:t xml:space="preserve">Clinical Summary of Efficacy (CSE) Statistical Tables; </w:t>
      </w:r>
      <w:r>
        <w:rPr>
          <w:lang w:val="en-US"/>
        </w:rPr>
        <w:t xml:space="preserve">a </w:t>
      </w:r>
      <w:r w:rsidR="00EC228C">
        <w:rPr>
          <w:lang w:val="en-US"/>
        </w:rPr>
        <w:t>Clinical Summary of Safety (CSS) Statistical Tables; tabular listing of studies</w:t>
      </w:r>
      <w:r>
        <w:rPr>
          <w:lang w:val="en-US"/>
        </w:rPr>
        <w:t xml:space="preserve"> and</w:t>
      </w:r>
      <w:r w:rsidR="00BB5741">
        <w:rPr>
          <w:lang w:val="en-US"/>
        </w:rPr>
        <w:t xml:space="preserve"> literature references.</w:t>
      </w:r>
    </w:p>
    <w:p w:rsidR="00605AD4" w:rsidRDefault="00605AD4" w:rsidP="00BB5741">
      <w:pPr>
        <w:pStyle w:val="Heading4"/>
      </w:pPr>
      <w:r w:rsidRPr="00BB5741">
        <w:t>Paediatric</w:t>
      </w:r>
      <w:r w:rsidRPr="00605AD4">
        <w:t xml:space="preserve"> data</w:t>
      </w:r>
    </w:p>
    <w:p w:rsidR="00EC228C" w:rsidRPr="002B4974" w:rsidRDefault="00EC228C" w:rsidP="00BB5741">
      <w:r w:rsidRPr="002B4974">
        <w:t xml:space="preserve">The submission provides paediatric data specifically relating to the treatment of </w:t>
      </w:r>
      <w:proofErr w:type="spellStart"/>
      <w:r w:rsidRPr="002B4974">
        <w:t>pJIA</w:t>
      </w:r>
      <w:proofErr w:type="spellEnd"/>
      <w:r w:rsidRPr="002B4974">
        <w:t xml:space="preserve"> in children aged 2 to &lt; 4 years and aged </w:t>
      </w:r>
      <w:r w:rsidR="00974CDD">
        <w:rPr>
          <w:lang w:val="en-US"/>
        </w:rPr>
        <w:t>≥</w:t>
      </w:r>
      <w:r w:rsidRPr="002B4974">
        <w:t xml:space="preserve"> 4 years weighing &lt; 15 kg. The submission included a paediatric development program relating to provision of paediat</w:t>
      </w:r>
      <w:r w:rsidR="00BB5741">
        <w:t>ric data to the EU and the USA.</w:t>
      </w:r>
    </w:p>
    <w:p w:rsidR="00EC228C" w:rsidRDefault="00605AD4" w:rsidP="00BB5741">
      <w:pPr>
        <w:pStyle w:val="Heading4"/>
        <w:rPr>
          <w:rFonts w:asciiTheme="majorHAnsi" w:hAnsiTheme="majorHAnsi" w:cs="‡oˆøª&amp;Â"/>
          <w:szCs w:val="22"/>
          <w:lang w:val="en-US"/>
        </w:rPr>
      </w:pPr>
      <w:r w:rsidRPr="00605AD4">
        <w:t xml:space="preserve">Good </w:t>
      </w:r>
      <w:r w:rsidRPr="00BB5741">
        <w:t>clinical</w:t>
      </w:r>
      <w:r w:rsidRPr="00605AD4">
        <w:t xml:space="preserve"> practice</w:t>
      </w:r>
    </w:p>
    <w:p w:rsidR="00605AD4" w:rsidRDefault="00EC228C" w:rsidP="00BB5741">
      <w:r>
        <w:rPr>
          <w:lang w:val="en-US"/>
        </w:rPr>
        <w:t>The pivotal study (M10-444) complied with requirements for good clinical practice.</w:t>
      </w:r>
    </w:p>
    <w:p w:rsidR="008E7846" w:rsidRDefault="008E7846" w:rsidP="00BB5741">
      <w:pPr>
        <w:pStyle w:val="Heading3"/>
      </w:pPr>
      <w:bookmarkStart w:id="49" w:name="_Toc438564001"/>
      <w:r w:rsidRPr="00BB5741">
        <w:lastRenderedPageBreak/>
        <w:t>Pharmacokinetics</w:t>
      </w:r>
      <w:bookmarkEnd w:id="37"/>
      <w:bookmarkEnd w:id="43"/>
      <w:bookmarkEnd w:id="44"/>
      <w:bookmarkEnd w:id="45"/>
      <w:bookmarkEnd w:id="49"/>
    </w:p>
    <w:p w:rsidR="00605AD4" w:rsidRDefault="00605AD4" w:rsidP="00BB5741">
      <w:pPr>
        <w:pStyle w:val="Heading4"/>
      </w:pPr>
      <w:r>
        <w:t xml:space="preserve">Studies </w:t>
      </w:r>
      <w:r w:rsidRPr="00BB5741">
        <w:t>providing</w:t>
      </w:r>
      <w:r w:rsidR="00BB5741">
        <w:t xml:space="preserve"> pharmacokinetic data</w:t>
      </w:r>
    </w:p>
    <w:p w:rsidR="00EC228C" w:rsidRDefault="00EC228C" w:rsidP="00BB5741">
      <w:pPr>
        <w:rPr>
          <w:lang w:val="en-US"/>
        </w:rPr>
      </w:pPr>
      <w:r>
        <w:t xml:space="preserve">Study M10-444 (the pivotal study) </w:t>
      </w:r>
      <w:r>
        <w:rPr>
          <w:lang w:val="en-US"/>
        </w:rPr>
        <w:t>was a multi</w:t>
      </w:r>
      <w:r w:rsidR="002B4974">
        <w:rPr>
          <w:lang w:val="en-US"/>
        </w:rPr>
        <w:t>-</w:t>
      </w:r>
      <w:proofErr w:type="spellStart"/>
      <w:r>
        <w:rPr>
          <w:lang w:val="en-US"/>
        </w:rPr>
        <w:t>centre</w:t>
      </w:r>
      <w:proofErr w:type="spellEnd"/>
      <w:r>
        <w:rPr>
          <w:lang w:val="en-US"/>
        </w:rPr>
        <w:t xml:space="preserve">, </w:t>
      </w:r>
      <w:r w:rsidR="00817741">
        <w:rPr>
          <w:lang w:val="en-US"/>
        </w:rPr>
        <w:t>open label</w:t>
      </w:r>
      <w:r>
        <w:rPr>
          <w:lang w:val="en-US"/>
        </w:rPr>
        <w:t xml:space="preserve">, uncontrolled study of adalimumab undertaken at 14 sites in the US (including Puerto Rico) and Europe in </w:t>
      </w:r>
      <w:proofErr w:type="spellStart"/>
      <w:r>
        <w:rPr>
          <w:lang w:val="en-US"/>
        </w:rPr>
        <w:t>paediatric</w:t>
      </w:r>
      <w:proofErr w:type="spellEnd"/>
      <w:r>
        <w:rPr>
          <w:lang w:val="en-US"/>
        </w:rPr>
        <w:t xml:space="preserve"> patients with moderately to severely active </w:t>
      </w:r>
      <w:proofErr w:type="spellStart"/>
      <w:r>
        <w:rPr>
          <w:lang w:val="en-US"/>
        </w:rPr>
        <w:t>pJIA</w:t>
      </w:r>
      <w:proofErr w:type="spellEnd"/>
      <w:r>
        <w:rPr>
          <w:lang w:val="en-US"/>
        </w:rPr>
        <w:t xml:space="preserve"> or </w:t>
      </w:r>
      <w:proofErr w:type="spellStart"/>
      <w:r>
        <w:rPr>
          <w:lang w:val="en-US"/>
        </w:rPr>
        <w:t>polyarticular</w:t>
      </w:r>
      <w:proofErr w:type="spellEnd"/>
      <w:r>
        <w:rPr>
          <w:lang w:val="en-US"/>
        </w:rPr>
        <w:t xml:space="preserve"> course JIA aged</w:t>
      </w:r>
      <w:r w:rsidR="00F071E1">
        <w:rPr>
          <w:lang w:val="en-US"/>
        </w:rPr>
        <w:t xml:space="preserve"> </w:t>
      </w:r>
      <w:r>
        <w:rPr>
          <w:lang w:val="en-US"/>
        </w:rPr>
        <w:t xml:space="preserve">2 to &lt; 4 years or aged </w:t>
      </w:r>
      <w:r w:rsidR="00974CDD">
        <w:rPr>
          <w:lang w:val="en-US"/>
        </w:rPr>
        <w:t>≥</w:t>
      </w:r>
      <w:r w:rsidR="00237330">
        <w:rPr>
          <w:lang w:val="en-US"/>
        </w:rPr>
        <w:t xml:space="preserve"> </w:t>
      </w:r>
      <w:r>
        <w:rPr>
          <w:lang w:val="en-US"/>
        </w:rPr>
        <w:t>4 years weighing &lt; 15 kg. It was specified that the JIA diagnoses were to meet International League of Associations fo</w:t>
      </w:r>
      <w:r w:rsidR="00BB5741">
        <w:rPr>
          <w:lang w:val="en-US"/>
        </w:rPr>
        <w:t>r Rheumatology (ILAR) criteria.</w:t>
      </w:r>
    </w:p>
    <w:p w:rsidR="00EC228C" w:rsidRDefault="00EC228C" w:rsidP="00BB5741">
      <w:pPr>
        <w:rPr>
          <w:lang w:val="en-US"/>
        </w:rPr>
      </w:pPr>
      <w:r>
        <w:rPr>
          <w:lang w:val="en-US"/>
        </w:rPr>
        <w:t xml:space="preserve">The submission included an interim </w:t>
      </w:r>
      <w:r w:rsidR="002B4974">
        <w:rPr>
          <w:lang w:val="en-US"/>
        </w:rPr>
        <w:t>pharmacokinetics (</w:t>
      </w:r>
      <w:r>
        <w:rPr>
          <w:lang w:val="en-US"/>
        </w:rPr>
        <w:t>PK</w:t>
      </w:r>
      <w:r w:rsidR="002B4974">
        <w:rPr>
          <w:lang w:val="en-US"/>
        </w:rPr>
        <w:t>)</w:t>
      </w:r>
      <w:r>
        <w:rPr>
          <w:lang w:val="en-US"/>
        </w:rPr>
        <w:t xml:space="preserve"> report (R&amp;D/11/1281) focusing on the pharmacokinetics (PK) and immunogenicity of </w:t>
      </w:r>
      <w:proofErr w:type="spellStart"/>
      <w:r>
        <w:rPr>
          <w:lang w:val="en-US"/>
        </w:rPr>
        <w:t>adalimumab</w:t>
      </w:r>
      <w:proofErr w:type="spellEnd"/>
      <w:r>
        <w:rPr>
          <w:lang w:val="en-US"/>
        </w:rPr>
        <w:t xml:space="preserve"> in the </w:t>
      </w:r>
      <w:proofErr w:type="spellStart"/>
      <w:r>
        <w:rPr>
          <w:lang w:val="en-US"/>
        </w:rPr>
        <w:t>paediatric</w:t>
      </w:r>
      <w:proofErr w:type="spellEnd"/>
      <w:r>
        <w:rPr>
          <w:lang w:val="en-US"/>
        </w:rPr>
        <w:t xml:space="preserve"> patients from </w:t>
      </w:r>
      <w:r w:rsidR="002B4974">
        <w:rPr>
          <w:lang w:val="en-US"/>
        </w:rPr>
        <w:t>S</w:t>
      </w:r>
      <w:r>
        <w:rPr>
          <w:lang w:val="en-US"/>
        </w:rPr>
        <w:t xml:space="preserve">tudy M10-444 at </w:t>
      </w:r>
      <w:r w:rsidR="002B4974">
        <w:rPr>
          <w:lang w:val="en-US"/>
        </w:rPr>
        <w:t>W</w:t>
      </w:r>
      <w:r>
        <w:rPr>
          <w:lang w:val="en-US"/>
        </w:rPr>
        <w:t>eek 24 of treatment. The PK evaluation of adalimuma</w:t>
      </w:r>
      <w:r w:rsidR="002B4974">
        <w:rPr>
          <w:lang w:val="en-US"/>
        </w:rPr>
        <w:t>b was a secondary objective of Study M10-444. The PK data from S</w:t>
      </w:r>
      <w:r>
        <w:rPr>
          <w:lang w:val="en-US"/>
        </w:rPr>
        <w:t>tudy M10-444 have been fully evaluated. There were no other studies in the submission providing PK data in t</w:t>
      </w:r>
      <w:r w:rsidR="00BB5741">
        <w:rPr>
          <w:lang w:val="en-US"/>
        </w:rPr>
        <w:t>he proposed patient population.</w:t>
      </w:r>
    </w:p>
    <w:p w:rsidR="00605AD4" w:rsidRDefault="00605AD4" w:rsidP="00BB5741">
      <w:pPr>
        <w:pStyle w:val="Heading4"/>
      </w:pPr>
      <w:r>
        <w:t xml:space="preserve">Evaluator’s conclusions on </w:t>
      </w:r>
      <w:r w:rsidRPr="00BB5741">
        <w:t>pharmacokinetics</w:t>
      </w:r>
    </w:p>
    <w:p w:rsidR="00EC228C" w:rsidRDefault="00EC228C" w:rsidP="00BB5741">
      <w:r>
        <w:t>The pharmacokinetics of adalimumab in the proposed patient population have been adequate</w:t>
      </w:r>
      <w:r w:rsidR="002B4974">
        <w:t>ly characteris</w:t>
      </w:r>
      <w:r>
        <w:t xml:space="preserve">ed in 15 paediatric subjects with </w:t>
      </w:r>
      <w:proofErr w:type="spellStart"/>
      <w:r>
        <w:t>pJIA</w:t>
      </w:r>
      <w:proofErr w:type="spellEnd"/>
      <w:r>
        <w:t xml:space="preserve"> from </w:t>
      </w:r>
      <w:r w:rsidR="002B4974">
        <w:t>S</w:t>
      </w:r>
      <w:r>
        <w:t>tudy M10-444 of mean age 3.0 years (range: 2, 4.2 years) and mean weight 13.1 kg (range: 11.0, 16.0 kg). The 15 subjects with PK data were a subset of the 32 subjects enrolled in the study. Participation in the PK analysis was not a requirement for subjects enrolled into the study. The baseline demographic characteristics of the 15 subjects with PK data were consistent with those o</w:t>
      </w:r>
      <w:r w:rsidR="00BB5741">
        <w:t>f the 32 subjects in the study.</w:t>
      </w:r>
    </w:p>
    <w:p w:rsidR="00EC228C" w:rsidRPr="00C068A4" w:rsidRDefault="00EC228C" w:rsidP="00BB5741">
      <w:r w:rsidRPr="00C068A4">
        <w:rPr>
          <w:lang w:val="en-US"/>
        </w:rPr>
        <w:t xml:space="preserve">In </w:t>
      </w:r>
      <w:r w:rsidR="002B4974" w:rsidRPr="00C068A4">
        <w:rPr>
          <w:lang w:val="en-US"/>
        </w:rPr>
        <w:t>S</w:t>
      </w:r>
      <w:r w:rsidRPr="00C068A4">
        <w:rPr>
          <w:lang w:val="en-US"/>
        </w:rPr>
        <w:t xml:space="preserve">tudy </w:t>
      </w:r>
      <w:r w:rsidR="00D75D3C" w:rsidRPr="00C068A4">
        <w:rPr>
          <w:lang w:val="en-US"/>
        </w:rPr>
        <w:t>M10-444</w:t>
      </w:r>
      <w:r w:rsidRPr="00C068A4">
        <w:rPr>
          <w:lang w:val="en-US"/>
        </w:rPr>
        <w:t xml:space="preserve">(N=15), following treatment with </w:t>
      </w:r>
      <w:proofErr w:type="spellStart"/>
      <w:r w:rsidRPr="00C068A4">
        <w:rPr>
          <w:lang w:val="en-US"/>
        </w:rPr>
        <w:t>adalimumab</w:t>
      </w:r>
      <w:proofErr w:type="spellEnd"/>
      <w:r w:rsidRPr="00C068A4">
        <w:rPr>
          <w:lang w:val="en-US"/>
        </w:rPr>
        <w:t xml:space="preserve"> 24 mg/m</w:t>
      </w:r>
      <w:r w:rsidRPr="00C068A4">
        <w:rPr>
          <w:vertAlign w:val="superscript"/>
          <w:lang w:val="en-US"/>
        </w:rPr>
        <w:t>2</w:t>
      </w:r>
      <w:r w:rsidRPr="00C068A4">
        <w:rPr>
          <w:lang w:val="en-US"/>
        </w:rPr>
        <w:t xml:space="preserve"> </w:t>
      </w:r>
      <w:r w:rsidR="002B4974" w:rsidRPr="00C068A4">
        <w:rPr>
          <w:lang w:val="en-US"/>
        </w:rPr>
        <w:t>body surface area (</w:t>
      </w:r>
      <w:r w:rsidRPr="00C068A4">
        <w:rPr>
          <w:lang w:val="en-US"/>
        </w:rPr>
        <w:t>BSA</w:t>
      </w:r>
      <w:r w:rsidR="002B4974" w:rsidRPr="00C068A4">
        <w:rPr>
          <w:lang w:val="en-US"/>
        </w:rPr>
        <w:t>)</w:t>
      </w:r>
      <w:r w:rsidR="00237330" w:rsidRPr="00C068A4">
        <w:rPr>
          <w:lang w:val="en-US"/>
        </w:rPr>
        <w:t xml:space="preserve"> </w:t>
      </w:r>
      <w:r w:rsidR="00537E4D" w:rsidRPr="00C068A4">
        <w:rPr>
          <w:lang w:val="en-US"/>
        </w:rPr>
        <w:t>e</w:t>
      </w:r>
      <w:proofErr w:type="spellStart"/>
      <w:r w:rsidR="00537E4D" w:rsidRPr="00C068A4">
        <w:t>very</w:t>
      </w:r>
      <w:proofErr w:type="spellEnd"/>
      <w:r w:rsidR="00537E4D" w:rsidRPr="00C068A4">
        <w:t xml:space="preserve"> other week (</w:t>
      </w:r>
      <w:proofErr w:type="spellStart"/>
      <w:r w:rsidRPr="00C068A4">
        <w:rPr>
          <w:lang w:val="en-US"/>
        </w:rPr>
        <w:t>eow</w:t>
      </w:r>
      <w:proofErr w:type="spellEnd"/>
      <w:r w:rsidR="00537E4D" w:rsidRPr="00C068A4">
        <w:rPr>
          <w:lang w:val="en-US"/>
        </w:rPr>
        <w:t>)</w:t>
      </w:r>
      <w:r w:rsidRPr="00C068A4">
        <w:rPr>
          <w:lang w:val="en-US"/>
        </w:rPr>
        <w:t xml:space="preserve"> (with or without </w:t>
      </w:r>
      <w:r w:rsidR="00EE387D" w:rsidRPr="00C068A4">
        <w:rPr>
          <w:lang w:val="en-US"/>
        </w:rPr>
        <w:t>m</w:t>
      </w:r>
      <w:proofErr w:type="spellStart"/>
      <w:r w:rsidR="00EE387D" w:rsidRPr="00C068A4">
        <w:t>ethotrexate</w:t>
      </w:r>
      <w:proofErr w:type="spellEnd"/>
      <w:r w:rsidR="00EE387D" w:rsidRPr="00C068A4">
        <w:rPr>
          <w:lang w:val="en-US"/>
        </w:rPr>
        <w:t xml:space="preserve"> (</w:t>
      </w:r>
      <w:r w:rsidRPr="00C068A4">
        <w:rPr>
          <w:lang w:val="en-US"/>
        </w:rPr>
        <w:t>MTX</w:t>
      </w:r>
      <w:r w:rsidR="00EE387D" w:rsidRPr="00C068A4">
        <w:rPr>
          <w:lang w:val="en-US"/>
        </w:rPr>
        <w:t>)</w:t>
      </w:r>
      <w:r w:rsidRPr="00C068A4">
        <w:rPr>
          <w:lang w:val="en-US"/>
        </w:rPr>
        <w:t xml:space="preserve">) the steady-state mean ± </w:t>
      </w:r>
      <w:r w:rsidR="002B4974" w:rsidRPr="00C068A4">
        <w:rPr>
          <w:lang w:val="en-US"/>
        </w:rPr>
        <w:t>standard deviation (</w:t>
      </w:r>
      <w:r w:rsidRPr="00C068A4">
        <w:rPr>
          <w:lang w:val="en-US"/>
        </w:rPr>
        <w:t>SD</w:t>
      </w:r>
      <w:r w:rsidR="002B4974" w:rsidRPr="00C068A4">
        <w:rPr>
          <w:lang w:val="en-US"/>
        </w:rPr>
        <w:t>)</w:t>
      </w:r>
      <w:r w:rsidRPr="00C068A4">
        <w:rPr>
          <w:lang w:val="en-US"/>
        </w:rPr>
        <w:t xml:space="preserve"> serum </w:t>
      </w:r>
      <w:proofErr w:type="spellStart"/>
      <w:r w:rsidRPr="00C068A4">
        <w:rPr>
          <w:lang w:val="en-US"/>
        </w:rPr>
        <w:t>adalimumab</w:t>
      </w:r>
      <w:proofErr w:type="spellEnd"/>
      <w:r w:rsidRPr="00C068A4">
        <w:rPr>
          <w:lang w:val="en-US"/>
        </w:rPr>
        <w:t xml:space="preserve"> trough concentrations at Week 12 and Week 24 were 6.97 ± 5.69 </w:t>
      </w:r>
      <w:r w:rsidR="002B4974" w:rsidRPr="00C068A4">
        <w:rPr>
          <w:lang w:val="en-US"/>
        </w:rPr>
        <w:t>µ</w:t>
      </w:r>
      <w:r w:rsidRPr="00C068A4">
        <w:rPr>
          <w:lang w:val="en-US"/>
        </w:rPr>
        <w:t xml:space="preserve">g/mL and 7.78 ± 5.85 </w:t>
      </w:r>
      <w:r w:rsidR="002B4974" w:rsidRPr="00C068A4">
        <w:rPr>
          <w:lang w:val="en-US"/>
        </w:rPr>
        <w:t>µg</w:t>
      </w:r>
      <w:r w:rsidRPr="00C068A4">
        <w:rPr>
          <w:lang w:val="en-US"/>
        </w:rPr>
        <w:t>/mL, respectively. The steady-state mean serum adalimumab trough concentrations at Week 12 and Week 24 were higher in subjects treated with adalimumab 24 mg/m</w:t>
      </w:r>
      <w:r w:rsidRPr="00C068A4">
        <w:rPr>
          <w:vertAlign w:val="superscript"/>
          <w:lang w:val="en-US"/>
        </w:rPr>
        <w:t>2</w:t>
      </w:r>
      <w:r w:rsidRPr="00C068A4">
        <w:rPr>
          <w:lang w:val="en-US"/>
        </w:rPr>
        <w:t xml:space="preserve"> BSA </w:t>
      </w:r>
      <w:proofErr w:type="spellStart"/>
      <w:r w:rsidRPr="00C068A4">
        <w:rPr>
          <w:lang w:val="en-US"/>
        </w:rPr>
        <w:t>eow</w:t>
      </w:r>
      <w:proofErr w:type="spellEnd"/>
      <w:r w:rsidRPr="00C068A4">
        <w:rPr>
          <w:lang w:val="en-US"/>
        </w:rPr>
        <w:t xml:space="preserve"> with MTX (N=11) than without MTX (N=4). However, the difference between the two groups should be interpreted cautiously due to the imbalance in subject numbers between the two groups (N=11 [with MTX] v</w:t>
      </w:r>
      <w:r w:rsidR="002B4974" w:rsidRPr="00C068A4">
        <w:rPr>
          <w:lang w:val="en-US"/>
        </w:rPr>
        <w:t>ersu</w:t>
      </w:r>
      <w:r w:rsidRPr="00C068A4">
        <w:rPr>
          <w:lang w:val="en-US"/>
        </w:rPr>
        <w:t xml:space="preserve">s N=4 [without MTX]), and </w:t>
      </w:r>
      <w:r w:rsidRPr="00C068A4">
        <w:t>the higher inter-subject variability in adalimumab concentration in the adalimumab without MTX group compared to the adalimumab with MTX group (</w:t>
      </w:r>
      <w:r w:rsidR="002B4974" w:rsidRPr="00C068A4">
        <w:t xml:space="preserve">coefficient of variation (CV) </w:t>
      </w:r>
      <w:r w:rsidRPr="00C068A4">
        <w:t>105% v</w:t>
      </w:r>
      <w:r w:rsidR="002B4974" w:rsidRPr="00C068A4">
        <w:t>ersu</w:t>
      </w:r>
      <w:r w:rsidRPr="00C068A4">
        <w:t>s CV 79%, respectively)</w:t>
      </w:r>
      <w:r w:rsidR="002B4974" w:rsidRPr="00C068A4">
        <w:t>.</w:t>
      </w:r>
    </w:p>
    <w:p w:rsidR="00EC228C" w:rsidRPr="00C068A4" w:rsidRDefault="00EC228C" w:rsidP="00BB5741">
      <w:pPr>
        <w:rPr>
          <w:lang w:val="en-US"/>
        </w:rPr>
      </w:pPr>
      <w:r w:rsidRPr="00C068A4">
        <w:t xml:space="preserve">In subjects treated with </w:t>
      </w:r>
      <w:proofErr w:type="spellStart"/>
      <w:r w:rsidRPr="00C068A4">
        <w:t>adalimumab</w:t>
      </w:r>
      <w:proofErr w:type="spellEnd"/>
      <w:r w:rsidRPr="00C068A4">
        <w:t xml:space="preserve"> 24 mg/m2 </w:t>
      </w:r>
      <w:proofErr w:type="spellStart"/>
      <w:r w:rsidRPr="00C068A4">
        <w:t>eow</w:t>
      </w:r>
      <w:proofErr w:type="spellEnd"/>
      <w:r w:rsidRPr="00C068A4">
        <w:t xml:space="preserve"> with MTX, the mean serum ± SD adalimumab steady-state trough concentration at Week 24</w:t>
      </w:r>
      <w:r w:rsidRPr="00C068A4">
        <w:rPr>
          <w:lang w:val="en-US"/>
        </w:rPr>
        <w:t xml:space="preserve"> in the proposed </w:t>
      </w:r>
      <w:proofErr w:type="spellStart"/>
      <w:r w:rsidRPr="00C068A4">
        <w:rPr>
          <w:lang w:val="en-US"/>
        </w:rPr>
        <w:t>paediatric</w:t>
      </w:r>
      <w:proofErr w:type="spellEnd"/>
      <w:r w:rsidRPr="00C068A4">
        <w:rPr>
          <w:lang w:val="en-US"/>
        </w:rPr>
        <w:t xml:space="preserve"> group (N=11) from </w:t>
      </w:r>
      <w:r w:rsidR="002B4974" w:rsidRPr="00C068A4">
        <w:rPr>
          <w:lang w:val="en-US"/>
        </w:rPr>
        <w:t>S</w:t>
      </w:r>
      <w:r w:rsidRPr="00C068A4">
        <w:rPr>
          <w:lang w:val="en-US"/>
        </w:rPr>
        <w:t xml:space="preserve">tudy </w:t>
      </w:r>
      <w:r w:rsidR="00D75D3C" w:rsidRPr="00C068A4">
        <w:rPr>
          <w:lang w:val="en-US"/>
        </w:rPr>
        <w:t xml:space="preserve">M10-444 </w:t>
      </w:r>
      <w:r w:rsidRPr="00C068A4">
        <w:rPr>
          <w:lang w:val="en-US"/>
        </w:rPr>
        <w:t xml:space="preserve">was similar to that at Week 16 in the approved </w:t>
      </w:r>
      <w:proofErr w:type="spellStart"/>
      <w:r w:rsidRPr="00C068A4">
        <w:rPr>
          <w:lang w:val="en-US"/>
        </w:rPr>
        <w:t>paediatric</w:t>
      </w:r>
      <w:proofErr w:type="spellEnd"/>
      <w:r w:rsidRPr="00C068A4">
        <w:rPr>
          <w:lang w:val="en-US"/>
        </w:rPr>
        <w:t xml:space="preserve"> group (N=36) from </w:t>
      </w:r>
      <w:r w:rsidR="00F00F6F" w:rsidRPr="00C068A4">
        <w:rPr>
          <w:lang w:val="en-US"/>
        </w:rPr>
        <w:t>Study D</w:t>
      </w:r>
      <w:r w:rsidRPr="00C068A4">
        <w:rPr>
          <w:lang w:val="en-US"/>
        </w:rPr>
        <w:t>E038 (8.45 ± 5.69 v</w:t>
      </w:r>
      <w:r w:rsidR="002B4974" w:rsidRPr="00C068A4">
        <w:rPr>
          <w:lang w:val="en-US"/>
        </w:rPr>
        <w:t>ersu</w:t>
      </w:r>
      <w:r w:rsidRPr="00C068A4">
        <w:rPr>
          <w:lang w:val="en-US"/>
        </w:rPr>
        <w:t xml:space="preserve">s 8.85 ± 5.53 </w:t>
      </w:r>
      <w:r w:rsidR="002B4974" w:rsidRPr="00C068A4">
        <w:rPr>
          <w:lang w:val="en-US"/>
        </w:rPr>
        <w:t>µg</w:t>
      </w:r>
      <w:r w:rsidRPr="00C068A4">
        <w:rPr>
          <w:lang w:val="en-US"/>
        </w:rPr>
        <w:t xml:space="preserve">/mL, respectively). However, in patients treated with </w:t>
      </w:r>
      <w:proofErr w:type="spellStart"/>
      <w:r w:rsidRPr="00C068A4">
        <w:rPr>
          <w:lang w:val="en-US"/>
        </w:rPr>
        <w:t>adalimumab</w:t>
      </w:r>
      <w:proofErr w:type="spellEnd"/>
      <w:r w:rsidRPr="00C068A4">
        <w:rPr>
          <w:lang w:val="en-US"/>
        </w:rPr>
        <w:t xml:space="preserve"> 24 mg/m</w:t>
      </w:r>
      <w:r w:rsidRPr="00C068A4">
        <w:rPr>
          <w:vertAlign w:val="superscript"/>
          <w:lang w:val="en-US"/>
        </w:rPr>
        <w:t>2</w:t>
      </w:r>
      <w:r w:rsidRPr="00C068A4">
        <w:rPr>
          <w:lang w:val="en-US"/>
        </w:rPr>
        <w:t xml:space="preserve"> </w:t>
      </w:r>
      <w:proofErr w:type="spellStart"/>
      <w:r w:rsidRPr="00C068A4">
        <w:rPr>
          <w:lang w:val="en-US"/>
        </w:rPr>
        <w:t>eow</w:t>
      </w:r>
      <w:proofErr w:type="spellEnd"/>
      <w:r w:rsidRPr="00C068A4">
        <w:rPr>
          <w:lang w:val="en-US"/>
        </w:rPr>
        <w:t xml:space="preserve"> without MTX, the mean ± SD serum adalimumab steady-state trough concentration at Week 24 in the proposed </w:t>
      </w:r>
      <w:proofErr w:type="spellStart"/>
      <w:r w:rsidRPr="00C068A4">
        <w:rPr>
          <w:lang w:val="en-US"/>
        </w:rPr>
        <w:t>paediatric</w:t>
      </w:r>
      <w:proofErr w:type="spellEnd"/>
      <w:r w:rsidRPr="00C068A4">
        <w:rPr>
          <w:lang w:val="en-US"/>
        </w:rPr>
        <w:t xml:space="preserve"> gro</w:t>
      </w:r>
      <w:r w:rsidR="002B4974" w:rsidRPr="00C068A4">
        <w:rPr>
          <w:lang w:val="en-US"/>
        </w:rPr>
        <w:t>up (N=4) from S</w:t>
      </w:r>
      <w:r w:rsidRPr="00C068A4">
        <w:rPr>
          <w:lang w:val="en-US"/>
        </w:rPr>
        <w:t xml:space="preserve">tudy </w:t>
      </w:r>
      <w:r w:rsidR="00D75D3C" w:rsidRPr="00C068A4">
        <w:rPr>
          <w:lang w:val="en-US"/>
        </w:rPr>
        <w:t>M10-444</w:t>
      </w:r>
      <w:r w:rsidRPr="00C068A4">
        <w:rPr>
          <w:lang w:val="en-US"/>
        </w:rPr>
        <w:t>was lower than the corresponding concentration at Week 16 in the approve</w:t>
      </w:r>
      <w:r w:rsidR="002B4974" w:rsidRPr="00C068A4">
        <w:rPr>
          <w:lang w:val="en-US"/>
        </w:rPr>
        <w:t xml:space="preserve">d </w:t>
      </w:r>
      <w:proofErr w:type="spellStart"/>
      <w:r w:rsidR="002B4974" w:rsidRPr="00C068A4">
        <w:rPr>
          <w:lang w:val="en-US"/>
        </w:rPr>
        <w:t>paediatric</w:t>
      </w:r>
      <w:proofErr w:type="spellEnd"/>
      <w:r w:rsidR="002B4974" w:rsidRPr="00C068A4">
        <w:rPr>
          <w:lang w:val="en-US"/>
        </w:rPr>
        <w:t xml:space="preserve"> group (N=29) from S</w:t>
      </w:r>
      <w:r w:rsidRPr="00C068A4">
        <w:rPr>
          <w:lang w:val="en-US"/>
        </w:rPr>
        <w:t>tudy DE038 (5.95 ± 6.74 [CV = 113%] v</w:t>
      </w:r>
      <w:r w:rsidR="002B4974" w:rsidRPr="00C068A4">
        <w:rPr>
          <w:lang w:val="en-US"/>
        </w:rPr>
        <w:t>ersu</w:t>
      </w:r>
      <w:r w:rsidRPr="00C068A4">
        <w:rPr>
          <w:lang w:val="en-US"/>
        </w:rPr>
        <w:t xml:space="preserve">s 7.03 ± 6.26 </w:t>
      </w:r>
      <w:r w:rsidR="002B4974" w:rsidRPr="00C068A4">
        <w:rPr>
          <w:lang w:val="en-US"/>
        </w:rPr>
        <w:t>µg</w:t>
      </w:r>
      <w:r w:rsidRPr="00C068A4">
        <w:rPr>
          <w:lang w:val="en-US"/>
        </w:rPr>
        <w:t>/mL [CV = 89%], respectively). The comparative data for steady-state adalimumab concentration in patients treated with adalimumab without MTX should be interpreted cautiously due to the high inter-subject variability in both studies and the marked imbalance in subject n</w:t>
      </w:r>
      <w:r w:rsidR="00BB5741">
        <w:rPr>
          <w:lang w:val="en-US"/>
        </w:rPr>
        <w:t>umbers between the two studies.</w:t>
      </w:r>
    </w:p>
    <w:p w:rsidR="00EC228C" w:rsidRDefault="00EC228C" w:rsidP="00BB5741">
      <w:pPr>
        <w:rPr>
          <w:lang w:val="en-US"/>
        </w:rPr>
      </w:pPr>
      <w:r w:rsidRPr="00C068A4">
        <w:rPr>
          <w:lang w:val="en-US"/>
        </w:rPr>
        <w:t>Of the 15 patien</w:t>
      </w:r>
      <w:r w:rsidR="002B4974" w:rsidRPr="00C068A4">
        <w:rPr>
          <w:lang w:val="en-US"/>
        </w:rPr>
        <w:t>ts from S</w:t>
      </w:r>
      <w:r w:rsidRPr="00C068A4">
        <w:rPr>
          <w:lang w:val="en-US"/>
        </w:rPr>
        <w:t xml:space="preserve">tudy </w:t>
      </w:r>
      <w:r w:rsidR="00D75D3C" w:rsidRPr="00C068A4">
        <w:rPr>
          <w:lang w:val="en-US"/>
        </w:rPr>
        <w:t xml:space="preserve">M10-444 </w:t>
      </w:r>
      <w:r w:rsidRPr="00C068A4">
        <w:rPr>
          <w:lang w:val="en-US"/>
        </w:rPr>
        <w:t xml:space="preserve">with </w:t>
      </w:r>
      <w:r w:rsidR="00537E4D" w:rsidRPr="00C068A4">
        <w:t>Anti-adalimumab antibody</w:t>
      </w:r>
      <w:r w:rsidR="00537E4D" w:rsidRPr="00C068A4">
        <w:rPr>
          <w:lang w:val="en-US"/>
        </w:rPr>
        <w:t xml:space="preserve"> (</w:t>
      </w:r>
      <w:r w:rsidRPr="00C068A4">
        <w:rPr>
          <w:lang w:val="en-US"/>
        </w:rPr>
        <w:t>AAA</w:t>
      </w:r>
      <w:r w:rsidR="00537E4D" w:rsidRPr="00C068A4">
        <w:rPr>
          <w:lang w:val="en-US"/>
        </w:rPr>
        <w:t>)</w:t>
      </w:r>
      <w:r w:rsidRPr="00C068A4">
        <w:rPr>
          <w:lang w:val="en-US"/>
        </w:rPr>
        <w:t xml:space="preserve"> data, there was one patient who became </w:t>
      </w:r>
      <w:r w:rsidR="00537E4D" w:rsidRPr="00C068A4">
        <w:rPr>
          <w:lang w:val="en-US"/>
        </w:rPr>
        <w:t>AAA positive (</w:t>
      </w:r>
      <w:r w:rsidRPr="00C068A4">
        <w:rPr>
          <w:lang w:val="en-US"/>
        </w:rPr>
        <w:t>AAA+</w:t>
      </w:r>
      <w:r w:rsidR="00537E4D" w:rsidRPr="00C068A4">
        <w:rPr>
          <w:lang w:val="en-US"/>
        </w:rPr>
        <w:t>)</w:t>
      </w:r>
      <w:r w:rsidRPr="00C068A4">
        <w:rPr>
          <w:lang w:val="en-US"/>
        </w:rPr>
        <w:t xml:space="preserve"> at Week 24 (6.7% </w:t>
      </w:r>
      <w:r w:rsidR="006938E9" w:rsidRPr="00C068A4">
        <w:rPr>
          <w:lang w:val="en-US"/>
        </w:rPr>
        <w:t>[</w:t>
      </w:r>
      <w:r w:rsidRPr="00C068A4">
        <w:rPr>
          <w:lang w:val="en-US"/>
        </w:rPr>
        <w:t xml:space="preserve">1/15]). The </w:t>
      </w:r>
      <w:r w:rsidRPr="00C068A4">
        <w:rPr>
          <w:lang w:val="en-US"/>
        </w:rPr>
        <w:lastRenderedPageBreak/>
        <w:t>imbalance in patient numbers between AAA+ and AAA- patients preclude clinically meaningful comparison of efficacy and safety between the two groups.</w:t>
      </w:r>
    </w:p>
    <w:p w:rsidR="008E7846" w:rsidRDefault="008E7846" w:rsidP="00BB5741">
      <w:pPr>
        <w:pStyle w:val="Heading3"/>
      </w:pPr>
      <w:bookmarkStart w:id="50" w:name="_Toc196046481"/>
      <w:bookmarkStart w:id="51" w:name="_Toc247691520"/>
      <w:bookmarkStart w:id="52" w:name="_Toc314842503"/>
      <w:bookmarkStart w:id="53" w:name="_Toc438564002"/>
      <w:r w:rsidRPr="00BB5741">
        <w:t>Pharmacodynamics</w:t>
      </w:r>
      <w:bookmarkEnd w:id="38"/>
      <w:bookmarkEnd w:id="50"/>
      <w:bookmarkEnd w:id="51"/>
      <w:bookmarkEnd w:id="52"/>
      <w:bookmarkEnd w:id="53"/>
    </w:p>
    <w:p w:rsidR="00EC228C" w:rsidRDefault="00EC228C" w:rsidP="00BB5741">
      <w:r>
        <w:t>No new data</w:t>
      </w:r>
      <w:r w:rsidR="00F42EBF">
        <w:t xml:space="preserve"> submitted</w:t>
      </w:r>
      <w:r w:rsidR="00BB5741">
        <w:t>.</w:t>
      </w:r>
    </w:p>
    <w:p w:rsidR="008E7846" w:rsidRDefault="00605AD4" w:rsidP="00BB5741">
      <w:pPr>
        <w:pStyle w:val="Heading3"/>
      </w:pPr>
      <w:bookmarkStart w:id="54" w:name="_Toc438564003"/>
      <w:r>
        <w:t xml:space="preserve">Dosage selection for the </w:t>
      </w:r>
      <w:r w:rsidRPr="00BB5741">
        <w:t>pivotal</w:t>
      </w:r>
      <w:r>
        <w:t xml:space="preserve"> studies</w:t>
      </w:r>
      <w:bookmarkEnd w:id="54"/>
    </w:p>
    <w:p w:rsidR="00537E4D" w:rsidRDefault="00537E4D" w:rsidP="00BB5741">
      <w:bookmarkStart w:id="55" w:name="_Toc163441372"/>
      <w:bookmarkStart w:id="56" w:name="_Toc196046485"/>
      <w:bookmarkStart w:id="57" w:name="_Toc247691521"/>
      <w:bookmarkStart w:id="58" w:name="_Toc314842504"/>
      <w:r w:rsidRPr="00E2028C">
        <w:t xml:space="preserve">The sponsor stated that BSA </w:t>
      </w:r>
      <w:r>
        <w:t xml:space="preserve">based </w:t>
      </w:r>
      <w:r w:rsidRPr="00E2028C">
        <w:t xml:space="preserve">dosing with adalimumab </w:t>
      </w:r>
      <w:r>
        <w:t xml:space="preserve">in M10-444 </w:t>
      </w:r>
      <w:r w:rsidRPr="00E2028C">
        <w:t xml:space="preserve">has been used in previous clinical trials in children with JIA. </w:t>
      </w:r>
      <w:r>
        <w:t xml:space="preserve">However, the sponsor is proposing weight based dosing, which it states is supported by clinical and PK data. The proposed weight </w:t>
      </w:r>
      <w:r w:rsidRPr="00C068A4">
        <w:t xml:space="preserve">based dosing regimen is consistent with the approved weight base regimen for </w:t>
      </w:r>
      <w:r w:rsidR="006938E9" w:rsidRPr="00C068A4">
        <w:t>polyarticular JIA</w:t>
      </w:r>
      <w:r w:rsidR="006938E9">
        <w:t xml:space="preserve"> </w:t>
      </w:r>
      <w:r>
        <w:t>patients aged 4 to 17 years. The sponsor’s Clinical Overview provided a justification for the proposed weight based dosing regimen supported by clinical trial and PK data. This ju</w:t>
      </w:r>
      <w:r w:rsidR="00BB5741">
        <w:t>stification is discussed below.</w:t>
      </w:r>
    </w:p>
    <w:p w:rsidR="00537E4D" w:rsidRDefault="00537E4D" w:rsidP="00BB5741">
      <w:pPr>
        <w:rPr>
          <w:lang w:val="en-US"/>
        </w:rPr>
      </w:pPr>
      <w:r>
        <w:rPr>
          <w:lang w:val="en-US"/>
        </w:rPr>
        <w:t>In the pivotal Study M10-444, p</w:t>
      </w:r>
      <w:r w:rsidRPr="00E2028C">
        <w:rPr>
          <w:lang w:val="en-US"/>
        </w:rPr>
        <w:t xml:space="preserve">atients were administered 10, 15, or 20 mg </w:t>
      </w:r>
      <w:proofErr w:type="spellStart"/>
      <w:r w:rsidRPr="00E2028C">
        <w:rPr>
          <w:lang w:val="en-US"/>
        </w:rPr>
        <w:t>adalimumab</w:t>
      </w:r>
      <w:proofErr w:type="spellEnd"/>
      <w:r w:rsidRPr="00E2028C">
        <w:rPr>
          <w:lang w:val="en-US"/>
        </w:rPr>
        <w:t xml:space="preserve"> </w:t>
      </w:r>
      <w:r>
        <w:rPr>
          <w:lang w:val="en-US"/>
        </w:rPr>
        <w:t xml:space="preserve">SC </w:t>
      </w:r>
      <w:proofErr w:type="spellStart"/>
      <w:r w:rsidRPr="00E2028C">
        <w:rPr>
          <w:lang w:val="en-US"/>
        </w:rPr>
        <w:t>eow</w:t>
      </w:r>
      <w:proofErr w:type="spellEnd"/>
      <w:r w:rsidRPr="00E2028C">
        <w:rPr>
          <w:lang w:val="en-US"/>
        </w:rPr>
        <w:t xml:space="preserve">, based on BSA, calculated according to Table </w:t>
      </w:r>
      <w:r>
        <w:rPr>
          <w:lang w:val="en-US"/>
        </w:rPr>
        <w:t>2</w:t>
      </w:r>
      <w:r w:rsidRPr="00E2028C">
        <w:rPr>
          <w:lang w:val="en-US"/>
        </w:rPr>
        <w:t xml:space="preserve"> below. The dose of adalimumab was determined based on height and weight at </w:t>
      </w:r>
      <w:r>
        <w:rPr>
          <w:lang w:val="en-US"/>
        </w:rPr>
        <w:t xml:space="preserve">the </w:t>
      </w:r>
      <w:r w:rsidRPr="00E2028C">
        <w:rPr>
          <w:lang w:val="en-US"/>
        </w:rPr>
        <w:t>following time points: Baseline, Week 12, Week 24, and every 12 weeks thereafter until the subjects reached the age of 4 years, and weigh</w:t>
      </w:r>
      <w:r>
        <w:rPr>
          <w:lang w:val="en-US"/>
        </w:rPr>
        <w:t>ed</w:t>
      </w:r>
      <w:r w:rsidRPr="00E2028C">
        <w:rPr>
          <w:lang w:val="en-US"/>
        </w:rPr>
        <w:t xml:space="preserve"> </w:t>
      </w:r>
      <w:r>
        <w:rPr>
          <w:lang w:val="en-US"/>
        </w:rPr>
        <w:t xml:space="preserve">15 kg. In the event that the </w:t>
      </w:r>
      <w:r w:rsidRPr="00E2028C">
        <w:rPr>
          <w:lang w:val="en-US"/>
        </w:rPr>
        <w:t xml:space="preserve">BSA fell </w:t>
      </w:r>
      <w:r>
        <w:rPr>
          <w:lang w:val="en-US"/>
        </w:rPr>
        <w:t xml:space="preserve">between </w:t>
      </w:r>
      <w:r w:rsidRPr="00E2028C">
        <w:rPr>
          <w:lang w:val="en-US"/>
        </w:rPr>
        <w:t>two ranges, the dose was to be rounded up to the neares</w:t>
      </w:r>
      <w:r w:rsidR="00BB5741">
        <w:rPr>
          <w:lang w:val="en-US"/>
        </w:rPr>
        <w:t>t 5 kg weight and 10 cm height.</w:t>
      </w:r>
    </w:p>
    <w:p w:rsidR="00537E4D" w:rsidRPr="004E5241" w:rsidRDefault="00537E4D" w:rsidP="00BB5741">
      <w:pPr>
        <w:pStyle w:val="TableTitle"/>
        <w:rPr>
          <w:lang w:val="en-US"/>
        </w:rPr>
      </w:pPr>
      <w:bookmarkStart w:id="59" w:name="_Toc283279022"/>
      <w:r w:rsidRPr="004E5241">
        <w:t xml:space="preserve">Table </w:t>
      </w:r>
      <w:r w:rsidR="00EE387D">
        <w:t>2</w:t>
      </w:r>
      <w:r w:rsidRPr="004E5241">
        <w:t xml:space="preserve">: </w:t>
      </w:r>
      <w:r w:rsidRPr="004E5241">
        <w:rPr>
          <w:lang w:val="en-US"/>
        </w:rPr>
        <w:t xml:space="preserve">Study M10-444 - Adalimumab total body dose in </w:t>
      </w:r>
      <w:proofErr w:type="spellStart"/>
      <w:r w:rsidRPr="004E5241">
        <w:rPr>
          <w:lang w:val="en-US"/>
        </w:rPr>
        <w:t>millilitres</w:t>
      </w:r>
      <w:proofErr w:type="spellEnd"/>
      <w:r w:rsidRPr="004E5241">
        <w:rPr>
          <w:lang w:val="en-US"/>
        </w:rPr>
        <w:t xml:space="preserve"> (mL) of 50 mg/mL injectable solution given every other week (</w:t>
      </w:r>
      <w:proofErr w:type="spellStart"/>
      <w:r w:rsidRPr="004E5241">
        <w:rPr>
          <w:lang w:val="en-US"/>
        </w:rPr>
        <w:t>eow</w:t>
      </w:r>
      <w:proofErr w:type="spellEnd"/>
      <w:r w:rsidRPr="004E5241">
        <w:rPr>
          <w:lang w:val="en-US"/>
        </w:rPr>
        <w:t xml:space="preserve">) </w:t>
      </w:r>
      <w:r w:rsidRPr="00BB5741">
        <w:t>based</w:t>
      </w:r>
      <w:r w:rsidRPr="004E5241">
        <w:rPr>
          <w:lang w:val="en-US"/>
        </w:rPr>
        <w:t xml:space="preserve"> on weight and height.</w:t>
      </w:r>
      <w:bookmarkEnd w:id="59"/>
    </w:p>
    <w:p w:rsidR="00537E4D" w:rsidRDefault="00537E4D" w:rsidP="00BB5741">
      <w:pPr>
        <w:rPr>
          <w:lang w:val="en-US"/>
        </w:rPr>
      </w:pPr>
      <w:r>
        <w:rPr>
          <w:noProof/>
          <w:lang w:eastAsia="en-AU"/>
        </w:rPr>
        <w:drawing>
          <wp:inline distT="0" distB="0" distL="0" distR="0" wp14:anchorId="14E2F04B" wp14:editId="6129260A">
            <wp:extent cx="4778388" cy="1229193"/>
            <wp:effectExtent l="19050" t="19050" r="22225" b="28575"/>
            <wp:docPr id="8" name="Picture 1" descr="Table 2: Study M10-444 - Adalimumab total body dose in millilitres (mL) of 50 mg/mL injectable solution given every other week (eow) based on weight and he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457" t="4791" r="3560" b="4744"/>
                    <a:stretch/>
                  </pic:blipFill>
                  <pic:spPr bwMode="auto">
                    <a:xfrm>
                      <a:off x="0" y="0"/>
                      <a:ext cx="4792519" cy="1232828"/>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537E4D" w:rsidRDefault="00537E4D" w:rsidP="00BB5741">
      <w:pPr>
        <w:rPr>
          <w:lang w:val="en-US"/>
        </w:rPr>
      </w:pPr>
      <w:r w:rsidRPr="00D30078">
        <w:rPr>
          <w:lang w:val="en-US"/>
        </w:rPr>
        <w:t xml:space="preserve">The currently approved </w:t>
      </w:r>
      <w:proofErr w:type="spellStart"/>
      <w:r w:rsidRPr="00D30078">
        <w:rPr>
          <w:lang w:val="en-US"/>
        </w:rPr>
        <w:t>Humira</w:t>
      </w:r>
      <w:proofErr w:type="spellEnd"/>
      <w:r w:rsidRPr="00D30078">
        <w:rPr>
          <w:lang w:val="en-US"/>
        </w:rPr>
        <w:t xml:space="preserve"> dosing schedule for patients aged 4 to 17 years is based on two body weight categories, with a cut-off of 30 kg (</w:t>
      </w:r>
      <w:r w:rsidR="00EE387D">
        <w:rPr>
          <w:lang w:val="en-US"/>
        </w:rPr>
        <w:t>that is,</w:t>
      </w:r>
      <w:r w:rsidRPr="00D30078">
        <w:rPr>
          <w:lang w:val="en-US"/>
        </w:rPr>
        <w:t xml:space="preserve"> 15 kg to &lt; 30 kg; and ≥ 30 kg). </w:t>
      </w:r>
      <w:r>
        <w:rPr>
          <w:lang w:val="en-US"/>
        </w:rPr>
        <w:t>In order to align with the approved dosa</w:t>
      </w:r>
      <w:r w:rsidR="00EE387D">
        <w:rPr>
          <w:lang w:val="en-US"/>
        </w:rPr>
        <w:t>ge schedule the sponsor summaris</w:t>
      </w:r>
      <w:r>
        <w:rPr>
          <w:lang w:val="en-US"/>
        </w:rPr>
        <w:t xml:space="preserve">ed the administered doses from </w:t>
      </w:r>
      <w:r w:rsidR="00EE387D">
        <w:rPr>
          <w:lang w:val="en-US"/>
        </w:rPr>
        <w:t>S</w:t>
      </w:r>
      <w:r>
        <w:rPr>
          <w:lang w:val="en-US"/>
        </w:rPr>
        <w:t>tudy M10-444 according to the subject</w:t>
      </w:r>
      <w:r w:rsidR="00EE387D">
        <w:rPr>
          <w:lang w:val="en-US"/>
        </w:rPr>
        <w:t>’</w:t>
      </w:r>
      <w:r>
        <w:rPr>
          <w:lang w:val="en-US"/>
        </w:rPr>
        <w:t xml:space="preserve">s weight for three time points (Baseline, Week 12 and Week 24); see Table </w:t>
      </w:r>
      <w:r w:rsidR="00EE387D">
        <w:rPr>
          <w:lang w:val="en-US"/>
        </w:rPr>
        <w:t>3</w:t>
      </w:r>
      <w:r w:rsidR="00BB5741">
        <w:rPr>
          <w:lang w:val="en-US"/>
        </w:rPr>
        <w:t xml:space="preserve"> below.</w:t>
      </w:r>
    </w:p>
    <w:p w:rsidR="00537E4D" w:rsidRPr="004E5241" w:rsidRDefault="00537E4D" w:rsidP="00BB5741">
      <w:pPr>
        <w:pStyle w:val="TableTitle"/>
        <w:rPr>
          <w:lang w:val="en-US"/>
        </w:rPr>
      </w:pPr>
      <w:bookmarkStart w:id="60" w:name="_Toc283279023"/>
      <w:proofErr w:type="gramStart"/>
      <w:r w:rsidRPr="004E5241">
        <w:lastRenderedPageBreak/>
        <w:t xml:space="preserve">Table </w:t>
      </w:r>
      <w:r w:rsidR="00EE387D">
        <w:t>3</w:t>
      </w:r>
      <w:r w:rsidRPr="004E5241">
        <w:t xml:space="preserve">: </w:t>
      </w:r>
      <w:r w:rsidRPr="004E5241">
        <w:rPr>
          <w:lang w:val="en-US"/>
        </w:rPr>
        <w:t xml:space="preserve">Study M10-444 - Body weight and </w:t>
      </w:r>
      <w:proofErr w:type="spellStart"/>
      <w:r w:rsidRPr="00BB5741">
        <w:t>adalimumab</w:t>
      </w:r>
      <w:proofErr w:type="spellEnd"/>
      <w:r w:rsidRPr="004E5241">
        <w:rPr>
          <w:lang w:val="en-US"/>
        </w:rPr>
        <w:t xml:space="preserve"> dosing.</w:t>
      </w:r>
      <w:bookmarkEnd w:id="60"/>
      <w:proofErr w:type="gramEnd"/>
    </w:p>
    <w:p w:rsidR="00537E4D" w:rsidRDefault="00537E4D" w:rsidP="00BB5741">
      <w:pPr>
        <w:rPr>
          <w:lang w:val="en-US"/>
        </w:rPr>
      </w:pPr>
      <w:r>
        <w:rPr>
          <w:noProof/>
          <w:lang w:eastAsia="en-AU"/>
        </w:rPr>
        <w:drawing>
          <wp:inline distT="0" distB="0" distL="0" distR="0" wp14:anchorId="02A541B3" wp14:editId="18D6315E">
            <wp:extent cx="4803400" cy="3148717"/>
            <wp:effectExtent l="19050" t="19050" r="16510" b="13970"/>
            <wp:docPr id="9" name="Picture 1" descr="Table 3: Study M10-444 - Body weight and adalimumab do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88" t="1721" r="2368" b="1965"/>
                    <a:stretch/>
                  </pic:blipFill>
                  <pic:spPr bwMode="auto">
                    <a:xfrm>
                      <a:off x="0" y="0"/>
                      <a:ext cx="4813831" cy="3155555"/>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rsidR="00537E4D" w:rsidRPr="00CB061B" w:rsidRDefault="00537E4D" w:rsidP="00BB5741">
      <w:pPr>
        <w:rPr>
          <w:lang w:val="en-US"/>
        </w:rPr>
      </w:pPr>
      <w:r w:rsidRPr="00CB061B">
        <w:rPr>
          <w:lang w:val="en-US"/>
        </w:rPr>
        <w:t xml:space="preserve">The tabulated summary of the dose distribution for patients from </w:t>
      </w:r>
      <w:r w:rsidR="00EE387D">
        <w:rPr>
          <w:lang w:val="en-US"/>
        </w:rPr>
        <w:t>S</w:t>
      </w:r>
      <w:r w:rsidRPr="00CB061B">
        <w:rPr>
          <w:lang w:val="en-US"/>
        </w:rPr>
        <w:t>tudy M10-444 shows that:</w:t>
      </w:r>
    </w:p>
    <w:p w:rsidR="00537E4D" w:rsidRPr="00CB061B" w:rsidRDefault="00537E4D" w:rsidP="00BB5741">
      <w:pPr>
        <w:pStyle w:val="ListBullet"/>
        <w:rPr>
          <w:lang w:val="en-US"/>
        </w:rPr>
      </w:pPr>
      <w:r w:rsidRPr="00CB061B">
        <w:rPr>
          <w:lang w:val="en-US"/>
        </w:rPr>
        <w:t xml:space="preserve">the </w:t>
      </w:r>
      <w:r w:rsidRPr="00BB5741">
        <w:t>majority</w:t>
      </w:r>
      <w:r w:rsidRPr="00CB061B">
        <w:rPr>
          <w:lang w:val="en-US"/>
        </w:rPr>
        <w:t xml:space="preserve"> of patients in the study were treated with </w:t>
      </w:r>
      <w:proofErr w:type="spellStart"/>
      <w:r w:rsidRPr="00CB061B">
        <w:rPr>
          <w:lang w:val="en-US"/>
        </w:rPr>
        <w:t>adalim</w:t>
      </w:r>
      <w:r>
        <w:rPr>
          <w:lang w:val="en-US"/>
        </w:rPr>
        <w:t>umab</w:t>
      </w:r>
      <w:proofErr w:type="spellEnd"/>
      <w:r>
        <w:rPr>
          <w:lang w:val="en-US"/>
        </w:rPr>
        <w:t xml:space="preserve"> 15 mg: 75% (24/32) at </w:t>
      </w:r>
      <w:r w:rsidRPr="00CB061B">
        <w:rPr>
          <w:lang w:val="en-US"/>
        </w:rPr>
        <w:t>Baseline, 84% (26/31) at Week 12, and 93% (28/30) at Week 15 mg;</w:t>
      </w:r>
    </w:p>
    <w:p w:rsidR="00537E4D" w:rsidRPr="00CB061B" w:rsidRDefault="00537E4D" w:rsidP="00BB5741">
      <w:pPr>
        <w:pStyle w:val="ListBullet"/>
        <w:rPr>
          <w:lang w:val="en-US"/>
        </w:rPr>
      </w:pPr>
      <w:r w:rsidRPr="00CB061B">
        <w:rPr>
          <w:lang w:val="en-US"/>
        </w:rPr>
        <w:t xml:space="preserve">all patients weighing 10 kg or 11 kg were treated with adalimumab 10 mg </w:t>
      </w:r>
      <w:r>
        <w:rPr>
          <w:lang w:val="en-US"/>
        </w:rPr>
        <w:t xml:space="preserve">at Baseline and </w:t>
      </w:r>
      <w:r w:rsidRPr="00CB061B">
        <w:rPr>
          <w:lang w:val="en-US"/>
        </w:rPr>
        <w:t xml:space="preserve">Week 12, and no patients weighed less than 12 kg at Week 24; </w:t>
      </w:r>
    </w:p>
    <w:p w:rsidR="00537E4D" w:rsidRPr="00CB061B" w:rsidRDefault="00537E4D" w:rsidP="00EE387D">
      <w:pPr>
        <w:pStyle w:val="ListBullet"/>
        <w:rPr>
          <w:lang w:val="en-US"/>
        </w:rPr>
      </w:pPr>
      <w:r w:rsidRPr="00CB061B">
        <w:rPr>
          <w:lang w:val="en-US"/>
        </w:rPr>
        <w:t>the majority of patients weighing 12 kg were treated wit</w:t>
      </w:r>
      <w:r>
        <w:rPr>
          <w:lang w:val="en-US"/>
        </w:rPr>
        <w:t xml:space="preserve">h adalimumab 15 mg: 50% </w:t>
      </w:r>
      <w:r w:rsidRPr="00CB061B">
        <w:rPr>
          <w:lang w:val="en-US"/>
        </w:rPr>
        <w:t xml:space="preserve">(3/6) at Baseline, 80% (4/5) at Week 12, and 80% (4/5) at Week 24; </w:t>
      </w:r>
    </w:p>
    <w:p w:rsidR="00537E4D" w:rsidRPr="00CB061B" w:rsidRDefault="00537E4D" w:rsidP="00BB5741">
      <w:pPr>
        <w:pStyle w:val="ListBullet"/>
        <w:rPr>
          <w:lang w:val="en-US"/>
        </w:rPr>
      </w:pPr>
      <w:r w:rsidRPr="00CB061B">
        <w:rPr>
          <w:lang w:val="en-US"/>
        </w:rPr>
        <w:t>all subjects weighing 13 kg to 20 kg (</w:t>
      </w:r>
      <w:r w:rsidRPr="00BB5741">
        <w:t>inclusive</w:t>
      </w:r>
      <w:r w:rsidRPr="00CB061B">
        <w:rPr>
          <w:lang w:val="en-US"/>
        </w:rPr>
        <w:t xml:space="preserve">) were treated with adalimumab 15 mg at Baseline, Week 12 and Week 24; and </w:t>
      </w:r>
    </w:p>
    <w:p w:rsidR="00537E4D" w:rsidRPr="00CB061B" w:rsidRDefault="00537E4D" w:rsidP="00BB5741">
      <w:pPr>
        <w:pStyle w:val="ListBullet"/>
        <w:rPr>
          <w:lang w:val="en-US"/>
        </w:rPr>
      </w:pPr>
      <w:proofErr w:type="gramStart"/>
      <w:r w:rsidRPr="00CB061B">
        <w:rPr>
          <w:lang w:val="en-US"/>
        </w:rPr>
        <w:t>one</w:t>
      </w:r>
      <w:proofErr w:type="gramEnd"/>
      <w:r w:rsidRPr="00CB061B">
        <w:rPr>
          <w:lang w:val="en-US"/>
        </w:rPr>
        <w:t xml:space="preserve"> subject weighing 21 kg was treated with adalimumab 20 mg at Week 12. </w:t>
      </w:r>
    </w:p>
    <w:p w:rsidR="00537E4D" w:rsidRPr="00CB061B" w:rsidRDefault="00537E4D" w:rsidP="00BB5741">
      <w:pPr>
        <w:rPr>
          <w:lang w:val="en-US"/>
        </w:rPr>
      </w:pPr>
      <w:r w:rsidRPr="00CB061B">
        <w:rPr>
          <w:lang w:val="en-US"/>
        </w:rPr>
        <w:t xml:space="preserve">Based on the dosing data from </w:t>
      </w:r>
      <w:r w:rsidR="00EE387D">
        <w:rPr>
          <w:lang w:val="en-US"/>
        </w:rPr>
        <w:t>S</w:t>
      </w:r>
      <w:r w:rsidRPr="00CB061B">
        <w:rPr>
          <w:lang w:val="en-US"/>
        </w:rPr>
        <w:t>tudy M10-444 the sponsor proposes the following adalimumab treatment regimens:</w:t>
      </w:r>
    </w:p>
    <w:p w:rsidR="00537E4D" w:rsidRPr="00CB061B" w:rsidRDefault="00537E4D" w:rsidP="00BB5741">
      <w:pPr>
        <w:pStyle w:val="ListBullet"/>
        <w:rPr>
          <w:lang w:val="en-US"/>
        </w:rPr>
      </w:pPr>
      <w:r w:rsidRPr="00CB061B">
        <w:rPr>
          <w:lang w:val="en-US"/>
        </w:rPr>
        <w:t xml:space="preserve">10 mg </w:t>
      </w:r>
      <w:proofErr w:type="spellStart"/>
      <w:r w:rsidRPr="00CB061B">
        <w:rPr>
          <w:lang w:val="en-US"/>
        </w:rPr>
        <w:t>eow</w:t>
      </w:r>
      <w:proofErr w:type="spellEnd"/>
      <w:r w:rsidRPr="00CB061B">
        <w:rPr>
          <w:lang w:val="en-US"/>
        </w:rPr>
        <w:t xml:space="preserve"> in patients 2 years of age and older who weigh 10 kg to &lt; 12 kg</w:t>
      </w:r>
      <w:r>
        <w:rPr>
          <w:lang w:val="en-US"/>
        </w:rPr>
        <w:t xml:space="preserve"> </w:t>
      </w:r>
      <w:r w:rsidRPr="00CB061B">
        <w:rPr>
          <w:lang w:val="en-US"/>
        </w:rPr>
        <w:t xml:space="preserve">administered via the 40 mg/0.8 mL vial; </w:t>
      </w:r>
    </w:p>
    <w:p w:rsidR="00537E4D" w:rsidRPr="00CB061B" w:rsidRDefault="00537E4D" w:rsidP="00EE387D">
      <w:pPr>
        <w:pStyle w:val="ListBullet"/>
        <w:rPr>
          <w:lang w:val="en-US"/>
        </w:rPr>
      </w:pPr>
      <w:r w:rsidRPr="00CB061B">
        <w:rPr>
          <w:lang w:val="en-US"/>
        </w:rPr>
        <w:t xml:space="preserve">15 mg </w:t>
      </w:r>
      <w:proofErr w:type="spellStart"/>
      <w:r w:rsidRPr="00CB061B">
        <w:rPr>
          <w:lang w:val="en-US"/>
        </w:rPr>
        <w:t>eow</w:t>
      </w:r>
      <w:proofErr w:type="spellEnd"/>
      <w:r w:rsidRPr="00CB061B">
        <w:rPr>
          <w:lang w:val="en-US"/>
        </w:rPr>
        <w:t xml:space="preserve"> in patients 2 years of age and older who weigh 12 kg to &lt; 15 kg; and </w:t>
      </w:r>
    </w:p>
    <w:p w:rsidR="00537E4D" w:rsidRPr="00CB061B" w:rsidRDefault="00537E4D" w:rsidP="00BB5741">
      <w:pPr>
        <w:pStyle w:val="ListBullet"/>
        <w:rPr>
          <w:lang w:val="en-US"/>
        </w:rPr>
      </w:pPr>
      <w:r>
        <w:rPr>
          <w:lang w:val="en-US"/>
        </w:rPr>
        <w:t>f</w:t>
      </w:r>
      <w:r w:rsidRPr="00CB061B">
        <w:rPr>
          <w:lang w:val="en-US"/>
        </w:rPr>
        <w:t xml:space="preserve">or patients 2 years of age and older who </w:t>
      </w:r>
      <w:r w:rsidRPr="00C068A4">
        <w:rPr>
          <w:lang w:val="en-US"/>
        </w:rPr>
        <w:t xml:space="preserve">weigh </w:t>
      </w:r>
      <w:r w:rsidR="006938E9" w:rsidRPr="00C068A4">
        <w:rPr>
          <w:lang w:val="en-US"/>
        </w:rPr>
        <w:t>≥</w:t>
      </w:r>
      <w:r w:rsidRPr="00C068A4">
        <w:rPr>
          <w:lang w:val="en-US"/>
        </w:rPr>
        <w:t xml:space="preserve"> 15</w:t>
      </w:r>
      <w:r w:rsidRPr="00CB061B">
        <w:rPr>
          <w:lang w:val="en-US"/>
        </w:rPr>
        <w:t xml:space="preserve"> kg, the currently approved dosage</w:t>
      </w:r>
      <w:r w:rsidR="00EE387D">
        <w:rPr>
          <w:lang w:val="en-US"/>
        </w:rPr>
        <w:t xml:space="preserve"> </w:t>
      </w:r>
      <w:r w:rsidRPr="00BB5741">
        <w:t>instructions</w:t>
      </w:r>
      <w:r w:rsidRPr="00CB061B">
        <w:rPr>
          <w:lang w:val="en-US"/>
        </w:rPr>
        <w:t xml:space="preserve"> apply (</w:t>
      </w:r>
      <w:r w:rsidR="00EE387D">
        <w:rPr>
          <w:lang w:val="en-US"/>
        </w:rPr>
        <w:t>that is,</w:t>
      </w:r>
      <w:r w:rsidRPr="00CB061B">
        <w:rPr>
          <w:lang w:val="en-US"/>
        </w:rPr>
        <w:t xml:space="preserve"> 20 mg </w:t>
      </w:r>
      <w:proofErr w:type="spellStart"/>
      <w:r w:rsidRPr="00CB061B">
        <w:rPr>
          <w:lang w:val="en-US"/>
        </w:rPr>
        <w:t>eow</w:t>
      </w:r>
      <w:proofErr w:type="spellEnd"/>
      <w:r w:rsidRPr="00CB061B">
        <w:rPr>
          <w:lang w:val="en-US"/>
        </w:rPr>
        <w:t xml:space="preserve"> for patients weighing 15 kg to &lt; 30 kg; 40 mg </w:t>
      </w:r>
      <w:proofErr w:type="spellStart"/>
      <w:r w:rsidRPr="00CB061B">
        <w:rPr>
          <w:lang w:val="en-US"/>
        </w:rPr>
        <w:t>eow</w:t>
      </w:r>
      <w:proofErr w:type="spellEnd"/>
      <w:r w:rsidRPr="00CB061B">
        <w:rPr>
          <w:lang w:val="en-US"/>
        </w:rPr>
        <w:t xml:space="preserve"> </w:t>
      </w:r>
      <w:r w:rsidR="00BB5741">
        <w:rPr>
          <w:lang w:val="en-US"/>
        </w:rPr>
        <w:t>for patients weighing ≥ 30 kg).</w:t>
      </w:r>
    </w:p>
    <w:p w:rsidR="00537E4D" w:rsidRPr="00CB061B" w:rsidRDefault="00537E4D" w:rsidP="00BB5741">
      <w:pPr>
        <w:rPr>
          <w:lang w:val="en-US"/>
        </w:rPr>
      </w:pPr>
      <w:r w:rsidRPr="00CB061B">
        <w:rPr>
          <w:lang w:val="en-US"/>
        </w:rPr>
        <w:t xml:space="preserve">The sponsor also compared the actual doses </w:t>
      </w:r>
      <w:r>
        <w:rPr>
          <w:lang w:val="en-US"/>
        </w:rPr>
        <w:t xml:space="preserve">(n=1145) </w:t>
      </w:r>
      <w:r w:rsidR="00EE387D">
        <w:rPr>
          <w:lang w:val="en-US"/>
        </w:rPr>
        <w:t>in S</w:t>
      </w:r>
      <w:r w:rsidRPr="00CB061B">
        <w:rPr>
          <w:lang w:val="en-US"/>
        </w:rPr>
        <w:t xml:space="preserve">tudy M10-444 and the proposed weight based doses (see Table </w:t>
      </w:r>
      <w:r w:rsidR="00EE387D">
        <w:rPr>
          <w:lang w:val="en-US"/>
        </w:rPr>
        <w:t>4</w:t>
      </w:r>
      <w:r w:rsidRPr="00CB061B">
        <w:rPr>
          <w:lang w:val="en-US"/>
        </w:rPr>
        <w:t xml:space="preserve">, below). Weight at Baseline, Week 12, Week 24 and every 12 weeks thereafter was used to determine the weight based dose at those visits and visits in between these time points. The comparison used data collected up until </w:t>
      </w:r>
      <w:r>
        <w:rPr>
          <w:lang w:val="en-US"/>
        </w:rPr>
        <w:t xml:space="preserve">subjects </w:t>
      </w:r>
      <w:r w:rsidRPr="00CB061B">
        <w:rPr>
          <w:lang w:val="en-US"/>
        </w:rPr>
        <w:t>reached the age of 4 years or the</w:t>
      </w:r>
      <w:r>
        <w:rPr>
          <w:lang w:val="en-US"/>
        </w:rPr>
        <w:t>ir</w:t>
      </w:r>
      <w:r w:rsidRPr="00CB061B">
        <w:rPr>
          <w:lang w:val="en-US"/>
        </w:rPr>
        <w:t xml:space="preserve"> weight was 15 kg. </w:t>
      </w:r>
      <w:r>
        <w:rPr>
          <w:lang w:val="en-US"/>
        </w:rPr>
        <w:t>The comparative data indicates that for the majority of administered doses (63.32%) the doses were identical irrespective of the dosage method used (</w:t>
      </w:r>
      <w:r w:rsidR="00EE387D">
        <w:rPr>
          <w:lang w:val="en-US"/>
        </w:rPr>
        <w:t>that is,</w:t>
      </w:r>
      <w:r>
        <w:rPr>
          <w:lang w:val="en-US"/>
        </w:rPr>
        <w:t xml:space="preserve"> weight based or actual dose). For most of the remaining administered doses the weight based dose was greater than the actual dose </w:t>
      </w:r>
      <w:r>
        <w:rPr>
          <w:lang w:val="en-US"/>
        </w:rPr>
        <w:lastRenderedPageBreak/>
        <w:t>(34.67%), while the actual dose was greater than the weight based dose for only a small percentage of administered doses (2.01%)</w:t>
      </w:r>
    </w:p>
    <w:p w:rsidR="00537E4D" w:rsidRPr="004E5241" w:rsidRDefault="00537E4D" w:rsidP="00BB5741">
      <w:pPr>
        <w:pStyle w:val="TableTitle"/>
        <w:rPr>
          <w:lang w:val="en-US"/>
        </w:rPr>
      </w:pPr>
      <w:bookmarkStart w:id="61" w:name="_Toc283279024"/>
      <w:r w:rsidRPr="004E5241">
        <w:t xml:space="preserve">Table </w:t>
      </w:r>
      <w:r w:rsidR="00EE387D">
        <w:t>4</w:t>
      </w:r>
      <w:r w:rsidRPr="004E5241">
        <w:t xml:space="preserve">: </w:t>
      </w:r>
      <w:r w:rsidRPr="004E5241">
        <w:rPr>
          <w:lang w:val="en-US"/>
        </w:rPr>
        <w:t>Study M10-444 - Comparison of 1145 adalimumab doses administered throughout the study based on BSA (</w:t>
      </w:r>
      <w:r w:rsidRPr="00BB5741">
        <w:t>actual</w:t>
      </w:r>
      <w:r w:rsidRPr="004E5241">
        <w:rPr>
          <w:lang w:val="en-US"/>
        </w:rPr>
        <w:t xml:space="preserve"> dose) and corresponding dose based on the proposed weight categories.</w:t>
      </w:r>
      <w:bookmarkEnd w:id="61"/>
    </w:p>
    <w:p w:rsidR="00537E4D" w:rsidRPr="00147089" w:rsidRDefault="00537E4D" w:rsidP="00BB5741">
      <w:pPr>
        <w:rPr>
          <w:lang w:val="en-US"/>
        </w:rPr>
      </w:pPr>
      <w:r w:rsidRPr="00147089">
        <w:rPr>
          <w:noProof/>
          <w:lang w:eastAsia="en-AU"/>
        </w:rPr>
        <w:drawing>
          <wp:inline distT="0" distB="0" distL="0" distR="0" wp14:anchorId="6C30A59C" wp14:editId="214E46F0">
            <wp:extent cx="4369633" cy="763711"/>
            <wp:effectExtent l="19050" t="19050" r="12065" b="17780"/>
            <wp:docPr id="10" name="Picture 2" descr="Table 4: Study M10-444 - Comparison of 1145 adalimumab doses administered throughout the study based on BSA (actual dose) and corresponding dose based on the proposed weight categor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08" t="5172" r="2314" b="5268"/>
                    <a:stretch/>
                  </pic:blipFill>
                  <pic:spPr bwMode="auto">
                    <a:xfrm>
                      <a:off x="0" y="0"/>
                      <a:ext cx="4477331" cy="782534"/>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537E4D" w:rsidRPr="00B96D74" w:rsidRDefault="00537E4D" w:rsidP="00BB5741">
      <w:pPr>
        <w:rPr>
          <w:lang w:val="en-US"/>
        </w:rPr>
      </w:pPr>
      <w:r w:rsidRPr="003312C0">
        <w:rPr>
          <w:lang w:val="en-US"/>
        </w:rPr>
        <w:t xml:space="preserve">In order to further compare the weight based </w:t>
      </w:r>
      <w:r>
        <w:rPr>
          <w:lang w:val="en-US"/>
        </w:rPr>
        <w:t>and</w:t>
      </w:r>
      <w:r w:rsidRPr="003312C0">
        <w:rPr>
          <w:lang w:val="en-US"/>
        </w:rPr>
        <w:t xml:space="preserve"> BSA based dosing regimen</w:t>
      </w:r>
      <w:r>
        <w:rPr>
          <w:lang w:val="en-US"/>
        </w:rPr>
        <w:t>s</w:t>
      </w:r>
      <w:r w:rsidRPr="003312C0">
        <w:rPr>
          <w:lang w:val="en-US"/>
        </w:rPr>
        <w:t xml:space="preserve"> the sponsor pooled the PK data from </w:t>
      </w:r>
      <w:r w:rsidR="00EE387D">
        <w:rPr>
          <w:lang w:val="en-US"/>
        </w:rPr>
        <w:t>S</w:t>
      </w:r>
      <w:r w:rsidRPr="003312C0">
        <w:rPr>
          <w:lang w:val="en-US"/>
        </w:rPr>
        <w:t xml:space="preserve">tudy M10-444 </w:t>
      </w:r>
      <w:r>
        <w:rPr>
          <w:lang w:val="en-US"/>
        </w:rPr>
        <w:t xml:space="preserve">(N=15) </w:t>
      </w:r>
      <w:r w:rsidRPr="003312C0">
        <w:rPr>
          <w:lang w:val="en-US"/>
        </w:rPr>
        <w:t xml:space="preserve">with the PK data for </w:t>
      </w:r>
      <w:r>
        <w:rPr>
          <w:lang w:val="en-US"/>
        </w:rPr>
        <w:t>subjects</w:t>
      </w:r>
      <w:r w:rsidRPr="003312C0">
        <w:rPr>
          <w:lang w:val="en-US"/>
        </w:rPr>
        <w:t xml:space="preserve"> </w:t>
      </w:r>
      <w:r>
        <w:rPr>
          <w:lang w:val="en-US"/>
        </w:rPr>
        <w:t xml:space="preserve">aged </w:t>
      </w:r>
      <w:r w:rsidRPr="003312C0">
        <w:rPr>
          <w:lang w:val="en-US"/>
        </w:rPr>
        <w:t xml:space="preserve">4 to 6 years treated with adalimumab 10, 15, or 20 mg </w:t>
      </w:r>
      <w:r>
        <w:rPr>
          <w:lang w:val="en-US"/>
        </w:rPr>
        <w:t xml:space="preserve">from </w:t>
      </w:r>
      <w:r w:rsidR="00EE387D">
        <w:rPr>
          <w:lang w:val="en-US"/>
        </w:rPr>
        <w:t>S</w:t>
      </w:r>
      <w:r w:rsidRPr="003312C0">
        <w:rPr>
          <w:lang w:val="en-US"/>
        </w:rPr>
        <w:t>tudy DE038</w:t>
      </w:r>
      <w:r>
        <w:rPr>
          <w:lang w:val="en-US"/>
        </w:rPr>
        <w:t xml:space="preserve"> (N=7 for Week 12; N=4 for Week 24). </w:t>
      </w:r>
      <w:r w:rsidRPr="003312C0">
        <w:rPr>
          <w:lang w:val="en-US"/>
        </w:rPr>
        <w:t xml:space="preserve">The observed concentration data were plotted in two ways: subjects in the proposed body weight based dosing ranges (10 to &lt; 12 kg; 12 to &lt; 15 kg; and ≥ 15 kg) and subjects who received 10, 15, or 20 mg doses. </w:t>
      </w:r>
      <w:r>
        <w:rPr>
          <w:lang w:val="en-US"/>
        </w:rPr>
        <w:t xml:space="preserve">The pooled exposure data from the two studies showed that </w:t>
      </w:r>
      <w:r w:rsidRPr="003312C0">
        <w:rPr>
          <w:lang w:val="en-US"/>
        </w:rPr>
        <w:t xml:space="preserve">the </w:t>
      </w:r>
      <w:r w:rsidR="00EE387D">
        <w:rPr>
          <w:lang w:val="en-US"/>
        </w:rPr>
        <w:t>plasma concentration trough (</w:t>
      </w:r>
      <w:r>
        <w:rPr>
          <w:lang w:val="en-US"/>
        </w:rPr>
        <w:t>Ctrough</w:t>
      </w:r>
      <w:r w:rsidR="00EE387D">
        <w:rPr>
          <w:lang w:val="en-US"/>
        </w:rPr>
        <w:t>)</w:t>
      </w:r>
      <w:r>
        <w:rPr>
          <w:lang w:val="en-US"/>
        </w:rPr>
        <w:t xml:space="preserve"> levels </w:t>
      </w:r>
      <w:r w:rsidRPr="003312C0">
        <w:rPr>
          <w:lang w:val="en-US"/>
        </w:rPr>
        <w:t>w</w:t>
      </w:r>
      <w:r>
        <w:rPr>
          <w:lang w:val="en-US"/>
        </w:rPr>
        <w:t xml:space="preserve">ere similar for weight based and BSA based dosing </w:t>
      </w:r>
      <w:r w:rsidRPr="003312C0">
        <w:rPr>
          <w:lang w:val="en-US"/>
        </w:rPr>
        <w:t xml:space="preserve">(see Figure </w:t>
      </w:r>
      <w:r>
        <w:rPr>
          <w:lang w:val="en-US"/>
        </w:rPr>
        <w:t>2</w:t>
      </w:r>
      <w:r w:rsidRPr="003312C0">
        <w:rPr>
          <w:lang w:val="en-US"/>
        </w:rPr>
        <w:t>, below).</w:t>
      </w:r>
      <w:r>
        <w:rPr>
          <w:lang w:val="en-US"/>
        </w:rPr>
        <w:t xml:space="preserve"> The high </w:t>
      </w:r>
      <w:proofErr w:type="spellStart"/>
      <w:r>
        <w:rPr>
          <w:lang w:val="en-US"/>
        </w:rPr>
        <w:t>variabilities</w:t>
      </w:r>
      <w:proofErr w:type="spellEnd"/>
      <w:r>
        <w:rPr>
          <w:lang w:val="en-US"/>
        </w:rPr>
        <w:t xml:space="preserve"> observed for </w:t>
      </w:r>
      <w:proofErr w:type="spellStart"/>
      <w:r>
        <w:rPr>
          <w:lang w:val="en-US"/>
        </w:rPr>
        <w:t>Ctrough</w:t>
      </w:r>
      <w:proofErr w:type="spellEnd"/>
      <w:r>
        <w:rPr>
          <w:lang w:val="en-US"/>
        </w:rPr>
        <w:t xml:space="preserve"> levels are likely to be</w:t>
      </w:r>
      <w:r w:rsidR="00BB5741">
        <w:rPr>
          <w:lang w:val="en-US"/>
        </w:rPr>
        <w:t xml:space="preserve"> due to the small sample sizes.</w:t>
      </w:r>
    </w:p>
    <w:p w:rsidR="00537E4D" w:rsidRDefault="00537E4D" w:rsidP="00BB5741">
      <w:pPr>
        <w:pStyle w:val="FigureTitle"/>
        <w:rPr>
          <w:lang w:val="en-US"/>
        </w:rPr>
      </w:pPr>
      <w:bookmarkStart w:id="62" w:name="_Toc283279072"/>
      <w:r w:rsidRPr="00B96D74">
        <w:t>Figure</w:t>
      </w:r>
      <w:r w:rsidR="00EE387D">
        <w:t xml:space="preserve"> 2</w:t>
      </w:r>
      <w:r w:rsidRPr="00B96D74">
        <w:t xml:space="preserve">: </w:t>
      </w:r>
      <w:proofErr w:type="spellStart"/>
      <w:r w:rsidRPr="00B96D74">
        <w:rPr>
          <w:lang w:val="en-US"/>
        </w:rPr>
        <w:t>Adalimumab</w:t>
      </w:r>
      <w:proofErr w:type="spellEnd"/>
      <w:r w:rsidRPr="00B96D74">
        <w:rPr>
          <w:lang w:val="en-US"/>
        </w:rPr>
        <w:t xml:space="preserve"> concentrations (</w:t>
      </w:r>
      <w:proofErr w:type="spellStart"/>
      <w:r w:rsidRPr="00BB5741">
        <w:t>Ctrough</w:t>
      </w:r>
      <w:proofErr w:type="spellEnd"/>
      <w:r w:rsidRPr="00B96D74">
        <w:rPr>
          <w:lang w:val="en-US"/>
        </w:rPr>
        <w:t>) in JIA subjects aged 2 to 6</w:t>
      </w:r>
      <w:r>
        <w:rPr>
          <w:lang w:val="en-US"/>
        </w:rPr>
        <w:t xml:space="preserve"> years from studies M10-444 and </w:t>
      </w:r>
      <w:r w:rsidRPr="00B96D74">
        <w:rPr>
          <w:lang w:val="en-US"/>
        </w:rPr>
        <w:t>DE038 plotted by body weight based dosing and by BSA based dosing (Panel A = Week 12; Panel B =</w:t>
      </w:r>
      <w:r w:rsidR="00237330">
        <w:rPr>
          <w:lang w:val="en-US"/>
        </w:rPr>
        <w:t xml:space="preserve"> </w:t>
      </w:r>
      <w:r w:rsidRPr="00B96D74">
        <w:rPr>
          <w:lang w:val="en-US"/>
        </w:rPr>
        <w:t>Week 24).</w:t>
      </w:r>
      <w:bookmarkEnd w:id="62"/>
    </w:p>
    <w:p w:rsidR="00EE387D" w:rsidRPr="00B96D74" w:rsidRDefault="00EE387D" w:rsidP="00BB5741">
      <w:pPr>
        <w:rPr>
          <w:bCs/>
        </w:rPr>
      </w:pPr>
      <w:r>
        <w:rPr>
          <w:noProof/>
          <w:lang w:eastAsia="en-AU"/>
        </w:rPr>
        <w:drawing>
          <wp:inline distT="0" distB="0" distL="0" distR="0" wp14:anchorId="53042301" wp14:editId="60BFB195">
            <wp:extent cx="5254052" cy="2329421"/>
            <wp:effectExtent l="0" t="0" r="3810" b="0"/>
            <wp:docPr id="4" name="Picture 4" descr="Figure 2: Adalimumab concentrations (Ctrough) in JIA subjects aged 2 to 6 years from studies M10-444 and DE038 plotted by body weight based dosing and by BSA based dosing (Panel A = Week 12; Panel B =  Week 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1" r="2504" b="2201"/>
                    <a:stretch/>
                  </pic:blipFill>
                  <pic:spPr bwMode="auto">
                    <a:xfrm>
                      <a:off x="0" y="0"/>
                      <a:ext cx="5264851" cy="2334209"/>
                    </a:xfrm>
                    <a:prstGeom prst="rect">
                      <a:avLst/>
                    </a:prstGeom>
                    <a:ln>
                      <a:noFill/>
                    </a:ln>
                    <a:extLst>
                      <a:ext uri="{53640926-AAD7-44D8-BBD7-CCE9431645EC}">
                        <a14:shadowObscured xmlns:a14="http://schemas.microsoft.com/office/drawing/2010/main"/>
                      </a:ext>
                    </a:extLst>
                  </pic:spPr>
                </pic:pic>
              </a:graphicData>
            </a:graphic>
          </wp:inline>
        </w:drawing>
      </w:r>
    </w:p>
    <w:p w:rsidR="00537E4D" w:rsidRPr="0069725E" w:rsidRDefault="00537E4D" w:rsidP="00BB5741">
      <w:pPr>
        <w:rPr>
          <w:lang w:val="en-US"/>
        </w:rPr>
      </w:pPr>
      <w:r w:rsidRPr="00CF6B59">
        <w:rPr>
          <w:lang w:val="en-US"/>
        </w:rPr>
        <w:t xml:space="preserve">The dosing data from </w:t>
      </w:r>
      <w:r w:rsidR="00EE387D">
        <w:rPr>
          <w:lang w:val="en-US"/>
        </w:rPr>
        <w:t>S</w:t>
      </w:r>
      <w:r w:rsidRPr="00CF6B59">
        <w:rPr>
          <w:lang w:val="en-US"/>
        </w:rPr>
        <w:t>tudy M10-444 and the poole</w:t>
      </w:r>
      <w:r w:rsidR="00EE387D">
        <w:rPr>
          <w:lang w:val="en-US"/>
        </w:rPr>
        <w:t>d exposure data (Ctrough) from S</w:t>
      </w:r>
      <w:r w:rsidRPr="00CF6B59">
        <w:rPr>
          <w:lang w:val="en-US"/>
        </w:rPr>
        <w:t xml:space="preserve">tudies M10-444 and DE038 support the proposed </w:t>
      </w:r>
      <w:r>
        <w:rPr>
          <w:lang w:val="en-US"/>
        </w:rPr>
        <w:t>weight based dosing regimens.</w:t>
      </w:r>
    </w:p>
    <w:p w:rsidR="008E7846" w:rsidRPr="00254787" w:rsidRDefault="008E7846" w:rsidP="00BB5741">
      <w:pPr>
        <w:pStyle w:val="Heading3"/>
      </w:pPr>
      <w:bookmarkStart w:id="63" w:name="_Toc438564004"/>
      <w:r w:rsidRPr="00BB5741">
        <w:t>Efficacy</w:t>
      </w:r>
      <w:bookmarkEnd w:id="55"/>
      <w:bookmarkEnd w:id="56"/>
      <w:bookmarkEnd w:id="57"/>
      <w:bookmarkEnd w:id="58"/>
      <w:bookmarkEnd w:id="63"/>
    </w:p>
    <w:p w:rsidR="00605AD4" w:rsidRDefault="00605AD4" w:rsidP="00BB5741">
      <w:pPr>
        <w:pStyle w:val="Heading4"/>
      </w:pPr>
      <w:bookmarkStart w:id="64" w:name="_Toc184439992"/>
      <w:bookmarkStart w:id="65" w:name="_Toc184440279"/>
      <w:bookmarkStart w:id="66" w:name="_Toc184444657"/>
      <w:bookmarkStart w:id="67" w:name="_Toc196046487"/>
      <w:r w:rsidRPr="00EE387D">
        <w:t>Studies providing efficacy data</w:t>
      </w:r>
    </w:p>
    <w:p w:rsidR="00EE387D" w:rsidRPr="00EE387D" w:rsidRDefault="00EE387D" w:rsidP="00BB5741">
      <w:r>
        <w:t>One, pivotal study (</w:t>
      </w:r>
      <w:r>
        <w:rPr>
          <w:lang w:val="en-US"/>
        </w:rPr>
        <w:t>M10-444) was submitted.</w:t>
      </w:r>
    </w:p>
    <w:p w:rsidR="008E7846" w:rsidRDefault="00605AD4" w:rsidP="00BB5741">
      <w:pPr>
        <w:pStyle w:val="Heading4"/>
      </w:pPr>
      <w:r>
        <w:t xml:space="preserve">Evaluator’s </w:t>
      </w:r>
      <w:r w:rsidRPr="00BB5741">
        <w:t>conclusions</w:t>
      </w:r>
      <w:r>
        <w:t xml:space="preserve"> on efficacy</w:t>
      </w:r>
    </w:p>
    <w:p w:rsidR="00EC228C" w:rsidRPr="00173579" w:rsidRDefault="00EC228C" w:rsidP="00BB5741">
      <w:r>
        <w:rPr>
          <w:lang w:val="en-US"/>
        </w:rPr>
        <w:t xml:space="preserve">The assessment of the clinical efficacy of adalimumab for the treatment of moderate to </w:t>
      </w:r>
      <w:r w:rsidRPr="00173579">
        <w:t xml:space="preserve">severe </w:t>
      </w:r>
      <w:proofErr w:type="spellStart"/>
      <w:r w:rsidRPr="00173579">
        <w:t>pJIA</w:t>
      </w:r>
      <w:proofErr w:type="spellEnd"/>
      <w:r w:rsidRPr="00173579">
        <w:t xml:space="preserve"> in children aged 2 to &lt; 4 years and children age </w:t>
      </w:r>
      <w:r w:rsidR="00974CDD">
        <w:rPr>
          <w:lang w:val="en-US"/>
        </w:rPr>
        <w:t>≥</w:t>
      </w:r>
      <w:r w:rsidR="00237330">
        <w:rPr>
          <w:lang w:val="en-US"/>
        </w:rPr>
        <w:t xml:space="preserve"> </w:t>
      </w:r>
      <w:r w:rsidRPr="00173579">
        <w:t xml:space="preserve">4 years weighing &lt; 15 kg is based on the results of the efficacy variables from a small number of subjects (N=32) enrolled in a multinational, multicentre, </w:t>
      </w:r>
      <w:r w:rsidR="00817741">
        <w:t>open label</w:t>
      </w:r>
      <w:r w:rsidRPr="00173579">
        <w:t xml:space="preserve">, uncontrolled study (M10-444). The </w:t>
      </w:r>
      <w:r w:rsidRPr="00173579">
        <w:lastRenderedPageBreak/>
        <w:t>study aimed to treat all subjects for at least 24 weeks, and 30 of the 32 subjects (94%) achieved this objective. The majority of subjects (84.4%, N=27) were treated with adalimumab in combination with MTX. There were no efficacy data comparing adalimumab alone to adal</w:t>
      </w:r>
      <w:r w:rsidR="00BB5741">
        <w:t>imumab in combination with MTX.</w:t>
      </w:r>
    </w:p>
    <w:p w:rsidR="00EC228C" w:rsidRPr="00173579" w:rsidRDefault="00EC228C" w:rsidP="00BB5741">
      <w:r w:rsidRPr="00173579">
        <w:t xml:space="preserve">The most commonly </w:t>
      </w:r>
      <w:r w:rsidRPr="00C068A4">
        <w:t xml:space="preserve">reported </w:t>
      </w:r>
      <w:r w:rsidR="006938E9" w:rsidRPr="00C068A4">
        <w:t xml:space="preserve">JIA </w:t>
      </w:r>
      <w:r w:rsidRPr="00C068A4">
        <w:t>diagnosis</w:t>
      </w:r>
      <w:r w:rsidRPr="00173579">
        <w:t xml:space="preserve"> at Baseline in </w:t>
      </w:r>
      <w:r w:rsidR="00E9102E">
        <w:t>S</w:t>
      </w:r>
      <w:r w:rsidRPr="00173579">
        <w:t xml:space="preserve">tudy M10-444 was </w:t>
      </w:r>
      <w:proofErr w:type="spellStart"/>
      <w:r w:rsidRPr="00173579">
        <w:t>sero</w:t>
      </w:r>
      <w:proofErr w:type="spellEnd"/>
      <w:r w:rsidRPr="00173579">
        <w:t xml:space="preserve">-negative polyarthritis (type 2 JIA) (N=20 [62.5%]) followed by extended </w:t>
      </w:r>
      <w:proofErr w:type="spellStart"/>
      <w:r w:rsidRPr="00173579">
        <w:t>oligoarthritis</w:t>
      </w:r>
      <w:proofErr w:type="spellEnd"/>
      <w:r w:rsidRPr="00173579">
        <w:t xml:space="preserve"> (type 5 JIA) (N=8 [25.0%]). All other </w:t>
      </w:r>
      <w:r w:rsidR="00B0109D">
        <w:t>JRA</w:t>
      </w:r>
      <w:r w:rsidRPr="00173579">
        <w:t xml:space="preserve">JIA </w:t>
      </w:r>
      <w:r w:rsidRPr="00EE387D">
        <w:t>diagnoses based on ILAR criteria were reported in ≤ 2 subjects. The majority of subjects had received tr</w:t>
      </w:r>
      <w:r w:rsidR="00E9102E" w:rsidRPr="00EE387D">
        <w:t xml:space="preserve">eatment for </w:t>
      </w:r>
      <w:proofErr w:type="spellStart"/>
      <w:r w:rsidR="00E9102E" w:rsidRPr="00EE387D">
        <w:t>pJIA</w:t>
      </w:r>
      <w:proofErr w:type="spellEnd"/>
      <w:r w:rsidR="00E9102E" w:rsidRPr="00EE387D">
        <w:t xml:space="preserve"> prior to</w:t>
      </w:r>
      <w:r w:rsidR="00E9102E">
        <w:t xml:space="preserve"> enrol</w:t>
      </w:r>
      <w:r w:rsidRPr="00173579">
        <w:t>ment with MTX (N=25, 78.1%), systemic NSAIDs (N=20, 62.5%) and/or systemic corticosteroids (N=22, 6</w:t>
      </w:r>
      <w:r w:rsidR="002A7825">
        <w:t>8</w:t>
      </w:r>
      <w:r w:rsidRPr="00173579">
        <w:t>.8%). Prior t</w:t>
      </w:r>
      <w:r w:rsidR="00E9102E">
        <w:t>o enrol</w:t>
      </w:r>
      <w:r w:rsidRPr="00173579">
        <w:t>ment, no patients had been treated with biologics for treatment of their disease.</w:t>
      </w:r>
    </w:p>
    <w:p w:rsidR="00197776" w:rsidRPr="00237330" w:rsidRDefault="00E9102E" w:rsidP="00BB5741">
      <w:r>
        <w:t>All subjects in S</w:t>
      </w:r>
      <w:r w:rsidR="00EC228C" w:rsidRPr="00173579">
        <w:t>tudy M10-444 were treated with adalimumab 24 mg/m</w:t>
      </w:r>
      <w:r w:rsidR="00EC228C" w:rsidRPr="00E9102E">
        <w:rPr>
          <w:vertAlign w:val="superscript"/>
        </w:rPr>
        <w:t>2</w:t>
      </w:r>
      <w:r w:rsidR="00EC228C" w:rsidRPr="00173579">
        <w:t xml:space="preserve"> (BSA) by </w:t>
      </w:r>
      <w:r>
        <w:t>SC</w:t>
      </w:r>
      <w:r w:rsidR="00EC228C" w:rsidRPr="00173579">
        <w:t xml:space="preserve"> injection </w:t>
      </w:r>
      <w:proofErr w:type="spellStart"/>
      <w:r w:rsidR="00EC228C" w:rsidRPr="00237330">
        <w:t>eow</w:t>
      </w:r>
      <w:proofErr w:type="spellEnd"/>
      <w:r w:rsidR="00F071E1" w:rsidRPr="00237330">
        <w:t xml:space="preserve"> </w:t>
      </w:r>
      <w:r w:rsidR="00EC228C" w:rsidRPr="00237330">
        <w:t xml:space="preserve">and, as noted above, the majority of subjects also received concomitant treatment with MTX (N=27, 84.4%). Subjects enrolled in EU countries were required to have previously failed, had an insufficient response to, or been intolerant to </w:t>
      </w:r>
      <w:r w:rsidR="00974CDD" w:rsidRPr="00237330">
        <w:rPr>
          <w:lang w:val="en-US"/>
        </w:rPr>
        <w:t>≥ </w:t>
      </w:r>
      <w:r w:rsidR="00EC228C" w:rsidRPr="00237330">
        <w:t xml:space="preserve">1 </w:t>
      </w:r>
      <w:r w:rsidR="00237330" w:rsidRPr="00237330">
        <w:t>Disease-modifying anti-rheumatic drug (</w:t>
      </w:r>
      <w:r w:rsidR="00EC228C" w:rsidRPr="00237330">
        <w:t>DMARD</w:t>
      </w:r>
      <w:r w:rsidR="00237330" w:rsidRPr="00237330">
        <w:t>)</w:t>
      </w:r>
      <w:r w:rsidR="00EC228C" w:rsidRPr="00237330">
        <w:t>. However, this was not a r</w:t>
      </w:r>
      <w:r w:rsidR="00BB5741">
        <w:t>equirement for non-EU subjects.</w:t>
      </w:r>
    </w:p>
    <w:p w:rsidR="00EC228C" w:rsidRPr="00EF55F9" w:rsidRDefault="00EC228C" w:rsidP="00BB5741">
      <w:r w:rsidRPr="00237330">
        <w:t xml:space="preserve">In </w:t>
      </w:r>
      <w:r w:rsidR="00EF55F9" w:rsidRPr="00237330">
        <w:t>Study M</w:t>
      </w:r>
      <w:r w:rsidRPr="00237330">
        <w:t>10-444, there were no primary efficacy outcomes</w:t>
      </w:r>
      <w:r w:rsidRPr="00173579">
        <w:t xml:space="preserve"> and all efficacy outcomes were defined as secondary outcomes. Efficacy data were available on 94% of subjects (30/32) at Week 24, 53% of subjects (17/32) at Week 84 and 9% of subjects (3/32) at Week 120. There were no statistical analyses of the efficacy outcomes and all results were presented descriptively. </w:t>
      </w:r>
      <w:r w:rsidRPr="00EF55F9">
        <w:t>The main efficacy outcomes were the PedACR30/50/70/90</w:t>
      </w:r>
      <w:r w:rsidR="00EF55F9">
        <w:rPr>
          <w:rStyle w:val="FootnoteReference"/>
        </w:rPr>
        <w:footnoteReference w:id="3"/>
      </w:r>
      <w:r w:rsidRPr="00EF55F9">
        <w:t xml:space="preserve"> responses in the </w:t>
      </w:r>
      <w:r w:rsidR="00EF55F9" w:rsidRPr="00EF55F9">
        <w:t>Intention-to-Treat (</w:t>
      </w:r>
      <w:r w:rsidRPr="00EF55F9">
        <w:t>ITT</w:t>
      </w:r>
      <w:r w:rsidR="00EF55F9" w:rsidRPr="00EF55F9">
        <w:t>)</w:t>
      </w:r>
      <w:r w:rsidRPr="00EF55F9">
        <w:t xml:space="preserve"> population. The PedACR30 is a validated efficacy outcome for paediatric subjects. The </w:t>
      </w:r>
      <w:r w:rsidR="00EF55F9" w:rsidRPr="00EF55F9">
        <w:t>Paediatric American College of Rheumatology (</w:t>
      </w:r>
      <w:proofErr w:type="spellStart"/>
      <w:r w:rsidR="00EF55F9" w:rsidRPr="00EF55F9">
        <w:t>PedACR</w:t>
      </w:r>
      <w:proofErr w:type="spellEnd"/>
      <w:proofErr w:type="gramStart"/>
      <w:r w:rsidR="00EF55F9" w:rsidRPr="00EF55F9">
        <w:t>)</w:t>
      </w:r>
      <w:r w:rsidRPr="00EF55F9">
        <w:t>50</w:t>
      </w:r>
      <w:proofErr w:type="gramEnd"/>
      <w:r w:rsidRPr="00EF55F9">
        <w:t xml:space="preserve">/70/90 responses do not appear to have been validated for paediatric subjects, but are commonly used clinical trial endpoints for the assessment of medications for the treatment of </w:t>
      </w:r>
      <w:proofErr w:type="spellStart"/>
      <w:r w:rsidRPr="00EF55F9">
        <w:t>pJIA</w:t>
      </w:r>
      <w:proofErr w:type="spellEnd"/>
      <w:r w:rsidRPr="00EF55F9">
        <w:t xml:space="preserve">. The </w:t>
      </w:r>
      <w:proofErr w:type="spellStart"/>
      <w:r w:rsidRPr="00EF55F9">
        <w:t>PedACR</w:t>
      </w:r>
      <w:proofErr w:type="spellEnd"/>
      <w:r w:rsidRPr="00EF55F9">
        <w:t xml:space="preserve"> responses are considered to be acceptable efficacy endpoints for the assessment of adalimumab in </w:t>
      </w:r>
      <w:r w:rsidR="00BB5741">
        <w:t>the patient population studied.</w:t>
      </w:r>
    </w:p>
    <w:p w:rsidR="00EC228C" w:rsidRPr="00173579" w:rsidRDefault="00EC228C" w:rsidP="00BB5741">
      <w:r w:rsidRPr="00EF55F9">
        <w:t>The observed PedACR30 response was achieved</w:t>
      </w:r>
      <w:r w:rsidRPr="00173579">
        <w:t xml:space="preserve"> by at least 85% of subjects from Week 12 through to Week 120. The imputed PedACR30 responses for both the </w:t>
      </w:r>
      <w:r w:rsidR="00EF55F9">
        <w:t>last observation carried forward (</w:t>
      </w:r>
      <w:r w:rsidRPr="00173579">
        <w:t>LOCF</w:t>
      </w:r>
      <w:r w:rsidR="00EF55F9">
        <w:t>)</w:t>
      </w:r>
      <w:r w:rsidRPr="00173579">
        <w:t xml:space="preserve"> </w:t>
      </w:r>
      <w:r w:rsidRPr="00EF55F9">
        <w:t xml:space="preserve">and </w:t>
      </w:r>
      <w:r w:rsidR="00EF55F9" w:rsidRPr="00EF55F9">
        <w:t>non-responder imputation analysis (NRI)</w:t>
      </w:r>
      <w:r w:rsidR="00EF55F9">
        <w:t xml:space="preserve"> </w:t>
      </w:r>
      <w:r w:rsidRPr="00EF55F9">
        <w:t>methods supported the observed PedACR30 response through to Week 24 but the NRI responses</w:t>
      </w:r>
      <w:r w:rsidRPr="00173579">
        <w:t xml:space="preserve"> were notably lower than the observed responses at Weeks 36 and 60. The observed PedACR50 response was achieved by at least 80% of subjects from Week 12 through to Week 120, while the observed PedACR70 and PedACR90 responses were achieved by at least 61% and 36% of subjects, respectively, from Week 12 through Week 120. The observed PedACR30/50/70/90 responses at Week 24 were 90.0%, 83.3%, 73.3% and 36.7% of subjects, respectively, and the responses were consistent with the results for the LOCF and NRI analyses at this time-point. Overall, the </w:t>
      </w:r>
      <w:proofErr w:type="spellStart"/>
      <w:r w:rsidRPr="00173579">
        <w:t>PedACR</w:t>
      </w:r>
      <w:proofErr w:type="spellEnd"/>
      <w:r w:rsidRPr="00173579">
        <w:t xml:space="preserve"> responses indicate a clear benefit for adalimumab treatment. </w:t>
      </w:r>
      <w:r w:rsidR="00E07C2E">
        <w:t xml:space="preserve">Due to the magnitude of the improvements </w:t>
      </w:r>
      <w:r w:rsidR="00E07C2E" w:rsidRPr="00173579">
        <w:t xml:space="preserve">in the observed </w:t>
      </w:r>
      <w:proofErr w:type="spellStart"/>
      <w:r w:rsidR="00E07C2E" w:rsidRPr="00173579">
        <w:t>PedACR</w:t>
      </w:r>
      <w:proofErr w:type="spellEnd"/>
      <w:r w:rsidR="00E07C2E" w:rsidRPr="00173579">
        <w:t xml:space="preserve"> responses </w:t>
      </w:r>
      <w:r w:rsidR="00E07C2E">
        <w:t>(from B</w:t>
      </w:r>
      <w:r w:rsidR="00E07C2E" w:rsidRPr="00173579">
        <w:t>aseline</w:t>
      </w:r>
      <w:r w:rsidR="00E07C2E">
        <w:t>)</w:t>
      </w:r>
      <w:r w:rsidR="00E07C2E" w:rsidRPr="00173579">
        <w:t xml:space="preserve"> </w:t>
      </w:r>
      <w:r w:rsidR="00E07C2E">
        <w:t>it is c</w:t>
      </w:r>
      <w:r w:rsidRPr="00173579">
        <w:t xml:space="preserve">onsidered unlikely that </w:t>
      </w:r>
      <w:r w:rsidR="00E07C2E">
        <w:t xml:space="preserve">they </w:t>
      </w:r>
      <w:r w:rsidR="00BB5741">
        <w:t>are due to chance alone.</w:t>
      </w:r>
    </w:p>
    <w:p w:rsidR="00EC228C" w:rsidRPr="00173579" w:rsidRDefault="00EC228C" w:rsidP="00BB5741">
      <w:r w:rsidRPr="00173579">
        <w:lastRenderedPageBreak/>
        <w:t xml:space="preserve">The </w:t>
      </w:r>
      <w:r w:rsidRPr="00E07C2E">
        <w:t>results for the JIA core set of variables showed consistent improvement from baseline over the course of treatment for each of the parameters. The results for each of the joint assessments (</w:t>
      </w:r>
      <w:r w:rsidR="00E07C2E" w:rsidRPr="00E07C2E">
        <w:t>Tender Joint Count (</w:t>
      </w:r>
      <w:r w:rsidRPr="00E07C2E">
        <w:t>TJC</w:t>
      </w:r>
      <w:r w:rsidR="00E07C2E" w:rsidRPr="00E07C2E">
        <w:t xml:space="preserve">) </w:t>
      </w:r>
      <w:r w:rsidRPr="00E07C2E">
        <w:t xml:space="preserve">75, </w:t>
      </w:r>
      <w:r w:rsidR="00E07C2E" w:rsidRPr="00E07C2E">
        <w:t>Swollen Joint Count (</w:t>
      </w:r>
      <w:r w:rsidRPr="00E07C2E">
        <w:t>SJC</w:t>
      </w:r>
      <w:r w:rsidR="00E07C2E" w:rsidRPr="00E07C2E">
        <w:t xml:space="preserve">) </w:t>
      </w:r>
      <w:r w:rsidRPr="00E07C2E">
        <w:t xml:space="preserve">66, </w:t>
      </w:r>
      <w:r w:rsidR="00E07C2E" w:rsidRPr="00E07C2E">
        <w:t>Pain on Passive Motion Joint Count (</w:t>
      </w:r>
      <w:r w:rsidRPr="00E07C2E">
        <w:t>POM</w:t>
      </w:r>
      <w:r w:rsidR="00E07C2E" w:rsidRPr="00E07C2E">
        <w:t xml:space="preserve">) </w:t>
      </w:r>
      <w:r w:rsidRPr="00E07C2E">
        <w:t xml:space="preserve">75, </w:t>
      </w:r>
      <w:r w:rsidR="00E07C2E" w:rsidRPr="00E07C2E">
        <w:t>Limitation of Passive Motion Joint Count (</w:t>
      </w:r>
      <w:r w:rsidRPr="00E07C2E">
        <w:t>LOM</w:t>
      </w:r>
      <w:r w:rsidR="00E07C2E" w:rsidRPr="00E07C2E">
        <w:t xml:space="preserve">) </w:t>
      </w:r>
      <w:r w:rsidRPr="00E07C2E">
        <w:t xml:space="preserve">69, </w:t>
      </w:r>
      <w:r w:rsidR="00E07C2E" w:rsidRPr="00E07C2E">
        <w:t>Active joint count (</w:t>
      </w:r>
      <w:r w:rsidRPr="00E07C2E">
        <w:t>AJC</w:t>
      </w:r>
      <w:r w:rsidR="00E07C2E" w:rsidRPr="00E07C2E">
        <w:t xml:space="preserve">) </w:t>
      </w:r>
      <w:r w:rsidRPr="00E07C2E">
        <w:t>73) showed a reduction in mean score from Baseline at all visits from Week 12 through to Week 120. In general, mean reductions from Baseline for all joint assessment scores increased from Week 12 through to Week 72 to Week 84. The number of subjects with joint assessments after</w:t>
      </w:r>
      <w:r w:rsidRPr="00173579">
        <w:t xml:space="preserve"> the Week 84 visit was notably lower than </w:t>
      </w:r>
      <w:r w:rsidR="00BB5741">
        <w:t>the number prior to this visit.</w:t>
      </w:r>
    </w:p>
    <w:p w:rsidR="00EC228C" w:rsidRDefault="00EC228C" w:rsidP="00BB5741">
      <w:pPr>
        <w:rPr>
          <w:rFonts w:ascii="‡ﬂ¯øª∆‚" w:hAnsi="‡ﬂ¯øª∆‚" w:cs="‡ﬂ¯øª∆‚"/>
          <w:lang w:val="en-US"/>
        </w:rPr>
      </w:pPr>
      <w:r w:rsidRPr="00173579">
        <w:t xml:space="preserve">The </w:t>
      </w:r>
      <w:r w:rsidRPr="00E07C2E">
        <w:t xml:space="preserve">results for </w:t>
      </w:r>
      <w:r w:rsidR="00E07C2E" w:rsidRPr="00E07C2E">
        <w:t>Physician's global assessment (</w:t>
      </w:r>
      <w:r w:rsidRPr="00E07C2E">
        <w:t>PGA</w:t>
      </w:r>
      <w:r w:rsidR="00E07C2E" w:rsidRPr="00E07C2E">
        <w:t>)</w:t>
      </w:r>
      <w:r w:rsidRPr="00E07C2E">
        <w:t xml:space="preserve"> of disease</w:t>
      </w:r>
      <w:r w:rsidRPr="00173579">
        <w:t xml:space="preserve"> activity, parent's global assessment of disease activity and parent</w:t>
      </w:r>
      <w:r w:rsidR="00E07C2E">
        <w:t>’</w:t>
      </w:r>
      <w:r w:rsidRPr="00173579">
        <w:t xml:space="preserve">s assessment of pain all showed reductions </w:t>
      </w:r>
      <w:r w:rsidRPr="00E07C2E">
        <w:t xml:space="preserve">in mean </w:t>
      </w:r>
      <w:r w:rsidR="00E07C2E" w:rsidRPr="00E07C2E">
        <w:t>Visual analog</w:t>
      </w:r>
      <w:r w:rsidR="00E07C2E">
        <w:t>ue</w:t>
      </w:r>
      <w:r w:rsidR="00E07C2E" w:rsidRPr="00E07C2E">
        <w:t xml:space="preserve"> scale (</w:t>
      </w:r>
      <w:r w:rsidRPr="00E07C2E">
        <w:t>VAS</w:t>
      </w:r>
      <w:r w:rsidR="00E07C2E" w:rsidRPr="00E07C2E">
        <w:t>)</w:t>
      </w:r>
      <w:r w:rsidRPr="00E07C2E">
        <w:t xml:space="preserve"> scores from Baseline at all visits from Week 12 through to Week 120. In general, the reductions</w:t>
      </w:r>
      <w:r>
        <w:rPr>
          <w:rFonts w:ascii="‡ﬂ¯øª∆‚" w:hAnsi="‡ﬂ¯øª∆‚" w:cs="‡ﬂ¯øª∆‚"/>
          <w:lang w:val="en-US"/>
        </w:rPr>
        <w:t xml:space="preserve"> from Baseline in mean VAS scores were higher from Week 72 through to Week 120 than from Week 12 through to Week 72. However, the number of patients assessed at Week 72 through to Week 120 (17 </w:t>
      </w:r>
      <w:r>
        <w:rPr>
          <w:rFonts w:ascii="‡ﬂ¯øª∆‚" w:hAnsi="‡ﬂ¯øª∆‚" w:cs="‡ﬂ¯øª∆‚"/>
          <w:lang w:val="en-US"/>
        </w:rPr>
        <w:sym w:font="Symbol" w:char="F0AE"/>
      </w:r>
      <w:r>
        <w:rPr>
          <w:rFonts w:ascii="‡ﬂ¯øª∆‚" w:hAnsi="‡ﬂ¯øª∆‚" w:cs="‡ﬂ¯øª∆‚"/>
          <w:lang w:val="en-US"/>
        </w:rPr>
        <w:t xml:space="preserve"> 3) was notably lower than the number of patients assessed at Week 12 through to Week 72 (30 </w:t>
      </w:r>
      <w:r>
        <w:rPr>
          <w:rFonts w:ascii="‡ﬂ¯øª∆‚" w:hAnsi="‡ﬂ¯øª∆‚" w:cs="‡ﬂ¯øª∆‚"/>
          <w:lang w:val="en-US"/>
        </w:rPr>
        <w:sym w:font="Symbol" w:char="F0AE"/>
      </w:r>
      <w:r>
        <w:rPr>
          <w:rFonts w:ascii="‡ﬂ¯øª∆‚" w:hAnsi="‡ﬂ¯øª∆‚" w:cs="‡ﬂ¯øª∆‚"/>
          <w:lang w:val="en-US"/>
        </w:rPr>
        <w:t xml:space="preserve">17). Therefore, the imbalance in patient numbers between the two time periods suggests that the difference in the observed PGA VAS scores between the two time periods should be interpreted cautiously. In addition, the Week 72 through to Week 120 group can be interpreted as being a </w:t>
      </w:r>
      <w:r w:rsidR="002B4974">
        <w:rPr>
          <w:rFonts w:ascii="‡ﬂ¯øª∆‚" w:hAnsi="‡ﬂ¯øª∆‚" w:cs="‡ﬂ¯øª∆‚"/>
          <w:lang w:val="en-US"/>
        </w:rPr>
        <w:t>‘</w:t>
      </w:r>
      <w:r>
        <w:rPr>
          <w:rFonts w:ascii="‡ﬂ¯øª∆‚" w:hAnsi="‡ﬂ¯øª∆‚" w:cs="‡ﬂ¯øª∆‚"/>
          <w:lang w:val="en-US"/>
        </w:rPr>
        <w:t>survivor cohort</w:t>
      </w:r>
      <w:r w:rsidR="002B4974">
        <w:rPr>
          <w:rFonts w:ascii="‡ﬂ¯øª∆‚" w:hAnsi="‡ﬂ¯øª∆‚" w:cs="‡ﬂ¯øª∆‚"/>
          <w:lang w:val="en-US"/>
        </w:rPr>
        <w:t>’</w:t>
      </w:r>
      <w:r>
        <w:rPr>
          <w:rFonts w:ascii="‡ﬂ¯øª∆‚" w:hAnsi="‡ﬂ¯øª∆‚" w:cs="‡ﬂ¯øª∆‚"/>
          <w:lang w:val="en-US"/>
        </w:rPr>
        <w:t xml:space="preserve">, while the Week 12 through to Week 72 group can be interpreted as being an </w:t>
      </w:r>
      <w:r w:rsidR="002B4974">
        <w:rPr>
          <w:rFonts w:ascii="‡ﬂ¯øª∆‚" w:hAnsi="‡ﬂ¯øª∆‚" w:cs="‡ﬂ¯øª∆‚"/>
          <w:lang w:val="en-US"/>
        </w:rPr>
        <w:t>‘</w:t>
      </w:r>
      <w:r>
        <w:rPr>
          <w:rFonts w:ascii="‡ﬂ¯øª∆‚" w:hAnsi="‡ﬂ¯øª∆‚" w:cs="‡ﬂ¯øª∆‚"/>
          <w:lang w:val="en-US"/>
        </w:rPr>
        <w:t>inception cohort</w:t>
      </w:r>
      <w:r w:rsidR="002B4974">
        <w:rPr>
          <w:rFonts w:ascii="‡ﬂ¯øª∆‚" w:hAnsi="‡ﬂ¯øª∆‚" w:cs="‡ﬂ¯øª∆‚"/>
          <w:lang w:val="en-US"/>
        </w:rPr>
        <w:t>’</w:t>
      </w:r>
      <w:r>
        <w:rPr>
          <w:rFonts w:ascii="‡ﬂ¯øª∆‚" w:hAnsi="‡ﬂ¯øª∆‚" w:cs="‡ﬂ¯øª∆‚"/>
          <w:lang w:val="en-US"/>
        </w:rPr>
        <w:t xml:space="preserve">. Therefore, it is possible that the greater reductions in PGA VAS scores from Week 72 through to Week 120 compared to Week 12 through to Week 72 might represent </w:t>
      </w:r>
      <w:r w:rsidR="002B4974">
        <w:rPr>
          <w:rFonts w:ascii="‡ﬂ¯øª∆‚" w:hAnsi="‡ﬂ¯øª∆‚" w:cs="‡ﬂ¯øª∆‚"/>
          <w:lang w:val="en-US"/>
        </w:rPr>
        <w:t>‘</w:t>
      </w:r>
      <w:r>
        <w:rPr>
          <w:rFonts w:ascii="‡ﬂ¯øª∆‚" w:hAnsi="‡ﬂ¯øª∆‚" w:cs="‡ﬂ¯øª∆‚"/>
          <w:lang w:val="en-US"/>
        </w:rPr>
        <w:t>survivor-related</w:t>
      </w:r>
      <w:r w:rsidR="002B4974">
        <w:rPr>
          <w:rFonts w:ascii="‡ﬂ¯øª∆‚" w:hAnsi="‡ﬂ¯øª∆‚" w:cs="‡ﬂ¯øª∆‚"/>
          <w:lang w:val="en-US"/>
        </w:rPr>
        <w:t>’</w:t>
      </w:r>
      <w:r>
        <w:rPr>
          <w:rFonts w:ascii="‡ﬂ¯øª∆‚" w:hAnsi="‡ﬂ¯øª∆‚" w:cs="‡ﬂ¯øª∆‚"/>
          <w:lang w:val="en-US"/>
        </w:rPr>
        <w:t xml:space="preserve"> bias. Consequently, in the absence of PGA VAS data on all patients in the </w:t>
      </w:r>
      <w:r w:rsidR="002B4974">
        <w:rPr>
          <w:rFonts w:ascii="‡ﬂ¯øª∆‚" w:hAnsi="‡ﬂ¯øª∆‚" w:cs="‡ﬂ¯øª∆‚"/>
          <w:lang w:val="en-US"/>
        </w:rPr>
        <w:t>‘</w:t>
      </w:r>
      <w:r>
        <w:rPr>
          <w:rFonts w:ascii="‡ﬂ¯øª∆‚" w:hAnsi="‡ﬂ¯øª∆‚" w:cs="‡ﬂ¯øª∆‚"/>
          <w:lang w:val="en-US"/>
        </w:rPr>
        <w:t>inception cohort</w:t>
      </w:r>
      <w:r w:rsidR="002B4974">
        <w:rPr>
          <w:rFonts w:ascii="‡ﬂ¯øª∆‚" w:hAnsi="‡ﬂ¯øª∆‚" w:cs="‡ﬂ¯øª∆‚"/>
          <w:lang w:val="en-US"/>
        </w:rPr>
        <w:t>’</w:t>
      </w:r>
      <w:r>
        <w:rPr>
          <w:rFonts w:ascii="‡ﬂ¯øª∆‚" w:hAnsi="‡ﬂ¯øª∆‚" w:cs="‡ﬂ¯øª∆‚"/>
          <w:lang w:val="en-US"/>
        </w:rPr>
        <w:t xml:space="preserve"> from Week 72 through to Week 120 the significance of the observed difference in the PGA VAS scores between t</w:t>
      </w:r>
      <w:r w:rsidR="00BB5741">
        <w:rPr>
          <w:rFonts w:ascii="‡ﬂ¯øª∆‚" w:hAnsi="‡ﬂ¯øª∆‚" w:cs="‡ﬂ¯øª∆‚"/>
          <w:lang w:val="en-US"/>
        </w:rPr>
        <w:t>he two time periods is unclear.</w:t>
      </w:r>
    </w:p>
    <w:p w:rsidR="00EC228C" w:rsidRDefault="00EC228C" w:rsidP="00BB5741">
      <w:pPr>
        <w:rPr>
          <w:rFonts w:ascii="‡ﬂ¯øª∆‚" w:hAnsi="‡ﬂ¯øª∆‚" w:cs="‡ﬂ¯øª∆‚"/>
          <w:lang w:val="en-US"/>
        </w:rPr>
      </w:pPr>
      <w:r w:rsidRPr="00E07C2E">
        <w:t xml:space="preserve">The results for the </w:t>
      </w:r>
      <w:r w:rsidR="00E07C2E" w:rsidRPr="00E07C2E">
        <w:t>Disability Index of Childhood Health Assessment Questionnaire (DICHAQ)</w:t>
      </w:r>
      <w:r w:rsidRPr="00E07C2E">
        <w:t xml:space="preserve"> and </w:t>
      </w:r>
      <w:r w:rsidR="00E07C2E" w:rsidRPr="00E07C2E">
        <w:t>Child Health Questionnaire - PF50 (</w:t>
      </w:r>
      <w:r w:rsidRPr="00E07C2E">
        <w:t>CHQ-PF50</w:t>
      </w:r>
      <w:r w:rsidR="00E07C2E" w:rsidRPr="00E07C2E">
        <w:t>)</w:t>
      </w:r>
      <w:r w:rsidRPr="00E07C2E">
        <w:t xml:space="preserve"> assessments were consistent with improvement in the quality of life for both the subject and the parent(s) over the course of treatment with adalimumab. The results for the CRP showed a mean reduction from baseline at all visits from Week 12 through Week 84, with</w:t>
      </w:r>
      <w:r>
        <w:rPr>
          <w:rFonts w:ascii="‡ﬂ¯øª∆‚" w:hAnsi="‡ﬂ¯øª∆‚" w:cs="‡ﬂ¯øª∆‚"/>
          <w:lang w:val="en-US"/>
        </w:rPr>
        <w:t xml:space="preserve"> levels being in the normal range at Week 72 and Week 84. However, mean CRP levels were higher than Baseline at Week 96 through to Week 120, but subject numbers with CRP data at these visits were small. The majority of subjects (61.3%, N=19) had Baseline CRP values within the normal range (</w:t>
      </w:r>
      <w:r w:rsidR="00E07C2E" w:rsidRPr="00C068A4">
        <w:rPr>
          <w:rFonts w:ascii="‡ﬂ¯øª∆‚" w:hAnsi="‡ﬂ¯øª∆‚" w:cs="‡ﬂ¯øª∆‚"/>
          <w:lang w:val="en-US"/>
        </w:rPr>
        <w:t xml:space="preserve">that </w:t>
      </w:r>
      <w:r w:rsidR="006938E9" w:rsidRPr="00C068A4">
        <w:rPr>
          <w:rFonts w:ascii="‡ﬂ¯øª∆‚" w:hAnsi="‡ﬂ¯øª∆‚" w:cs="‡ﬂ¯øª∆‚"/>
          <w:lang w:val="en-US"/>
        </w:rPr>
        <w:t>i</w:t>
      </w:r>
      <w:r w:rsidR="00E07C2E" w:rsidRPr="00C068A4">
        <w:rPr>
          <w:rFonts w:ascii="‡ﬂ¯øª∆‚" w:hAnsi="‡ﬂ¯øª∆‚" w:cs="‡ﬂ¯øª∆‚"/>
          <w:lang w:val="en-US"/>
        </w:rPr>
        <w:t>s,</w:t>
      </w:r>
      <w:r w:rsidRPr="00C068A4">
        <w:rPr>
          <w:rFonts w:ascii="‡ﬂ¯øª∆‚" w:hAnsi="‡ﬂ¯øª∆‚" w:cs="‡ﬂ¯øª∆‚"/>
          <w:lang w:val="en-US"/>
        </w:rPr>
        <w:t xml:space="preserve"> &lt; 0.9 mg/</w:t>
      </w:r>
      <w:r w:rsidR="006938E9" w:rsidRPr="00C068A4">
        <w:rPr>
          <w:rFonts w:ascii="‡ﬂ¯øª∆‚" w:hAnsi="‡ﬂ¯øª∆‚" w:cs="‡ﬂ¯øª∆‚"/>
          <w:lang w:val="en-US"/>
        </w:rPr>
        <w:t>d</w:t>
      </w:r>
      <w:r w:rsidRPr="00C068A4">
        <w:rPr>
          <w:rFonts w:ascii="‡ﬂ¯øª∆‚" w:hAnsi="‡ﬂ¯øª∆‚" w:cs="‡ﬂ¯øª∆‚"/>
          <w:lang w:val="en-US"/>
        </w:rPr>
        <w:t>L)</w:t>
      </w:r>
      <w:proofErr w:type="gramStart"/>
      <w:r w:rsidRPr="00C068A4">
        <w:rPr>
          <w:rFonts w:ascii="‡ﬂ¯øª∆‚" w:hAnsi="‡ﬂ¯øª∆‚" w:cs="‡ﬂ¯øª∆‚"/>
          <w:lang w:val="en-US"/>
        </w:rPr>
        <w:t>,</w:t>
      </w:r>
      <w:proofErr w:type="gramEnd"/>
      <w:r>
        <w:rPr>
          <w:rFonts w:ascii="‡ﬂ¯øª∆‚" w:hAnsi="‡ﬂ¯øª∆‚" w:cs="‡ﬂ¯øª∆‚"/>
          <w:lang w:val="en-US"/>
        </w:rPr>
        <w:t xml:space="preserve"> with a mean </w:t>
      </w:r>
      <w:r w:rsidR="00BB5741">
        <w:rPr>
          <w:rFonts w:ascii="‡ﬂ¯øª∆‚" w:hAnsi="‡ﬂ¯øª∆‚" w:cs="‡ﬂ¯øª∆‚"/>
          <w:lang w:val="en-US"/>
        </w:rPr>
        <w:t>± SD value of 1.6 ± 2.43 mg/</w:t>
      </w:r>
      <w:proofErr w:type="spellStart"/>
      <w:r w:rsidR="00BB5741">
        <w:rPr>
          <w:rFonts w:ascii="‡ﬂ¯øª∆‚" w:hAnsi="‡ﬂ¯øª∆‚" w:cs="‡ﬂ¯øª∆‚"/>
          <w:lang w:val="en-US"/>
        </w:rPr>
        <w:t>dL</w:t>
      </w:r>
      <w:proofErr w:type="spellEnd"/>
      <w:r w:rsidR="00BB5741">
        <w:rPr>
          <w:rFonts w:ascii="‡ﬂ¯øª∆‚" w:hAnsi="‡ﬂ¯øª∆‚" w:cs="‡ﬂ¯øª∆‚"/>
          <w:lang w:val="en-US"/>
        </w:rPr>
        <w:t>.</w:t>
      </w:r>
    </w:p>
    <w:p w:rsidR="00EC228C" w:rsidRDefault="00EC228C" w:rsidP="00BB5741">
      <w:pPr>
        <w:rPr>
          <w:lang w:val="en-US"/>
        </w:rPr>
      </w:pPr>
      <w:r>
        <w:rPr>
          <w:lang w:val="en-US"/>
        </w:rPr>
        <w:t xml:space="preserve">Overall, it is considered that the available </w:t>
      </w:r>
      <w:r w:rsidR="00817741">
        <w:rPr>
          <w:lang w:val="en-US"/>
        </w:rPr>
        <w:t>open label</w:t>
      </w:r>
      <w:r>
        <w:rPr>
          <w:lang w:val="en-US"/>
        </w:rPr>
        <w:t xml:space="preserve">, uncontrolled data from </w:t>
      </w:r>
      <w:r w:rsidR="00EF55F9">
        <w:rPr>
          <w:lang w:val="en-US"/>
        </w:rPr>
        <w:t>Study M</w:t>
      </w:r>
      <w:r>
        <w:rPr>
          <w:lang w:val="en-US"/>
        </w:rPr>
        <w:t xml:space="preserve">10-444 support the efficacy of adalimumab for the treatment of subjects aged 2 to &lt; 4 years or aged </w:t>
      </w:r>
      <w:r w:rsidR="00974CDD">
        <w:rPr>
          <w:lang w:val="en-US"/>
        </w:rPr>
        <w:t>≥</w:t>
      </w:r>
      <w:r w:rsidR="00237330">
        <w:rPr>
          <w:lang w:val="en-US"/>
        </w:rPr>
        <w:t xml:space="preserve"> </w:t>
      </w:r>
      <w:r>
        <w:rPr>
          <w:lang w:val="en-US"/>
        </w:rPr>
        <w:t>4 years weighing &lt; 15 kg. The results for all efficacy outcomes consistently showed clinically meaningful improvements with treatment fro</w:t>
      </w:r>
      <w:r w:rsidR="00BB5741">
        <w:rPr>
          <w:lang w:val="en-US"/>
        </w:rPr>
        <w:t>m Baseline through to Week 120.</w:t>
      </w:r>
    </w:p>
    <w:p w:rsidR="00EC228C" w:rsidRPr="00173579" w:rsidRDefault="00EC228C" w:rsidP="00BB5741">
      <w:r>
        <w:rPr>
          <w:lang w:val="en-US"/>
        </w:rPr>
        <w:t xml:space="preserve">There were no efficacy data in </w:t>
      </w:r>
      <w:r w:rsidR="00EF55F9">
        <w:rPr>
          <w:lang w:val="en-US"/>
        </w:rPr>
        <w:t>Study M</w:t>
      </w:r>
      <w:r>
        <w:rPr>
          <w:lang w:val="en-US"/>
        </w:rPr>
        <w:t xml:space="preserve">10-444 in the proposed patient population treated </w:t>
      </w:r>
      <w:r w:rsidRPr="00173579">
        <w:t xml:space="preserve">with adalimumab without MTX. The sponsor is proposing that adalimumab be administered as monotherapy in cases where subjects aged 2 to &lt; 4 years and </w:t>
      </w:r>
      <w:r w:rsidR="00974CDD">
        <w:rPr>
          <w:lang w:val="en-US"/>
        </w:rPr>
        <w:t>≥</w:t>
      </w:r>
      <w:r w:rsidR="00237330">
        <w:rPr>
          <w:lang w:val="en-US"/>
        </w:rPr>
        <w:t xml:space="preserve"> </w:t>
      </w:r>
      <w:r w:rsidRPr="00173579">
        <w:t>4 years weighing &lt; 15 kg are intolerant to MTX or where continuous treatment with MTX is inappropriate. The proposed approach to treatment with adalimumab without MTX is identical to the approved approach f</w:t>
      </w:r>
      <w:r w:rsidR="00BB5741">
        <w:t>or subjects aged 4 to 17 years.</w:t>
      </w:r>
    </w:p>
    <w:p w:rsidR="00EC228C" w:rsidRPr="00C068A4" w:rsidRDefault="00EC228C" w:rsidP="00BB5741">
      <w:r w:rsidRPr="00173579">
        <w:t xml:space="preserve">There were PK data comparing serum adalimumab trough concentrations at steady-state following treatment with </w:t>
      </w:r>
      <w:proofErr w:type="spellStart"/>
      <w:r w:rsidRPr="00173579">
        <w:t>adalimumab</w:t>
      </w:r>
      <w:proofErr w:type="spellEnd"/>
      <w:r w:rsidRPr="00173579">
        <w:t xml:space="preserve"> 24 mg/m</w:t>
      </w:r>
      <w:r w:rsidRPr="00F00F6F">
        <w:rPr>
          <w:vertAlign w:val="superscript"/>
        </w:rPr>
        <w:t>2</w:t>
      </w:r>
      <w:r w:rsidRPr="00173579">
        <w:t xml:space="preserve"> </w:t>
      </w:r>
      <w:proofErr w:type="spellStart"/>
      <w:r w:rsidRPr="00173579">
        <w:t>eow</w:t>
      </w:r>
      <w:proofErr w:type="spellEnd"/>
      <w:r w:rsidRPr="00173579">
        <w:t xml:space="preserve"> without MTX in the proposed and approved paediatric populations. The data showed that the mean ± SD serum adalimumab steady-</w:t>
      </w:r>
      <w:r w:rsidRPr="00C068A4">
        <w:t xml:space="preserve">state trough concentration at Week 24 in the proposed paediatric population (N=4) from </w:t>
      </w:r>
      <w:r w:rsidR="00EF55F9" w:rsidRPr="00C068A4">
        <w:t xml:space="preserve">Study </w:t>
      </w:r>
      <w:r w:rsidR="00D75D3C" w:rsidRPr="00C068A4">
        <w:t xml:space="preserve">M10-444 </w:t>
      </w:r>
      <w:r w:rsidRPr="00C068A4">
        <w:t xml:space="preserve">was lower than the corresponding adalimumab concentration at Week 16 in the approved paediatric patient population (N=29) from </w:t>
      </w:r>
      <w:r w:rsidR="00F00F6F" w:rsidRPr="00C068A4">
        <w:t>Study D</w:t>
      </w:r>
      <w:r w:rsidRPr="00C068A4">
        <w:t>E038 (5.95 ± 6.74 v</w:t>
      </w:r>
      <w:r w:rsidR="00F00F6F" w:rsidRPr="00C068A4">
        <w:t>ersu</w:t>
      </w:r>
      <w:r w:rsidRPr="00C068A4">
        <w:t xml:space="preserve">s 7.03 ± 6.26 </w:t>
      </w:r>
      <w:r w:rsidR="002B4974" w:rsidRPr="00C068A4">
        <w:t>µg</w:t>
      </w:r>
      <w:r w:rsidRPr="00C068A4">
        <w:t xml:space="preserve">/mL, respectively). In contrast, the mean ± SD serum </w:t>
      </w:r>
      <w:r w:rsidRPr="00C068A4">
        <w:lastRenderedPageBreak/>
        <w:t xml:space="preserve">adalimumab steady-state trough concentrations following treatment with adalimumab combined with MTX were similar for the proposed paediatric population (N=11) from </w:t>
      </w:r>
      <w:r w:rsidR="00EF55F9" w:rsidRPr="00C068A4">
        <w:t xml:space="preserve">Study </w:t>
      </w:r>
      <w:r w:rsidR="00D75D3C" w:rsidRPr="00C068A4">
        <w:t xml:space="preserve">M10-444 </w:t>
      </w:r>
      <w:r w:rsidRPr="00C068A4">
        <w:t xml:space="preserve">at Week 24 and the approved paediatric population (N=36) from </w:t>
      </w:r>
      <w:r w:rsidR="00F00F6F" w:rsidRPr="00C068A4">
        <w:t>Study D</w:t>
      </w:r>
      <w:r w:rsidRPr="00C068A4">
        <w:t xml:space="preserve">E038 at Week 16 (8.45 ± 5.69 vs 8.85 ± 5.53 </w:t>
      </w:r>
      <w:r w:rsidR="002B4974" w:rsidRPr="00C068A4">
        <w:t>µg</w:t>
      </w:r>
      <w:r w:rsidRPr="00C068A4">
        <w:t>/mL, resp</w:t>
      </w:r>
      <w:r w:rsidR="00BB5741">
        <w:t>ectively).</w:t>
      </w:r>
    </w:p>
    <w:p w:rsidR="00EC228C" w:rsidRPr="00173579" w:rsidRDefault="00EC228C" w:rsidP="00BB5741">
      <w:r w:rsidRPr="00C068A4">
        <w:t xml:space="preserve">However, the comparative PK data in patients treated with adalimumab without MTX should be interpreted cautiously due to the high inter-subject variability in serum adalimumab steady-state trough concentrations observed in both studies (CV 113% </w:t>
      </w:r>
      <w:proofErr w:type="gramStart"/>
      <w:r w:rsidRPr="00C068A4">
        <w:t>[</w:t>
      </w:r>
      <w:r w:rsidR="00167DFA" w:rsidRPr="00C068A4">
        <w:t xml:space="preserve"> M10</w:t>
      </w:r>
      <w:proofErr w:type="gramEnd"/>
      <w:r w:rsidR="00167DFA" w:rsidRPr="00C068A4">
        <w:t>-444</w:t>
      </w:r>
      <w:r w:rsidRPr="00C068A4">
        <w:t xml:space="preserve">/Week 24] </w:t>
      </w:r>
      <w:r w:rsidRPr="00173579">
        <w:t>v</w:t>
      </w:r>
      <w:r w:rsidR="00F00F6F">
        <w:t>ersu</w:t>
      </w:r>
      <w:r w:rsidRPr="00173579">
        <w:t>s CV 89% [DE038/Week 16]) and the marked imbalance in subject numbers between the two studies (N=4 [M10-444] v</w:t>
      </w:r>
      <w:r w:rsidR="00F00F6F">
        <w:t>ersu</w:t>
      </w:r>
      <w:r w:rsidRPr="00173579">
        <w:t xml:space="preserve">s N=29 [DE038]). In addition, MTX administration was controlled in </w:t>
      </w:r>
      <w:r w:rsidR="00F00F6F">
        <w:t>Study D</w:t>
      </w:r>
      <w:r w:rsidRPr="00173579">
        <w:t xml:space="preserve">E038 over the 16 weeks, </w:t>
      </w:r>
      <w:r w:rsidR="00817741">
        <w:t>open label</w:t>
      </w:r>
      <w:r w:rsidRPr="00173579">
        <w:t xml:space="preserve">, lead-in phase but not in </w:t>
      </w:r>
      <w:r w:rsidR="00EF55F9">
        <w:t>Study M</w:t>
      </w:r>
      <w:r w:rsidRPr="00173579">
        <w:t xml:space="preserve">10-444. Consequently, it is possible that the 4 patients from </w:t>
      </w:r>
      <w:r w:rsidR="00EF55F9">
        <w:t>Study M</w:t>
      </w:r>
      <w:r w:rsidRPr="00173579">
        <w:t xml:space="preserve">10-444 on combination therapy might not have been taking a stable dose of MTX </w:t>
      </w:r>
      <w:r w:rsidR="00BB5741">
        <w:t>over the 24 weeks of treatment.</w:t>
      </w:r>
    </w:p>
    <w:p w:rsidR="00EC228C" w:rsidRDefault="00EC228C" w:rsidP="00BB5741">
      <w:pPr>
        <w:rPr>
          <w:lang w:val="en-US"/>
        </w:rPr>
      </w:pPr>
      <w:r w:rsidRPr="00173579">
        <w:t xml:space="preserve">The efficacy of adalimumab in combination with MTX in the proposed paediatric population is consistent with the efficacy of the combination in the approved paediatric population. In </w:t>
      </w:r>
      <w:r w:rsidR="00EF55F9">
        <w:t>Study M</w:t>
      </w:r>
      <w:r w:rsidRPr="00173579">
        <w:t xml:space="preserve">10-444, the observed PedACR30 response at Week 24 was 90.0% (27/30) in the ITT population, while in </w:t>
      </w:r>
      <w:r w:rsidR="00F00F6F">
        <w:t>Study D</w:t>
      </w:r>
      <w:r w:rsidRPr="00173579">
        <w:t xml:space="preserve">E038 the PedACR30 response at the end of the 16 weeks </w:t>
      </w:r>
      <w:r w:rsidR="00817741">
        <w:t>open label</w:t>
      </w:r>
      <w:r w:rsidR="00F00F6F">
        <w:t>,</w:t>
      </w:r>
      <w:r w:rsidRPr="00173579">
        <w:t xml:space="preserve"> lead-in phase was 94% (80/85) in the adalimumab with MTX stratum and 74% (64/86) in the adalimumab without MTX stratum. Despite the uncertainties arising from the PK data it is considered that the lack of efficacy data for adalimumab without MTX in the proposed patient population should not preclude approval of the monotherapy option in cases where this might be required</w:t>
      </w:r>
      <w:r>
        <w:rPr>
          <w:lang w:val="en-US"/>
        </w:rPr>
        <w:t xml:space="preserve"> (</w:t>
      </w:r>
      <w:r w:rsidR="00F00F6F">
        <w:rPr>
          <w:lang w:val="en-US"/>
        </w:rPr>
        <w:t>that is,</w:t>
      </w:r>
      <w:r>
        <w:rPr>
          <w:lang w:val="en-US"/>
        </w:rPr>
        <w:t xml:space="preserve"> intolerance to MTX, continuous ther</w:t>
      </w:r>
      <w:r w:rsidR="00BB5741">
        <w:rPr>
          <w:lang w:val="en-US"/>
        </w:rPr>
        <w:t>apy with MTX is inappropriate).</w:t>
      </w:r>
    </w:p>
    <w:p w:rsidR="008E7846" w:rsidRPr="002E238E" w:rsidRDefault="008E7846" w:rsidP="00BB5741">
      <w:pPr>
        <w:pStyle w:val="Heading3"/>
      </w:pPr>
      <w:bookmarkStart w:id="68" w:name="_Toc163441378"/>
      <w:bookmarkStart w:id="69" w:name="_Toc196046495"/>
      <w:bookmarkStart w:id="70" w:name="_Toc247691522"/>
      <w:bookmarkStart w:id="71" w:name="_Toc314842505"/>
      <w:bookmarkStart w:id="72" w:name="_Toc438564005"/>
      <w:bookmarkEnd w:id="64"/>
      <w:bookmarkEnd w:id="65"/>
      <w:bookmarkEnd w:id="66"/>
      <w:bookmarkEnd w:id="67"/>
      <w:r w:rsidRPr="00BB5741">
        <w:t>Safety</w:t>
      </w:r>
      <w:bookmarkEnd w:id="68"/>
      <w:bookmarkEnd w:id="69"/>
      <w:bookmarkEnd w:id="70"/>
      <w:bookmarkEnd w:id="71"/>
      <w:bookmarkEnd w:id="72"/>
    </w:p>
    <w:p w:rsidR="00605AD4" w:rsidRDefault="00605AD4" w:rsidP="00BB5741">
      <w:pPr>
        <w:pStyle w:val="Heading4"/>
      </w:pPr>
      <w:bookmarkStart w:id="73" w:name="_Toc247691524"/>
      <w:bookmarkStart w:id="74" w:name="_Toc314842508"/>
      <w:bookmarkStart w:id="75" w:name="_Toc196046504"/>
      <w:bookmarkStart w:id="76" w:name="_Toc163441390"/>
      <w:r w:rsidRPr="00605AD4">
        <w:t xml:space="preserve">Studies </w:t>
      </w:r>
      <w:r w:rsidRPr="00BB5741">
        <w:t>providing</w:t>
      </w:r>
      <w:r w:rsidRPr="00605AD4">
        <w:t xml:space="preserve"> safety data</w:t>
      </w:r>
    </w:p>
    <w:p w:rsidR="00F00F6F" w:rsidRPr="00F00F6F" w:rsidRDefault="00F00F6F" w:rsidP="00BB5741">
      <w:r>
        <w:t xml:space="preserve">Pivotal Study </w:t>
      </w:r>
      <w:r>
        <w:rPr>
          <w:lang w:val="en-US"/>
        </w:rPr>
        <w:t xml:space="preserve">M10-444 and </w:t>
      </w:r>
      <w:r>
        <w:t>Study P10-262 (Registry - interim 4-year safety data)</w:t>
      </w:r>
      <w:r w:rsidR="00F42EBF">
        <w:t xml:space="preserve"> were submitted</w:t>
      </w:r>
      <w:r>
        <w:t xml:space="preserve">. </w:t>
      </w:r>
    </w:p>
    <w:p w:rsidR="00605AD4" w:rsidRDefault="00605AD4" w:rsidP="00BB5741">
      <w:pPr>
        <w:pStyle w:val="Heading4"/>
      </w:pPr>
      <w:r w:rsidRPr="00605AD4">
        <w:t xml:space="preserve">Patient </w:t>
      </w:r>
      <w:r w:rsidRPr="00BB5741">
        <w:t>exposure</w:t>
      </w:r>
    </w:p>
    <w:p w:rsidR="00173579" w:rsidRDefault="00173579" w:rsidP="00BB5741">
      <w:pPr>
        <w:pStyle w:val="Heading5"/>
      </w:pPr>
      <w:bookmarkStart w:id="77" w:name="_Toc283278931"/>
      <w:r>
        <w:t xml:space="preserve">Study </w:t>
      </w:r>
      <w:r w:rsidRPr="00BB5741">
        <w:t>M10</w:t>
      </w:r>
      <w:r>
        <w:t>-444</w:t>
      </w:r>
      <w:bookmarkEnd w:id="77"/>
    </w:p>
    <w:p w:rsidR="00173579" w:rsidRDefault="00173579" w:rsidP="00BB5741">
      <w:pPr>
        <w:pStyle w:val="Heading6"/>
        <w:rPr>
          <w:lang w:val="en-US"/>
        </w:rPr>
      </w:pPr>
      <w:bookmarkStart w:id="78" w:name="_Toc283278932"/>
      <w:r w:rsidRPr="00BB5741">
        <w:t>Exposure</w:t>
      </w:r>
      <w:bookmarkEnd w:id="78"/>
    </w:p>
    <w:p w:rsidR="00173579" w:rsidRDefault="00173579" w:rsidP="00BB5741">
      <w:pPr>
        <w:rPr>
          <w:lang w:val="en-US"/>
        </w:rPr>
      </w:pPr>
      <w:r>
        <w:rPr>
          <w:lang w:val="en-US"/>
        </w:rPr>
        <w:t xml:space="preserve">The mean ± SD duration of exposure to adalimumab was 515.3 ± 245.33 days (median = 575.0 days). All subjects received at least 57 days of adalimumab treatment, with a maximum exposure of 910 days. Thirty (30) subjects (93.8%) were exposed for </w:t>
      </w:r>
      <w:r w:rsidR="00974CDD">
        <w:rPr>
          <w:lang w:val="en-US"/>
        </w:rPr>
        <w:t>≥</w:t>
      </w:r>
      <w:r w:rsidR="00237330">
        <w:rPr>
          <w:lang w:val="en-US"/>
        </w:rPr>
        <w:t xml:space="preserve"> </w:t>
      </w:r>
      <w:r>
        <w:rPr>
          <w:lang w:val="en-US"/>
        </w:rPr>
        <w:t xml:space="preserve">181 days, 21 subjects (65.6%) were exposed for </w:t>
      </w:r>
      <w:r w:rsidR="00974CDD">
        <w:rPr>
          <w:lang w:val="en-US"/>
        </w:rPr>
        <w:t>≥</w:t>
      </w:r>
      <w:r w:rsidR="00237330">
        <w:rPr>
          <w:lang w:val="en-US"/>
        </w:rPr>
        <w:t xml:space="preserve"> </w:t>
      </w:r>
      <w:r>
        <w:rPr>
          <w:lang w:val="en-US"/>
        </w:rPr>
        <w:t xml:space="preserve">391 days and 9 subjects (28.1%) were exposed for </w:t>
      </w:r>
      <w:r w:rsidR="00974CDD">
        <w:rPr>
          <w:lang w:val="en-US"/>
        </w:rPr>
        <w:t>≥ </w:t>
      </w:r>
      <w:r w:rsidR="00BB5741">
        <w:rPr>
          <w:lang w:val="en-US"/>
        </w:rPr>
        <w:t>721 days.</w:t>
      </w:r>
    </w:p>
    <w:p w:rsidR="00173579" w:rsidRDefault="00173579" w:rsidP="00BB5741">
      <w:pPr>
        <w:rPr>
          <w:lang w:val="en-US"/>
        </w:rPr>
      </w:pPr>
      <w:r>
        <w:rPr>
          <w:lang w:val="en-US"/>
        </w:rPr>
        <w:t>Adalimumab was administered at a dose of 24 mg/m</w:t>
      </w:r>
      <w:r>
        <w:rPr>
          <w:vertAlign w:val="superscript"/>
          <w:lang w:val="en-US"/>
        </w:rPr>
        <w:t>2</w:t>
      </w:r>
      <w:r>
        <w:rPr>
          <w:lang w:val="en-US"/>
        </w:rPr>
        <w:t xml:space="preserve"> BSA, up to a total dose of 20 mg, </w:t>
      </w:r>
      <w:proofErr w:type="spellStart"/>
      <w:r>
        <w:rPr>
          <w:lang w:val="en-US"/>
        </w:rPr>
        <w:t>eow</w:t>
      </w:r>
      <w:proofErr w:type="spellEnd"/>
      <w:r>
        <w:rPr>
          <w:lang w:val="en-US"/>
        </w:rPr>
        <w:t xml:space="preserve"> by </w:t>
      </w:r>
      <w:r w:rsidR="00F00F6F">
        <w:rPr>
          <w:lang w:val="en-US"/>
        </w:rPr>
        <w:t>SC</w:t>
      </w:r>
      <w:r>
        <w:rPr>
          <w:lang w:val="en-US"/>
        </w:rPr>
        <w:t xml:space="preserve"> injection. Concomitant MTX was taken by 84.4% (N=27) of patients, concomitant systemic NSAIDs by 62.5% (N=20) of patients and systemic corticosteroids by 68.8% (N=22) of patients.</w:t>
      </w:r>
    </w:p>
    <w:p w:rsidR="00173579" w:rsidRDefault="00173579" w:rsidP="00BB5741">
      <w:pPr>
        <w:pStyle w:val="Heading5"/>
      </w:pPr>
      <w:bookmarkStart w:id="79" w:name="_Toc283278954"/>
      <w:r>
        <w:t>Study P10-262 (Registry - interim 4</w:t>
      </w:r>
      <w:r w:rsidR="001B34DB">
        <w:t xml:space="preserve"> </w:t>
      </w:r>
      <w:r>
        <w:t>year safety data)</w:t>
      </w:r>
      <w:bookmarkStart w:id="80" w:name="_GoBack"/>
      <w:bookmarkEnd w:id="79"/>
      <w:bookmarkEnd w:id="80"/>
    </w:p>
    <w:p w:rsidR="00173579" w:rsidRDefault="00173579" w:rsidP="00BB5741">
      <w:pPr>
        <w:pStyle w:val="Heading6"/>
      </w:pPr>
      <w:bookmarkStart w:id="81" w:name="_Toc283278963"/>
      <w:r w:rsidRPr="00BB5741">
        <w:t>Exposure</w:t>
      </w:r>
      <w:bookmarkEnd w:id="81"/>
    </w:p>
    <w:p w:rsidR="00173579" w:rsidRDefault="00173579" w:rsidP="00BB5741">
      <w:pPr>
        <w:rPr>
          <w:lang w:val="en-US"/>
        </w:rPr>
      </w:pPr>
      <w:r>
        <w:rPr>
          <w:lang w:val="en-US"/>
        </w:rPr>
        <w:t xml:space="preserve">The observation period was defined from the Registry enrollment date up to the last date of Registry participation + 1 day (inclusive of the HCP process). The duration of Registry exposure was defined for the two treatment arms as follows: for the </w:t>
      </w:r>
      <w:proofErr w:type="spellStart"/>
      <w:r>
        <w:rPr>
          <w:lang w:val="en-US"/>
        </w:rPr>
        <w:t>Humira</w:t>
      </w:r>
      <w:proofErr w:type="spellEnd"/>
      <w:r>
        <w:rPr>
          <w:lang w:val="en-US"/>
        </w:rPr>
        <w:t xml:space="preserve"> arm, from the first </w:t>
      </w:r>
      <w:proofErr w:type="spellStart"/>
      <w:r>
        <w:rPr>
          <w:lang w:val="en-US"/>
        </w:rPr>
        <w:t>Humira</w:t>
      </w:r>
      <w:proofErr w:type="spellEnd"/>
      <w:r>
        <w:rPr>
          <w:lang w:val="en-US"/>
        </w:rPr>
        <w:t xml:space="preserve"> dose date in the Registry to the last </w:t>
      </w:r>
      <w:proofErr w:type="spellStart"/>
      <w:r>
        <w:rPr>
          <w:lang w:val="en-US"/>
        </w:rPr>
        <w:t>Humira</w:t>
      </w:r>
      <w:proofErr w:type="spellEnd"/>
      <w:r>
        <w:rPr>
          <w:lang w:val="en-US"/>
        </w:rPr>
        <w:t xml:space="preserve"> dose date in the Registry + 14 </w:t>
      </w:r>
      <w:r>
        <w:rPr>
          <w:lang w:val="en-US"/>
        </w:rPr>
        <w:lastRenderedPageBreak/>
        <w:t xml:space="preserve">days, excluding total days of any treatment interruptions; and for the MTX arm, from the first MTX dose date in the Registry to the last MTX date in the Registry + 1 day, or the first </w:t>
      </w:r>
      <w:proofErr w:type="spellStart"/>
      <w:r>
        <w:rPr>
          <w:lang w:val="en-US"/>
        </w:rPr>
        <w:t>Humira</w:t>
      </w:r>
      <w:proofErr w:type="spellEnd"/>
      <w:r>
        <w:rPr>
          <w:lang w:val="en-US"/>
        </w:rPr>
        <w:t xml:space="preserve"> dose in the Registry + 1 </w:t>
      </w:r>
      <w:r w:rsidR="00BB5741">
        <w:rPr>
          <w:lang w:val="en-US"/>
        </w:rPr>
        <w:t>day, whichever was earlier; and</w:t>
      </w:r>
    </w:p>
    <w:p w:rsidR="00173579" w:rsidRDefault="00173579" w:rsidP="00BB5741">
      <w:pPr>
        <w:rPr>
          <w:lang w:val="en-US"/>
        </w:rPr>
      </w:pPr>
      <w:r>
        <w:rPr>
          <w:lang w:val="en-US"/>
        </w:rPr>
        <w:t xml:space="preserve">As of 1 June 2013, 459 patients have received </w:t>
      </w:r>
      <w:proofErr w:type="spellStart"/>
      <w:r>
        <w:rPr>
          <w:lang w:val="en-US"/>
        </w:rPr>
        <w:t>Humira</w:t>
      </w:r>
      <w:proofErr w:type="spellEnd"/>
      <w:r>
        <w:rPr>
          <w:lang w:val="en-US"/>
        </w:rPr>
        <w:t xml:space="preserve">, representing a cumulative exposure in the observational group of 891.3 </w:t>
      </w:r>
      <w:r w:rsidR="001B34DB">
        <w:rPr>
          <w:lang w:val="en-US"/>
        </w:rPr>
        <w:t>patient years (</w:t>
      </w:r>
      <w:r>
        <w:rPr>
          <w:lang w:val="en-US"/>
        </w:rPr>
        <w:t>PYs</w:t>
      </w:r>
      <w:r w:rsidR="001B34DB">
        <w:rPr>
          <w:lang w:val="en-US"/>
        </w:rPr>
        <w:t>)</w:t>
      </w:r>
      <w:r>
        <w:rPr>
          <w:lang w:val="en-US"/>
        </w:rPr>
        <w:t xml:space="preserve"> compared to 763.7 PYs in the Registry group. All patients in the </w:t>
      </w:r>
      <w:proofErr w:type="spellStart"/>
      <w:r>
        <w:rPr>
          <w:lang w:val="en-US"/>
        </w:rPr>
        <w:t>Humira</w:t>
      </w:r>
      <w:proofErr w:type="spellEnd"/>
      <w:r>
        <w:rPr>
          <w:lang w:val="en-US"/>
        </w:rPr>
        <w:t xml:space="preserve"> Registry group (N=459) had at least 6 months of exposure, while 68% (N=312) had at least 1 year of exposure and 36.6% (N=168) ha</w:t>
      </w:r>
      <w:r w:rsidR="00BB5741">
        <w:rPr>
          <w:lang w:val="en-US"/>
        </w:rPr>
        <w:t>d at least 2 years of exposure.</w:t>
      </w:r>
    </w:p>
    <w:p w:rsidR="00173579" w:rsidRDefault="00173579" w:rsidP="00BB5741">
      <w:pPr>
        <w:rPr>
          <w:lang w:val="en-US"/>
        </w:rPr>
      </w:pPr>
      <w:r>
        <w:rPr>
          <w:lang w:val="en-US"/>
        </w:rPr>
        <w:t>As of 1 June 2013, 306 patients have received MTX, representing a cumulative exposure in the observational group of 706.2 PYs compared to 503.1 PYs in the Registry group. All patients in the MTX Registry group (N=306) had at least 6 months of exposure, while 64.1% (N=196) of patients in this group had at least 1 year of exposure and 38.9% (N=119) had a</w:t>
      </w:r>
      <w:r w:rsidR="00BB5741">
        <w:rPr>
          <w:lang w:val="en-US"/>
        </w:rPr>
        <w:t>t least 2 years of exposure.</w:t>
      </w:r>
    </w:p>
    <w:p w:rsidR="00605AD4" w:rsidRDefault="00605AD4" w:rsidP="00BB5741">
      <w:pPr>
        <w:pStyle w:val="Heading4"/>
      </w:pPr>
      <w:r w:rsidRPr="00605AD4">
        <w:t>Post</w:t>
      </w:r>
      <w:r w:rsidR="001B34DB">
        <w:t>-</w:t>
      </w:r>
      <w:r w:rsidRPr="00605AD4">
        <w:t>marketing data</w:t>
      </w:r>
    </w:p>
    <w:p w:rsidR="00EC228C" w:rsidRDefault="00EC228C" w:rsidP="00BB5741">
      <w:pPr>
        <w:rPr>
          <w:rFonts w:cs="‡'FAøªÜ·"/>
          <w:lang w:val="en-US"/>
        </w:rPr>
      </w:pPr>
      <w:r>
        <w:rPr>
          <w:lang w:val="en-US"/>
        </w:rPr>
        <w:t xml:space="preserve">The post-marketing experience for adalimumab for the treatment of </w:t>
      </w:r>
      <w:proofErr w:type="spellStart"/>
      <w:r>
        <w:rPr>
          <w:lang w:val="en-US"/>
        </w:rPr>
        <w:t>pJIA</w:t>
      </w:r>
      <w:proofErr w:type="spellEnd"/>
      <w:r>
        <w:rPr>
          <w:lang w:val="en-US"/>
        </w:rPr>
        <w:t xml:space="preserve"> is being collected in the Registry (</w:t>
      </w:r>
      <w:r w:rsidR="001B34DB">
        <w:rPr>
          <w:lang w:val="en-US"/>
        </w:rPr>
        <w:t>S</w:t>
      </w:r>
      <w:r>
        <w:rPr>
          <w:lang w:val="en-US"/>
        </w:rPr>
        <w:t xml:space="preserve">tudy P10-262). The sponsor commented that </w:t>
      </w:r>
      <w:r w:rsidR="002B4974">
        <w:rPr>
          <w:lang w:val="en-US"/>
        </w:rPr>
        <w:t>‘</w:t>
      </w:r>
      <w:r w:rsidRPr="001B34DB">
        <w:rPr>
          <w:i/>
          <w:lang w:val="en-US"/>
        </w:rPr>
        <w:t xml:space="preserve">following approval </w:t>
      </w:r>
      <w:r w:rsidRPr="001B34DB">
        <w:rPr>
          <w:rFonts w:cs="‡'FAøªÜ·"/>
          <w:i/>
          <w:lang w:val="en-US"/>
        </w:rPr>
        <w:t xml:space="preserve">in the European Union to expand the indication for </w:t>
      </w:r>
      <w:proofErr w:type="spellStart"/>
      <w:r w:rsidRPr="001B34DB">
        <w:rPr>
          <w:rFonts w:cs="‡'FAøªÜ·"/>
          <w:i/>
          <w:lang w:val="en-US"/>
        </w:rPr>
        <w:t>Humira</w:t>
      </w:r>
      <w:proofErr w:type="spellEnd"/>
      <w:r w:rsidRPr="001B34DB">
        <w:rPr>
          <w:rFonts w:cs="‡'FAøªÜ·"/>
          <w:i/>
          <w:lang w:val="en-US"/>
        </w:rPr>
        <w:t xml:space="preserve"> in the treatment of </w:t>
      </w:r>
      <w:proofErr w:type="spellStart"/>
      <w:r w:rsidRPr="001B34DB">
        <w:rPr>
          <w:rFonts w:cs="‡'FAøªÜ·"/>
          <w:i/>
          <w:lang w:val="en-US"/>
        </w:rPr>
        <w:t>pJIA</w:t>
      </w:r>
      <w:proofErr w:type="spellEnd"/>
      <w:r w:rsidRPr="001B34DB">
        <w:rPr>
          <w:rFonts w:cs="‡'FAøªÜ·"/>
          <w:i/>
          <w:lang w:val="en-US"/>
        </w:rPr>
        <w:t xml:space="preserve"> to include patients 2 to &lt; 4 years old, the protocol for the Registry was amended to allow for enrollment of patients in this age group. However, no such patients were recruited into the registry before enrollment was completed</w:t>
      </w:r>
      <w:r w:rsidR="002B4974">
        <w:rPr>
          <w:rFonts w:cs="‡'FAøªÜ·"/>
          <w:lang w:val="en-US"/>
        </w:rPr>
        <w:t>’</w:t>
      </w:r>
      <w:r>
        <w:rPr>
          <w:rFonts w:cs="‡'FAøªÜ·"/>
          <w:lang w:val="en-US"/>
        </w:rPr>
        <w:t>. This statement appears to be inconsistent with the patien</w:t>
      </w:r>
      <w:r w:rsidR="001B34DB">
        <w:rPr>
          <w:rFonts w:cs="‡'FAøªÜ·"/>
          <w:lang w:val="en-US"/>
        </w:rPr>
        <w:t xml:space="preserve">t disposition for the interim 4 </w:t>
      </w:r>
      <w:r>
        <w:rPr>
          <w:rFonts w:cs="‡'FAøªÜ·"/>
          <w:lang w:val="en-US"/>
        </w:rPr>
        <w:t>year Registry report which identified 1 patient aged &lt;</w:t>
      </w:r>
      <w:r w:rsidR="001B34DB">
        <w:rPr>
          <w:rFonts w:cs="‡'FAøªÜ·"/>
          <w:lang w:val="en-US"/>
        </w:rPr>
        <w:t> </w:t>
      </w:r>
      <w:r>
        <w:rPr>
          <w:rFonts w:cs="‡'FAøªÜ·"/>
          <w:lang w:val="en-US"/>
        </w:rPr>
        <w:t xml:space="preserve">4 years. The sponsor will be asked to clarify this matter (see </w:t>
      </w:r>
      <w:r w:rsidR="001B34DB">
        <w:rPr>
          <w:rFonts w:cs="‡'FAøªÜ·"/>
          <w:i/>
          <w:lang w:val="en-US"/>
        </w:rPr>
        <w:t>Clinical q</w:t>
      </w:r>
      <w:r w:rsidRPr="001B34DB">
        <w:rPr>
          <w:rFonts w:cs="‡'FAøªÜ·"/>
          <w:i/>
          <w:lang w:val="en-US"/>
        </w:rPr>
        <w:t>uestions</w:t>
      </w:r>
      <w:r w:rsidR="001B34DB">
        <w:rPr>
          <w:rFonts w:cs="‡'FAøªÜ·"/>
          <w:lang w:val="en-US"/>
        </w:rPr>
        <w:t xml:space="preserve"> below</w:t>
      </w:r>
      <w:r w:rsidR="00BB5741">
        <w:rPr>
          <w:rFonts w:cs="‡'FAøªÜ·"/>
          <w:lang w:val="en-US"/>
        </w:rPr>
        <w:t>).</w:t>
      </w:r>
    </w:p>
    <w:p w:rsidR="00EC228C" w:rsidRDefault="00EC228C" w:rsidP="00BB5741">
      <w:pPr>
        <w:rPr>
          <w:rFonts w:cs="‡œˇøªÊ€"/>
          <w:lang w:val="en-US"/>
        </w:rPr>
      </w:pPr>
      <w:r>
        <w:rPr>
          <w:lang w:val="en-US"/>
        </w:rPr>
        <w:t xml:space="preserve">The </w:t>
      </w:r>
      <w:r w:rsidR="001B34DB">
        <w:rPr>
          <w:lang w:val="en-US"/>
        </w:rPr>
        <w:t xml:space="preserve">sponsor’s </w:t>
      </w:r>
      <w:r>
        <w:rPr>
          <w:lang w:val="en-US"/>
        </w:rPr>
        <w:t xml:space="preserve">Clinical Overview included a brief summary of post-marketing safety data collected on children aged </w:t>
      </w:r>
      <w:r w:rsidRPr="00C068A4">
        <w:rPr>
          <w:lang w:val="en-US"/>
        </w:rPr>
        <w:t>2 to</w:t>
      </w:r>
      <w:r w:rsidR="00C068A4">
        <w:rPr>
          <w:lang w:val="en-US"/>
        </w:rPr>
        <w:t xml:space="preserve"> </w:t>
      </w:r>
      <w:r w:rsidRPr="00C068A4">
        <w:rPr>
          <w:lang w:val="en-US"/>
        </w:rPr>
        <w:t>4 years</w:t>
      </w:r>
      <w:r>
        <w:rPr>
          <w:lang w:val="en-US"/>
        </w:rPr>
        <w:t xml:space="preserve"> through AbbVie's post-marketing Pharmacovigilance system conducted from the International Birthdate (IBD) of the drug through to September 2013. </w:t>
      </w:r>
      <w:r>
        <w:rPr>
          <w:rFonts w:cs="‡œˇøªÊ€"/>
          <w:lang w:val="en-US"/>
        </w:rPr>
        <w:t xml:space="preserve">In this time period, there have been 49 postmarketing reports containing 131 </w:t>
      </w:r>
      <w:r w:rsidR="001B34DB">
        <w:rPr>
          <w:rFonts w:cs="‡œˇøªÊ€"/>
          <w:lang w:val="en-US"/>
        </w:rPr>
        <w:t>adverse events (</w:t>
      </w:r>
      <w:r>
        <w:rPr>
          <w:rFonts w:cs="‡œˇøªÊ€"/>
          <w:lang w:val="en-US"/>
        </w:rPr>
        <w:t>AEs</w:t>
      </w:r>
      <w:r w:rsidR="001B34DB">
        <w:rPr>
          <w:rFonts w:cs="‡œˇøªÊ€"/>
          <w:lang w:val="en-US"/>
        </w:rPr>
        <w:t>)</w:t>
      </w:r>
      <w:r>
        <w:rPr>
          <w:rFonts w:cs="‡œˇøªÊ€"/>
          <w:lang w:val="en-US"/>
        </w:rPr>
        <w:t xml:space="preserve"> reported for JIA (JIA [5 reports], </w:t>
      </w:r>
      <w:proofErr w:type="spellStart"/>
      <w:r>
        <w:rPr>
          <w:rFonts w:cs="‡œˇøªÊ€"/>
          <w:lang w:val="en-US"/>
        </w:rPr>
        <w:t>pJIA</w:t>
      </w:r>
      <w:proofErr w:type="spellEnd"/>
      <w:r>
        <w:rPr>
          <w:rFonts w:cs="‡œˇøªÊ€"/>
          <w:lang w:val="en-US"/>
        </w:rPr>
        <w:t xml:space="preserve"> [2 reports], systemic arthritis [1 report], juvenile arthritis [4 reports], chronic juvenile arthritis [1 report], juvenile rheumatoid arthritis [15 reports], and JIA reports without subtype information [21 reports]). The most frequently reported events were stated to be injection site pain (20 reports), </w:t>
      </w:r>
      <w:r w:rsidR="001B34DB">
        <w:rPr>
          <w:rFonts w:cs="‡œˇøªÊ€"/>
          <w:lang w:val="en-US"/>
        </w:rPr>
        <w:t>followed by pyrexia (8 reports)</w:t>
      </w:r>
      <w:r>
        <w:rPr>
          <w:rFonts w:cs="‡œˇøªÊ€"/>
          <w:lang w:val="en-US"/>
        </w:rPr>
        <w:t xml:space="preserve"> and cough (6 reports</w:t>
      </w:r>
      <w:r w:rsidR="00BB5741">
        <w:rPr>
          <w:rFonts w:cs="‡œˇøªÊ€"/>
          <w:lang w:val="en-US"/>
        </w:rPr>
        <w:t>).</w:t>
      </w:r>
    </w:p>
    <w:p w:rsidR="00605AD4" w:rsidRDefault="00605AD4" w:rsidP="00BB5741">
      <w:pPr>
        <w:pStyle w:val="Heading4"/>
      </w:pPr>
      <w:r w:rsidRPr="00605AD4">
        <w:t xml:space="preserve">Evaluator’s conclusions </w:t>
      </w:r>
      <w:r w:rsidRPr="00BB5741">
        <w:t>on</w:t>
      </w:r>
      <w:r w:rsidRPr="00605AD4">
        <w:t xml:space="preserve"> safety</w:t>
      </w:r>
    </w:p>
    <w:p w:rsidR="00EC228C" w:rsidRDefault="00EC228C" w:rsidP="00BB5741">
      <w:pPr>
        <w:pStyle w:val="Heading5"/>
        <w:rPr>
          <w:lang w:val="en-US"/>
        </w:rPr>
      </w:pPr>
      <w:bookmarkStart w:id="82" w:name="_Toc283278971"/>
      <w:r>
        <w:rPr>
          <w:lang w:val="en-US"/>
        </w:rPr>
        <w:t xml:space="preserve">Study </w:t>
      </w:r>
      <w:r w:rsidRPr="00BB5741">
        <w:t>M10</w:t>
      </w:r>
      <w:r>
        <w:rPr>
          <w:lang w:val="en-US"/>
        </w:rPr>
        <w:t>-444</w:t>
      </w:r>
      <w:bookmarkEnd w:id="82"/>
    </w:p>
    <w:p w:rsidR="00EC228C" w:rsidRDefault="00EC228C" w:rsidP="00BB5741">
      <w:pPr>
        <w:rPr>
          <w:lang w:val="en-US"/>
        </w:rPr>
      </w:pPr>
      <w:r>
        <w:rPr>
          <w:lang w:val="en-US"/>
        </w:rPr>
        <w:t xml:space="preserve">No new or unexpected safety findings emerged from the pivotal study in the proposed patient population (M10-444). In this study, the safety analyses were based on the ITT population, which included all subjects who were enrolled and received at least 1 dose of adalimumab (N=32). The mean ± SD duration of exposure to adalimumab was 515±245 days (median 575 days) and all subjects were exposed for at least 57 days, with </w:t>
      </w:r>
      <w:r w:rsidR="00BB5741">
        <w:rPr>
          <w:lang w:val="en-US"/>
        </w:rPr>
        <w:t>a maximum exposure of 910 days.</w:t>
      </w:r>
    </w:p>
    <w:p w:rsidR="00EC228C" w:rsidRDefault="00EC228C" w:rsidP="00BB5741">
      <w:pPr>
        <w:rPr>
          <w:lang w:val="en-US"/>
        </w:rPr>
      </w:pPr>
      <w:r>
        <w:rPr>
          <w:lang w:val="en-US"/>
        </w:rPr>
        <w:t>Adalimumab was administered at a dose of 24 mg/m</w:t>
      </w:r>
      <w:r>
        <w:rPr>
          <w:vertAlign w:val="superscript"/>
          <w:lang w:val="en-US"/>
        </w:rPr>
        <w:t>2</w:t>
      </w:r>
      <w:r>
        <w:rPr>
          <w:lang w:val="en-US"/>
        </w:rPr>
        <w:t xml:space="preserve"> BSA, up to a total dose of 20 mg, </w:t>
      </w:r>
      <w:proofErr w:type="spellStart"/>
      <w:r>
        <w:rPr>
          <w:lang w:val="en-US"/>
        </w:rPr>
        <w:t>eow</w:t>
      </w:r>
      <w:proofErr w:type="spellEnd"/>
      <w:r>
        <w:rPr>
          <w:lang w:val="en-US"/>
        </w:rPr>
        <w:t xml:space="preserve"> by </w:t>
      </w:r>
      <w:r w:rsidR="001B34DB">
        <w:rPr>
          <w:lang w:val="en-US"/>
        </w:rPr>
        <w:t>SC</w:t>
      </w:r>
      <w:r>
        <w:rPr>
          <w:lang w:val="en-US"/>
        </w:rPr>
        <w:t xml:space="preserve"> injection. Concomitant MTX was </w:t>
      </w:r>
      <w:r w:rsidRPr="00B23514">
        <w:rPr>
          <w:lang w:val="en-US"/>
        </w:rPr>
        <w:t xml:space="preserve">taken by </w:t>
      </w:r>
      <w:r w:rsidR="00F96115" w:rsidRPr="00B23514">
        <w:rPr>
          <w:lang w:val="en-US"/>
        </w:rPr>
        <w:t>84.4</w:t>
      </w:r>
      <w:r w:rsidRPr="00B23514">
        <w:rPr>
          <w:lang w:val="en-US"/>
        </w:rPr>
        <w:t xml:space="preserve">% (N=27) of patients, concomitant systemic NSAIDs by </w:t>
      </w:r>
      <w:r w:rsidR="00F96115" w:rsidRPr="00B23514">
        <w:rPr>
          <w:lang w:val="en-US"/>
        </w:rPr>
        <w:t>56.3</w:t>
      </w:r>
      <w:r w:rsidRPr="00B23514">
        <w:rPr>
          <w:lang w:val="en-US"/>
        </w:rPr>
        <w:t>% (N=20) of patients, and systemic corticosteroids by 6</w:t>
      </w:r>
      <w:r w:rsidR="00F96115" w:rsidRPr="00B23514">
        <w:rPr>
          <w:lang w:val="en-US"/>
        </w:rPr>
        <w:t>2</w:t>
      </w:r>
      <w:r w:rsidRPr="00B23514">
        <w:rPr>
          <w:lang w:val="en-US"/>
        </w:rPr>
        <w:t>.</w:t>
      </w:r>
      <w:r w:rsidR="00F96115" w:rsidRPr="00B23514">
        <w:rPr>
          <w:lang w:val="en-US"/>
        </w:rPr>
        <w:t>5</w:t>
      </w:r>
      <w:r w:rsidRPr="00B23514">
        <w:rPr>
          <w:lang w:val="en-US"/>
        </w:rPr>
        <w:t>% (N=2</w:t>
      </w:r>
      <w:r w:rsidR="00F96115" w:rsidRPr="00B23514">
        <w:rPr>
          <w:lang w:val="en-US"/>
        </w:rPr>
        <w:t>0</w:t>
      </w:r>
      <w:r w:rsidRPr="00B23514">
        <w:rPr>
          <w:lang w:val="en-US"/>
        </w:rPr>
        <w:t>) of patients.</w:t>
      </w:r>
      <w:r w:rsidR="007A58F7" w:rsidRPr="00B23514">
        <w:rPr>
          <w:rStyle w:val="FootnoteReference"/>
          <w:rFonts w:cs="‡'FAøªñ·"/>
          <w:lang w:val="en-US"/>
        </w:rPr>
        <w:footnoteReference w:id="4"/>
      </w:r>
    </w:p>
    <w:p w:rsidR="00EC228C" w:rsidRDefault="00EC228C" w:rsidP="00BB5741">
      <w:pPr>
        <w:rPr>
          <w:kern w:val="16"/>
          <w:lang w:val="en-US"/>
        </w:rPr>
      </w:pPr>
      <w:r>
        <w:rPr>
          <w:lang w:val="en-US"/>
        </w:rPr>
        <w:t xml:space="preserve">Nearly all subjects (90.6%, N=29) experienced at least 1 </w:t>
      </w:r>
      <w:r w:rsidR="001B34DB">
        <w:rPr>
          <w:lang w:val="en-US"/>
        </w:rPr>
        <w:t>treatment emergent AEs (</w:t>
      </w:r>
      <w:r>
        <w:rPr>
          <w:lang w:val="en-US"/>
        </w:rPr>
        <w:t>TEAE</w:t>
      </w:r>
      <w:r w:rsidR="001B34DB">
        <w:rPr>
          <w:lang w:val="en-US"/>
        </w:rPr>
        <w:t>)</w:t>
      </w:r>
      <w:r>
        <w:rPr>
          <w:lang w:val="en-US"/>
        </w:rPr>
        <w:t xml:space="preserve"> (217 events, 481.2 events/100 PYs). The </w:t>
      </w:r>
      <w:r>
        <w:rPr>
          <w:rFonts w:cs="‡'FAøªñ·"/>
          <w:lang w:val="en-US"/>
        </w:rPr>
        <w:t>most frequently reported TEAEs in subjects (</w:t>
      </w:r>
      <w:r w:rsidR="00974CDD">
        <w:rPr>
          <w:lang w:val="en-US"/>
        </w:rPr>
        <w:t>≥</w:t>
      </w:r>
      <w:r w:rsidR="00237330">
        <w:rPr>
          <w:lang w:val="en-US"/>
        </w:rPr>
        <w:t xml:space="preserve"> </w:t>
      </w:r>
      <w:r>
        <w:rPr>
          <w:rFonts w:cs="‡'FAøªñ·"/>
          <w:lang w:val="en-US"/>
        </w:rPr>
        <w:lastRenderedPageBreak/>
        <w:t>15%) were nasopharyngitis (25%, N=8), pyrexia (21.9%, N=7), bronchitis (18.8%, N=6), cough (18.8%, N=6), rhinorrhea (18.8%, N=6), upper respiratory tract infection (18.8%, N=6), juvenile arthritis (15.6%, N=5), otitis media (15.6%, N=5) and vomiting (15.6%, N=5). All other TEAEs were reported in &lt; 15% of subjects</w:t>
      </w:r>
      <w:r w:rsidR="001B34DB">
        <w:rPr>
          <w:rFonts w:cs="‡'FAøªñ·"/>
          <w:lang w:val="en-US"/>
        </w:rPr>
        <w:t>.</w:t>
      </w:r>
    </w:p>
    <w:p w:rsidR="00EC228C" w:rsidRDefault="00EC228C" w:rsidP="00BB5741">
      <w:pPr>
        <w:rPr>
          <w:lang w:val="en-US"/>
        </w:rPr>
      </w:pPr>
      <w:r>
        <w:rPr>
          <w:lang w:val="en-US"/>
        </w:rPr>
        <w:t>The majority of TEAEs were considered by the investigator to be mild to moderate in severity and not related or probably not related to treatment with adalimumab.</w:t>
      </w:r>
      <w:r w:rsidR="00F071E1">
        <w:rPr>
          <w:lang w:val="en-US"/>
        </w:rPr>
        <w:t xml:space="preserve"> </w:t>
      </w:r>
      <w:r>
        <w:rPr>
          <w:lang w:val="en-US"/>
        </w:rPr>
        <w:t xml:space="preserve">There were 18 subjects (56.3%) with TEAEs reported to be not related or probably not related to treatment with adalimumab (10 [31.3%] and 8 [25.0%], respectively). There were 11 subjects (34.4%) with events reported to be at least possibly related to treatment with adalimumab (22 events, 48.8 events/100 PYs). The only treatment-related TEAE reported in </w:t>
      </w:r>
      <w:r w:rsidR="00974CDD">
        <w:rPr>
          <w:lang w:val="en-US"/>
        </w:rPr>
        <w:t>≥</w:t>
      </w:r>
      <w:r w:rsidR="00237330">
        <w:rPr>
          <w:lang w:val="en-US"/>
        </w:rPr>
        <w:t xml:space="preserve"> </w:t>
      </w:r>
      <w:r>
        <w:rPr>
          <w:lang w:val="en-US"/>
        </w:rPr>
        <w:t xml:space="preserve">2 subjects was rash (N=2; 6.3%). There were 5 subjects with 1 or more events reported to be possibly related to adalimumab (pyrexia, bronchitis, ear infection, laryngitis, otitis media, pharyngitis, pharyngitis streptococcal, pneumonia, viral pharyngitis, upper respiratory tract congestion and rash). There were 6 subjects with events reported to be probably related to adalimumab (injection site reaction, injection site pain, injection site </w:t>
      </w:r>
      <w:proofErr w:type="spellStart"/>
      <w:r>
        <w:rPr>
          <w:lang w:val="en-US"/>
        </w:rPr>
        <w:t>pruritis</w:t>
      </w:r>
      <w:proofErr w:type="spellEnd"/>
      <w:r>
        <w:rPr>
          <w:lang w:val="en-US"/>
        </w:rPr>
        <w:t>, injection site rash, injection site swelling, cystitis, and juvenile arthritis).</w:t>
      </w:r>
    </w:p>
    <w:p w:rsidR="00EC228C" w:rsidRDefault="00EC228C" w:rsidP="00BB5741">
      <w:pPr>
        <w:rPr>
          <w:szCs w:val="24"/>
        </w:rPr>
      </w:pPr>
      <w:r>
        <w:t xml:space="preserve">No deaths were reported during the study. Five (5) subjects (15.6%) reported </w:t>
      </w:r>
      <w:proofErr w:type="gramStart"/>
      <w:r>
        <w:t>an</w:t>
      </w:r>
      <w:proofErr w:type="gramEnd"/>
      <w:r>
        <w:t xml:space="preserve"> </w:t>
      </w:r>
      <w:r w:rsidR="001B34DB">
        <w:t>serious AE (</w:t>
      </w:r>
      <w:r>
        <w:t>SAE</w:t>
      </w:r>
      <w:r w:rsidR="001B34DB">
        <w:t>)</w:t>
      </w:r>
      <w:r>
        <w:t xml:space="preserve"> during the study (1 event each for dental caries, gastroenteritis rotavirus, juvenile arthritis, type 1 diabetes mellitus, and varicella). The SAE of type 1 diabetes mellitus was reported to be probably unrelated to treatment and the other 4 SAEs were reported to be unrelated to treatment. Two (2) subjects experienced a non-serious flare of juvenile arthritis during the study and were discontinued from treatment with adali</w:t>
      </w:r>
      <w:r w:rsidR="00BB5741">
        <w:t>mumab due to the adverse event.</w:t>
      </w:r>
    </w:p>
    <w:p w:rsidR="00EC228C" w:rsidRDefault="00EC228C" w:rsidP="00BB5741">
      <w:pPr>
        <w:rPr>
          <w:lang w:val="en-US"/>
        </w:rPr>
      </w:pPr>
      <w:r>
        <w:rPr>
          <w:lang w:val="en-US"/>
        </w:rPr>
        <w:t>A total of 25 subjects (78.1%) reported at least 1 treatment-emergent infection (93 events, 206.2/100 PYs). The most frequently occurring infections reported to be at least possibly related to study drug were nasopharyngitis, bronchitis, upper respiratory tract infection, otitis media, gastroenteritis and rhinitis. However, without a placebo control group it is difficult to assign a causative role to adalimumab for the high infection rate observed in subjects in this study due to the high background infection rate expected in chi</w:t>
      </w:r>
      <w:r w:rsidR="00BB5741">
        <w:rPr>
          <w:lang w:val="en-US"/>
        </w:rPr>
        <w:t>ldren in the age group studied.</w:t>
      </w:r>
    </w:p>
    <w:p w:rsidR="00EC228C" w:rsidRDefault="00EC228C" w:rsidP="00BB5741">
      <w:pPr>
        <w:rPr>
          <w:lang w:val="en-US"/>
        </w:rPr>
      </w:pPr>
      <w:r>
        <w:rPr>
          <w:lang w:val="en-US"/>
        </w:rPr>
        <w:t xml:space="preserve">The majority of subjects who reported an infection experienced events that were considered by the investigator to be mild or moderate in severity and not related or probably not related to study drug. Three (3) subjects had serious infections (1 report each of dental caries, gastroenteritis rotavirus and varicella). These events were considered by the investigator to be mild to moderate in severity and not related to adalimumab. No subjects prematurely discontinued treatment with </w:t>
      </w:r>
      <w:r w:rsidR="00BB5741">
        <w:rPr>
          <w:lang w:val="en-US"/>
        </w:rPr>
        <w:t>adalimumab due to an infection.</w:t>
      </w:r>
    </w:p>
    <w:p w:rsidR="00EC228C" w:rsidRDefault="00EC228C" w:rsidP="00BB5741">
      <w:pPr>
        <w:rPr>
          <w:lang w:val="en-US"/>
        </w:rPr>
      </w:pPr>
      <w:r>
        <w:rPr>
          <w:lang w:val="en-US"/>
        </w:rPr>
        <w:t>The study included an examination of TEAEs of special interest. Overall, 9 subjects reported 11 TEAEs of special interest (45.1 events/100 PYs). The adverse events of special interest were injection site reaction (4 subjects [12.5%] with 6 events for a rate of 13.3 events/100 PYs), allergic reaction (2 subjects [6.3%] with 2 events for a rate of 4.4 events/100 PYs), haematologic disorders (2 subjects with 2 events for a rate of 4.4 events/100 PYs), and oral candidiasis (1 subject [3.1%] with 1 event for</w:t>
      </w:r>
      <w:r w:rsidR="00BB5741">
        <w:rPr>
          <w:lang w:val="en-US"/>
        </w:rPr>
        <w:t xml:space="preserve"> a rate of 2.2 events/100 PYs).</w:t>
      </w:r>
    </w:p>
    <w:p w:rsidR="00EC228C" w:rsidRDefault="00EC228C" w:rsidP="00BB5741">
      <w:pPr>
        <w:rPr>
          <w:lang w:val="en-US"/>
        </w:rPr>
      </w:pPr>
      <w:r>
        <w:rPr>
          <w:lang w:val="en-US"/>
        </w:rPr>
        <w:t xml:space="preserve">The 5 injection site reactions were pain, pruritus, rash, reaction and swelling. The 2 haematologic disorders were microcytic </w:t>
      </w:r>
      <w:proofErr w:type="spellStart"/>
      <w:r>
        <w:rPr>
          <w:lang w:val="en-US"/>
        </w:rPr>
        <w:t>anaemia</w:t>
      </w:r>
      <w:proofErr w:type="spellEnd"/>
      <w:r>
        <w:rPr>
          <w:lang w:val="en-US"/>
        </w:rPr>
        <w:t xml:space="preserve"> and decreased platelet count, both considered to be unrelated to treatment with adalimumab. There were no reports of leukopenia or pancytopenia. The 2 allergic reactions were skin reactions (urticaria not related to adalimumab and rash possibly related to adalimumab). There were no report</w:t>
      </w:r>
      <w:r w:rsidR="00BB5741">
        <w:rPr>
          <w:lang w:val="en-US"/>
        </w:rPr>
        <w:t>s of angioedema or anaphylaxis.</w:t>
      </w:r>
    </w:p>
    <w:p w:rsidR="00EC228C" w:rsidRDefault="00EC228C" w:rsidP="00BB5741">
      <w:pPr>
        <w:rPr>
          <w:rFonts w:cs="‡'FAøªñ·"/>
          <w:lang w:val="en-US"/>
        </w:rPr>
      </w:pPr>
      <w:r>
        <w:lastRenderedPageBreak/>
        <w:t>There were no reports of the following listed adverse events of</w:t>
      </w:r>
      <w:r w:rsidR="00F071E1">
        <w:t xml:space="preserve"> </w:t>
      </w:r>
      <w:r>
        <w:t>special interest: malignancy; l</w:t>
      </w:r>
      <w:proofErr w:type="spellStart"/>
      <w:r>
        <w:rPr>
          <w:rFonts w:cs="‡'FAøªñ·"/>
          <w:lang w:val="en-US"/>
        </w:rPr>
        <w:t>upus</w:t>
      </w:r>
      <w:proofErr w:type="spellEnd"/>
      <w:r w:rsidR="00887078">
        <w:rPr>
          <w:rFonts w:cs="‡'FAøªñ·"/>
          <w:lang w:val="en-US"/>
        </w:rPr>
        <w:t xml:space="preserve"> </w:t>
      </w:r>
      <w:r>
        <w:rPr>
          <w:rFonts w:cs="‡'FAøªñ·"/>
          <w:lang w:val="en-US"/>
        </w:rPr>
        <w:t xml:space="preserve">like reactions or systemic lupus erythematosus; </w:t>
      </w:r>
      <w:r>
        <w:t xml:space="preserve">demyelinating disorder; vasculitis; hepatitis B; diverticulitis; intestinal perforation; liver failure or other liver events; myocardial infarction; cerebrovascular accident; pulmonary embolism; worsening/new onset psoriasis; adalimumab administration-related medication error; Steven's-Johnson syndrome; erythema multiforme; congestive heart failure; interstitial lung disease; pancreatitis; sarcoidosis; </w:t>
      </w:r>
      <w:r>
        <w:rPr>
          <w:rFonts w:cs="‡'FAøªñ·"/>
          <w:lang w:val="en-US"/>
        </w:rPr>
        <w:t xml:space="preserve">progressive multifocal leukoencephalopathy or reversible posterior leukoencephalopathy syndrome; amyotrophic lateral sclerosis; tuberculosis; seizure disorder; anti-phospholipid syndrome; or severe </w:t>
      </w:r>
      <w:r w:rsidR="00887078">
        <w:rPr>
          <w:rFonts w:cs="‡'FAøªñ·"/>
          <w:lang w:val="en-US"/>
        </w:rPr>
        <w:t>creatinine kinase (</w:t>
      </w:r>
      <w:r>
        <w:rPr>
          <w:rFonts w:cs="‡'FAøªñ·"/>
          <w:lang w:val="en-US"/>
        </w:rPr>
        <w:t>CK</w:t>
      </w:r>
      <w:r w:rsidR="00887078">
        <w:rPr>
          <w:rFonts w:cs="‡'FAøªñ·"/>
          <w:lang w:val="en-US"/>
        </w:rPr>
        <w:t>)</w:t>
      </w:r>
      <w:r w:rsidR="00BB5741">
        <w:rPr>
          <w:rFonts w:cs="‡'FAøªñ·"/>
          <w:lang w:val="en-US"/>
        </w:rPr>
        <w:t xml:space="preserve"> elevations.</w:t>
      </w:r>
    </w:p>
    <w:p w:rsidR="00EC228C" w:rsidRDefault="00EC228C" w:rsidP="00BB5741">
      <w:pPr>
        <w:rPr>
          <w:lang w:val="en-US"/>
        </w:rPr>
      </w:pPr>
      <w:r>
        <w:rPr>
          <w:lang w:val="en-US"/>
        </w:rPr>
        <w:t xml:space="preserve">The clinical laboratory tests (haematology and clinical chemistry) showed no obvious patterns in mean change from Baseline over the course of the study. Nearly all shifts in haematology and clinical chemistry parameters </w:t>
      </w:r>
      <w:r w:rsidRPr="00811599">
        <w:t xml:space="preserve">observed for individual subjects were from low/normal levels at Baseline to high levels with adalimumab treatment. There was no evidence of haematologic, renal or hepatic toxicity associated with adalimumab. There were no shifts from Baseline in </w:t>
      </w:r>
      <w:r w:rsidR="00811599" w:rsidRPr="00811599">
        <w:t>antinuclear antibody (</w:t>
      </w:r>
      <w:r w:rsidRPr="00811599">
        <w:t>ANA</w:t>
      </w:r>
      <w:r w:rsidR="00811599" w:rsidRPr="00811599">
        <w:t>)</w:t>
      </w:r>
      <w:r w:rsidRPr="00811599">
        <w:t xml:space="preserve"> or </w:t>
      </w:r>
      <w:r w:rsidR="00811599" w:rsidRPr="00811599">
        <w:t>anti-double-stranded deoxyribonucleic acid DNA antibody (</w:t>
      </w:r>
      <w:r w:rsidRPr="00811599">
        <w:t>anti-dsDNA</w:t>
      </w:r>
      <w:r w:rsidR="00811599" w:rsidRPr="00811599">
        <w:t>)</w:t>
      </w:r>
      <w:r w:rsidRPr="00811599">
        <w:t>. There were no significant changes in vital signs of pulse rate or temperature over the course of the study. The mean weight of the subjects increased over the course of the study. Th</w:t>
      </w:r>
      <w:r w:rsidR="00811599">
        <w:t>ere were no safety data summaris</w:t>
      </w:r>
      <w:r w:rsidRPr="00811599">
        <w:t>ing changes in blood pressure over the course of the study</w:t>
      </w:r>
      <w:r>
        <w:rPr>
          <w:lang w:val="en-US"/>
        </w:rPr>
        <w:t xml:space="preserve"> or abnormal </w:t>
      </w:r>
      <w:r w:rsidR="00811599">
        <w:rPr>
          <w:lang w:val="en-US"/>
        </w:rPr>
        <w:t>electrocardiogram (</w:t>
      </w:r>
      <w:r>
        <w:rPr>
          <w:lang w:val="en-US"/>
        </w:rPr>
        <w:t>ECG</w:t>
      </w:r>
      <w:r w:rsidR="00811599">
        <w:rPr>
          <w:lang w:val="en-US"/>
        </w:rPr>
        <w:t>)</w:t>
      </w:r>
      <w:r>
        <w:rPr>
          <w:lang w:val="en-US"/>
        </w:rPr>
        <w:t xml:space="preserve"> findings. There were no data relating to the effects of age, weight, dose or sex on safety. There were no data investigating the effects of co-morbidities (</w:t>
      </w:r>
      <w:r w:rsidR="00811599">
        <w:rPr>
          <w:lang w:val="en-US"/>
        </w:rPr>
        <w:t>such as</w:t>
      </w:r>
      <w:r>
        <w:rPr>
          <w:lang w:val="en-US"/>
        </w:rPr>
        <w:t xml:space="preserve"> hepatic</w:t>
      </w:r>
      <w:r w:rsidR="00811599">
        <w:rPr>
          <w:lang w:val="en-US"/>
        </w:rPr>
        <w:t xml:space="preserve"> or</w:t>
      </w:r>
      <w:r>
        <w:rPr>
          <w:lang w:val="en-US"/>
        </w:rPr>
        <w:t xml:space="preserve"> renal) on safety. There were no data on the effects of withdrawal or disease symptom rebound associated with cessation of </w:t>
      </w:r>
      <w:proofErr w:type="spellStart"/>
      <w:r>
        <w:rPr>
          <w:lang w:val="en-US"/>
        </w:rPr>
        <w:t>adalimumab</w:t>
      </w:r>
      <w:proofErr w:type="spellEnd"/>
      <w:r>
        <w:rPr>
          <w:lang w:val="en-US"/>
        </w:rPr>
        <w:t xml:space="preserve"> treatment.</w:t>
      </w:r>
    </w:p>
    <w:p w:rsidR="00EC228C" w:rsidRDefault="00EC228C" w:rsidP="00BB5741">
      <w:pPr>
        <w:pStyle w:val="Heading5"/>
        <w:rPr>
          <w:szCs w:val="24"/>
          <w:lang w:val="en-US"/>
        </w:rPr>
      </w:pPr>
      <w:bookmarkStart w:id="83" w:name="_Toc283278972"/>
      <w:r>
        <w:rPr>
          <w:lang w:val="en-US"/>
        </w:rPr>
        <w:t xml:space="preserve">Study P10-262 (Registry - interim 4 year </w:t>
      </w:r>
      <w:r w:rsidRPr="00BB5741">
        <w:t>safety</w:t>
      </w:r>
      <w:r>
        <w:rPr>
          <w:lang w:val="en-US"/>
        </w:rPr>
        <w:t xml:space="preserve"> data)</w:t>
      </w:r>
      <w:bookmarkEnd w:id="83"/>
    </w:p>
    <w:p w:rsidR="00EC228C" w:rsidRDefault="00EC228C" w:rsidP="00BB5741">
      <w:pPr>
        <w:rPr>
          <w:lang w:val="en-US"/>
        </w:rPr>
      </w:pPr>
      <w:r>
        <w:rPr>
          <w:lang w:val="en-US"/>
        </w:rPr>
        <w:t xml:space="preserve">The submission included interim 4 year safety data from a Registry for 459 enrolled patients treated with </w:t>
      </w:r>
      <w:proofErr w:type="spellStart"/>
      <w:r>
        <w:rPr>
          <w:lang w:val="en-US"/>
        </w:rPr>
        <w:t>Humira</w:t>
      </w:r>
      <w:proofErr w:type="spellEnd"/>
      <w:r>
        <w:rPr>
          <w:lang w:val="en-US"/>
        </w:rPr>
        <w:t xml:space="preserve"> and 306 enrolled patients treated with MTX. The mean ± SD duration of exposure in the observational all </w:t>
      </w:r>
      <w:proofErr w:type="spellStart"/>
      <w:r>
        <w:rPr>
          <w:lang w:val="en-US"/>
        </w:rPr>
        <w:t>Humira</w:t>
      </w:r>
      <w:proofErr w:type="spellEnd"/>
      <w:r>
        <w:rPr>
          <w:lang w:val="en-US"/>
        </w:rPr>
        <w:t xml:space="preserve"> treatment group was 891 PYs. The mean ± SD age of the 459 patients in the all </w:t>
      </w:r>
      <w:proofErr w:type="spellStart"/>
      <w:r>
        <w:rPr>
          <w:lang w:val="en-US"/>
        </w:rPr>
        <w:t>Humira</w:t>
      </w:r>
      <w:proofErr w:type="spellEnd"/>
      <w:r>
        <w:rPr>
          <w:lang w:val="en-US"/>
        </w:rPr>
        <w:t xml:space="preserve"> treatment group was 12.2 ± 3.94 years range (3, 20 years), and the mean ± SD weight was 47.8</w:t>
      </w:r>
      <w:r w:rsidR="00BB5741">
        <w:rPr>
          <w:lang w:val="en-US"/>
        </w:rPr>
        <w:t xml:space="preserve"> ± 20.0 kg (range: 13, 118 kg).</w:t>
      </w:r>
    </w:p>
    <w:p w:rsidR="00EC228C" w:rsidRDefault="00EC228C" w:rsidP="00BB5741">
      <w:pPr>
        <w:rPr>
          <w:lang w:val="en-US"/>
        </w:rPr>
      </w:pPr>
      <w:r>
        <w:rPr>
          <w:lang w:val="en-US"/>
        </w:rPr>
        <w:t xml:space="preserve">The Registry included 12 patients rolled over from the pivotal study for the proposed </w:t>
      </w:r>
      <w:proofErr w:type="spellStart"/>
      <w:r>
        <w:rPr>
          <w:lang w:val="en-US"/>
        </w:rPr>
        <w:t>paediatric</w:t>
      </w:r>
      <w:proofErr w:type="spellEnd"/>
      <w:r>
        <w:rPr>
          <w:lang w:val="en-US"/>
        </w:rPr>
        <w:t xml:space="preserve"> patient population (</w:t>
      </w:r>
      <w:r w:rsidR="00EF55F9">
        <w:rPr>
          <w:lang w:val="en-US"/>
        </w:rPr>
        <w:t>Study M</w:t>
      </w:r>
      <w:r>
        <w:rPr>
          <w:lang w:val="en-US"/>
        </w:rPr>
        <w:t xml:space="preserve">10-444) and 12 patients rolled over from the previously evaluated pivotal study (DE038) supporting the currently approved </w:t>
      </w:r>
      <w:proofErr w:type="spellStart"/>
      <w:r>
        <w:rPr>
          <w:lang w:val="en-US"/>
        </w:rPr>
        <w:t>paediatric</w:t>
      </w:r>
      <w:proofErr w:type="spellEnd"/>
      <w:r>
        <w:rPr>
          <w:lang w:val="en-US"/>
        </w:rPr>
        <w:t xml:space="preserve"> patient population. There were only two patients included in the 459 all </w:t>
      </w:r>
      <w:proofErr w:type="spellStart"/>
      <w:r>
        <w:rPr>
          <w:lang w:val="en-US"/>
        </w:rPr>
        <w:t>Humira</w:t>
      </w:r>
      <w:proofErr w:type="spellEnd"/>
      <w:r>
        <w:rPr>
          <w:lang w:val="en-US"/>
        </w:rPr>
        <w:t xml:space="preserve"> treated group who met the criteria for the proposed</w:t>
      </w:r>
      <w:r w:rsidR="00811599">
        <w:rPr>
          <w:lang w:val="en-US"/>
        </w:rPr>
        <w:t xml:space="preserve"> </w:t>
      </w:r>
      <w:proofErr w:type="spellStart"/>
      <w:r w:rsidR="00811599">
        <w:rPr>
          <w:lang w:val="en-US"/>
        </w:rPr>
        <w:t>paediatric</w:t>
      </w:r>
      <w:proofErr w:type="spellEnd"/>
      <w:r w:rsidR="00811599">
        <w:rPr>
          <w:lang w:val="en-US"/>
        </w:rPr>
        <w:t xml:space="preserve"> patient population </w:t>
      </w:r>
      <w:r>
        <w:rPr>
          <w:lang w:val="en-US"/>
        </w:rPr>
        <w:t>(</w:t>
      </w:r>
      <w:r w:rsidR="00811599">
        <w:rPr>
          <w:lang w:val="en-US"/>
        </w:rPr>
        <w:t>that is,</w:t>
      </w:r>
      <w:r>
        <w:rPr>
          <w:lang w:val="en-US"/>
        </w:rPr>
        <w:t xml:space="preserve"> aged &gt;</w:t>
      </w:r>
      <w:r w:rsidR="00811599">
        <w:rPr>
          <w:lang w:val="en-US"/>
        </w:rPr>
        <w:t> </w:t>
      </w:r>
      <w:r>
        <w:rPr>
          <w:lang w:val="en-US"/>
        </w:rPr>
        <w:t xml:space="preserve">2 years to &lt; 4 years, or </w:t>
      </w:r>
      <w:r w:rsidR="00974CDD">
        <w:rPr>
          <w:lang w:val="en-US"/>
        </w:rPr>
        <w:t>≥</w:t>
      </w:r>
      <w:r w:rsidR="00237330">
        <w:rPr>
          <w:lang w:val="en-US"/>
        </w:rPr>
        <w:t xml:space="preserve"> </w:t>
      </w:r>
      <w:r>
        <w:rPr>
          <w:lang w:val="en-US"/>
        </w:rPr>
        <w:t xml:space="preserve">4 years weighing &lt; 15 kg). The interim 4 year safety data in the all </w:t>
      </w:r>
      <w:proofErr w:type="spellStart"/>
      <w:r>
        <w:rPr>
          <w:lang w:val="en-US"/>
        </w:rPr>
        <w:t>Humira</w:t>
      </w:r>
      <w:proofErr w:type="spellEnd"/>
      <w:r>
        <w:rPr>
          <w:lang w:val="en-US"/>
        </w:rPr>
        <w:t xml:space="preserve"> treatment group did not identify new or unexpected safety signals associated with </w:t>
      </w:r>
      <w:proofErr w:type="spellStart"/>
      <w:r>
        <w:rPr>
          <w:lang w:val="en-US"/>
        </w:rPr>
        <w:t>Humira</w:t>
      </w:r>
      <w:proofErr w:type="spellEnd"/>
      <w:r>
        <w:rPr>
          <w:lang w:val="en-US"/>
        </w:rPr>
        <w:t xml:space="preserve"> for the treatment of juvenile idiopathic arthritis. Overall, it is considered that all of the interim 4 year safety data from the Registry in the all </w:t>
      </w:r>
      <w:proofErr w:type="spellStart"/>
      <w:r>
        <w:rPr>
          <w:lang w:val="en-US"/>
        </w:rPr>
        <w:t>Humira</w:t>
      </w:r>
      <w:proofErr w:type="spellEnd"/>
      <w:r>
        <w:rPr>
          <w:lang w:val="en-US"/>
        </w:rPr>
        <w:t xml:space="preserve"> </w:t>
      </w:r>
      <w:proofErr w:type="spellStart"/>
      <w:r>
        <w:rPr>
          <w:lang w:val="en-US"/>
        </w:rPr>
        <w:t>paediatric</w:t>
      </w:r>
      <w:proofErr w:type="spellEnd"/>
      <w:r>
        <w:rPr>
          <w:lang w:val="en-US"/>
        </w:rPr>
        <w:t xml:space="preserve"> treatment group can be extrapolated to t</w:t>
      </w:r>
      <w:r w:rsidR="00BB5741">
        <w:rPr>
          <w:lang w:val="en-US"/>
        </w:rPr>
        <w:t>he proposed patient population.</w:t>
      </w:r>
    </w:p>
    <w:p w:rsidR="00605AD4" w:rsidRPr="00811599" w:rsidRDefault="00605AD4" w:rsidP="00BB5741">
      <w:pPr>
        <w:pStyle w:val="Heading3"/>
        <w:rPr>
          <w:rFonts w:eastAsia="Cambria"/>
        </w:rPr>
      </w:pPr>
      <w:bookmarkStart w:id="84" w:name="_Toc438564006"/>
      <w:r w:rsidRPr="00605AD4">
        <w:rPr>
          <w:rFonts w:eastAsia="Cambria"/>
        </w:rPr>
        <w:t xml:space="preserve">First </w:t>
      </w:r>
      <w:r w:rsidR="00BB5741">
        <w:rPr>
          <w:rFonts w:eastAsia="Cambria"/>
        </w:rPr>
        <w:t>r</w:t>
      </w:r>
      <w:r w:rsidRPr="00605AD4">
        <w:rPr>
          <w:rFonts w:eastAsia="Cambria"/>
        </w:rPr>
        <w:t xml:space="preserve">ound </w:t>
      </w:r>
      <w:r w:rsidR="00BB5741">
        <w:rPr>
          <w:rFonts w:eastAsia="Cambria"/>
        </w:rPr>
        <w:t>b</w:t>
      </w:r>
      <w:r w:rsidRPr="00605AD4">
        <w:rPr>
          <w:rFonts w:eastAsia="Cambria"/>
        </w:rPr>
        <w:t>enefit-</w:t>
      </w:r>
      <w:r w:rsidR="00BB5741">
        <w:rPr>
          <w:rFonts w:eastAsia="Cambria"/>
        </w:rPr>
        <w:t>r</w:t>
      </w:r>
      <w:r w:rsidRPr="00605AD4">
        <w:rPr>
          <w:rFonts w:eastAsia="Cambria"/>
        </w:rPr>
        <w:t xml:space="preserve">isk </w:t>
      </w:r>
      <w:r w:rsidR="00BB5741" w:rsidRPr="00BB5741">
        <w:rPr>
          <w:rFonts w:eastAsia="Cambria"/>
        </w:rPr>
        <w:t>a</w:t>
      </w:r>
      <w:r w:rsidRPr="00BB5741">
        <w:rPr>
          <w:rFonts w:eastAsia="Cambria"/>
        </w:rPr>
        <w:t>ssessment</w:t>
      </w:r>
      <w:bookmarkEnd w:id="84"/>
    </w:p>
    <w:p w:rsidR="00EC228C" w:rsidRPr="00811599" w:rsidRDefault="00EC228C" w:rsidP="00BB5741">
      <w:pPr>
        <w:pStyle w:val="Heading4"/>
      </w:pPr>
      <w:bookmarkStart w:id="85" w:name="_Toc283278974"/>
      <w:r>
        <w:t xml:space="preserve">First round </w:t>
      </w:r>
      <w:r w:rsidRPr="00BB5741">
        <w:t>assessment</w:t>
      </w:r>
      <w:r>
        <w:t xml:space="preserve"> of benefits</w:t>
      </w:r>
      <w:bookmarkEnd w:id="85"/>
    </w:p>
    <w:p w:rsidR="00EC228C" w:rsidRDefault="00EC228C" w:rsidP="00BB5741">
      <w:r>
        <w:t xml:space="preserve">The benefits of adalimumab for the proposed usage in the proposed patient population have been satisfactorily demonstrated in one, uncontrolled, compassionate use study (M10-444) in a small number of subjects with </w:t>
      </w:r>
      <w:proofErr w:type="spellStart"/>
      <w:r>
        <w:t>pJIA</w:t>
      </w:r>
      <w:proofErr w:type="spellEnd"/>
      <w:r>
        <w:t xml:space="preserve"> (N=32). The majority of subjects in this study were treated with adalimumab in combination with MTX (84.4%, N=27). The benefits of adalimumab for the treatment of moderately to severely active </w:t>
      </w:r>
      <w:proofErr w:type="spellStart"/>
      <w:r>
        <w:t>pJIA</w:t>
      </w:r>
      <w:proofErr w:type="spellEnd"/>
      <w:r>
        <w:t xml:space="preserve"> in the proposed patient population were:</w:t>
      </w:r>
    </w:p>
    <w:p w:rsidR="00EC228C" w:rsidRPr="00811599" w:rsidRDefault="00EC228C" w:rsidP="00BB5741">
      <w:pPr>
        <w:pStyle w:val="ListBullet"/>
      </w:pPr>
      <w:proofErr w:type="gramStart"/>
      <w:r w:rsidRPr="00811599">
        <w:lastRenderedPageBreak/>
        <w:t>an</w:t>
      </w:r>
      <w:proofErr w:type="gramEnd"/>
      <w:r w:rsidRPr="00811599">
        <w:t xml:space="preserve"> observed </w:t>
      </w:r>
      <w:r w:rsidRPr="00BB5741">
        <w:t>PedACR30</w:t>
      </w:r>
      <w:r w:rsidRPr="00811599">
        <w:t xml:space="preserve"> response was achieved by at least 90% of subjects from Week 12 </w:t>
      </w:r>
      <w:r w:rsidRPr="00811599">
        <w:tab/>
        <w:t>through to Week 120, apart from Week 108 (88.9%);</w:t>
      </w:r>
    </w:p>
    <w:p w:rsidR="00EC228C" w:rsidRPr="00811599" w:rsidRDefault="00EC228C" w:rsidP="00BB5741">
      <w:pPr>
        <w:pStyle w:val="ListBullet"/>
      </w:pPr>
      <w:r w:rsidRPr="00811599">
        <w:t xml:space="preserve">an observed </w:t>
      </w:r>
      <w:r w:rsidRPr="00BB5741">
        <w:t>PedACR50</w:t>
      </w:r>
      <w:r w:rsidRPr="00811599">
        <w:t xml:space="preserve"> response was achieved by at least 80% of subjects from Week 12 </w:t>
      </w:r>
      <w:r w:rsidRPr="00811599">
        <w:tab/>
        <w:t>through to Week 120;</w:t>
      </w:r>
    </w:p>
    <w:p w:rsidR="00EC228C" w:rsidRPr="00811599" w:rsidRDefault="00EC228C" w:rsidP="00BB5741">
      <w:pPr>
        <w:pStyle w:val="ListBullet"/>
      </w:pPr>
      <w:r w:rsidRPr="00811599">
        <w:t xml:space="preserve">an observed PedACR70 response was achieved by at least 61% of subjects from Week 12 </w:t>
      </w:r>
      <w:r w:rsidRPr="00811599">
        <w:tab/>
        <w:t>through to Week 120, with a greater proportion of subjects achieving a response at later c</w:t>
      </w:r>
      <w:r w:rsidR="00BB5741">
        <w:t>ompared to earlier time-points;</w:t>
      </w:r>
    </w:p>
    <w:p w:rsidR="00EC228C" w:rsidRPr="00811599" w:rsidRDefault="00EC228C" w:rsidP="00F4722A">
      <w:pPr>
        <w:pStyle w:val="ListBullet"/>
      </w:pPr>
      <w:r w:rsidRPr="00811599">
        <w:t xml:space="preserve">an observed PedACR90 response was achieved by at least 36% of subjects from Week 12 </w:t>
      </w:r>
      <w:r w:rsidRPr="00811599">
        <w:tab/>
        <w:t xml:space="preserve">through to Week 120, with a </w:t>
      </w:r>
      <w:r w:rsidRPr="00BB5741">
        <w:t>greater</w:t>
      </w:r>
      <w:r w:rsidRPr="00811599">
        <w:t xml:space="preserve"> </w:t>
      </w:r>
      <w:r w:rsidRPr="00F4722A">
        <w:t>proportion</w:t>
      </w:r>
      <w:r w:rsidRPr="00811599">
        <w:t xml:space="preserve"> of subjects generally achieving a response at later compared to earlier </w:t>
      </w:r>
      <w:r w:rsidRPr="00BB5741">
        <w:t>time</w:t>
      </w:r>
      <w:r w:rsidR="00F4722A">
        <w:t>-points;</w:t>
      </w:r>
    </w:p>
    <w:p w:rsidR="00EC228C" w:rsidRPr="00811599" w:rsidRDefault="00EC228C" w:rsidP="00F4722A">
      <w:pPr>
        <w:pStyle w:val="ListBullet"/>
      </w:pPr>
      <w:r w:rsidRPr="00811599">
        <w:t xml:space="preserve">observed PedACR30/50/70/90 responses were achieved at Week 24 by 90%, 83.3%, 73.3%, and 36.7% of subjects, respectively, </w:t>
      </w:r>
      <w:r w:rsidRPr="00F4722A">
        <w:t>and</w:t>
      </w:r>
      <w:r w:rsidRPr="00811599">
        <w:t xml:space="preserve"> 30 of the 32 patients (94%) had observed data at this time-poin</w:t>
      </w:r>
      <w:r w:rsidR="00F4722A">
        <w:t xml:space="preserve">t for each </w:t>
      </w:r>
      <w:proofErr w:type="spellStart"/>
      <w:r w:rsidR="00F4722A">
        <w:t>PedACR</w:t>
      </w:r>
      <w:proofErr w:type="spellEnd"/>
      <w:r w:rsidR="00F4722A">
        <w:t xml:space="preserve"> response;</w:t>
      </w:r>
    </w:p>
    <w:p w:rsidR="00EC228C" w:rsidRPr="00811599" w:rsidRDefault="00EC228C" w:rsidP="00F4722A">
      <w:pPr>
        <w:pStyle w:val="ListBullet"/>
      </w:pPr>
      <w:proofErr w:type="gramStart"/>
      <w:r w:rsidRPr="00811599">
        <w:t>clinically</w:t>
      </w:r>
      <w:proofErr w:type="gramEnd"/>
      <w:r w:rsidRPr="00811599">
        <w:t xml:space="preserve"> meaningful improvement was observed in each of the individual JIA core set of variables contributing to the </w:t>
      </w:r>
      <w:proofErr w:type="spellStart"/>
      <w:r w:rsidRPr="00811599">
        <w:t>PedACR</w:t>
      </w:r>
      <w:proofErr w:type="spellEnd"/>
      <w:r w:rsidRPr="00811599">
        <w:t xml:space="preserve"> response assessments including physician's global assessment of disease activity, parent's global assessment of disease activity, number of active joints, number of joints with loss of motio</w:t>
      </w:r>
      <w:r w:rsidR="00F4722A">
        <w:t>n, DICHAQ score and CRP levels.</w:t>
      </w:r>
    </w:p>
    <w:p w:rsidR="00EC228C" w:rsidRDefault="00EC228C" w:rsidP="00F4722A">
      <w:r>
        <w:t xml:space="preserve">There were no efficacy data in the submission on the benefits of adalimumab alone in the proposed patient population for the proposed usage. The sponsor is proposing that adalimumab monotherapy be used in children aged 2 to &lt; 4 years and </w:t>
      </w:r>
      <w:r w:rsidR="00974CDD">
        <w:rPr>
          <w:lang w:val="en-US"/>
        </w:rPr>
        <w:t>≥</w:t>
      </w:r>
      <w:r w:rsidR="00237330">
        <w:rPr>
          <w:lang w:val="en-US"/>
        </w:rPr>
        <w:t xml:space="preserve"> </w:t>
      </w:r>
      <w:r>
        <w:t>4 years weighing &lt; 15 kg where patients are intolerant to MTX or continuous treatment with MTX is inappropriate. The proposed use of adalimumab monotherapy in the proposed paediatric patient population is identical to the approved use of this regimen in the approved</w:t>
      </w:r>
      <w:r w:rsidR="00F4722A">
        <w:t xml:space="preserve"> paediatric patient population.</w:t>
      </w:r>
    </w:p>
    <w:p w:rsidR="00EC228C" w:rsidRDefault="00EC228C" w:rsidP="00F4722A">
      <w:pPr>
        <w:rPr>
          <w:lang w:val="en-US"/>
        </w:rPr>
      </w:pPr>
      <w:r>
        <w:rPr>
          <w:lang w:val="en-US"/>
        </w:rPr>
        <w:t xml:space="preserve">The efficacy of adalimumab in combination with MTX in the proposed </w:t>
      </w:r>
      <w:proofErr w:type="spellStart"/>
      <w:r>
        <w:rPr>
          <w:lang w:val="en-US"/>
        </w:rPr>
        <w:t>paediatric</w:t>
      </w:r>
      <w:proofErr w:type="spellEnd"/>
      <w:r>
        <w:rPr>
          <w:lang w:val="en-US"/>
        </w:rPr>
        <w:t xml:space="preserve"> population is consistent with the efficacy of the combination in the approved </w:t>
      </w:r>
      <w:proofErr w:type="spellStart"/>
      <w:r>
        <w:rPr>
          <w:lang w:val="en-US"/>
        </w:rPr>
        <w:t>paediatric</w:t>
      </w:r>
      <w:proofErr w:type="spellEnd"/>
      <w:r>
        <w:rPr>
          <w:lang w:val="en-US"/>
        </w:rPr>
        <w:t xml:space="preserve"> population. In </w:t>
      </w:r>
      <w:r w:rsidR="00EF55F9">
        <w:rPr>
          <w:lang w:val="en-US"/>
        </w:rPr>
        <w:t>Study M</w:t>
      </w:r>
      <w:r>
        <w:rPr>
          <w:lang w:val="en-US"/>
        </w:rPr>
        <w:t xml:space="preserve">10-444, the observed PedACR30 response at Week 24 was 90.0% (27/30) in the ITT population, while in </w:t>
      </w:r>
      <w:r w:rsidR="00F00F6F">
        <w:rPr>
          <w:lang w:val="en-US"/>
        </w:rPr>
        <w:t>Study D</w:t>
      </w:r>
      <w:r>
        <w:rPr>
          <w:lang w:val="en-US"/>
        </w:rPr>
        <w:t xml:space="preserve">E038 the PedACR30 response at the end of the 16 weeks </w:t>
      </w:r>
      <w:r w:rsidR="00817741">
        <w:rPr>
          <w:lang w:val="en-US"/>
        </w:rPr>
        <w:t>open label</w:t>
      </w:r>
      <w:r>
        <w:rPr>
          <w:lang w:val="en-US"/>
        </w:rPr>
        <w:t xml:space="preserve">, lead-in phase was 94% (80/85) in the adalimumab with MTX stratum and 74% (64/86) in the </w:t>
      </w:r>
      <w:proofErr w:type="spellStart"/>
      <w:r w:rsidR="00F4722A">
        <w:rPr>
          <w:lang w:val="en-US"/>
        </w:rPr>
        <w:t>adalimumab</w:t>
      </w:r>
      <w:proofErr w:type="spellEnd"/>
      <w:r w:rsidR="00F4722A">
        <w:rPr>
          <w:lang w:val="en-US"/>
        </w:rPr>
        <w:t xml:space="preserve"> without MTX stratum.</w:t>
      </w:r>
    </w:p>
    <w:p w:rsidR="00EC228C" w:rsidRDefault="00EC228C" w:rsidP="00F4722A">
      <w:pPr>
        <w:rPr>
          <w:lang w:val="en-US"/>
        </w:rPr>
      </w:pPr>
      <w:r>
        <w:rPr>
          <w:lang w:val="en-US"/>
        </w:rPr>
        <w:t xml:space="preserve">The PK data from </w:t>
      </w:r>
      <w:r w:rsidR="00EF55F9">
        <w:rPr>
          <w:lang w:val="en-US"/>
        </w:rPr>
        <w:t>Study M</w:t>
      </w:r>
      <w:r>
        <w:rPr>
          <w:lang w:val="en-US"/>
        </w:rPr>
        <w:t xml:space="preserve">10-444 (Week 24) in the proposed </w:t>
      </w:r>
      <w:proofErr w:type="spellStart"/>
      <w:r>
        <w:rPr>
          <w:lang w:val="en-US"/>
        </w:rPr>
        <w:t>paediatric</w:t>
      </w:r>
      <w:proofErr w:type="spellEnd"/>
      <w:r>
        <w:rPr>
          <w:lang w:val="en-US"/>
        </w:rPr>
        <w:t xml:space="preserve"> population and </w:t>
      </w:r>
      <w:r w:rsidR="00F00F6F">
        <w:rPr>
          <w:lang w:val="en-US"/>
        </w:rPr>
        <w:t>Study D</w:t>
      </w:r>
      <w:r>
        <w:rPr>
          <w:lang w:val="en-US"/>
        </w:rPr>
        <w:t xml:space="preserve">E038 (Week 16) in the approved </w:t>
      </w:r>
      <w:proofErr w:type="spellStart"/>
      <w:r>
        <w:rPr>
          <w:lang w:val="en-US"/>
        </w:rPr>
        <w:t>paediatric</w:t>
      </w:r>
      <w:proofErr w:type="spellEnd"/>
      <w:r>
        <w:rPr>
          <w:lang w:val="en-US"/>
        </w:rPr>
        <w:t xml:space="preserve"> population showed that the mean steady-state serum adalimumab trough concentration was lower in the adalimumab without MTX group in </w:t>
      </w:r>
      <w:r w:rsidR="00EF55F9">
        <w:rPr>
          <w:lang w:val="en-US"/>
        </w:rPr>
        <w:t>Study M</w:t>
      </w:r>
      <w:r>
        <w:rPr>
          <w:lang w:val="en-US"/>
        </w:rPr>
        <w:t xml:space="preserve">10-444 (N=4) compared to </w:t>
      </w:r>
      <w:r w:rsidR="00F00F6F">
        <w:rPr>
          <w:lang w:val="en-US"/>
        </w:rPr>
        <w:t>Study D</w:t>
      </w:r>
      <w:r>
        <w:rPr>
          <w:lang w:val="en-US"/>
        </w:rPr>
        <w:t>E038 (N=29). However, it is difficult to draw clinically meaningful conclusions from the comparative PK data in subjects treated with adalimumab without MTX due to the marked inter-subject variability in steady-state serum adalimumab concentrations in the two studies (CV 113% [M10-444/Week 24] v</w:t>
      </w:r>
      <w:r w:rsidR="00811599">
        <w:rPr>
          <w:lang w:val="en-US"/>
        </w:rPr>
        <w:t>ersu</w:t>
      </w:r>
      <w:r>
        <w:rPr>
          <w:lang w:val="en-US"/>
        </w:rPr>
        <w:t>s CV 89% [DE038/Week 16]) and the notable imbalance in subject numbers between the two studies (N=4 [M10-444] v</w:t>
      </w:r>
      <w:r w:rsidR="00811599">
        <w:rPr>
          <w:lang w:val="en-US"/>
        </w:rPr>
        <w:t>ersu</w:t>
      </w:r>
      <w:r w:rsidR="00F4722A">
        <w:rPr>
          <w:lang w:val="en-US"/>
        </w:rPr>
        <w:t>s N=29 [DE038]).</w:t>
      </w:r>
    </w:p>
    <w:p w:rsidR="00EC228C" w:rsidRDefault="00EC228C" w:rsidP="00EC228C">
      <w:pPr>
        <w:widowControl w:val="0"/>
        <w:autoSpaceDE w:val="0"/>
        <w:autoSpaceDN w:val="0"/>
        <w:adjustRightInd w:val="0"/>
        <w:rPr>
          <w:rFonts w:ascii="‡ﬂ¯øª∆‚" w:hAnsi="‡ﬂ¯øª∆‚" w:cs="‡ﬂ¯øª∆‚"/>
          <w:lang w:val="en-US"/>
        </w:rPr>
      </w:pPr>
      <w:r>
        <w:rPr>
          <w:rFonts w:ascii="‡ﬂ¯øª∆‚" w:hAnsi="‡ﬂ¯øª∆‚" w:cs="‡ﬂ¯øª∆‚"/>
          <w:lang w:val="en-US"/>
        </w:rPr>
        <w:t>On balance, it is considered that the lack of specific information on the benefits of treatment with adalimumab without MTX in the proposed patient population should not preclude approval of the monotherapy option in cases where this might be required (</w:t>
      </w:r>
      <w:r w:rsidR="00811599">
        <w:rPr>
          <w:rFonts w:ascii="‡ﬂ¯øª∆‚" w:hAnsi="‡ﬂ¯øª∆‚" w:cs="‡ﬂ¯øª∆‚"/>
          <w:lang w:val="en-US"/>
        </w:rPr>
        <w:t>that is,</w:t>
      </w:r>
      <w:r>
        <w:rPr>
          <w:rFonts w:ascii="‡ﬂ¯øª∆‚" w:hAnsi="‡ﬂ¯øª∆‚" w:cs="‡ﬂ¯øª∆‚"/>
          <w:lang w:val="en-US"/>
        </w:rPr>
        <w:t xml:space="preserve"> intolerance to MTX, continuous treat</w:t>
      </w:r>
      <w:r w:rsidR="00F4722A">
        <w:rPr>
          <w:rFonts w:ascii="‡ﬂ¯øª∆‚" w:hAnsi="‡ﬂ¯øª∆‚" w:cs="‡ﬂ¯øª∆‚"/>
          <w:lang w:val="en-US"/>
        </w:rPr>
        <w:t>ment with MTX not appropriate).</w:t>
      </w:r>
    </w:p>
    <w:p w:rsidR="00EC228C" w:rsidRDefault="00EC228C" w:rsidP="00F4722A">
      <w:pPr>
        <w:pStyle w:val="Heading4"/>
      </w:pPr>
      <w:bookmarkStart w:id="86" w:name="_Toc283278975"/>
      <w:r>
        <w:t xml:space="preserve">First </w:t>
      </w:r>
      <w:r w:rsidRPr="00F4722A">
        <w:t>round</w:t>
      </w:r>
      <w:r>
        <w:t xml:space="preserve"> assessment of risks</w:t>
      </w:r>
      <w:bookmarkEnd w:id="86"/>
      <w:r>
        <w:t xml:space="preserve"> </w:t>
      </w:r>
    </w:p>
    <w:p w:rsidR="00EC228C" w:rsidRDefault="00EC228C" w:rsidP="00F4722A">
      <w:r>
        <w:t xml:space="preserve">The risks of adalimumab for the proposed usage in the proposed patient population </w:t>
      </w:r>
      <w:r w:rsidR="00811599">
        <w:t>have been adequately characteris</w:t>
      </w:r>
      <w:r>
        <w:t xml:space="preserve">ed in one, </w:t>
      </w:r>
      <w:r w:rsidR="00817741">
        <w:t>open label</w:t>
      </w:r>
      <w:r>
        <w:t xml:space="preserve">, uncontrolled, compassionate use study (M10-444) in a small number of subjects with </w:t>
      </w:r>
      <w:proofErr w:type="spellStart"/>
      <w:r>
        <w:t>pJIA</w:t>
      </w:r>
      <w:proofErr w:type="spellEnd"/>
      <w:r>
        <w:t xml:space="preserve"> (N=32). In this study, nearly all </w:t>
      </w:r>
      <w:r>
        <w:lastRenderedPageBreak/>
        <w:t>subjects were treated with concomitant MTX (84.4%, N=27), while the majority of subjects were also treated with concomitant systemic NSAIDs (56.3%, N=18) and/or concomitant systemic corticosteroids (62.5%, N=20). There are no data on the risks of adalimumab administered without MTX in the proposed patient population. However, it can be reasonably inferred that the risks of adalimumab without MTX are likely to be similar to, or less than, th</w:t>
      </w:r>
      <w:r w:rsidR="00F4722A">
        <w:t xml:space="preserve">e risks of </w:t>
      </w:r>
      <w:proofErr w:type="spellStart"/>
      <w:r w:rsidR="00F4722A">
        <w:t>adalimumab</w:t>
      </w:r>
      <w:proofErr w:type="spellEnd"/>
      <w:r w:rsidR="00F4722A">
        <w:t xml:space="preserve"> with MTX.</w:t>
      </w:r>
    </w:p>
    <w:p w:rsidR="00EC228C" w:rsidRDefault="00EC228C" w:rsidP="00F4722A">
      <w:r>
        <w:t xml:space="preserve">The risks of adalimumab in combination with MTX for the treatment of moderately to severely active </w:t>
      </w:r>
      <w:proofErr w:type="spellStart"/>
      <w:r>
        <w:t>pJIA</w:t>
      </w:r>
      <w:proofErr w:type="spellEnd"/>
      <w:r>
        <w:t xml:space="preserve"> in the proposed</w:t>
      </w:r>
      <w:r w:rsidRPr="00F4722A">
        <w:t xml:space="preserve"> </w:t>
      </w:r>
      <w:r>
        <w:t>paediatric patient population are considered to be comparable to the known risks of the combination for the same indication in the currently approved</w:t>
      </w:r>
      <w:r w:rsidR="00F4722A">
        <w:t xml:space="preserve"> paediatric patient population.</w:t>
      </w:r>
    </w:p>
    <w:p w:rsidR="00EC228C" w:rsidRDefault="00EC228C" w:rsidP="00F4722A">
      <w:r>
        <w:t xml:space="preserve">The risks of adalimumab for the proposed usage in the proposed patient population based on </w:t>
      </w:r>
      <w:r w:rsidR="00EF55F9">
        <w:t>Study M</w:t>
      </w:r>
      <w:r>
        <w:t>10-444 (</w:t>
      </w:r>
      <w:r w:rsidR="00811599">
        <w:t>N=32) are summaris</w:t>
      </w:r>
      <w:r>
        <w:t>ed below:</w:t>
      </w:r>
    </w:p>
    <w:p w:rsidR="00EC228C" w:rsidRPr="00811599" w:rsidRDefault="00EC228C" w:rsidP="00F4722A">
      <w:pPr>
        <w:pStyle w:val="ListBullet"/>
      </w:pPr>
      <w:r w:rsidRPr="00811599">
        <w:t xml:space="preserve">TEAEs reported in 90.6% of subjects (418.2 events/100 PYs); TEAEs reported by the investigator to be a least possibly related to treatment with adalimumab in 34.4% of subjects (48.8 events/100 PYs); </w:t>
      </w:r>
    </w:p>
    <w:p w:rsidR="00EC228C" w:rsidRPr="00811599" w:rsidRDefault="00EC228C" w:rsidP="00F4722A">
      <w:pPr>
        <w:pStyle w:val="ListBullet"/>
      </w:pPr>
      <w:r w:rsidRPr="00811599">
        <w:t xml:space="preserve">serious TEAEs reported in 15.6% of subjects (11.1 events/100 PYs); TEAEs leading to discontinuation of </w:t>
      </w:r>
      <w:proofErr w:type="spellStart"/>
      <w:r w:rsidRPr="00F4722A">
        <w:t>adalimumab</w:t>
      </w:r>
      <w:proofErr w:type="spellEnd"/>
      <w:r w:rsidRPr="00811599">
        <w:t xml:space="preserve"> reported in 6.3% of subjects (4.4 events/100 PYs); n</w:t>
      </w:r>
      <w:r w:rsidR="00F4722A">
        <w:t>o deaths reported in the study;</w:t>
      </w:r>
    </w:p>
    <w:p w:rsidR="00EC228C" w:rsidRPr="00811599" w:rsidRDefault="00EC228C" w:rsidP="00F4722A">
      <w:pPr>
        <w:pStyle w:val="ListBullet"/>
      </w:pPr>
      <w:r w:rsidRPr="00811599">
        <w:t>TEAEs reported most frequently (</w:t>
      </w:r>
      <w:r w:rsidR="00974CDD">
        <w:rPr>
          <w:lang w:val="en-US"/>
        </w:rPr>
        <w:t>≥</w:t>
      </w:r>
      <w:r w:rsidR="00237330">
        <w:rPr>
          <w:lang w:val="en-US"/>
        </w:rPr>
        <w:t xml:space="preserve"> </w:t>
      </w:r>
      <w:r w:rsidRPr="00811599">
        <w:t xml:space="preserve">15% of subjects) </w:t>
      </w:r>
      <w:r w:rsidRPr="00F4722A">
        <w:t>were</w:t>
      </w:r>
      <w:r w:rsidRPr="00811599">
        <w:t xml:space="preserve"> nasopharyngitis (25%), pyrexia (21.9%), bronchitis (18.8%), cough (18.8%), </w:t>
      </w:r>
      <w:proofErr w:type="spellStart"/>
      <w:r w:rsidRPr="00811599">
        <w:t>rhinorrhea</w:t>
      </w:r>
      <w:proofErr w:type="spellEnd"/>
      <w:r w:rsidRPr="00811599">
        <w:t xml:space="preserve"> (18.8%), upper respiratory tract infection (18.8%), juvenile arthritis (15.6%), otitis media (15.6%), and vomiting (15.6%, N=5); all other TEAEs were reported by &lt; </w:t>
      </w:r>
      <w:r w:rsidR="00F4722A">
        <w:t>15% of subjects (&lt; 5 subjects);</w:t>
      </w:r>
    </w:p>
    <w:p w:rsidR="00EC228C" w:rsidRPr="00811599" w:rsidRDefault="00EC228C" w:rsidP="00F4722A">
      <w:pPr>
        <w:pStyle w:val="ListBullet"/>
      </w:pPr>
      <w:r w:rsidRPr="00811599">
        <w:t xml:space="preserve">5 subjects (15.3%) with 11 TEAEs reported to be possibly related to treatment (pyrexia, </w:t>
      </w:r>
      <w:r w:rsidRPr="00811599">
        <w:tab/>
        <w:t xml:space="preserve">bronchitis, ear </w:t>
      </w:r>
      <w:r w:rsidRPr="00F4722A">
        <w:t>infection</w:t>
      </w:r>
      <w:r w:rsidRPr="00811599">
        <w:t xml:space="preserve">, laryngitis, otitis media, pharyngitis, pharyngitis streptococcal, pneumonia, viral pharyngitis, upper respiratory tract congestion, and rash); 6 subjects (18.8%) </w:t>
      </w:r>
      <w:r w:rsidRPr="00811599">
        <w:tab/>
        <w:t xml:space="preserve">with 7 TEAEs reported to be probably related to treatment (injection site reaction, injection site pain, injection site </w:t>
      </w:r>
      <w:proofErr w:type="spellStart"/>
      <w:r w:rsidRPr="00811599">
        <w:t>pruritis</w:t>
      </w:r>
      <w:proofErr w:type="spellEnd"/>
      <w:r w:rsidRPr="00811599">
        <w:t>, injection site rash, injection site swelling, cystitis, and juvenile arthritis);</w:t>
      </w:r>
    </w:p>
    <w:p w:rsidR="00EC228C" w:rsidRPr="00811599" w:rsidRDefault="00EC228C" w:rsidP="00F4722A">
      <w:pPr>
        <w:pStyle w:val="ListBullet"/>
      </w:pPr>
      <w:r w:rsidRPr="00811599">
        <w:t xml:space="preserve">5 subjects (15.6%) reported 5 SAEs (dental caries, gastroenteritis rotavirus, juvenile arthritis, type 1 diabetes mellitus, and varicella); 1 of the 5 SAEs (type 1 diabetes mellitus) was considered to be </w:t>
      </w:r>
      <w:r w:rsidRPr="00F4722A">
        <w:t>probably</w:t>
      </w:r>
      <w:r w:rsidRPr="00811599">
        <w:t xml:space="preserve"> not related to treatment with adalimumab while the remaining 4 of the 5 SAEs were considered not related to treatment with adalimumab; 2 subjects (6.3%) experienced TEAEs (both non-serious flare of juvenile arthritis) resulting in discontinuation of </w:t>
      </w:r>
      <w:proofErr w:type="spellStart"/>
      <w:r w:rsidRPr="00811599">
        <w:t>adalimumab</w:t>
      </w:r>
      <w:proofErr w:type="spellEnd"/>
      <w:r w:rsidRPr="00811599">
        <w:t xml:space="preserve"> treatment</w:t>
      </w:r>
      <w:r w:rsidR="00F4722A">
        <w:t>;</w:t>
      </w:r>
    </w:p>
    <w:p w:rsidR="00EC228C" w:rsidRPr="00811599" w:rsidRDefault="00EC228C" w:rsidP="00F4722A">
      <w:pPr>
        <w:pStyle w:val="ListBullet"/>
      </w:pPr>
      <w:r w:rsidRPr="00811599">
        <w:t xml:space="preserve">25 subjects (78.1%) reported 93 TEAEs of infection (206.2 events/100 PYs); infections reported in </w:t>
      </w:r>
      <w:r w:rsidR="00974CDD">
        <w:rPr>
          <w:lang w:val="en-US"/>
        </w:rPr>
        <w:t>≥</w:t>
      </w:r>
      <w:r w:rsidR="00237330">
        <w:rPr>
          <w:lang w:val="en-US"/>
        </w:rPr>
        <w:t xml:space="preserve"> </w:t>
      </w:r>
      <w:r w:rsidRPr="00811599">
        <w:t xml:space="preserve">10% of subjects were nasopharyngitis (25.0%), </w:t>
      </w:r>
      <w:r w:rsidRPr="00F4722A">
        <w:t>bronchitis</w:t>
      </w:r>
      <w:r w:rsidRPr="00811599">
        <w:t xml:space="preserve"> (18.8%), upper</w:t>
      </w:r>
      <w:r w:rsidR="004F5BA4">
        <w:t xml:space="preserve"> </w:t>
      </w:r>
      <w:r w:rsidRPr="00811599">
        <w:t>respiratory tract infection (18.8%), otitis media (15.6%), gastroenteritis (12.5%) and rhinitis (12.5%); the majority of infections were reported by the investigator to be mild or moderate in severity and not related or probably not related to treatment with adalimumab; 3 subjects (9.3%) had serious infections considered by the investigator to be mild to moderate in severity</w:t>
      </w:r>
      <w:r w:rsidR="004F5BA4">
        <w:t xml:space="preserve"> </w:t>
      </w:r>
      <w:r w:rsidRPr="00811599">
        <w:t>and not related to adalimumab (1 report each of dental caries, gastroenter</w:t>
      </w:r>
      <w:r w:rsidR="00F4722A">
        <w:t>itis rotavirus, and varicella);</w:t>
      </w:r>
    </w:p>
    <w:p w:rsidR="00EC228C" w:rsidRPr="00811599" w:rsidRDefault="00EC228C" w:rsidP="00F4722A">
      <w:pPr>
        <w:pStyle w:val="ListBullet"/>
      </w:pPr>
      <w:r w:rsidRPr="00811599">
        <w:t xml:space="preserve">9 subjects (28.1%) </w:t>
      </w:r>
      <w:r w:rsidRPr="004F5BA4">
        <w:t xml:space="preserve">reported 11 </w:t>
      </w:r>
      <w:r w:rsidR="004F5BA4" w:rsidRPr="004F5BA4">
        <w:t xml:space="preserve">Adverse Event of </w:t>
      </w:r>
      <w:r w:rsidR="004F5BA4" w:rsidRPr="00F4722A">
        <w:t>Special</w:t>
      </w:r>
      <w:r w:rsidR="004F5BA4" w:rsidRPr="004F5BA4">
        <w:t xml:space="preserve"> Interest (</w:t>
      </w:r>
      <w:r w:rsidRPr="004F5BA4">
        <w:t>AESI</w:t>
      </w:r>
      <w:r w:rsidR="004F5BA4" w:rsidRPr="004F5BA4">
        <w:t>)</w:t>
      </w:r>
      <w:r w:rsidRPr="004F5BA4">
        <w:t xml:space="preserve"> (6 injection site reactions, 2 allergic reactions, 2 haematological disorders, 1 oral candidiasis</w:t>
      </w:r>
      <w:r w:rsidRPr="00811599">
        <w:t>); there were no other reports of AESI in</w:t>
      </w:r>
      <w:r w:rsidR="00F4722A">
        <w:t>cluding anaphylaxis/angioedema;</w:t>
      </w:r>
    </w:p>
    <w:p w:rsidR="00EC228C" w:rsidRPr="00811599" w:rsidRDefault="00EC228C" w:rsidP="00F4722A">
      <w:pPr>
        <w:pStyle w:val="ListBullet"/>
      </w:pPr>
      <w:proofErr w:type="gramStart"/>
      <w:r w:rsidRPr="00811599">
        <w:t>no</w:t>
      </w:r>
      <w:proofErr w:type="gramEnd"/>
      <w:r w:rsidRPr="00811599">
        <w:t xml:space="preserve"> clinically meaningful changes in </w:t>
      </w:r>
      <w:r w:rsidRPr="00F4722A">
        <w:t>laboratory</w:t>
      </w:r>
      <w:r w:rsidRPr="00811599">
        <w:t xml:space="preserve"> parameters (haematological, clinical chemistry) or vital signs (temperatur</w:t>
      </w:r>
      <w:r w:rsidR="00F4722A">
        <w:t>e, pulse rate).</w:t>
      </w:r>
    </w:p>
    <w:p w:rsidR="00EC228C" w:rsidRDefault="00EC228C" w:rsidP="00F4722A">
      <w:pPr>
        <w:pStyle w:val="Heading4"/>
        <w:rPr>
          <w:szCs w:val="24"/>
        </w:rPr>
      </w:pPr>
      <w:bookmarkStart w:id="87" w:name="_Toc283278976"/>
      <w:r>
        <w:lastRenderedPageBreak/>
        <w:t xml:space="preserve">First round assessment of benefit-risk </w:t>
      </w:r>
      <w:r w:rsidRPr="00F4722A">
        <w:t>balance</w:t>
      </w:r>
      <w:bookmarkEnd w:id="87"/>
    </w:p>
    <w:p w:rsidR="00EC228C" w:rsidRDefault="00EC228C" w:rsidP="00F4722A">
      <w:r>
        <w:t xml:space="preserve">The benefit-risk balance of </w:t>
      </w:r>
      <w:proofErr w:type="spellStart"/>
      <w:r>
        <w:t>Humira</w:t>
      </w:r>
      <w:proofErr w:type="spellEnd"/>
      <w:r>
        <w:t xml:space="preserve"> (</w:t>
      </w:r>
      <w:proofErr w:type="spellStart"/>
      <w:r>
        <w:t>adalimumab</w:t>
      </w:r>
      <w:proofErr w:type="spellEnd"/>
      <w:r>
        <w:t>) in the proposed patient population for th</w:t>
      </w:r>
      <w:r w:rsidR="00F4722A">
        <w:t>e proposed usage is favourable.</w:t>
      </w:r>
    </w:p>
    <w:p w:rsidR="00605AD4" w:rsidRPr="004F5BA4" w:rsidRDefault="00605AD4" w:rsidP="00F4722A">
      <w:pPr>
        <w:pStyle w:val="Heading3"/>
        <w:rPr>
          <w:rFonts w:eastAsia="Cambria"/>
        </w:rPr>
      </w:pPr>
      <w:bookmarkStart w:id="88" w:name="_Toc438564007"/>
      <w:r w:rsidRPr="00605AD4">
        <w:rPr>
          <w:rFonts w:eastAsia="Cambria"/>
        </w:rPr>
        <w:t xml:space="preserve">First </w:t>
      </w:r>
      <w:r w:rsidR="00F4722A">
        <w:rPr>
          <w:rFonts w:eastAsia="Cambria"/>
        </w:rPr>
        <w:t>r</w:t>
      </w:r>
      <w:r w:rsidRPr="00605AD4">
        <w:rPr>
          <w:rFonts w:eastAsia="Cambria"/>
        </w:rPr>
        <w:t xml:space="preserve">ound </w:t>
      </w:r>
      <w:r w:rsidR="00F4722A">
        <w:rPr>
          <w:rFonts w:eastAsia="Cambria"/>
        </w:rPr>
        <w:t>r</w:t>
      </w:r>
      <w:r w:rsidRPr="00605AD4">
        <w:rPr>
          <w:rFonts w:eastAsia="Cambria"/>
        </w:rPr>
        <w:t xml:space="preserve">ecommendation </w:t>
      </w:r>
      <w:r w:rsidR="00F4722A">
        <w:rPr>
          <w:rFonts w:eastAsia="Cambria"/>
        </w:rPr>
        <w:t>r</w:t>
      </w:r>
      <w:r w:rsidRPr="00605AD4">
        <w:rPr>
          <w:rFonts w:eastAsia="Cambria"/>
        </w:rPr>
        <w:t xml:space="preserve">egarding </w:t>
      </w:r>
      <w:r w:rsidR="00F4722A" w:rsidRPr="00F4722A">
        <w:rPr>
          <w:rFonts w:eastAsia="Cambria"/>
        </w:rPr>
        <w:t>a</w:t>
      </w:r>
      <w:r w:rsidRPr="00F4722A">
        <w:rPr>
          <w:rFonts w:eastAsia="Cambria"/>
        </w:rPr>
        <w:t>uthorisation</w:t>
      </w:r>
      <w:bookmarkEnd w:id="88"/>
    </w:p>
    <w:p w:rsidR="00F4722A" w:rsidRDefault="00EC228C" w:rsidP="00F4722A">
      <w:pPr>
        <w:pStyle w:val="Numberbullet2"/>
        <w:ind w:left="426"/>
        <w:rPr>
          <w:lang w:val="en-US"/>
        </w:rPr>
      </w:pPr>
      <w:r>
        <w:t xml:space="preserve">It is recommended that </w:t>
      </w:r>
      <w:proofErr w:type="spellStart"/>
      <w:r>
        <w:t>Humira</w:t>
      </w:r>
      <w:proofErr w:type="spellEnd"/>
      <w:r>
        <w:t xml:space="preserve"> (</w:t>
      </w:r>
      <w:proofErr w:type="spellStart"/>
      <w:r>
        <w:t>adalimumab</w:t>
      </w:r>
      <w:proofErr w:type="spellEnd"/>
      <w:r>
        <w:t xml:space="preserve">) in combination with MTX be approved for </w:t>
      </w:r>
      <w:r>
        <w:rPr>
          <w:lang w:val="en-US"/>
        </w:rPr>
        <w:t>reducing the signs and symptoms of moderately to severely active polyarticular juvenile idiopathic arthritis in patients aged 2 to 4 years, and in patients aged 4 years and older weighing &lt; 15</w:t>
      </w:r>
      <w:r w:rsidR="004F5BA4">
        <w:rPr>
          <w:lang w:val="en-US"/>
        </w:rPr>
        <w:t xml:space="preserve"> </w:t>
      </w:r>
      <w:r>
        <w:rPr>
          <w:lang w:val="en-US"/>
        </w:rPr>
        <w:t>kg. Consequently, as proposed by the sponsor, it is recommended that the approved indicati</w:t>
      </w:r>
      <w:r w:rsidR="00F4722A">
        <w:rPr>
          <w:lang w:val="en-US"/>
        </w:rPr>
        <w:t xml:space="preserve">on for </w:t>
      </w:r>
      <w:proofErr w:type="spellStart"/>
      <w:r w:rsidR="00F4722A">
        <w:rPr>
          <w:lang w:val="en-US"/>
        </w:rPr>
        <w:t>pJIA</w:t>
      </w:r>
      <w:proofErr w:type="spellEnd"/>
      <w:r w:rsidR="00F4722A">
        <w:rPr>
          <w:lang w:val="en-US"/>
        </w:rPr>
        <w:t xml:space="preserve"> be amended to read:</w:t>
      </w:r>
    </w:p>
    <w:p w:rsidR="00F4722A" w:rsidRDefault="00EC228C" w:rsidP="00F4722A">
      <w:pPr>
        <w:pStyle w:val="Numberbullet2"/>
        <w:numPr>
          <w:ilvl w:val="0"/>
          <w:numId w:val="0"/>
        </w:numPr>
        <w:ind w:left="426"/>
        <w:rPr>
          <w:lang w:val="en-US"/>
        </w:rPr>
      </w:pPr>
      <w:proofErr w:type="spellStart"/>
      <w:r w:rsidRPr="00F4722A">
        <w:rPr>
          <w:i/>
        </w:rPr>
        <w:t>Humira</w:t>
      </w:r>
      <w:proofErr w:type="spellEnd"/>
      <w:r w:rsidRPr="00F4722A">
        <w:rPr>
          <w:i/>
        </w:rPr>
        <w:t xml:space="preserve"> in combination with methotrexate is indicated for reducing the signs and symptoms of moderately to severely active polyarticular juvenile idiopathic arthritis in patients aged 2</w:t>
      </w:r>
      <w:r w:rsidR="00F071E1" w:rsidRPr="00F4722A">
        <w:rPr>
          <w:i/>
        </w:rPr>
        <w:t xml:space="preserve"> </w:t>
      </w:r>
      <w:r w:rsidRPr="00F4722A">
        <w:rPr>
          <w:i/>
        </w:rPr>
        <w:t xml:space="preserve">years of age and older. </w:t>
      </w:r>
      <w:proofErr w:type="spellStart"/>
      <w:r w:rsidRPr="00F4722A">
        <w:rPr>
          <w:i/>
        </w:rPr>
        <w:t>Humira</w:t>
      </w:r>
      <w:proofErr w:type="spellEnd"/>
      <w:r w:rsidRPr="00F4722A">
        <w:rPr>
          <w:i/>
        </w:rPr>
        <w:t xml:space="preserve"> can be given as monotherapy in case of intolerance to methotrexate</w:t>
      </w:r>
      <w:r w:rsidR="00F071E1" w:rsidRPr="00F4722A">
        <w:rPr>
          <w:i/>
        </w:rPr>
        <w:t xml:space="preserve"> </w:t>
      </w:r>
      <w:r w:rsidRPr="00F4722A">
        <w:rPr>
          <w:i/>
        </w:rPr>
        <w:t>or when continued treatment with methotrexate is inappropriate.</w:t>
      </w:r>
    </w:p>
    <w:p w:rsidR="00EC228C" w:rsidRDefault="00EC228C" w:rsidP="00F4722A">
      <w:pPr>
        <w:pStyle w:val="Numberbullet2"/>
        <w:ind w:left="426"/>
        <w:rPr>
          <w:lang w:val="en-US"/>
        </w:rPr>
      </w:pPr>
      <w:r>
        <w:rPr>
          <w:lang w:val="en-US"/>
        </w:rPr>
        <w:t xml:space="preserve">It is recommended that </w:t>
      </w:r>
      <w:proofErr w:type="spellStart"/>
      <w:r>
        <w:rPr>
          <w:lang w:val="en-US"/>
        </w:rPr>
        <w:t>Humira</w:t>
      </w:r>
      <w:proofErr w:type="spellEnd"/>
      <w:r>
        <w:rPr>
          <w:lang w:val="en-US"/>
        </w:rPr>
        <w:t xml:space="preserve"> (</w:t>
      </w:r>
      <w:proofErr w:type="spellStart"/>
      <w:r>
        <w:rPr>
          <w:lang w:val="en-US"/>
        </w:rPr>
        <w:t>adalimumab</w:t>
      </w:r>
      <w:proofErr w:type="spellEnd"/>
      <w:r>
        <w:rPr>
          <w:lang w:val="en-US"/>
        </w:rPr>
        <w:t>) be administered subcutaneously based on weight as proposed by the sponsor.</w:t>
      </w:r>
    </w:p>
    <w:p w:rsidR="00605AD4" w:rsidRPr="00605AD4" w:rsidRDefault="00605AD4" w:rsidP="00F4722A">
      <w:pPr>
        <w:pStyle w:val="Heading3"/>
        <w:rPr>
          <w:rFonts w:eastAsia="Cambria"/>
        </w:rPr>
      </w:pPr>
      <w:bookmarkStart w:id="89" w:name="_Toc438564008"/>
      <w:r w:rsidRPr="00605AD4">
        <w:rPr>
          <w:rFonts w:eastAsia="Cambria"/>
        </w:rPr>
        <w:t xml:space="preserve">Clinical </w:t>
      </w:r>
      <w:r w:rsidR="00F4722A" w:rsidRPr="00F4722A">
        <w:rPr>
          <w:rFonts w:eastAsia="Cambria"/>
        </w:rPr>
        <w:t>q</w:t>
      </w:r>
      <w:r w:rsidRPr="00F4722A">
        <w:rPr>
          <w:rFonts w:eastAsia="Cambria"/>
        </w:rPr>
        <w:t>uestions</w:t>
      </w:r>
      <w:bookmarkEnd w:id="89"/>
    </w:p>
    <w:p w:rsidR="00EC228C" w:rsidRPr="00F4722A" w:rsidRDefault="00EC228C" w:rsidP="00F4722A">
      <w:pPr>
        <w:pStyle w:val="Heading4"/>
      </w:pPr>
      <w:bookmarkStart w:id="90" w:name="_Toc283278983"/>
      <w:r>
        <w:t>Efficacy</w:t>
      </w:r>
      <w:bookmarkEnd w:id="90"/>
    </w:p>
    <w:p w:rsidR="00EC228C" w:rsidRPr="00F4722A" w:rsidRDefault="00EC228C" w:rsidP="00F4722A">
      <w:pPr>
        <w:pStyle w:val="Numberbullet0"/>
        <w:numPr>
          <w:ilvl w:val="0"/>
          <w:numId w:val="24"/>
        </w:numPr>
        <w:rPr>
          <w:lang w:val="en-US"/>
        </w:rPr>
      </w:pPr>
      <w:r w:rsidRPr="00F4722A">
        <w:rPr>
          <w:lang w:val="en-US"/>
        </w:rPr>
        <w:t xml:space="preserve">Serum </w:t>
      </w:r>
      <w:proofErr w:type="spellStart"/>
      <w:r w:rsidRPr="00F4722A">
        <w:rPr>
          <w:lang w:val="en-US"/>
        </w:rPr>
        <w:t>adalimumab</w:t>
      </w:r>
      <w:proofErr w:type="spellEnd"/>
      <w:r w:rsidRPr="00F4722A">
        <w:rPr>
          <w:lang w:val="en-US"/>
        </w:rPr>
        <w:t xml:space="preserve"> steady-state trough concentrations in subjects treated with adalimumab without MTX were lower in </w:t>
      </w:r>
      <w:r w:rsidR="00EF55F9" w:rsidRPr="00F4722A">
        <w:rPr>
          <w:lang w:val="en-US"/>
        </w:rPr>
        <w:t>Study M</w:t>
      </w:r>
      <w:r w:rsidRPr="00F4722A">
        <w:rPr>
          <w:lang w:val="en-US"/>
        </w:rPr>
        <w:t xml:space="preserve">10-444 (proposed </w:t>
      </w:r>
      <w:proofErr w:type="spellStart"/>
      <w:r w:rsidRPr="00F4722A">
        <w:rPr>
          <w:lang w:val="en-US"/>
        </w:rPr>
        <w:t>paediatric</w:t>
      </w:r>
      <w:proofErr w:type="spellEnd"/>
      <w:r w:rsidRPr="00F4722A">
        <w:rPr>
          <w:lang w:val="en-US"/>
        </w:rPr>
        <w:t xml:space="preserve"> population/Week 24) compared to </w:t>
      </w:r>
      <w:r w:rsidR="00F00F6F" w:rsidRPr="00F4722A">
        <w:rPr>
          <w:lang w:val="en-US"/>
        </w:rPr>
        <w:t>Study D</w:t>
      </w:r>
      <w:r w:rsidRPr="00F4722A">
        <w:rPr>
          <w:lang w:val="en-US"/>
        </w:rPr>
        <w:t xml:space="preserve">E038 (approved </w:t>
      </w:r>
      <w:proofErr w:type="spellStart"/>
      <w:r w:rsidRPr="00F4722A">
        <w:rPr>
          <w:lang w:val="en-US"/>
        </w:rPr>
        <w:t>paediatric</w:t>
      </w:r>
      <w:proofErr w:type="spellEnd"/>
      <w:r w:rsidRPr="00F4722A">
        <w:rPr>
          <w:lang w:val="en-US"/>
        </w:rPr>
        <w:t xml:space="preserve"> population/Week 16). The PK results suggest that adalimumab administered without MTX in the proposed </w:t>
      </w:r>
      <w:proofErr w:type="spellStart"/>
      <w:r w:rsidRPr="00F4722A">
        <w:rPr>
          <w:lang w:val="en-US"/>
        </w:rPr>
        <w:t>paediatric</w:t>
      </w:r>
      <w:proofErr w:type="spellEnd"/>
      <w:r w:rsidRPr="00F4722A">
        <w:rPr>
          <w:lang w:val="en-US"/>
        </w:rPr>
        <w:t xml:space="preserve"> patient population might be less effective than in the approved </w:t>
      </w:r>
      <w:proofErr w:type="spellStart"/>
      <w:r w:rsidRPr="00F4722A">
        <w:rPr>
          <w:lang w:val="en-US"/>
        </w:rPr>
        <w:t>paediatric</w:t>
      </w:r>
      <w:proofErr w:type="spellEnd"/>
      <w:r w:rsidRPr="00F4722A">
        <w:rPr>
          <w:lang w:val="en-US"/>
        </w:rPr>
        <w:t xml:space="preserve"> patient population.</w:t>
      </w:r>
    </w:p>
    <w:p w:rsidR="00EC228C" w:rsidRPr="00F4722A" w:rsidRDefault="00EC228C" w:rsidP="00F4722A">
      <w:pPr>
        <w:pStyle w:val="Numberbullet0"/>
        <w:numPr>
          <w:ilvl w:val="0"/>
          <w:numId w:val="24"/>
        </w:numPr>
        <w:rPr>
          <w:lang w:val="en-US"/>
        </w:rPr>
      </w:pPr>
      <w:r w:rsidRPr="00F4722A">
        <w:rPr>
          <w:lang w:val="en-US"/>
        </w:rPr>
        <w:t xml:space="preserve">Does the sponsor have any efficacy data from </w:t>
      </w:r>
      <w:r w:rsidR="00EF55F9" w:rsidRPr="00F4722A">
        <w:rPr>
          <w:lang w:val="en-US"/>
        </w:rPr>
        <w:t>Study M</w:t>
      </w:r>
      <w:r w:rsidRPr="00F4722A">
        <w:rPr>
          <w:lang w:val="en-US"/>
        </w:rPr>
        <w:t>10-444 comparing adalimumab without MTX to a</w:t>
      </w:r>
      <w:r w:rsidR="004F5BA4" w:rsidRPr="00F4722A">
        <w:rPr>
          <w:lang w:val="en-US"/>
        </w:rPr>
        <w:t xml:space="preserve">dalimumab with MTX? It is </w:t>
      </w:r>
      <w:proofErr w:type="spellStart"/>
      <w:r w:rsidR="004F5BA4" w:rsidRPr="00F4722A">
        <w:rPr>
          <w:lang w:val="en-US"/>
        </w:rPr>
        <w:t>realis</w:t>
      </w:r>
      <w:r w:rsidRPr="00F4722A">
        <w:rPr>
          <w:lang w:val="en-US"/>
        </w:rPr>
        <w:t>ed</w:t>
      </w:r>
      <w:proofErr w:type="spellEnd"/>
      <w:r w:rsidRPr="00F4722A">
        <w:rPr>
          <w:lang w:val="en-US"/>
        </w:rPr>
        <w:t xml:space="preserve"> that such data might be limited as the majority of children in the study were administered adalimumab with MTX (84.4%, N=27). If the sponsor has no such data from </w:t>
      </w:r>
      <w:r w:rsidR="00EF55F9" w:rsidRPr="00F4722A">
        <w:rPr>
          <w:lang w:val="en-US"/>
        </w:rPr>
        <w:t>Study M</w:t>
      </w:r>
      <w:r w:rsidRPr="00F4722A">
        <w:rPr>
          <w:lang w:val="en-US"/>
        </w:rPr>
        <w:t xml:space="preserve">10-444, does the sponsor have any other efficacy data on </w:t>
      </w:r>
      <w:r w:rsidRPr="00F4722A">
        <w:t>the</w:t>
      </w:r>
      <w:r w:rsidRPr="00F4722A">
        <w:rPr>
          <w:lang w:val="en-US"/>
        </w:rPr>
        <w:t xml:space="preserve"> use of adalimumab without MTX in the proposed patient popula</w:t>
      </w:r>
      <w:r w:rsidR="00F4722A">
        <w:rPr>
          <w:lang w:val="en-US"/>
        </w:rPr>
        <w:t xml:space="preserve">tion for the treatment of </w:t>
      </w:r>
      <w:proofErr w:type="spellStart"/>
      <w:r w:rsidR="00F4722A">
        <w:rPr>
          <w:lang w:val="en-US"/>
        </w:rPr>
        <w:t>pJIA</w:t>
      </w:r>
      <w:proofErr w:type="spellEnd"/>
      <w:r w:rsidR="00F4722A">
        <w:rPr>
          <w:lang w:val="en-US"/>
        </w:rPr>
        <w:t>?</w:t>
      </w:r>
    </w:p>
    <w:p w:rsidR="00EC228C" w:rsidRPr="00F4722A" w:rsidRDefault="00EC228C" w:rsidP="00F4722A">
      <w:pPr>
        <w:pStyle w:val="Numberbullet0"/>
        <w:numPr>
          <w:ilvl w:val="0"/>
          <w:numId w:val="24"/>
        </w:numPr>
        <w:rPr>
          <w:lang w:val="en-US"/>
        </w:rPr>
      </w:pPr>
      <w:r w:rsidRPr="00F4722A">
        <w:rPr>
          <w:lang w:val="en-US"/>
        </w:rPr>
        <w:t xml:space="preserve">In view of the PK data referred to above, if the sponsor has no efficacy data on the use of adalimumab without MTX in the proposed patient population for the proposed indication, then it should justify its proposal to use </w:t>
      </w:r>
      <w:proofErr w:type="spellStart"/>
      <w:r w:rsidRPr="00F4722A">
        <w:rPr>
          <w:lang w:val="en-US"/>
        </w:rPr>
        <w:t>Humira</w:t>
      </w:r>
      <w:proofErr w:type="spellEnd"/>
      <w:r w:rsidRPr="00F4722A">
        <w:rPr>
          <w:lang w:val="en-US"/>
        </w:rPr>
        <w:t xml:space="preserve"> monotherapy (</w:t>
      </w:r>
      <w:r w:rsidR="004F5BA4" w:rsidRPr="00F4722A">
        <w:rPr>
          <w:lang w:val="en-US"/>
        </w:rPr>
        <w:t>that is,</w:t>
      </w:r>
      <w:r w:rsidRPr="00F4722A">
        <w:rPr>
          <w:lang w:val="en-US"/>
        </w:rPr>
        <w:t xml:space="preserve"> without MTX) in children aged 2 to &lt; 4 years and </w:t>
      </w:r>
      <w:r w:rsidR="00974CDD" w:rsidRPr="00F4722A">
        <w:rPr>
          <w:lang w:val="en-US"/>
        </w:rPr>
        <w:t>≥</w:t>
      </w:r>
      <w:r w:rsidR="00237330" w:rsidRPr="00F4722A">
        <w:rPr>
          <w:lang w:val="en-US"/>
        </w:rPr>
        <w:t xml:space="preserve"> </w:t>
      </w:r>
      <w:r w:rsidRPr="00F4722A">
        <w:rPr>
          <w:lang w:val="en-US"/>
        </w:rPr>
        <w:t>4 years weighing &lt; 15 kg who are intolerant to MTX or when treat</w:t>
      </w:r>
      <w:r w:rsidR="00F4722A">
        <w:rPr>
          <w:lang w:val="en-US"/>
        </w:rPr>
        <w:t>ment with MTX is inappropriate.</w:t>
      </w:r>
    </w:p>
    <w:p w:rsidR="00EC228C" w:rsidRPr="00F4722A" w:rsidRDefault="00EC228C" w:rsidP="00F4722A">
      <w:pPr>
        <w:pStyle w:val="Numberbullet0"/>
        <w:numPr>
          <w:ilvl w:val="0"/>
          <w:numId w:val="24"/>
        </w:numPr>
        <w:rPr>
          <w:lang w:val="en-US"/>
        </w:rPr>
      </w:pPr>
      <w:r>
        <w:t xml:space="preserve">In </w:t>
      </w:r>
      <w:r w:rsidR="00EF55F9">
        <w:t>Study M</w:t>
      </w:r>
      <w:r>
        <w:t xml:space="preserve">10-444, </w:t>
      </w:r>
      <w:r w:rsidRPr="00F4722A">
        <w:rPr>
          <w:rFonts w:cs="‡ﬂ˙øª¶‡"/>
          <w:lang w:val="en-US"/>
        </w:rPr>
        <w:t xml:space="preserve">one of the inclusion criteria required that </w:t>
      </w:r>
      <w:r>
        <w:t>subjects in the EU must have previously failed</w:t>
      </w:r>
      <w:r w:rsidRPr="00F4722A">
        <w:rPr>
          <w:lang w:val="en-US"/>
        </w:rPr>
        <w:t xml:space="preserve">, had an insufficient response to, or been intolerant to </w:t>
      </w:r>
      <w:r w:rsidR="00974CDD" w:rsidRPr="00F4722A">
        <w:rPr>
          <w:lang w:val="en-US"/>
        </w:rPr>
        <w:t>≥</w:t>
      </w:r>
      <w:r w:rsidR="00237330" w:rsidRPr="00F4722A">
        <w:rPr>
          <w:lang w:val="en-US"/>
        </w:rPr>
        <w:t xml:space="preserve"> </w:t>
      </w:r>
      <w:r w:rsidRPr="00F4722A">
        <w:rPr>
          <w:lang w:val="en-US"/>
        </w:rPr>
        <w:t xml:space="preserve">1 DMARD. This criterion did not apply to non-EU </w:t>
      </w:r>
      <w:r w:rsidRPr="00F4722A">
        <w:t>subjects</w:t>
      </w:r>
      <w:r w:rsidRPr="00F4722A">
        <w:rPr>
          <w:lang w:val="en-US"/>
        </w:rPr>
        <w:t xml:space="preserve">. How many of the enrolled patients (N=32) had </w:t>
      </w:r>
      <w:r>
        <w:t>previously failed</w:t>
      </w:r>
      <w:r w:rsidRPr="00F4722A">
        <w:rPr>
          <w:lang w:val="en-US"/>
        </w:rPr>
        <w:t xml:space="preserve">, had an insufficient response to or </w:t>
      </w:r>
      <w:r w:rsidR="004F5BA4" w:rsidRPr="00F4722A">
        <w:rPr>
          <w:lang w:val="en-US"/>
        </w:rPr>
        <w:t xml:space="preserve">had </w:t>
      </w:r>
      <w:r w:rsidRPr="00F4722A">
        <w:rPr>
          <w:lang w:val="en-US"/>
        </w:rPr>
        <w:t xml:space="preserve">been intolerant to </w:t>
      </w:r>
      <w:r w:rsidR="00974CDD" w:rsidRPr="00F4722A">
        <w:rPr>
          <w:lang w:val="en-US"/>
        </w:rPr>
        <w:t>≥</w:t>
      </w:r>
      <w:r w:rsidR="00237330" w:rsidRPr="00F4722A">
        <w:rPr>
          <w:lang w:val="en-US"/>
        </w:rPr>
        <w:t xml:space="preserve"> </w:t>
      </w:r>
      <w:r w:rsidRPr="00F4722A">
        <w:rPr>
          <w:lang w:val="en-US"/>
        </w:rPr>
        <w:t>1 DMARD?</w:t>
      </w:r>
    </w:p>
    <w:p w:rsidR="00EC228C" w:rsidRPr="00F4722A" w:rsidRDefault="00EC228C" w:rsidP="00F4722A">
      <w:pPr>
        <w:pStyle w:val="Numberbullet0"/>
        <w:numPr>
          <w:ilvl w:val="0"/>
          <w:numId w:val="24"/>
        </w:numPr>
        <w:rPr>
          <w:lang w:val="en-US"/>
        </w:rPr>
      </w:pPr>
      <w:r w:rsidRPr="00F4722A">
        <w:rPr>
          <w:lang w:val="en-US"/>
        </w:rPr>
        <w:t xml:space="preserve">In </w:t>
      </w:r>
      <w:r w:rsidR="00EF55F9" w:rsidRPr="00F4722A">
        <w:rPr>
          <w:lang w:val="en-US"/>
        </w:rPr>
        <w:t>Study M</w:t>
      </w:r>
      <w:r w:rsidRPr="00F4722A">
        <w:rPr>
          <w:lang w:val="en-US"/>
        </w:rPr>
        <w:t xml:space="preserve">10-444, 84% (N=27) of enrolled patients were treated with MTX plus adalimumab. What was the mean ± SD, median, and range (minimum-maximum) of the administered MTX doses? What was the mean ± SD, median, and range (minimum-maximum) of the frequency of MTX dosing? </w:t>
      </w:r>
      <w:r w:rsidR="00F4722A">
        <w:rPr>
          <w:lang w:val="en-US"/>
        </w:rPr>
        <w:t>Was MTX dose fixed or flexible?</w:t>
      </w:r>
    </w:p>
    <w:p w:rsidR="00EC228C" w:rsidRPr="00F4722A" w:rsidRDefault="00EC228C" w:rsidP="00F4722A">
      <w:pPr>
        <w:pStyle w:val="Numberbullet0"/>
        <w:numPr>
          <w:ilvl w:val="0"/>
          <w:numId w:val="24"/>
        </w:numPr>
        <w:rPr>
          <w:lang w:val="en-US"/>
        </w:rPr>
      </w:pPr>
      <w:r w:rsidRPr="00F4722A">
        <w:rPr>
          <w:lang w:val="en-US"/>
        </w:rPr>
        <w:lastRenderedPageBreak/>
        <w:t xml:space="preserve">Please provide data plots for the CRP (mg/dL) versus visit (baseline and last observation) for each individual patient in </w:t>
      </w:r>
      <w:r w:rsidR="00EF55F9" w:rsidRPr="00F4722A">
        <w:rPr>
          <w:lang w:val="en-US"/>
        </w:rPr>
        <w:t>Study M</w:t>
      </w:r>
      <w:r w:rsidRPr="00F4722A">
        <w:rPr>
          <w:lang w:val="en-US"/>
        </w:rPr>
        <w:t>10-444. In addition, please tabulate the following data for each patient (CRP mg/mL [mean, SD, minimum, Q1, median, Q3, maximum] at baseline and at time of last visit, with absolute and % change in CRP from baseline and time of last visit). The data should be tabulated using the format in Table 14.2_4.3.1 of the study report but only baseline and last visit details are required for e</w:t>
      </w:r>
      <w:r w:rsidR="00F4722A">
        <w:rPr>
          <w:lang w:val="en-US"/>
        </w:rPr>
        <w:t>ach individual patient.</w:t>
      </w:r>
    </w:p>
    <w:p w:rsidR="00EC228C" w:rsidRDefault="00EC228C" w:rsidP="00F4722A">
      <w:pPr>
        <w:pStyle w:val="Heading4"/>
        <w:rPr>
          <w:kern w:val="16"/>
          <w:szCs w:val="24"/>
        </w:rPr>
      </w:pPr>
      <w:bookmarkStart w:id="91" w:name="_Toc283278984"/>
      <w:r w:rsidRPr="00F4722A">
        <w:t>Safety</w:t>
      </w:r>
      <w:bookmarkEnd w:id="91"/>
    </w:p>
    <w:p w:rsidR="00EC228C" w:rsidRDefault="00EC228C" w:rsidP="00F4722A">
      <w:pPr>
        <w:pStyle w:val="Numberbullet0"/>
      </w:pPr>
      <w:r>
        <w:t xml:space="preserve">In </w:t>
      </w:r>
      <w:r w:rsidR="00EF55F9">
        <w:t>Study M</w:t>
      </w:r>
      <w:r>
        <w:t xml:space="preserve">10-444, dosing was scheduled </w:t>
      </w:r>
      <w:proofErr w:type="spellStart"/>
      <w:r>
        <w:t>eow</w:t>
      </w:r>
      <w:proofErr w:type="spellEnd"/>
      <w:r>
        <w:t xml:space="preserve">. If a scheduled dose was missed then parents or designees were instructed to administer the missed dose as soon as it was remembered up until the day of the next scheduled dose. Two doses were not to be administered on the </w:t>
      </w:r>
      <w:r w:rsidRPr="00F4722A">
        <w:t>same</w:t>
      </w:r>
      <w:r>
        <w:t xml:space="preserve"> day. Please confirm that it was possible for dosing to occur on two consecutive days (</w:t>
      </w:r>
      <w:r w:rsidR="004F5BA4">
        <w:t>that is,</w:t>
      </w:r>
      <w:r>
        <w:t xml:space="preserve"> missed scheduled dose given on last day of 2 week period, followed the next day with dose given as scheduled on the first day of next 2 week period). Is the sponsor aware of any potential safety issues if two doses of adalimumab are administered in close proximity to each other?</w:t>
      </w:r>
    </w:p>
    <w:p w:rsidR="00EC228C" w:rsidRDefault="004F5BA4" w:rsidP="00F4722A">
      <w:pPr>
        <w:pStyle w:val="Numberbullet0"/>
        <w:rPr>
          <w:lang w:val="en-US"/>
        </w:rPr>
      </w:pPr>
      <w:r>
        <w:t>I</w:t>
      </w:r>
      <w:r w:rsidR="00EC228C">
        <w:t xml:space="preserve">n Section 5.3.6 of the </w:t>
      </w:r>
      <w:r w:rsidR="00EC228C" w:rsidRPr="00F4722A">
        <w:t>submission</w:t>
      </w:r>
      <w:r w:rsidR="00EC228C">
        <w:t xml:space="preserve"> (Reports of Post-marketing Experience), the sponsor stated </w:t>
      </w:r>
      <w:r w:rsidR="002B4974">
        <w:t>‘</w:t>
      </w:r>
      <w:r w:rsidR="00EC228C" w:rsidRPr="00F4722A">
        <w:rPr>
          <w:i/>
        </w:rPr>
        <w:t xml:space="preserve">that </w:t>
      </w:r>
      <w:r w:rsidR="00EC228C" w:rsidRPr="00F4722A">
        <w:rPr>
          <w:i/>
          <w:lang w:val="en-US"/>
        </w:rPr>
        <w:t xml:space="preserve">following approval in the European Union to expand the indication for </w:t>
      </w:r>
      <w:proofErr w:type="spellStart"/>
      <w:r w:rsidR="00EC228C" w:rsidRPr="00F4722A">
        <w:rPr>
          <w:i/>
          <w:lang w:val="en-US"/>
        </w:rPr>
        <w:t>Humira</w:t>
      </w:r>
      <w:proofErr w:type="spellEnd"/>
      <w:r w:rsidR="00EC228C" w:rsidRPr="00F4722A">
        <w:rPr>
          <w:i/>
          <w:lang w:val="en-US"/>
        </w:rPr>
        <w:t xml:space="preserve"> in the treatment of </w:t>
      </w:r>
      <w:proofErr w:type="spellStart"/>
      <w:r w:rsidR="00EC228C" w:rsidRPr="00F4722A">
        <w:rPr>
          <w:i/>
          <w:lang w:val="en-US"/>
        </w:rPr>
        <w:t>pJIA</w:t>
      </w:r>
      <w:proofErr w:type="spellEnd"/>
      <w:r w:rsidR="00EC228C" w:rsidRPr="00F4722A">
        <w:rPr>
          <w:i/>
          <w:lang w:val="en-US"/>
        </w:rPr>
        <w:t xml:space="preserve"> to include patients 2 to &lt; 4 years old, the protocol for the Registry was amended to allow for enrollment of patients in this age group. However, no such patients were recruited into the registry before enrollment was completed</w:t>
      </w:r>
      <w:r w:rsidR="002B4974">
        <w:rPr>
          <w:lang w:val="en-US"/>
        </w:rPr>
        <w:t>’</w:t>
      </w:r>
      <w:r w:rsidR="00EC228C">
        <w:rPr>
          <w:lang w:val="en-US"/>
        </w:rPr>
        <w:t>. This comment appears to be inconsistent with data provided for the 4</w:t>
      </w:r>
      <w:r>
        <w:rPr>
          <w:lang w:val="en-US"/>
        </w:rPr>
        <w:t xml:space="preserve"> </w:t>
      </w:r>
      <w:r w:rsidR="00EC228C">
        <w:rPr>
          <w:lang w:val="en-US"/>
        </w:rPr>
        <w:t xml:space="preserve">year interim report of the </w:t>
      </w:r>
      <w:proofErr w:type="spellStart"/>
      <w:r w:rsidR="00EC228C">
        <w:rPr>
          <w:lang w:val="en-US"/>
        </w:rPr>
        <w:t>pJIA</w:t>
      </w:r>
      <w:proofErr w:type="spellEnd"/>
      <w:r w:rsidR="00EC228C">
        <w:rPr>
          <w:lang w:val="en-US"/>
        </w:rPr>
        <w:t xml:space="preserve"> registry program (</w:t>
      </w:r>
      <w:r>
        <w:rPr>
          <w:lang w:val="en-US"/>
        </w:rPr>
        <w:t>S</w:t>
      </w:r>
      <w:r w:rsidR="00EC228C">
        <w:rPr>
          <w:lang w:val="en-US"/>
        </w:rPr>
        <w:t>tudy P10-262), which identified 1 patient aged &lt; 4 years. Please commen</w:t>
      </w:r>
      <w:r w:rsidR="00F4722A">
        <w:rPr>
          <w:lang w:val="en-US"/>
        </w:rPr>
        <w:t>t on this apparent discrepancy.</w:t>
      </w:r>
    </w:p>
    <w:p w:rsidR="00EC228C" w:rsidRDefault="00EC228C" w:rsidP="00F4722A">
      <w:pPr>
        <w:pStyle w:val="Numberbullet0"/>
        <w:rPr>
          <w:lang w:val="en-US"/>
        </w:rPr>
      </w:pPr>
      <w:r>
        <w:rPr>
          <w:lang w:val="en-US"/>
        </w:rPr>
        <w:t>Two (2) patients were identified in the data provided for the 4</w:t>
      </w:r>
      <w:r w:rsidR="004F5BA4">
        <w:rPr>
          <w:lang w:val="en-US"/>
        </w:rPr>
        <w:t xml:space="preserve"> </w:t>
      </w:r>
      <w:r>
        <w:rPr>
          <w:lang w:val="en-US"/>
        </w:rPr>
        <w:t xml:space="preserve">year interim report of the </w:t>
      </w:r>
      <w:proofErr w:type="spellStart"/>
      <w:r>
        <w:rPr>
          <w:lang w:val="en-US"/>
        </w:rPr>
        <w:t>pJIA</w:t>
      </w:r>
      <w:proofErr w:type="spellEnd"/>
      <w:r>
        <w:rPr>
          <w:lang w:val="en-US"/>
        </w:rPr>
        <w:t xml:space="preserve"> registry program (</w:t>
      </w:r>
      <w:r w:rsidR="004F5BA4">
        <w:rPr>
          <w:lang w:val="en-US"/>
        </w:rPr>
        <w:t>S</w:t>
      </w:r>
      <w:r>
        <w:rPr>
          <w:lang w:val="en-US"/>
        </w:rPr>
        <w:t xml:space="preserve">tudy P10-262) aged &lt; 4 years (1 </w:t>
      </w:r>
      <w:r w:rsidRPr="00F4722A">
        <w:t>patient</w:t>
      </w:r>
      <w:r>
        <w:rPr>
          <w:lang w:val="en-US"/>
        </w:rPr>
        <w:t>) and &lt; 15 kg (1 patient). Are these two patients the same patient or are they two separate patients?</w:t>
      </w:r>
    </w:p>
    <w:p w:rsidR="00EC228C" w:rsidRPr="004F5BA4" w:rsidRDefault="00EC228C" w:rsidP="00F4722A">
      <w:pPr>
        <w:pStyle w:val="Numberbullet0"/>
      </w:pPr>
      <w:r w:rsidRPr="004F5BA4">
        <w:t xml:space="preserve">Please summarize the data presented in Tables 27, 28 and 34 of </w:t>
      </w:r>
      <w:r w:rsidR="004F5BA4" w:rsidRPr="004F5BA4">
        <w:t>S</w:t>
      </w:r>
      <w:r w:rsidRPr="004F5BA4">
        <w:t>tudy M10-044 by age group (</w:t>
      </w:r>
      <w:r w:rsidR="004F5BA4" w:rsidRPr="004F5BA4">
        <w:t>that is,</w:t>
      </w:r>
      <w:r w:rsidRPr="004F5BA4">
        <w:t xml:space="preserve"> 2 to 4 years, </w:t>
      </w:r>
      <w:r w:rsidR="00974CDD">
        <w:rPr>
          <w:lang w:val="en-US"/>
        </w:rPr>
        <w:t>≥</w:t>
      </w:r>
      <w:r w:rsidR="00237330">
        <w:rPr>
          <w:lang w:val="en-US"/>
        </w:rPr>
        <w:t xml:space="preserve"> </w:t>
      </w:r>
      <w:r w:rsidRPr="004F5BA4">
        <w:t xml:space="preserve">4 years). The new summary tables for the two age groups should include the same data as that provided </w:t>
      </w:r>
      <w:r w:rsidRPr="00F4722A">
        <w:t>for</w:t>
      </w:r>
      <w:r w:rsidRPr="004F5BA4">
        <w:t xml:space="preserve"> the total popul</w:t>
      </w:r>
      <w:r w:rsidR="00F4722A">
        <w:t>ation in the identified tables.</w:t>
      </w:r>
    </w:p>
    <w:p w:rsidR="00605AD4" w:rsidRPr="00605AD4" w:rsidRDefault="00605AD4" w:rsidP="00605AD4">
      <w:pPr>
        <w:pStyle w:val="Heading3"/>
        <w:rPr>
          <w:rFonts w:eastAsia="Cambria"/>
        </w:rPr>
      </w:pPr>
      <w:bookmarkStart w:id="92" w:name="_Toc438564009"/>
      <w:r w:rsidRPr="00605AD4">
        <w:rPr>
          <w:rFonts w:eastAsia="Cambria"/>
        </w:rPr>
        <w:t xml:space="preserve">Second </w:t>
      </w:r>
      <w:r w:rsidR="00F4722A">
        <w:rPr>
          <w:rFonts w:eastAsia="Cambria"/>
        </w:rPr>
        <w:t>r</w:t>
      </w:r>
      <w:r w:rsidRPr="00605AD4">
        <w:rPr>
          <w:rFonts w:eastAsia="Cambria"/>
        </w:rPr>
        <w:t xml:space="preserve">ound </w:t>
      </w:r>
      <w:r w:rsidR="00F4722A">
        <w:rPr>
          <w:rFonts w:eastAsia="Cambria"/>
        </w:rPr>
        <w:t>e</w:t>
      </w:r>
      <w:r w:rsidRPr="00605AD4">
        <w:rPr>
          <w:rFonts w:eastAsia="Cambria"/>
        </w:rPr>
        <w:t>valuation of clinical data submitted in response to questions</w:t>
      </w:r>
      <w:bookmarkEnd w:id="92"/>
    </w:p>
    <w:p w:rsidR="00605AD4" w:rsidRPr="00605AD4" w:rsidRDefault="004F5BA4" w:rsidP="00F4722A">
      <w:r>
        <w:t xml:space="preserve">The details of the sponsor’s responses to the clinical questions </w:t>
      </w:r>
      <w:r w:rsidR="00F42EBF">
        <w:t xml:space="preserve">(above) </w:t>
      </w:r>
      <w:r>
        <w:t>and the evaluator’s assessment of these responses are detailed in Attachment 2.</w:t>
      </w:r>
    </w:p>
    <w:p w:rsidR="00605AD4" w:rsidRPr="00605AD4" w:rsidRDefault="00605AD4" w:rsidP="00F4722A">
      <w:pPr>
        <w:pStyle w:val="Heading3"/>
        <w:rPr>
          <w:rFonts w:eastAsia="Cambria"/>
        </w:rPr>
      </w:pPr>
      <w:bookmarkStart w:id="93" w:name="_Toc438564010"/>
      <w:r w:rsidRPr="00605AD4">
        <w:rPr>
          <w:rFonts w:eastAsia="Cambria"/>
        </w:rPr>
        <w:t xml:space="preserve">Second </w:t>
      </w:r>
      <w:r w:rsidR="00F4722A">
        <w:rPr>
          <w:rFonts w:eastAsia="Cambria"/>
        </w:rPr>
        <w:t>r</w:t>
      </w:r>
      <w:r w:rsidRPr="00605AD4">
        <w:rPr>
          <w:rFonts w:eastAsia="Cambria"/>
        </w:rPr>
        <w:t xml:space="preserve">ound </w:t>
      </w:r>
      <w:r w:rsidR="00F4722A">
        <w:rPr>
          <w:rFonts w:eastAsia="Cambria"/>
        </w:rPr>
        <w:t>b</w:t>
      </w:r>
      <w:r w:rsidRPr="00605AD4">
        <w:rPr>
          <w:rFonts w:eastAsia="Cambria"/>
        </w:rPr>
        <w:t>enefit-</w:t>
      </w:r>
      <w:r w:rsidR="00F4722A">
        <w:rPr>
          <w:rFonts w:eastAsia="Cambria"/>
        </w:rPr>
        <w:t>r</w:t>
      </w:r>
      <w:r w:rsidRPr="00605AD4">
        <w:rPr>
          <w:rFonts w:eastAsia="Cambria"/>
        </w:rPr>
        <w:t xml:space="preserve">isk </w:t>
      </w:r>
      <w:r w:rsidR="00F4722A" w:rsidRPr="00F4722A">
        <w:rPr>
          <w:rFonts w:eastAsia="Cambria"/>
        </w:rPr>
        <w:t>a</w:t>
      </w:r>
      <w:r w:rsidRPr="00F4722A">
        <w:rPr>
          <w:rFonts w:eastAsia="Cambria"/>
        </w:rPr>
        <w:t>ssessment</w:t>
      </w:r>
      <w:bookmarkEnd w:id="93"/>
    </w:p>
    <w:p w:rsidR="00EC228C" w:rsidRDefault="00EC228C" w:rsidP="00F4722A">
      <w:pPr>
        <w:pStyle w:val="Heading4"/>
      </w:pPr>
      <w:bookmarkStart w:id="94" w:name="_Toc283279003"/>
      <w:r>
        <w:t xml:space="preserve">Second round </w:t>
      </w:r>
      <w:r w:rsidRPr="00F4722A">
        <w:t>assessment</w:t>
      </w:r>
      <w:r>
        <w:t xml:space="preserve"> of benefits</w:t>
      </w:r>
      <w:bookmarkEnd w:id="94"/>
    </w:p>
    <w:p w:rsidR="00EC228C" w:rsidRDefault="00EC228C" w:rsidP="00F4722A">
      <w:r>
        <w:t xml:space="preserve">After consideration of the responses to clinical questions, the benefits of adalimumab in the proposed usage are unchanged from those identified in </w:t>
      </w:r>
      <w:r w:rsidR="004F5BA4">
        <w:t>the First round evaluation</w:t>
      </w:r>
      <w:r w:rsidR="00F4722A">
        <w:t>.</w:t>
      </w:r>
    </w:p>
    <w:p w:rsidR="00EC228C" w:rsidRDefault="00EC228C" w:rsidP="00F4722A">
      <w:pPr>
        <w:pStyle w:val="Heading4"/>
      </w:pPr>
      <w:bookmarkStart w:id="95" w:name="_Toc283279004"/>
      <w:r w:rsidRPr="00F4722A">
        <w:t>Second</w:t>
      </w:r>
      <w:r>
        <w:t xml:space="preserve"> round assessment of risks</w:t>
      </w:r>
      <w:bookmarkEnd w:id="95"/>
    </w:p>
    <w:p w:rsidR="00EC228C" w:rsidRDefault="00EC228C" w:rsidP="00F4722A">
      <w:r>
        <w:t xml:space="preserve">After consideration of the responses to clinical questions, the risks of adalimumab in the proposed usage are unchanged from those identified </w:t>
      </w:r>
      <w:r w:rsidR="004F5BA4">
        <w:t>in the First round evaluation</w:t>
      </w:r>
      <w:r w:rsidR="00F4722A">
        <w:t>.</w:t>
      </w:r>
    </w:p>
    <w:p w:rsidR="00EC228C" w:rsidRDefault="00EC228C" w:rsidP="00F4722A">
      <w:pPr>
        <w:pStyle w:val="Heading4"/>
      </w:pPr>
      <w:bookmarkStart w:id="96" w:name="_Toc283279005"/>
      <w:r>
        <w:lastRenderedPageBreak/>
        <w:t xml:space="preserve">Second round </w:t>
      </w:r>
      <w:r w:rsidRPr="00F4722A">
        <w:t>assessment</w:t>
      </w:r>
      <w:r>
        <w:t xml:space="preserve"> of benefit-risk balance</w:t>
      </w:r>
      <w:bookmarkEnd w:id="96"/>
    </w:p>
    <w:p w:rsidR="00EC228C" w:rsidRDefault="00EC228C" w:rsidP="00F4722A">
      <w:r>
        <w:t xml:space="preserve">The benefit-risk balance of adalimumab, given the proposed usage, is favourable. In particular, the benefit-risk balance of the amended dose regimen proposed by the sponsor in the </w:t>
      </w:r>
      <w:r>
        <w:rPr>
          <w:i/>
        </w:rPr>
        <w:t>Response to s31 Request (29 December 2014)</w:t>
      </w:r>
      <w:r>
        <w:t xml:space="preserve"> </w:t>
      </w:r>
      <w:r w:rsidR="00F4722A">
        <w:t>is considered to be favourable.</w:t>
      </w:r>
    </w:p>
    <w:p w:rsidR="00EC228C" w:rsidRDefault="004F5BA4" w:rsidP="00F4722A">
      <w:pPr>
        <w:pStyle w:val="Heading3"/>
      </w:pPr>
      <w:bookmarkStart w:id="97" w:name="_Toc283279006"/>
      <w:bookmarkStart w:id="98" w:name="_Toc438564011"/>
      <w:r>
        <w:t>S</w:t>
      </w:r>
      <w:r w:rsidR="00EC228C">
        <w:t xml:space="preserve">econd </w:t>
      </w:r>
      <w:r w:rsidR="00EC228C" w:rsidRPr="00F4722A">
        <w:t>round</w:t>
      </w:r>
      <w:r w:rsidR="00EC228C">
        <w:t xml:space="preserve"> recommendation regarding authorisation</w:t>
      </w:r>
      <w:bookmarkEnd w:id="97"/>
      <w:bookmarkEnd w:id="98"/>
    </w:p>
    <w:p w:rsidR="00F4722A" w:rsidRPr="00F4722A" w:rsidRDefault="00EC228C" w:rsidP="004F5BA4">
      <w:pPr>
        <w:pStyle w:val="Numberbullet2"/>
        <w:rPr>
          <w:i/>
          <w:lang w:val="en-US"/>
        </w:rPr>
      </w:pPr>
      <w:r>
        <w:t xml:space="preserve">It is recommended that </w:t>
      </w:r>
      <w:proofErr w:type="spellStart"/>
      <w:r>
        <w:t>Humira</w:t>
      </w:r>
      <w:proofErr w:type="spellEnd"/>
      <w:r>
        <w:t xml:space="preserve"> (</w:t>
      </w:r>
      <w:proofErr w:type="spellStart"/>
      <w:r>
        <w:t>adalimumab</w:t>
      </w:r>
      <w:proofErr w:type="spellEnd"/>
      <w:r>
        <w:t xml:space="preserve">) in combination with MTX be approved for </w:t>
      </w:r>
      <w:r w:rsidRPr="00F4722A">
        <w:rPr>
          <w:lang w:val="en-US"/>
        </w:rPr>
        <w:t xml:space="preserve">reducing the signs and symptoms of moderately to severely active polyarticular juvenile idiopathic arthritis in patients aged 2 to 4 years, and in patients aged 4 years and older weighing &lt; 15 kg. Consequently, as proposed by the sponsor, it is recommended that the approved indication for </w:t>
      </w:r>
      <w:proofErr w:type="spellStart"/>
      <w:r w:rsidRPr="00F4722A">
        <w:rPr>
          <w:lang w:val="en-US"/>
        </w:rPr>
        <w:t>pJIA</w:t>
      </w:r>
      <w:proofErr w:type="spellEnd"/>
      <w:r w:rsidRPr="00F4722A">
        <w:rPr>
          <w:lang w:val="en-US"/>
        </w:rPr>
        <w:t xml:space="preserve"> be amended to read:</w:t>
      </w:r>
    </w:p>
    <w:p w:rsidR="00F4722A" w:rsidRDefault="00EC228C" w:rsidP="00F4722A">
      <w:pPr>
        <w:pStyle w:val="Numberbullet2"/>
        <w:numPr>
          <w:ilvl w:val="0"/>
          <w:numId w:val="0"/>
        </w:numPr>
        <w:ind w:left="851"/>
        <w:rPr>
          <w:i/>
          <w:lang w:val="en-US"/>
        </w:rPr>
      </w:pPr>
      <w:proofErr w:type="spellStart"/>
      <w:r w:rsidRPr="00F4722A">
        <w:rPr>
          <w:i/>
          <w:lang w:val="en-US"/>
        </w:rPr>
        <w:t>Humira</w:t>
      </w:r>
      <w:proofErr w:type="spellEnd"/>
      <w:r w:rsidRPr="00F4722A">
        <w:rPr>
          <w:i/>
          <w:lang w:val="en-US"/>
        </w:rPr>
        <w:t xml:space="preserve"> in combination with methotrexate is indicated for reducing the signs and symptoms of moderately to severely active polyarticular juvenile idiopathic arthritis in patients aged 2 years of age and older. </w:t>
      </w:r>
      <w:proofErr w:type="spellStart"/>
      <w:r w:rsidRPr="00F4722A">
        <w:rPr>
          <w:i/>
          <w:lang w:val="en-US"/>
        </w:rPr>
        <w:t>Humira</w:t>
      </w:r>
      <w:proofErr w:type="spellEnd"/>
      <w:r w:rsidRPr="00F4722A">
        <w:rPr>
          <w:i/>
          <w:lang w:val="en-US"/>
        </w:rPr>
        <w:t xml:space="preserve"> can be given as monotherapy in case </w:t>
      </w:r>
      <w:r w:rsidRPr="00F4722A">
        <w:rPr>
          <w:i/>
          <w:lang w:val="en-US"/>
        </w:rPr>
        <w:tab/>
        <w:t>of intolerance to methotrexate</w:t>
      </w:r>
      <w:r w:rsidR="00F071E1" w:rsidRPr="00F4722A">
        <w:rPr>
          <w:i/>
          <w:lang w:val="en-US"/>
        </w:rPr>
        <w:t xml:space="preserve"> </w:t>
      </w:r>
      <w:r w:rsidRPr="00F4722A">
        <w:rPr>
          <w:i/>
          <w:lang w:val="en-US"/>
        </w:rPr>
        <w:t>or when continued treatment with methotrexate is inappropriate.</w:t>
      </w:r>
    </w:p>
    <w:p w:rsidR="00EC228C" w:rsidRDefault="00EC228C" w:rsidP="00F4722A">
      <w:pPr>
        <w:pStyle w:val="Numberbullet2"/>
        <w:rPr>
          <w:kern w:val="16"/>
          <w:szCs w:val="24"/>
        </w:rPr>
      </w:pPr>
      <w:r>
        <w:rPr>
          <w:lang w:val="en-US"/>
        </w:rPr>
        <w:t xml:space="preserve">It is recommended that </w:t>
      </w:r>
      <w:proofErr w:type="spellStart"/>
      <w:r>
        <w:rPr>
          <w:lang w:val="en-US"/>
        </w:rPr>
        <w:t>Humira</w:t>
      </w:r>
      <w:proofErr w:type="spellEnd"/>
      <w:r>
        <w:rPr>
          <w:lang w:val="en-US"/>
        </w:rPr>
        <w:t xml:space="preserve"> (</w:t>
      </w:r>
      <w:proofErr w:type="spellStart"/>
      <w:r>
        <w:rPr>
          <w:lang w:val="en-US"/>
        </w:rPr>
        <w:t>adalimumab</w:t>
      </w:r>
      <w:proofErr w:type="spellEnd"/>
      <w:r>
        <w:rPr>
          <w:lang w:val="en-US"/>
        </w:rPr>
        <w:t xml:space="preserve">) be administered subcutaneously based on weight as proposed by the sponsor. It is recommended that the amended dose regimen </w:t>
      </w:r>
      <w:r>
        <w:t xml:space="preserve">proposed by the sponsor in the </w:t>
      </w:r>
      <w:r>
        <w:rPr>
          <w:i/>
        </w:rPr>
        <w:t>Response to s31 Request (29 December 2014)</w:t>
      </w:r>
      <w:r>
        <w:t xml:space="preserve"> be approved. </w:t>
      </w:r>
    </w:p>
    <w:p w:rsidR="008E7846" w:rsidRPr="00E41208" w:rsidRDefault="008E7846" w:rsidP="00F4722A">
      <w:pPr>
        <w:pStyle w:val="Heading2"/>
      </w:pPr>
      <w:bookmarkStart w:id="99" w:name="_Toc438564012"/>
      <w:r w:rsidRPr="00E41208">
        <w:t xml:space="preserve">V. </w:t>
      </w:r>
      <w:r w:rsidRPr="00F4722A">
        <w:t>Pharmacovigilance</w:t>
      </w:r>
      <w:r w:rsidRPr="00E41208">
        <w:t xml:space="preserve"> </w:t>
      </w:r>
      <w:r>
        <w:t>f</w:t>
      </w:r>
      <w:r w:rsidRPr="00E41208">
        <w:t>indings</w:t>
      </w:r>
      <w:bookmarkEnd w:id="73"/>
      <w:bookmarkEnd w:id="74"/>
      <w:bookmarkEnd w:id="99"/>
    </w:p>
    <w:p w:rsidR="008E7846" w:rsidRDefault="00386150" w:rsidP="00F4722A">
      <w:pPr>
        <w:pStyle w:val="Heading3"/>
        <w:rPr>
          <w:lang w:eastAsia="en-AU"/>
        </w:rPr>
      </w:pPr>
      <w:bookmarkStart w:id="100" w:name="_Toc247691526"/>
      <w:bookmarkStart w:id="101" w:name="_Toc314842509"/>
      <w:bookmarkStart w:id="102" w:name="_Toc438564013"/>
      <w:r>
        <w:rPr>
          <w:lang w:eastAsia="en-AU"/>
        </w:rPr>
        <w:t xml:space="preserve">Risk </w:t>
      </w:r>
      <w:r w:rsidRPr="00F4722A">
        <w:t>m</w:t>
      </w:r>
      <w:r w:rsidR="008E7846" w:rsidRPr="00F4722A">
        <w:t>anagement</w:t>
      </w:r>
      <w:r w:rsidR="008E7846">
        <w:rPr>
          <w:lang w:eastAsia="en-AU"/>
        </w:rPr>
        <w:t xml:space="preserve"> </w:t>
      </w:r>
      <w:r>
        <w:rPr>
          <w:lang w:eastAsia="en-AU"/>
        </w:rPr>
        <w:t>p</w:t>
      </w:r>
      <w:r w:rsidR="008E7846">
        <w:rPr>
          <w:lang w:eastAsia="en-AU"/>
        </w:rPr>
        <w:t>lan</w:t>
      </w:r>
      <w:bookmarkEnd w:id="100"/>
      <w:bookmarkEnd w:id="101"/>
      <w:bookmarkEnd w:id="102"/>
    </w:p>
    <w:p w:rsidR="008E7846" w:rsidRDefault="008E7846" w:rsidP="00F4722A">
      <w:pPr>
        <w:rPr>
          <w:lang w:eastAsia="en-AU"/>
        </w:rPr>
      </w:pPr>
      <w:r>
        <w:rPr>
          <w:lang w:eastAsia="en-AU"/>
        </w:rPr>
        <w:t>The sponsor submitted a Risk Management Plan</w:t>
      </w:r>
      <w:r w:rsidR="006F25B8">
        <w:rPr>
          <w:lang w:eastAsia="en-AU"/>
        </w:rPr>
        <w:t xml:space="preserve"> </w:t>
      </w:r>
      <w:r w:rsidR="006F25B8" w:rsidRPr="006F25B8">
        <w:rPr>
          <w:lang w:eastAsia="en-AU"/>
        </w:rPr>
        <w:t>(</w:t>
      </w:r>
      <w:r w:rsidR="00173579">
        <w:t>EU-RMP (version 10.2 dated November 2012) + Australian-specific Annex (version 1.0, dated May 2014)</w:t>
      </w:r>
      <w:r w:rsidR="006F25B8" w:rsidRPr="006F25B8">
        <w:rPr>
          <w:lang w:eastAsia="en-AU"/>
        </w:rPr>
        <w:t>)</w:t>
      </w:r>
      <w:r w:rsidRPr="006F25B8">
        <w:t xml:space="preserve"> </w:t>
      </w:r>
      <w:r>
        <w:rPr>
          <w:lang w:eastAsia="en-AU"/>
        </w:rPr>
        <w:t xml:space="preserve">which was reviewed by the </w:t>
      </w:r>
      <w:r w:rsidR="00FC1FCA">
        <w:rPr>
          <w:lang w:eastAsia="en-AU"/>
        </w:rPr>
        <w:t>RMP evaluator.</w:t>
      </w:r>
    </w:p>
    <w:p w:rsidR="008E7846" w:rsidRDefault="003A7F6C" w:rsidP="00F4722A">
      <w:pPr>
        <w:pStyle w:val="Heading4"/>
        <w:rPr>
          <w:lang w:eastAsia="en-AU"/>
        </w:rPr>
      </w:pPr>
      <w:r>
        <w:rPr>
          <w:lang w:eastAsia="en-AU"/>
        </w:rPr>
        <w:t xml:space="preserve">Safety </w:t>
      </w:r>
      <w:r w:rsidRPr="00F4722A">
        <w:t>s</w:t>
      </w:r>
      <w:r w:rsidR="008E7846" w:rsidRPr="00F4722A">
        <w:t>pecification</w:t>
      </w:r>
    </w:p>
    <w:p w:rsidR="008E7846" w:rsidRDefault="008E7846" w:rsidP="00F4722A">
      <w:pPr>
        <w:rPr>
          <w:lang w:eastAsia="en-AU"/>
        </w:rPr>
      </w:pPr>
      <w:r>
        <w:rPr>
          <w:lang w:eastAsia="en-AU"/>
        </w:rPr>
        <w:t>The</w:t>
      </w:r>
      <w:r w:rsidR="006F25B8">
        <w:rPr>
          <w:lang w:eastAsia="en-AU"/>
        </w:rPr>
        <w:t xml:space="preserve"> sponsor provided a summary of o</w:t>
      </w:r>
      <w:r>
        <w:rPr>
          <w:lang w:eastAsia="en-AU"/>
        </w:rPr>
        <w:t xml:space="preserve">ngoing safety </w:t>
      </w:r>
      <w:r w:rsidR="006F25B8">
        <w:rPr>
          <w:lang w:eastAsia="en-AU"/>
        </w:rPr>
        <w:t>c</w:t>
      </w:r>
      <w:r>
        <w:rPr>
          <w:lang w:eastAsia="en-AU"/>
        </w:rPr>
        <w:t xml:space="preserve">oncerns which are shown at Table </w:t>
      </w:r>
      <w:r w:rsidR="00237330">
        <w:rPr>
          <w:lang w:eastAsia="en-AU"/>
        </w:rPr>
        <w:t>5</w:t>
      </w:r>
      <w:r>
        <w:rPr>
          <w:lang w:eastAsia="en-AU"/>
        </w:rPr>
        <w:t>.</w:t>
      </w:r>
    </w:p>
    <w:p w:rsidR="008F45D2" w:rsidRDefault="008F45D2" w:rsidP="00F4722A">
      <w:pPr>
        <w:pStyle w:val="TableTitle"/>
        <w:rPr>
          <w:lang w:eastAsia="en-AU"/>
        </w:rPr>
      </w:pPr>
      <w:r>
        <w:rPr>
          <w:lang w:eastAsia="en-AU"/>
        </w:rPr>
        <w:t xml:space="preserve">Table </w:t>
      </w:r>
      <w:r w:rsidR="00237330">
        <w:rPr>
          <w:lang w:eastAsia="en-AU"/>
        </w:rPr>
        <w:t>5</w:t>
      </w:r>
      <w:r>
        <w:rPr>
          <w:lang w:eastAsia="en-AU"/>
        </w:rPr>
        <w:t xml:space="preserve">: Summary of Ongoing safety </w:t>
      </w:r>
      <w:r w:rsidRPr="00F4722A">
        <w:t>concerns</w:t>
      </w:r>
    </w:p>
    <w:tbl>
      <w:tblPr>
        <w:tblStyle w:val="TableTGAblue"/>
        <w:tblW w:w="0" w:type="auto"/>
        <w:tblLook w:val="0480" w:firstRow="0" w:lastRow="0" w:firstColumn="1" w:lastColumn="0" w:noHBand="0" w:noVBand="1"/>
      </w:tblPr>
      <w:tblGrid>
        <w:gridCol w:w="2093"/>
        <w:gridCol w:w="6627"/>
      </w:tblGrid>
      <w:tr w:rsidR="00173579" w:rsidRPr="00F4722A" w:rsidTr="00F4722A">
        <w:tc>
          <w:tcPr>
            <w:tcW w:w="2093" w:type="dxa"/>
            <w:shd w:val="clear" w:color="auto" w:fill="006DA7"/>
            <w:hideMark/>
          </w:tcPr>
          <w:p w:rsidR="00173579" w:rsidRPr="00F4722A" w:rsidRDefault="00173579" w:rsidP="00F4722A">
            <w:pPr>
              <w:ind w:left="0" w:right="34"/>
              <w:rPr>
                <w:rFonts w:cs="Arial"/>
                <w:b/>
                <w:color w:val="FFFFFF" w:themeColor="background1"/>
                <w:sz w:val="20"/>
                <w:szCs w:val="20"/>
                <w:lang w:eastAsia="en-US"/>
              </w:rPr>
            </w:pPr>
            <w:r w:rsidRPr="00F4722A">
              <w:rPr>
                <w:b/>
                <w:color w:val="FFFFFF" w:themeColor="background1"/>
                <w:sz w:val="20"/>
                <w:szCs w:val="20"/>
              </w:rPr>
              <w:t>Important Identified Risks</w:t>
            </w:r>
          </w:p>
        </w:tc>
        <w:tc>
          <w:tcPr>
            <w:tcW w:w="6627" w:type="dxa"/>
            <w:hideMark/>
          </w:tcPr>
          <w:p w:rsidR="00173579" w:rsidRPr="00F4722A" w:rsidRDefault="00173579" w:rsidP="00F4722A">
            <w:pPr>
              <w:pStyle w:val="ListBullet"/>
              <w:rPr>
                <w:rFonts w:cs="Arial"/>
                <w:sz w:val="20"/>
                <w:szCs w:val="20"/>
                <w:lang w:eastAsia="en-US"/>
              </w:rPr>
            </w:pPr>
            <w:r w:rsidRPr="00F4722A">
              <w:rPr>
                <w:sz w:val="20"/>
                <w:szCs w:val="20"/>
              </w:rPr>
              <w:t xml:space="preserve">Serious infections including diverticulitis and opportunistic infections eg invasive fungal infections, parasitic infections, </w:t>
            </w:r>
            <w:proofErr w:type="spellStart"/>
            <w:r w:rsidRPr="00F4722A">
              <w:rPr>
                <w:sz w:val="20"/>
                <w:szCs w:val="20"/>
              </w:rPr>
              <w:t>legionellosis</w:t>
            </w:r>
            <w:proofErr w:type="spellEnd"/>
            <w:r w:rsidRPr="00F4722A">
              <w:rPr>
                <w:sz w:val="20"/>
                <w:szCs w:val="20"/>
              </w:rPr>
              <w:t xml:space="preserve"> and Tuberculosis (TB).</w:t>
            </w:r>
          </w:p>
          <w:p w:rsidR="00173579" w:rsidRPr="00F4722A" w:rsidRDefault="00173579" w:rsidP="00F4722A">
            <w:pPr>
              <w:pStyle w:val="ListBullet"/>
              <w:rPr>
                <w:sz w:val="20"/>
                <w:szCs w:val="20"/>
              </w:rPr>
            </w:pPr>
            <w:r w:rsidRPr="00F4722A">
              <w:rPr>
                <w:sz w:val="20"/>
                <w:szCs w:val="20"/>
              </w:rPr>
              <w:t>Reactivation of hepatitis B</w:t>
            </w:r>
          </w:p>
          <w:p w:rsidR="00173579" w:rsidRPr="00F4722A" w:rsidRDefault="00173579" w:rsidP="00F4722A">
            <w:pPr>
              <w:pStyle w:val="ListBullet"/>
              <w:rPr>
                <w:sz w:val="20"/>
                <w:szCs w:val="20"/>
              </w:rPr>
            </w:pPr>
            <w:r w:rsidRPr="00F4722A">
              <w:rPr>
                <w:sz w:val="20"/>
                <w:szCs w:val="20"/>
              </w:rPr>
              <w:t>Pancreatitis</w:t>
            </w:r>
          </w:p>
          <w:p w:rsidR="00173579" w:rsidRPr="00F4722A" w:rsidRDefault="00173579" w:rsidP="00F4722A">
            <w:pPr>
              <w:pStyle w:val="ListBullet"/>
              <w:rPr>
                <w:sz w:val="20"/>
                <w:szCs w:val="20"/>
              </w:rPr>
            </w:pPr>
            <w:r w:rsidRPr="00F4722A">
              <w:rPr>
                <w:sz w:val="20"/>
                <w:szCs w:val="20"/>
              </w:rPr>
              <w:t>Lymphoma</w:t>
            </w:r>
          </w:p>
          <w:p w:rsidR="00173579" w:rsidRPr="00F4722A" w:rsidRDefault="00173579" w:rsidP="00F4722A">
            <w:pPr>
              <w:pStyle w:val="ListBullet"/>
              <w:rPr>
                <w:sz w:val="20"/>
                <w:szCs w:val="20"/>
              </w:rPr>
            </w:pPr>
            <w:proofErr w:type="spellStart"/>
            <w:r w:rsidRPr="00F4722A">
              <w:rPr>
                <w:sz w:val="20"/>
                <w:szCs w:val="20"/>
              </w:rPr>
              <w:t>Hepatosplenic</w:t>
            </w:r>
            <w:proofErr w:type="spellEnd"/>
            <w:r w:rsidRPr="00F4722A">
              <w:rPr>
                <w:sz w:val="20"/>
                <w:szCs w:val="20"/>
              </w:rPr>
              <w:t xml:space="preserve"> T-cell lymphoma (HSTCL)</w:t>
            </w:r>
          </w:p>
          <w:p w:rsidR="00173579" w:rsidRPr="00F4722A" w:rsidRDefault="00173579" w:rsidP="00F4722A">
            <w:pPr>
              <w:pStyle w:val="ListBullet"/>
              <w:rPr>
                <w:sz w:val="20"/>
                <w:szCs w:val="20"/>
              </w:rPr>
            </w:pPr>
            <w:r w:rsidRPr="00F4722A">
              <w:rPr>
                <w:sz w:val="20"/>
                <w:szCs w:val="20"/>
              </w:rPr>
              <w:t>Leukaemia</w:t>
            </w:r>
          </w:p>
          <w:p w:rsidR="00173579" w:rsidRPr="00F4722A" w:rsidRDefault="00173579" w:rsidP="00F4722A">
            <w:pPr>
              <w:pStyle w:val="ListBullet"/>
              <w:rPr>
                <w:sz w:val="20"/>
                <w:szCs w:val="20"/>
              </w:rPr>
            </w:pPr>
            <w:r w:rsidRPr="00F4722A">
              <w:rPr>
                <w:sz w:val="20"/>
                <w:szCs w:val="20"/>
              </w:rPr>
              <w:t>Non-melanoma skin cancer (NMSC)</w:t>
            </w:r>
          </w:p>
          <w:p w:rsidR="00173579" w:rsidRPr="00F4722A" w:rsidRDefault="00173579" w:rsidP="00F4722A">
            <w:pPr>
              <w:pStyle w:val="ListBullet"/>
              <w:rPr>
                <w:sz w:val="20"/>
                <w:szCs w:val="20"/>
              </w:rPr>
            </w:pPr>
            <w:r w:rsidRPr="00F4722A">
              <w:rPr>
                <w:sz w:val="20"/>
                <w:szCs w:val="20"/>
              </w:rPr>
              <w:t>Melanoma</w:t>
            </w:r>
          </w:p>
          <w:p w:rsidR="00173579" w:rsidRPr="00F4722A" w:rsidRDefault="00173579" w:rsidP="00F4722A">
            <w:pPr>
              <w:pStyle w:val="ListBullet"/>
              <w:rPr>
                <w:sz w:val="20"/>
                <w:szCs w:val="20"/>
              </w:rPr>
            </w:pPr>
            <w:r w:rsidRPr="00F4722A">
              <w:rPr>
                <w:sz w:val="20"/>
                <w:szCs w:val="20"/>
              </w:rPr>
              <w:t>Merkel Cell Carcinoma</w:t>
            </w:r>
          </w:p>
          <w:p w:rsidR="00173579" w:rsidRPr="00F4722A" w:rsidRDefault="00173579" w:rsidP="00F4722A">
            <w:pPr>
              <w:pStyle w:val="ListBullet"/>
              <w:rPr>
                <w:sz w:val="20"/>
                <w:szCs w:val="20"/>
              </w:rPr>
            </w:pPr>
            <w:r w:rsidRPr="00F4722A">
              <w:rPr>
                <w:sz w:val="20"/>
                <w:szCs w:val="20"/>
              </w:rPr>
              <w:lastRenderedPageBreak/>
              <w:t xml:space="preserve">Demyelinating disorders (including Multiple Sclerosis, </w:t>
            </w:r>
            <w:proofErr w:type="spellStart"/>
            <w:r w:rsidRPr="00F4722A">
              <w:rPr>
                <w:sz w:val="20"/>
                <w:szCs w:val="20"/>
              </w:rPr>
              <w:t>Guillain</w:t>
            </w:r>
            <w:proofErr w:type="spellEnd"/>
            <w:r w:rsidRPr="00F4722A">
              <w:rPr>
                <w:sz w:val="20"/>
                <w:szCs w:val="20"/>
              </w:rPr>
              <w:t xml:space="preserve"> </w:t>
            </w:r>
            <w:proofErr w:type="spellStart"/>
            <w:r w:rsidRPr="00F4722A">
              <w:rPr>
                <w:sz w:val="20"/>
                <w:szCs w:val="20"/>
              </w:rPr>
              <w:t>Barré</w:t>
            </w:r>
            <w:proofErr w:type="spellEnd"/>
            <w:r w:rsidRPr="00F4722A">
              <w:rPr>
                <w:sz w:val="20"/>
                <w:szCs w:val="20"/>
              </w:rPr>
              <w:t xml:space="preserve"> Syndrome and optic neuritis)</w:t>
            </w:r>
          </w:p>
          <w:p w:rsidR="00173579" w:rsidRPr="00F4722A" w:rsidRDefault="00173579" w:rsidP="00F4722A">
            <w:pPr>
              <w:pStyle w:val="ListBullet"/>
              <w:rPr>
                <w:sz w:val="20"/>
                <w:szCs w:val="20"/>
              </w:rPr>
            </w:pPr>
            <w:r w:rsidRPr="00F4722A">
              <w:rPr>
                <w:sz w:val="20"/>
                <w:szCs w:val="20"/>
              </w:rPr>
              <w:t>Immune reactions (including lupus-like reactions and allergic reactions)</w:t>
            </w:r>
          </w:p>
          <w:p w:rsidR="00173579" w:rsidRPr="00F4722A" w:rsidRDefault="00173579" w:rsidP="00F4722A">
            <w:pPr>
              <w:pStyle w:val="ListBullet"/>
              <w:rPr>
                <w:sz w:val="20"/>
                <w:szCs w:val="20"/>
              </w:rPr>
            </w:pPr>
            <w:r w:rsidRPr="00F4722A">
              <w:rPr>
                <w:sz w:val="20"/>
                <w:szCs w:val="20"/>
              </w:rPr>
              <w:t>Sarcoidosis</w:t>
            </w:r>
          </w:p>
          <w:p w:rsidR="00173579" w:rsidRPr="00F4722A" w:rsidRDefault="00173579" w:rsidP="00F4722A">
            <w:pPr>
              <w:pStyle w:val="ListBullet"/>
              <w:rPr>
                <w:sz w:val="20"/>
                <w:szCs w:val="20"/>
              </w:rPr>
            </w:pPr>
            <w:r w:rsidRPr="00F4722A">
              <w:rPr>
                <w:sz w:val="20"/>
                <w:szCs w:val="20"/>
              </w:rPr>
              <w:t>Congestive Heart Failure (CHF)</w:t>
            </w:r>
          </w:p>
          <w:p w:rsidR="00173579" w:rsidRPr="00F4722A" w:rsidRDefault="00173579" w:rsidP="00F4722A">
            <w:pPr>
              <w:pStyle w:val="ListBullet"/>
              <w:rPr>
                <w:sz w:val="20"/>
                <w:szCs w:val="20"/>
              </w:rPr>
            </w:pPr>
            <w:r w:rsidRPr="00F4722A">
              <w:rPr>
                <w:sz w:val="20"/>
                <w:szCs w:val="20"/>
              </w:rPr>
              <w:t>Myocardial Infarction (MI)</w:t>
            </w:r>
          </w:p>
          <w:p w:rsidR="00173579" w:rsidRPr="00F4722A" w:rsidRDefault="00173579" w:rsidP="00F4722A">
            <w:pPr>
              <w:pStyle w:val="ListBullet"/>
              <w:rPr>
                <w:sz w:val="20"/>
                <w:szCs w:val="20"/>
              </w:rPr>
            </w:pPr>
            <w:r w:rsidRPr="00F4722A">
              <w:rPr>
                <w:sz w:val="20"/>
                <w:szCs w:val="20"/>
              </w:rPr>
              <w:t>Cerebrovascular accident (CVA)</w:t>
            </w:r>
          </w:p>
          <w:p w:rsidR="00173579" w:rsidRPr="00F4722A" w:rsidRDefault="00173579" w:rsidP="00F4722A">
            <w:pPr>
              <w:pStyle w:val="ListBullet"/>
              <w:rPr>
                <w:sz w:val="20"/>
                <w:szCs w:val="20"/>
              </w:rPr>
            </w:pPr>
            <w:r w:rsidRPr="00F4722A">
              <w:rPr>
                <w:sz w:val="20"/>
                <w:szCs w:val="20"/>
              </w:rPr>
              <w:t>Interstitial lung disease (ILD)</w:t>
            </w:r>
          </w:p>
          <w:p w:rsidR="00173579" w:rsidRPr="00F4722A" w:rsidRDefault="00173579" w:rsidP="00F4722A">
            <w:pPr>
              <w:pStyle w:val="ListBullet"/>
              <w:rPr>
                <w:sz w:val="20"/>
                <w:szCs w:val="20"/>
              </w:rPr>
            </w:pPr>
            <w:r w:rsidRPr="00F4722A">
              <w:rPr>
                <w:sz w:val="20"/>
                <w:szCs w:val="20"/>
              </w:rPr>
              <w:t>Pulmonary embolism (PE)</w:t>
            </w:r>
          </w:p>
          <w:p w:rsidR="00173579" w:rsidRPr="00F4722A" w:rsidRDefault="00173579" w:rsidP="00F4722A">
            <w:pPr>
              <w:pStyle w:val="ListBullet"/>
              <w:rPr>
                <w:sz w:val="20"/>
                <w:szCs w:val="20"/>
              </w:rPr>
            </w:pPr>
            <w:r w:rsidRPr="00F4722A">
              <w:rPr>
                <w:sz w:val="20"/>
                <w:szCs w:val="20"/>
              </w:rPr>
              <w:t>Cutaneous vasculitis</w:t>
            </w:r>
          </w:p>
          <w:p w:rsidR="00173579" w:rsidRPr="00F4722A" w:rsidRDefault="00173579" w:rsidP="00F4722A">
            <w:pPr>
              <w:pStyle w:val="ListBullet"/>
              <w:rPr>
                <w:sz w:val="20"/>
                <w:szCs w:val="20"/>
              </w:rPr>
            </w:pPr>
            <w:r w:rsidRPr="00F4722A">
              <w:rPr>
                <w:sz w:val="20"/>
                <w:szCs w:val="20"/>
              </w:rPr>
              <w:t>Stevens-Johnson Syndrome (SJS) and erythema multiforme</w:t>
            </w:r>
          </w:p>
          <w:p w:rsidR="00173579" w:rsidRPr="00F4722A" w:rsidRDefault="00173579" w:rsidP="00F4722A">
            <w:pPr>
              <w:pStyle w:val="ListBullet"/>
              <w:rPr>
                <w:sz w:val="20"/>
                <w:szCs w:val="20"/>
              </w:rPr>
            </w:pPr>
            <w:r w:rsidRPr="00F4722A">
              <w:rPr>
                <w:sz w:val="20"/>
                <w:szCs w:val="20"/>
              </w:rPr>
              <w:t>Worsening and new onset of Psoriasis</w:t>
            </w:r>
          </w:p>
          <w:p w:rsidR="00173579" w:rsidRPr="00F4722A" w:rsidRDefault="00173579" w:rsidP="00F4722A">
            <w:pPr>
              <w:pStyle w:val="ListBullet"/>
              <w:rPr>
                <w:sz w:val="20"/>
                <w:szCs w:val="20"/>
              </w:rPr>
            </w:pPr>
            <w:r w:rsidRPr="00F4722A">
              <w:rPr>
                <w:sz w:val="20"/>
                <w:szCs w:val="20"/>
              </w:rPr>
              <w:t>Haematologic disorders</w:t>
            </w:r>
          </w:p>
          <w:p w:rsidR="00173579" w:rsidRPr="00F4722A" w:rsidRDefault="00173579" w:rsidP="00F4722A">
            <w:pPr>
              <w:pStyle w:val="ListBullet"/>
              <w:rPr>
                <w:sz w:val="20"/>
                <w:szCs w:val="20"/>
              </w:rPr>
            </w:pPr>
            <w:r w:rsidRPr="00F4722A">
              <w:rPr>
                <w:sz w:val="20"/>
                <w:szCs w:val="20"/>
              </w:rPr>
              <w:t>Intestinal perforation</w:t>
            </w:r>
          </w:p>
          <w:p w:rsidR="00173579" w:rsidRPr="00F4722A" w:rsidRDefault="00173579" w:rsidP="00F4722A">
            <w:pPr>
              <w:pStyle w:val="ListBullet"/>
              <w:rPr>
                <w:sz w:val="20"/>
                <w:szCs w:val="20"/>
              </w:rPr>
            </w:pPr>
            <w:r w:rsidRPr="00F4722A">
              <w:rPr>
                <w:sz w:val="20"/>
                <w:szCs w:val="20"/>
              </w:rPr>
              <w:t>Intestinal strictures in Crohn’s disease</w:t>
            </w:r>
          </w:p>
          <w:p w:rsidR="00173579" w:rsidRPr="00F4722A" w:rsidRDefault="00173579" w:rsidP="00F4722A">
            <w:pPr>
              <w:pStyle w:val="ListBullet"/>
              <w:rPr>
                <w:sz w:val="20"/>
                <w:szCs w:val="20"/>
              </w:rPr>
            </w:pPr>
            <w:r w:rsidRPr="00F4722A">
              <w:rPr>
                <w:sz w:val="20"/>
                <w:szCs w:val="20"/>
              </w:rPr>
              <w:t>Liver failure</w:t>
            </w:r>
          </w:p>
          <w:p w:rsidR="00173579" w:rsidRPr="00F4722A" w:rsidRDefault="00173579" w:rsidP="00F4722A">
            <w:pPr>
              <w:pStyle w:val="ListBullet"/>
              <w:rPr>
                <w:sz w:val="20"/>
                <w:szCs w:val="20"/>
              </w:rPr>
            </w:pPr>
            <w:r w:rsidRPr="00F4722A">
              <w:rPr>
                <w:sz w:val="20"/>
                <w:szCs w:val="20"/>
              </w:rPr>
              <w:t>Elevated ALT levels</w:t>
            </w:r>
          </w:p>
          <w:p w:rsidR="00173579" w:rsidRPr="00F4722A" w:rsidRDefault="00173579" w:rsidP="00F4722A">
            <w:pPr>
              <w:pStyle w:val="ListBullet"/>
              <w:rPr>
                <w:sz w:val="20"/>
                <w:szCs w:val="20"/>
              </w:rPr>
            </w:pPr>
            <w:r w:rsidRPr="00F4722A">
              <w:rPr>
                <w:sz w:val="20"/>
                <w:szCs w:val="20"/>
              </w:rPr>
              <w:t>Autoimmune hepatitis</w:t>
            </w:r>
          </w:p>
          <w:p w:rsidR="00173579" w:rsidRPr="00F4722A" w:rsidRDefault="00173579" w:rsidP="00F4722A">
            <w:pPr>
              <w:pStyle w:val="ListBullet"/>
              <w:rPr>
                <w:lang w:eastAsia="en-US"/>
              </w:rPr>
            </w:pPr>
            <w:r w:rsidRPr="00F4722A">
              <w:rPr>
                <w:sz w:val="20"/>
                <w:szCs w:val="20"/>
              </w:rPr>
              <w:t>Medication errors and maladministration</w:t>
            </w:r>
          </w:p>
        </w:tc>
      </w:tr>
      <w:tr w:rsidR="00173579" w:rsidRPr="00F4722A" w:rsidTr="00F4722A">
        <w:tc>
          <w:tcPr>
            <w:tcW w:w="2093" w:type="dxa"/>
            <w:shd w:val="clear" w:color="auto" w:fill="006DA7"/>
            <w:hideMark/>
          </w:tcPr>
          <w:p w:rsidR="00173579" w:rsidRPr="00F4722A" w:rsidRDefault="00173579" w:rsidP="00F4722A">
            <w:pPr>
              <w:ind w:left="0" w:right="34"/>
              <w:rPr>
                <w:rFonts w:cs="Arial"/>
                <w:b/>
                <w:color w:val="FFFFFF" w:themeColor="background1"/>
                <w:sz w:val="20"/>
                <w:szCs w:val="20"/>
                <w:lang w:eastAsia="en-US"/>
              </w:rPr>
            </w:pPr>
            <w:r w:rsidRPr="00F4722A">
              <w:rPr>
                <w:b/>
                <w:color w:val="FFFFFF" w:themeColor="background1"/>
                <w:sz w:val="20"/>
                <w:szCs w:val="20"/>
              </w:rPr>
              <w:lastRenderedPageBreak/>
              <w:t>Important Potential Risks</w:t>
            </w:r>
          </w:p>
        </w:tc>
        <w:tc>
          <w:tcPr>
            <w:tcW w:w="6627" w:type="dxa"/>
            <w:hideMark/>
          </w:tcPr>
          <w:p w:rsidR="00173579" w:rsidRPr="00F4722A" w:rsidRDefault="00173579" w:rsidP="00F4722A">
            <w:pPr>
              <w:pStyle w:val="ListBullet"/>
              <w:rPr>
                <w:rFonts w:cs="Arial"/>
                <w:sz w:val="20"/>
                <w:szCs w:val="20"/>
                <w:lang w:eastAsia="en-US"/>
              </w:rPr>
            </w:pPr>
            <w:r w:rsidRPr="00F4722A">
              <w:rPr>
                <w:sz w:val="20"/>
                <w:szCs w:val="20"/>
              </w:rPr>
              <w:t>Other malignancies (except lymphoma, HSTCL, leukaemia, NMSC and melanoma)</w:t>
            </w:r>
          </w:p>
          <w:p w:rsidR="00173579" w:rsidRPr="00F4722A" w:rsidRDefault="00173579" w:rsidP="00F4722A">
            <w:pPr>
              <w:pStyle w:val="ListBullet"/>
              <w:rPr>
                <w:sz w:val="20"/>
                <w:szCs w:val="20"/>
              </w:rPr>
            </w:pPr>
            <w:r w:rsidRPr="00F4722A">
              <w:rPr>
                <w:sz w:val="20"/>
                <w:szCs w:val="20"/>
              </w:rPr>
              <w:t>Vasculitis (non-cutaneous)</w:t>
            </w:r>
          </w:p>
          <w:p w:rsidR="00173579" w:rsidRPr="00F4722A" w:rsidRDefault="00173579" w:rsidP="00F4722A">
            <w:pPr>
              <w:pStyle w:val="ListBullet"/>
              <w:rPr>
                <w:sz w:val="20"/>
                <w:szCs w:val="20"/>
              </w:rPr>
            </w:pPr>
            <w:r w:rsidRPr="00F4722A">
              <w:rPr>
                <w:sz w:val="20"/>
                <w:szCs w:val="20"/>
              </w:rPr>
              <w:t>Progressive multifocal leukoencephalopathy (PML)</w:t>
            </w:r>
          </w:p>
          <w:p w:rsidR="00173579" w:rsidRPr="00F4722A" w:rsidRDefault="00173579" w:rsidP="00F4722A">
            <w:pPr>
              <w:pStyle w:val="ListBullet"/>
              <w:rPr>
                <w:sz w:val="20"/>
                <w:szCs w:val="20"/>
              </w:rPr>
            </w:pPr>
            <w:r w:rsidRPr="00F4722A">
              <w:rPr>
                <w:sz w:val="20"/>
                <w:szCs w:val="20"/>
              </w:rPr>
              <w:t>Reversible posterior leukoencephalopathy syndrome (RPLS)</w:t>
            </w:r>
          </w:p>
          <w:p w:rsidR="00173579" w:rsidRPr="00F4722A" w:rsidRDefault="00173579" w:rsidP="00F4722A">
            <w:pPr>
              <w:pStyle w:val="ListBullet"/>
              <w:rPr>
                <w:sz w:val="20"/>
                <w:szCs w:val="20"/>
              </w:rPr>
            </w:pPr>
            <w:r w:rsidRPr="00F4722A">
              <w:rPr>
                <w:sz w:val="20"/>
                <w:szCs w:val="20"/>
              </w:rPr>
              <w:t>Amyotrophic Lateral Sclerosis (ALS)</w:t>
            </w:r>
          </w:p>
          <w:p w:rsidR="00173579" w:rsidRPr="00F4722A" w:rsidRDefault="00173579" w:rsidP="00F4722A">
            <w:pPr>
              <w:pStyle w:val="ListBullet"/>
              <w:rPr>
                <w:sz w:val="20"/>
                <w:szCs w:val="20"/>
              </w:rPr>
            </w:pPr>
            <w:r w:rsidRPr="00F4722A">
              <w:rPr>
                <w:sz w:val="20"/>
                <w:szCs w:val="20"/>
              </w:rPr>
              <w:t>Colon cancer in Ulcerative Colitis patients</w:t>
            </w:r>
          </w:p>
          <w:p w:rsidR="00173579" w:rsidRPr="00F4722A" w:rsidRDefault="00173579" w:rsidP="00F4722A">
            <w:pPr>
              <w:pStyle w:val="ListBullet"/>
              <w:rPr>
                <w:sz w:val="20"/>
                <w:szCs w:val="20"/>
              </w:rPr>
            </w:pPr>
            <w:r w:rsidRPr="00F4722A">
              <w:rPr>
                <w:sz w:val="20"/>
                <w:szCs w:val="20"/>
              </w:rPr>
              <w:t>Infections in infants exposed to adalimumab in utero</w:t>
            </w:r>
          </w:p>
          <w:p w:rsidR="00173579" w:rsidRPr="00F4722A" w:rsidRDefault="00173579" w:rsidP="00F4722A">
            <w:pPr>
              <w:pStyle w:val="ListBullet"/>
              <w:rPr>
                <w:sz w:val="20"/>
                <w:szCs w:val="20"/>
              </w:rPr>
            </w:pPr>
            <w:r w:rsidRPr="00F4722A">
              <w:rPr>
                <w:sz w:val="20"/>
                <w:szCs w:val="20"/>
              </w:rPr>
              <w:t>Medication errors with paediatric vial</w:t>
            </w:r>
          </w:p>
          <w:p w:rsidR="00173579" w:rsidRPr="00F4722A" w:rsidRDefault="00173579" w:rsidP="00F4722A">
            <w:pPr>
              <w:pStyle w:val="ListBullet"/>
              <w:rPr>
                <w:lang w:eastAsia="en-US"/>
              </w:rPr>
            </w:pPr>
            <w:r w:rsidRPr="00F4722A">
              <w:rPr>
                <w:sz w:val="20"/>
                <w:szCs w:val="20"/>
              </w:rPr>
              <w:t>Off-label use</w:t>
            </w:r>
          </w:p>
        </w:tc>
      </w:tr>
      <w:tr w:rsidR="00173579" w:rsidRPr="00F4722A" w:rsidTr="00F4722A">
        <w:tc>
          <w:tcPr>
            <w:tcW w:w="2093" w:type="dxa"/>
            <w:shd w:val="clear" w:color="auto" w:fill="006DA7"/>
            <w:hideMark/>
          </w:tcPr>
          <w:p w:rsidR="00173579" w:rsidRPr="00F4722A" w:rsidRDefault="00173579" w:rsidP="00F4722A">
            <w:pPr>
              <w:ind w:left="0" w:right="34"/>
              <w:rPr>
                <w:rFonts w:cs="Arial"/>
                <w:b/>
                <w:color w:val="FFFFFF" w:themeColor="background1"/>
                <w:sz w:val="20"/>
                <w:szCs w:val="20"/>
                <w:lang w:eastAsia="en-US"/>
              </w:rPr>
            </w:pPr>
            <w:r w:rsidRPr="00F4722A">
              <w:rPr>
                <w:b/>
                <w:color w:val="FFFFFF" w:themeColor="background1"/>
                <w:sz w:val="20"/>
                <w:szCs w:val="20"/>
              </w:rPr>
              <w:t>Missing information</w:t>
            </w:r>
          </w:p>
        </w:tc>
        <w:tc>
          <w:tcPr>
            <w:tcW w:w="6627" w:type="dxa"/>
            <w:hideMark/>
          </w:tcPr>
          <w:p w:rsidR="00173579" w:rsidRPr="00F4722A" w:rsidRDefault="00173579" w:rsidP="00F4722A">
            <w:pPr>
              <w:pStyle w:val="ListBullet"/>
              <w:rPr>
                <w:rFonts w:cs="Arial"/>
                <w:sz w:val="20"/>
                <w:szCs w:val="20"/>
                <w:lang w:eastAsia="en-US"/>
              </w:rPr>
            </w:pPr>
            <w:r w:rsidRPr="00F4722A">
              <w:rPr>
                <w:sz w:val="20"/>
                <w:szCs w:val="20"/>
              </w:rPr>
              <w:t>Subjects with immune-compromised conditions (ie subjects with HIV, post-chemotherapy, organ transplant); subjects with a history of clinically significant drug or alcohol abuse</w:t>
            </w:r>
          </w:p>
          <w:p w:rsidR="00173579" w:rsidRPr="00F4722A" w:rsidRDefault="00173579" w:rsidP="00F4722A">
            <w:pPr>
              <w:pStyle w:val="ListBullet"/>
              <w:rPr>
                <w:sz w:val="20"/>
                <w:szCs w:val="20"/>
              </w:rPr>
            </w:pPr>
            <w:r w:rsidRPr="00F4722A">
              <w:rPr>
                <w:sz w:val="20"/>
                <w:szCs w:val="20"/>
              </w:rPr>
              <w:t>Subjects with poorly controlled medical conditions such as uncontrolled diabetes or documented history of recurrent infections, unstable ischaemic heart disease, CHF, recent cerebrovascular accidents</w:t>
            </w:r>
          </w:p>
          <w:p w:rsidR="00173579" w:rsidRPr="00F4722A" w:rsidRDefault="00173579" w:rsidP="00F4722A">
            <w:pPr>
              <w:pStyle w:val="ListBullet"/>
              <w:rPr>
                <w:sz w:val="20"/>
                <w:szCs w:val="20"/>
              </w:rPr>
            </w:pPr>
            <w:r w:rsidRPr="00F4722A">
              <w:rPr>
                <w:sz w:val="20"/>
                <w:szCs w:val="20"/>
              </w:rPr>
              <w:t xml:space="preserve">Subjects with a history of </w:t>
            </w:r>
            <w:proofErr w:type="spellStart"/>
            <w:r w:rsidRPr="00F4722A">
              <w:rPr>
                <w:sz w:val="20"/>
                <w:szCs w:val="20"/>
              </w:rPr>
              <w:t>listeriosis</w:t>
            </w:r>
            <w:proofErr w:type="spellEnd"/>
            <w:r w:rsidRPr="00F4722A">
              <w:rPr>
                <w:sz w:val="20"/>
                <w:szCs w:val="20"/>
              </w:rPr>
              <w:t>, history of histoplasmosis, active TB, persistent chronic or active infections requiring treatment with antibiotics, antivirals or antifungals, history of viral hepatitis</w:t>
            </w:r>
          </w:p>
          <w:p w:rsidR="00173579" w:rsidRPr="00F4722A" w:rsidRDefault="00173579" w:rsidP="00F4722A">
            <w:pPr>
              <w:pStyle w:val="ListBullet"/>
              <w:rPr>
                <w:sz w:val="20"/>
                <w:szCs w:val="20"/>
              </w:rPr>
            </w:pPr>
            <w:r w:rsidRPr="00F4722A">
              <w:rPr>
                <w:sz w:val="20"/>
                <w:szCs w:val="20"/>
              </w:rPr>
              <w:t xml:space="preserve">Subjects with a history of cancer, lymphoma, leukaemia or </w:t>
            </w:r>
            <w:r w:rsidRPr="00F4722A">
              <w:rPr>
                <w:sz w:val="20"/>
                <w:szCs w:val="20"/>
              </w:rPr>
              <w:lastRenderedPageBreak/>
              <w:t>lymphoproliferative disease; subjects with history of neurologic symptoms suggestive of demyelinating disorders</w:t>
            </w:r>
          </w:p>
          <w:p w:rsidR="00173579" w:rsidRPr="00F4722A" w:rsidRDefault="00173579" w:rsidP="00F4722A">
            <w:pPr>
              <w:pStyle w:val="ListBullet"/>
              <w:rPr>
                <w:sz w:val="20"/>
                <w:szCs w:val="20"/>
              </w:rPr>
            </w:pPr>
            <w:r w:rsidRPr="00F4722A">
              <w:rPr>
                <w:sz w:val="20"/>
                <w:szCs w:val="20"/>
              </w:rPr>
              <w:t xml:space="preserve">Children &lt; 18 years of age for psoriatic arthritis, ankylosing spondylitis, psoriasis, ulcerative colitis, </w:t>
            </w:r>
            <w:proofErr w:type="spellStart"/>
            <w:r w:rsidRPr="00F4722A">
              <w:rPr>
                <w:sz w:val="20"/>
                <w:szCs w:val="20"/>
              </w:rPr>
              <w:t>spondyloarthritis</w:t>
            </w:r>
            <w:proofErr w:type="spellEnd"/>
            <w:r w:rsidRPr="00F4722A">
              <w:rPr>
                <w:sz w:val="20"/>
                <w:szCs w:val="20"/>
              </w:rPr>
              <w:t xml:space="preserve">, hidradenitis </w:t>
            </w:r>
            <w:proofErr w:type="spellStart"/>
            <w:r w:rsidRPr="00F4722A">
              <w:rPr>
                <w:sz w:val="20"/>
                <w:szCs w:val="20"/>
              </w:rPr>
              <w:t>suppurativa</w:t>
            </w:r>
            <w:proofErr w:type="spellEnd"/>
            <w:r w:rsidRPr="00F4722A">
              <w:rPr>
                <w:sz w:val="20"/>
                <w:szCs w:val="20"/>
              </w:rPr>
              <w:t xml:space="preserve">, </w:t>
            </w:r>
            <w:proofErr w:type="spellStart"/>
            <w:r w:rsidRPr="00F4722A">
              <w:rPr>
                <w:sz w:val="20"/>
                <w:szCs w:val="20"/>
              </w:rPr>
              <w:t>enthesitis</w:t>
            </w:r>
            <w:proofErr w:type="spellEnd"/>
            <w:r w:rsidRPr="00F4722A">
              <w:rPr>
                <w:sz w:val="20"/>
                <w:szCs w:val="20"/>
              </w:rPr>
              <w:t>-related arthritis, and uveitis indications</w:t>
            </w:r>
          </w:p>
          <w:p w:rsidR="00173579" w:rsidRPr="00F4722A" w:rsidRDefault="00173579" w:rsidP="00F4722A">
            <w:pPr>
              <w:pStyle w:val="ListBullet"/>
              <w:rPr>
                <w:sz w:val="20"/>
                <w:szCs w:val="20"/>
              </w:rPr>
            </w:pPr>
            <w:r w:rsidRPr="00F4722A">
              <w:rPr>
                <w:sz w:val="20"/>
                <w:szCs w:val="20"/>
              </w:rPr>
              <w:t>Children &lt; 4 years of age for psoriasis</w:t>
            </w:r>
          </w:p>
          <w:p w:rsidR="00173579" w:rsidRPr="00F4722A" w:rsidRDefault="00173579" w:rsidP="00F4722A">
            <w:pPr>
              <w:pStyle w:val="ListBullet"/>
              <w:rPr>
                <w:sz w:val="20"/>
                <w:szCs w:val="20"/>
              </w:rPr>
            </w:pPr>
            <w:r w:rsidRPr="00F4722A">
              <w:rPr>
                <w:sz w:val="20"/>
                <w:szCs w:val="20"/>
              </w:rPr>
              <w:t>Children &lt; 2 years of age for juvenile idiopathic arthritis</w:t>
            </w:r>
          </w:p>
          <w:p w:rsidR="00173579" w:rsidRPr="00F4722A" w:rsidRDefault="00173579" w:rsidP="00F4722A">
            <w:pPr>
              <w:pStyle w:val="ListBullet"/>
              <w:rPr>
                <w:sz w:val="20"/>
                <w:szCs w:val="20"/>
              </w:rPr>
            </w:pPr>
            <w:r w:rsidRPr="00F4722A">
              <w:rPr>
                <w:sz w:val="20"/>
                <w:szCs w:val="20"/>
              </w:rPr>
              <w:t xml:space="preserve">Children &lt; 6 years of age for </w:t>
            </w:r>
            <w:proofErr w:type="spellStart"/>
            <w:r w:rsidRPr="00F4722A">
              <w:rPr>
                <w:sz w:val="20"/>
                <w:szCs w:val="20"/>
              </w:rPr>
              <w:t>crohn’s</w:t>
            </w:r>
            <w:proofErr w:type="spellEnd"/>
            <w:r w:rsidRPr="00F4722A">
              <w:rPr>
                <w:sz w:val="20"/>
                <w:szCs w:val="20"/>
              </w:rPr>
              <w:t xml:space="preserve"> disease and </w:t>
            </w:r>
            <w:proofErr w:type="spellStart"/>
            <w:r w:rsidRPr="00F4722A">
              <w:rPr>
                <w:sz w:val="20"/>
                <w:szCs w:val="20"/>
              </w:rPr>
              <w:t>enthesitis</w:t>
            </w:r>
            <w:proofErr w:type="spellEnd"/>
            <w:r w:rsidRPr="00F4722A">
              <w:rPr>
                <w:sz w:val="20"/>
                <w:szCs w:val="20"/>
              </w:rPr>
              <w:t>-related arthritis.</w:t>
            </w:r>
          </w:p>
          <w:p w:rsidR="00173579" w:rsidRPr="00F4722A" w:rsidRDefault="00173579" w:rsidP="00F4722A">
            <w:pPr>
              <w:pStyle w:val="ListBullet"/>
              <w:rPr>
                <w:sz w:val="20"/>
                <w:szCs w:val="20"/>
              </w:rPr>
            </w:pPr>
            <w:r w:rsidRPr="00F4722A">
              <w:rPr>
                <w:sz w:val="20"/>
                <w:szCs w:val="20"/>
              </w:rPr>
              <w:t>Pregnant and lactating women</w:t>
            </w:r>
          </w:p>
          <w:p w:rsidR="00173579" w:rsidRPr="00F4722A" w:rsidRDefault="00173579" w:rsidP="00F4722A">
            <w:pPr>
              <w:pStyle w:val="ListBullet"/>
              <w:rPr>
                <w:sz w:val="20"/>
                <w:szCs w:val="20"/>
              </w:rPr>
            </w:pPr>
            <w:r w:rsidRPr="00F4722A">
              <w:rPr>
                <w:sz w:val="20"/>
                <w:szCs w:val="20"/>
              </w:rPr>
              <w:t>Subjects with renal or liver impairment</w:t>
            </w:r>
          </w:p>
          <w:p w:rsidR="00173579" w:rsidRPr="00F4722A" w:rsidRDefault="00173579" w:rsidP="00F4722A">
            <w:pPr>
              <w:pStyle w:val="ListBullet"/>
              <w:rPr>
                <w:sz w:val="20"/>
                <w:szCs w:val="20"/>
              </w:rPr>
            </w:pPr>
            <w:r w:rsidRPr="00F4722A">
              <w:rPr>
                <w:sz w:val="20"/>
                <w:szCs w:val="20"/>
              </w:rPr>
              <w:t>Patients taking concomitant biologic therapy</w:t>
            </w:r>
          </w:p>
          <w:p w:rsidR="00173579" w:rsidRPr="00F4722A" w:rsidRDefault="00173579" w:rsidP="00F4722A">
            <w:pPr>
              <w:pStyle w:val="ListBullet"/>
              <w:rPr>
                <w:sz w:val="20"/>
                <w:szCs w:val="20"/>
              </w:rPr>
            </w:pPr>
            <w:r w:rsidRPr="00F4722A">
              <w:rPr>
                <w:sz w:val="20"/>
                <w:szCs w:val="20"/>
              </w:rPr>
              <w:t>Long-term rheumatoid arthritis data beyond 10 years</w:t>
            </w:r>
          </w:p>
          <w:p w:rsidR="00173579" w:rsidRPr="00F4722A" w:rsidRDefault="00173579" w:rsidP="00F4722A">
            <w:pPr>
              <w:pStyle w:val="ListBullet"/>
              <w:rPr>
                <w:sz w:val="20"/>
                <w:szCs w:val="20"/>
              </w:rPr>
            </w:pPr>
            <w:r w:rsidRPr="00F4722A">
              <w:rPr>
                <w:sz w:val="20"/>
                <w:szCs w:val="20"/>
              </w:rPr>
              <w:t>Long-term juvenile idiopathic arthritis data beyond 7.5 years</w:t>
            </w:r>
          </w:p>
          <w:p w:rsidR="00173579" w:rsidRPr="00F4722A" w:rsidRDefault="00173579" w:rsidP="00F4722A">
            <w:pPr>
              <w:pStyle w:val="ListBullet"/>
              <w:rPr>
                <w:sz w:val="20"/>
                <w:szCs w:val="20"/>
              </w:rPr>
            </w:pPr>
            <w:r w:rsidRPr="00F4722A">
              <w:rPr>
                <w:sz w:val="20"/>
                <w:szCs w:val="20"/>
              </w:rPr>
              <w:t>Episodic treatment in juvenile idiopathic arthritis</w:t>
            </w:r>
          </w:p>
          <w:p w:rsidR="00173579" w:rsidRPr="00F4722A" w:rsidRDefault="00173579" w:rsidP="00F4722A">
            <w:pPr>
              <w:pStyle w:val="ListBullet"/>
              <w:rPr>
                <w:sz w:val="20"/>
                <w:szCs w:val="20"/>
              </w:rPr>
            </w:pPr>
            <w:r w:rsidRPr="00F4722A">
              <w:rPr>
                <w:sz w:val="20"/>
                <w:szCs w:val="20"/>
              </w:rPr>
              <w:t>Long-term ankylosing spondylitis data beyond 5 years</w:t>
            </w:r>
          </w:p>
          <w:p w:rsidR="00173579" w:rsidRPr="00F4722A" w:rsidRDefault="00173579" w:rsidP="00F4722A">
            <w:pPr>
              <w:pStyle w:val="ListBullet"/>
              <w:rPr>
                <w:sz w:val="20"/>
                <w:szCs w:val="20"/>
              </w:rPr>
            </w:pPr>
            <w:r w:rsidRPr="00F4722A">
              <w:rPr>
                <w:sz w:val="20"/>
                <w:szCs w:val="20"/>
              </w:rPr>
              <w:t xml:space="preserve">Long-term axial </w:t>
            </w:r>
            <w:proofErr w:type="spellStart"/>
            <w:r w:rsidRPr="00F4722A">
              <w:rPr>
                <w:sz w:val="20"/>
                <w:szCs w:val="20"/>
              </w:rPr>
              <w:t>spondyloarthritis</w:t>
            </w:r>
            <w:proofErr w:type="spellEnd"/>
            <w:r w:rsidRPr="00F4722A">
              <w:rPr>
                <w:sz w:val="20"/>
                <w:szCs w:val="20"/>
              </w:rPr>
              <w:t xml:space="preserve"> data beyond 1 year</w:t>
            </w:r>
          </w:p>
          <w:p w:rsidR="00173579" w:rsidRPr="00F4722A" w:rsidRDefault="00173579" w:rsidP="00F4722A">
            <w:pPr>
              <w:pStyle w:val="ListBullet"/>
              <w:rPr>
                <w:sz w:val="20"/>
                <w:szCs w:val="20"/>
              </w:rPr>
            </w:pPr>
            <w:r w:rsidRPr="00F4722A">
              <w:rPr>
                <w:sz w:val="20"/>
                <w:szCs w:val="20"/>
              </w:rPr>
              <w:t xml:space="preserve">Short and long-term peripheral </w:t>
            </w:r>
            <w:proofErr w:type="spellStart"/>
            <w:r w:rsidRPr="00F4722A">
              <w:rPr>
                <w:sz w:val="20"/>
                <w:szCs w:val="20"/>
              </w:rPr>
              <w:t>spondyloarthritis</w:t>
            </w:r>
            <w:proofErr w:type="spellEnd"/>
            <w:r w:rsidRPr="00F4722A">
              <w:rPr>
                <w:sz w:val="20"/>
                <w:szCs w:val="20"/>
              </w:rPr>
              <w:t xml:space="preserve"> data</w:t>
            </w:r>
          </w:p>
          <w:p w:rsidR="00173579" w:rsidRPr="00F4722A" w:rsidRDefault="00173579" w:rsidP="00F4722A">
            <w:pPr>
              <w:pStyle w:val="ListBullet"/>
              <w:rPr>
                <w:sz w:val="20"/>
                <w:szCs w:val="20"/>
              </w:rPr>
            </w:pPr>
            <w:r w:rsidRPr="00F4722A">
              <w:rPr>
                <w:sz w:val="20"/>
                <w:szCs w:val="20"/>
              </w:rPr>
              <w:t xml:space="preserve">Remission-withdrawal-retreatment axial </w:t>
            </w:r>
            <w:proofErr w:type="spellStart"/>
            <w:r w:rsidRPr="00F4722A">
              <w:rPr>
                <w:sz w:val="20"/>
                <w:szCs w:val="20"/>
              </w:rPr>
              <w:t>spondyloarthritis</w:t>
            </w:r>
            <w:proofErr w:type="spellEnd"/>
            <w:r w:rsidRPr="00F4722A">
              <w:rPr>
                <w:sz w:val="20"/>
                <w:szCs w:val="20"/>
              </w:rPr>
              <w:t xml:space="preserve"> data</w:t>
            </w:r>
          </w:p>
          <w:p w:rsidR="00173579" w:rsidRPr="00F4722A" w:rsidRDefault="00173579" w:rsidP="00F4722A">
            <w:pPr>
              <w:pStyle w:val="ListBullet"/>
              <w:rPr>
                <w:sz w:val="20"/>
                <w:szCs w:val="20"/>
              </w:rPr>
            </w:pPr>
            <w:r w:rsidRPr="00F4722A">
              <w:rPr>
                <w:sz w:val="20"/>
                <w:szCs w:val="20"/>
              </w:rPr>
              <w:t>Short and long-term paediatric enthesitis-related arthritis data</w:t>
            </w:r>
          </w:p>
          <w:p w:rsidR="00173579" w:rsidRPr="00F4722A" w:rsidRDefault="00173579" w:rsidP="00F4722A">
            <w:pPr>
              <w:pStyle w:val="ListBullet"/>
              <w:rPr>
                <w:sz w:val="20"/>
                <w:szCs w:val="20"/>
              </w:rPr>
            </w:pPr>
            <w:r w:rsidRPr="00F4722A">
              <w:rPr>
                <w:sz w:val="20"/>
                <w:szCs w:val="20"/>
              </w:rPr>
              <w:t>Long-term psoriatic arthritis data beyond 3 years</w:t>
            </w:r>
          </w:p>
          <w:p w:rsidR="00173579" w:rsidRPr="00F4722A" w:rsidRDefault="00173579" w:rsidP="00F4722A">
            <w:pPr>
              <w:pStyle w:val="ListBullet"/>
              <w:rPr>
                <w:sz w:val="20"/>
                <w:szCs w:val="20"/>
              </w:rPr>
            </w:pPr>
            <w:r w:rsidRPr="00F4722A">
              <w:rPr>
                <w:sz w:val="20"/>
                <w:szCs w:val="20"/>
              </w:rPr>
              <w:t>Long-term psoriasis data beyond 6 years</w:t>
            </w:r>
          </w:p>
          <w:p w:rsidR="00173579" w:rsidRPr="00F4722A" w:rsidRDefault="00173579" w:rsidP="00F4722A">
            <w:pPr>
              <w:pStyle w:val="ListBullet"/>
              <w:rPr>
                <w:sz w:val="20"/>
                <w:szCs w:val="20"/>
              </w:rPr>
            </w:pPr>
            <w:r w:rsidRPr="00F4722A">
              <w:rPr>
                <w:sz w:val="20"/>
                <w:szCs w:val="20"/>
              </w:rPr>
              <w:t>Episodic treatment in psoriasis</w:t>
            </w:r>
          </w:p>
          <w:p w:rsidR="00173579" w:rsidRPr="00F4722A" w:rsidRDefault="00173579" w:rsidP="00F4722A">
            <w:pPr>
              <w:pStyle w:val="ListBullet"/>
              <w:rPr>
                <w:sz w:val="20"/>
                <w:szCs w:val="20"/>
              </w:rPr>
            </w:pPr>
            <w:r w:rsidRPr="00F4722A">
              <w:rPr>
                <w:sz w:val="20"/>
                <w:szCs w:val="20"/>
              </w:rPr>
              <w:t xml:space="preserve">Short and long-term hidradenitis </w:t>
            </w:r>
            <w:proofErr w:type="spellStart"/>
            <w:r w:rsidRPr="00F4722A">
              <w:rPr>
                <w:sz w:val="20"/>
                <w:szCs w:val="20"/>
              </w:rPr>
              <w:t>suppurativa</w:t>
            </w:r>
            <w:proofErr w:type="spellEnd"/>
            <w:r w:rsidRPr="00F4722A">
              <w:rPr>
                <w:sz w:val="20"/>
                <w:szCs w:val="20"/>
              </w:rPr>
              <w:t xml:space="preserve"> data</w:t>
            </w:r>
          </w:p>
          <w:p w:rsidR="00173579" w:rsidRPr="00F4722A" w:rsidRDefault="00173579" w:rsidP="00F4722A">
            <w:pPr>
              <w:pStyle w:val="ListBullet"/>
              <w:rPr>
                <w:sz w:val="20"/>
                <w:szCs w:val="20"/>
              </w:rPr>
            </w:pPr>
            <w:r w:rsidRPr="00F4722A">
              <w:rPr>
                <w:sz w:val="20"/>
                <w:szCs w:val="20"/>
              </w:rPr>
              <w:t xml:space="preserve">Long-term </w:t>
            </w:r>
            <w:proofErr w:type="spellStart"/>
            <w:r w:rsidRPr="00F4722A">
              <w:rPr>
                <w:sz w:val="20"/>
                <w:szCs w:val="20"/>
              </w:rPr>
              <w:t>crohn’s</w:t>
            </w:r>
            <w:proofErr w:type="spellEnd"/>
            <w:r w:rsidRPr="00F4722A">
              <w:rPr>
                <w:sz w:val="20"/>
                <w:szCs w:val="20"/>
              </w:rPr>
              <w:t xml:space="preserve"> disease data beyond 5 years</w:t>
            </w:r>
          </w:p>
          <w:p w:rsidR="00173579" w:rsidRPr="00F4722A" w:rsidRDefault="00173579" w:rsidP="00F4722A">
            <w:pPr>
              <w:pStyle w:val="ListBullet"/>
              <w:rPr>
                <w:sz w:val="20"/>
                <w:szCs w:val="20"/>
              </w:rPr>
            </w:pPr>
            <w:r w:rsidRPr="00F4722A">
              <w:rPr>
                <w:sz w:val="20"/>
                <w:szCs w:val="20"/>
              </w:rPr>
              <w:t xml:space="preserve">Episodic treatment in </w:t>
            </w:r>
            <w:proofErr w:type="spellStart"/>
            <w:r w:rsidRPr="00F4722A">
              <w:rPr>
                <w:sz w:val="20"/>
                <w:szCs w:val="20"/>
              </w:rPr>
              <w:t>crohn’s</w:t>
            </w:r>
            <w:proofErr w:type="spellEnd"/>
            <w:r w:rsidRPr="00F4722A">
              <w:rPr>
                <w:sz w:val="20"/>
                <w:szCs w:val="20"/>
              </w:rPr>
              <w:t xml:space="preserve"> disease</w:t>
            </w:r>
          </w:p>
          <w:p w:rsidR="00173579" w:rsidRPr="00F4722A" w:rsidRDefault="00173579" w:rsidP="00F4722A">
            <w:pPr>
              <w:pStyle w:val="ListBullet"/>
              <w:rPr>
                <w:sz w:val="20"/>
                <w:szCs w:val="20"/>
              </w:rPr>
            </w:pPr>
            <w:r w:rsidRPr="00F4722A">
              <w:rPr>
                <w:sz w:val="20"/>
                <w:szCs w:val="20"/>
              </w:rPr>
              <w:t xml:space="preserve">Long-term paediatric </w:t>
            </w:r>
            <w:proofErr w:type="spellStart"/>
            <w:r w:rsidRPr="00F4722A">
              <w:rPr>
                <w:sz w:val="20"/>
                <w:szCs w:val="20"/>
              </w:rPr>
              <w:t>crohn’s</w:t>
            </w:r>
            <w:proofErr w:type="spellEnd"/>
            <w:r w:rsidRPr="00F4722A">
              <w:rPr>
                <w:sz w:val="20"/>
                <w:szCs w:val="20"/>
              </w:rPr>
              <w:t xml:space="preserve"> disease data beyond 2 years</w:t>
            </w:r>
          </w:p>
          <w:p w:rsidR="00173579" w:rsidRPr="00F4722A" w:rsidRDefault="00173579" w:rsidP="00F4722A">
            <w:pPr>
              <w:pStyle w:val="ListBullet"/>
              <w:rPr>
                <w:sz w:val="20"/>
                <w:szCs w:val="20"/>
              </w:rPr>
            </w:pPr>
            <w:r w:rsidRPr="00F4722A">
              <w:rPr>
                <w:sz w:val="20"/>
                <w:szCs w:val="20"/>
              </w:rPr>
              <w:t>Long-term ulcerative colitis data</w:t>
            </w:r>
          </w:p>
          <w:p w:rsidR="00173579" w:rsidRPr="00F4722A" w:rsidRDefault="00173579" w:rsidP="00F4722A">
            <w:pPr>
              <w:pStyle w:val="ListBullet"/>
              <w:rPr>
                <w:sz w:val="20"/>
                <w:szCs w:val="20"/>
              </w:rPr>
            </w:pPr>
            <w:r w:rsidRPr="00F4722A">
              <w:rPr>
                <w:sz w:val="20"/>
                <w:szCs w:val="20"/>
              </w:rPr>
              <w:t>Episodic treatment in ulcerative colitis</w:t>
            </w:r>
          </w:p>
          <w:p w:rsidR="00173579" w:rsidRPr="00F4722A" w:rsidRDefault="00173579" w:rsidP="00F4722A">
            <w:pPr>
              <w:pStyle w:val="ListBullet"/>
              <w:rPr>
                <w:lang w:eastAsia="en-US"/>
              </w:rPr>
            </w:pPr>
            <w:r w:rsidRPr="00F4722A">
              <w:rPr>
                <w:sz w:val="20"/>
                <w:szCs w:val="20"/>
              </w:rPr>
              <w:t>Short and long-term uveitis data</w:t>
            </w:r>
          </w:p>
        </w:tc>
      </w:tr>
    </w:tbl>
    <w:p w:rsidR="008E7846" w:rsidRDefault="008E7846" w:rsidP="00F4722A">
      <w:pPr>
        <w:pStyle w:val="Heading4"/>
        <w:rPr>
          <w:lang w:eastAsia="en-AU"/>
        </w:rPr>
      </w:pPr>
      <w:r>
        <w:rPr>
          <w:lang w:eastAsia="en-AU"/>
        </w:rPr>
        <w:lastRenderedPageBreak/>
        <w:t xml:space="preserve">Pharmacovigilance </w:t>
      </w:r>
      <w:r w:rsidR="003A7F6C" w:rsidRPr="00F4722A">
        <w:t>p</w:t>
      </w:r>
      <w:r w:rsidRPr="00F4722A">
        <w:t>lan</w:t>
      </w:r>
    </w:p>
    <w:p w:rsidR="00173579" w:rsidRDefault="00173579" w:rsidP="00F4722A">
      <w:r>
        <w:t>Routine pharmacovigilance is proposed to monitor the risks attributed to adalimumab.</w:t>
      </w:r>
    </w:p>
    <w:p w:rsidR="00173579" w:rsidRDefault="00173579" w:rsidP="00F4722A">
      <w:r>
        <w:t>The RMP and ASA describe several planned and ongoing additional pharmacovigilance activities relating to the multiple approved indications.</w:t>
      </w:r>
    </w:p>
    <w:p w:rsidR="00173579" w:rsidRDefault="00173579" w:rsidP="00F4722A">
      <w:r>
        <w:t>Of relevance to the application is the following ongoing study:</w:t>
      </w:r>
    </w:p>
    <w:p w:rsidR="00173579" w:rsidRDefault="00173579" w:rsidP="00F4722A">
      <w:pPr>
        <w:pStyle w:val="ListBullet"/>
      </w:pPr>
      <w:r>
        <w:t>Study P10-262</w:t>
      </w:r>
      <w:r w:rsidR="008F45D2">
        <w:t>:</w:t>
      </w:r>
      <w:r>
        <w:t xml:space="preserve"> a 10 year </w:t>
      </w:r>
      <w:r w:rsidRPr="00F4722A">
        <w:t>registry</w:t>
      </w:r>
      <w:r>
        <w:t xml:space="preserve"> of JIA </w:t>
      </w:r>
      <w:proofErr w:type="gramStart"/>
      <w:r>
        <w:t>patients</w:t>
      </w:r>
      <w:proofErr w:type="gramEnd"/>
      <w:r>
        <w:t xml:space="preserve"> </w:t>
      </w:r>
      <w:r w:rsidR="00974CDD">
        <w:rPr>
          <w:lang w:val="en-US"/>
        </w:rPr>
        <w:t>≥</w:t>
      </w:r>
      <w:r w:rsidR="00237330">
        <w:rPr>
          <w:lang w:val="en-US"/>
        </w:rPr>
        <w:t xml:space="preserve"> </w:t>
      </w:r>
      <w:r>
        <w:t>2 years treated with adalimumab. Interim data is reported in August annually, final report due December 2021.</w:t>
      </w:r>
      <w:r w:rsidR="00F071E1">
        <w:t xml:space="preserve"> </w:t>
      </w:r>
      <w:r>
        <w:t>The sponsor has advised that enrolment has now completed.</w:t>
      </w:r>
    </w:p>
    <w:p w:rsidR="008E7846" w:rsidRDefault="008E7846" w:rsidP="00F4722A">
      <w:pPr>
        <w:pStyle w:val="Heading4"/>
        <w:rPr>
          <w:lang w:eastAsia="en-AU"/>
        </w:rPr>
      </w:pPr>
      <w:r>
        <w:rPr>
          <w:lang w:eastAsia="en-AU"/>
        </w:rPr>
        <w:lastRenderedPageBreak/>
        <w:t xml:space="preserve">Risk </w:t>
      </w:r>
      <w:r w:rsidR="003A7F6C">
        <w:rPr>
          <w:lang w:eastAsia="en-AU"/>
        </w:rPr>
        <w:t>m</w:t>
      </w:r>
      <w:r>
        <w:rPr>
          <w:lang w:eastAsia="en-AU"/>
        </w:rPr>
        <w:t xml:space="preserve">inimisation </w:t>
      </w:r>
      <w:r w:rsidR="003A7F6C" w:rsidRPr="00F4722A">
        <w:t>a</w:t>
      </w:r>
      <w:r w:rsidRPr="00F4722A">
        <w:t>ctivities</w:t>
      </w:r>
    </w:p>
    <w:p w:rsidR="00173579" w:rsidRDefault="00173579" w:rsidP="00F4722A">
      <w:bookmarkStart w:id="103" w:name="_Toc247691527"/>
      <w:r>
        <w:t xml:space="preserve">Routine risk minimisation is proposed for the safety concerns attributed to adalimumab except for potential risks </w:t>
      </w:r>
      <w:r w:rsidRPr="00CE6A5A">
        <w:rPr>
          <w:i/>
        </w:rPr>
        <w:t>‘progressive multifocal leukoencephalopathy’, ‘reversible posterior leukoencephalopathy’, ‘amyotrophic lateral sclerosis’, ‘colon cancer in ulcerative colitis patients’, ‘infection in infants exposed to adalimumab in utero’</w:t>
      </w:r>
      <w:r>
        <w:t xml:space="preserve"> for which no risk minimisation is proposed.</w:t>
      </w:r>
    </w:p>
    <w:p w:rsidR="00173579" w:rsidRDefault="00173579" w:rsidP="00CE6A5A">
      <w:r>
        <w:t>Additional risk minimisation in the form of an educational program is proposed for the following safety concerns:</w:t>
      </w:r>
    </w:p>
    <w:p w:rsidR="00173579" w:rsidRDefault="00173579" w:rsidP="00CE6A5A">
      <w:pPr>
        <w:pStyle w:val="ListBullet"/>
      </w:pPr>
      <w:r>
        <w:t xml:space="preserve">Serious </w:t>
      </w:r>
      <w:r w:rsidRPr="00CE6A5A">
        <w:t>infections</w:t>
      </w:r>
      <w:r>
        <w:t xml:space="preserve"> including diverticulitis and opportunistic infections </w:t>
      </w:r>
      <w:r w:rsidR="008F45D2">
        <w:t>for example,</w:t>
      </w:r>
      <w:r>
        <w:t xml:space="preserve"> invasive fungal infections, parasitic infections, </w:t>
      </w:r>
      <w:proofErr w:type="spellStart"/>
      <w:r>
        <w:t>legionellosis</w:t>
      </w:r>
      <w:proofErr w:type="spellEnd"/>
      <w:r>
        <w:t xml:space="preserve"> and </w:t>
      </w:r>
      <w:r w:rsidR="008F45D2">
        <w:t>tuberculosis (</w:t>
      </w:r>
      <w:r>
        <w:t>TB</w:t>
      </w:r>
      <w:r w:rsidR="008F45D2">
        <w:t>)</w:t>
      </w:r>
    </w:p>
    <w:p w:rsidR="00173579" w:rsidRDefault="00173579" w:rsidP="00CE6A5A">
      <w:pPr>
        <w:pStyle w:val="ListBullet"/>
      </w:pPr>
      <w:r>
        <w:t>Lymphoma</w:t>
      </w:r>
    </w:p>
    <w:p w:rsidR="00173579" w:rsidRDefault="00173579" w:rsidP="00CE6A5A">
      <w:pPr>
        <w:pStyle w:val="ListBullet"/>
      </w:pPr>
      <w:proofErr w:type="spellStart"/>
      <w:r>
        <w:t>Hepatosplenic</w:t>
      </w:r>
      <w:proofErr w:type="spellEnd"/>
      <w:r>
        <w:t xml:space="preserve"> T-cell lymphoma</w:t>
      </w:r>
    </w:p>
    <w:p w:rsidR="00173579" w:rsidRDefault="00173579" w:rsidP="00CE6A5A">
      <w:pPr>
        <w:pStyle w:val="ListBullet"/>
      </w:pPr>
      <w:r>
        <w:t>Leukemia</w:t>
      </w:r>
    </w:p>
    <w:p w:rsidR="00173579" w:rsidRPr="008F45D2" w:rsidRDefault="008F45D2" w:rsidP="00CE6A5A">
      <w:pPr>
        <w:pStyle w:val="ListBullet"/>
      </w:pPr>
      <w:r w:rsidRPr="008F45D2">
        <w:t>Non-melanoma skin cancer (</w:t>
      </w:r>
      <w:r w:rsidR="00173579" w:rsidRPr="008F45D2">
        <w:t>NMSC</w:t>
      </w:r>
      <w:r w:rsidRPr="008F45D2">
        <w:t>)</w:t>
      </w:r>
    </w:p>
    <w:p w:rsidR="00173579" w:rsidRDefault="00173579" w:rsidP="00CE6A5A">
      <w:pPr>
        <w:pStyle w:val="ListBullet"/>
      </w:pPr>
      <w:r>
        <w:t>Melanoma</w:t>
      </w:r>
    </w:p>
    <w:p w:rsidR="00173579" w:rsidRDefault="00173579" w:rsidP="00CE6A5A">
      <w:pPr>
        <w:pStyle w:val="ListBullet"/>
      </w:pPr>
      <w:r>
        <w:t>Demyelinating disorders</w:t>
      </w:r>
    </w:p>
    <w:p w:rsidR="00173579" w:rsidRPr="008F45D2" w:rsidRDefault="008F45D2" w:rsidP="00CE6A5A">
      <w:pPr>
        <w:pStyle w:val="ListBullet"/>
      </w:pPr>
      <w:r w:rsidRPr="005800DC">
        <w:t>Congestive heart failure (</w:t>
      </w:r>
      <w:r w:rsidR="00173579" w:rsidRPr="008F45D2">
        <w:t>CHF</w:t>
      </w:r>
      <w:r w:rsidRPr="008F45D2">
        <w:t>)</w:t>
      </w:r>
    </w:p>
    <w:p w:rsidR="00173579" w:rsidRDefault="00173579" w:rsidP="00CE6A5A">
      <w:pPr>
        <w:pStyle w:val="ListBullet"/>
      </w:pPr>
      <w:r>
        <w:t>Medication errors and maladministration</w:t>
      </w:r>
    </w:p>
    <w:p w:rsidR="00173579" w:rsidRPr="008F45D2" w:rsidRDefault="00173579" w:rsidP="00CE6A5A">
      <w:pPr>
        <w:pStyle w:val="ListBullet"/>
      </w:pPr>
      <w:r>
        <w:t xml:space="preserve">Other malignancies (except </w:t>
      </w:r>
      <w:r w:rsidRPr="008F45D2">
        <w:t xml:space="preserve">lymphoma, </w:t>
      </w:r>
      <w:proofErr w:type="spellStart"/>
      <w:r w:rsidR="008F45D2" w:rsidRPr="008F45D2">
        <w:t>Hepatosplenic</w:t>
      </w:r>
      <w:proofErr w:type="spellEnd"/>
      <w:r w:rsidR="008F45D2" w:rsidRPr="008F45D2">
        <w:t xml:space="preserve"> T-cell Lymphoma (</w:t>
      </w:r>
      <w:r w:rsidRPr="008F45D2">
        <w:t>HSTCL</w:t>
      </w:r>
      <w:r w:rsidR="008F45D2" w:rsidRPr="008F45D2">
        <w:t>)</w:t>
      </w:r>
      <w:r w:rsidRPr="008F45D2">
        <w:t>, leukemia, NMSC and melanoma)</w:t>
      </w:r>
    </w:p>
    <w:p w:rsidR="00173579" w:rsidRDefault="00173579" w:rsidP="00CE6A5A">
      <w:r>
        <w:t xml:space="preserve">According to the ASA the sponsor is conducting a </w:t>
      </w:r>
      <w:r w:rsidR="002B4974">
        <w:t>‘</w:t>
      </w:r>
      <w:r>
        <w:t>global risk minimisation program</w:t>
      </w:r>
      <w:r w:rsidR="002B4974">
        <w:t>’</w:t>
      </w:r>
      <w:r>
        <w:t>.</w:t>
      </w:r>
      <w:r w:rsidR="00F071E1">
        <w:t xml:space="preserve"> </w:t>
      </w:r>
      <w:r>
        <w:t>This includes an educational program consisting of the following:</w:t>
      </w:r>
    </w:p>
    <w:p w:rsidR="00173579" w:rsidRDefault="00173579" w:rsidP="00CE6A5A">
      <w:pPr>
        <w:pStyle w:val="ListBullet"/>
      </w:pPr>
      <w:r>
        <w:t>Safety monograph</w:t>
      </w:r>
    </w:p>
    <w:p w:rsidR="00173579" w:rsidRDefault="00173579" w:rsidP="00CE6A5A">
      <w:pPr>
        <w:pStyle w:val="ListBullet"/>
      </w:pPr>
      <w:r>
        <w:t>Patient information card (adult and paediatric versions)</w:t>
      </w:r>
    </w:p>
    <w:p w:rsidR="00173579" w:rsidRDefault="00173579" w:rsidP="00CE6A5A">
      <w:pPr>
        <w:pStyle w:val="ListBullet"/>
      </w:pPr>
      <w:r>
        <w:t>TB screening brochure</w:t>
      </w:r>
    </w:p>
    <w:p w:rsidR="00173579" w:rsidRDefault="00173579" w:rsidP="00CE6A5A">
      <w:pPr>
        <w:pStyle w:val="ListBullet"/>
      </w:pPr>
      <w:r>
        <w:t>TB screening checklist</w:t>
      </w:r>
    </w:p>
    <w:p w:rsidR="00173579" w:rsidRDefault="00173579" w:rsidP="00CE6A5A">
      <w:pPr>
        <w:pStyle w:val="ListBullet"/>
      </w:pPr>
      <w:r>
        <w:t>Safety publication</w:t>
      </w:r>
    </w:p>
    <w:p w:rsidR="00173579" w:rsidRPr="00CE6A5A" w:rsidRDefault="00173579" w:rsidP="00CE6A5A">
      <w:r>
        <w:t xml:space="preserve">According to the ASA these risk minimisation measures </w:t>
      </w:r>
      <w:r w:rsidR="002B4974" w:rsidRPr="00CE6A5A">
        <w:t>‘</w:t>
      </w:r>
      <w:r w:rsidRPr="00CE6A5A">
        <w:rPr>
          <w:i/>
        </w:rPr>
        <w:t>are in the process of being implemented in Australia</w:t>
      </w:r>
      <w:r w:rsidR="002B4974" w:rsidRPr="00CE6A5A">
        <w:t>’</w:t>
      </w:r>
      <w:r w:rsidRPr="00CE6A5A">
        <w:t>.</w:t>
      </w:r>
    </w:p>
    <w:p w:rsidR="00173579" w:rsidRDefault="00173579" w:rsidP="00CE6A5A">
      <w:r>
        <w:t>The ASA further stipulates that the risk minimisation program for Australia includes the following:</w:t>
      </w:r>
    </w:p>
    <w:p w:rsidR="00173579" w:rsidRDefault="00173579" w:rsidP="00CE6A5A">
      <w:pPr>
        <w:pStyle w:val="ListBullet"/>
      </w:pPr>
      <w:r>
        <w:t>Patient support program including a patient information booklet and patient alert card</w:t>
      </w:r>
    </w:p>
    <w:p w:rsidR="00173579" w:rsidRDefault="00173579" w:rsidP="00CE6A5A">
      <w:pPr>
        <w:pStyle w:val="ListBullet"/>
      </w:pPr>
      <w:proofErr w:type="spellStart"/>
      <w:r>
        <w:t>Humira</w:t>
      </w:r>
      <w:proofErr w:type="spellEnd"/>
      <w:r>
        <w:t xml:space="preserve"> safety summary sheet</w:t>
      </w:r>
    </w:p>
    <w:p w:rsidR="00173579" w:rsidRDefault="00173579" w:rsidP="00CE6A5A">
      <w:r>
        <w:t xml:space="preserve">The ASA also describes the following activities as </w:t>
      </w:r>
      <w:r w:rsidR="002B4974">
        <w:t>‘</w:t>
      </w:r>
      <w:r>
        <w:rPr>
          <w:i/>
        </w:rPr>
        <w:t>under development</w:t>
      </w:r>
      <w:r w:rsidR="002B4974">
        <w:t>’</w:t>
      </w:r>
      <w:r>
        <w:t>:</w:t>
      </w:r>
    </w:p>
    <w:p w:rsidR="00173579" w:rsidRDefault="00173579" w:rsidP="00CE6A5A">
      <w:pPr>
        <w:pStyle w:val="ListBullet"/>
      </w:pPr>
      <w:r>
        <w:t>Evaluation tool</w:t>
      </w:r>
      <w:r w:rsidR="008F45D2">
        <w:t>:</w:t>
      </w:r>
      <w:r>
        <w:t xml:space="preserve"> an online survey to assess the effectiveness of the Australian Educational Program.</w:t>
      </w:r>
    </w:p>
    <w:p w:rsidR="006F25B8" w:rsidRDefault="006F25B8" w:rsidP="00CE6A5A">
      <w:pPr>
        <w:pStyle w:val="Heading4"/>
        <w:rPr>
          <w:lang w:eastAsia="en-AU"/>
        </w:rPr>
      </w:pPr>
      <w:r w:rsidRPr="006F25B8">
        <w:rPr>
          <w:lang w:eastAsia="en-AU"/>
        </w:rPr>
        <w:t xml:space="preserve">Reconciliation of </w:t>
      </w:r>
      <w:r w:rsidRPr="00CE6A5A">
        <w:t>issues</w:t>
      </w:r>
      <w:r w:rsidR="00CE6A5A">
        <w:rPr>
          <w:lang w:eastAsia="en-AU"/>
        </w:rPr>
        <w:t xml:space="preserve"> outlined in the RMP report</w:t>
      </w:r>
    </w:p>
    <w:p w:rsidR="006F25B8" w:rsidRDefault="006F25B8" w:rsidP="00CE6A5A">
      <w:pPr>
        <w:rPr>
          <w:lang w:eastAsia="en-AU"/>
        </w:rPr>
      </w:pPr>
      <w:r>
        <w:rPr>
          <w:lang w:eastAsia="en-AU"/>
        </w:rPr>
        <w:t xml:space="preserve">Table </w:t>
      </w:r>
      <w:r w:rsidR="00237330">
        <w:rPr>
          <w:lang w:eastAsia="en-AU"/>
        </w:rPr>
        <w:t>6</w:t>
      </w:r>
      <w:r>
        <w:rPr>
          <w:lang w:eastAsia="en-AU"/>
        </w:rPr>
        <w:t xml:space="preserve"> summarises the </w:t>
      </w:r>
      <w:r w:rsidR="008F45D2">
        <w:rPr>
          <w:lang w:eastAsia="en-AU"/>
        </w:rPr>
        <w:t>F</w:t>
      </w:r>
      <w:r>
        <w:rPr>
          <w:lang w:eastAsia="en-AU"/>
        </w:rPr>
        <w:t xml:space="preserve">irst round evaluation of the RMP, the sponsor’s responses to issues raised by the </w:t>
      </w:r>
      <w:r w:rsidR="008F45D2">
        <w:rPr>
          <w:lang w:eastAsia="en-AU"/>
        </w:rPr>
        <w:t>evaluator</w:t>
      </w:r>
      <w:r w:rsidR="00173579">
        <w:rPr>
          <w:lang w:eastAsia="en-AU"/>
        </w:rPr>
        <w:t xml:space="preserve"> of the sponsor’s responses</w:t>
      </w:r>
      <w:r w:rsidR="008F45D2">
        <w:rPr>
          <w:lang w:eastAsia="en-AU"/>
        </w:rPr>
        <w:t xml:space="preserve"> and the evaluator’s comment(s) on the sponsor’s response</w:t>
      </w:r>
      <w:r w:rsidR="00173579">
        <w:rPr>
          <w:lang w:eastAsia="en-AU"/>
        </w:rPr>
        <w:t>.</w:t>
      </w:r>
    </w:p>
    <w:p w:rsidR="00173579" w:rsidRDefault="008F45D2" w:rsidP="00CE6A5A">
      <w:pPr>
        <w:pStyle w:val="TableTitle"/>
      </w:pPr>
      <w:r>
        <w:lastRenderedPageBreak/>
        <w:t xml:space="preserve">Table </w:t>
      </w:r>
      <w:r w:rsidR="00237330">
        <w:t>6</w:t>
      </w:r>
      <w:r>
        <w:t xml:space="preserve">: </w:t>
      </w:r>
      <w:r w:rsidR="00173579">
        <w:t xml:space="preserve">Reconciliation of issues </w:t>
      </w:r>
      <w:r w:rsidR="00173579" w:rsidRPr="00CE6A5A">
        <w:t>outlined</w:t>
      </w:r>
      <w:r w:rsidR="00173579">
        <w:t xml:space="preserve"> in the RMP Evaluation Report (Round 1)</w:t>
      </w:r>
    </w:p>
    <w:tbl>
      <w:tblPr>
        <w:tblStyle w:val="TableTGAblue"/>
        <w:tblW w:w="5000" w:type="pct"/>
        <w:tblLayout w:type="fixed"/>
        <w:tblLook w:val="04A0" w:firstRow="1" w:lastRow="0" w:firstColumn="1" w:lastColumn="0" w:noHBand="0" w:noVBand="1"/>
      </w:tblPr>
      <w:tblGrid>
        <w:gridCol w:w="2519"/>
        <w:gridCol w:w="3969"/>
        <w:gridCol w:w="2232"/>
      </w:tblGrid>
      <w:tr w:rsidR="00173579" w:rsidRPr="00CE6A5A" w:rsidTr="00CE6A5A">
        <w:trPr>
          <w:cnfStyle w:val="100000000000" w:firstRow="1" w:lastRow="0" w:firstColumn="0" w:lastColumn="0" w:oddVBand="0" w:evenVBand="0" w:oddHBand="0" w:evenHBand="0" w:firstRowFirstColumn="0" w:firstRowLastColumn="0" w:lastRowFirstColumn="0" w:lastRowLastColumn="0"/>
        </w:trPr>
        <w:tc>
          <w:tcPr>
            <w:tcW w:w="1444" w:type="pct"/>
            <w:noWrap/>
            <w:hideMark/>
          </w:tcPr>
          <w:p w:rsidR="00173579" w:rsidRPr="00CE6A5A" w:rsidRDefault="00173579" w:rsidP="00CE6A5A">
            <w:pPr>
              <w:ind w:left="0" w:right="0"/>
              <w:rPr>
                <w:sz w:val="20"/>
                <w:szCs w:val="20"/>
              </w:rPr>
            </w:pPr>
            <w:r w:rsidRPr="00CE6A5A">
              <w:rPr>
                <w:sz w:val="20"/>
                <w:szCs w:val="20"/>
              </w:rPr>
              <w:t>Recommendation in RMP evaluation report</w:t>
            </w:r>
          </w:p>
        </w:tc>
        <w:tc>
          <w:tcPr>
            <w:tcW w:w="2276" w:type="pct"/>
            <w:noWrap/>
          </w:tcPr>
          <w:p w:rsidR="00173579" w:rsidRPr="00CE6A5A" w:rsidRDefault="00173579" w:rsidP="00CE6A5A">
            <w:pPr>
              <w:ind w:left="33" w:right="0"/>
              <w:rPr>
                <w:sz w:val="20"/>
                <w:szCs w:val="20"/>
              </w:rPr>
            </w:pPr>
            <w:r w:rsidRPr="00CE6A5A">
              <w:rPr>
                <w:sz w:val="20"/>
                <w:szCs w:val="20"/>
              </w:rPr>
              <w:t>Sponsor’s response (or summary of the response)</w:t>
            </w:r>
          </w:p>
        </w:tc>
        <w:tc>
          <w:tcPr>
            <w:tcW w:w="1280" w:type="pct"/>
            <w:noWrap/>
            <w:hideMark/>
          </w:tcPr>
          <w:p w:rsidR="00173579" w:rsidRPr="00CE6A5A" w:rsidRDefault="00173579" w:rsidP="00CE6A5A">
            <w:pPr>
              <w:ind w:left="33" w:right="-1"/>
              <w:rPr>
                <w:sz w:val="20"/>
                <w:szCs w:val="20"/>
              </w:rPr>
            </w:pPr>
            <w:r w:rsidRPr="00CE6A5A">
              <w:rPr>
                <w:sz w:val="20"/>
                <w:szCs w:val="20"/>
              </w:rPr>
              <w:t>RMP evaluator’s comment</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1. </w:t>
            </w:r>
            <w:r w:rsidR="00173579" w:rsidRPr="00CE6A5A">
              <w:rPr>
                <w:sz w:val="20"/>
                <w:szCs w:val="20"/>
              </w:rPr>
              <w:t>Safety considerations may be raised by the clinical evaluator and/or the Clinical Evaluation Report respectively. It is important to ensure that the information provided in response to these includes consideration of the relevance for the Risk Management Plan, and any specific information needed to address this issue in the RMP. For any safety considerations so raised, the sponsor should provide information that is relevant and necessary t</w:t>
            </w:r>
            <w:r w:rsidR="00CE6A5A">
              <w:rPr>
                <w:sz w:val="20"/>
                <w:szCs w:val="20"/>
              </w:rPr>
              <w:t>o address the issue in the RMP.</w:t>
            </w:r>
          </w:p>
        </w:tc>
        <w:tc>
          <w:tcPr>
            <w:tcW w:w="2276" w:type="pct"/>
            <w:noWrap/>
          </w:tcPr>
          <w:p w:rsidR="00173579" w:rsidRPr="00CE6A5A" w:rsidRDefault="00173579" w:rsidP="00CE6A5A">
            <w:pPr>
              <w:ind w:left="33" w:right="0"/>
              <w:rPr>
                <w:sz w:val="20"/>
                <w:szCs w:val="20"/>
              </w:rPr>
            </w:pPr>
            <w:r w:rsidRPr="00CE6A5A">
              <w:rPr>
                <w:sz w:val="20"/>
                <w:szCs w:val="20"/>
              </w:rPr>
              <w:t xml:space="preserve"> AbbVie acknowledges that issues raised throughout the clinical evaluation process may impact on the </w:t>
            </w:r>
            <w:proofErr w:type="spellStart"/>
            <w:r w:rsidRPr="00CE6A5A">
              <w:rPr>
                <w:sz w:val="20"/>
                <w:szCs w:val="20"/>
              </w:rPr>
              <w:t>Humira</w:t>
            </w:r>
            <w:proofErr w:type="spellEnd"/>
            <w:r w:rsidRPr="00CE6A5A">
              <w:rPr>
                <w:sz w:val="20"/>
                <w:szCs w:val="20"/>
              </w:rPr>
              <w:t xml:space="preserve"> Risk Management Plan, and an assurance is provided that the RMP will be revised to include relevant information needed to address new safety considerations. No new safety signals or new trends were observed for the JIA 2-4 patient population during t</w:t>
            </w:r>
            <w:r w:rsidR="00CE6A5A">
              <w:rPr>
                <w:sz w:val="20"/>
                <w:szCs w:val="20"/>
              </w:rPr>
              <w:t>he M10-444 trial.</w:t>
            </w:r>
          </w:p>
          <w:p w:rsidR="00173579" w:rsidRPr="00CE6A5A" w:rsidRDefault="00173579" w:rsidP="00CE6A5A">
            <w:pPr>
              <w:ind w:left="33" w:right="0"/>
              <w:rPr>
                <w:sz w:val="20"/>
                <w:szCs w:val="20"/>
              </w:rPr>
            </w:pPr>
            <w:r w:rsidRPr="00CE6A5A">
              <w:rPr>
                <w:sz w:val="20"/>
                <w:szCs w:val="20"/>
              </w:rPr>
              <w:t xml:space="preserve">No dose-limiting toxicity for adalimumab has been observed in any of the adalimumab clinical programs undertaken to date. Treatment should be initiated and supervised by specialist physicians experienced in the treatment of RA, JIA, </w:t>
            </w:r>
            <w:proofErr w:type="spellStart"/>
            <w:r w:rsidRPr="00CE6A5A">
              <w:rPr>
                <w:sz w:val="20"/>
                <w:szCs w:val="20"/>
              </w:rPr>
              <w:t>PsA</w:t>
            </w:r>
            <w:proofErr w:type="spellEnd"/>
            <w:r w:rsidRPr="00CE6A5A">
              <w:rPr>
                <w:sz w:val="20"/>
                <w:szCs w:val="20"/>
              </w:rPr>
              <w:t xml:space="preserve">, AS, CD, </w:t>
            </w:r>
            <w:proofErr w:type="spellStart"/>
            <w:r w:rsidRPr="00CE6A5A">
              <w:rPr>
                <w:sz w:val="20"/>
                <w:szCs w:val="20"/>
              </w:rPr>
              <w:t>paed</w:t>
            </w:r>
            <w:proofErr w:type="spellEnd"/>
            <w:r w:rsidRPr="00CE6A5A">
              <w:rPr>
                <w:sz w:val="20"/>
                <w:szCs w:val="20"/>
              </w:rPr>
              <w:t>-CD, Ps, UC, where these indications are approved. These measures are designed to minimise the potential for me</w:t>
            </w:r>
            <w:r w:rsidR="00CE6A5A">
              <w:rPr>
                <w:sz w:val="20"/>
                <w:szCs w:val="20"/>
              </w:rPr>
              <w:t>dication administration errors.</w:t>
            </w:r>
          </w:p>
          <w:p w:rsidR="00173579" w:rsidRPr="00CE6A5A" w:rsidRDefault="00173579" w:rsidP="00CE6A5A">
            <w:pPr>
              <w:ind w:left="33" w:right="0"/>
              <w:rPr>
                <w:sz w:val="20"/>
                <w:szCs w:val="20"/>
              </w:rPr>
            </w:pPr>
            <w:r w:rsidRPr="00CE6A5A">
              <w:rPr>
                <w:sz w:val="20"/>
                <w:szCs w:val="20"/>
              </w:rPr>
              <w:t>Overdose of adalimumab has not shown any risk of harm based on safety surveillance to date.</w:t>
            </w:r>
          </w:p>
        </w:tc>
        <w:tc>
          <w:tcPr>
            <w:tcW w:w="1280" w:type="pct"/>
            <w:noWrap/>
            <w:hideMark/>
          </w:tcPr>
          <w:p w:rsidR="00173579" w:rsidRPr="00CE6A5A" w:rsidRDefault="00173579" w:rsidP="00CE6A5A">
            <w:pPr>
              <w:ind w:left="33" w:right="-1"/>
              <w:rPr>
                <w:sz w:val="20"/>
                <w:szCs w:val="20"/>
              </w:rPr>
            </w:pPr>
            <w:r w:rsidRPr="00CE6A5A">
              <w:rPr>
                <w:sz w:val="20"/>
                <w:szCs w:val="20"/>
              </w:rPr>
              <w:t>This is acceptable.</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2. </w:t>
            </w:r>
            <w:r w:rsidR="00173579" w:rsidRPr="00CE6A5A">
              <w:rPr>
                <w:sz w:val="20"/>
                <w:szCs w:val="20"/>
              </w:rPr>
              <w:t>The EU‐RMP has a data lock point of 6 November 2010. Therefore contemporary safety and exposure information relating to the proposed extension of indication (and other indications) has not been included. The corresponding sections of the RMP should be amended and an updated RMP provided.</w:t>
            </w:r>
          </w:p>
        </w:tc>
        <w:tc>
          <w:tcPr>
            <w:tcW w:w="2276" w:type="pct"/>
            <w:noWrap/>
            <w:hideMark/>
          </w:tcPr>
          <w:p w:rsidR="00173579" w:rsidRPr="00CE6A5A" w:rsidRDefault="00173579" w:rsidP="00CE6A5A">
            <w:pPr>
              <w:ind w:left="33" w:right="0"/>
              <w:rPr>
                <w:sz w:val="20"/>
                <w:szCs w:val="20"/>
              </w:rPr>
            </w:pPr>
            <w:r w:rsidRPr="00CE6A5A">
              <w:rPr>
                <w:sz w:val="20"/>
                <w:szCs w:val="20"/>
              </w:rPr>
              <w:t>Please find included as part of this response a copy of RMP Version number 11.1.2_EU, dated September 2014, which has a revised data lock point of 31 December 2012. The revised EU-RMP contains updated safety and exposure information, including data for new indications which have been approved worldwide up until the data lock point of 31 December 2012.</w:t>
            </w:r>
          </w:p>
        </w:tc>
        <w:tc>
          <w:tcPr>
            <w:tcW w:w="1280" w:type="pct"/>
            <w:noWrap/>
            <w:hideMark/>
          </w:tcPr>
          <w:p w:rsidR="00173579" w:rsidRPr="00CE6A5A" w:rsidRDefault="00173579" w:rsidP="00CE6A5A">
            <w:pPr>
              <w:ind w:left="33" w:right="-1"/>
              <w:rPr>
                <w:sz w:val="20"/>
                <w:szCs w:val="20"/>
              </w:rPr>
            </w:pPr>
            <w:r w:rsidRPr="00CE6A5A">
              <w:rPr>
                <w:sz w:val="20"/>
                <w:szCs w:val="20"/>
              </w:rPr>
              <w:t>This is acceptable.</w:t>
            </w:r>
            <w:r w:rsidR="00F071E1" w:rsidRPr="00CE6A5A">
              <w:rPr>
                <w:sz w:val="20"/>
                <w:szCs w:val="20"/>
              </w:rPr>
              <w:t xml:space="preserve"> </w:t>
            </w:r>
            <w:r w:rsidRPr="00CE6A5A">
              <w:rPr>
                <w:sz w:val="20"/>
                <w:szCs w:val="20"/>
              </w:rPr>
              <w:t>It is recommended to the Delegate that this version is implemented as the RMP for this</w:t>
            </w:r>
            <w:r w:rsidR="008F45D2" w:rsidRPr="00CE6A5A">
              <w:rPr>
                <w:sz w:val="20"/>
                <w:szCs w:val="20"/>
              </w:rPr>
              <w:t xml:space="preserve"> submission</w:t>
            </w:r>
            <w:r w:rsidRPr="00CE6A5A">
              <w:rPr>
                <w:sz w:val="20"/>
                <w:szCs w:val="20"/>
              </w:rPr>
              <w:t>.</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3. </w:t>
            </w:r>
            <w:r w:rsidR="00173579" w:rsidRPr="00CE6A5A">
              <w:rPr>
                <w:sz w:val="20"/>
                <w:szCs w:val="20"/>
              </w:rPr>
              <w:t>Several milestones attached to additional pharmacovigilance activities suggest that the corresponding studies have concluded. The sponsor should ensure that the Pharmacovigilance plan is amended to reflect the studies which have since completed.</w:t>
            </w:r>
          </w:p>
        </w:tc>
        <w:tc>
          <w:tcPr>
            <w:tcW w:w="2276" w:type="pct"/>
            <w:noWrap/>
          </w:tcPr>
          <w:p w:rsidR="00173579" w:rsidRPr="00CE6A5A" w:rsidRDefault="00173579" w:rsidP="00CE6A5A">
            <w:pPr>
              <w:ind w:left="33" w:right="0"/>
              <w:rPr>
                <w:sz w:val="20"/>
                <w:szCs w:val="20"/>
              </w:rPr>
            </w:pPr>
            <w:r w:rsidRPr="00CE6A5A">
              <w:rPr>
                <w:sz w:val="20"/>
                <w:szCs w:val="20"/>
              </w:rPr>
              <w:t>As indicated by the TGA RMP evaluator, milestones attached to a number of additional pharmacovigilance activities have concluded. The most recent Periodic Safety Report (PSUR) for adalimumab, for the reporting interval of 01</w:t>
            </w:r>
            <w:r w:rsidR="008F45D2" w:rsidRPr="00CE6A5A">
              <w:rPr>
                <w:sz w:val="20"/>
                <w:szCs w:val="20"/>
              </w:rPr>
              <w:t xml:space="preserve"> </w:t>
            </w:r>
            <w:r w:rsidRPr="00CE6A5A">
              <w:rPr>
                <w:sz w:val="20"/>
                <w:szCs w:val="20"/>
              </w:rPr>
              <w:t>January</w:t>
            </w:r>
            <w:r w:rsidR="008F45D2" w:rsidRPr="00CE6A5A">
              <w:rPr>
                <w:sz w:val="20"/>
                <w:szCs w:val="20"/>
              </w:rPr>
              <w:t xml:space="preserve"> </w:t>
            </w:r>
            <w:r w:rsidRPr="00CE6A5A">
              <w:rPr>
                <w:sz w:val="20"/>
                <w:szCs w:val="20"/>
              </w:rPr>
              <w:t>2011 through 31</w:t>
            </w:r>
            <w:r w:rsidR="008F45D2" w:rsidRPr="00CE6A5A">
              <w:rPr>
                <w:sz w:val="20"/>
                <w:szCs w:val="20"/>
              </w:rPr>
              <w:t xml:space="preserve"> </w:t>
            </w:r>
            <w:r w:rsidRPr="00CE6A5A">
              <w:rPr>
                <w:sz w:val="20"/>
                <w:szCs w:val="20"/>
              </w:rPr>
              <w:t>December</w:t>
            </w:r>
            <w:r w:rsidR="008F45D2" w:rsidRPr="00CE6A5A">
              <w:rPr>
                <w:sz w:val="20"/>
                <w:szCs w:val="20"/>
              </w:rPr>
              <w:t xml:space="preserve"> 2</w:t>
            </w:r>
            <w:r w:rsidRPr="00CE6A5A">
              <w:rPr>
                <w:sz w:val="20"/>
                <w:szCs w:val="20"/>
              </w:rPr>
              <w:t xml:space="preserve">013, detailed the status of the studies which had concluded up until the data lock point of 31 December 2013. The </w:t>
            </w:r>
            <w:proofErr w:type="spellStart"/>
            <w:r w:rsidR="002B4974" w:rsidRPr="00CE6A5A">
              <w:rPr>
                <w:sz w:val="20"/>
                <w:szCs w:val="20"/>
              </w:rPr>
              <w:t>Humira</w:t>
            </w:r>
            <w:proofErr w:type="spellEnd"/>
            <w:r w:rsidRPr="00CE6A5A">
              <w:rPr>
                <w:sz w:val="20"/>
                <w:szCs w:val="20"/>
              </w:rPr>
              <w:t xml:space="preserve"> PSUR was submitted to the TGA on 28 March 2014 but a copy of the relevant sections of the PSUR is able to be provided to the TGA for ease of </w:t>
            </w:r>
            <w:r w:rsidRPr="00CE6A5A">
              <w:rPr>
                <w:sz w:val="20"/>
                <w:szCs w:val="20"/>
              </w:rPr>
              <w:lastRenderedPageBreak/>
              <w:t xml:space="preserve">reference purposes if required. </w:t>
            </w:r>
          </w:p>
          <w:p w:rsidR="00173579" w:rsidRPr="00CE6A5A" w:rsidRDefault="00173579" w:rsidP="00CE6A5A">
            <w:pPr>
              <w:ind w:left="33" w:right="0"/>
              <w:rPr>
                <w:sz w:val="20"/>
                <w:szCs w:val="20"/>
              </w:rPr>
            </w:pPr>
            <w:r w:rsidRPr="00CE6A5A">
              <w:rPr>
                <w:sz w:val="20"/>
                <w:szCs w:val="20"/>
              </w:rPr>
              <w:t>The information in the RMP-ASA has been updated to reflect the status of the completed pharmacovigilance studies. Additional studies are expected to be completed in coming months and so the ASA will be revised again to capture these completed activities.</w:t>
            </w:r>
          </w:p>
        </w:tc>
        <w:tc>
          <w:tcPr>
            <w:tcW w:w="1280" w:type="pct"/>
            <w:noWrap/>
            <w:hideMark/>
          </w:tcPr>
          <w:p w:rsidR="00173579" w:rsidRPr="00CE6A5A" w:rsidRDefault="00173579" w:rsidP="00CE6A5A">
            <w:pPr>
              <w:ind w:left="33" w:right="-1"/>
              <w:rPr>
                <w:sz w:val="20"/>
                <w:szCs w:val="20"/>
              </w:rPr>
            </w:pPr>
            <w:r w:rsidRPr="00CE6A5A">
              <w:rPr>
                <w:sz w:val="20"/>
                <w:szCs w:val="20"/>
              </w:rPr>
              <w:lastRenderedPageBreak/>
              <w:t>This is acceptable.</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lastRenderedPageBreak/>
              <w:t xml:space="preserve">4. </w:t>
            </w:r>
            <w:r w:rsidR="00173579" w:rsidRPr="00CE6A5A">
              <w:rPr>
                <w:sz w:val="20"/>
                <w:szCs w:val="20"/>
              </w:rPr>
              <w:t xml:space="preserve">Given enrolment for </w:t>
            </w:r>
            <w:r w:rsidR="005153A1" w:rsidRPr="00CE6A5A">
              <w:rPr>
                <w:sz w:val="20"/>
                <w:szCs w:val="20"/>
              </w:rPr>
              <w:t>S</w:t>
            </w:r>
            <w:r w:rsidR="00173579" w:rsidRPr="00CE6A5A">
              <w:rPr>
                <w:sz w:val="20"/>
                <w:szCs w:val="20"/>
              </w:rPr>
              <w:t xml:space="preserve">tudy P10‐262 has completed, the sponsor is requested to confirm how many and what proportion of included JIA patients are </w:t>
            </w:r>
            <w:r w:rsidR="00974CDD" w:rsidRPr="00CE6A5A">
              <w:rPr>
                <w:sz w:val="20"/>
                <w:szCs w:val="20"/>
              </w:rPr>
              <w:t>≥ </w:t>
            </w:r>
            <w:r w:rsidR="00173579" w:rsidRPr="00CE6A5A">
              <w:rPr>
                <w:sz w:val="20"/>
                <w:szCs w:val="20"/>
              </w:rPr>
              <w:t>2 and ≤4 years.</w:t>
            </w:r>
          </w:p>
        </w:tc>
        <w:tc>
          <w:tcPr>
            <w:tcW w:w="2276" w:type="pct"/>
            <w:noWrap/>
            <w:hideMark/>
          </w:tcPr>
          <w:p w:rsidR="00173579" w:rsidRPr="00CE6A5A" w:rsidRDefault="00173579" w:rsidP="00CE6A5A">
            <w:pPr>
              <w:ind w:left="33" w:right="0"/>
              <w:rPr>
                <w:sz w:val="20"/>
                <w:szCs w:val="20"/>
              </w:rPr>
            </w:pPr>
            <w:r w:rsidRPr="00CE6A5A">
              <w:rPr>
                <w:sz w:val="20"/>
                <w:szCs w:val="20"/>
              </w:rPr>
              <w:t xml:space="preserve">Patients enrolled into the Study P10-262 JIA Registry were 2 to &lt; 4 years of age at Baseline (n=28), and patients </w:t>
            </w:r>
            <w:r w:rsidR="00974CDD" w:rsidRPr="00CE6A5A">
              <w:rPr>
                <w:sz w:val="20"/>
                <w:szCs w:val="20"/>
              </w:rPr>
              <w:t>≥</w:t>
            </w:r>
            <w:r w:rsidR="00237330" w:rsidRPr="00CE6A5A">
              <w:rPr>
                <w:sz w:val="20"/>
                <w:szCs w:val="20"/>
              </w:rPr>
              <w:t xml:space="preserve"> </w:t>
            </w:r>
            <w:r w:rsidRPr="00CE6A5A">
              <w:rPr>
                <w:sz w:val="20"/>
                <w:szCs w:val="20"/>
              </w:rPr>
              <w:t>4 years of age at Baseline (n=4).</w:t>
            </w:r>
          </w:p>
        </w:tc>
        <w:tc>
          <w:tcPr>
            <w:tcW w:w="1280" w:type="pct"/>
            <w:noWrap/>
            <w:hideMark/>
          </w:tcPr>
          <w:p w:rsidR="00173579" w:rsidRPr="00CE6A5A" w:rsidRDefault="00173579" w:rsidP="00CE6A5A">
            <w:pPr>
              <w:ind w:left="33" w:right="-1"/>
              <w:rPr>
                <w:sz w:val="20"/>
                <w:szCs w:val="20"/>
              </w:rPr>
            </w:pPr>
            <w:r w:rsidRPr="00CE6A5A">
              <w:rPr>
                <w:sz w:val="20"/>
                <w:szCs w:val="20"/>
              </w:rPr>
              <w:t>The sponsor’s response is noted.</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5. </w:t>
            </w:r>
            <w:r w:rsidR="00173579" w:rsidRPr="00CE6A5A">
              <w:rPr>
                <w:sz w:val="20"/>
                <w:szCs w:val="20"/>
              </w:rPr>
              <w:t>Ongoing study protocols are not reviewed as part of the RMP evaluation process. These studies will either generate safety data that will support the known safety profile of the medicine or generate data that will provoke applications to amend the Australian registration details. Therefore results should be submitted to the TGA as appropriate.</w:t>
            </w:r>
          </w:p>
        </w:tc>
        <w:tc>
          <w:tcPr>
            <w:tcW w:w="2276" w:type="pct"/>
            <w:noWrap/>
            <w:hideMark/>
          </w:tcPr>
          <w:p w:rsidR="00173579" w:rsidRPr="00CE6A5A" w:rsidRDefault="00173579" w:rsidP="00CE6A5A">
            <w:pPr>
              <w:ind w:left="33" w:right="0"/>
              <w:rPr>
                <w:sz w:val="20"/>
                <w:szCs w:val="20"/>
              </w:rPr>
            </w:pPr>
            <w:r w:rsidRPr="00CE6A5A">
              <w:rPr>
                <w:sz w:val="20"/>
                <w:szCs w:val="20"/>
              </w:rPr>
              <w:t xml:space="preserve">AbbVie undertakes an ongoing monitoring program to ensure that safety data collected during both clinical trials and post-authorisation pharmacovigilance activities are captured and reviewed to incorporate into worldwide product information documents as appropriate. AbbVie utilises a Company Core Data Sheet program to revise the company product information documents as appropriate, with </w:t>
            </w:r>
            <w:proofErr w:type="spellStart"/>
            <w:r w:rsidRPr="00CE6A5A">
              <w:rPr>
                <w:sz w:val="20"/>
                <w:szCs w:val="20"/>
              </w:rPr>
              <w:t>Humira</w:t>
            </w:r>
            <w:proofErr w:type="spellEnd"/>
            <w:r w:rsidRPr="00CE6A5A">
              <w:rPr>
                <w:sz w:val="20"/>
                <w:szCs w:val="20"/>
              </w:rPr>
              <w:t xml:space="preserve"> subject to one Safety-Related Requests to the TGA in both 2013 and 2014 to include new safety data. There is also a Category 1 application being prepared for submission in 2015 to include results from ongoing clinical studies in ulcerative colitis and psoriasis, both indications which are currently registered in Australia.</w:t>
            </w:r>
          </w:p>
        </w:tc>
        <w:tc>
          <w:tcPr>
            <w:tcW w:w="1280" w:type="pct"/>
            <w:noWrap/>
            <w:hideMark/>
          </w:tcPr>
          <w:p w:rsidR="00173579" w:rsidRPr="00CE6A5A" w:rsidRDefault="00173579" w:rsidP="00CE6A5A">
            <w:pPr>
              <w:ind w:left="33" w:right="-1"/>
              <w:rPr>
                <w:sz w:val="20"/>
                <w:szCs w:val="20"/>
              </w:rPr>
            </w:pPr>
            <w:r w:rsidRPr="00CE6A5A">
              <w:rPr>
                <w:sz w:val="20"/>
                <w:szCs w:val="20"/>
              </w:rPr>
              <w:t>The sponsor’s response is noted.</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6. </w:t>
            </w:r>
            <w:r w:rsidR="00173579" w:rsidRPr="00CE6A5A">
              <w:rPr>
                <w:sz w:val="20"/>
                <w:szCs w:val="20"/>
              </w:rPr>
              <w:t>The sponsor should provide an update of the implementation of the global risk minimisation program in Australia including which materials are currently distributed.</w:t>
            </w:r>
          </w:p>
        </w:tc>
        <w:tc>
          <w:tcPr>
            <w:tcW w:w="2276" w:type="pct"/>
            <w:noWrap/>
          </w:tcPr>
          <w:p w:rsidR="00173579" w:rsidRPr="00CE6A5A" w:rsidRDefault="00173579" w:rsidP="00CE6A5A">
            <w:pPr>
              <w:ind w:left="33" w:right="0"/>
              <w:rPr>
                <w:sz w:val="20"/>
                <w:szCs w:val="20"/>
              </w:rPr>
            </w:pPr>
            <w:r w:rsidRPr="00CE6A5A">
              <w:rPr>
                <w:sz w:val="20"/>
                <w:szCs w:val="20"/>
              </w:rPr>
              <w:t>The risk minimisation program tools which are currently available in Australia to educate healthcare professionals and patients about the key safety risks associated with adalimumab use, and the need to regularly and actively monitor the safety of</w:t>
            </w:r>
            <w:r w:rsidR="00CE6A5A">
              <w:rPr>
                <w:sz w:val="20"/>
                <w:szCs w:val="20"/>
              </w:rPr>
              <w:t xml:space="preserve"> these patients are as follows:</w:t>
            </w:r>
          </w:p>
          <w:p w:rsidR="00173579" w:rsidRPr="00CE6A5A" w:rsidRDefault="005153A1" w:rsidP="00CE6A5A">
            <w:pPr>
              <w:ind w:left="33" w:right="0"/>
              <w:rPr>
                <w:sz w:val="20"/>
                <w:szCs w:val="20"/>
              </w:rPr>
            </w:pPr>
            <w:r w:rsidRPr="00CE6A5A">
              <w:rPr>
                <w:sz w:val="20"/>
                <w:szCs w:val="20"/>
              </w:rPr>
              <w:t>-</w:t>
            </w:r>
            <w:proofErr w:type="spellStart"/>
            <w:r w:rsidR="002B4974" w:rsidRPr="00CE6A5A">
              <w:rPr>
                <w:sz w:val="20"/>
                <w:szCs w:val="20"/>
              </w:rPr>
              <w:t>Humira</w:t>
            </w:r>
            <w:proofErr w:type="spellEnd"/>
            <w:r w:rsidR="00CE6A5A">
              <w:rPr>
                <w:sz w:val="20"/>
                <w:szCs w:val="20"/>
              </w:rPr>
              <w:t xml:space="preserve"> (</w:t>
            </w:r>
            <w:proofErr w:type="spellStart"/>
            <w:r w:rsidR="00CE6A5A">
              <w:rPr>
                <w:sz w:val="20"/>
                <w:szCs w:val="20"/>
              </w:rPr>
              <w:t>adalimumab</w:t>
            </w:r>
            <w:proofErr w:type="spellEnd"/>
            <w:r w:rsidR="00CE6A5A">
              <w:rPr>
                <w:sz w:val="20"/>
                <w:szCs w:val="20"/>
              </w:rPr>
              <w:t>) Safety Monograph</w:t>
            </w:r>
          </w:p>
          <w:p w:rsidR="005153A1" w:rsidRPr="00CE6A5A" w:rsidRDefault="005153A1" w:rsidP="00CE6A5A">
            <w:pPr>
              <w:ind w:left="33" w:right="0"/>
              <w:rPr>
                <w:sz w:val="20"/>
                <w:szCs w:val="20"/>
              </w:rPr>
            </w:pPr>
            <w:r w:rsidRPr="00CE6A5A">
              <w:rPr>
                <w:sz w:val="20"/>
                <w:szCs w:val="20"/>
              </w:rPr>
              <w:t>-</w:t>
            </w:r>
            <w:proofErr w:type="spellStart"/>
            <w:r w:rsidR="002B4974" w:rsidRPr="00CE6A5A">
              <w:rPr>
                <w:sz w:val="20"/>
                <w:szCs w:val="20"/>
              </w:rPr>
              <w:t>Humira</w:t>
            </w:r>
            <w:proofErr w:type="spellEnd"/>
            <w:r w:rsidRPr="00CE6A5A">
              <w:rPr>
                <w:sz w:val="20"/>
                <w:szCs w:val="20"/>
              </w:rPr>
              <w:t xml:space="preserve"> Patient Information Card</w:t>
            </w:r>
          </w:p>
          <w:p w:rsidR="00173579" w:rsidRPr="00CE6A5A" w:rsidRDefault="005153A1" w:rsidP="00CE6A5A">
            <w:pPr>
              <w:ind w:left="33" w:right="0"/>
              <w:rPr>
                <w:sz w:val="20"/>
                <w:szCs w:val="20"/>
              </w:rPr>
            </w:pPr>
            <w:r w:rsidRPr="00CE6A5A">
              <w:rPr>
                <w:sz w:val="20"/>
                <w:szCs w:val="20"/>
              </w:rPr>
              <w:t xml:space="preserve">- </w:t>
            </w:r>
            <w:r w:rsidR="00173579" w:rsidRPr="00CE6A5A">
              <w:rPr>
                <w:sz w:val="20"/>
                <w:szCs w:val="20"/>
              </w:rPr>
              <w:t>Tuberculosis (TB) Screening Brochure (incl</w:t>
            </w:r>
            <w:r w:rsidR="00CE6A5A">
              <w:rPr>
                <w:sz w:val="20"/>
                <w:szCs w:val="20"/>
              </w:rPr>
              <w:t>uding a TB Screening Checklist)</w:t>
            </w:r>
          </w:p>
          <w:p w:rsidR="005153A1" w:rsidRPr="00CE6A5A" w:rsidRDefault="005153A1" w:rsidP="00CE6A5A">
            <w:pPr>
              <w:ind w:left="33" w:right="0"/>
              <w:rPr>
                <w:sz w:val="20"/>
                <w:szCs w:val="20"/>
              </w:rPr>
            </w:pPr>
            <w:r w:rsidRPr="00CE6A5A">
              <w:rPr>
                <w:sz w:val="20"/>
                <w:szCs w:val="20"/>
              </w:rPr>
              <w:t>-</w:t>
            </w:r>
            <w:r w:rsidR="00173579" w:rsidRPr="00CE6A5A">
              <w:rPr>
                <w:sz w:val="20"/>
                <w:szCs w:val="20"/>
              </w:rPr>
              <w:t xml:space="preserve">A step-by-step guide to using the </w:t>
            </w:r>
            <w:proofErr w:type="spellStart"/>
            <w:r w:rsidR="002B4974" w:rsidRPr="00CE6A5A">
              <w:rPr>
                <w:sz w:val="20"/>
                <w:szCs w:val="20"/>
              </w:rPr>
              <w:t>Humira</w:t>
            </w:r>
            <w:proofErr w:type="spellEnd"/>
            <w:r w:rsidR="00CE6A5A">
              <w:rPr>
                <w:sz w:val="20"/>
                <w:szCs w:val="20"/>
              </w:rPr>
              <w:t xml:space="preserve"> (</w:t>
            </w:r>
            <w:proofErr w:type="spellStart"/>
            <w:r w:rsidR="00CE6A5A">
              <w:rPr>
                <w:sz w:val="20"/>
                <w:szCs w:val="20"/>
              </w:rPr>
              <w:t>adalimumab</w:t>
            </w:r>
            <w:proofErr w:type="spellEnd"/>
            <w:r w:rsidR="00CE6A5A">
              <w:rPr>
                <w:sz w:val="20"/>
                <w:szCs w:val="20"/>
              </w:rPr>
              <w:t>) single-use pen</w:t>
            </w:r>
          </w:p>
          <w:p w:rsidR="005153A1" w:rsidRPr="00CE6A5A" w:rsidRDefault="005153A1" w:rsidP="00CE6A5A">
            <w:pPr>
              <w:ind w:left="33" w:right="0"/>
              <w:rPr>
                <w:sz w:val="20"/>
                <w:szCs w:val="20"/>
              </w:rPr>
            </w:pPr>
            <w:r w:rsidRPr="00CE6A5A">
              <w:rPr>
                <w:sz w:val="20"/>
                <w:szCs w:val="20"/>
              </w:rPr>
              <w:t>-</w:t>
            </w:r>
            <w:r w:rsidR="00173579" w:rsidRPr="00CE6A5A">
              <w:rPr>
                <w:sz w:val="20"/>
                <w:szCs w:val="20"/>
              </w:rPr>
              <w:t xml:space="preserve">A step-by-step guide to using the </w:t>
            </w:r>
            <w:proofErr w:type="spellStart"/>
            <w:r w:rsidR="002B4974" w:rsidRPr="00CE6A5A">
              <w:rPr>
                <w:sz w:val="20"/>
                <w:szCs w:val="20"/>
              </w:rPr>
              <w:t>Humira</w:t>
            </w:r>
            <w:proofErr w:type="spellEnd"/>
            <w:r w:rsidR="00CE6A5A">
              <w:rPr>
                <w:sz w:val="20"/>
                <w:szCs w:val="20"/>
              </w:rPr>
              <w:t xml:space="preserve"> (</w:t>
            </w:r>
            <w:proofErr w:type="spellStart"/>
            <w:r w:rsidR="00CE6A5A">
              <w:rPr>
                <w:sz w:val="20"/>
                <w:szCs w:val="20"/>
              </w:rPr>
              <w:t>adalimumab</w:t>
            </w:r>
            <w:proofErr w:type="spellEnd"/>
            <w:r w:rsidR="00CE6A5A">
              <w:rPr>
                <w:sz w:val="20"/>
                <w:szCs w:val="20"/>
              </w:rPr>
              <w:t>) syringe</w:t>
            </w:r>
          </w:p>
          <w:p w:rsidR="005153A1" w:rsidRPr="00CE6A5A" w:rsidRDefault="005153A1" w:rsidP="00CE6A5A">
            <w:pPr>
              <w:ind w:left="33" w:right="0"/>
              <w:rPr>
                <w:sz w:val="20"/>
                <w:szCs w:val="20"/>
              </w:rPr>
            </w:pPr>
            <w:r w:rsidRPr="00CE6A5A">
              <w:rPr>
                <w:sz w:val="20"/>
                <w:szCs w:val="20"/>
              </w:rPr>
              <w:lastRenderedPageBreak/>
              <w:t>-</w:t>
            </w:r>
            <w:r w:rsidR="00173579" w:rsidRPr="00CE6A5A">
              <w:rPr>
                <w:sz w:val="20"/>
                <w:szCs w:val="20"/>
              </w:rPr>
              <w:t xml:space="preserve">A </w:t>
            </w:r>
            <w:proofErr w:type="spellStart"/>
            <w:r w:rsidR="002B4974" w:rsidRPr="00CE6A5A">
              <w:rPr>
                <w:sz w:val="20"/>
                <w:szCs w:val="20"/>
              </w:rPr>
              <w:t>Humira</w:t>
            </w:r>
            <w:proofErr w:type="spellEnd"/>
            <w:r w:rsidR="00173579" w:rsidRPr="00CE6A5A">
              <w:rPr>
                <w:sz w:val="20"/>
                <w:szCs w:val="20"/>
              </w:rPr>
              <w:t xml:space="preserve"> (</w:t>
            </w:r>
            <w:proofErr w:type="spellStart"/>
            <w:r w:rsidR="00173579" w:rsidRPr="00CE6A5A">
              <w:rPr>
                <w:sz w:val="20"/>
                <w:szCs w:val="20"/>
              </w:rPr>
              <w:t>adalimuma</w:t>
            </w:r>
            <w:r w:rsidR="00CE6A5A">
              <w:rPr>
                <w:sz w:val="20"/>
                <w:szCs w:val="20"/>
              </w:rPr>
              <w:t>b</w:t>
            </w:r>
            <w:proofErr w:type="spellEnd"/>
            <w:r w:rsidR="00CE6A5A">
              <w:rPr>
                <w:sz w:val="20"/>
                <w:szCs w:val="20"/>
              </w:rPr>
              <w:t>) safety information reminder</w:t>
            </w:r>
          </w:p>
          <w:p w:rsidR="00173579" w:rsidRPr="00CE6A5A" w:rsidRDefault="005153A1" w:rsidP="00CE6A5A">
            <w:pPr>
              <w:ind w:left="33" w:right="0"/>
              <w:rPr>
                <w:sz w:val="20"/>
                <w:szCs w:val="20"/>
              </w:rPr>
            </w:pPr>
            <w:r w:rsidRPr="00CE6A5A">
              <w:rPr>
                <w:sz w:val="20"/>
                <w:szCs w:val="20"/>
              </w:rPr>
              <w:t>-</w:t>
            </w:r>
            <w:r w:rsidR="00173579" w:rsidRPr="00CE6A5A">
              <w:rPr>
                <w:sz w:val="20"/>
                <w:szCs w:val="20"/>
              </w:rPr>
              <w:t xml:space="preserve">A </w:t>
            </w:r>
            <w:proofErr w:type="spellStart"/>
            <w:r w:rsidR="002B4974" w:rsidRPr="00CE6A5A">
              <w:rPr>
                <w:sz w:val="20"/>
                <w:szCs w:val="20"/>
              </w:rPr>
              <w:t>Humira</w:t>
            </w:r>
            <w:proofErr w:type="spellEnd"/>
            <w:r w:rsidR="00173579" w:rsidRPr="00CE6A5A">
              <w:rPr>
                <w:sz w:val="20"/>
                <w:szCs w:val="20"/>
              </w:rPr>
              <w:t xml:space="preserve"> starter pack f</w:t>
            </w:r>
            <w:r w:rsidR="00CE6A5A">
              <w:rPr>
                <w:sz w:val="20"/>
                <w:szCs w:val="20"/>
              </w:rPr>
              <w:t>rom the patient support program</w:t>
            </w:r>
          </w:p>
          <w:p w:rsidR="00173579" w:rsidRPr="00CE6A5A" w:rsidRDefault="00173579" w:rsidP="00CE6A5A">
            <w:pPr>
              <w:ind w:left="33" w:right="0"/>
              <w:rPr>
                <w:sz w:val="20"/>
                <w:szCs w:val="20"/>
              </w:rPr>
            </w:pPr>
            <w:r w:rsidRPr="00CE6A5A">
              <w:rPr>
                <w:sz w:val="20"/>
                <w:szCs w:val="20"/>
              </w:rPr>
              <w:t xml:space="preserve">These materials are distributed proactively by AbbVie to specialist physicians in the fields of rheumatology, gastroenterology and gastroenterology who prescribe biological medicines such as </w:t>
            </w:r>
            <w:proofErr w:type="spellStart"/>
            <w:r w:rsidR="002B4974" w:rsidRPr="00CE6A5A">
              <w:rPr>
                <w:sz w:val="20"/>
                <w:szCs w:val="20"/>
              </w:rPr>
              <w:t>Humira</w:t>
            </w:r>
            <w:proofErr w:type="spellEnd"/>
            <w:r w:rsidRPr="00CE6A5A">
              <w:rPr>
                <w:sz w:val="20"/>
                <w:szCs w:val="20"/>
              </w:rPr>
              <w:t>, and are also available on request from AbbVie Medical Information.</w:t>
            </w:r>
          </w:p>
        </w:tc>
        <w:tc>
          <w:tcPr>
            <w:tcW w:w="1280" w:type="pct"/>
            <w:noWrap/>
            <w:hideMark/>
          </w:tcPr>
          <w:p w:rsidR="00173579" w:rsidRPr="00CE6A5A" w:rsidRDefault="00173579" w:rsidP="00CE6A5A">
            <w:pPr>
              <w:ind w:left="33" w:right="-1"/>
              <w:rPr>
                <w:sz w:val="20"/>
                <w:szCs w:val="20"/>
              </w:rPr>
            </w:pPr>
            <w:r w:rsidRPr="00CE6A5A">
              <w:rPr>
                <w:sz w:val="20"/>
                <w:szCs w:val="20"/>
              </w:rPr>
              <w:lastRenderedPageBreak/>
              <w:t>The evaluator has no particular objection to the implementation of these Australian educational materials.</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lastRenderedPageBreak/>
              <w:t xml:space="preserve">7. </w:t>
            </w:r>
            <w:r w:rsidR="00173579" w:rsidRPr="00CE6A5A">
              <w:rPr>
                <w:sz w:val="20"/>
                <w:szCs w:val="20"/>
              </w:rPr>
              <w:t>As recommended in a previous RMP evaluation the draft versions of the educational materials for use in Australia should be attached to the updated ASA.</w:t>
            </w:r>
          </w:p>
        </w:tc>
        <w:tc>
          <w:tcPr>
            <w:tcW w:w="2276" w:type="pct"/>
            <w:noWrap/>
            <w:hideMark/>
          </w:tcPr>
          <w:p w:rsidR="00173579" w:rsidRPr="00CE6A5A" w:rsidRDefault="00173579" w:rsidP="00CE6A5A">
            <w:pPr>
              <w:ind w:left="33" w:right="0"/>
              <w:rPr>
                <w:sz w:val="20"/>
                <w:szCs w:val="20"/>
              </w:rPr>
            </w:pPr>
            <w:r w:rsidRPr="00CE6A5A">
              <w:rPr>
                <w:sz w:val="20"/>
                <w:szCs w:val="20"/>
              </w:rPr>
              <w:t xml:space="preserve">As requested by the TGA, the latest versions of the </w:t>
            </w:r>
            <w:proofErr w:type="spellStart"/>
            <w:r w:rsidRPr="00CE6A5A">
              <w:rPr>
                <w:sz w:val="20"/>
                <w:szCs w:val="20"/>
              </w:rPr>
              <w:t>Humira</w:t>
            </w:r>
            <w:proofErr w:type="spellEnd"/>
            <w:r w:rsidRPr="00CE6A5A">
              <w:rPr>
                <w:sz w:val="20"/>
                <w:szCs w:val="20"/>
              </w:rPr>
              <w:t xml:space="preserve"> educational materials, which are discussed in response to the question above, have been included as appendices to the updated ASA</w:t>
            </w:r>
            <w:r w:rsidR="005153A1" w:rsidRPr="00CE6A5A">
              <w:rPr>
                <w:sz w:val="20"/>
                <w:szCs w:val="20"/>
              </w:rPr>
              <w:t xml:space="preserve"> and attached to th</w:t>
            </w:r>
            <w:r w:rsidR="00CE6A5A">
              <w:rPr>
                <w:sz w:val="20"/>
                <w:szCs w:val="20"/>
              </w:rPr>
              <w:t xml:space="preserve">is </w:t>
            </w:r>
            <w:proofErr w:type="spellStart"/>
            <w:r w:rsidR="00CE6A5A">
              <w:rPr>
                <w:sz w:val="20"/>
                <w:szCs w:val="20"/>
              </w:rPr>
              <w:t>reponse</w:t>
            </w:r>
            <w:proofErr w:type="spellEnd"/>
            <w:r w:rsidR="00CE6A5A">
              <w:rPr>
                <w:sz w:val="20"/>
                <w:szCs w:val="20"/>
              </w:rPr>
              <w:t xml:space="preserve"> [not in this </w:t>
            </w:r>
            <w:proofErr w:type="spellStart"/>
            <w:r w:rsidR="00CE6A5A">
              <w:rPr>
                <w:sz w:val="20"/>
                <w:szCs w:val="20"/>
              </w:rPr>
              <w:t>AusPAR</w:t>
            </w:r>
            <w:proofErr w:type="spellEnd"/>
            <w:r w:rsidR="00CE6A5A">
              <w:rPr>
                <w:sz w:val="20"/>
                <w:szCs w:val="20"/>
              </w:rPr>
              <w:t>]</w:t>
            </w:r>
          </w:p>
        </w:tc>
        <w:tc>
          <w:tcPr>
            <w:tcW w:w="1280" w:type="pct"/>
            <w:noWrap/>
            <w:hideMark/>
          </w:tcPr>
          <w:p w:rsidR="00173579" w:rsidRPr="00CE6A5A" w:rsidRDefault="00173579" w:rsidP="00CE6A5A">
            <w:pPr>
              <w:ind w:left="33" w:right="-1"/>
              <w:rPr>
                <w:sz w:val="20"/>
                <w:szCs w:val="20"/>
              </w:rPr>
            </w:pPr>
            <w:r w:rsidRPr="00CE6A5A">
              <w:rPr>
                <w:sz w:val="20"/>
                <w:szCs w:val="20"/>
              </w:rPr>
              <w:t>The evaluator has no particular objection to the content of the Australian educational materials.</w:t>
            </w:r>
          </w:p>
        </w:tc>
      </w:tr>
      <w:tr w:rsidR="00173579" w:rsidRPr="00CE6A5A" w:rsidTr="00CE6A5A">
        <w:tc>
          <w:tcPr>
            <w:tcW w:w="1444" w:type="pct"/>
            <w:noWrap/>
            <w:hideMark/>
          </w:tcPr>
          <w:p w:rsidR="00173579" w:rsidRPr="00CE6A5A" w:rsidRDefault="00F42EBF" w:rsidP="00CE6A5A">
            <w:pPr>
              <w:ind w:left="0" w:right="0"/>
              <w:rPr>
                <w:sz w:val="20"/>
                <w:szCs w:val="20"/>
              </w:rPr>
            </w:pPr>
            <w:r w:rsidRPr="00CE6A5A">
              <w:rPr>
                <w:sz w:val="20"/>
                <w:szCs w:val="20"/>
              </w:rPr>
              <w:t xml:space="preserve">8. </w:t>
            </w:r>
            <w:r w:rsidR="00173579" w:rsidRPr="00CE6A5A">
              <w:rPr>
                <w:sz w:val="20"/>
                <w:szCs w:val="20"/>
              </w:rPr>
              <w:t>Similarly, as previously recommended, the sponsor should provide an assurance that details of the evaluation tool to assess the effectiveness of the Australian Educational program will be provided to the TGA for review once it has been fully developed.</w:t>
            </w:r>
          </w:p>
        </w:tc>
        <w:tc>
          <w:tcPr>
            <w:tcW w:w="2276" w:type="pct"/>
            <w:noWrap/>
          </w:tcPr>
          <w:p w:rsidR="00173579" w:rsidRPr="00CE6A5A" w:rsidRDefault="00173579" w:rsidP="00CE6A5A">
            <w:pPr>
              <w:ind w:left="33" w:right="0"/>
              <w:rPr>
                <w:sz w:val="20"/>
                <w:szCs w:val="20"/>
              </w:rPr>
            </w:pPr>
            <w:r w:rsidRPr="00CE6A5A">
              <w:rPr>
                <w:sz w:val="20"/>
                <w:szCs w:val="20"/>
              </w:rPr>
              <w:t xml:space="preserve">AbbVie provides an assurance that details of the evaluation tool to assess the effectiveness of the Australian Educational program will be provided to the TGA for review once it has been fully developed. AbbVie believes that there needs to be consistency in the evaluation tool used worldwide, and discussions are ongoing in Europe with the EMA to finalise the evaluation tool to be utilised in the European market. </w:t>
            </w:r>
            <w:r w:rsidR="005153A1" w:rsidRPr="00CE6A5A">
              <w:rPr>
                <w:sz w:val="20"/>
                <w:szCs w:val="20"/>
              </w:rPr>
              <w:t>The sponsor</w:t>
            </w:r>
            <w:r w:rsidRPr="00CE6A5A">
              <w:rPr>
                <w:sz w:val="20"/>
                <w:szCs w:val="20"/>
              </w:rPr>
              <w:t xml:space="preserve"> ha</w:t>
            </w:r>
            <w:r w:rsidR="005153A1" w:rsidRPr="00CE6A5A">
              <w:rPr>
                <w:sz w:val="20"/>
                <w:szCs w:val="20"/>
              </w:rPr>
              <w:t>s</w:t>
            </w:r>
            <w:r w:rsidRPr="00CE6A5A">
              <w:rPr>
                <w:sz w:val="20"/>
                <w:szCs w:val="20"/>
              </w:rPr>
              <w:t xml:space="preserve"> received the following advice as to the most recent activities in relation to the RMP evaluation in Europe:</w:t>
            </w:r>
          </w:p>
          <w:p w:rsidR="00173579" w:rsidRPr="00CE6A5A" w:rsidRDefault="00173579" w:rsidP="00CE6A5A">
            <w:pPr>
              <w:ind w:left="33" w:right="0"/>
              <w:rPr>
                <w:sz w:val="20"/>
                <w:szCs w:val="20"/>
              </w:rPr>
            </w:pPr>
            <w:r w:rsidRPr="00CE6A5A">
              <w:rPr>
                <w:sz w:val="20"/>
                <w:szCs w:val="20"/>
              </w:rPr>
              <w:t xml:space="preserve">In accordance with the PRAC’s assessment of the RMP (versions 11.2 and 11.2.1, within procedure EMEA/H/C/481/II/134), ongoing routine Pharmacovigilance activities are considered sufficient to monitor the effectiveness of the additional risk minimisation measures. The effectiveness of the </w:t>
            </w:r>
            <w:proofErr w:type="spellStart"/>
            <w:r w:rsidRPr="00CE6A5A">
              <w:rPr>
                <w:sz w:val="20"/>
                <w:szCs w:val="20"/>
              </w:rPr>
              <w:t>Humira</w:t>
            </w:r>
            <w:proofErr w:type="spellEnd"/>
            <w:r w:rsidRPr="00CE6A5A">
              <w:rPr>
                <w:sz w:val="20"/>
                <w:szCs w:val="20"/>
              </w:rPr>
              <w:t xml:space="preserve"> risk minimisation activities in the EU was assessed annually between 2008 and 2010 in terms of the prescriber awareness of the key risks associated with use of </w:t>
            </w:r>
            <w:proofErr w:type="spellStart"/>
            <w:r w:rsidRPr="00CE6A5A">
              <w:rPr>
                <w:sz w:val="20"/>
                <w:szCs w:val="20"/>
              </w:rPr>
              <w:t>Humira</w:t>
            </w:r>
            <w:proofErr w:type="spellEnd"/>
            <w:r w:rsidRPr="00CE6A5A">
              <w:rPr>
                <w:sz w:val="20"/>
                <w:szCs w:val="20"/>
              </w:rPr>
              <w:t xml:space="preserve">. Results of each of the annual surveys were submitted to the EMA. Currently, effectiveness of the risk minimisation plan is being assessed in terms of fidelity of program implementation: in particular the extent to which each of the risk minimisation tools is being distributed </w:t>
            </w:r>
            <w:r w:rsidRPr="00CE6A5A">
              <w:rPr>
                <w:sz w:val="20"/>
                <w:szCs w:val="20"/>
              </w:rPr>
              <w:lastRenderedPageBreak/>
              <w:t>(</w:t>
            </w:r>
            <w:r w:rsidR="005153A1" w:rsidRPr="00CE6A5A">
              <w:rPr>
                <w:sz w:val="20"/>
                <w:szCs w:val="20"/>
              </w:rPr>
              <w:t>that is</w:t>
            </w:r>
            <w:proofErr w:type="gramStart"/>
            <w:r w:rsidR="005153A1" w:rsidRPr="00CE6A5A">
              <w:rPr>
                <w:sz w:val="20"/>
                <w:szCs w:val="20"/>
              </w:rPr>
              <w:t>,</w:t>
            </w:r>
            <w:r w:rsidRPr="00CE6A5A">
              <w:rPr>
                <w:sz w:val="20"/>
                <w:szCs w:val="20"/>
              </w:rPr>
              <w:t>,</w:t>
            </w:r>
            <w:proofErr w:type="gramEnd"/>
            <w:r w:rsidRPr="00CE6A5A">
              <w:rPr>
                <w:sz w:val="20"/>
                <w:szCs w:val="20"/>
              </w:rPr>
              <w:t xml:space="preserve"> number distributed, how distributed, when and by whom). This distribution of the risk minimisation tools will continue to be monitored.</w:t>
            </w:r>
          </w:p>
        </w:tc>
        <w:tc>
          <w:tcPr>
            <w:tcW w:w="1280" w:type="pct"/>
            <w:noWrap/>
            <w:hideMark/>
          </w:tcPr>
          <w:p w:rsidR="00173579" w:rsidRPr="00CE6A5A" w:rsidRDefault="00173579" w:rsidP="00CE6A5A">
            <w:pPr>
              <w:ind w:left="33" w:right="-1"/>
              <w:rPr>
                <w:sz w:val="20"/>
                <w:szCs w:val="20"/>
              </w:rPr>
            </w:pPr>
            <w:r w:rsidRPr="00CE6A5A">
              <w:rPr>
                <w:sz w:val="20"/>
                <w:szCs w:val="20"/>
              </w:rPr>
              <w:lastRenderedPageBreak/>
              <w:t>This is acceptable.</w:t>
            </w:r>
          </w:p>
        </w:tc>
      </w:tr>
    </w:tbl>
    <w:p w:rsidR="005153A1" w:rsidRPr="00817741" w:rsidRDefault="005153A1" w:rsidP="00CE6A5A">
      <w:pPr>
        <w:pStyle w:val="TableDescription"/>
      </w:pPr>
      <w:r w:rsidRPr="00817741">
        <w:lastRenderedPageBreak/>
        <w:t>RA=Rheumatoid arthritis; JIA=</w:t>
      </w:r>
      <w:hyperlink r:id="rId22" w:tooltip="Juvenile idiopathic arthritis" w:history="1">
        <w:r w:rsidRPr="00817741">
          <w:rPr>
            <w:rStyle w:val="Hyperlink"/>
            <w:color w:val="auto"/>
            <w:u w:val="none"/>
          </w:rPr>
          <w:t>Juvenile idiopathic arthritis</w:t>
        </w:r>
      </w:hyperlink>
      <w:r w:rsidR="00817741" w:rsidRPr="00817741">
        <w:t>;</w:t>
      </w:r>
      <w:r w:rsidRPr="00817741">
        <w:t xml:space="preserve"> PsA</w:t>
      </w:r>
      <w:r w:rsidR="00817741" w:rsidRPr="00817741">
        <w:t>= psoriatic arthritis;</w:t>
      </w:r>
      <w:r w:rsidRPr="00817741">
        <w:t xml:space="preserve"> AS= </w:t>
      </w:r>
      <w:hyperlink r:id="rId23" w:tooltip="Atherosclerosis" w:history="1">
        <w:r w:rsidRPr="00817741">
          <w:rPr>
            <w:rStyle w:val="Hyperlink"/>
            <w:color w:val="auto"/>
            <w:u w:val="none"/>
          </w:rPr>
          <w:t>Atherosclerosis</w:t>
        </w:r>
      </w:hyperlink>
      <w:r w:rsidR="00817741" w:rsidRPr="00817741">
        <w:t>;</w:t>
      </w:r>
      <w:r w:rsidRPr="00817741">
        <w:t xml:space="preserve"> CD= Crohn's disease</w:t>
      </w:r>
      <w:r w:rsidR="00817741" w:rsidRPr="00817741">
        <w:t>;</w:t>
      </w:r>
      <w:r w:rsidRPr="00817741">
        <w:t xml:space="preserve"> </w:t>
      </w:r>
      <w:proofErr w:type="spellStart"/>
      <w:r w:rsidRPr="00817741">
        <w:t>paed</w:t>
      </w:r>
      <w:proofErr w:type="spellEnd"/>
      <w:r w:rsidRPr="00817741">
        <w:t>-CD= paediatric Crohn's disease</w:t>
      </w:r>
      <w:r w:rsidR="00817741" w:rsidRPr="00817741">
        <w:t>;</w:t>
      </w:r>
      <w:r w:rsidRPr="00817741">
        <w:t xml:space="preserve"> Ps</w:t>
      </w:r>
      <w:r w:rsidR="00817741" w:rsidRPr="00817741">
        <w:t>=psoriasis.</w:t>
      </w:r>
      <w:r w:rsidRPr="00817741">
        <w:t xml:space="preserve"> UC=ulcerative colitis</w:t>
      </w:r>
    </w:p>
    <w:p w:rsidR="008E7846" w:rsidRDefault="008E7846" w:rsidP="00CE6A5A">
      <w:pPr>
        <w:pStyle w:val="Heading4"/>
        <w:rPr>
          <w:lang w:eastAsia="en-AU"/>
        </w:rPr>
      </w:pPr>
      <w:r>
        <w:rPr>
          <w:lang w:eastAsia="en-AU"/>
        </w:rPr>
        <w:t xml:space="preserve">Summary of </w:t>
      </w:r>
      <w:r w:rsidR="003A7F6C" w:rsidRPr="00CE6A5A">
        <w:t>r</w:t>
      </w:r>
      <w:r w:rsidRPr="00CE6A5A">
        <w:t>ecommendations</w:t>
      </w:r>
    </w:p>
    <w:p w:rsidR="00173579" w:rsidRDefault="00173579" w:rsidP="00CE6A5A">
      <w:r>
        <w:t>It is considered that the sponsor’s response to the TGA S31 Request has adequately addressed all of the issues identified in the RMP evaluation report</w:t>
      </w:r>
      <w:bookmarkStart w:id="104" w:name="_Toc314842510"/>
      <w:r>
        <w:t>.</w:t>
      </w:r>
    </w:p>
    <w:p w:rsidR="00173579" w:rsidRDefault="00173579" w:rsidP="00CE6A5A">
      <w:pPr>
        <w:pStyle w:val="Heading5"/>
      </w:pPr>
      <w:r w:rsidRPr="00CE6A5A">
        <w:t>Outstanding</w:t>
      </w:r>
      <w:r>
        <w:t xml:space="preserve"> issues</w:t>
      </w:r>
    </w:p>
    <w:p w:rsidR="00173579" w:rsidRDefault="00CE6A5A" w:rsidP="00CE6A5A">
      <w:pPr>
        <w:pStyle w:val="Heading6"/>
        <w:rPr>
          <w:sz w:val="24"/>
          <w:szCs w:val="24"/>
        </w:rPr>
      </w:pPr>
      <w:r>
        <w:t>Issues in relation to the RMP</w:t>
      </w:r>
    </w:p>
    <w:p w:rsidR="00173579" w:rsidRDefault="00173579" w:rsidP="00CE6A5A">
      <w:r>
        <w:t>There are no outstanding issues in relation to the RMP for this submission.</w:t>
      </w:r>
    </w:p>
    <w:p w:rsidR="00173579" w:rsidRPr="005800DC" w:rsidRDefault="00173579" w:rsidP="005800DC">
      <w:pPr>
        <w:pStyle w:val="Heading6"/>
      </w:pPr>
      <w:r w:rsidRPr="005800DC">
        <w:t>Advice from the Advisory Committee on the Safety of Medicines (ACSOM)</w:t>
      </w:r>
    </w:p>
    <w:p w:rsidR="00173579" w:rsidRDefault="00173579" w:rsidP="00CE6A5A">
      <w:r>
        <w:t>ACSOM advice was not sought for this submission.</w:t>
      </w:r>
    </w:p>
    <w:p w:rsidR="00173579" w:rsidRDefault="00173579" w:rsidP="00CE6A5A">
      <w:pPr>
        <w:pStyle w:val="Heading5"/>
      </w:pPr>
      <w:r>
        <w:t xml:space="preserve">Key changes to the </w:t>
      </w:r>
      <w:r w:rsidRPr="00CE6A5A">
        <w:t>updated</w:t>
      </w:r>
      <w:r w:rsidR="00CE6A5A">
        <w:t xml:space="preserve"> RMP</w:t>
      </w:r>
    </w:p>
    <w:p w:rsidR="00173579" w:rsidRDefault="00173579" w:rsidP="00CE6A5A">
      <w:r>
        <w:t>EU-RMP Version 10.2 (dated November 2012) and Australian Specific Annex Version 1.0 (dated May 2014)</w:t>
      </w:r>
      <w:r w:rsidR="00817741">
        <w:t xml:space="preserve"> </w:t>
      </w:r>
      <w:r>
        <w:t>has been superseded by:</w:t>
      </w:r>
    </w:p>
    <w:p w:rsidR="00173579" w:rsidRDefault="00173579" w:rsidP="00CE6A5A">
      <w:r>
        <w:t>EU-RMP Version 11.1.2 (dated September 2014, DLP 31 December 2012) and Australian Specific Annex Version 2.0 (dated December 2014)</w:t>
      </w:r>
    </w:p>
    <w:p w:rsidR="00173579" w:rsidRPr="00C068A4" w:rsidRDefault="00173579" w:rsidP="00CE6A5A">
      <w:r w:rsidRPr="00C068A4">
        <w:t xml:space="preserve">Key changes from the version evaluated </w:t>
      </w:r>
      <w:r w:rsidR="00817741" w:rsidRPr="00C068A4">
        <w:t>in the First round</w:t>
      </w:r>
      <w:r w:rsidRPr="00C068A4">
        <w:t xml:space="preserve"> are summarised below</w:t>
      </w:r>
      <w:r w:rsidR="00237330" w:rsidRPr="00C068A4">
        <w:t xml:space="preserve"> (Table 7)</w:t>
      </w:r>
      <w:r w:rsidRPr="00C068A4">
        <w:t>:</w:t>
      </w:r>
    </w:p>
    <w:p w:rsidR="00F071E1" w:rsidRDefault="00F071E1" w:rsidP="00CE6A5A">
      <w:pPr>
        <w:pStyle w:val="TableTitle"/>
      </w:pPr>
      <w:r>
        <w:t xml:space="preserve">Table </w:t>
      </w:r>
      <w:r w:rsidR="00237330">
        <w:t>7</w:t>
      </w:r>
      <w:r>
        <w:t xml:space="preserve">: </w:t>
      </w:r>
      <w:r w:rsidRPr="00CE6A5A">
        <w:t>Summary</w:t>
      </w:r>
      <w:r>
        <w:t xml:space="preserve"> of key changes to the RMP and ASA</w:t>
      </w:r>
    </w:p>
    <w:tbl>
      <w:tblPr>
        <w:tblStyle w:val="TableTGAblue"/>
        <w:tblW w:w="0" w:type="auto"/>
        <w:tblLook w:val="04A0" w:firstRow="1" w:lastRow="0" w:firstColumn="1" w:lastColumn="0" w:noHBand="0" w:noVBand="1"/>
      </w:tblPr>
      <w:tblGrid>
        <w:gridCol w:w="2133"/>
        <w:gridCol w:w="6587"/>
      </w:tblGrid>
      <w:tr w:rsidR="00173579" w:rsidRPr="00CE6A5A" w:rsidTr="00CE6A5A">
        <w:trPr>
          <w:cnfStyle w:val="100000000000" w:firstRow="1" w:lastRow="0" w:firstColumn="0" w:lastColumn="0" w:oddVBand="0" w:evenVBand="0" w:oddHBand="0" w:evenHBand="0" w:firstRowFirstColumn="0" w:firstRowLastColumn="0" w:lastRowFirstColumn="0" w:lastRowLastColumn="0"/>
          <w:trHeight w:val="274"/>
        </w:trPr>
        <w:tc>
          <w:tcPr>
            <w:tcW w:w="9854" w:type="dxa"/>
            <w:gridSpan w:val="2"/>
          </w:tcPr>
          <w:p w:rsidR="00173579" w:rsidRPr="00CE6A5A" w:rsidRDefault="00173579" w:rsidP="00CE6A5A">
            <w:pPr>
              <w:ind w:left="0" w:right="68"/>
              <w:rPr>
                <w:rFonts w:eastAsia="MS Mincho"/>
                <w:sz w:val="20"/>
                <w:szCs w:val="20"/>
              </w:rPr>
            </w:pPr>
            <w:r w:rsidRPr="00CE6A5A">
              <w:rPr>
                <w:sz w:val="20"/>
                <w:szCs w:val="20"/>
              </w:rPr>
              <w:t>Summary of</w:t>
            </w:r>
            <w:r w:rsidR="00F071E1" w:rsidRPr="00CE6A5A">
              <w:rPr>
                <w:sz w:val="20"/>
                <w:szCs w:val="20"/>
              </w:rPr>
              <w:t xml:space="preserve"> </w:t>
            </w:r>
            <w:r w:rsidRPr="00CE6A5A">
              <w:rPr>
                <w:sz w:val="20"/>
                <w:szCs w:val="20"/>
              </w:rPr>
              <w:t>key changes between EU-RMP (version 10.2)/ASA (version 1.0) and EU-RMP (version 11.1.2) and ASA (version 2.0)</w:t>
            </w:r>
          </w:p>
        </w:tc>
      </w:tr>
      <w:tr w:rsidR="00173579" w:rsidRPr="00CE6A5A" w:rsidTr="00CE6A5A">
        <w:trPr>
          <w:trHeight w:val="270"/>
        </w:trPr>
        <w:tc>
          <w:tcPr>
            <w:tcW w:w="2152" w:type="dxa"/>
            <w:hideMark/>
          </w:tcPr>
          <w:p w:rsidR="00173579" w:rsidRPr="00CE6A5A" w:rsidRDefault="00173579" w:rsidP="00CE6A5A">
            <w:pPr>
              <w:ind w:left="0" w:right="68"/>
              <w:rPr>
                <w:rFonts w:eastAsia="MS Mincho"/>
                <w:b/>
                <w:sz w:val="20"/>
                <w:szCs w:val="20"/>
              </w:rPr>
            </w:pPr>
            <w:r w:rsidRPr="00CE6A5A">
              <w:rPr>
                <w:b/>
                <w:sz w:val="20"/>
                <w:szCs w:val="20"/>
              </w:rPr>
              <w:t>Safety specification</w:t>
            </w:r>
          </w:p>
        </w:tc>
        <w:tc>
          <w:tcPr>
            <w:tcW w:w="7702" w:type="dxa"/>
            <w:hideMark/>
          </w:tcPr>
          <w:p w:rsidR="00173579" w:rsidRPr="00CE6A5A" w:rsidRDefault="00173579" w:rsidP="00CE6A5A">
            <w:pPr>
              <w:ind w:left="0" w:right="68"/>
              <w:rPr>
                <w:rFonts w:eastAsia="MS Mincho"/>
                <w:sz w:val="20"/>
                <w:szCs w:val="20"/>
              </w:rPr>
            </w:pPr>
            <w:r w:rsidRPr="00CE6A5A">
              <w:rPr>
                <w:sz w:val="20"/>
                <w:szCs w:val="20"/>
              </w:rPr>
              <w:t>A number of items of missing information have been removed from the updated EU-RMP however these remain as missing information in the ASA.</w:t>
            </w:r>
            <w:r w:rsidR="00F071E1" w:rsidRPr="00CE6A5A">
              <w:rPr>
                <w:sz w:val="20"/>
                <w:szCs w:val="20"/>
              </w:rPr>
              <w:t xml:space="preserve"> </w:t>
            </w:r>
            <w:r w:rsidRPr="00CE6A5A">
              <w:rPr>
                <w:sz w:val="20"/>
                <w:szCs w:val="20"/>
              </w:rPr>
              <w:t>Important identified and potential risks listed in the updated EU-RMP and ASA are essentially unchanged.</w:t>
            </w:r>
          </w:p>
        </w:tc>
      </w:tr>
      <w:tr w:rsidR="00173579" w:rsidRPr="00CE6A5A" w:rsidTr="00CE6A5A">
        <w:trPr>
          <w:trHeight w:val="524"/>
        </w:trPr>
        <w:tc>
          <w:tcPr>
            <w:tcW w:w="2152" w:type="dxa"/>
            <w:hideMark/>
          </w:tcPr>
          <w:p w:rsidR="00173579" w:rsidRPr="00CE6A5A" w:rsidRDefault="00173579" w:rsidP="00CE6A5A">
            <w:pPr>
              <w:ind w:left="0" w:right="68"/>
              <w:rPr>
                <w:rFonts w:eastAsia="MS Mincho"/>
                <w:b/>
                <w:sz w:val="20"/>
                <w:szCs w:val="20"/>
              </w:rPr>
            </w:pPr>
            <w:r w:rsidRPr="00CE6A5A">
              <w:rPr>
                <w:b/>
                <w:sz w:val="20"/>
                <w:szCs w:val="20"/>
              </w:rPr>
              <w:t>Pharmacovigilance activities</w:t>
            </w:r>
          </w:p>
        </w:tc>
        <w:tc>
          <w:tcPr>
            <w:tcW w:w="7702" w:type="dxa"/>
            <w:hideMark/>
          </w:tcPr>
          <w:p w:rsidR="00173579" w:rsidRPr="00CE6A5A" w:rsidRDefault="00173579" w:rsidP="00CE6A5A">
            <w:pPr>
              <w:ind w:left="0" w:right="68"/>
              <w:rPr>
                <w:rFonts w:eastAsia="MS Mincho"/>
                <w:sz w:val="20"/>
                <w:szCs w:val="20"/>
              </w:rPr>
            </w:pPr>
            <w:r w:rsidRPr="00CE6A5A">
              <w:rPr>
                <w:sz w:val="20"/>
                <w:szCs w:val="20"/>
              </w:rPr>
              <w:t>Revised to reflect the status of completed studies.</w:t>
            </w:r>
          </w:p>
        </w:tc>
      </w:tr>
      <w:tr w:rsidR="00173579" w:rsidRPr="00CE6A5A" w:rsidTr="00CE6A5A">
        <w:trPr>
          <w:trHeight w:val="524"/>
        </w:trPr>
        <w:tc>
          <w:tcPr>
            <w:tcW w:w="2152" w:type="dxa"/>
          </w:tcPr>
          <w:p w:rsidR="00173579" w:rsidRPr="00CE6A5A" w:rsidRDefault="00173579" w:rsidP="00CE6A5A">
            <w:pPr>
              <w:ind w:left="0" w:right="68"/>
              <w:rPr>
                <w:rFonts w:eastAsia="MS Mincho"/>
                <w:b/>
                <w:sz w:val="20"/>
                <w:szCs w:val="20"/>
              </w:rPr>
            </w:pPr>
            <w:r w:rsidRPr="00CE6A5A">
              <w:rPr>
                <w:b/>
                <w:sz w:val="20"/>
                <w:szCs w:val="20"/>
              </w:rPr>
              <w:t>Risk minimisation activities</w:t>
            </w:r>
          </w:p>
        </w:tc>
        <w:tc>
          <w:tcPr>
            <w:tcW w:w="7702" w:type="dxa"/>
            <w:hideMark/>
          </w:tcPr>
          <w:p w:rsidR="00173579" w:rsidRPr="00CE6A5A" w:rsidRDefault="00173579" w:rsidP="00CE6A5A">
            <w:pPr>
              <w:ind w:left="0" w:right="68"/>
              <w:rPr>
                <w:rFonts w:eastAsia="MS Mincho"/>
                <w:sz w:val="20"/>
                <w:szCs w:val="20"/>
              </w:rPr>
            </w:pPr>
            <w:r w:rsidRPr="00CE6A5A">
              <w:rPr>
                <w:sz w:val="20"/>
                <w:szCs w:val="20"/>
              </w:rPr>
              <w:t>Nil significant change</w:t>
            </w:r>
            <w:r w:rsidR="00817741" w:rsidRPr="00CE6A5A">
              <w:rPr>
                <w:sz w:val="20"/>
                <w:szCs w:val="20"/>
              </w:rPr>
              <w:t>.</w:t>
            </w:r>
          </w:p>
        </w:tc>
      </w:tr>
      <w:tr w:rsidR="00173579" w:rsidRPr="00CE6A5A" w:rsidTr="00CE6A5A">
        <w:trPr>
          <w:trHeight w:val="524"/>
        </w:trPr>
        <w:tc>
          <w:tcPr>
            <w:tcW w:w="2152" w:type="dxa"/>
          </w:tcPr>
          <w:p w:rsidR="00173579" w:rsidRPr="00CE6A5A" w:rsidRDefault="00173579" w:rsidP="00CE6A5A">
            <w:pPr>
              <w:ind w:left="0" w:right="68"/>
              <w:rPr>
                <w:rFonts w:eastAsia="MS Mincho"/>
                <w:b/>
                <w:sz w:val="20"/>
                <w:szCs w:val="20"/>
              </w:rPr>
            </w:pPr>
            <w:r w:rsidRPr="00CE6A5A">
              <w:rPr>
                <w:b/>
                <w:sz w:val="20"/>
                <w:szCs w:val="20"/>
              </w:rPr>
              <w:t>ASA</w:t>
            </w:r>
          </w:p>
        </w:tc>
        <w:tc>
          <w:tcPr>
            <w:tcW w:w="7702" w:type="dxa"/>
            <w:hideMark/>
          </w:tcPr>
          <w:p w:rsidR="00173579" w:rsidRPr="00CE6A5A" w:rsidRDefault="00173579" w:rsidP="00CE6A5A">
            <w:pPr>
              <w:ind w:left="0" w:right="68"/>
              <w:rPr>
                <w:rFonts w:eastAsia="MS Mincho"/>
                <w:sz w:val="20"/>
                <w:szCs w:val="20"/>
              </w:rPr>
            </w:pPr>
            <w:r w:rsidRPr="00CE6A5A">
              <w:rPr>
                <w:sz w:val="20"/>
                <w:szCs w:val="20"/>
              </w:rPr>
              <w:t>The Australian educational materials have been attached to the latest version of the EU-RMP/ASA.</w:t>
            </w:r>
          </w:p>
        </w:tc>
      </w:tr>
    </w:tbl>
    <w:p w:rsidR="00173579" w:rsidRDefault="00173579" w:rsidP="00CE6A5A">
      <w:r>
        <w:t>The evaluator has no particular objection to the above changes and recommends to the Delegate that the updated version is implemented (see below).</w:t>
      </w:r>
    </w:p>
    <w:p w:rsidR="00173579" w:rsidRDefault="00173579" w:rsidP="00CE6A5A">
      <w:pPr>
        <w:pStyle w:val="Heading5"/>
      </w:pPr>
      <w:r>
        <w:lastRenderedPageBreak/>
        <w:t xml:space="preserve">Suggested </w:t>
      </w:r>
      <w:r w:rsidRPr="00CE6A5A">
        <w:t>wording</w:t>
      </w:r>
      <w:r w:rsidR="00CE6A5A">
        <w:t xml:space="preserve"> for conditions of registration</w:t>
      </w:r>
    </w:p>
    <w:p w:rsidR="00173579" w:rsidRDefault="00173579" w:rsidP="00CE6A5A">
      <w:pPr>
        <w:pStyle w:val="Heading6"/>
        <w:rPr>
          <w:sz w:val="24"/>
          <w:szCs w:val="24"/>
        </w:rPr>
      </w:pPr>
      <w:r w:rsidRPr="00CE6A5A">
        <w:t>RMP</w:t>
      </w:r>
    </w:p>
    <w:p w:rsidR="00173579" w:rsidRDefault="00173579" w:rsidP="00CE6A5A">
      <w:r>
        <w:t>Any changes to which the sponsor agreed become part of the risk management system, whether they are included in the currently available version of the RMP document, or not included, inadvertently or otherwise.</w:t>
      </w:r>
    </w:p>
    <w:p w:rsidR="00173579" w:rsidRDefault="00173579" w:rsidP="00CE6A5A">
      <w:r>
        <w:t>The suggested wording is:</w:t>
      </w:r>
    </w:p>
    <w:p w:rsidR="00173579" w:rsidRDefault="00173579" w:rsidP="00CE6A5A">
      <w:r>
        <w:t>Implement EU-RMP Version 11.1.2 (dated September 2014, DLP 31 December 2012) and Australian Specific Annex Version 2.0 (dated December 2014) and any future updates as a condition of registration.</w:t>
      </w:r>
    </w:p>
    <w:p w:rsidR="008E7846" w:rsidRPr="00792A32" w:rsidRDefault="008E7846" w:rsidP="00CE6A5A">
      <w:pPr>
        <w:pStyle w:val="Heading2"/>
      </w:pPr>
      <w:bookmarkStart w:id="105" w:name="_Toc438564014"/>
      <w:r>
        <w:t xml:space="preserve">VI. </w:t>
      </w:r>
      <w:r w:rsidRPr="00792A32">
        <w:t xml:space="preserve">Overall </w:t>
      </w:r>
      <w:r w:rsidRPr="00CE6A5A">
        <w:t>conclusion</w:t>
      </w:r>
      <w:r w:rsidRPr="00792A32">
        <w:t xml:space="preserve"> and </w:t>
      </w:r>
      <w:r>
        <w:t>r</w:t>
      </w:r>
      <w:r w:rsidRPr="00792A32">
        <w:t>isk/</w:t>
      </w:r>
      <w:r>
        <w:t>b</w:t>
      </w:r>
      <w:r w:rsidRPr="00792A32">
        <w:t xml:space="preserve">enefit </w:t>
      </w:r>
      <w:r>
        <w:t>a</w:t>
      </w:r>
      <w:r w:rsidRPr="00792A32">
        <w:t>ssessment</w:t>
      </w:r>
      <w:bookmarkEnd w:id="75"/>
      <w:bookmarkEnd w:id="103"/>
      <w:bookmarkEnd w:id="104"/>
      <w:bookmarkEnd w:id="105"/>
    </w:p>
    <w:p w:rsidR="008E7846" w:rsidRDefault="008E7846" w:rsidP="00CE6A5A">
      <w:bookmarkStart w:id="106" w:name="_Toc247691528"/>
      <w:r>
        <w:t xml:space="preserve">The submission was summarised in the following </w:t>
      </w:r>
      <w:r w:rsidRPr="00EF5C48">
        <w:t xml:space="preserve">Delegate’s </w:t>
      </w:r>
      <w:r>
        <w:t>overview</w:t>
      </w:r>
      <w:r w:rsidRPr="00EF5C48">
        <w:t xml:space="preserve"> and recommendation</w:t>
      </w:r>
      <w:r>
        <w:t>s:</w:t>
      </w:r>
    </w:p>
    <w:p w:rsidR="00BE4818" w:rsidRDefault="00BE4818" w:rsidP="00CE6A5A">
      <w:bookmarkStart w:id="107" w:name="_Toc314842511"/>
      <w:r>
        <w:t xml:space="preserve">Adalimumab has been considered by </w:t>
      </w:r>
      <w:r w:rsidR="00817741">
        <w:t>the TGA’s Advisory Committee on Prescription Medicines (</w:t>
      </w:r>
      <w:r>
        <w:t>ACPM</w:t>
      </w:r>
      <w:r w:rsidR="00817741">
        <w:t>)</w:t>
      </w:r>
      <w:r>
        <w:t xml:space="preserve"> on a number of occasions with the </w:t>
      </w:r>
      <w:proofErr w:type="spellStart"/>
      <w:r>
        <w:t>pJIA</w:t>
      </w:r>
      <w:proofErr w:type="spellEnd"/>
      <w:r>
        <w:t xml:space="preserve"> application for 4 years and older patients considered at the June 2009 meeting.</w:t>
      </w:r>
      <w:r w:rsidR="00F071E1">
        <w:t xml:space="preserve"> </w:t>
      </w:r>
      <w:r>
        <w:t>At that meeting the committee advised that dosing should be weight based, that the indication not require failure of a previous DMARD and that both monotherapy and combination therapy with methotrexate were appropriate.</w:t>
      </w:r>
    </w:p>
    <w:p w:rsidR="008E7846" w:rsidRDefault="008E7846" w:rsidP="00CE6A5A">
      <w:pPr>
        <w:pStyle w:val="Heading3"/>
      </w:pPr>
      <w:bookmarkStart w:id="108" w:name="_Toc438564015"/>
      <w:r w:rsidRPr="00CE6A5A">
        <w:t>Quality</w:t>
      </w:r>
      <w:bookmarkEnd w:id="106"/>
      <w:bookmarkEnd w:id="107"/>
      <w:bookmarkEnd w:id="108"/>
    </w:p>
    <w:p w:rsidR="00452AF0" w:rsidRPr="00817741" w:rsidRDefault="00452AF0" w:rsidP="00CE6A5A">
      <w:bookmarkStart w:id="109" w:name="_Toc314842512"/>
      <w:r w:rsidRPr="00817741">
        <w:t>The sponsor submitted a bioanalysis validation report which demonstrated that the assay for measuring adalimumab concentrations is validated and capable of measuring free adalimumab concentrations in serum within the limits of quantification.</w:t>
      </w:r>
    </w:p>
    <w:p w:rsidR="008E7846" w:rsidRDefault="008E7846" w:rsidP="00CE6A5A">
      <w:pPr>
        <w:pStyle w:val="Heading3"/>
      </w:pPr>
      <w:bookmarkStart w:id="110" w:name="_Toc438564016"/>
      <w:r w:rsidRPr="00CE6A5A">
        <w:t>Nonclinical</w:t>
      </w:r>
      <w:bookmarkEnd w:id="109"/>
      <w:bookmarkEnd w:id="110"/>
    </w:p>
    <w:p w:rsidR="00452AF0" w:rsidRPr="00452AF0" w:rsidRDefault="00452AF0" w:rsidP="00CE6A5A">
      <w:bookmarkStart w:id="111" w:name="_Toc247691530"/>
      <w:bookmarkStart w:id="112" w:name="_Toc314842513"/>
      <w:r w:rsidRPr="00452AF0">
        <w:t xml:space="preserve">There </w:t>
      </w:r>
      <w:r w:rsidR="00817741">
        <w:t>were</w:t>
      </w:r>
      <w:r w:rsidRPr="00452AF0">
        <w:t xml:space="preserve"> no new </w:t>
      </w:r>
      <w:r w:rsidR="00817741">
        <w:t>nonclinical</w:t>
      </w:r>
      <w:r w:rsidRPr="00452AF0">
        <w:t xml:space="preserve"> data.</w:t>
      </w:r>
    </w:p>
    <w:p w:rsidR="008E7846" w:rsidRDefault="008E7846" w:rsidP="00CE6A5A">
      <w:pPr>
        <w:pStyle w:val="Heading3"/>
      </w:pPr>
      <w:bookmarkStart w:id="113" w:name="_Toc438564017"/>
      <w:r w:rsidRPr="00CE6A5A">
        <w:t>Clinical</w:t>
      </w:r>
      <w:bookmarkEnd w:id="111"/>
      <w:bookmarkEnd w:id="112"/>
      <w:bookmarkEnd w:id="113"/>
    </w:p>
    <w:p w:rsidR="00452AF0" w:rsidRPr="00817741" w:rsidRDefault="00452AF0" w:rsidP="00CE6A5A">
      <w:bookmarkStart w:id="114" w:name="_Toc314842514"/>
      <w:r w:rsidRPr="00817741">
        <w:t xml:space="preserve">The clinical evaluator has recommended approval of adalimumab </w:t>
      </w:r>
      <w:r w:rsidRPr="00817741">
        <w:rPr>
          <w:lang w:val="en-US"/>
        </w:rPr>
        <w:t>in patients aged 2 to 4 years and in patients aged 4 years and older weighing &lt;</w:t>
      </w:r>
      <w:r w:rsidR="00817741" w:rsidRPr="00817741">
        <w:rPr>
          <w:lang w:val="en-US"/>
        </w:rPr>
        <w:t xml:space="preserve"> </w:t>
      </w:r>
      <w:r w:rsidRPr="00817741">
        <w:rPr>
          <w:lang w:val="en-US"/>
        </w:rPr>
        <w:t>15 kg</w:t>
      </w:r>
      <w:r w:rsidRPr="00817741">
        <w:t>.</w:t>
      </w:r>
      <w:r w:rsidR="00F071E1">
        <w:t xml:space="preserve"> </w:t>
      </w:r>
      <w:r w:rsidRPr="00817741">
        <w:t xml:space="preserve">The evaluator </w:t>
      </w:r>
      <w:r w:rsidRPr="00817741">
        <w:rPr>
          <w:lang w:val="en-US"/>
        </w:rPr>
        <w:t xml:space="preserve">recommended that </w:t>
      </w:r>
      <w:proofErr w:type="spellStart"/>
      <w:r w:rsidRPr="00817741">
        <w:rPr>
          <w:lang w:val="en-US"/>
        </w:rPr>
        <w:t>Humira</w:t>
      </w:r>
      <w:proofErr w:type="spellEnd"/>
      <w:r w:rsidRPr="00817741">
        <w:rPr>
          <w:lang w:val="en-US"/>
        </w:rPr>
        <w:t xml:space="preserve"> be administered </w:t>
      </w:r>
      <w:r w:rsidR="00817741" w:rsidRPr="00817741">
        <w:rPr>
          <w:lang w:val="en-US"/>
        </w:rPr>
        <w:t>SC</w:t>
      </w:r>
      <w:r w:rsidRPr="00817741">
        <w:rPr>
          <w:lang w:val="en-US"/>
        </w:rPr>
        <w:t xml:space="preserve"> based on weight as proposed by the sponsor and that the amended dose regimen </w:t>
      </w:r>
      <w:r w:rsidRPr="00817741">
        <w:t xml:space="preserve">proposed by the sponsor in the </w:t>
      </w:r>
      <w:r w:rsidRPr="00817741">
        <w:rPr>
          <w:i/>
        </w:rPr>
        <w:t>Response to s31 Request (29 December 2014)</w:t>
      </w:r>
      <w:r w:rsidRPr="00817741">
        <w:t xml:space="preserve"> be approved.</w:t>
      </w:r>
    </w:p>
    <w:p w:rsidR="00452AF0" w:rsidRDefault="00452AF0" w:rsidP="00CE6A5A">
      <w:pPr>
        <w:pStyle w:val="Heading4"/>
      </w:pPr>
      <w:r w:rsidRPr="00CE6A5A">
        <w:t>Pharmacology</w:t>
      </w:r>
    </w:p>
    <w:p w:rsidR="00452AF0" w:rsidRDefault="00452AF0" w:rsidP="00CE6A5A">
      <w:r>
        <w:t xml:space="preserve">The pivotal study supporting the submission was </w:t>
      </w:r>
      <w:r w:rsidR="00EF55F9">
        <w:t>Study M</w:t>
      </w:r>
      <w:r>
        <w:t xml:space="preserve">10-444, a </w:t>
      </w:r>
      <w:r w:rsidR="00817741">
        <w:t>P</w:t>
      </w:r>
      <w:r>
        <w:t xml:space="preserve">hase </w:t>
      </w:r>
      <w:proofErr w:type="spellStart"/>
      <w:r>
        <w:t>IIIb</w:t>
      </w:r>
      <w:proofErr w:type="spellEnd"/>
      <w:r>
        <w:t xml:space="preserve">, multicentre, </w:t>
      </w:r>
      <w:r w:rsidR="00817741">
        <w:t>open label</w:t>
      </w:r>
      <w:r>
        <w:t xml:space="preserve">, uncontrolled study of adalimumab in the US and Europe in 32 paediatric patients with moderately to severely active </w:t>
      </w:r>
      <w:proofErr w:type="spellStart"/>
      <w:r>
        <w:t>pJIA</w:t>
      </w:r>
      <w:proofErr w:type="spellEnd"/>
      <w:r>
        <w:t xml:space="preserve"> aged</w:t>
      </w:r>
      <w:r w:rsidR="00F071E1">
        <w:t xml:space="preserve"> </w:t>
      </w:r>
      <w:r>
        <w:t xml:space="preserve">2 to &lt; 4 years or aged </w:t>
      </w:r>
      <w:r w:rsidR="00974CDD">
        <w:rPr>
          <w:lang w:val="en-US"/>
        </w:rPr>
        <w:t>≥</w:t>
      </w:r>
      <w:r w:rsidR="00237330">
        <w:rPr>
          <w:lang w:val="en-US"/>
        </w:rPr>
        <w:t xml:space="preserve"> </w:t>
      </w:r>
      <w:r>
        <w:t>4 years weighing &lt; 15 kg, according to the International League of Associations for Rheumatology (ILAR) criteria.</w:t>
      </w:r>
      <w:r w:rsidR="00F071E1">
        <w:t xml:space="preserve"> </w:t>
      </w:r>
      <w:r>
        <w:rPr>
          <w:lang w:val="en-US"/>
        </w:rPr>
        <w:t>The primary objective of the study was to evaluate the safety of adalimumab and the secondary objectives were to collect PK data and to evaluate efficacy.</w:t>
      </w:r>
      <w:r w:rsidR="00F071E1">
        <w:rPr>
          <w:lang w:val="en-US"/>
        </w:rPr>
        <w:t xml:space="preserve"> </w:t>
      </w:r>
      <w:r>
        <w:t xml:space="preserve">The study provided pharmacokinetic data up to </w:t>
      </w:r>
      <w:r w:rsidR="00817741">
        <w:t>W</w:t>
      </w:r>
      <w:r>
        <w:t>eek 24 in 15 paediatric patients (11 with methotrexate and 4 without) and used a dose of 24 mg/m</w:t>
      </w:r>
      <w:r>
        <w:rPr>
          <w:vertAlign w:val="superscript"/>
        </w:rPr>
        <w:t>2</w:t>
      </w:r>
      <w:r>
        <w:t xml:space="preserve"> BSA up to a total dose of 20 mg administered fortnightly as a single dose via </w:t>
      </w:r>
      <w:r w:rsidR="00817741">
        <w:t>SC</w:t>
      </w:r>
      <w:r>
        <w:t xml:space="preserve"> injection.</w:t>
      </w:r>
      <w:r w:rsidR="00F071E1">
        <w:t xml:space="preserve"> </w:t>
      </w:r>
      <w:r>
        <w:t xml:space="preserve">The baseline </w:t>
      </w:r>
      <w:r>
        <w:lastRenderedPageBreak/>
        <w:t>characteristics of the 15 patients who provided PK data were consistent with the overall study population of 32 patients.</w:t>
      </w:r>
      <w:r w:rsidR="00F071E1">
        <w:t xml:space="preserve"> </w:t>
      </w:r>
      <w:r>
        <w:t xml:space="preserve">Results for the steady state adalimumab mean trough concentrations at </w:t>
      </w:r>
      <w:r w:rsidR="00817741">
        <w:t>W</w:t>
      </w:r>
      <w:r>
        <w:t>eeks 12 and 24 were 6.97 and 7.78 microgram/mL respectively with higher values in those on concomitant methotrexate than those without.</w:t>
      </w:r>
      <w:r w:rsidR="00F071E1">
        <w:t xml:space="preserve"> </w:t>
      </w:r>
      <w:r>
        <w:t>However the patient numbers were imbalanced, small and there was a higher inter-subject variability in those not taking methotrexate to draw definitive conclusions.</w:t>
      </w:r>
    </w:p>
    <w:p w:rsidR="00452AF0" w:rsidRDefault="00452AF0" w:rsidP="00CE6A5A">
      <w:r>
        <w:t>One patient out of 15 in the study developed anti-adalimumab antibodies.</w:t>
      </w:r>
      <w:r w:rsidR="00F071E1">
        <w:t xml:space="preserve"> </w:t>
      </w:r>
      <w:r>
        <w:t xml:space="preserve">This patient, who was on concomitant methotrexate, was a PedACR30 responder at </w:t>
      </w:r>
      <w:r w:rsidR="00817741">
        <w:t>W</w:t>
      </w:r>
      <w:r>
        <w:t>eeks 12 and 24 and had 8 adverse events.</w:t>
      </w:r>
      <w:r w:rsidR="00F071E1">
        <w:t xml:space="preserve"> </w:t>
      </w:r>
      <w:r>
        <w:t>In comparison, 14 patients did not develop antibodies and were mostly PedACR30 responders.</w:t>
      </w:r>
      <w:r w:rsidR="00F071E1">
        <w:t xml:space="preserve"> </w:t>
      </w:r>
      <w:r>
        <w:t>Given one patient developed antibodies, then no clinically meaningful comparison can be made.</w:t>
      </w:r>
    </w:p>
    <w:p w:rsidR="00452AF0" w:rsidRDefault="00452AF0" w:rsidP="00CE6A5A">
      <w:pPr>
        <w:rPr>
          <w:lang w:val="en-US"/>
        </w:rPr>
      </w:pPr>
      <w:r>
        <w:t xml:space="preserve">The submission included a comparison of the PK data from the previously evaluated </w:t>
      </w:r>
      <w:r w:rsidR="00F00F6F">
        <w:t>Study D</w:t>
      </w:r>
      <w:r>
        <w:t xml:space="preserve">E038 that supported the approval in subjects aged 4 to 17 years with </w:t>
      </w:r>
      <w:proofErr w:type="spellStart"/>
      <w:r>
        <w:t>pJIA</w:t>
      </w:r>
      <w:proofErr w:type="spellEnd"/>
      <w:r>
        <w:t xml:space="preserve"> treated with </w:t>
      </w:r>
      <w:proofErr w:type="spellStart"/>
      <w:r>
        <w:t>adalimumab</w:t>
      </w:r>
      <w:proofErr w:type="spellEnd"/>
      <w:r>
        <w:t xml:space="preserve">, stratified by concomitant MTX use, and the PK data from this </w:t>
      </w:r>
      <w:r w:rsidR="00EF55F9">
        <w:t>Study M</w:t>
      </w:r>
      <w:r>
        <w:t>10-444 (see table below).</w:t>
      </w:r>
      <w:r w:rsidR="00F071E1">
        <w:t xml:space="preserve"> </w:t>
      </w:r>
      <w:r>
        <w:t xml:space="preserve">In </w:t>
      </w:r>
      <w:r w:rsidR="00F00F6F">
        <w:t>Study D</w:t>
      </w:r>
      <w:r>
        <w:t xml:space="preserve">E038, </w:t>
      </w:r>
      <w:r>
        <w:rPr>
          <w:lang w:val="en-US"/>
        </w:rPr>
        <w:t>treatment consisted of a 16</w:t>
      </w:r>
      <w:r w:rsidR="00817741">
        <w:rPr>
          <w:lang w:val="en-US"/>
        </w:rPr>
        <w:t xml:space="preserve"> </w:t>
      </w:r>
      <w:r>
        <w:rPr>
          <w:lang w:val="en-US"/>
        </w:rPr>
        <w:t xml:space="preserve">week, </w:t>
      </w:r>
      <w:r w:rsidR="00817741">
        <w:rPr>
          <w:lang w:val="en-US"/>
        </w:rPr>
        <w:t>open label</w:t>
      </w:r>
      <w:r>
        <w:rPr>
          <w:lang w:val="en-US"/>
        </w:rPr>
        <w:t>, lead-in phase followed by a 32</w:t>
      </w:r>
      <w:r w:rsidR="00817741">
        <w:rPr>
          <w:lang w:val="en-US"/>
        </w:rPr>
        <w:t xml:space="preserve"> </w:t>
      </w:r>
      <w:r>
        <w:rPr>
          <w:lang w:val="en-US"/>
        </w:rPr>
        <w:t xml:space="preserve">week </w:t>
      </w:r>
      <w:r w:rsidR="00817741">
        <w:rPr>
          <w:lang w:val="en-US"/>
        </w:rPr>
        <w:t>double blind</w:t>
      </w:r>
      <w:r>
        <w:rPr>
          <w:lang w:val="en-US"/>
        </w:rPr>
        <w:t xml:space="preserve"> phase with a subsequent </w:t>
      </w:r>
      <w:r w:rsidR="00817741">
        <w:rPr>
          <w:lang w:val="en-US"/>
        </w:rPr>
        <w:t>open label</w:t>
      </w:r>
      <w:r>
        <w:rPr>
          <w:lang w:val="en-US"/>
        </w:rPr>
        <w:t xml:space="preserve"> extension phase. A total of 171 subjects were enrolled in the </w:t>
      </w:r>
      <w:r w:rsidR="00817741">
        <w:rPr>
          <w:lang w:val="en-US"/>
        </w:rPr>
        <w:t>open label</w:t>
      </w:r>
      <w:r>
        <w:rPr>
          <w:lang w:val="en-US"/>
        </w:rPr>
        <w:t>, lead-in phase (mean age 11.3 years, range 4</w:t>
      </w:r>
      <w:r w:rsidR="00F071E1">
        <w:rPr>
          <w:lang w:val="en-US"/>
        </w:rPr>
        <w:t xml:space="preserve"> to </w:t>
      </w:r>
      <w:r>
        <w:rPr>
          <w:lang w:val="en-US"/>
        </w:rPr>
        <w:t xml:space="preserve">17 years), and 133 subjects were </w:t>
      </w:r>
      <w:r w:rsidR="00F071E1">
        <w:rPr>
          <w:lang w:val="en-US"/>
        </w:rPr>
        <w:t>randomised</w:t>
      </w:r>
      <w:r>
        <w:rPr>
          <w:lang w:val="en-US"/>
        </w:rPr>
        <w:t xml:space="preserve"> and dosed in the </w:t>
      </w:r>
      <w:r w:rsidR="00817741">
        <w:rPr>
          <w:lang w:val="en-US"/>
        </w:rPr>
        <w:t>double blind</w:t>
      </w:r>
      <w:r>
        <w:rPr>
          <w:lang w:val="en-US"/>
        </w:rPr>
        <w:t xml:space="preserve"> phase. Subjects initially received adalimumab 24 mg/m</w:t>
      </w:r>
      <w:r>
        <w:rPr>
          <w:vertAlign w:val="superscript"/>
          <w:lang w:val="en-US"/>
        </w:rPr>
        <w:t>2</w:t>
      </w:r>
      <w:r>
        <w:rPr>
          <w:lang w:val="en-US"/>
        </w:rPr>
        <w:t xml:space="preserve"> BSA fortnightly </w:t>
      </w:r>
      <w:r w:rsidR="00F071E1">
        <w:rPr>
          <w:lang w:val="en-US"/>
        </w:rPr>
        <w:t>SC</w:t>
      </w:r>
      <w:r>
        <w:rPr>
          <w:lang w:val="en-US"/>
        </w:rPr>
        <w:t xml:space="preserve"> (up to a maximum of 40 mg total body dose), and in the </w:t>
      </w:r>
      <w:r w:rsidR="00817741">
        <w:rPr>
          <w:lang w:val="en-US"/>
        </w:rPr>
        <w:t>open label</w:t>
      </w:r>
      <w:r>
        <w:rPr>
          <w:lang w:val="en-US"/>
        </w:rPr>
        <w:t>, extension phase, fixed</w:t>
      </w:r>
      <w:r w:rsidR="00F071E1">
        <w:rPr>
          <w:lang w:val="en-US"/>
        </w:rPr>
        <w:t xml:space="preserve"> </w:t>
      </w:r>
      <w:r>
        <w:rPr>
          <w:lang w:val="en-US"/>
        </w:rPr>
        <w:t>doses of 20 mg or 40 mg were administered.</w:t>
      </w:r>
      <w:r w:rsidR="00F071E1">
        <w:rPr>
          <w:lang w:val="en-US"/>
        </w:rPr>
        <w:t xml:space="preserve"> </w:t>
      </w:r>
      <w:r>
        <w:rPr>
          <w:lang w:val="en-US"/>
        </w:rPr>
        <w:t xml:space="preserve">The mean adalimumab steady state trough concentrations were similar between patients treated with adalimumab with methotrexate between the two studies at </w:t>
      </w:r>
      <w:r w:rsidR="00F071E1">
        <w:rPr>
          <w:lang w:val="en-US"/>
        </w:rPr>
        <w:t>W</w:t>
      </w:r>
      <w:r>
        <w:rPr>
          <w:lang w:val="en-US"/>
        </w:rPr>
        <w:t xml:space="preserve">eek 24 in the younger population (n=11, 8.45 </w:t>
      </w:r>
      <w:r w:rsidR="00F071E1">
        <w:rPr>
          <w:lang w:val="en-US"/>
        </w:rPr>
        <w:t>µg</w:t>
      </w:r>
      <w:r>
        <w:rPr>
          <w:lang w:val="en-US"/>
        </w:rPr>
        <w:t xml:space="preserve">/mL) and week 16 in the older population (n=36, 8.85 </w:t>
      </w:r>
      <w:r w:rsidR="00F071E1">
        <w:rPr>
          <w:lang w:val="en-US"/>
        </w:rPr>
        <w:t xml:space="preserve">µg </w:t>
      </w:r>
      <w:r>
        <w:rPr>
          <w:lang w:val="en-US"/>
        </w:rPr>
        <w:t>/mL).</w:t>
      </w:r>
      <w:r w:rsidR="00F071E1">
        <w:rPr>
          <w:lang w:val="en-US"/>
        </w:rPr>
        <w:t xml:space="preserve"> </w:t>
      </w:r>
      <w:r>
        <w:rPr>
          <w:lang w:val="en-US"/>
        </w:rPr>
        <w:t>Adalimumab concentrations were higher in patients taking methotrexate than not in both studies.</w:t>
      </w:r>
      <w:r w:rsidR="00F071E1">
        <w:rPr>
          <w:lang w:val="en-US"/>
        </w:rPr>
        <w:t xml:space="preserve"> </w:t>
      </w:r>
      <w:r>
        <w:rPr>
          <w:lang w:val="en-US"/>
        </w:rPr>
        <w:t>In patients not taking concomitant methotrexate, the concentrations were lower in the younger population however this should be interpreted cautiously.</w:t>
      </w:r>
    </w:p>
    <w:p w:rsidR="00452AF0" w:rsidRDefault="00F071E1" w:rsidP="00CE6A5A">
      <w:pPr>
        <w:pStyle w:val="TableTitle"/>
      </w:pPr>
      <w:r>
        <w:t xml:space="preserve">Table </w:t>
      </w:r>
      <w:r w:rsidR="00237330">
        <w:t>8</w:t>
      </w:r>
      <w:r>
        <w:t xml:space="preserve">: </w:t>
      </w:r>
      <w:r w:rsidR="00452AF0" w:rsidRPr="00CE6A5A">
        <w:t>Comparison</w:t>
      </w:r>
      <w:r w:rsidR="00452AF0">
        <w:rPr>
          <w:lang w:val="en-US"/>
        </w:rPr>
        <w:t xml:space="preserve"> of mean ± SD steady-state serum </w:t>
      </w:r>
      <w:proofErr w:type="spellStart"/>
      <w:r w:rsidR="00452AF0">
        <w:rPr>
          <w:lang w:val="en-US"/>
        </w:rPr>
        <w:t>adalimumab</w:t>
      </w:r>
      <w:proofErr w:type="spellEnd"/>
      <w:r w:rsidR="00452AF0">
        <w:rPr>
          <w:lang w:val="en-US"/>
        </w:rPr>
        <w:t xml:space="preserve"> trough concentrations in studies M10-444 and DE038</w:t>
      </w:r>
    </w:p>
    <w:p w:rsidR="00452AF0" w:rsidRDefault="00452AF0" w:rsidP="00CE6A5A">
      <w:pPr>
        <w:rPr>
          <w:rFonts w:asciiTheme="minorHAnsi" w:hAnsiTheme="minorHAnsi"/>
          <w:b/>
        </w:rPr>
      </w:pPr>
      <w:r>
        <w:rPr>
          <w:noProof/>
          <w:lang w:eastAsia="en-AU"/>
        </w:rPr>
        <w:drawing>
          <wp:inline distT="0" distB="0" distL="0" distR="0" wp14:anchorId="350C8143" wp14:editId="3BC7C2E7">
            <wp:extent cx="4452078" cy="1341620"/>
            <wp:effectExtent l="19050" t="19050" r="24765" b="11430"/>
            <wp:docPr id="1" name="Picture 1" descr="Table 8: Comparison of mean ± SD steady-state serum adalimumab trough concentrations in studies M10-444 and DE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l="967" t="3608" r="3377" b="4123"/>
                    <a:stretch/>
                  </pic:blipFill>
                  <pic:spPr bwMode="auto">
                    <a:xfrm>
                      <a:off x="0" y="0"/>
                      <a:ext cx="4452400" cy="1341717"/>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rsidR="00452AF0" w:rsidRDefault="00452AF0" w:rsidP="00CE6A5A">
      <w:pPr>
        <w:pStyle w:val="Heading4"/>
      </w:pPr>
      <w:r w:rsidRPr="00CE6A5A">
        <w:t>Efficacy</w:t>
      </w:r>
    </w:p>
    <w:p w:rsidR="00452AF0" w:rsidRDefault="00F071E1" w:rsidP="00CE6A5A">
      <w:r>
        <w:t>In S</w:t>
      </w:r>
      <w:r w:rsidR="00452AF0">
        <w:t>tudy M10-444</w:t>
      </w:r>
      <w:r>
        <w:t>, s</w:t>
      </w:r>
      <w:r w:rsidR="00452AF0">
        <w:t>ix children discontinued with two due to adverse events and 18 children had protocol deviations with most being due to single use concomitant medications.</w:t>
      </w:r>
      <w:r>
        <w:t xml:space="preserve"> </w:t>
      </w:r>
      <w:r w:rsidR="00452AF0">
        <w:t>No statistical analyses were performed for the efficacy or safety results and the sample size was chosen based on expected availability of eligible subjects.</w:t>
      </w:r>
      <w:r>
        <w:t xml:space="preserve"> </w:t>
      </w:r>
      <w:r w:rsidR="00452AF0">
        <w:t>Concomitant methotrexate was used by 84% of children with a mean dose of 8.1mg (range 2.5</w:t>
      </w:r>
      <w:r>
        <w:t xml:space="preserve"> to </w:t>
      </w:r>
      <w:r w:rsidR="00452AF0">
        <w:t>17.5mg) and concomitant systemic corticosteroids were used by 63%.</w:t>
      </w:r>
      <w:r>
        <w:t xml:space="preserve"> </w:t>
      </w:r>
      <w:r w:rsidR="00452AF0">
        <w:t>At baseline, subjects were 88% female, 88% &lt;4 years of age (mean 3 years), mean weight 13.4</w:t>
      </w:r>
      <w:r>
        <w:t xml:space="preserve"> </w:t>
      </w:r>
      <w:r w:rsidR="00452AF0">
        <w:t xml:space="preserve">kg, mean duration of JIA of 12.3months, disease activity was consistent with moderate to severe </w:t>
      </w:r>
      <w:proofErr w:type="spellStart"/>
      <w:r w:rsidR="00452AF0">
        <w:t>pJIA</w:t>
      </w:r>
      <w:proofErr w:type="spellEnd"/>
      <w:r w:rsidR="00452AF0">
        <w:t xml:space="preserve">, 63% had </w:t>
      </w:r>
      <w:proofErr w:type="spellStart"/>
      <w:r w:rsidR="00452AF0">
        <w:t>sero</w:t>
      </w:r>
      <w:proofErr w:type="spellEnd"/>
      <w:r w:rsidR="00452AF0">
        <w:t xml:space="preserve">-negative polyarthritis and 25% had extended </w:t>
      </w:r>
      <w:proofErr w:type="spellStart"/>
      <w:r w:rsidR="00452AF0">
        <w:t>oligoarthritis</w:t>
      </w:r>
      <w:proofErr w:type="spellEnd"/>
      <w:r w:rsidR="00452AF0">
        <w:t xml:space="preserve">, 78% had prior methotrexate use, 69% prior systemic corticosteroids and no patients had </w:t>
      </w:r>
      <w:r w:rsidR="00452AF0">
        <w:lastRenderedPageBreak/>
        <w:t>received prior biological medicine treatment.</w:t>
      </w:r>
      <w:r>
        <w:t xml:space="preserve"> </w:t>
      </w:r>
      <w:r w:rsidR="00452AF0">
        <w:t>All subjects had a negative PPD skin test</w:t>
      </w:r>
      <w:r>
        <w:rPr>
          <w:rStyle w:val="FootnoteReference"/>
        </w:rPr>
        <w:footnoteReference w:id="5"/>
      </w:r>
      <w:r w:rsidR="00452AF0">
        <w:t xml:space="preserve"> at screening.</w:t>
      </w:r>
      <w:r>
        <w:t xml:space="preserve"> </w:t>
      </w:r>
      <w:r w:rsidR="00452AF0">
        <w:t>There was no primary efficacy endpoint but PedACR30/50/70/90 were used as secondary endpoints and the results showed PedACR30 was achieved by &gt;85% from week 12 -120, PedACR50 was achieved by &gt;80% from week 12-120, PedACR70 by at least 61% from week 12-120 and PedACR90 by &gt;36% from week 12-120.</w:t>
      </w:r>
      <w:r>
        <w:t xml:space="preserve"> </w:t>
      </w:r>
      <w:r w:rsidR="00452AF0">
        <w:t>A clinically meaningful improvement in joint swelling, pain, tenderness and movement was observed to week 24, an improvement in disability was seen and the impact of disease appeared to decrease over time.</w:t>
      </w:r>
      <w:r>
        <w:t xml:space="preserve"> </w:t>
      </w:r>
      <w:r w:rsidR="00452AF0">
        <w:t>CRP levels suggested a decrease in inflammation.</w:t>
      </w:r>
    </w:p>
    <w:p w:rsidR="00452AF0" w:rsidRDefault="00237330" w:rsidP="00CE6A5A">
      <w:pPr>
        <w:pStyle w:val="TableTitle"/>
      </w:pPr>
      <w:r>
        <w:t>Table 9</w:t>
      </w:r>
      <w:r w:rsidR="00F071E1">
        <w:t xml:space="preserve">: </w:t>
      </w:r>
      <w:r w:rsidR="00452AF0">
        <w:t xml:space="preserve">Study M10-444 - </w:t>
      </w:r>
      <w:proofErr w:type="spellStart"/>
      <w:r w:rsidR="00452AF0">
        <w:t>PedACR</w:t>
      </w:r>
      <w:proofErr w:type="spellEnd"/>
      <w:r w:rsidR="00452AF0">
        <w:t xml:space="preserve"> response; ITT </w:t>
      </w:r>
      <w:r w:rsidR="00452AF0" w:rsidRPr="00CE6A5A">
        <w:t>population</w:t>
      </w:r>
    </w:p>
    <w:tbl>
      <w:tblPr>
        <w:tblStyle w:val="TableTGAblue"/>
        <w:tblW w:w="0" w:type="auto"/>
        <w:tblLook w:val="04A0" w:firstRow="1" w:lastRow="0" w:firstColumn="1" w:lastColumn="0" w:noHBand="0" w:noVBand="1"/>
      </w:tblPr>
      <w:tblGrid>
        <w:gridCol w:w="1056"/>
        <w:gridCol w:w="1408"/>
        <w:gridCol w:w="1564"/>
        <w:gridCol w:w="1564"/>
        <w:gridCol w:w="1564"/>
        <w:gridCol w:w="1564"/>
      </w:tblGrid>
      <w:tr w:rsidR="00365B01" w:rsidRPr="00365B01" w:rsidTr="00365B01">
        <w:trPr>
          <w:cnfStyle w:val="100000000000" w:firstRow="1" w:lastRow="0" w:firstColumn="0" w:lastColumn="0" w:oddVBand="0" w:evenVBand="0" w:oddHBand="0" w:evenHBand="0" w:firstRowFirstColumn="0" w:firstRowLastColumn="0" w:lastRowFirstColumn="0" w:lastRowLastColumn="0"/>
        </w:trPr>
        <w:tc>
          <w:tcPr>
            <w:tcW w:w="8720" w:type="dxa"/>
            <w:gridSpan w:val="6"/>
          </w:tcPr>
          <w:p w:rsidR="00365B01" w:rsidRPr="00365B01" w:rsidRDefault="00365B01" w:rsidP="00365B01">
            <w:pPr>
              <w:ind w:left="0" w:right="0"/>
              <w:jc w:val="center"/>
              <w:rPr>
                <w:sz w:val="19"/>
                <w:szCs w:val="19"/>
              </w:rPr>
            </w:pPr>
            <w:proofErr w:type="spellStart"/>
            <w:r w:rsidRPr="00365B01">
              <w:rPr>
                <w:sz w:val="19"/>
                <w:szCs w:val="19"/>
              </w:rPr>
              <w:t>Adalimumab</w:t>
            </w:r>
            <w:proofErr w:type="spellEnd"/>
            <w:r w:rsidRPr="00365B01">
              <w:rPr>
                <w:sz w:val="19"/>
                <w:szCs w:val="19"/>
              </w:rPr>
              <w:t xml:space="preserve"> n/N1a (%)</w:t>
            </w:r>
          </w:p>
        </w:tc>
      </w:tr>
      <w:tr w:rsidR="00365B01" w:rsidRPr="00365B01" w:rsidTr="00365B01">
        <w:tc>
          <w:tcPr>
            <w:tcW w:w="1056" w:type="dxa"/>
          </w:tcPr>
          <w:p w:rsidR="00365B01" w:rsidRPr="00365B01" w:rsidRDefault="00365B01" w:rsidP="00365B01">
            <w:pPr>
              <w:ind w:left="0" w:right="0"/>
              <w:jc w:val="center"/>
              <w:rPr>
                <w:b/>
                <w:sz w:val="19"/>
                <w:szCs w:val="19"/>
              </w:rPr>
            </w:pPr>
            <w:r w:rsidRPr="00365B01">
              <w:rPr>
                <w:b/>
                <w:sz w:val="19"/>
                <w:szCs w:val="19"/>
                <w:lang w:val="en-US"/>
              </w:rPr>
              <w:t>Visit</w:t>
            </w:r>
          </w:p>
        </w:tc>
        <w:tc>
          <w:tcPr>
            <w:tcW w:w="1408" w:type="dxa"/>
          </w:tcPr>
          <w:p w:rsidR="00365B01" w:rsidRPr="00365B01" w:rsidRDefault="00365B01" w:rsidP="00365B01">
            <w:pPr>
              <w:ind w:left="0" w:right="0"/>
              <w:jc w:val="center"/>
              <w:rPr>
                <w:b/>
                <w:sz w:val="19"/>
                <w:szCs w:val="19"/>
              </w:rPr>
            </w:pPr>
            <w:r w:rsidRPr="00365B01">
              <w:rPr>
                <w:b/>
                <w:sz w:val="19"/>
                <w:szCs w:val="19"/>
              </w:rPr>
              <w:t>Analysis Method</w:t>
            </w:r>
          </w:p>
        </w:tc>
        <w:tc>
          <w:tcPr>
            <w:tcW w:w="1564" w:type="dxa"/>
          </w:tcPr>
          <w:p w:rsidR="00365B01" w:rsidRPr="00365B01" w:rsidRDefault="00365B01" w:rsidP="00365B01">
            <w:pPr>
              <w:ind w:left="0" w:right="0"/>
              <w:jc w:val="center"/>
              <w:rPr>
                <w:b/>
                <w:sz w:val="19"/>
                <w:szCs w:val="19"/>
              </w:rPr>
            </w:pPr>
            <w:r w:rsidRPr="00365B01">
              <w:rPr>
                <w:b/>
                <w:sz w:val="19"/>
                <w:szCs w:val="19"/>
              </w:rPr>
              <w:t>PedACR30</w:t>
            </w:r>
          </w:p>
        </w:tc>
        <w:tc>
          <w:tcPr>
            <w:tcW w:w="1564" w:type="dxa"/>
          </w:tcPr>
          <w:p w:rsidR="00365B01" w:rsidRPr="00365B01" w:rsidRDefault="00365B01" w:rsidP="00365B01">
            <w:pPr>
              <w:ind w:left="0" w:right="0"/>
              <w:jc w:val="center"/>
              <w:rPr>
                <w:b/>
                <w:sz w:val="19"/>
                <w:szCs w:val="19"/>
              </w:rPr>
            </w:pPr>
            <w:r w:rsidRPr="00365B01">
              <w:rPr>
                <w:b/>
                <w:sz w:val="19"/>
                <w:szCs w:val="19"/>
              </w:rPr>
              <w:t>PedACR50</w:t>
            </w:r>
          </w:p>
        </w:tc>
        <w:tc>
          <w:tcPr>
            <w:tcW w:w="1564" w:type="dxa"/>
          </w:tcPr>
          <w:p w:rsidR="00365B01" w:rsidRPr="00365B01" w:rsidRDefault="00365B01" w:rsidP="00365B01">
            <w:pPr>
              <w:ind w:left="0" w:right="0"/>
              <w:jc w:val="center"/>
              <w:rPr>
                <w:b/>
                <w:sz w:val="19"/>
                <w:szCs w:val="19"/>
              </w:rPr>
            </w:pPr>
            <w:r w:rsidRPr="00365B01">
              <w:rPr>
                <w:b/>
                <w:sz w:val="19"/>
                <w:szCs w:val="19"/>
              </w:rPr>
              <w:t>PedACR70</w:t>
            </w:r>
          </w:p>
        </w:tc>
        <w:tc>
          <w:tcPr>
            <w:tcW w:w="1564" w:type="dxa"/>
          </w:tcPr>
          <w:p w:rsidR="00365B01" w:rsidRPr="00365B01" w:rsidRDefault="00365B01" w:rsidP="00365B01">
            <w:pPr>
              <w:ind w:left="0" w:right="0"/>
              <w:jc w:val="center"/>
              <w:rPr>
                <w:b/>
                <w:sz w:val="19"/>
                <w:szCs w:val="19"/>
              </w:rPr>
            </w:pPr>
            <w:r w:rsidRPr="00365B01">
              <w:rPr>
                <w:b/>
                <w:sz w:val="19"/>
                <w:szCs w:val="19"/>
              </w:rPr>
              <w:t>PedACR90</w:t>
            </w:r>
          </w:p>
        </w:tc>
      </w:tr>
      <w:tr w:rsidR="00365B01" w:rsidRPr="00365B01" w:rsidTr="00365B01">
        <w:tc>
          <w:tcPr>
            <w:tcW w:w="1056" w:type="dxa"/>
            <w:vMerge w:val="restart"/>
          </w:tcPr>
          <w:p w:rsidR="00365B01" w:rsidRPr="00365B01" w:rsidRDefault="00365B01" w:rsidP="00365B01">
            <w:pPr>
              <w:ind w:left="0" w:right="0"/>
              <w:rPr>
                <w:sz w:val="19"/>
                <w:szCs w:val="19"/>
              </w:rPr>
            </w:pPr>
            <w:r w:rsidRPr="00365B01">
              <w:rPr>
                <w:rFonts w:cs="‡ﬂ˙øª¶‡"/>
                <w:sz w:val="19"/>
                <w:szCs w:val="19"/>
                <w:lang w:val="en-US"/>
              </w:rPr>
              <w:t>Week 12</w:t>
            </w:r>
          </w:p>
        </w:tc>
        <w:tc>
          <w:tcPr>
            <w:tcW w:w="1408" w:type="dxa"/>
          </w:tcPr>
          <w:p w:rsidR="00365B01" w:rsidRPr="00365B01" w:rsidRDefault="00365B01" w:rsidP="00365B01">
            <w:pPr>
              <w:ind w:left="0" w:right="0"/>
              <w:rPr>
                <w:sz w:val="19"/>
                <w:szCs w:val="19"/>
              </w:rPr>
            </w:pPr>
            <w:r w:rsidRPr="00365B01">
              <w:rPr>
                <w:rFonts w:cs="‡ﬂ˙øª¶‡"/>
                <w:sz w:val="19"/>
                <w:szCs w:val="19"/>
                <w:lang w:val="en-US"/>
              </w:rPr>
              <w:t>Observed</w:t>
            </w:r>
          </w:p>
        </w:tc>
        <w:tc>
          <w:tcPr>
            <w:tcW w:w="1564" w:type="dxa"/>
          </w:tcPr>
          <w:p w:rsidR="00365B01" w:rsidRPr="00365B01" w:rsidRDefault="00365B01" w:rsidP="00365B01">
            <w:pPr>
              <w:ind w:left="0" w:right="0"/>
              <w:rPr>
                <w:sz w:val="19"/>
                <w:szCs w:val="19"/>
              </w:rPr>
            </w:pPr>
            <w:r w:rsidRPr="00365B01">
              <w:rPr>
                <w:rFonts w:cs="‡ﬂ˙øª¶‡"/>
                <w:sz w:val="19"/>
                <w:szCs w:val="19"/>
                <w:lang w:val="en-US"/>
              </w:rPr>
              <w:t>29/31 (93.5)</w:t>
            </w:r>
          </w:p>
        </w:tc>
        <w:tc>
          <w:tcPr>
            <w:tcW w:w="1564" w:type="dxa"/>
          </w:tcPr>
          <w:p w:rsidR="00365B01" w:rsidRPr="00365B01" w:rsidRDefault="00365B01" w:rsidP="00365B01">
            <w:pPr>
              <w:ind w:left="0" w:right="0"/>
              <w:rPr>
                <w:sz w:val="19"/>
                <w:szCs w:val="19"/>
              </w:rPr>
            </w:pPr>
            <w:r w:rsidRPr="00365B01">
              <w:rPr>
                <w:rFonts w:cs="‡ﬂ˙øª¶‡"/>
                <w:sz w:val="19"/>
                <w:szCs w:val="19"/>
                <w:lang w:val="en-US"/>
              </w:rPr>
              <w:t>28/31 (90.3)</w:t>
            </w:r>
          </w:p>
        </w:tc>
        <w:tc>
          <w:tcPr>
            <w:tcW w:w="1564" w:type="dxa"/>
          </w:tcPr>
          <w:p w:rsidR="00365B01" w:rsidRPr="00365B01" w:rsidRDefault="00365B01" w:rsidP="00365B01">
            <w:pPr>
              <w:ind w:left="0" w:right="0"/>
              <w:rPr>
                <w:sz w:val="19"/>
                <w:szCs w:val="19"/>
              </w:rPr>
            </w:pPr>
            <w:r w:rsidRPr="00365B01">
              <w:rPr>
                <w:rFonts w:cs="‡ﬂ˙øª¶‡"/>
                <w:sz w:val="19"/>
                <w:szCs w:val="19"/>
                <w:lang w:val="en-US"/>
              </w:rPr>
              <w:t>19/31 (61.3)</w:t>
            </w:r>
          </w:p>
        </w:tc>
        <w:tc>
          <w:tcPr>
            <w:tcW w:w="1564" w:type="dxa"/>
          </w:tcPr>
          <w:p w:rsidR="00365B01" w:rsidRPr="00365B01" w:rsidRDefault="00365B01" w:rsidP="00365B01">
            <w:pPr>
              <w:ind w:left="0" w:right="0"/>
              <w:rPr>
                <w:sz w:val="19"/>
                <w:szCs w:val="19"/>
              </w:rPr>
            </w:pPr>
            <w:r w:rsidRPr="00365B01">
              <w:rPr>
                <w:rFonts w:cs="‡ﬂ˙øª¶‡"/>
                <w:sz w:val="19"/>
                <w:szCs w:val="19"/>
                <w:lang w:val="en-US"/>
              </w:rPr>
              <w:t>12/31 (38.7)</w:t>
            </w:r>
          </w:p>
        </w:tc>
      </w:tr>
      <w:tr w:rsidR="00365B01" w:rsidRPr="00365B01" w:rsidTr="00365B01">
        <w:tc>
          <w:tcPr>
            <w:tcW w:w="1056" w:type="dxa"/>
            <w:vMerge/>
          </w:tcPr>
          <w:p w:rsidR="00365B01" w:rsidRPr="00365B01" w:rsidRDefault="00365B01" w:rsidP="00365B01">
            <w:pPr>
              <w:ind w:left="0" w:right="0"/>
              <w:rPr>
                <w:sz w:val="19"/>
                <w:szCs w:val="19"/>
              </w:rPr>
            </w:pPr>
          </w:p>
        </w:tc>
        <w:tc>
          <w:tcPr>
            <w:tcW w:w="1408" w:type="dxa"/>
          </w:tcPr>
          <w:p w:rsidR="00365B01" w:rsidRPr="00365B01" w:rsidRDefault="00365B01" w:rsidP="00365B01">
            <w:pPr>
              <w:ind w:left="0" w:right="0"/>
              <w:rPr>
                <w:sz w:val="19"/>
                <w:szCs w:val="19"/>
              </w:rPr>
            </w:pPr>
            <w:proofErr w:type="spellStart"/>
            <w:r w:rsidRPr="00365B01">
              <w:rPr>
                <w:rFonts w:cs="`Ï˙øª¶‡"/>
                <w:sz w:val="19"/>
                <w:szCs w:val="19"/>
              </w:rPr>
              <w:t>NRI</w:t>
            </w:r>
            <w:r w:rsidRPr="00365B01">
              <w:rPr>
                <w:rFonts w:cs="`Ï˙øª¶‡"/>
                <w:sz w:val="19"/>
                <w:szCs w:val="19"/>
                <w:vertAlign w:val="superscript"/>
              </w:rPr>
              <w:t>b</w:t>
            </w:r>
            <w:proofErr w:type="spellEnd"/>
          </w:p>
        </w:tc>
        <w:tc>
          <w:tcPr>
            <w:tcW w:w="1564" w:type="dxa"/>
          </w:tcPr>
          <w:p w:rsidR="00365B01" w:rsidRPr="00365B01" w:rsidRDefault="00365B01" w:rsidP="00365B01">
            <w:pPr>
              <w:ind w:left="0" w:right="0"/>
              <w:rPr>
                <w:sz w:val="19"/>
                <w:szCs w:val="19"/>
              </w:rPr>
            </w:pPr>
            <w:r w:rsidRPr="00365B01">
              <w:rPr>
                <w:rFonts w:cs="`Ï˙øª¶‡"/>
                <w:sz w:val="19"/>
                <w:szCs w:val="19"/>
              </w:rPr>
              <w:t>29/32 (90.6)</w:t>
            </w:r>
          </w:p>
        </w:tc>
        <w:tc>
          <w:tcPr>
            <w:tcW w:w="1564" w:type="dxa"/>
          </w:tcPr>
          <w:p w:rsidR="00365B01" w:rsidRPr="00365B01" w:rsidRDefault="00365B01" w:rsidP="00365B01">
            <w:pPr>
              <w:ind w:left="0" w:right="0"/>
              <w:rPr>
                <w:sz w:val="19"/>
                <w:szCs w:val="19"/>
              </w:rPr>
            </w:pPr>
            <w:r w:rsidRPr="00365B01">
              <w:rPr>
                <w:rFonts w:cs="`Ï˙øª¶‡"/>
                <w:sz w:val="19"/>
                <w:szCs w:val="19"/>
              </w:rPr>
              <w:t>28/32 (87.5)</w:t>
            </w:r>
          </w:p>
        </w:tc>
        <w:tc>
          <w:tcPr>
            <w:tcW w:w="1564" w:type="dxa"/>
          </w:tcPr>
          <w:p w:rsidR="00365B01" w:rsidRPr="00365B01" w:rsidRDefault="00365B01" w:rsidP="00365B01">
            <w:pPr>
              <w:ind w:left="0" w:right="0"/>
              <w:rPr>
                <w:sz w:val="19"/>
                <w:szCs w:val="19"/>
              </w:rPr>
            </w:pPr>
            <w:r w:rsidRPr="00365B01">
              <w:rPr>
                <w:rFonts w:cs="`Ï˙øª¶‡"/>
                <w:sz w:val="19"/>
                <w:szCs w:val="19"/>
              </w:rPr>
              <w:t>19/32 (59.4)</w:t>
            </w:r>
          </w:p>
        </w:tc>
        <w:tc>
          <w:tcPr>
            <w:tcW w:w="1564" w:type="dxa"/>
          </w:tcPr>
          <w:p w:rsidR="00365B01" w:rsidRPr="00365B01" w:rsidRDefault="00365B01" w:rsidP="00365B01">
            <w:pPr>
              <w:ind w:left="0" w:right="0"/>
              <w:rPr>
                <w:sz w:val="19"/>
                <w:szCs w:val="19"/>
              </w:rPr>
            </w:pPr>
            <w:r w:rsidRPr="00365B01">
              <w:rPr>
                <w:rFonts w:cs="`Ï˙øª¶‡"/>
                <w:sz w:val="19"/>
                <w:szCs w:val="19"/>
              </w:rPr>
              <w:t>12/32 (37.5)</w:t>
            </w:r>
          </w:p>
        </w:tc>
      </w:tr>
      <w:tr w:rsidR="00365B01" w:rsidRPr="00365B01" w:rsidTr="00365B01">
        <w:tc>
          <w:tcPr>
            <w:tcW w:w="1056" w:type="dxa"/>
            <w:vMerge/>
          </w:tcPr>
          <w:p w:rsidR="00365B01" w:rsidRPr="00365B01" w:rsidRDefault="00365B01" w:rsidP="00365B01">
            <w:pPr>
              <w:ind w:left="0" w:right="0"/>
              <w:rPr>
                <w:sz w:val="19"/>
                <w:szCs w:val="19"/>
              </w:rPr>
            </w:pPr>
          </w:p>
        </w:tc>
        <w:tc>
          <w:tcPr>
            <w:tcW w:w="1408" w:type="dxa"/>
          </w:tcPr>
          <w:p w:rsidR="00365B01" w:rsidRPr="00365B01" w:rsidRDefault="00365B01" w:rsidP="00365B01">
            <w:pPr>
              <w:ind w:left="0" w:right="0"/>
              <w:rPr>
                <w:sz w:val="19"/>
                <w:szCs w:val="19"/>
              </w:rPr>
            </w:pPr>
            <w:proofErr w:type="spellStart"/>
            <w:r w:rsidRPr="00365B01">
              <w:rPr>
                <w:rFonts w:cs="`Ï˙øª¶‡"/>
                <w:sz w:val="19"/>
                <w:szCs w:val="19"/>
              </w:rPr>
              <w:t>LOCF</w:t>
            </w:r>
            <w:r w:rsidRPr="00365B01">
              <w:rPr>
                <w:rFonts w:cs="`Ï˙øª¶‡"/>
                <w:sz w:val="19"/>
                <w:szCs w:val="19"/>
                <w:vertAlign w:val="superscript"/>
              </w:rPr>
              <w:t>c</w:t>
            </w:r>
            <w:proofErr w:type="spellEnd"/>
          </w:p>
        </w:tc>
        <w:tc>
          <w:tcPr>
            <w:tcW w:w="1564" w:type="dxa"/>
          </w:tcPr>
          <w:p w:rsidR="00365B01" w:rsidRPr="00365B01" w:rsidRDefault="00365B01" w:rsidP="00365B01">
            <w:pPr>
              <w:ind w:left="0" w:right="0"/>
              <w:rPr>
                <w:sz w:val="19"/>
                <w:szCs w:val="19"/>
              </w:rPr>
            </w:pPr>
            <w:r w:rsidRPr="00365B01">
              <w:rPr>
                <w:rFonts w:cs="`Ï˙øª¶‡"/>
                <w:sz w:val="19"/>
                <w:szCs w:val="19"/>
              </w:rPr>
              <w:t>29/31 (93.5)</w:t>
            </w:r>
          </w:p>
        </w:tc>
        <w:tc>
          <w:tcPr>
            <w:tcW w:w="1564" w:type="dxa"/>
          </w:tcPr>
          <w:p w:rsidR="00365B01" w:rsidRPr="00365B01" w:rsidRDefault="00365B01" w:rsidP="00365B01">
            <w:pPr>
              <w:ind w:left="0" w:right="0"/>
              <w:rPr>
                <w:sz w:val="19"/>
                <w:szCs w:val="19"/>
              </w:rPr>
            </w:pPr>
            <w:r w:rsidRPr="00365B01">
              <w:rPr>
                <w:rFonts w:cs="`Ï˙øª¶‡"/>
                <w:sz w:val="19"/>
                <w:szCs w:val="19"/>
              </w:rPr>
              <w:t>28/31 (90.3)</w:t>
            </w:r>
          </w:p>
        </w:tc>
        <w:tc>
          <w:tcPr>
            <w:tcW w:w="1564" w:type="dxa"/>
          </w:tcPr>
          <w:p w:rsidR="00365B01" w:rsidRPr="00365B01" w:rsidRDefault="00365B01" w:rsidP="00365B01">
            <w:pPr>
              <w:ind w:left="0" w:right="0"/>
              <w:rPr>
                <w:sz w:val="19"/>
                <w:szCs w:val="19"/>
              </w:rPr>
            </w:pPr>
            <w:r w:rsidRPr="00365B01">
              <w:rPr>
                <w:rFonts w:cs="`Ï˙øª¶‡"/>
                <w:sz w:val="19"/>
                <w:szCs w:val="19"/>
              </w:rPr>
              <w:t>19/31 (61.3)</w:t>
            </w:r>
          </w:p>
        </w:tc>
        <w:tc>
          <w:tcPr>
            <w:tcW w:w="1564" w:type="dxa"/>
          </w:tcPr>
          <w:p w:rsidR="00365B01" w:rsidRPr="00365B01" w:rsidRDefault="00365B01" w:rsidP="00365B01">
            <w:pPr>
              <w:ind w:left="0" w:right="0"/>
              <w:rPr>
                <w:sz w:val="19"/>
                <w:szCs w:val="19"/>
              </w:rPr>
            </w:pPr>
            <w:r w:rsidRPr="00365B01">
              <w:rPr>
                <w:rFonts w:cs="`Ï˙øª¶‡"/>
                <w:sz w:val="19"/>
                <w:szCs w:val="19"/>
              </w:rPr>
              <w:t>12/31 (38.7)</w:t>
            </w:r>
          </w:p>
        </w:tc>
      </w:tr>
      <w:tr w:rsidR="00365B01" w:rsidRPr="00365B01" w:rsidTr="00365B01">
        <w:tc>
          <w:tcPr>
            <w:tcW w:w="1056" w:type="dxa"/>
            <w:vMerge w:val="restart"/>
          </w:tcPr>
          <w:p w:rsidR="00365B01" w:rsidRPr="00365B01" w:rsidRDefault="00365B01" w:rsidP="00365B01">
            <w:pPr>
              <w:ind w:left="0" w:right="0"/>
              <w:rPr>
                <w:sz w:val="19"/>
                <w:szCs w:val="19"/>
              </w:rPr>
            </w:pPr>
            <w:r w:rsidRPr="00365B01">
              <w:rPr>
                <w:rFonts w:cs="`Ï˙øª¶‡"/>
                <w:sz w:val="19"/>
                <w:szCs w:val="19"/>
              </w:rPr>
              <w:t>Week 24</w:t>
            </w:r>
          </w:p>
        </w:tc>
        <w:tc>
          <w:tcPr>
            <w:tcW w:w="1408" w:type="dxa"/>
          </w:tcPr>
          <w:p w:rsidR="00365B01" w:rsidRPr="00365B01" w:rsidRDefault="00365B01" w:rsidP="00365B01">
            <w:pPr>
              <w:ind w:left="0" w:right="0"/>
              <w:rPr>
                <w:sz w:val="19"/>
                <w:szCs w:val="19"/>
              </w:rPr>
            </w:pPr>
            <w:r w:rsidRPr="00365B01">
              <w:rPr>
                <w:rFonts w:cs="`Ï˙øª¶‡"/>
                <w:sz w:val="19"/>
                <w:szCs w:val="19"/>
              </w:rPr>
              <w:t>Observed</w:t>
            </w:r>
          </w:p>
        </w:tc>
        <w:tc>
          <w:tcPr>
            <w:tcW w:w="1564" w:type="dxa"/>
          </w:tcPr>
          <w:p w:rsidR="00365B01" w:rsidRPr="00365B01" w:rsidRDefault="00365B01" w:rsidP="00365B01">
            <w:pPr>
              <w:ind w:left="0" w:right="0"/>
              <w:rPr>
                <w:sz w:val="19"/>
                <w:szCs w:val="19"/>
              </w:rPr>
            </w:pPr>
            <w:r w:rsidRPr="00365B01">
              <w:rPr>
                <w:rFonts w:cs="`Ï˙øª¶‡"/>
                <w:sz w:val="19"/>
                <w:szCs w:val="19"/>
              </w:rPr>
              <w:t>27/30 (90.0)</w:t>
            </w:r>
          </w:p>
        </w:tc>
        <w:tc>
          <w:tcPr>
            <w:tcW w:w="1564" w:type="dxa"/>
          </w:tcPr>
          <w:p w:rsidR="00365B01" w:rsidRPr="00365B01" w:rsidRDefault="00365B01" w:rsidP="00365B01">
            <w:pPr>
              <w:ind w:left="0" w:right="0"/>
              <w:rPr>
                <w:sz w:val="19"/>
                <w:szCs w:val="19"/>
              </w:rPr>
            </w:pPr>
            <w:r w:rsidRPr="00365B01">
              <w:rPr>
                <w:rFonts w:cs="`Ï˙øª¶‡"/>
                <w:sz w:val="19"/>
                <w:szCs w:val="19"/>
              </w:rPr>
              <w:t>25/30 (83.3)</w:t>
            </w:r>
          </w:p>
        </w:tc>
        <w:tc>
          <w:tcPr>
            <w:tcW w:w="1564" w:type="dxa"/>
          </w:tcPr>
          <w:p w:rsidR="00365B01" w:rsidRPr="00365B01" w:rsidRDefault="00365B01" w:rsidP="00365B01">
            <w:pPr>
              <w:ind w:left="0" w:right="0"/>
              <w:rPr>
                <w:sz w:val="19"/>
                <w:szCs w:val="19"/>
              </w:rPr>
            </w:pPr>
            <w:r w:rsidRPr="00365B01">
              <w:rPr>
                <w:rFonts w:cs="`Ï˙øª¶‡"/>
                <w:sz w:val="19"/>
                <w:szCs w:val="19"/>
              </w:rPr>
              <w:t>22/30 (73.3)</w:t>
            </w:r>
          </w:p>
        </w:tc>
        <w:tc>
          <w:tcPr>
            <w:tcW w:w="1564" w:type="dxa"/>
          </w:tcPr>
          <w:p w:rsidR="00365B01" w:rsidRPr="00365B01" w:rsidRDefault="00365B01" w:rsidP="00365B01">
            <w:pPr>
              <w:ind w:left="0" w:right="0"/>
              <w:rPr>
                <w:sz w:val="19"/>
                <w:szCs w:val="19"/>
              </w:rPr>
            </w:pPr>
            <w:r w:rsidRPr="00365B01">
              <w:rPr>
                <w:rFonts w:cs="`Ï˙øª¶‡"/>
                <w:sz w:val="19"/>
                <w:szCs w:val="19"/>
              </w:rPr>
              <w:t>11/30 (36.7)</w:t>
            </w:r>
          </w:p>
        </w:tc>
      </w:tr>
      <w:tr w:rsidR="00365B01" w:rsidRPr="00365B01" w:rsidTr="00365B01">
        <w:tc>
          <w:tcPr>
            <w:tcW w:w="1056" w:type="dxa"/>
            <w:vMerge/>
          </w:tcPr>
          <w:p w:rsidR="00365B01" w:rsidRPr="00365B01" w:rsidRDefault="00365B01" w:rsidP="00365B01">
            <w:pPr>
              <w:ind w:left="0" w:right="0"/>
              <w:rPr>
                <w:sz w:val="19"/>
                <w:szCs w:val="19"/>
              </w:rPr>
            </w:pPr>
          </w:p>
        </w:tc>
        <w:tc>
          <w:tcPr>
            <w:tcW w:w="1408" w:type="dxa"/>
          </w:tcPr>
          <w:p w:rsidR="00365B01" w:rsidRPr="00365B01" w:rsidRDefault="00365B01" w:rsidP="00365B01">
            <w:pPr>
              <w:ind w:left="0" w:right="0"/>
              <w:rPr>
                <w:sz w:val="19"/>
                <w:szCs w:val="19"/>
              </w:rPr>
            </w:pPr>
            <w:proofErr w:type="spellStart"/>
            <w:r w:rsidRPr="00365B01">
              <w:rPr>
                <w:rFonts w:cs="`Ï˙øª¶‡"/>
                <w:sz w:val="19"/>
                <w:szCs w:val="19"/>
              </w:rPr>
              <w:t>NRI</w:t>
            </w:r>
            <w:r w:rsidRPr="00365B01">
              <w:rPr>
                <w:rFonts w:cs="`Ï˙øª¶‡"/>
                <w:sz w:val="19"/>
                <w:szCs w:val="19"/>
                <w:vertAlign w:val="superscript"/>
              </w:rPr>
              <w:t>b</w:t>
            </w:r>
            <w:proofErr w:type="spellEnd"/>
          </w:p>
        </w:tc>
        <w:tc>
          <w:tcPr>
            <w:tcW w:w="1564" w:type="dxa"/>
          </w:tcPr>
          <w:p w:rsidR="00365B01" w:rsidRPr="00365B01" w:rsidRDefault="00365B01" w:rsidP="00365B01">
            <w:pPr>
              <w:ind w:left="0" w:right="0"/>
              <w:rPr>
                <w:sz w:val="19"/>
                <w:szCs w:val="19"/>
              </w:rPr>
            </w:pPr>
            <w:r w:rsidRPr="00365B01">
              <w:rPr>
                <w:rFonts w:cs="`Ï˙øª¶‡"/>
                <w:sz w:val="19"/>
                <w:szCs w:val="19"/>
              </w:rPr>
              <w:t>27/32 (84.4)</w:t>
            </w:r>
          </w:p>
        </w:tc>
        <w:tc>
          <w:tcPr>
            <w:tcW w:w="1564" w:type="dxa"/>
          </w:tcPr>
          <w:p w:rsidR="00365B01" w:rsidRPr="00365B01" w:rsidRDefault="00365B01" w:rsidP="00365B01">
            <w:pPr>
              <w:ind w:left="0" w:right="0"/>
              <w:rPr>
                <w:sz w:val="19"/>
                <w:szCs w:val="19"/>
              </w:rPr>
            </w:pPr>
            <w:r w:rsidRPr="00365B01">
              <w:rPr>
                <w:rFonts w:cs="`Ï˙øª¶‡"/>
                <w:sz w:val="19"/>
                <w:szCs w:val="19"/>
              </w:rPr>
              <w:t>25/32 (78.1)</w:t>
            </w:r>
          </w:p>
        </w:tc>
        <w:tc>
          <w:tcPr>
            <w:tcW w:w="1564" w:type="dxa"/>
          </w:tcPr>
          <w:p w:rsidR="00365B01" w:rsidRPr="00365B01" w:rsidRDefault="00365B01" w:rsidP="00365B01">
            <w:pPr>
              <w:ind w:left="0" w:right="0"/>
              <w:rPr>
                <w:sz w:val="19"/>
                <w:szCs w:val="19"/>
              </w:rPr>
            </w:pPr>
            <w:r w:rsidRPr="00365B01">
              <w:rPr>
                <w:rFonts w:cs="`Ï˙øª¶‡"/>
                <w:sz w:val="19"/>
                <w:szCs w:val="19"/>
              </w:rPr>
              <w:t>22/32 (68.8)</w:t>
            </w:r>
          </w:p>
        </w:tc>
        <w:tc>
          <w:tcPr>
            <w:tcW w:w="1564" w:type="dxa"/>
          </w:tcPr>
          <w:p w:rsidR="00365B01" w:rsidRPr="00365B01" w:rsidRDefault="00365B01" w:rsidP="00365B01">
            <w:pPr>
              <w:ind w:left="0" w:right="0"/>
              <w:rPr>
                <w:sz w:val="19"/>
                <w:szCs w:val="19"/>
              </w:rPr>
            </w:pPr>
            <w:r w:rsidRPr="00365B01">
              <w:rPr>
                <w:rFonts w:cs="`Ï˙øª¶‡"/>
                <w:sz w:val="19"/>
                <w:szCs w:val="19"/>
              </w:rPr>
              <w:t>11/32 (34.4)</w:t>
            </w:r>
          </w:p>
        </w:tc>
      </w:tr>
      <w:tr w:rsidR="00365B01" w:rsidRPr="00365B01" w:rsidTr="00365B01">
        <w:tc>
          <w:tcPr>
            <w:tcW w:w="1056" w:type="dxa"/>
            <w:vMerge/>
          </w:tcPr>
          <w:p w:rsidR="00365B01" w:rsidRPr="00365B01" w:rsidRDefault="00365B01" w:rsidP="00365B01">
            <w:pPr>
              <w:ind w:left="0" w:right="0"/>
              <w:rPr>
                <w:sz w:val="19"/>
                <w:szCs w:val="19"/>
              </w:rPr>
            </w:pPr>
          </w:p>
        </w:tc>
        <w:tc>
          <w:tcPr>
            <w:tcW w:w="1408" w:type="dxa"/>
          </w:tcPr>
          <w:p w:rsidR="00365B01" w:rsidRPr="00365B01" w:rsidRDefault="00365B01" w:rsidP="00365B01">
            <w:pPr>
              <w:ind w:left="0" w:right="0"/>
              <w:rPr>
                <w:rFonts w:cs="`Ï˙øª¶‡"/>
                <w:sz w:val="19"/>
                <w:szCs w:val="19"/>
              </w:rPr>
            </w:pPr>
            <w:proofErr w:type="spellStart"/>
            <w:r w:rsidRPr="00365B01">
              <w:rPr>
                <w:rFonts w:cs="`Ï˙øª¶‡"/>
                <w:sz w:val="19"/>
                <w:szCs w:val="19"/>
              </w:rPr>
              <w:t>LOCF</w:t>
            </w:r>
            <w:r w:rsidRPr="00365B01">
              <w:rPr>
                <w:rFonts w:cs="`Ï˙øª¶‡"/>
                <w:sz w:val="19"/>
                <w:szCs w:val="19"/>
                <w:vertAlign w:val="superscript"/>
              </w:rPr>
              <w:t>c</w:t>
            </w:r>
            <w:proofErr w:type="spellEnd"/>
          </w:p>
        </w:tc>
        <w:tc>
          <w:tcPr>
            <w:tcW w:w="1564" w:type="dxa"/>
          </w:tcPr>
          <w:p w:rsidR="00365B01" w:rsidRPr="00365B01" w:rsidRDefault="00365B01" w:rsidP="00365B01">
            <w:pPr>
              <w:ind w:left="0" w:right="0"/>
              <w:rPr>
                <w:rFonts w:cs="`Ï˙øª¶‡"/>
                <w:sz w:val="19"/>
                <w:szCs w:val="19"/>
              </w:rPr>
            </w:pPr>
            <w:r w:rsidRPr="00365B01">
              <w:rPr>
                <w:rFonts w:cs="`Ï˙øª¶‡"/>
                <w:sz w:val="19"/>
                <w:szCs w:val="19"/>
              </w:rPr>
              <w:t>28/31 (90.3)</w:t>
            </w:r>
          </w:p>
        </w:tc>
        <w:tc>
          <w:tcPr>
            <w:tcW w:w="1564" w:type="dxa"/>
          </w:tcPr>
          <w:p w:rsidR="00365B01" w:rsidRPr="00365B01" w:rsidRDefault="00365B01" w:rsidP="00365B01">
            <w:pPr>
              <w:ind w:left="0" w:right="0"/>
              <w:rPr>
                <w:rFonts w:cs="`Ï˙øª¶‡"/>
                <w:sz w:val="19"/>
                <w:szCs w:val="19"/>
              </w:rPr>
            </w:pPr>
            <w:r w:rsidRPr="00365B01">
              <w:rPr>
                <w:rFonts w:cs="`Ï˙øª¶‡"/>
                <w:sz w:val="19"/>
                <w:szCs w:val="19"/>
              </w:rPr>
              <w:t>26/31 (83.9)</w:t>
            </w:r>
          </w:p>
        </w:tc>
        <w:tc>
          <w:tcPr>
            <w:tcW w:w="1564" w:type="dxa"/>
          </w:tcPr>
          <w:p w:rsidR="00365B01" w:rsidRPr="00365B01" w:rsidRDefault="00365B01" w:rsidP="00365B01">
            <w:pPr>
              <w:ind w:left="0" w:right="0"/>
              <w:rPr>
                <w:rFonts w:cs="`Ï˙øª¶‡"/>
                <w:sz w:val="19"/>
                <w:szCs w:val="19"/>
              </w:rPr>
            </w:pPr>
            <w:r w:rsidRPr="00365B01">
              <w:rPr>
                <w:rFonts w:cs="`Ï˙øª¶‡"/>
                <w:sz w:val="19"/>
                <w:szCs w:val="19"/>
              </w:rPr>
              <w:t>23/31 (74.2)</w:t>
            </w:r>
          </w:p>
        </w:tc>
        <w:tc>
          <w:tcPr>
            <w:tcW w:w="1564" w:type="dxa"/>
          </w:tcPr>
          <w:p w:rsidR="00365B01" w:rsidRPr="00365B01" w:rsidRDefault="00365B01" w:rsidP="00365B01">
            <w:pPr>
              <w:ind w:left="0" w:right="0"/>
              <w:rPr>
                <w:rFonts w:cs="`Ï˙øª¶‡"/>
                <w:sz w:val="19"/>
                <w:szCs w:val="19"/>
              </w:rPr>
            </w:pPr>
            <w:r w:rsidRPr="00365B01">
              <w:rPr>
                <w:rFonts w:cs="`Ï˙øª¶‡"/>
                <w:sz w:val="19"/>
                <w:szCs w:val="19"/>
              </w:rPr>
              <w:t>11/31 (35.5)</w:t>
            </w:r>
          </w:p>
        </w:tc>
      </w:tr>
      <w:tr w:rsidR="00365B01" w:rsidRPr="00365B01" w:rsidTr="00365B01">
        <w:tc>
          <w:tcPr>
            <w:tcW w:w="1056" w:type="dxa"/>
            <w:vMerge w:val="restart"/>
          </w:tcPr>
          <w:p w:rsidR="00365B01" w:rsidRPr="00365B01" w:rsidRDefault="00365B01" w:rsidP="00365B01">
            <w:pPr>
              <w:ind w:left="0" w:right="0"/>
              <w:rPr>
                <w:sz w:val="19"/>
                <w:szCs w:val="19"/>
              </w:rPr>
            </w:pPr>
            <w:r w:rsidRPr="00365B01">
              <w:rPr>
                <w:rFonts w:cs="`Ï˙øª¶‡"/>
                <w:sz w:val="19"/>
                <w:szCs w:val="19"/>
              </w:rPr>
              <w:t>Week 36</w:t>
            </w:r>
          </w:p>
        </w:tc>
        <w:tc>
          <w:tcPr>
            <w:tcW w:w="1408" w:type="dxa"/>
          </w:tcPr>
          <w:p w:rsidR="00365B01" w:rsidRPr="00365B01" w:rsidRDefault="00365B01" w:rsidP="00365B01">
            <w:pPr>
              <w:ind w:left="0" w:right="0"/>
              <w:rPr>
                <w:rFonts w:cs="`Ï˙øª¶‡"/>
                <w:sz w:val="19"/>
                <w:szCs w:val="19"/>
              </w:rPr>
            </w:pPr>
            <w:r w:rsidRPr="00365B01">
              <w:rPr>
                <w:rFonts w:cs="`Ï˙øª¶‡"/>
                <w:sz w:val="19"/>
                <w:szCs w:val="19"/>
              </w:rPr>
              <w:t>Observed</w:t>
            </w:r>
          </w:p>
        </w:tc>
        <w:tc>
          <w:tcPr>
            <w:tcW w:w="1564" w:type="dxa"/>
          </w:tcPr>
          <w:p w:rsidR="00365B01" w:rsidRPr="00365B01" w:rsidRDefault="00365B01" w:rsidP="00365B01">
            <w:pPr>
              <w:ind w:left="0" w:right="0"/>
              <w:rPr>
                <w:rFonts w:cs="`Ï˙øª¶‡"/>
                <w:sz w:val="19"/>
                <w:szCs w:val="19"/>
              </w:rPr>
            </w:pPr>
            <w:r w:rsidRPr="00365B01">
              <w:rPr>
                <w:rFonts w:cs="`Ï˙øª¶‡"/>
                <w:sz w:val="19"/>
                <w:szCs w:val="19"/>
              </w:rPr>
              <w:t>25/27 (92.6)</w:t>
            </w:r>
          </w:p>
        </w:tc>
        <w:tc>
          <w:tcPr>
            <w:tcW w:w="1564" w:type="dxa"/>
          </w:tcPr>
          <w:p w:rsidR="00365B01" w:rsidRPr="00365B01" w:rsidRDefault="00365B01" w:rsidP="00365B01">
            <w:pPr>
              <w:ind w:left="0" w:right="0"/>
              <w:rPr>
                <w:rFonts w:cs="`Ï˙øª¶‡"/>
                <w:sz w:val="19"/>
                <w:szCs w:val="19"/>
              </w:rPr>
            </w:pPr>
            <w:r w:rsidRPr="00365B01">
              <w:rPr>
                <w:rFonts w:cs="`Ï˙øª¶‡"/>
                <w:sz w:val="19"/>
                <w:szCs w:val="19"/>
              </w:rPr>
              <w:t>24/27 (88.9)</w:t>
            </w:r>
          </w:p>
        </w:tc>
        <w:tc>
          <w:tcPr>
            <w:tcW w:w="1564" w:type="dxa"/>
          </w:tcPr>
          <w:p w:rsidR="00365B01" w:rsidRPr="00365B01" w:rsidRDefault="00365B01" w:rsidP="00365B01">
            <w:pPr>
              <w:ind w:left="0" w:right="0"/>
              <w:rPr>
                <w:rFonts w:cs="`Ï˙øª¶‡"/>
                <w:sz w:val="19"/>
                <w:szCs w:val="19"/>
              </w:rPr>
            </w:pPr>
            <w:r w:rsidRPr="00365B01">
              <w:rPr>
                <w:rFonts w:cs="`Ï˙øª¶‡"/>
                <w:sz w:val="19"/>
                <w:szCs w:val="19"/>
              </w:rPr>
              <w:t>18/27 (66.7)</w:t>
            </w:r>
          </w:p>
        </w:tc>
        <w:tc>
          <w:tcPr>
            <w:tcW w:w="1564" w:type="dxa"/>
          </w:tcPr>
          <w:p w:rsidR="00365B01" w:rsidRPr="00365B01" w:rsidRDefault="00365B01" w:rsidP="00365B01">
            <w:pPr>
              <w:ind w:left="0" w:right="0"/>
              <w:rPr>
                <w:rFonts w:cs="`Ï˙øª¶‡"/>
                <w:sz w:val="19"/>
                <w:szCs w:val="19"/>
              </w:rPr>
            </w:pPr>
            <w:r w:rsidRPr="00365B01">
              <w:rPr>
                <w:rFonts w:cs="`Ï˙øª¶‡"/>
                <w:sz w:val="19"/>
                <w:szCs w:val="19"/>
              </w:rPr>
              <w:t>14/27 (51.9)</w:t>
            </w:r>
          </w:p>
        </w:tc>
      </w:tr>
      <w:tr w:rsidR="00365B01" w:rsidRPr="00365B01" w:rsidTr="00365B01">
        <w:tc>
          <w:tcPr>
            <w:tcW w:w="1056" w:type="dxa"/>
            <w:vMerge/>
          </w:tcPr>
          <w:p w:rsidR="00365B01" w:rsidRPr="00365B01" w:rsidRDefault="00365B01" w:rsidP="00365B01">
            <w:pPr>
              <w:ind w:left="0" w:right="0"/>
              <w:rPr>
                <w:rFonts w:cs="`Ï˙øª¶‡"/>
                <w:sz w:val="19"/>
                <w:szCs w:val="19"/>
              </w:rPr>
            </w:pPr>
          </w:p>
        </w:tc>
        <w:tc>
          <w:tcPr>
            <w:tcW w:w="1408" w:type="dxa"/>
          </w:tcPr>
          <w:p w:rsidR="00365B01" w:rsidRPr="00365B01" w:rsidRDefault="00365B01" w:rsidP="00365B01">
            <w:pPr>
              <w:ind w:left="0" w:right="0"/>
              <w:rPr>
                <w:rFonts w:cs="`Ï˙øª¶‡"/>
                <w:sz w:val="19"/>
                <w:szCs w:val="19"/>
              </w:rPr>
            </w:pPr>
            <w:proofErr w:type="spellStart"/>
            <w:r w:rsidRPr="00365B01">
              <w:rPr>
                <w:rFonts w:cs="`Ï˙øª¶‡"/>
                <w:sz w:val="19"/>
                <w:szCs w:val="19"/>
              </w:rPr>
              <w:t>NRI</w:t>
            </w:r>
            <w:r w:rsidRPr="00365B01">
              <w:rPr>
                <w:rFonts w:cs="`Ï˙øª¶‡"/>
                <w:sz w:val="19"/>
                <w:szCs w:val="19"/>
                <w:vertAlign w:val="superscript"/>
              </w:rPr>
              <w:t>b</w:t>
            </w:r>
            <w:proofErr w:type="spellEnd"/>
          </w:p>
        </w:tc>
        <w:tc>
          <w:tcPr>
            <w:tcW w:w="1564" w:type="dxa"/>
          </w:tcPr>
          <w:p w:rsidR="00365B01" w:rsidRPr="00365B01" w:rsidRDefault="00365B01" w:rsidP="00365B01">
            <w:pPr>
              <w:ind w:left="0" w:right="0"/>
              <w:rPr>
                <w:rFonts w:cs="`Ï˙øª¶‡"/>
                <w:sz w:val="19"/>
                <w:szCs w:val="19"/>
              </w:rPr>
            </w:pPr>
            <w:r w:rsidRPr="00365B01">
              <w:rPr>
                <w:rFonts w:cs="`Ï˙øª¶‡"/>
                <w:sz w:val="19"/>
                <w:szCs w:val="19"/>
              </w:rPr>
              <w:t>25/32 (78.1)</w:t>
            </w:r>
          </w:p>
        </w:tc>
        <w:tc>
          <w:tcPr>
            <w:tcW w:w="1564" w:type="dxa"/>
          </w:tcPr>
          <w:p w:rsidR="00365B01" w:rsidRPr="00365B01" w:rsidRDefault="00365B01" w:rsidP="00365B01">
            <w:pPr>
              <w:ind w:left="0" w:right="0"/>
              <w:rPr>
                <w:rFonts w:cs="`Ï˙øª¶‡"/>
                <w:sz w:val="19"/>
                <w:szCs w:val="19"/>
              </w:rPr>
            </w:pPr>
            <w:r w:rsidRPr="00365B01">
              <w:rPr>
                <w:rFonts w:cs="`Ï˙øª¶‡"/>
                <w:sz w:val="19"/>
                <w:szCs w:val="19"/>
              </w:rPr>
              <w:t>24/32 (75.0)</w:t>
            </w:r>
          </w:p>
        </w:tc>
        <w:tc>
          <w:tcPr>
            <w:tcW w:w="1564" w:type="dxa"/>
          </w:tcPr>
          <w:p w:rsidR="00365B01" w:rsidRPr="00365B01" w:rsidRDefault="00365B01" w:rsidP="00365B01">
            <w:pPr>
              <w:ind w:left="0" w:right="0"/>
              <w:rPr>
                <w:rFonts w:cs="`Ï˙øª¶‡"/>
                <w:sz w:val="19"/>
                <w:szCs w:val="19"/>
              </w:rPr>
            </w:pPr>
            <w:r w:rsidRPr="00365B01">
              <w:rPr>
                <w:rFonts w:cs="`Ï˙øª¶‡"/>
                <w:sz w:val="19"/>
                <w:szCs w:val="19"/>
              </w:rPr>
              <w:t>18/32 (56.3)</w:t>
            </w:r>
          </w:p>
        </w:tc>
        <w:tc>
          <w:tcPr>
            <w:tcW w:w="1564" w:type="dxa"/>
          </w:tcPr>
          <w:p w:rsidR="00365B01" w:rsidRPr="00365B01" w:rsidRDefault="00365B01" w:rsidP="00365B01">
            <w:pPr>
              <w:ind w:left="0" w:right="0"/>
              <w:rPr>
                <w:rFonts w:cs="`Ï˙øª¶‡"/>
                <w:sz w:val="19"/>
                <w:szCs w:val="19"/>
              </w:rPr>
            </w:pPr>
            <w:r w:rsidRPr="00365B01">
              <w:rPr>
                <w:rFonts w:cs="`Ï˙øª¶‡"/>
                <w:sz w:val="19"/>
                <w:szCs w:val="19"/>
              </w:rPr>
              <w:t>14/32 (43.8)</w:t>
            </w:r>
          </w:p>
        </w:tc>
      </w:tr>
      <w:tr w:rsidR="00365B01" w:rsidRPr="00365B01" w:rsidTr="00365B01">
        <w:tc>
          <w:tcPr>
            <w:tcW w:w="1056" w:type="dxa"/>
            <w:vMerge/>
          </w:tcPr>
          <w:p w:rsidR="00365B01" w:rsidRPr="00365B01" w:rsidRDefault="00365B01" w:rsidP="00365B01">
            <w:pPr>
              <w:ind w:left="0" w:right="0"/>
              <w:rPr>
                <w:rFonts w:cs="`Ï˙øª¶‡"/>
                <w:sz w:val="19"/>
                <w:szCs w:val="19"/>
              </w:rPr>
            </w:pPr>
          </w:p>
        </w:tc>
        <w:tc>
          <w:tcPr>
            <w:tcW w:w="1408" w:type="dxa"/>
          </w:tcPr>
          <w:p w:rsidR="00365B01" w:rsidRPr="00365B01" w:rsidRDefault="00365B01" w:rsidP="00365B01">
            <w:pPr>
              <w:ind w:left="0" w:right="0"/>
              <w:rPr>
                <w:rFonts w:cs="`Ï˙øª¶‡"/>
                <w:sz w:val="19"/>
                <w:szCs w:val="19"/>
              </w:rPr>
            </w:pPr>
            <w:proofErr w:type="spellStart"/>
            <w:r w:rsidRPr="00365B01">
              <w:rPr>
                <w:rFonts w:cs="`Ï˙øª¶‡"/>
                <w:sz w:val="19"/>
                <w:szCs w:val="19"/>
              </w:rPr>
              <w:t>LOCF</w:t>
            </w:r>
            <w:r w:rsidRPr="00365B01">
              <w:rPr>
                <w:rFonts w:cs="`Ï˙øª¶‡"/>
                <w:sz w:val="19"/>
                <w:szCs w:val="19"/>
                <w:vertAlign w:val="superscript"/>
              </w:rPr>
              <w:t>c</w:t>
            </w:r>
            <w:proofErr w:type="spellEnd"/>
          </w:p>
        </w:tc>
        <w:tc>
          <w:tcPr>
            <w:tcW w:w="1564" w:type="dxa"/>
          </w:tcPr>
          <w:p w:rsidR="00365B01" w:rsidRPr="00365B01" w:rsidRDefault="00365B01" w:rsidP="00365B01">
            <w:pPr>
              <w:ind w:left="0" w:right="0"/>
              <w:rPr>
                <w:rFonts w:cs="`Ï˙øª¶‡"/>
                <w:sz w:val="19"/>
                <w:szCs w:val="19"/>
              </w:rPr>
            </w:pPr>
            <w:r w:rsidRPr="00365B01">
              <w:rPr>
                <w:rFonts w:cs="`Ï˙øª¶‡"/>
                <w:sz w:val="19"/>
                <w:szCs w:val="19"/>
              </w:rPr>
              <w:t>29/31 (93.5)</w:t>
            </w:r>
          </w:p>
        </w:tc>
        <w:tc>
          <w:tcPr>
            <w:tcW w:w="1564" w:type="dxa"/>
          </w:tcPr>
          <w:p w:rsidR="00365B01" w:rsidRPr="00365B01" w:rsidRDefault="00365B01" w:rsidP="00365B01">
            <w:pPr>
              <w:ind w:left="0" w:right="0"/>
              <w:rPr>
                <w:rFonts w:cs="`Ï˙øª¶‡"/>
                <w:sz w:val="19"/>
                <w:szCs w:val="19"/>
              </w:rPr>
            </w:pPr>
            <w:r w:rsidRPr="00365B01">
              <w:rPr>
                <w:rFonts w:cs="`Ï˙øª¶‡"/>
                <w:sz w:val="19"/>
                <w:szCs w:val="19"/>
              </w:rPr>
              <w:t>28/31 (90.3)</w:t>
            </w:r>
          </w:p>
        </w:tc>
        <w:tc>
          <w:tcPr>
            <w:tcW w:w="1564" w:type="dxa"/>
          </w:tcPr>
          <w:p w:rsidR="00365B01" w:rsidRPr="00365B01" w:rsidRDefault="00365B01" w:rsidP="00365B01">
            <w:pPr>
              <w:ind w:left="0" w:right="0"/>
              <w:rPr>
                <w:rFonts w:cs="`Ï˙øª¶‡"/>
                <w:sz w:val="19"/>
                <w:szCs w:val="19"/>
              </w:rPr>
            </w:pPr>
            <w:r w:rsidRPr="00365B01">
              <w:rPr>
                <w:rFonts w:cs="`Ï˙øª¶‡"/>
                <w:sz w:val="19"/>
                <w:szCs w:val="19"/>
              </w:rPr>
              <w:t>21/31 (67.7)</w:t>
            </w:r>
          </w:p>
        </w:tc>
        <w:tc>
          <w:tcPr>
            <w:tcW w:w="1564" w:type="dxa"/>
          </w:tcPr>
          <w:p w:rsidR="00365B01" w:rsidRPr="00365B01" w:rsidRDefault="00365B01" w:rsidP="00365B01">
            <w:pPr>
              <w:ind w:left="0" w:right="0"/>
              <w:rPr>
                <w:rFonts w:cs="`Ï˙øª¶‡"/>
                <w:sz w:val="19"/>
                <w:szCs w:val="19"/>
              </w:rPr>
            </w:pPr>
            <w:r w:rsidRPr="00365B01">
              <w:rPr>
                <w:rFonts w:cs="`Ï˙øª¶‡"/>
                <w:sz w:val="19"/>
                <w:szCs w:val="19"/>
              </w:rPr>
              <w:t>16/31 (51.6)</w:t>
            </w:r>
          </w:p>
        </w:tc>
      </w:tr>
      <w:tr w:rsidR="00365B01" w:rsidRPr="00365B01" w:rsidTr="00365B01">
        <w:tc>
          <w:tcPr>
            <w:tcW w:w="1056" w:type="dxa"/>
            <w:vMerge w:val="restart"/>
          </w:tcPr>
          <w:p w:rsidR="00365B01" w:rsidRPr="00365B01" w:rsidRDefault="00365B01" w:rsidP="00365B01">
            <w:pPr>
              <w:ind w:left="0" w:right="0"/>
              <w:rPr>
                <w:rFonts w:cs="`Ï˙øª¶‡"/>
                <w:sz w:val="19"/>
                <w:szCs w:val="19"/>
              </w:rPr>
            </w:pPr>
            <w:r w:rsidRPr="00365B01">
              <w:rPr>
                <w:rFonts w:cs="`Ï˙øª¶‡"/>
                <w:sz w:val="19"/>
                <w:szCs w:val="19"/>
              </w:rPr>
              <w:t>Week 60</w:t>
            </w:r>
          </w:p>
        </w:tc>
        <w:tc>
          <w:tcPr>
            <w:tcW w:w="1408" w:type="dxa"/>
          </w:tcPr>
          <w:p w:rsidR="00365B01" w:rsidRPr="00365B01" w:rsidRDefault="00365B01" w:rsidP="00365B01">
            <w:pPr>
              <w:ind w:left="0" w:right="0"/>
              <w:rPr>
                <w:rFonts w:cs="`Ï˙øª¶‡"/>
                <w:sz w:val="19"/>
                <w:szCs w:val="19"/>
              </w:rPr>
            </w:pPr>
            <w:r w:rsidRPr="00365B01">
              <w:rPr>
                <w:rFonts w:cs="`Ï˙øª¶‡"/>
                <w:sz w:val="19"/>
                <w:szCs w:val="19"/>
              </w:rPr>
              <w:t>Observed</w:t>
            </w:r>
          </w:p>
        </w:tc>
        <w:tc>
          <w:tcPr>
            <w:tcW w:w="1564" w:type="dxa"/>
          </w:tcPr>
          <w:p w:rsidR="00365B01" w:rsidRPr="00365B01" w:rsidRDefault="00365B01" w:rsidP="00365B01">
            <w:pPr>
              <w:ind w:left="0" w:right="0"/>
              <w:rPr>
                <w:rFonts w:cs="`Ï˙øª¶‡"/>
                <w:sz w:val="19"/>
                <w:szCs w:val="19"/>
              </w:rPr>
            </w:pPr>
            <w:r w:rsidRPr="00365B01">
              <w:rPr>
                <w:rFonts w:cs="`Ï˙øª¶‡"/>
                <w:sz w:val="19"/>
                <w:szCs w:val="19"/>
              </w:rPr>
              <w:t>18/20 (90.0)</w:t>
            </w:r>
          </w:p>
        </w:tc>
        <w:tc>
          <w:tcPr>
            <w:tcW w:w="1564" w:type="dxa"/>
          </w:tcPr>
          <w:p w:rsidR="00365B01" w:rsidRPr="00365B01" w:rsidRDefault="00365B01" w:rsidP="00365B01">
            <w:pPr>
              <w:ind w:left="0" w:right="0"/>
              <w:rPr>
                <w:rFonts w:cs="`Ï˙øª¶‡"/>
                <w:sz w:val="19"/>
                <w:szCs w:val="19"/>
              </w:rPr>
            </w:pPr>
            <w:r w:rsidRPr="00365B01">
              <w:rPr>
                <w:rFonts w:cs="`Ï˙øª¶‡"/>
                <w:sz w:val="19"/>
                <w:szCs w:val="19"/>
              </w:rPr>
              <w:t>16/20 (80.0)</w:t>
            </w:r>
          </w:p>
        </w:tc>
        <w:tc>
          <w:tcPr>
            <w:tcW w:w="1564" w:type="dxa"/>
          </w:tcPr>
          <w:p w:rsidR="00365B01" w:rsidRPr="00365B01" w:rsidRDefault="00365B01" w:rsidP="00365B01">
            <w:pPr>
              <w:ind w:left="0" w:right="0"/>
              <w:rPr>
                <w:rFonts w:cs="`Ï˙øª¶‡"/>
                <w:sz w:val="19"/>
                <w:szCs w:val="19"/>
              </w:rPr>
            </w:pPr>
            <w:r w:rsidRPr="00365B01">
              <w:rPr>
                <w:rFonts w:cs="`Ï˙øª¶‡"/>
                <w:sz w:val="19"/>
                <w:szCs w:val="19"/>
              </w:rPr>
              <w:t>14/20 (70.0)</w:t>
            </w:r>
          </w:p>
        </w:tc>
        <w:tc>
          <w:tcPr>
            <w:tcW w:w="1564" w:type="dxa"/>
          </w:tcPr>
          <w:p w:rsidR="00365B01" w:rsidRPr="00365B01" w:rsidRDefault="00365B01" w:rsidP="00365B01">
            <w:pPr>
              <w:ind w:left="0" w:right="0"/>
              <w:rPr>
                <w:rFonts w:cs="`Ï˙øª¶‡"/>
                <w:sz w:val="19"/>
                <w:szCs w:val="19"/>
              </w:rPr>
            </w:pPr>
            <w:r w:rsidRPr="00365B01">
              <w:rPr>
                <w:rFonts w:cs="`Ï˙øª¶‡"/>
                <w:sz w:val="19"/>
                <w:szCs w:val="19"/>
              </w:rPr>
              <w:t>10/20 (50.0)</w:t>
            </w:r>
          </w:p>
        </w:tc>
      </w:tr>
      <w:tr w:rsidR="00365B01" w:rsidRPr="00365B01" w:rsidTr="00365B01">
        <w:tc>
          <w:tcPr>
            <w:tcW w:w="1056" w:type="dxa"/>
            <w:vMerge/>
          </w:tcPr>
          <w:p w:rsidR="00365B01" w:rsidRPr="00365B01" w:rsidRDefault="00365B01" w:rsidP="00365B01">
            <w:pPr>
              <w:ind w:left="0" w:right="0"/>
              <w:rPr>
                <w:rFonts w:cs="`Ï˙øª¶‡"/>
                <w:sz w:val="19"/>
                <w:szCs w:val="19"/>
              </w:rPr>
            </w:pPr>
          </w:p>
        </w:tc>
        <w:tc>
          <w:tcPr>
            <w:tcW w:w="1408" w:type="dxa"/>
          </w:tcPr>
          <w:p w:rsidR="00365B01" w:rsidRPr="00365B01" w:rsidRDefault="00365B01" w:rsidP="00365B01">
            <w:pPr>
              <w:ind w:left="0" w:right="0"/>
              <w:rPr>
                <w:rFonts w:cs="`Ï˙øª¶‡"/>
                <w:sz w:val="19"/>
                <w:szCs w:val="19"/>
              </w:rPr>
            </w:pPr>
            <w:proofErr w:type="spellStart"/>
            <w:r w:rsidRPr="00365B01">
              <w:rPr>
                <w:rFonts w:cs="`Ï˙øª¶‡"/>
                <w:sz w:val="19"/>
                <w:szCs w:val="19"/>
              </w:rPr>
              <w:t>NRI</w:t>
            </w:r>
            <w:r w:rsidRPr="00365B01">
              <w:rPr>
                <w:rFonts w:cs="`Ï˙øª¶‡"/>
                <w:sz w:val="19"/>
                <w:szCs w:val="19"/>
                <w:vertAlign w:val="superscript"/>
              </w:rPr>
              <w:t>b</w:t>
            </w:r>
            <w:proofErr w:type="spellEnd"/>
          </w:p>
        </w:tc>
        <w:tc>
          <w:tcPr>
            <w:tcW w:w="1564" w:type="dxa"/>
          </w:tcPr>
          <w:p w:rsidR="00365B01" w:rsidRPr="00365B01" w:rsidRDefault="00365B01" w:rsidP="00365B01">
            <w:pPr>
              <w:ind w:left="0" w:right="0"/>
              <w:rPr>
                <w:rFonts w:cs="`Ï˙øª¶‡"/>
                <w:sz w:val="19"/>
                <w:szCs w:val="19"/>
              </w:rPr>
            </w:pPr>
            <w:r w:rsidRPr="00365B01">
              <w:rPr>
                <w:rFonts w:cs="‡ﬂ˙øª¶‡"/>
                <w:sz w:val="19"/>
                <w:szCs w:val="19"/>
                <w:lang w:val="en-US"/>
              </w:rPr>
              <w:t>18/32 (56.3)</w:t>
            </w:r>
          </w:p>
        </w:tc>
        <w:tc>
          <w:tcPr>
            <w:tcW w:w="1564" w:type="dxa"/>
          </w:tcPr>
          <w:p w:rsidR="00365B01" w:rsidRPr="00365B01" w:rsidRDefault="00365B01" w:rsidP="00365B01">
            <w:pPr>
              <w:ind w:left="0" w:right="0"/>
              <w:rPr>
                <w:rFonts w:cs="`Ï˙øª¶‡"/>
                <w:sz w:val="19"/>
                <w:szCs w:val="19"/>
              </w:rPr>
            </w:pPr>
            <w:r w:rsidRPr="00365B01">
              <w:rPr>
                <w:rFonts w:cs="‡ﬂ˙øª¶‡"/>
                <w:sz w:val="19"/>
                <w:szCs w:val="19"/>
                <w:lang w:val="en-US"/>
              </w:rPr>
              <w:t>16/32 (50.0)</w:t>
            </w:r>
          </w:p>
        </w:tc>
        <w:tc>
          <w:tcPr>
            <w:tcW w:w="1564" w:type="dxa"/>
          </w:tcPr>
          <w:p w:rsidR="00365B01" w:rsidRPr="00365B01" w:rsidRDefault="00365B01" w:rsidP="00365B01">
            <w:pPr>
              <w:ind w:left="0" w:right="0"/>
              <w:rPr>
                <w:rFonts w:cs="`Ï˙øª¶‡"/>
                <w:sz w:val="19"/>
                <w:szCs w:val="19"/>
              </w:rPr>
            </w:pPr>
            <w:r w:rsidRPr="00365B01">
              <w:rPr>
                <w:rFonts w:cs="‡ﬂ˙øª¶‡"/>
                <w:sz w:val="19"/>
                <w:szCs w:val="19"/>
                <w:lang w:val="en-US"/>
              </w:rPr>
              <w:t>14/32 (43.8)</w:t>
            </w:r>
          </w:p>
        </w:tc>
        <w:tc>
          <w:tcPr>
            <w:tcW w:w="1564" w:type="dxa"/>
          </w:tcPr>
          <w:p w:rsidR="00365B01" w:rsidRPr="00365B01" w:rsidRDefault="00365B01" w:rsidP="00365B01">
            <w:pPr>
              <w:ind w:left="0" w:right="0"/>
              <w:rPr>
                <w:rFonts w:cs="`Ï˙øª¶‡"/>
                <w:sz w:val="19"/>
                <w:szCs w:val="19"/>
              </w:rPr>
            </w:pPr>
            <w:r w:rsidRPr="00365B01">
              <w:rPr>
                <w:rFonts w:cs="‡ﬂ˙øª¶‡"/>
                <w:sz w:val="19"/>
                <w:szCs w:val="19"/>
                <w:lang w:val="en-US"/>
              </w:rPr>
              <w:t>10/32 (31.3)</w:t>
            </w:r>
          </w:p>
        </w:tc>
      </w:tr>
      <w:tr w:rsidR="00365B01" w:rsidRPr="00365B01" w:rsidTr="00365B01">
        <w:tc>
          <w:tcPr>
            <w:tcW w:w="1056" w:type="dxa"/>
            <w:vMerge/>
          </w:tcPr>
          <w:p w:rsidR="00365B01" w:rsidRPr="00365B01" w:rsidRDefault="00365B01" w:rsidP="00365B01">
            <w:pPr>
              <w:ind w:left="0" w:right="0"/>
              <w:rPr>
                <w:rFonts w:cs="`Ï˙øª¶‡"/>
                <w:sz w:val="19"/>
                <w:szCs w:val="19"/>
              </w:rPr>
            </w:pPr>
          </w:p>
        </w:tc>
        <w:tc>
          <w:tcPr>
            <w:tcW w:w="1408" w:type="dxa"/>
          </w:tcPr>
          <w:p w:rsidR="00365B01" w:rsidRPr="00365B01" w:rsidRDefault="00365B01" w:rsidP="00365B01">
            <w:pPr>
              <w:ind w:left="0" w:right="0"/>
              <w:rPr>
                <w:rFonts w:cs="`Ï˙øª¶‡"/>
                <w:sz w:val="19"/>
                <w:szCs w:val="19"/>
              </w:rPr>
            </w:pPr>
            <w:proofErr w:type="spellStart"/>
            <w:r w:rsidRPr="00365B01">
              <w:rPr>
                <w:rFonts w:cs="`Ï˙øª¶‡"/>
                <w:sz w:val="19"/>
                <w:szCs w:val="19"/>
              </w:rPr>
              <w:t>LOCF</w:t>
            </w:r>
            <w:r w:rsidRPr="00365B01">
              <w:rPr>
                <w:rFonts w:cs="`Ï˙øª¶‡"/>
                <w:sz w:val="19"/>
                <w:szCs w:val="19"/>
                <w:vertAlign w:val="superscript"/>
              </w:rPr>
              <w:t>c</w:t>
            </w:r>
            <w:proofErr w:type="spellEnd"/>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27/31 (87.1)</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25/31 (80.6)</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22/31 (71.0)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16/31 (51.6)</w:t>
            </w:r>
          </w:p>
        </w:tc>
      </w:tr>
      <w:tr w:rsidR="00365B01" w:rsidRPr="00365B01" w:rsidTr="00365B01">
        <w:tc>
          <w:tcPr>
            <w:tcW w:w="1056" w:type="dxa"/>
          </w:tcPr>
          <w:p w:rsidR="00365B01" w:rsidRPr="00365B01" w:rsidRDefault="00365B01" w:rsidP="00365B01">
            <w:pPr>
              <w:ind w:left="0" w:right="0"/>
              <w:rPr>
                <w:rFonts w:cs="`Ï˙øª¶‡"/>
                <w:sz w:val="19"/>
                <w:szCs w:val="19"/>
              </w:rPr>
            </w:pPr>
            <w:r w:rsidRPr="00365B01">
              <w:rPr>
                <w:rFonts w:cs="‡ﬂ˙øª¶‡"/>
                <w:sz w:val="19"/>
                <w:szCs w:val="19"/>
                <w:lang w:val="en-US"/>
              </w:rPr>
              <w:t>Week 72</w:t>
            </w:r>
          </w:p>
        </w:tc>
        <w:tc>
          <w:tcPr>
            <w:tcW w:w="1408" w:type="dxa"/>
          </w:tcPr>
          <w:p w:rsidR="00365B01" w:rsidRPr="00365B01" w:rsidRDefault="00365B01" w:rsidP="00365B01">
            <w:pPr>
              <w:ind w:left="0" w:right="0"/>
              <w:rPr>
                <w:rFonts w:cs="`Ï˙øª¶‡"/>
                <w:sz w:val="19"/>
                <w:szCs w:val="19"/>
              </w:rPr>
            </w:pPr>
            <w:r w:rsidRPr="00365B01">
              <w:rPr>
                <w:rFonts w:cs="‡ﬂ˙øª¶‡"/>
                <w:sz w:val="19"/>
                <w:szCs w:val="19"/>
                <w:lang w:val="en-US"/>
              </w:rPr>
              <w:t>Observed</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17/17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17/17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13/17 (76.5)</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11/17 (64.7)</w:t>
            </w:r>
          </w:p>
        </w:tc>
      </w:tr>
      <w:tr w:rsidR="00365B01" w:rsidRPr="00365B01" w:rsidTr="00365B01">
        <w:tc>
          <w:tcPr>
            <w:tcW w:w="1056" w:type="dxa"/>
          </w:tcPr>
          <w:p w:rsidR="00365B01" w:rsidRPr="00365B01" w:rsidRDefault="00365B01" w:rsidP="00365B01">
            <w:pPr>
              <w:ind w:left="0" w:right="0"/>
              <w:rPr>
                <w:rFonts w:cs="‡ﬂ˙øª¶‡"/>
                <w:sz w:val="19"/>
                <w:szCs w:val="19"/>
                <w:lang w:val="en-US"/>
              </w:rPr>
            </w:pPr>
            <w:r w:rsidRPr="00365B01">
              <w:rPr>
                <w:rFonts w:cs="‡ﬂ˙øª¶‡"/>
                <w:sz w:val="19"/>
                <w:szCs w:val="19"/>
                <w:lang w:val="en-US"/>
              </w:rPr>
              <w:t>Week 84</w:t>
            </w:r>
          </w:p>
        </w:tc>
        <w:tc>
          <w:tcPr>
            <w:tcW w:w="1408" w:type="dxa"/>
          </w:tcPr>
          <w:p w:rsidR="00365B01" w:rsidRPr="00365B01" w:rsidRDefault="00365B01" w:rsidP="00365B01">
            <w:pPr>
              <w:ind w:left="0" w:right="0"/>
              <w:rPr>
                <w:rFonts w:cs="‡ﬂ˙øª¶‡"/>
                <w:sz w:val="19"/>
                <w:szCs w:val="19"/>
                <w:lang w:val="en-US"/>
              </w:rPr>
            </w:pPr>
            <w:r w:rsidRPr="00365B01">
              <w:rPr>
                <w:rFonts w:cs="‡ﬂ˙øª¶‡"/>
                <w:sz w:val="19"/>
                <w:szCs w:val="19"/>
                <w:lang w:val="en-US"/>
              </w:rPr>
              <w:t>Observed</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17/17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16/17 (94.1)</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14/17 (82.4)</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11/17 (64.7)</w:t>
            </w:r>
          </w:p>
        </w:tc>
      </w:tr>
      <w:tr w:rsidR="00365B01" w:rsidRPr="00365B01" w:rsidTr="00365B01">
        <w:tc>
          <w:tcPr>
            <w:tcW w:w="1056" w:type="dxa"/>
          </w:tcPr>
          <w:p w:rsidR="00365B01" w:rsidRPr="00365B01" w:rsidRDefault="00365B01" w:rsidP="00365B01">
            <w:pPr>
              <w:ind w:left="0" w:right="0"/>
              <w:rPr>
                <w:rFonts w:cs="‡ﬂ˙øª¶‡"/>
                <w:sz w:val="19"/>
                <w:szCs w:val="19"/>
                <w:lang w:val="en-US"/>
              </w:rPr>
            </w:pPr>
            <w:r w:rsidRPr="00365B01">
              <w:rPr>
                <w:rFonts w:cs="‡ﬂ˙øª¶‡"/>
                <w:sz w:val="19"/>
                <w:szCs w:val="19"/>
                <w:lang w:val="en-US"/>
              </w:rPr>
              <w:t>Week 96</w:t>
            </w:r>
          </w:p>
        </w:tc>
        <w:tc>
          <w:tcPr>
            <w:tcW w:w="1408" w:type="dxa"/>
          </w:tcPr>
          <w:p w:rsidR="00365B01" w:rsidRPr="00365B01" w:rsidRDefault="00365B01" w:rsidP="00365B01">
            <w:pPr>
              <w:ind w:left="0" w:right="0"/>
              <w:rPr>
                <w:rFonts w:cs="‡ﬂ˙øª¶‡"/>
                <w:sz w:val="19"/>
                <w:szCs w:val="19"/>
                <w:lang w:val="en-US"/>
              </w:rPr>
            </w:pPr>
            <w:r w:rsidRPr="00365B01">
              <w:rPr>
                <w:rFonts w:cs="‡ﬂ˙øª¶‡"/>
                <w:sz w:val="19"/>
                <w:szCs w:val="19"/>
                <w:lang w:val="en-US"/>
              </w:rPr>
              <w:t>Observed</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12/13 (92.3)</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12/13 (92.3)</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10/13 (76.9)</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8/13 (61.5)</w:t>
            </w:r>
          </w:p>
        </w:tc>
      </w:tr>
      <w:tr w:rsidR="00365B01" w:rsidRPr="00365B01" w:rsidTr="00365B01">
        <w:tc>
          <w:tcPr>
            <w:tcW w:w="1056" w:type="dxa"/>
          </w:tcPr>
          <w:p w:rsidR="00365B01" w:rsidRPr="00365B01" w:rsidRDefault="00365B01" w:rsidP="00365B01">
            <w:pPr>
              <w:ind w:left="0" w:right="0"/>
              <w:rPr>
                <w:rFonts w:cs="‡ﬂ˙øª¶‡"/>
                <w:sz w:val="19"/>
                <w:szCs w:val="19"/>
                <w:lang w:val="en-US"/>
              </w:rPr>
            </w:pPr>
            <w:r w:rsidRPr="00365B01">
              <w:rPr>
                <w:rFonts w:cs="‡ﬂ˙øª¶‡"/>
                <w:sz w:val="19"/>
                <w:szCs w:val="19"/>
                <w:lang w:val="en-US"/>
              </w:rPr>
              <w:t>Week 108</w:t>
            </w:r>
          </w:p>
        </w:tc>
        <w:tc>
          <w:tcPr>
            <w:tcW w:w="1408" w:type="dxa"/>
          </w:tcPr>
          <w:p w:rsidR="00365B01" w:rsidRPr="00365B01" w:rsidRDefault="00365B01" w:rsidP="00365B01">
            <w:pPr>
              <w:ind w:left="0" w:right="0"/>
              <w:rPr>
                <w:rFonts w:cs="‡ﬂ˙øª¶‡"/>
                <w:sz w:val="19"/>
                <w:szCs w:val="19"/>
                <w:lang w:val="en-US"/>
              </w:rPr>
            </w:pPr>
            <w:r w:rsidRPr="00365B01">
              <w:rPr>
                <w:rFonts w:cs="‡ﬂ˙øª¶‡"/>
                <w:sz w:val="19"/>
                <w:szCs w:val="19"/>
                <w:lang w:val="en-US"/>
              </w:rPr>
              <w:t>Observed</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8/9 (88.9)</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8/9 (88.9)</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7/9 (77.8)</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6/9 (66.7)</w:t>
            </w:r>
          </w:p>
        </w:tc>
      </w:tr>
      <w:tr w:rsidR="00365B01" w:rsidRPr="00365B01" w:rsidTr="00365B01">
        <w:tc>
          <w:tcPr>
            <w:tcW w:w="1056" w:type="dxa"/>
          </w:tcPr>
          <w:p w:rsidR="00365B01" w:rsidRPr="00365B01" w:rsidRDefault="00365B01" w:rsidP="00365B01">
            <w:pPr>
              <w:ind w:left="0" w:right="0"/>
              <w:rPr>
                <w:rFonts w:cs="‡ﬂ˙øª¶‡"/>
                <w:sz w:val="19"/>
                <w:szCs w:val="19"/>
                <w:lang w:val="en-US"/>
              </w:rPr>
            </w:pPr>
            <w:r w:rsidRPr="00365B01">
              <w:rPr>
                <w:rFonts w:cs="‡ﬂ˙øª¶‡"/>
                <w:sz w:val="19"/>
                <w:szCs w:val="19"/>
                <w:lang w:val="en-US"/>
              </w:rPr>
              <w:t>Week 120</w:t>
            </w:r>
          </w:p>
        </w:tc>
        <w:tc>
          <w:tcPr>
            <w:tcW w:w="1408" w:type="dxa"/>
          </w:tcPr>
          <w:p w:rsidR="00365B01" w:rsidRPr="00365B01" w:rsidRDefault="00365B01" w:rsidP="00365B01">
            <w:pPr>
              <w:ind w:left="0" w:right="0"/>
              <w:rPr>
                <w:rFonts w:cs="‡ﬂ˙øª¶‡"/>
                <w:sz w:val="19"/>
                <w:szCs w:val="19"/>
                <w:lang w:val="en-US"/>
              </w:rPr>
            </w:pPr>
            <w:r w:rsidRPr="00365B01">
              <w:rPr>
                <w:rFonts w:cs="‡ﬂ˙øª¶‡"/>
                <w:sz w:val="19"/>
                <w:szCs w:val="19"/>
                <w:lang w:val="en-US"/>
              </w:rPr>
              <w:t>Observed</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3/3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3/3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3/3 (100)</w:t>
            </w:r>
          </w:p>
        </w:tc>
        <w:tc>
          <w:tcPr>
            <w:tcW w:w="1564" w:type="dxa"/>
          </w:tcPr>
          <w:p w:rsidR="00365B01" w:rsidRPr="00365B01" w:rsidRDefault="00365B01" w:rsidP="00365B01">
            <w:pPr>
              <w:ind w:left="0" w:right="0"/>
              <w:rPr>
                <w:rFonts w:cs="‡ﬂ˙øª¶‡"/>
                <w:sz w:val="19"/>
                <w:szCs w:val="19"/>
                <w:lang w:val="en-US"/>
              </w:rPr>
            </w:pPr>
            <w:r w:rsidRPr="00365B01">
              <w:rPr>
                <w:rFonts w:cs="‡ﬂ˙øª¶‡"/>
                <w:sz w:val="19"/>
                <w:szCs w:val="19"/>
                <w:lang w:val="en-US"/>
              </w:rPr>
              <w:t>3/3 (100)</w:t>
            </w:r>
          </w:p>
        </w:tc>
      </w:tr>
    </w:tbl>
    <w:p w:rsidR="00452AF0" w:rsidRDefault="00452AF0" w:rsidP="00365B01">
      <w:pPr>
        <w:pStyle w:val="TableDescription"/>
        <w:rPr>
          <w:lang w:val="en-US" w:eastAsia="en-AU"/>
        </w:rPr>
      </w:pPr>
      <w:r w:rsidRPr="00365B01">
        <w:rPr>
          <w:vertAlign w:val="superscript"/>
          <w:lang w:val="en-US" w:eastAsia="en-AU"/>
        </w:rPr>
        <w:t>a.</w:t>
      </w:r>
      <w:r>
        <w:rPr>
          <w:lang w:val="en-US" w:eastAsia="en-AU"/>
        </w:rPr>
        <w:t xml:space="preserve"> N1 represents the number of subjects for either observed or imputed methods.</w:t>
      </w:r>
    </w:p>
    <w:p w:rsidR="00452AF0" w:rsidRDefault="00452AF0" w:rsidP="00365B01">
      <w:pPr>
        <w:pStyle w:val="TableDescription"/>
        <w:rPr>
          <w:lang w:val="en-US" w:eastAsia="en-AU"/>
        </w:rPr>
      </w:pPr>
      <w:r w:rsidRPr="00365B01">
        <w:rPr>
          <w:vertAlign w:val="superscript"/>
          <w:lang w:val="en-US" w:eastAsia="en-AU"/>
        </w:rPr>
        <w:t>b.</w:t>
      </w:r>
      <w:r>
        <w:rPr>
          <w:lang w:val="en-US" w:eastAsia="en-AU"/>
        </w:rPr>
        <w:t xml:space="preserve"> NRI: Missing responses are imputed as non-response.</w:t>
      </w:r>
    </w:p>
    <w:p w:rsidR="00452AF0" w:rsidRPr="00365B01" w:rsidRDefault="00452AF0" w:rsidP="00365B01">
      <w:pPr>
        <w:pStyle w:val="TableDescription"/>
      </w:pPr>
      <w:r w:rsidRPr="00365B01">
        <w:rPr>
          <w:vertAlign w:val="superscript"/>
        </w:rPr>
        <w:t>c.</w:t>
      </w:r>
      <w:r w:rsidRPr="00365B01">
        <w:t xml:space="preserve"> LOCF: Missing responses were imputed by last non-missing post-baseline response.</w:t>
      </w:r>
    </w:p>
    <w:p w:rsidR="00452AF0" w:rsidRPr="00365B01" w:rsidRDefault="00452AF0" w:rsidP="00365B01">
      <w:pPr>
        <w:pStyle w:val="TableDescription"/>
      </w:pPr>
      <w:r w:rsidRPr="00365B01">
        <w:t>Note: Only responder percentages are displayed. Percentages were calculated using non-missing values.</w:t>
      </w:r>
    </w:p>
    <w:p w:rsidR="00452AF0" w:rsidRDefault="00452AF0" w:rsidP="00365B01">
      <w:r>
        <w:lastRenderedPageBreak/>
        <w:t>In patients not on concomitant methotrexate, the numbers are too small to draw definitive conclusions but suggested an improvement in joint assessment, health and quality of life assessment.</w:t>
      </w:r>
    </w:p>
    <w:p w:rsidR="00452AF0" w:rsidRDefault="00452AF0" w:rsidP="00365B01">
      <w:pPr>
        <w:pStyle w:val="Heading4"/>
      </w:pPr>
      <w:r w:rsidRPr="00365B01">
        <w:t>Safety</w:t>
      </w:r>
    </w:p>
    <w:p w:rsidR="00452AF0" w:rsidRDefault="00452AF0" w:rsidP="00365B01">
      <w:r>
        <w:t>The mean exposure to adalimumab from the pivotal study was 515 days with 91% reporting at least one treatment emergent adverse event, the most common being nasopharyngitis, pyrexia, bronchitis, cough, rhinorrhoea, upper respiratory tract infection, juvenile arthritis, otitis media and vomiting.</w:t>
      </w:r>
      <w:r w:rsidR="00F071E1">
        <w:t xml:space="preserve"> </w:t>
      </w:r>
      <w:r>
        <w:t>The events were mild in 28%, moderate in 44% and severe in 19%.</w:t>
      </w:r>
      <w:r w:rsidR="00F071E1">
        <w:t xml:space="preserve"> </w:t>
      </w:r>
      <w:r>
        <w:t>The severe events were 6 TEAEs of uveitis, otitis media, platelet count decreased, arthritis, type 1 diabetes and juvenile arthritis with the latter two considered probably related.</w:t>
      </w:r>
      <w:r w:rsidR="00F071E1">
        <w:t xml:space="preserve"> </w:t>
      </w:r>
      <w:r>
        <w:t xml:space="preserve">Of all the TEAEs, rash was the only treatment related event that was reported in </w:t>
      </w:r>
      <w:r w:rsidR="00974CDD">
        <w:rPr>
          <w:lang w:val="en-US"/>
        </w:rPr>
        <w:t>≥ </w:t>
      </w:r>
      <w:r>
        <w:t>2 subjects and 5 subjects had at least one event possibly related and 6 subjects had at least one event probably related which were mostly infections or injection site reactions. Infections were reported in 78% and were mostly mild or moderate and not related or probably not related.</w:t>
      </w:r>
      <w:r w:rsidR="00F071E1">
        <w:t xml:space="preserve"> </w:t>
      </w:r>
      <w:r>
        <w:t>No subjects discontinued due to infections.</w:t>
      </w:r>
      <w:r w:rsidR="00F071E1">
        <w:t xml:space="preserve"> </w:t>
      </w:r>
      <w:r>
        <w:t>There were three serious infections not considered related to adalimumab of dental caries, rotavirus gastroenteritis and varicella.</w:t>
      </w:r>
      <w:r w:rsidR="00F071E1">
        <w:t xml:space="preserve"> </w:t>
      </w:r>
      <w:r>
        <w:t xml:space="preserve">There were no deaths and five serious adverse events of dental caries, rotavirus gastroenteritis, juvenile arthritis, type </w:t>
      </w:r>
      <w:proofErr w:type="gramStart"/>
      <w:r>
        <w:t>1 diabetes</w:t>
      </w:r>
      <w:proofErr w:type="gramEnd"/>
      <w:r>
        <w:t xml:space="preserve"> and varicella.</w:t>
      </w:r>
      <w:r w:rsidR="00F071E1">
        <w:t xml:space="preserve"> </w:t>
      </w:r>
      <w:r>
        <w:t>Two subjects had a non-serious flare of juvenile arthritis and were discontinued.</w:t>
      </w:r>
      <w:r w:rsidR="00F071E1">
        <w:t xml:space="preserve"> </w:t>
      </w:r>
      <w:r>
        <w:t xml:space="preserve">Adverse events of special interest included one case of oral candidiasis, four subjects with mild injection site reactions, </w:t>
      </w:r>
      <w:r w:rsidRPr="00C068A4">
        <w:t>two</w:t>
      </w:r>
      <w:r w:rsidR="00653FF3" w:rsidRPr="00C068A4">
        <w:t xml:space="preserve"> subjects with</w:t>
      </w:r>
      <w:r w:rsidRPr="00C068A4">
        <w:t xml:space="preserve"> mild allergic reactions (urticaria and rash) and two</w:t>
      </w:r>
      <w:r w:rsidR="00653FF3" w:rsidRPr="00C068A4">
        <w:t xml:space="preserve"> subjects with</w:t>
      </w:r>
      <w:r w:rsidRPr="00C068A4">
        <w:t xml:space="preserve"> haematological disorders (anaemia and decreased platelet count (normal on repeat testing)).</w:t>
      </w:r>
      <w:r w:rsidR="00F071E1">
        <w:t xml:space="preserve"> </w:t>
      </w:r>
      <w:r>
        <w:t>There were no malignancies or demyelinating disorders.</w:t>
      </w:r>
      <w:r w:rsidR="00F071E1">
        <w:t xml:space="preserve"> </w:t>
      </w:r>
      <w:r>
        <w:t>The majority of patients had shifts from low/normal to high values for lymphocytes (81%) and platelet count (67%) with only one subject having a shift from high/normal to low value (eosinophils).</w:t>
      </w:r>
      <w:r w:rsidR="00F071E1">
        <w:t xml:space="preserve"> </w:t>
      </w:r>
      <w:r>
        <w:t>Clinical chemistry parameter changes were all shifts from low/normal to high values.</w:t>
      </w:r>
      <w:r w:rsidR="00F071E1">
        <w:t xml:space="preserve"> </w:t>
      </w:r>
      <w:r>
        <w:t xml:space="preserve">One subject had a small shift in </w:t>
      </w:r>
      <w:r w:rsidR="00F071E1">
        <w:t>alanine aminotransferase (</w:t>
      </w:r>
      <w:r>
        <w:t>ALT</w:t>
      </w:r>
      <w:r w:rsidR="00F071E1">
        <w:t>)</w:t>
      </w:r>
      <w:r>
        <w:t xml:space="preserve"> and </w:t>
      </w:r>
      <w:r w:rsidR="00F071E1">
        <w:t>aspartate aminotransferase (</w:t>
      </w:r>
      <w:r>
        <w:t>AST</w:t>
      </w:r>
      <w:r w:rsidR="00F071E1">
        <w:t>)</w:t>
      </w:r>
      <w:r>
        <w:t xml:space="preserve"> values and two subjects had abnormal liver function tests but neither subject discontinued from the study.</w:t>
      </w:r>
      <w:r w:rsidR="00F071E1">
        <w:t xml:space="preserve"> </w:t>
      </w:r>
      <w:r>
        <w:t>Pulse rate changes were seen in the majority of children but most were intermittent.</w:t>
      </w:r>
      <w:r w:rsidR="00F071E1">
        <w:t xml:space="preserve"> </w:t>
      </w:r>
      <w:r>
        <w:t>At the final determination, 9 children had significant decreases and 8 had significant increases.</w:t>
      </w:r>
      <w:r w:rsidR="00F071E1">
        <w:t xml:space="preserve"> </w:t>
      </w:r>
      <w:r>
        <w:t>The mean change in pulse rate to week 96 was ±4</w:t>
      </w:r>
      <w:r w:rsidR="00F071E1">
        <w:t xml:space="preserve"> </w:t>
      </w:r>
      <w:r>
        <w:t>b</w:t>
      </w:r>
      <w:r w:rsidR="00F071E1">
        <w:t>eats per minute (b</w:t>
      </w:r>
      <w:r>
        <w:t>pm</w:t>
      </w:r>
      <w:r w:rsidR="00F071E1">
        <w:t>)</w:t>
      </w:r>
      <w:r>
        <w:t>.</w:t>
      </w:r>
    </w:p>
    <w:p w:rsidR="00452AF0" w:rsidRDefault="00452AF0" w:rsidP="00365B01">
      <w:r>
        <w:t>The submission included interim 4</w:t>
      </w:r>
      <w:r w:rsidR="00F071E1">
        <w:t xml:space="preserve"> </w:t>
      </w:r>
      <w:r>
        <w:t xml:space="preserve">year data from a </w:t>
      </w:r>
      <w:r w:rsidR="002B4974">
        <w:t>‘</w:t>
      </w:r>
      <w:r>
        <w:rPr>
          <w:lang w:val="en-US"/>
        </w:rPr>
        <w:t xml:space="preserve">Long-term, Multi-center, Longitudinal Post-marketing, Observational Registry to Assess Long Term Safety and Effectiveness of </w:t>
      </w:r>
      <w:proofErr w:type="spellStart"/>
      <w:r w:rsidR="002B4974">
        <w:rPr>
          <w:lang w:val="en-US"/>
        </w:rPr>
        <w:t>Humira</w:t>
      </w:r>
      <w:proofErr w:type="spellEnd"/>
      <w:r>
        <w:rPr>
          <w:vertAlign w:val="superscript"/>
          <w:lang w:val="en-US"/>
        </w:rPr>
        <w:t xml:space="preserve">® </w:t>
      </w:r>
      <w:r>
        <w:rPr>
          <w:lang w:val="en-US"/>
        </w:rPr>
        <w:t>(</w:t>
      </w:r>
      <w:proofErr w:type="spellStart"/>
      <w:r>
        <w:rPr>
          <w:lang w:val="en-US"/>
        </w:rPr>
        <w:t>Adalimumab</w:t>
      </w:r>
      <w:proofErr w:type="spellEnd"/>
      <w:r>
        <w:rPr>
          <w:lang w:val="en-US"/>
        </w:rPr>
        <w:t>) in Children with Moderately to Severely Active Polyarticular or Polyarticular-course Juvenile Idiopathic Arthritis (JIA) – STRIVE</w:t>
      </w:r>
      <w:r w:rsidR="002B4974">
        <w:rPr>
          <w:lang w:val="en-US"/>
        </w:rPr>
        <w:t>’</w:t>
      </w:r>
      <w:r>
        <w:rPr>
          <w:lang w:val="en-US"/>
        </w:rPr>
        <w:t>.</w:t>
      </w:r>
      <w:r w:rsidR="00F071E1">
        <w:rPr>
          <w:lang w:val="en-US"/>
        </w:rPr>
        <w:t xml:space="preserve"> </w:t>
      </w:r>
      <w:r>
        <w:rPr>
          <w:lang w:val="en-US"/>
        </w:rPr>
        <w:t>The interim report covered 4 years of the registry and included patients from Australia and those rolling over from the current study and the previous study in older children.</w:t>
      </w:r>
      <w:r w:rsidR="00F071E1">
        <w:rPr>
          <w:lang w:val="en-US"/>
        </w:rPr>
        <w:t xml:space="preserve"> </w:t>
      </w:r>
      <w:r>
        <w:rPr>
          <w:lang w:val="en-US"/>
        </w:rPr>
        <w:t xml:space="preserve">The registry includes patients on </w:t>
      </w:r>
      <w:proofErr w:type="spellStart"/>
      <w:r>
        <w:rPr>
          <w:lang w:val="en-US"/>
        </w:rPr>
        <w:t>Humira</w:t>
      </w:r>
      <w:proofErr w:type="spellEnd"/>
      <w:r>
        <w:rPr>
          <w:lang w:val="en-US"/>
        </w:rPr>
        <w:t xml:space="preserve"> or methotrexate.</w:t>
      </w:r>
      <w:r w:rsidR="00F071E1">
        <w:rPr>
          <w:lang w:val="en-US"/>
        </w:rPr>
        <w:t xml:space="preserve"> </w:t>
      </w:r>
      <w:r>
        <w:rPr>
          <w:lang w:val="en-US"/>
        </w:rPr>
        <w:t>As of 1 June 2013, 778 patients had been enrolled.</w:t>
      </w:r>
      <w:r w:rsidR="00F071E1">
        <w:rPr>
          <w:lang w:val="en-US"/>
        </w:rPr>
        <w:t xml:space="preserve"> </w:t>
      </w:r>
      <w:r>
        <w:rPr>
          <w:lang w:val="en-US"/>
        </w:rPr>
        <w:t>The sponsor has advised that enrollment has now been completed and includes 12 patients from the current study.</w:t>
      </w:r>
      <w:r w:rsidR="00F071E1">
        <w:rPr>
          <w:lang w:val="en-US"/>
        </w:rPr>
        <w:t xml:space="preserve"> </w:t>
      </w:r>
      <w:r>
        <w:rPr>
          <w:lang w:val="en-US"/>
        </w:rPr>
        <w:t>Only one patient in the registry study was within the age of 2</w:t>
      </w:r>
      <w:r w:rsidR="00974CDD">
        <w:rPr>
          <w:lang w:val="en-US"/>
        </w:rPr>
        <w:t xml:space="preserve"> to </w:t>
      </w:r>
      <w:r>
        <w:rPr>
          <w:lang w:val="en-US"/>
        </w:rPr>
        <w:t>4 years.</w:t>
      </w:r>
      <w:r w:rsidR="00F071E1">
        <w:rPr>
          <w:lang w:val="en-US"/>
        </w:rPr>
        <w:t xml:space="preserve"> </w:t>
      </w:r>
      <w:r>
        <w:rPr>
          <w:lang w:val="en-US"/>
        </w:rPr>
        <w:t>Patients with observational adverse events are as follows.</w:t>
      </w:r>
    </w:p>
    <w:p w:rsidR="00452AF0" w:rsidRDefault="00974CDD" w:rsidP="00A20FBF">
      <w:pPr>
        <w:pStyle w:val="TableTitle"/>
        <w:pageBreakBefore/>
      </w:pPr>
      <w:r>
        <w:rPr>
          <w:lang w:val="en-US"/>
        </w:rPr>
        <w:lastRenderedPageBreak/>
        <w:t xml:space="preserve">Table </w:t>
      </w:r>
      <w:r w:rsidR="00237330">
        <w:rPr>
          <w:lang w:val="en-US"/>
        </w:rPr>
        <w:t>10</w:t>
      </w:r>
      <w:r>
        <w:rPr>
          <w:lang w:val="en-US"/>
        </w:rPr>
        <w:t xml:space="preserve">: </w:t>
      </w:r>
      <w:r w:rsidR="00452AF0">
        <w:rPr>
          <w:lang w:val="en-US"/>
        </w:rPr>
        <w:t xml:space="preserve">Study P10-262- Patients </w:t>
      </w:r>
      <w:r w:rsidR="00452AF0" w:rsidRPr="00365B01">
        <w:t>with</w:t>
      </w:r>
      <w:r w:rsidR="00452AF0">
        <w:rPr>
          <w:lang w:val="en-US"/>
        </w:rPr>
        <w:t xml:space="preserve"> observational adverse events; </w:t>
      </w:r>
      <w:r w:rsidR="00452AF0" w:rsidRPr="00365B01">
        <w:t>all</w:t>
      </w:r>
      <w:r w:rsidR="00452AF0">
        <w:rPr>
          <w:lang w:val="en-US"/>
        </w:rPr>
        <w:t xml:space="preserve"> treated population</w:t>
      </w:r>
    </w:p>
    <w:tbl>
      <w:tblPr>
        <w:tblStyle w:val="TableTGAblue"/>
        <w:tblW w:w="8337" w:type="dxa"/>
        <w:tblLayout w:type="fixed"/>
        <w:tblLook w:val="04A0" w:firstRow="1" w:lastRow="0" w:firstColumn="1" w:lastColumn="0" w:noHBand="0" w:noVBand="1"/>
      </w:tblPr>
      <w:tblGrid>
        <w:gridCol w:w="5318"/>
        <w:gridCol w:w="754"/>
        <w:gridCol w:w="848"/>
        <w:gridCol w:w="662"/>
        <w:gridCol w:w="755"/>
      </w:tblGrid>
      <w:tr w:rsidR="00452AF0" w:rsidRPr="00A20FBF" w:rsidTr="00A20FBF">
        <w:trPr>
          <w:cnfStyle w:val="100000000000" w:firstRow="1" w:lastRow="0" w:firstColumn="0" w:lastColumn="0" w:oddVBand="0" w:evenVBand="0" w:oddHBand="0" w:evenHBand="0" w:firstRowFirstColumn="0" w:firstRowLastColumn="0" w:lastRowFirstColumn="0" w:lastRowLastColumn="0"/>
        </w:trPr>
        <w:tc>
          <w:tcPr>
            <w:tcW w:w="5318" w:type="dxa"/>
            <w:hideMark/>
          </w:tcPr>
          <w:p w:rsidR="00452AF0" w:rsidRPr="00A20FBF" w:rsidRDefault="00A20FBF" w:rsidP="00A20FBF">
            <w:pPr>
              <w:ind w:left="0" w:right="0"/>
              <w:rPr>
                <w:sz w:val="20"/>
                <w:szCs w:val="20"/>
                <w:lang w:val="en-US"/>
              </w:rPr>
            </w:pPr>
            <w:r w:rsidRPr="00A20FBF">
              <w:rPr>
                <w:sz w:val="20"/>
                <w:szCs w:val="20"/>
                <w:lang w:val="en-US"/>
              </w:rPr>
              <w:t>Adverse events (AEs)</w:t>
            </w:r>
          </w:p>
        </w:tc>
        <w:tc>
          <w:tcPr>
            <w:tcW w:w="1602" w:type="dxa"/>
            <w:gridSpan w:val="2"/>
            <w:hideMark/>
          </w:tcPr>
          <w:p w:rsidR="00452AF0" w:rsidRPr="00A20FBF" w:rsidRDefault="00452AF0" w:rsidP="00A20FBF">
            <w:pPr>
              <w:ind w:left="0" w:right="0"/>
              <w:jc w:val="center"/>
              <w:rPr>
                <w:sz w:val="20"/>
                <w:szCs w:val="20"/>
                <w:lang w:val="en-US"/>
              </w:rPr>
            </w:pPr>
            <w:r w:rsidRPr="00A20FBF">
              <w:rPr>
                <w:sz w:val="20"/>
                <w:szCs w:val="20"/>
                <w:lang w:val="en-US"/>
              </w:rPr>
              <w:t xml:space="preserve">All </w:t>
            </w:r>
            <w:proofErr w:type="spellStart"/>
            <w:r w:rsidRPr="00A20FBF">
              <w:rPr>
                <w:sz w:val="20"/>
                <w:szCs w:val="20"/>
                <w:lang w:val="en-US"/>
              </w:rPr>
              <w:t>Humira</w:t>
            </w:r>
            <w:proofErr w:type="spellEnd"/>
            <w:r w:rsidR="00F071E1" w:rsidRPr="00A20FBF">
              <w:rPr>
                <w:sz w:val="20"/>
                <w:szCs w:val="20"/>
                <w:lang w:val="en-US"/>
              </w:rPr>
              <w:t xml:space="preserve"> </w:t>
            </w:r>
            <w:r w:rsidRPr="00A20FBF">
              <w:rPr>
                <w:sz w:val="20"/>
                <w:szCs w:val="20"/>
                <w:lang w:val="en-US"/>
              </w:rPr>
              <w:t>(N=459)</w:t>
            </w:r>
          </w:p>
        </w:tc>
        <w:tc>
          <w:tcPr>
            <w:tcW w:w="1417" w:type="dxa"/>
            <w:gridSpan w:val="2"/>
            <w:hideMark/>
          </w:tcPr>
          <w:p w:rsidR="00452AF0" w:rsidRPr="00A20FBF" w:rsidRDefault="00452AF0" w:rsidP="00A20FBF">
            <w:pPr>
              <w:ind w:left="24" w:right="41"/>
              <w:jc w:val="center"/>
              <w:rPr>
                <w:sz w:val="20"/>
                <w:szCs w:val="20"/>
                <w:lang w:val="en-US"/>
              </w:rPr>
            </w:pPr>
            <w:r w:rsidRPr="00A20FBF">
              <w:rPr>
                <w:sz w:val="20"/>
                <w:szCs w:val="20"/>
                <w:lang w:val="en-US"/>
              </w:rPr>
              <w:t>All MTX</w:t>
            </w:r>
            <w:r w:rsidR="00F071E1" w:rsidRPr="00A20FBF">
              <w:rPr>
                <w:sz w:val="20"/>
                <w:szCs w:val="20"/>
                <w:lang w:val="en-US"/>
              </w:rPr>
              <w:t xml:space="preserve"> </w:t>
            </w:r>
            <w:r w:rsidRPr="00A20FBF">
              <w:rPr>
                <w:sz w:val="20"/>
                <w:szCs w:val="20"/>
                <w:lang w:val="en-US"/>
              </w:rPr>
              <w:t>(N=306)</w:t>
            </w:r>
          </w:p>
        </w:tc>
      </w:tr>
      <w:tr w:rsidR="00452AF0" w:rsidRPr="00A20FBF" w:rsidTr="00A20FBF">
        <w:tc>
          <w:tcPr>
            <w:tcW w:w="5318" w:type="dxa"/>
          </w:tcPr>
          <w:p w:rsidR="00452AF0" w:rsidRPr="00A20FBF" w:rsidRDefault="00452AF0" w:rsidP="00A20FBF">
            <w:pPr>
              <w:ind w:left="0" w:right="0"/>
              <w:rPr>
                <w:sz w:val="20"/>
                <w:szCs w:val="20"/>
                <w:lang w:val="en-US"/>
              </w:rPr>
            </w:pP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N</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N</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AE</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142</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30.9</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125</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40.8</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serious AE</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30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6.5</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16</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5.2</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AE leading to discontinuation of study drug</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25</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5.4</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23</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7.5</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 xml:space="preserve">Any severe AE </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22</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4.8</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12</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3.9</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AE at least possibly drug-related</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71</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15.5</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63</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20.6</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SAE at least possibly drug-related</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14</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3.1</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3</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1.0</w:t>
            </w:r>
          </w:p>
        </w:tc>
      </w:tr>
      <w:tr w:rsidR="00452AF0" w:rsidRPr="00A20FBF" w:rsidTr="00A20FBF">
        <w:tc>
          <w:tcPr>
            <w:tcW w:w="5318" w:type="dxa"/>
            <w:hideMark/>
          </w:tcPr>
          <w:p w:rsidR="00452AF0" w:rsidRPr="00A20FBF" w:rsidRDefault="00A20FBF" w:rsidP="00A20FBF">
            <w:pPr>
              <w:ind w:left="0" w:right="0"/>
              <w:rPr>
                <w:sz w:val="20"/>
                <w:szCs w:val="20"/>
                <w:lang w:val="en-US"/>
              </w:rPr>
            </w:pPr>
            <w:r>
              <w:rPr>
                <w:sz w:val="20"/>
                <w:szCs w:val="20"/>
                <w:lang w:val="en-US"/>
              </w:rPr>
              <w:t>Any Infection</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80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17.4</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64</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20.9</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serious infection</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12</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2.6</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7</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2.3</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opportunistic infection (exc</w:t>
            </w:r>
            <w:r w:rsidR="00A20FBF">
              <w:rPr>
                <w:sz w:val="20"/>
                <w:szCs w:val="20"/>
                <w:lang w:val="en-US"/>
              </w:rPr>
              <w:t>luding oral candidiasis and TB)</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TB</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lymphoma</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non-melanoma skin cancer (NMSC)</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 xml:space="preserve">Any malignancy other than lymphoma, HSTCL, </w:t>
            </w:r>
            <w:proofErr w:type="spellStart"/>
            <w:r w:rsidRPr="00A20FBF">
              <w:rPr>
                <w:sz w:val="20"/>
                <w:szCs w:val="20"/>
                <w:lang w:val="en-US"/>
              </w:rPr>
              <w:t>leukaemia</w:t>
            </w:r>
            <w:proofErr w:type="spellEnd"/>
            <w:r w:rsidRPr="00A20FBF">
              <w:rPr>
                <w:sz w:val="20"/>
                <w:szCs w:val="20"/>
                <w:lang w:val="en-US"/>
              </w:rPr>
              <w:t>, NMSC, or melanoma</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demyelinating disorder</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Any AE leading to death</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r w:rsidR="00452AF0" w:rsidRPr="00A20FBF" w:rsidTr="00A20FBF">
        <w:tc>
          <w:tcPr>
            <w:tcW w:w="5318" w:type="dxa"/>
            <w:hideMark/>
          </w:tcPr>
          <w:p w:rsidR="00452AF0" w:rsidRPr="00A20FBF" w:rsidRDefault="00452AF0" w:rsidP="00A20FBF">
            <w:pPr>
              <w:ind w:left="0" w:right="0"/>
              <w:rPr>
                <w:sz w:val="20"/>
                <w:szCs w:val="20"/>
                <w:lang w:val="en-US"/>
              </w:rPr>
            </w:pPr>
            <w:r w:rsidRPr="00A20FBF">
              <w:rPr>
                <w:sz w:val="20"/>
                <w:szCs w:val="20"/>
                <w:lang w:val="en-US"/>
              </w:rPr>
              <w:t>Deaths (including non</w:t>
            </w:r>
            <w:r w:rsidR="00974CDD" w:rsidRPr="00A20FBF">
              <w:rPr>
                <w:sz w:val="20"/>
                <w:szCs w:val="20"/>
                <w:lang w:val="en-US"/>
              </w:rPr>
              <w:t>-</w:t>
            </w:r>
            <w:r w:rsidRPr="00A20FBF">
              <w:rPr>
                <w:sz w:val="20"/>
                <w:szCs w:val="20"/>
                <w:lang w:val="en-US"/>
              </w:rPr>
              <w:t>treatment-emergent deaths)</w:t>
            </w:r>
          </w:p>
        </w:tc>
        <w:tc>
          <w:tcPr>
            <w:tcW w:w="754"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848" w:type="dxa"/>
            <w:hideMark/>
          </w:tcPr>
          <w:p w:rsidR="00452AF0" w:rsidRPr="00A20FBF" w:rsidRDefault="00452AF0" w:rsidP="00A20FBF">
            <w:pPr>
              <w:ind w:left="0" w:right="0"/>
              <w:jc w:val="center"/>
              <w:rPr>
                <w:sz w:val="20"/>
                <w:szCs w:val="20"/>
                <w:lang w:val="en-US"/>
              </w:rPr>
            </w:pPr>
            <w:r w:rsidRPr="00A20FBF">
              <w:rPr>
                <w:sz w:val="20"/>
                <w:szCs w:val="20"/>
                <w:lang w:val="en-US"/>
              </w:rPr>
              <w:t>0</w:t>
            </w:r>
          </w:p>
        </w:tc>
        <w:tc>
          <w:tcPr>
            <w:tcW w:w="662"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c>
          <w:tcPr>
            <w:tcW w:w="755" w:type="dxa"/>
            <w:hideMark/>
          </w:tcPr>
          <w:p w:rsidR="00452AF0" w:rsidRPr="00A20FBF" w:rsidRDefault="00452AF0" w:rsidP="00A20FBF">
            <w:pPr>
              <w:ind w:left="24" w:right="41"/>
              <w:jc w:val="center"/>
              <w:rPr>
                <w:sz w:val="20"/>
                <w:szCs w:val="20"/>
                <w:lang w:val="en-US"/>
              </w:rPr>
            </w:pPr>
            <w:r w:rsidRPr="00A20FBF">
              <w:rPr>
                <w:sz w:val="20"/>
                <w:szCs w:val="20"/>
                <w:lang w:val="en-US"/>
              </w:rPr>
              <w:t>0</w:t>
            </w:r>
          </w:p>
        </w:tc>
      </w:tr>
    </w:tbl>
    <w:p w:rsidR="00452AF0" w:rsidRDefault="00452AF0" w:rsidP="00A20FBF">
      <w:r>
        <w:t>No deaths occurred in the registry and discontinuations of registry drug were higher on methotrexate than adalimumab (43% v</w:t>
      </w:r>
      <w:r w:rsidR="00974CDD">
        <w:t>ersu</w:t>
      </w:r>
      <w:r>
        <w:t>s 18%).</w:t>
      </w:r>
      <w:r w:rsidR="00F071E1">
        <w:t xml:space="preserve"> </w:t>
      </w:r>
      <w:r>
        <w:t>Infections were slightly higher on methotrexate (21% v</w:t>
      </w:r>
      <w:r w:rsidR="00974CDD">
        <w:t>ersu</w:t>
      </w:r>
      <w:r>
        <w:t>s 17%), allergic reactions were slightly higher on adalimumab (1.3% v</w:t>
      </w:r>
      <w:r w:rsidR="00974CDD">
        <w:t>ersu</w:t>
      </w:r>
      <w:r>
        <w:t>s 0.7%), injection site reactions were higher on adalimumab (4.4% v</w:t>
      </w:r>
      <w:r w:rsidR="00974CDD">
        <w:t>ersu</w:t>
      </w:r>
      <w:r>
        <w:t>s 1%), three patients on adalimumab experienced new onset or worsening psoriasis and one patient on methotrexate had pancreatitis.</w:t>
      </w:r>
    </w:p>
    <w:p w:rsidR="008E7846" w:rsidRDefault="00386150" w:rsidP="00A20FBF">
      <w:pPr>
        <w:pStyle w:val="Heading3"/>
        <w:rPr>
          <w:lang w:eastAsia="en-AU"/>
        </w:rPr>
      </w:pPr>
      <w:bookmarkStart w:id="115" w:name="_Toc438564018"/>
      <w:r>
        <w:rPr>
          <w:lang w:eastAsia="en-AU"/>
        </w:rPr>
        <w:t xml:space="preserve">Risk </w:t>
      </w:r>
      <w:r w:rsidRPr="00A20FBF">
        <w:t>m</w:t>
      </w:r>
      <w:r w:rsidR="008E7846" w:rsidRPr="00A20FBF">
        <w:t>anagement</w:t>
      </w:r>
      <w:r w:rsidR="008E7846">
        <w:rPr>
          <w:lang w:eastAsia="en-AU"/>
        </w:rPr>
        <w:t xml:space="preserve"> </w:t>
      </w:r>
      <w:r>
        <w:rPr>
          <w:lang w:eastAsia="en-AU"/>
        </w:rPr>
        <w:t>p</w:t>
      </w:r>
      <w:r w:rsidR="008E7846">
        <w:rPr>
          <w:lang w:eastAsia="en-AU"/>
        </w:rPr>
        <w:t>lan</w:t>
      </w:r>
      <w:bookmarkEnd w:id="114"/>
      <w:bookmarkEnd w:id="115"/>
    </w:p>
    <w:p w:rsidR="00452AF0" w:rsidRDefault="00452AF0" w:rsidP="00A20FBF">
      <w:pPr>
        <w:rPr>
          <w:rFonts w:asciiTheme="minorHAnsi" w:hAnsiTheme="minorHAnsi"/>
        </w:rPr>
      </w:pPr>
      <w:r>
        <w:rPr>
          <w:rFonts w:asciiTheme="minorHAnsi" w:hAnsiTheme="minorHAnsi"/>
        </w:rPr>
        <w:t xml:space="preserve">The </w:t>
      </w:r>
      <w:r w:rsidR="00974CDD">
        <w:rPr>
          <w:rFonts w:asciiTheme="minorHAnsi" w:hAnsiTheme="minorHAnsi"/>
        </w:rPr>
        <w:t>RMP evaluator</w:t>
      </w:r>
      <w:r>
        <w:rPr>
          <w:rFonts w:asciiTheme="minorHAnsi" w:hAnsiTheme="minorHAnsi"/>
        </w:rPr>
        <w:t xml:space="preserve"> has accepted the </w:t>
      </w:r>
      <w:r>
        <w:t xml:space="preserve">EU Risk Management Plan for </w:t>
      </w:r>
      <w:proofErr w:type="spellStart"/>
      <w:r>
        <w:t>Humira</w:t>
      </w:r>
      <w:proofErr w:type="spellEnd"/>
      <w:r>
        <w:t xml:space="preserve"> (</w:t>
      </w:r>
      <w:proofErr w:type="spellStart"/>
      <w:r>
        <w:t>adalimumab</w:t>
      </w:r>
      <w:proofErr w:type="spellEnd"/>
      <w:r>
        <w:t xml:space="preserve">), version 11.1.2 (dated September 2014, </w:t>
      </w:r>
      <w:r w:rsidR="00974CDD">
        <w:t>data lock point</w:t>
      </w:r>
      <w:r>
        <w:t xml:space="preserve"> 31 December 2012) and Australian Specific Annex Version 2.0 (dated December 2014), and any future updates as a condition of registration</w:t>
      </w:r>
      <w:r>
        <w:rPr>
          <w:rFonts w:asciiTheme="minorHAnsi" w:hAnsiTheme="minorHAnsi"/>
        </w:rPr>
        <w:t>.</w:t>
      </w:r>
    </w:p>
    <w:p w:rsidR="00452AF0" w:rsidRDefault="00452AF0" w:rsidP="00A20FBF">
      <w:r>
        <w:lastRenderedPageBreak/>
        <w:t>There are no outstanding matters in relation to the RMP.</w:t>
      </w:r>
    </w:p>
    <w:p w:rsidR="008E7846" w:rsidRDefault="00AA0ED0" w:rsidP="00A20FBF">
      <w:pPr>
        <w:pStyle w:val="Heading3"/>
      </w:pPr>
      <w:bookmarkStart w:id="116" w:name="_Toc247691531"/>
      <w:bookmarkStart w:id="117" w:name="_Toc314842515"/>
      <w:bookmarkStart w:id="118" w:name="_Toc438564019"/>
      <w:bookmarkStart w:id="119" w:name="_Toc196046505"/>
      <w:bookmarkStart w:id="120" w:name="_Toc196046949"/>
      <w:r>
        <w:t>Risk-</w:t>
      </w:r>
      <w:r w:rsidRPr="00A20FBF">
        <w:t>benefit</w:t>
      </w:r>
      <w:r>
        <w:t xml:space="preserve"> a</w:t>
      </w:r>
      <w:r w:rsidR="008E7846">
        <w:t>nalysis</w:t>
      </w:r>
      <w:bookmarkEnd w:id="116"/>
      <w:bookmarkEnd w:id="117"/>
      <w:bookmarkEnd w:id="118"/>
    </w:p>
    <w:p w:rsidR="00D23139" w:rsidRDefault="00A20FBF" w:rsidP="00A20FBF">
      <w:pPr>
        <w:pStyle w:val="Heading4"/>
      </w:pPr>
      <w:r>
        <w:t xml:space="preserve">Delegate’s </w:t>
      </w:r>
      <w:r w:rsidRPr="00A20FBF">
        <w:t>considerations</w:t>
      </w:r>
    </w:p>
    <w:p w:rsidR="00452AF0" w:rsidRDefault="00452AF0" w:rsidP="00A20FBF">
      <w:r>
        <w:t xml:space="preserve">This submission is to extend the age group for the currently approved </w:t>
      </w:r>
      <w:proofErr w:type="spellStart"/>
      <w:r>
        <w:t>pJIA</w:t>
      </w:r>
      <w:proofErr w:type="spellEnd"/>
      <w:r>
        <w:t xml:space="preserve"> indication from 4 years and older to 2 years and older</w:t>
      </w:r>
      <w:r>
        <w:rPr>
          <w:rFonts w:asciiTheme="minorHAnsi" w:eastAsiaTheme="minorHAnsi" w:hAnsiTheme="minorHAnsi" w:cs="ArialMT"/>
          <w:szCs w:val="24"/>
        </w:rPr>
        <w:t>.</w:t>
      </w:r>
      <w:r w:rsidR="00F071E1">
        <w:rPr>
          <w:rFonts w:asciiTheme="minorHAnsi" w:eastAsiaTheme="minorHAnsi" w:hAnsiTheme="minorHAnsi" w:cs="ArialMT"/>
          <w:szCs w:val="24"/>
        </w:rPr>
        <w:t xml:space="preserve"> </w:t>
      </w:r>
      <w:r>
        <w:rPr>
          <w:rFonts w:asciiTheme="minorHAnsi" w:eastAsiaTheme="minorHAnsi" w:hAnsiTheme="minorHAnsi" w:cs="ArialMT"/>
          <w:szCs w:val="24"/>
        </w:rPr>
        <w:t>The proposed extension to the age group has been approved in the USA and Europe but the dosing protocol approved overseas differs between the USA and Europe.</w:t>
      </w:r>
      <w:r w:rsidR="00F071E1">
        <w:rPr>
          <w:rFonts w:asciiTheme="minorHAnsi" w:eastAsiaTheme="minorHAnsi" w:hAnsiTheme="minorHAnsi" w:cs="ArialMT"/>
          <w:szCs w:val="24"/>
        </w:rPr>
        <w:t xml:space="preserve"> </w:t>
      </w:r>
      <w:r>
        <w:rPr>
          <w:rFonts w:asciiTheme="minorHAnsi" w:eastAsiaTheme="minorHAnsi" w:hAnsiTheme="minorHAnsi" w:cs="ArialMT"/>
          <w:szCs w:val="24"/>
        </w:rPr>
        <w:t>The extent of the data is limited as expected for this type of application, and the evidence supporting use without methotrexate is also limited.</w:t>
      </w:r>
      <w:r w:rsidR="00F071E1">
        <w:rPr>
          <w:rFonts w:asciiTheme="minorHAnsi" w:eastAsiaTheme="minorHAnsi" w:hAnsiTheme="minorHAnsi" w:cs="ArialMT"/>
          <w:szCs w:val="24"/>
        </w:rPr>
        <w:t xml:space="preserve"> </w:t>
      </w:r>
      <w:r>
        <w:rPr>
          <w:rFonts w:asciiTheme="minorHAnsi" w:eastAsiaTheme="minorHAnsi" w:hAnsiTheme="minorHAnsi" w:cs="ArialMT"/>
          <w:szCs w:val="24"/>
        </w:rPr>
        <w:t xml:space="preserve">In Europe, the indication specifies that patients are to have failed a DMARD prior to use, however the current Australian approved indication for patients 4 years and older with </w:t>
      </w:r>
      <w:proofErr w:type="spellStart"/>
      <w:r>
        <w:rPr>
          <w:rFonts w:asciiTheme="minorHAnsi" w:eastAsiaTheme="minorHAnsi" w:hAnsiTheme="minorHAnsi" w:cs="ArialMT"/>
          <w:szCs w:val="24"/>
        </w:rPr>
        <w:t>pJIA</w:t>
      </w:r>
      <w:proofErr w:type="spellEnd"/>
      <w:r>
        <w:rPr>
          <w:rFonts w:asciiTheme="minorHAnsi" w:eastAsiaTheme="minorHAnsi" w:hAnsiTheme="minorHAnsi" w:cs="ArialMT"/>
          <w:szCs w:val="24"/>
        </w:rPr>
        <w:t xml:space="preserve"> or the proposed extension to the younger population does not specify this requirement.</w:t>
      </w:r>
    </w:p>
    <w:p w:rsidR="00974CDD" w:rsidRDefault="00452AF0" w:rsidP="00A20FBF">
      <w:pPr>
        <w:pStyle w:val="Heading5"/>
      </w:pPr>
      <w:r w:rsidRPr="00A20FBF">
        <w:t>Pharmacology</w:t>
      </w:r>
    </w:p>
    <w:p w:rsidR="00452AF0" w:rsidRDefault="00452AF0" w:rsidP="00A20FBF">
      <w:r>
        <w:t>The PK data submitted indicates that the adalimumab trough concentrations at steady state are similar between the 2</w:t>
      </w:r>
      <w:r w:rsidR="00974CDD">
        <w:t xml:space="preserve"> to </w:t>
      </w:r>
      <w:r>
        <w:t>4 years group compared to the approved 4 years and older group in those taking concomitant methotrexate.</w:t>
      </w:r>
      <w:r w:rsidR="00F071E1">
        <w:t xml:space="preserve"> </w:t>
      </w:r>
      <w:r>
        <w:t>However in both studies, the concentrations were lower in those not taking methotrexate and lower again in those 2</w:t>
      </w:r>
      <w:r w:rsidR="00974CDD">
        <w:t xml:space="preserve"> to </w:t>
      </w:r>
      <w:r>
        <w:t>4 years old.</w:t>
      </w:r>
      <w:r w:rsidR="00F071E1">
        <w:t xml:space="preserve"> </w:t>
      </w:r>
      <w:r>
        <w:t>These results indicate consistency between the population age groups for those on methotrexate however the results should be interpreted with caution given the limited data and imbalanced study numbers.</w:t>
      </w:r>
    </w:p>
    <w:p w:rsidR="00974CDD" w:rsidRDefault="00452AF0" w:rsidP="00974CDD">
      <w:pPr>
        <w:pStyle w:val="Heading5"/>
      </w:pPr>
      <w:r>
        <w:t>Efficacy</w:t>
      </w:r>
    </w:p>
    <w:p w:rsidR="00452AF0" w:rsidRDefault="00452AF0" w:rsidP="00A20FBF">
      <w:r>
        <w:t>The pivotal study had no primary efficacy endpoint or statistical analyses and the study was non-randomised, open label and uncontrolled and therefore prone to bias and confounding.</w:t>
      </w:r>
      <w:r w:rsidR="00F071E1">
        <w:t xml:space="preserve"> </w:t>
      </w:r>
      <w:r>
        <w:t>The sample size was small and the majority of patients were treated with methotrexate with very little data to assess monotherapy use.</w:t>
      </w:r>
      <w:r w:rsidR="00F071E1">
        <w:t xml:space="preserve"> </w:t>
      </w:r>
      <w:r>
        <w:t xml:space="preserve">The PedACR30 is a validated efficacy outcome but the other PedACR50/70/90 are not but commonly used and accepted in </w:t>
      </w:r>
      <w:proofErr w:type="spellStart"/>
      <w:r>
        <w:t>pJIA</w:t>
      </w:r>
      <w:proofErr w:type="spellEnd"/>
      <w:r>
        <w:t>.</w:t>
      </w:r>
      <w:r w:rsidR="00F071E1">
        <w:t xml:space="preserve"> </w:t>
      </w:r>
      <w:r>
        <w:t>Given this, the study has a number of significant limitations to draw conclusions on efficacy.</w:t>
      </w:r>
      <w:r w:rsidR="00F071E1">
        <w:t xml:space="preserve"> </w:t>
      </w:r>
      <w:r>
        <w:t xml:space="preserve">However, the PK data in the younger population is consistent with the older population on methotrexate who had more robust data and the efficacy data using </w:t>
      </w:r>
      <w:proofErr w:type="spellStart"/>
      <w:r>
        <w:t>PedACR</w:t>
      </w:r>
      <w:proofErr w:type="spellEnd"/>
      <w:r>
        <w:t xml:space="preserve"> indicate a benefit for patients on adalimumab that was sustained.</w:t>
      </w:r>
      <w:r w:rsidR="00F071E1">
        <w:t xml:space="preserve"> </w:t>
      </w:r>
      <w:r>
        <w:t>This was also supported by an improvement in joint assessments, a reduction in VAS scores for physician global assessment of disease activity, parent’s global assessment of disease activity and parent</w:t>
      </w:r>
      <w:r w:rsidR="00974CDD">
        <w:t>’</w:t>
      </w:r>
      <w:r>
        <w:t>s assessment of pain, an improvement in quality of life and a reduction in CRP.</w:t>
      </w:r>
      <w:r w:rsidR="00F071E1">
        <w:t xml:space="preserve"> </w:t>
      </w:r>
      <w:r>
        <w:t>Thus the evidence is supportive for patients treated concomitantly with methotrexate.</w:t>
      </w:r>
      <w:r w:rsidR="00F071E1">
        <w:t xml:space="preserve"> </w:t>
      </w:r>
      <w:r>
        <w:t xml:space="preserve">For monotherapy use, </w:t>
      </w:r>
      <w:r w:rsidR="00974CDD">
        <w:t>that is,</w:t>
      </w:r>
      <w:r>
        <w:t xml:space="preserve"> without methotrexate, the data show a reduced adalimumab concentration exposure compared to the older children from the previous study, however there is high inter-subject variability (CV 113% in this study) and only 4 subjects in this study were not on methotrexate.</w:t>
      </w:r>
      <w:r w:rsidR="00F071E1">
        <w:t xml:space="preserve"> </w:t>
      </w:r>
      <w:r>
        <w:t xml:space="preserve">There is therefore very limited data in this subgroup but the efficacy information that was available suggested </w:t>
      </w:r>
      <w:r>
        <w:rPr>
          <w:rFonts w:asciiTheme="minorHAnsi" w:hAnsiTheme="minorHAnsi"/>
        </w:rPr>
        <w:t>an improvement in joint assessment, health and quality of life assessment</w:t>
      </w:r>
      <w:r>
        <w:t>.</w:t>
      </w:r>
      <w:r w:rsidR="00F071E1">
        <w:t xml:space="preserve"> </w:t>
      </w:r>
      <w:r>
        <w:t>On balance, despite the limitations of the data, and considering the difficulties in recruiting and designing such a study in paediatric patients and the supportive pharmacokinetic and efficacy data that is available, the data are acceptable to support the proposed efficacy in patients with or without concomitant methotrexate.</w:t>
      </w:r>
    </w:p>
    <w:p w:rsidR="00974CDD" w:rsidRDefault="00452AF0" w:rsidP="00A20FBF">
      <w:pPr>
        <w:pStyle w:val="Heading5"/>
      </w:pPr>
      <w:r w:rsidRPr="00A20FBF">
        <w:t>Safety</w:t>
      </w:r>
    </w:p>
    <w:p w:rsidR="00452AF0" w:rsidRDefault="00452AF0" w:rsidP="00A20FBF">
      <w:r>
        <w:t>The safety of adalimumab was assessed in the pivotal study with the majority of patients on concomitant methotrexate.</w:t>
      </w:r>
      <w:r w:rsidR="00F071E1">
        <w:t xml:space="preserve"> </w:t>
      </w:r>
      <w:r>
        <w:t xml:space="preserve">Although there is very little data on the safety in patients without methotrexate, it can be inferred that any risks are likely to be similar to or </w:t>
      </w:r>
      <w:r>
        <w:lastRenderedPageBreak/>
        <w:t>possibly less than treatment with methotrexate.</w:t>
      </w:r>
      <w:r w:rsidR="00F071E1">
        <w:t xml:space="preserve"> </w:t>
      </w:r>
      <w:r>
        <w:t>The safety profile is considered to be similar to the known safety profile in children aged 4 years and older and is therefore satisfactory.</w:t>
      </w:r>
      <w:r w:rsidR="00F071E1">
        <w:t xml:space="preserve"> </w:t>
      </w:r>
      <w:r>
        <w:t>There were no new or unexpected findings.</w:t>
      </w:r>
      <w:r w:rsidR="00F071E1">
        <w:t xml:space="preserve"> </w:t>
      </w:r>
      <w:r>
        <w:t>The majority of adverse events were infection or injection site related as expected.</w:t>
      </w:r>
      <w:r w:rsidR="00F071E1">
        <w:t xml:space="preserve"> </w:t>
      </w:r>
      <w:r>
        <w:t>The patient registry did not identify new or unexpected safety signals and it supports the overall safety of adalimumab for the proposed population.</w:t>
      </w:r>
    </w:p>
    <w:p w:rsidR="00974CDD" w:rsidRDefault="00452AF0" w:rsidP="00A20FBF">
      <w:pPr>
        <w:pStyle w:val="Heading5"/>
      </w:pPr>
      <w:r w:rsidRPr="00A20FBF">
        <w:t>Indication</w:t>
      </w:r>
    </w:p>
    <w:p w:rsidR="00452AF0" w:rsidRDefault="00452AF0" w:rsidP="00A20FBF">
      <w:r>
        <w:t>The currently approved indication and the proposed indication in Australia do not require that patients are to have had an inadequate response to one or more DMARDs, whereas the approved indication in Europe requires that patients are to have had an inadequate response to one or more DMARDs.</w:t>
      </w:r>
      <w:r w:rsidR="00F071E1">
        <w:t xml:space="preserve"> </w:t>
      </w:r>
      <w:r>
        <w:t xml:space="preserve">The clinical evaluator has not recommended this be included in the indication however it is noted that the approved indications for </w:t>
      </w:r>
      <w:proofErr w:type="spellStart"/>
      <w:r>
        <w:t>abatacept</w:t>
      </w:r>
      <w:proofErr w:type="spellEnd"/>
      <w:r>
        <w:t xml:space="preserve">, </w:t>
      </w:r>
      <w:proofErr w:type="spellStart"/>
      <w:r>
        <w:t>tocilizumab</w:t>
      </w:r>
      <w:proofErr w:type="spellEnd"/>
      <w:r>
        <w:t xml:space="preserve"> and </w:t>
      </w:r>
      <w:proofErr w:type="spellStart"/>
      <w:r>
        <w:t>etanercept</w:t>
      </w:r>
      <w:proofErr w:type="spellEnd"/>
      <w:r>
        <w:t xml:space="preserve"> for </w:t>
      </w:r>
      <w:proofErr w:type="spellStart"/>
      <w:r>
        <w:t>pJIA</w:t>
      </w:r>
      <w:proofErr w:type="spellEnd"/>
      <w:r>
        <w:t xml:space="preserve"> all require that patients have had an inadequate response to one or more DMARDs or methotrexate</w:t>
      </w:r>
      <w:r w:rsidRPr="00C068A4">
        <w:t>.</w:t>
      </w:r>
      <w:r w:rsidR="00F071E1" w:rsidRPr="00C068A4">
        <w:t xml:space="preserve"> </w:t>
      </w:r>
      <w:r w:rsidRPr="00C068A4">
        <w:t xml:space="preserve">The submitted study required patients in Europe to have </w:t>
      </w:r>
      <w:r w:rsidRPr="00B23514">
        <w:rPr>
          <w:lang w:val="en-US"/>
        </w:rPr>
        <w:t xml:space="preserve">previously failed, had an insufficient response to, or been intolerant to </w:t>
      </w:r>
      <w:r w:rsidR="00974CDD" w:rsidRPr="00B23514">
        <w:rPr>
          <w:lang w:val="en-US"/>
        </w:rPr>
        <w:t>≥</w:t>
      </w:r>
      <w:r w:rsidR="00237330" w:rsidRPr="00B23514">
        <w:rPr>
          <w:lang w:val="en-US"/>
        </w:rPr>
        <w:t xml:space="preserve"> </w:t>
      </w:r>
      <w:r w:rsidRPr="00B23514">
        <w:rPr>
          <w:lang w:val="en-US"/>
        </w:rPr>
        <w:t>1 DMARD but this was not a requirement for non-EU subjects.</w:t>
      </w:r>
      <w:r w:rsidR="00F071E1" w:rsidRPr="00B23514">
        <w:rPr>
          <w:lang w:val="en-US"/>
        </w:rPr>
        <w:t xml:space="preserve"> </w:t>
      </w:r>
      <w:r w:rsidRPr="00B23514">
        <w:rPr>
          <w:lang w:val="en-US"/>
        </w:rPr>
        <w:t>All subjects in the EU met this requirement and 7 subjects (22%) did not meet this requirement who were from the USA.</w:t>
      </w:r>
      <w:r w:rsidR="00F071E1" w:rsidRPr="00B23514">
        <w:rPr>
          <w:lang w:val="en-US"/>
        </w:rPr>
        <w:t xml:space="preserve"> </w:t>
      </w:r>
      <w:r w:rsidRPr="00B23514">
        <w:rPr>
          <w:lang w:val="en-US"/>
        </w:rPr>
        <w:t xml:space="preserve">Given the current approval and ACPM’s previous advice for </w:t>
      </w:r>
      <w:proofErr w:type="spellStart"/>
      <w:r w:rsidRPr="00B23514">
        <w:rPr>
          <w:lang w:val="en-US"/>
        </w:rPr>
        <w:t>pJIA</w:t>
      </w:r>
      <w:proofErr w:type="spellEnd"/>
      <w:r w:rsidRPr="00B23514">
        <w:rPr>
          <w:lang w:val="en-US"/>
        </w:rPr>
        <w:t xml:space="preserve"> patients 4 years and older not requiring them to have failed a DMARD and that the</w:t>
      </w:r>
      <w:r>
        <w:rPr>
          <w:lang w:val="en-US"/>
        </w:rPr>
        <w:t xml:space="preserve"> data included patients who did and did not meet this requirement then it appears reasonable to not include this into the indication.</w:t>
      </w:r>
    </w:p>
    <w:p w:rsidR="00974CDD" w:rsidRDefault="00452AF0" w:rsidP="00A20FBF">
      <w:pPr>
        <w:pStyle w:val="Heading5"/>
      </w:pPr>
      <w:r w:rsidRPr="00A20FBF">
        <w:t>Dosage</w:t>
      </w:r>
    </w:p>
    <w:p w:rsidR="00452AF0" w:rsidRDefault="00452AF0" w:rsidP="00974CDD">
      <w:r>
        <w:t>The pivotal study used a body surface area approach to dosing using heights and weights which the sponsor has justified that the preferred dosing approach for the PI should be a simplified regimen based on body weight alone.</w:t>
      </w:r>
      <w:r w:rsidR="00F071E1">
        <w:t xml:space="preserve"> </w:t>
      </w:r>
      <w:r>
        <w:t xml:space="preserve">The sponsor initially proposed two dose categories for </w:t>
      </w:r>
      <w:proofErr w:type="spellStart"/>
      <w:r>
        <w:t>pJIA</w:t>
      </w:r>
      <w:proofErr w:type="spellEnd"/>
      <w:r>
        <w:t xml:space="preserve"> patients 2</w:t>
      </w:r>
      <w:r w:rsidR="00974CDD">
        <w:t xml:space="preserve"> to </w:t>
      </w:r>
      <w:r>
        <w:t xml:space="preserve">4 years for those patients weighing </w:t>
      </w:r>
      <w:r>
        <w:rPr>
          <w:rFonts w:asciiTheme="minorHAnsi" w:eastAsiaTheme="minorHAnsi" w:hAnsiTheme="minorHAnsi" w:cs="ArialMT"/>
          <w:szCs w:val="24"/>
        </w:rPr>
        <w:t>10 to &lt;12</w:t>
      </w:r>
      <w:r w:rsidR="00974CDD">
        <w:rPr>
          <w:rFonts w:asciiTheme="minorHAnsi" w:eastAsiaTheme="minorHAnsi" w:hAnsiTheme="minorHAnsi" w:cs="ArialMT"/>
          <w:szCs w:val="24"/>
        </w:rPr>
        <w:t xml:space="preserve"> </w:t>
      </w:r>
      <w:r>
        <w:rPr>
          <w:rFonts w:asciiTheme="minorHAnsi" w:eastAsiaTheme="minorHAnsi" w:hAnsiTheme="minorHAnsi" w:cs="ArialMT"/>
          <w:szCs w:val="24"/>
        </w:rPr>
        <w:t>kg of 10</w:t>
      </w:r>
      <w:r w:rsidR="00974CDD">
        <w:rPr>
          <w:rFonts w:asciiTheme="minorHAnsi" w:eastAsiaTheme="minorHAnsi" w:hAnsiTheme="minorHAnsi" w:cs="ArialMT"/>
          <w:szCs w:val="24"/>
        </w:rPr>
        <w:t xml:space="preserve"> </w:t>
      </w:r>
      <w:r>
        <w:rPr>
          <w:rFonts w:asciiTheme="minorHAnsi" w:eastAsiaTheme="minorHAnsi" w:hAnsiTheme="minorHAnsi" w:cs="ArialMT"/>
          <w:szCs w:val="24"/>
        </w:rPr>
        <w:t>mg fortnightly and patients weighing 12 to &lt;15</w:t>
      </w:r>
      <w:r w:rsidR="00974CDD">
        <w:rPr>
          <w:rFonts w:asciiTheme="minorHAnsi" w:eastAsiaTheme="minorHAnsi" w:hAnsiTheme="minorHAnsi" w:cs="ArialMT"/>
          <w:szCs w:val="24"/>
        </w:rPr>
        <w:t xml:space="preserve"> </w:t>
      </w:r>
      <w:r>
        <w:rPr>
          <w:rFonts w:asciiTheme="minorHAnsi" w:eastAsiaTheme="minorHAnsi" w:hAnsiTheme="minorHAnsi" w:cs="ArialMT"/>
          <w:szCs w:val="24"/>
        </w:rPr>
        <w:t>kg of 15</w:t>
      </w:r>
      <w:r w:rsidR="00974CDD">
        <w:rPr>
          <w:rFonts w:asciiTheme="minorHAnsi" w:eastAsiaTheme="minorHAnsi" w:hAnsiTheme="minorHAnsi" w:cs="ArialMT"/>
          <w:szCs w:val="24"/>
        </w:rPr>
        <w:t xml:space="preserve"> </w:t>
      </w:r>
      <w:r>
        <w:rPr>
          <w:rFonts w:asciiTheme="minorHAnsi" w:eastAsiaTheme="minorHAnsi" w:hAnsiTheme="minorHAnsi" w:cs="ArialMT"/>
          <w:szCs w:val="24"/>
        </w:rPr>
        <w:t>mg fortnightly</w:t>
      </w:r>
      <w:r>
        <w:t xml:space="preserve"> but amended this during the evaluation to a single dose covering the weight range of 10 to &lt;15</w:t>
      </w:r>
      <w:r w:rsidR="00974CDD">
        <w:t xml:space="preserve"> </w:t>
      </w:r>
      <w:r>
        <w:t>kg of 10</w:t>
      </w:r>
      <w:r w:rsidR="00974CDD">
        <w:t xml:space="preserve"> </w:t>
      </w:r>
      <w:r>
        <w:t>mg fortnightly.</w:t>
      </w:r>
      <w:r w:rsidR="00F071E1">
        <w:t xml:space="preserve"> </w:t>
      </w:r>
      <w:r>
        <w:t>The sponsor designed a non-linear population PK model, consistent with TGA adopted guidelines, to simulate adalimumab exposure from the BSA approach to a weight based approach and showed that adalimumab concentrations under the weight based approach using 10</w:t>
      </w:r>
      <w:r w:rsidR="00974CDD">
        <w:t xml:space="preserve"> </w:t>
      </w:r>
      <w:r>
        <w:t>mg for weight &lt;10</w:t>
      </w:r>
      <w:r w:rsidR="00974CDD">
        <w:t xml:space="preserve"> </w:t>
      </w:r>
      <w:r>
        <w:t>kg or 20</w:t>
      </w:r>
      <w:r w:rsidR="00974CDD">
        <w:t xml:space="preserve"> </w:t>
      </w:r>
      <w:r>
        <w:t xml:space="preserve">mg for weight </w:t>
      </w:r>
      <w:r w:rsidR="00974CDD">
        <w:rPr>
          <w:lang w:val="en-US"/>
        </w:rPr>
        <w:t>≥ </w:t>
      </w:r>
      <w:r>
        <w:t>15</w:t>
      </w:r>
      <w:r w:rsidR="00974CDD">
        <w:t xml:space="preserve"> </w:t>
      </w:r>
      <w:r>
        <w:t>kg substantially overlapped with concentrations from 15mg based on BSA (see figure below).</w:t>
      </w:r>
      <w:r w:rsidR="00F071E1">
        <w:t xml:space="preserve"> </w:t>
      </w:r>
      <w:r>
        <w:rPr>
          <w:lang w:val="en-US"/>
        </w:rPr>
        <w:t>For patients who would receive 10 mg fortnightly under the proposed dosing instead of 15 mg fortnightly, the exposure is expected to be approximately 30% lower, as opposed to approximately 20% higher for patients who would receive 20 mg adalimumab fortnightly instead of 15 mg fortnightly.</w:t>
      </w:r>
      <w:r w:rsidR="00F071E1">
        <w:rPr>
          <w:lang w:val="en-US"/>
        </w:rPr>
        <w:t xml:space="preserve"> </w:t>
      </w:r>
      <w:r>
        <w:rPr>
          <w:lang w:val="en-US"/>
        </w:rPr>
        <w:t>A 10</w:t>
      </w:r>
      <w:r w:rsidR="00974CDD">
        <w:rPr>
          <w:lang w:val="en-US"/>
        </w:rPr>
        <w:t xml:space="preserve"> </w:t>
      </w:r>
      <w:r>
        <w:rPr>
          <w:lang w:val="en-US"/>
        </w:rPr>
        <w:t>mg dose is therefore expected to provide sufficient exposure to achieve a clinical response while maintaining a positive benefit-risk profile for patients weighing 10</w:t>
      </w:r>
      <w:r w:rsidR="00974CDD">
        <w:rPr>
          <w:lang w:val="en-US"/>
        </w:rPr>
        <w:t xml:space="preserve"> </w:t>
      </w:r>
      <w:r>
        <w:rPr>
          <w:lang w:val="en-US"/>
        </w:rPr>
        <w:t>kg to &lt; 15</w:t>
      </w:r>
      <w:r w:rsidR="00974CDD">
        <w:rPr>
          <w:lang w:val="en-US"/>
        </w:rPr>
        <w:t xml:space="preserve"> </w:t>
      </w:r>
      <w:r>
        <w:rPr>
          <w:lang w:val="en-US"/>
        </w:rPr>
        <w:t>kg</w:t>
      </w:r>
      <w:r>
        <w:t>.</w:t>
      </w:r>
      <w:r w:rsidR="00F071E1">
        <w:t xml:space="preserve"> </w:t>
      </w:r>
      <w:r>
        <w:t xml:space="preserve">However, </w:t>
      </w:r>
      <w:r>
        <w:rPr>
          <w:lang w:val="en-US"/>
        </w:rPr>
        <w:t>9 of the 31 subjects in Study M10-444 who received 15</w:t>
      </w:r>
      <w:r w:rsidR="00974CDD">
        <w:rPr>
          <w:lang w:val="en-US"/>
        </w:rPr>
        <w:t xml:space="preserve"> </w:t>
      </w:r>
      <w:r>
        <w:rPr>
          <w:lang w:val="en-US"/>
        </w:rPr>
        <w:t>mg of adalimumab based on BSA would be dosed with 20</w:t>
      </w:r>
      <w:r w:rsidR="00974CDD">
        <w:rPr>
          <w:lang w:val="en-US"/>
        </w:rPr>
        <w:t xml:space="preserve"> </w:t>
      </w:r>
      <w:r>
        <w:rPr>
          <w:lang w:val="en-US"/>
        </w:rPr>
        <w:t>mg from Week 12.</w:t>
      </w:r>
      <w:r w:rsidR="00F071E1">
        <w:rPr>
          <w:lang w:val="en-US"/>
        </w:rPr>
        <w:t xml:space="preserve"> </w:t>
      </w:r>
      <w:r>
        <w:rPr>
          <w:lang w:val="en-US"/>
        </w:rPr>
        <w:t xml:space="preserve">The sponsor stated that this was not expected to pose an increased safety risk due to no relationship seen between adalimumab exposure and infectious events in both </w:t>
      </w:r>
      <w:proofErr w:type="spellStart"/>
      <w:r>
        <w:rPr>
          <w:lang w:val="en-US"/>
        </w:rPr>
        <w:t>pJIA</w:t>
      </w:r>
      <w:proofErr w:type="spellEnd"/>
      <w:r>
        <w:rPr>
          <w:lang w:val="en-US"/>
        </w:rPr>
        <w:t xml:space="preserve"> studies.</w:t>
      </w:r>
      <w:r w:rsidR="00F071E1">
        <w:rPr>
          <w:lang w:val="en-US"/>
        </w:rPr>
        <w:t xml:space="preserve"> </w:t>
      </w:r>
      <w:r>
        <w:t>This simplified dosage regimen was supported by the clinical evaluator and is consistent with that approved in the USA.</w:t>
      </w:r>
    </w:p>
    <w:p w:rsidR="00452AF0" w:rsidRDefault="00452AF0" w:rsidP="00A20FBF">
      <w:pPr>
        <w:pStyle w:val="FigureTitle"/>
        <w:rPr>
          <w:lang w:val="en-US"/>
        </w:rPr>
      </w:pPr>
      <w:r>
        <w:rPr>
          <w:lang w:val="en-US"/>
        </w:rPr>
        <w:lastRenderedPageBreak/>
        <w:t xml:space="preserve">Figure </w:t>
      </w:r>
      <w:r w:rsidR="00974CDD">
        <w:rPr>
          <w:lang w:val="en-US"/>
        </w:rPr>
        <w:t xml:space="preserve">1: </w:t>
      </w:r>
      <w:r>
        <w:rPr>
          <w:lang w:val="en-US"/>
        </w:rPr>
        <w:t xml:space="preserve">RD2.1 - PK M&amp;S - Comparison of simulated week 24 </w:t>
      </w:r>
      <w:proofErr w:type="spellStart"/>
      <w:r>
        <w:rPr>
          <w:lang w:val="en-US"/>
        </w:rPr>
        <w:t>adalimumab</w:t>
      </w:r>
      <w:proofErr w:type="spellEnd"/>
      <w:r>
        <w:rPr>
          <w:lang w:val="en-US"/>
        </w:rPr>
        <w:t xml:space="preserve"> trough concentrations (µg/mL) for </w:t>
      </w:r>
      <w:proofErr w:type="spellStart"/>
      <w:r>
        <w:rPr>
          <w:lang w:val="en-US"/>
        </w:rPr>
        <w:t>pJIA</w:t>
      </w:r>
      <w:proofErr w:type="spellEnd"/>
      <w:r>
        <w:rPr>
          <w:lang w:val="en-US"/>
        </w:rPr>
        <w:t xml:space="preserve"> </w:t>
      </w:r>
      <w:r w:rsidRPr="00A20FBF">
        <w:t>patients</w:t>
      </w:r>
      <w:r>
        <w:rPr>
          <w:lang w:val="en-US"/>
        </w:rPr>
        <w:t xml:space="preserve"> who were dosed with either </w:t>
      </w:r>
      <w:proofErr w:type="spellStart"/>
      <w:r>
        <w:rPr>
          <w:lang w:val="en-US"/>
        </w:rPr>
        <w:t>adalimumab</w:t>
      </w:r>
      <w:proofErr w:type="spellEnd"/>
      <w:r>
        <w:rPr>
          <w:lang w:val="en-US"/>
        </w:rPr>
        <w:t xml:space="preserve"> 15 mg fortnightly based on BSA or 10 mg or 20 mg fortnightly based on body weight (kg). </w:t>
      </w:r>
    </w:p>
    <w:p w:rsidR="00452AF0" w:rsidRDefault="00452AF0" w:rsidP="00A20FBF">
      <w:pPr>
        <w:rPr>
          <w:b/>
        </w:rPr>
      </w:pPr>
      <w:r>
        <w:rPr>
          <w:noProof/>
          <w:lang w:eastAsia="en-AU"/>
        </w:rPr>
        <w:drawing>
          <wp:inline distT="0" distB="0" distL="0" distR="0" wp14:anchorId="798CF068" wp14:editId="2EEFB37A">
            <wp:extent cx="3275351" cy="2458260"/>
            <wp:effectExtent l="0" t="0" r="1270" b="0"/>
            <wp:docPr id="3" name="Picture 3" descr="Figure 1: RD2.1 - PK M&amp;S - Comparison of simulated week 24 adalimumab trough concentrations (µg/mL) for pJIA patients who were dosed with either adalimumab 15 mg fortnightly based on BSA or 10 mg or 20 mg fortnightly based on body weight (k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a:lum bright="-20000" contrast="40000"/>
                      <a:extLst>
                        <a:ext uri="{28A0092B-C50C-407E-A947-70E740481C1C}">
                          <a14:useLocalDpi xmlns:a14="http://schemas.microsoft.com/office/drawing/2010/main" val="0"/>
                        </a:ext>
                      </a:extLst>
                    </a:blip>
                    <a:srcRect l="1845" t="1361" r="2041" b="2725"/>
                    <a:stretch/>
                  </pic:blipFill>
                  <pic:spPr bwMode="auto">
                    <a:xfrm>
                      <a:off x="0" y="0"/>
                      <a:ext cx="3275444" cy="2458330"/>
                    </a:xfrm>
                    <a:prstGeom prst="rect">
                      <a:avLst/>
                    </a:prstGeom>
                    <a:noFill/>
                    <a:ln>
                      <a:noFill/>
                    </a:ln>
                    <a:extLst>
                      <a:ext uri="{53640926-AAD7-44D8-BBD7-CCE9431645EC}">
                        <a14:shadowObscured xmlns:a14="http://schemas.microsoft.com/office/drawing/2010/main"/>
                      </a:ext>
                    </a:extLst>
                  </pic:spPr>
                </pic:pic>
              </a:graphicData>
            </a:graphic>
          </wp:inline>
        </w:drawing>
      </w:r>
    </w:p>
    <w:p w:rsidR="00452AF0" w:rsidRDefault="00452AF0" w:rsidP="00A20FBF">
      <w:r>
        <w:t>In Europe, the dose in patients aged 2</w:t>
      </w:r>
      <w:r w:rsidR="00974CDD">
        <w:t xml:space="preserve"> to </w:t>
      </w:r>
      <w:r>
        <w:t>12 years is 24</w:t>
      </w:r>
      <w:r w:rsidR="00974CDD">
        <w:t xml:space="preserve"> </w:t>
      </w:r>
      <w:r>
        <w:t>mg/m</w:t>
      </w:r>
      <w:r>
        <w:rPr>
          <w:vertAlign w:val="superscript"/>
        </w:rPr>
        <w:t>2</w:t>
      </w:r>
      <w:r>
        <w:t xml:space="preserve"> </w:t>
      </w:r>
      <w:r w:rsidR="00974CDD">
        <w:t>BSA</w:t>
      </w:r>
      <w:r>
        <w:t xml:space="preserve"> up to a maximum of 20</w:t>
      </w:r>
      <w:r w:rsidR="00974CDD">
        <w:t xml:space="preserve"> </w:t>
      </w:r>
      <w:r>
        <w:t>mg fortnightly for patients 2</w:t>
      </w:r>
      <w:r w:rsidR="00974CDD">
        <w:t xml:space="preserve"> to </w:t>
      </w:r>
      <w:r>
        <w:t>&lt;4 years and up to a maximum 40</w:t>
      </w:r>
      <w:r w:rsidR="00974CDD">
        <w:t xml:space="preserve"> </w:t>
      </w:r>
      <w:r>
        <w:t>mg fortnightly for patients aged 4</w:t>
      </w:r>
      <w:r w:rsidR="00974CDD">
        <w:t xml:space="preserve"> to </w:t>
      </w:r>
      <w:r>
        <w:t>12 years.</w:t>
      </w:r>
      <w:r w:rsidR="00F071E1">
        <w:t xml:space="preserve"> </w:t>
      </w:r>
      <w:r>
        <w:t>For patients 13 years and older, the dose is 40</w:t>
      </w:r>
      <w:r w:rsidR="00974CDD">
        <w:t xml:space="preserve"> </w:t>
      </w:r>
      <w:r>
        <w:t>mg fortnightly.</w:t>
      </w:r>
      <w:r w:rsidR="00F071E1">
        <w:t xml:space="preserve"> </w:t>
      </w:r>
      <w:r>
        <w:t>A dosage table is provided in Europe that includes body weight and height for patients 2</w:t>
      </w:r>
      <w:r w:rsidR="00974CDD">
        <w:t xml:space="preserve"> to </w:t>
      </w:r>
      <w:r>
        <w:t>12 years (see below) which includes more specific dosing instructions.</w:t>
      </w:r>
      <w:r w:rsidR="00F071E1">
        <w:t xml:space="preserve"> </w:t>
      </w:r>
      <w:r>
        <w:t>The proposed Australian dosing is also provided for comparison.</w:t>
      </w:r>
      <w:r w:rsidR="00F071E1">
        <w:t xml:space="preserve"> </w:t>
      </w:r>
      <w:r>
        <w:t xml:space="preserve">The body surface area approach is consistent with the clinical trial’s design however adalimumab in Australia has been approved with a dosage regimen based on body weight alone for </w:t>
      </w:r>
      <w:proofErr w:type="spellStart"/>
      <w:r>
        <w:t>pJIA</w:t>
      </w:r>
      <w:proofErr w:type="spellEnd"/>
      <w:r>
        <w:t xml:space="preserve"> patients aged 4 years and older since 2009, which was supported by ACPM at the time.</w:t>
      </w:r>
      <w:r w:rsidR="00F071E1">
        <w:t xml:space="preserve"> </w:t>
      </w:r>
      <w:r>
        <w:t>Given the PK modelling data and the current dosing approach, the delegate supports the sponsor’s proposed dosage based on body weight for patients aged 2 years and older, consistent with that approved in the USA.</w:t>
      </w:r>
      <w:r w:rsidR="00F071E1">
        <w:t xml:space="preserve"> </w:t>
      </w:r>
      <w:r>
        <w:t>ACPM’s advice is requested on whether the European approach is more appropriate.</w:t>
      </w:r>
    </w:p>
    <w:p w:rsidR="00452AF0" w:rsidRDefault="00974CDD" w:rsidP="006E548F">
      <w:pPr>
        <w:pStyle w:val="TableTitle"/>
        <w:pageBreakBefore/>
      </w:pPr>
      <w:proofErr w:type="gramStart"/>
      <w:r>
        <w:lastRenderedPageBreak/>
        <w:t xml:space="preserve">Table </w:t>
      </w:r>
      <w:r w:rsidR="00237330">
        <w:t>11</w:t>
      </w:r>
      <w:r>
        <w:t xml:space="preserve">: </w:t>
      </w:r>
      <w:r w:rsidR="00452AF0">
        <w:t xml:space="preserve">EU </w:t>
      </w:r>
      <w:proofErr w:type="spellStart"/>
      <w:r w:rsidR="00452AF0">
        <w:t>S</w:t>
      </w:r>
      <w:r w:rsidR="00F42EBF">
        <w:t>m</w:t>
      </w:r>
      <w:r w:rsidR="00452AF0">
        <w:t>PC</w:t>
      </w:r>
      <w:proofErr w:type="spellEnd"/>
      <w:r w:rsidR="00452AF0">
        <w:t xml:space="preserve"> for </w:t>
      </w:r>
      <w:proofErr w:type="spellStart"/>
      <w:r w:rsidR="00452AF0">
        <w:t>Humira</w:t>
      </w:r>
      <w:proofErr w:type="spellEnd"/>
      <w:r w:rsidR="00452AF0">
        <w:t xml:space="preserve">, </w:t>
      </w:r>
      <w:proofErr w:type="spellStart"/>
      <w:r w:rsidR="00452AF0">
        <w:t>pJIA</w:t>
      </w:r>
      <w:proofErr w:type="spellEnd"/>
      <w:r w:rsidR="00452AF0">
        <w:t xml:space="preserve"> </w:t>
      </w:r>
      <w:r w:rsidR="00452AF0" w:rsidRPr="00A20FBF">
        <w:t>age</w:t>
      </w:r>
      <w:r w:rsidR="00452AF0">
        <w:t xml:space="preserve"> 2</w:t>
      </w:r>
      <w:r w:rsidR="00CE5241">
        <w:t xml:space="preserve"> to </w:t>
      </w:r>
      <w:r w:rsidR="00452AF0">
        <w:t>12 years</w:t>
      </w:r>
      <w:r w:rsidR="00F42EBF">
        <w:t>.</w:t>
      </w:r>
      <w:proofErr w:type="gramEnd"/>
      <w:r w:rsidR="00452AF0">
        <w:rPr>
          <w:spacing w:val="23"/>
        </w:rPr>
        <w:t xml:space="preserve"> </w:t>
      </w:r>
      <w:proofErr w:type="spellStart"/>
      <w:r w:rsidR="00452AF0">
        <w:rPr>
          <w:spacing w:val="-2"/>
        </w:rPr>
        <w:t>Humira</w:t>
      </w:r>
      <w:proofErr w:type="spellEnd"/>
      <w:r w:rsidR="00452AF0">
        <w:rPr>
          <w:spacing w:val="15"/>
        </w:rPr>
        <w:t xml:space="preserve"> </w:t>
      </w:r>
      <w:r w:rsidR="00452AF0" w:rsidRPr="00A20FBF">
        <w:t>Dose</w:t>
      </w:r>
      <w:r w:rsidR="00452AF0">
        <w:rPr>
          <w:spacing w:val="27"/>
        </w:rPr>
        <w:t xml:space="preserve"> </w:t>
      </w:r>
      <w:r w:rsidR="00452AF0">
        <w:t>in</w:t>
      </w:r>
      <w:r w:rsidR="00452AF0">
        <w:rPr>
          <w:spacing w:val="18"/>
        </w:rPr>
        <w:t xml:space="preserve"> </w:t>
      </w:r>
      <w:r w:rsidR="00452AF0">
        <w:rPr>
          <w:spacing w:val="-1"/>
        </w:rPr>
        <w:t>Millilitres</w:t>
      </w:r>
      <w:r w:rsidR="00452AF0">
        <w:rPr>
          <w:spacing w:val="24"/>
        </w:rPr>
        <w:t xml:space="preserve"> </w:t>
      </w:r>
      <w:r w:rsidR="00452AF0">
        <w:rPr>
          <w:spacing w:val="1"/>
        </w:rPr>
        <w:t>(m</w:t>
      </w:r>
      <w:r w:rsidR="00CE5241">
        <w:rPr>
          <w:spacing w:val="1"/>
        </w:rPr>
        <w:t>L</w:t>
      </w:r>
      <w:r w:rsidR="00452AF0">
        <w:rPr>
          <w:spacing w:val="1"/>
        </w:rPr>
        <w:t>)</w:t>
      </w:r>
      <w:r w:rsidR="00452AF0">
        <w:rPr>
          <w:spacing w:val="20"/>
        </w:rPr>
        <w:t xml:space="preserve"> </w:t>
      </w:r>
      <w:r w:rsidR="00452AF0">
        <w:t>by</w:t>
      </w:r>
      <w:r w:rsidR="00452AF0">
        <w:rPr>
          <w:spacing w:val="14"/>
        </w:rPr>
        <w:t xml:space="preserve"> </w:t>
      </w:r>
      <w:r w:rsidR="00452AF0">
        <w:t>Height</w:t>
      </w:r>
      <w:r w:rsidR="00452AF0">
        <w:rPr>
          <w:spacing w:val="20"/>
        </w:rPr>
        <w:t xml:space="preserve"> </w:t>
      </w:r>
      <w:r w:rsidR="00452AF0">
        <w:rPr>
          <w:spacing w:val="1"/>
        </w:rPr>
        <w:t>and</w:t>
      </w:r>
      <w:r w:rsidR="00452AF0">
        <w:t xml:space="preserve"> </w:t>
      </w:r>
      <w:r w:rsidR="00452AF0">
        <w:rPr>
          <w:spacing w:val="1"/>
        </w:rPr>
        <w:t>Weight</w:t>
      </w:r>
      <w:r w:rsidR="00452AF0">
        <w:rPr>
          <w:spacing w:val="20"/>
        </w:rPr>
        <w:t xml:space="preserve"> </w:t>
      </w:r>
      <w:r w:rsidR="00452AF0">
        <w:t xml:space="preserve">of </w:t>
      </w:r>
      <w:r w:rsidR="00452AF0">
        <w:rPr>
          <w:spacing w:val="1"/>
        </w:rPr>
        <w:t>Patients</w:t>
      </w:r>
      <w:r w:rsidR="00452AF0">
        <w:rPr>
          <w:spacing w:val="33"/>
        </w:rPr>
        <w:t xml:space="preserve"> </w:t>
      </w:r>
      <w:r w:rsidR="00452AF0">
        <w:rPr>
          <w:spacing w:val="1"/>
        </w:rPr>
        <w:t>for</w:t>
      </w:r>
      <w:r w:rsidR="00452AF0">
        <w:rPr>
          <w:spacing w:val="17"/>
        </w:rPr>
        <w:t xml:space="preserve"> </w:t>
      </w:r>
      <w:proofErr w:type="spellStart"/>
      <w:r w:rsidR="00452AF0">
        <w:rPr>
          <w:spacing w:val="-1"/>
        </w:rPr>
        <w:t>pJIA</w:t>
      </w:r>
      <w:proofErr w:type="spellEnd"/>
      <w:r w:rsidR="00452AF0">
        <w:rPr>
          <w:spacing w:val="32"/>
        </w:rPr>
        <w:t xml:space="preserve"> </w:t>
      </w:r>
      <w:r w:rsidR="00452AF0">
        <w:rPr>
          <w:spacing w:val="1"/>
        </w:rPr>
        <w:t>and</w:t>
      </w:r>
      <w:r w:rsidR="00452AF0">
        <w:rPr>
          <w:spacing w:val="7"/>
        </w:rPr>
        <w:t xml:space="preserve"> </w:t>
      </w:r>
      <w:proofErr w:type="spellStart"/>
      <w:r w:rsidR="00452AF0">
        <w:rPr>
          <w:spacing w:val="-22"/>
        </w:rPr>
        <w:t>E</w:t>
      </w:r>
      <w:r w:rsidR="00452AF0">
        <w:rPr>
          <w:spacing w:val="2"/>
        </w:rPr>
        <w:t>n</w:t>
      </w:r>
      <w:r w:rsidR="00452AF0">
        <w:rPr>
          <w:spacing w:val="4"/>
        </w:rPr>
        <w:t>t</w:t>
      </w:r>
      <w:r w:rsidR="00452AF0">
        <w:rPr>
          <w:spacing w:val="2"/>
        </w:rPr>
        <w:t>h</w:t>
      </w:r>
      <w:r w:rsidR="00452AF0">
        <w:rPr>
          <w:spacing w:val="11"/>
        </w:rPr>
        <w:t>e</w:t>
      </w:r>
      <w:r w:rsidR="00452AF0">
        <w:rPr>
          <w:spacing w:val="7"/>
        </w:rPr>
        <w:t>s</w:t>
      </w:r>
      <w:r w:rsidR="00452AF0">
        <w:rPr>
          <w:spacing w:val="1"/>
        </w:rPr>
        <w:t>i</w:t>
      </w:r>
      <w:r w:rsidR="00452AF0">
        <w:rPr>
          <w:spacing w:val="4"/>
        </w:rPr>
        <w:t>t</w:t>
      </w:r>
      <w:r w:rsidR="00452AF0">
        <w:rPr>
          <w:spacing w:val="1"/>
        </w:rPr>
        <w:t>i</w:t>
      </w:r>
      <w:r w:rsidR="00452AF0">
        <w:rPr>
          <w:spacing w:val="7"/>
        </w:rPr>
        <w:t>s</w:t>
      </w:r>
      <w:proofErr w:type="spellEnd"/>
      <w:r w:rsidR="00452AF0">
        <w:rPr>
          <w:spacing w:val="4"/>
        </w:rPr>
        <w:t>- r</w:t>
      </w:r>
      <w:r w:rsidR="00452AF0">
        <w:rPr>
          <w:spacing w:val="11"/>
        </w:rPr>
        <w:t>e</w:t>
      </w:r>
      <w:r w:rsidR="00452AF0">
        <w:rPr>
          <w:spacing w:val="1"/>
        </w:rPr>
        <w:t>l</w:t>
      </w:r>
      <w:r w:rsidR="00452AF0">
        <w:t>a</w:t>
      </w:r>
      <w:r w:rsidR="00452AF0">
        <w:rPr>
          <w:spacing w:val="4"/>
        </w:rPr>
        <w:t>t</w:t>
      </w:r>
      <w:r w:rsidR="00452AF0">
        <w:rPr>
          <w:spacing w:val="11"/>
        </w:rPr>
        <w:t>e</w:t>
      </w:r>
      <w:r w:rsidR="00452AF0">
        <w:t>d</w:t>
      </w:r>
      <w:r w:rsidR="00452AF0">
        <w:rPr>
          <w:spacing w:val="6"/>
        </w:rPr>
        <w:t xml:space="preserve"> </w:t>
      </w:r>
      <w:r w:rsidR="00452AF0">
        <w:t>Arthritis</w:t>
      </w:r>
    </w:p>
    <w:tbl>
      <w:tblPr>
        <w:tblStyle w:val="TableTGAblue1"/>
        <w:tblW w:w="8657" w:type="dxa"/>
        <w:tblInd w:w="0" w:type="dxa"/>
        <w:tblLayout w:type="fixed"/>
        <w:tblLook w:val="04A0" w:firstRow="1" w:lastRow="0" w:firstColumn="1" w:lastColumn="0" w:noHBand="0" w:noVBand="1"/>
      </w:tblPr>
      <w:tblGrid>
        <w:gridCol w:w="791"/>
        <w:gridCol w:w="597"/>
        <w:gridCol w:w="597"/>
        <w:gridCol w:w="582"/>
        <w:gridCol w:w="597"/>
        <w:gridCol w:w="582"/>
        <w:gridCol w:w="597"/>
        <w:gridCol w:w="582"/>
        <w:gridCol w:w="627"/>
        <w:gridCol w:w="612"/>
        <w:gridCol w:w="627"/>
        <w:gridCol w:w="627"/>
        <w:gridCol w:w="612"/>
        <w:gridCol w:w="627"/>
      </w:tblGrid>
      <w:tr w:rsidR="006E548F" w:rsidRPr="006E548F" w:rsidTr="006E548F">
        <w:trPr>
          <w:cnfStyle w:val="100000000000" w:firstRow="1" w:lastRow="0" w:firstColumn="0" w:lastColumn="0" w:oddVBand="0" w:evenVBand="0" w:oddHBand="0" w:evenHBand="0" w:firstRowFirstColumn="0" w:firstRowLastColumn="0" w:lastRowFirstColumn="0" w:lastRowLastColumn="0"/>
          <w:trHeight w:hRule="exact" w:val="408"/>
          <w:tblHeader/>
        </w:trPr>
        <w:tc>
          <w:tcPr>
            <w:tcW w:w="791" w:type="dxa"/>
            <w:vMerge w:val="restart"/>
            <w:hideMark/>
          </w:tcPr>
          <w:p w:rsidR="006E548F" w:rsidRPr="006E548F" w:rsidRDefault="006E548F" w:rsidP="006A6EFF">
            <w:pPr>
              <w:rPr>
                <w:sz w:val="18"/>
                <w:szCs w:val="18"/>
              </w:rPr>
            </w:pPr>
            <w:r w:rsidRPr="006E548F">
              <w:rPr>
                <w:w w:val="95"/>
                <w:sz w:val="18"/>
                <w:szCs w:val="18"/>
              </w:rPr>
              <w:t>Height</w:t>
            </w:r>
            <w:r w:rsidRPr="006E548F">
              <w:rPr>
                <w:spacing w:val="20"/>
                <w:w w:val="99"/>
                <w:sz w:val="18"/>
                <w:szCs w:val="18"/>
              </w:rPr>
              <w:t xml:space="preserve"> </w:t>
            </w:r>
            <w:r w:rsidRPr="006E548F">
              <w:rPr>
                <w:spacing w:val="-8"/>
                <w:sz w:val="18"/>
                <w:szCs w:val="18"/>
              </w:rPr>
              <w:t>(cm)</w:t>
            </w:r>
          </w:p>
        </w:tc>
        <w:tc>
          <w:tcPr>
            <w:tcW w:w="7866" w:type="dxa"/>
            <w:gridSpan w:val="13"/>
            <w:hideMark/>
          </w:tcPr>
          <w:p w:rsidR="006E548F" w:rsidRPr="006E548F" w:rsidRDefault="006E548F" w:rsidP="006A6EFF">
            <w:pPr>
              <w:jc w:val="center"/>
              <w:rPr>
                <w:sz w:val="18"/>
                <w:szCs w:val="18"/>
              </w:rPr>
            </w:pPr>
            <w:r w:rsidRPr="006E548F">
              <w:rPr>
                <w:spacing w:val="-4"/>
                <w:sz w:val="18"/>
                <w:szCs w:val="18"/>
              </w:rPr>
              <w:t>Total</w:t>
            </w:r>
            <w:r w:rsidRPr="006E548F">
              <w:rPr>
                <w:spacing w:val="18"/>
                <w:sz w:val="18"/>
                <w:szCs w:val="18"/>
              </w:rPr>
              <w:t xml:space="preserve"> </w:t>
            </w:r>
            <w:r w:rsidRPr="006E548F">
              <w:rPr>
                <w:spacing w:val="-5"/>
                <w:sz w:val="18"/>
                <w:szCs w:val="18"/>
              </w:rPr>
              <w:t>Body</w:t>
            </w:r>
            <w:r w:rsidRPr="006E548F">
              <w:rPr>
                <w:spacing w:val="17"/>
                <w:sz w:val="18"/>
                <w:szCs w:val="18"/>
              </w:rPr>
              <w:t xml:space="preserve"> </w:t>
            </w:r>
            <w:r w:rsidRPr="006E548F">
              <w:rPr>
                <w:spacing w:val="1"/>
                <w:sz w:val="18"/>
                <w:szCs w:val="18"/>
              </w:rPr>
              <w:t>Weight</w:t>
            </w:r>
            <w:r w:rsidRPr="006E548F">
              <w:rPr>
                <w:spacing w:val="24"/>
                <w:sz w:val="18"/>
                <w:szCs w:val="18"/>
              </w:rPr>
              <w:t xml:space="preserve"> </w:t>
            </w:r>
            <w:r w:rsidRPr="006E548F">
              <w:rPr>
                <w:spacing w:val="1"/>
                <w:sz w:val="18"/>
                <w:szCs w:val="18"/>
              </w:rPr>
              <w:t>(k</w:t>
            </w:r>
            <w:r w:rsidRPr="006E548F">
              <w:rPr>
                <w:spacing w:val="-34"/>
                <w:sz w:val="18"/>
                <w:szCs w:val="18"/>
              </w:rPr>
              <w:t xml:space="preserve"> </w:t>
            </w:r>
            <w:r w:rsidRPr="006E548F">
              <w:rPr>
                <w:sz w:val="18"/>
                <w:szCs w:val="18"/>
              </w:rPr>
              <w:t>g)</w:t>
            </w:r>
          </w:p>
        </w:tc>
      </w:tr>
      <w:tr w:rsidR="006E548F" w:rsidRPr="006E548F" w:rsidTr="006E548F">
        <w:trPr>
          <w:cnfStyle w:val="100000000000" w:firstRow="1" w:lastRow="0" w:firstColumn="0" w:lastColumn="0" w:oddVBand="0" w:evenVBand="0" w:oddHBand="0" w:evenHBand="0" w:firstRowFirstColumn="0" w:firstRowLastColumn="0" w:lastRowFirstColumn="0" w:lastRowLastColumn="0"/>
          <w:trHeight w:hRule="exact" w:val="384"/>
          <w:tblHeader/>
        </w:trPr>
        <w:tc>
          <w:tcPr>
            <w:tcW w:w="791" w:type="dxa"/>
            <w:vMerge/>
            <w:hideMark/>
          </w:tcPr>
          <w:p w:rsidR="006E548F" w:rsidRPr="006E548F" w:rsidRDefault="006E548F" w:rsidP="006A6EFF">
            <w:pPr>
              <w:rPr>
                <w:sz w:val="18"/>
                <w:szCs w:val="18"/>
              </w:rPr>
            </w:pPr>
          </w:p>
        </w:tc>
        <w:tc>
          <w:tcPr>
            <w:tcW w:w="597" w:type="dxa"/>
            <w:hideMark/>
          </w:tcPr>
          <w:p w:rsidR="006E548F" w:rsidRPr="006E548F" w:rsidRDefault="006E548F" w:rsidP="006A6EFF">
            <w:pPr>
              <w:rPr>
                <w:sz w:val="18"/>
                <w:szCs w:val="18"/>
              </w:rPr>
            </w:pPr>
            <w:r w:rsidRPr="006E548F">
              <w:rPr>
                <w:sz w:val="18"/>
                <w:szCs w:val="18"/>
              </w:rPr>
              <w:t>10</w:t>
            </w:r>
          </w:p>
        </w:tc>
        <w:tc>
          <w:tcPr>
            <w:tcW w:w="597" w:type="dxa"/>
            <w:hideMark/>
          </w:tcPr>
          <w:p w:rsidR="006E548F" w:rsidRPr="006E548F" w:rsidRDefault="006E548F" w:rsidP="006A6EFF">
            <w:pPr>
              <w:rPr>
                <w:sz w:val="18"/>
                <w:szCs w:val="18"/>
              </w:rPr>
            </w:pPr>
            <w:r w:rsidRPr="006E548F">
              <w:rPr>
                <w:sz w:val="18"/>
                <w:szCs w:val="18"/>
              </w:rPr>
              <w:t>15</w:t>
            </w:r>
          </w:p>
        </w:tc>
        <w:tc>
          <w:tcPr>
            <w:tcW w:w="582" w:type="dxa"/>
            <w:hideMark/>
          </w:tcPr>
          <w:p w:rsidR="006E548F" w:rsidRPr="006E548F" w:rsidRDefault="006E548F" w:rsidP="006A6EFF">
            <w:pPr>
              <w:rPr>
                <w:sz w:val="18"/>
                <w:szCs w:val="18"/>
              </w:rPr>
            </w:pPr>
            <w:r w:rsidRPr="006E548F">
              <w:rPr>
                <w:sz w:val="18"/>
                <w:szCs w:val="18"/>
              </w:rPr>
              <w:t>20</w:t>
            </w:r>
          </w:p>
        </w:tc>
        <w:tc>
          <w:tcPr>
            <w:tcW w:w="597" w:type="dxa"/>
            <w:hideMark/>
          </w:tcPr>
          <w:p w:rsidR="006E548F" w:rsidRPr="006E548F" w:rsidRDefault="006E548F" w:rsidP="006A6EFF">
            <w:pPr>
              <w:rPr>
                <w:sz w:val="18"/>
                <w:szCs w:val="18"/>
              </w:rPr>
            </w:pPr>
            <w:r w:rsidRPr="006E548F">
              <w:rPr>
                <w:sz w:val="18"/>
                <w:szCs w:val="18"/>
              </w:rPr>
              <w:t>25</w:t>
            </w:r>
          </w:p>
        </w:tc>
        <w:tc>
          <w:tcPr>
            <w:tcW w:w="582" w:type="dxa"/>
            <w:hideMark/>
          </w:tcPr>
          <w:p w:rsidR="006E548F" w:rsidRPr="006E548F" w:rsidRDefault="006E548F" w:rsidP="006A6EFF">
            <w:pPr>
              <w:rPr>
                <w:sz w:val="18"/>
                <w:szCs w:val="18"/>
              </w:rPr>
            </w:pPr>
            <w:r w:rsidRPr="006E548F">
              <w:rPr>
                <w:sz w:val="18"/>
                <w:szCs w:val="18"/>
              </w:rPr>
              <w:t>30</w:t>
            </w:r>
          </w:p>
        </w:tc>
        <w:tc>
          <w:tcPr>
            <w:tcW w:w="597" w:type="dxa"/>
            <w:hideMark/>
          </w:tcPr>
          <w:p w:rsidR="006E548F" w:rsidRPr="006E548F" w:rsidRDefault="006E548F" w:rsidP="006A6EFF">
            <w:pPr>
              <w:rPr>
                <w:sz w:val="18"/>
                <w:szCs w:val="18"/>
              </w:rPr>
            </w:pPr>
            <w:r w:rsidRPr="006E548F">
              <w:rPr>
                <w:sz w:val="18"/>
                <w:szCs w:val="18"/>
              </w:rPr>
              <w:t>35</w:t>
            </w:r>
          </w:p>
        </w:tc>
        <w:tc>
          <w:tcPr>
            <w:tcW w:w="582" w:type="dxa"/>
            <w:hideMark/>
          </w:tcPr>
          <w:p w:rsidR="006E548F" w:rsidRPr="006E548F" w:rsidRDefault="006E548F" w:rsidP="006A6EFF">
            <w:pPr>
              <w:rPr>
                <w:sz w:val="18"/>
                <w:szCs w:val="18"/>
              </w:rPr>
            </w:pPr>
            <w:r w:rsidRPr="006E548F">
              <w:rPr>
                <w:sz w:val="18"/>
                <w:szCs w:val="18"/>
              </w:rPr>
              <w:t>40</w:t>
            </w:r>
          </w:p>
        </w:tc>
        <w:tc>
          <w:tcPr>
            <w:tcW w:w="627" w:type="dxa"/>
            <w:hideMark/>
          </w:tcPr>
          <w:p w:rsidR="006E548F" w:rsidRPr="006E548F" w:rsidRDefault="006E548F" w:rsidP="006A6EFF">
            <w:pPr>
              <w:rPr>
                <w:sz w:val="18"/>
                <w:szCs w:val="18"/>
              </w:rPr>
            </w:pPr>
            <w:r w:rsidRPr="006E548F">
              <w:rPr>
                <w:sz w:val="18"/>
                <w:szCs w:val="18"/>
              </w:rPr>
              <w:t>45</w:t>
            </w:r>
          </w:p>
        </w:tc>
        <w:tc>
          <w:tcPr>
            <w:tcW w:w="612" w:type="dxa"/>
            <w:hideMark/>
          </w:tcPr>
          <w:p w:rsidR="006E548F" w:rsidRPr="006E548F" w:rsidRDefault="006E548F" w:rsidP="006A6EFF">
            <w:pPr>
              <w:rPr>
                <w:sz w:val="18"/>
                <w:szCs w:val="18"/>
              </w:rPr>
            </w:pPr>
            <w:r w:rsidRPr="006E548F">
              <w:rPr>
                <w:sz w:val="18"/>
                <w:szCs w:val="18"/>
              </w:rPr>
              <w:t>50</w:t>
            </w:r>
          </w:p>
        </w:tc>
        <w:tc>
          <w:tcPr>
            <w:tcW w:w="627" w:type="dxa"/>
            <w:hideMark/>
          </w:tcPr>
          <w:p w:rsidR="006E548F" w:rsidRPr="006E548F" w:rsidRDefault="006E548F" w:rsidP="006A6EFF">
            <w:pPr>
              <w:rPr>
                <w:sz w:val="18"/>
                <w:szCs w:val="18"/>
              </w:rPr>
            </w:pPr>
            <w:r w:rsidRPr="006E548F">
              <w:rPr>
                <w:sz w:val="18"/>
                <w:szCs w:val="18"/>
              </w:rPr>
              <w:t>55</w:t>
            </w:r>
          </w:p>
        </w:tc>
        <w:tc>
          <w:tcPr>
            <w:tcW w:w="627" w:type="dxa"/>
            <w:hideMark/>
          </w:tcPr>
          <w:p w:rsidR="006E548F" w:rsidRPr="006E548F" w:rsidRDefault="006E548F" w:rsidP="006A6EFF">
            <w:pPr>
              <w:rPr>
                <w:sz w:val="18"/>
                <w:szCs w:val="18"/>
              </w:rPr>
            </w:pPr>
            <w:r w:rsidRPr="006E548F">
              <w:rPr>
                <w:sz w:val="18"/>
                <w:szCs w:val="18"/>
              </w:rPr>
              <w:t>60</w:t>
            </w:r>
          </w:p>
        </w:tc>
        <w:tc>
          <w:tcPr>
            <w:tcW w:w="612" w:type="dxa"/>
            <w:hideMark/>
          </w:tcPr>
          <w:p w:rsidR="006E548F" w:rsidRPr="006E548F" w:rsidRDefault="006E548F" w:rsidP="006A6EFF">
            <w:pPr>
              <w:rPr>
                <w:sz w:val="18"/>
                <w:szCs w:val="18"/>
              </w:rPr>
            </w:pPr>
            <w:r w:rsidRPr="006E548F">
              <w:rPr>
                <w:sz w:val="18"/>
                <w:szCs w:val="18"/>
              </w:rPr>
              <w:t>65</w:t>
            </w:r>
          </w:p>
        </w:tc>
        <w:tc>
          <w:tcPr>
            <w:tcW w:w="627" w:type="dxa"/>
            <w:hideMark/>
          </w:tcPr>
          <w:p w:rsidR="006E548F" w:rsidRPr="006E548F" w:rsidRDefault="006E548F" w:rsidP="006A6EFF">
            <w:pPr>
              <w:rPr>
                <w:sz w:val="18"/>
                <w:szCs w:val="18"/>
              </w:rPr>
            </w:pPr>
            <w:r w:rsidRPr="006E548F">
              <w:rPr>
                <w:sz w:val="18"/>
                <w:szCs w:val="18"/>
              </w:rPr>
              <w:t>70</w:t>
            </w:r>
          </w:p>
        </w:tc>
      </w:tr>
      <w:tr w:rsidR="006E548F" w:rsidRPr="006E548F" w:rsidTr="006E548F">
        <w:trPr>
          <w:trHeight w:hRule="exact" w:val="360"/>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80</w:t>
            </w:r>
          </w:p>
        </w:tc>
        <w:tc>
          <w:tcPr>
            <w:tcW w:w="597" w:type="dxa"/>
            <w:hideMark/>
          </w:tcPr>
          <w:p w:rsidR="006E548F" w:rsidRPr="006E548F" w:rsidRDefault="006E548F" w:rsidP="006A6EFF">
            <w:pPr>
              <w:rPr>
                <w:sz w:val="18"/>
                <w:szCs w:val="18"/>
              </w:rPr>
            </w:pPr>
            <w:r w:rsidRPr="006E548F">
              <w:rPr>
                <w:spacing w:val="1"/>
                <w:sz w:val="18"/>
                <w:szCs w:val="18"/>
              </w:rPr>
              <w:t>0.2</w:t>
            </w:r>
          </w:p>
        </w:tc>
        <w:tc>
          <w:tcPr>
            <w:tcW w:w="597" w:type="dxa"/>
            <w:hideMark/>
          </w:tcPr>
          <w:p w:rsidR="006E548F" w:rsidRPr="006E548F" w:rsidRDefault="006E548F" w:rsidP="006A6EFF">
            <w:pPr>
              <w:rPr>
                <w:sz w:val="18"/>
                <w:szCs w:val="18"/>
              </w:rPr>
            </w:pPr>
            <w:r w:rsidRPr="006E548F">
              <w:rPr>
                <w:spacing w:val="1"/>
                <w:sz w:val="18"/>
                <w:szCs w:val="18"/>
              </w:rPr>
              <w:t>0.3</w:t>
            </w:r>
          </w:p>
        </w:tc>
        <w:tc>
          <w:tcPr>
            <w:tcW w:w="582" w:type="dxa"/>
            <w:hideMark/>
          </w:tcPr>
          <w:p w:rsidR="006E548F" w:rsidRPr="006E548F" w:rsidRDefault="006E548F" w:rsidP="006A6EFF">
            <w:pPr>
              <w:rPr>
                <w:sz w:val="18"/>
                <w:szCs w:val="18"/>
              </w:rPr>
            </w:pPr>
            <w:r w:rsidRPr="006E548F">
              <w:rPr>
                <w:spacing w:val="1"/>
                <w:sz w:val="18"/>
                <w:szCs w:val="18"/>
              </w:rPr>
              <w:t>0.3</w:t>
            </w:r>
          </w:p>
        </w:tc>
        <w:tc>
          <w:tcPr>
            <w:tcW w:w="597" w:type="dxa"/>
            <w:hideMark/>
          </w:tcPr>
          <w:p w:rsidR="006E548F" w:rsidRPr="006E548F" w:rsidRDefault="006E548F" w:rsidP="006A6EFF">
            <w:pPr>
              <w:rPr>
                <w:sz w:val="18"/>
                <w:szCs w:val="18"/>
              </w:rPr>
            </w:pPr>
            <w:r w:rsidRPr="006E548F">
              <w:rPr>
                <w:spacing w:val="1"/>
                <w:sz w:val="18"/>
                <w:szCs w:val="18"/>
              </w:rPr>
              <w:t>0.3</w:t>
            </w:r>
          </w:p>
        </w:tc>
        <w:tc>
          <w:tcPr>
            <w:tcW w:w="5493" w:type="dxa"/>
            <w:gridSpan w:val="9"/>
            <w:shd w:val="clear" w:color="auto" w:fill="006DA7"/>
          </w:tcPr>
          <w:p w:rsidR="006E548F" w:rsidRPr="006E548F" w:rsidRDefault="006E548F" w:rsidP="006A6EFF">
            <w:pPr>
              <w:rPr>
                <w:sz w:val="18"/>
                <w:szCs w:val="18"/>
              </w:rPr>
            </w:pPr>
          </w:p>
        </w:tc>
      </w:tr>
      <w:tr w:rsidR="006E548F" w:rsidRPr="006E548F" w:rsidTr="006E548F">
        <w:trPr>
          <w:trHeight w:hRule="exact" w:val="478"/>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90</w:t>
            </w:r>
          </w:p>
        </w:tc>
        <w:tc>
          <w:tcPr>
            <w:tcW w:w="597" w:type="dxa"/>
            <w:hideMark/>
          </w:tcPr>
          <w:p w:rsidR="006E548F" w:rsidRPr="006E548F" w:rsidRDefault="006E548F" w:rsidP="006A6EFF">
            <w:pPr>
              <w:rPr>
                <w:sz w:val="18"/>
                <w:szCs w:val="18"/>
              </w:rPr>
            </w:pPr>
            <w:r w:rsidRPr="006E548F">
              <w:rPr>
                <w:spacing w:val="1"/>
                <w:sz w:val="18"/>
                <w:szCs w:val="18"/>
              </w:rPr>
              <w:t>0.2</w:t>
            </w:r>
          </w:p>
        </w:tc>
        <w:tc>
          <w:tcPr>
            <w:tcW w:w="597" w:type="dxa"/>
            <w:hideMark/>
          </w:tcPr>
          <w:p w:rsidR="006E548F" w:rsidRPr="006E548F" w:rsidRDefault="006E548F" w:rsidP="006A6EFF">
            <w:pPr>
              <w:rPr>
                <w:sz w:val="18"/>
                <w:szCs w:val="18"/>
              </w:rPr>
            </w:pPr>
            <w:r w:rsidRPr="006E548F">
              <w:rPr>
                <w:spacing w:val="1"/>
                <w:sz w:val="18"/>
                <w:szCs w:val="18"/>
              </w:rPr>
              <w:t>0.3</w:t>
            </w:r>
          </w:p>
        </w:tc>
        <w:tc>
          <w:tcPr>
            <w:tcW w:w="582" w:type="dxa"/>
            <w:hideMark/>
          </w:tcPr>
          <w:p w:rsidR="006E548F" w:rsidRPr="006E548F" w:rsidRDefault="006E548F" w:rsidP="006A6EFF">
            <w:pPr>
              <w:rPr>
                <w:sz w:val="18"/>
                <w:szCs w:val="18"/>
              </w:rPr>
            </w:pPr>
            <w:r w:rsidRPr="006E548F">
              <w:rPr>
                <w:spacing w:val="1"/>
                <w:sz w:val="18"/>
                <w:szCs w:val="18"/>
              </w:rPr>
              <w:t>0.3</w:t>
            </w:r>
          </w:p>
        </w:tc>
        <w:tc>
          <w:tcPr>
            <w:tcW w:w="597" w:type="dxa"/>
            <w:hideMark/>
          </w:tcPr>
          <w:p w:rsidR="006E548F" w:rsidRPr="006E548F" w:rsidRDefault="006E548F" w:rsidP="006A6EFF">
            <w:pPr>
              <w:rPr>
                <w:sz w:val="18"/>
                <w:szCs w:val="18"/>
              </w:rPr>
            </w:pPr>
            <w:r w:rsidRPr="006E548F">
              <w:rPr>
                <w:spacing w:val="1"/>
                <w:sz w:val="18"/>
                <w:szCs w:val="18"/>
              </w:rPr>
              <w:t>0.4</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97"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4314" w:type="dxa"/>
            <w:gridSpan w:val="7"/>
            <w:shd w:val="clear" w:color="auto" w:fill="006DA7"/>
          </w:tcPr>
          <w:p w:rsidR="006E548F" w:rsidRPr="006E548F" w:rsidRDefault="006E548F" w:rsidP="006A6EFF">
            <w:pPr>
              <w:rPr>
                <w:sz w:val="18"/>
                <w:szCs w:val="18"/>
              </w:rPr>
            </w:pPr>
          </w:p>
        </w:tc>
      </w:tr>
      <w:tr w:rsidR="006E548F" w:rsidRPr="006E548F" w:rsidTr="006E548F">
        <w:trPr>
          <w:trHeight w:hRule="exact" w:val="372"/>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100</w:t>
            </w:r>
          </w:p>
        </w:tc>
        <w:tc>
          <w:tcPr>
            <w:tcW w:w="597" w:type="dxa"/>
            <w:hideMark/>
          </w:tcPr>
          <w:p w:rsidR="006E548F" w:rsidRPr="006E548F" w:rsidRDefault="006E548F" w:rsidP="006A6EFF">
            <w:pPr>
              <w:rPr>
                <w:sz w:val="18"/>
                <w:szCs w:val="18"/>
              </w:rPr>
            </w:pPr>
            <w:r w:rsidRPr="006E548F">
              <w:rPr>
                <w:spacing w:val="1"/>
                <w:sz w:val="18"/>
                <w:szCs w:val="18"/>
              </w:rPr>
              <w:t>0.3</w:t>
            </w:r>
          </w:p>
        </w:tc>
        <w:tc>
          <w:tcPr>
            <w:tcW w:w="597" w:type="dxa"/>
            <w:hideMark/>
          </w:tcPr>
          <w:p w:rsidR="006E548F" w:rsidRPr="006E548F" w:rsidRDefault="006E548F" w:rsidP="006A6EFF">
            <w:pPr>
              <w:rPr>
                <w:sz w:val="18"/>
                <w:szCs w:val="18"/>
              </w:rPr>
            </w:pPr>
            <w:r w:rsidRPr="006E548F">
              <w:rPr>
                <w:spacing w:val="1"/>
                <w:sz w:val="18"/>
                <w:szCs w:val="18"/>
              </w:rPr>
              <w:t>0.3</w:t>
            </w:r>
          </w:p>
        </w:tc>
        <w:tc>
          <w:tcPr>
            <w:tcW w:w="582" w:type="dxa"/>
            <w:hideMark/>
          </w:tcPr>
          <w:p w:rsidR="006E548F" w:rsidRPr="006E548F" w:rsidRDefault="006E548F" w:rsidP="006A6EFF">
            <w:pPr>
              <w:rPr>
                <w:sz w:val="18"/>
                <w:szCs w:val="18"/>
              </w:rPr>
            </w:pPr>
            <w:r w:rsidRPr="006E548F">
              <w:rPr>
                <w:spacing w:val="1"/>
                <w:sz w:val="18"/>
                <w:szCs w:val="18"/>
              </w:rPr>
              <w:t>0.3</w:t>
            </w:r>
          </w:p>
        </w:tc>
        <w:tc>
          <w:tcPr>
            <w:tcW w:w="597" w:type="dxa"/>
            <w:hideMark/>
          </w:tcPr>
          <w:p w:rsidR="006E548F" w:rsidRPr="006E548F" w:rsidRDefault="006E548F" w:rsidP="006A6EFF">
            <w:pPr>
              <w:rPr>
                <w:sz w:val="18"/>
                <w:szCs w:val="18"/>
              </w:rPr>
            </w:pPr>
            <w:r w:rsidRPr="006E548F">
              <w:rPr>
                <w:spacing w:val="1"/>
                <w:sz w:val="18"/>
                <w:szCs w:val="18"/>
              </w:rPr>
              <w:t>0.4</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97"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627"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3105" w:type="dxa"/>
            <w:gridSpan w:val="5"/>
            <w:shd w:val="clear" w:color="auto" w:fill="006DA7"/>
          </w:tcPr>
          <w:p w:rsidR="006E548F" w:rsidRPr="006E548F" w:rsidRDefault="006E548F" w:rsidP="006A6EFF">
            <w:pPr>
              <w:rPr>
                <w:sz w:val="18"/>
                <w:szCs w:val="18"/>
              </w:rPr>
            </w:pPr>
          </w:p>
        </w:tc>
      </w:tr>
      <w:tr w:rsidR="006E548F" w:rsidRPr="006E548F" w:rsidTr="006E548F">
        <w:trPr>
          <w:trHeight w:hRule="exact" w:val="420"/>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110</w:t>
            </w:r>
          </w:p>
        </w:tc>
        <w:tc>
          <w:tcPr>
            <w:tcW w:w="597" w:type="dxa"/>
            <w:hideMark/>
          </w:tcPr>
          <w:p w:rsidR="006E548F" w:rsidRPr="006E548F" w:rsidRDefault="006E548F" w:rsidP="006A6EFF">
            <w:pPr>
              <w:rPr>
                <w:sz w:val="18"/>
                <w:szCs w:val="18"/>
              </w:rPr>
            </w:pPr>
            <w:r w:rsidRPr="006E548F">
              <w:rPr>
                <w:spacing w:val="1"/>
                <w:sz w:val="18"/>
                <w:szCs w:val="18"/>
              </w:rPr>
              <w:t>0.3</w:t>
            </w:r>
          </w:p>
        </w:tc>
        <w:tc>
          <w:tcPr>
            <w:tcW w:w="597" w:type="dxa"/>
            <w:tcBorders>
              <w:bottom w:val="single" w:sz="8" w:space="0" w:color="000000" w:themeColor="text1"/>
            </w:tcBorders>
            <w:hideMark/>
          </w:tcPr>
          <w:p w:rsidR="006E548F" w:rsidRPr="006E548F" w:rsidRDefault="006E548F" w:rsidP="006A6EFF">
            <w:pPr>
              <w:rPr>
                <w:sz w:val="18"/>
                <w:szCs w:val="18"/>
              </w:rPr>
            </w:pPr>
            <w:r w:rsidRPr="006E548F">
              <w:rPr>
                <w:spacing w:val="1"/>
                <w:sz w:val="18"/>
                <w:szCs w:val="18"/>
              </w:rPr>
              <w:t>0.3</w:t>
            </w:r>
          </w:p>
        </w:tc>
        <w:tc>
          <w:tcPr>
            <w:tcW w:w="582" w:type="dxa"/>
            <w:hideMark/>
          </w:tcPr>
          <w:p w:rsidR="006E548F" w:rsidRPr="006E548F" w:rsidRDefault="006E548F" w:rsidP="006A6EFF">
            <w:pPr>
              <w:rPr>
                <w:sz w:val="18"/>
                <w:szCs w:val="18"/>
              </w:rPr>
            </w:pPr>
            <w:r w:rsidRPr="006E548F">
              <w:rPr>
                <w:spacing w:val="1"/>
                <w:sz w:val="18"/>
                <w:szCs w:val="18"/>
              </w:rPr>
              <w:t>0.4</w:t>
            </w:r>
          </w:p>
        </w:tc>
        <w:tc>
          <w:tcPr>
            <w:tcW w:w="597" w:type="dxa"/>
            <w:hideMark/>
          </w:tcPr>
          <w:p w:rsidR="006E548F" w:rsidRPr="006E548F" w:rsidRDefault="006E548F" w:rsidP="006A6EFF">
            <w:pPr>
              <w:rPr>
                <w:sz w:val="18"/>
                <w:szCs w:val="18"/>
              </w:rPr>
            </w:pPr>
            <w:r w:rsidRPr="006E548F">
              <w:rPr>
                <w:spacing w:val="1"/>
                <w:sz w:val="18"/>
                <w:szCs w:val="18"/>
              </w:rPr>
              <w:t>0.4</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97"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627"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612" w:type="dxa"/>
            <w:shd w:val="clear" w:color="auto" w:fill="auto"/>
            <w:hideMark/>
          </w:tcPr>
          <w:p w:rsidR="006E548F" w:rsidRPr="006E548F" w:rsidRDefault="006E548F" w:rsidP="006A6EFF">
            <w:pPr>
              <w:rPr>
                <w:sz w:val="18"/>
                <w:szCs w:val="18"/>
              </w:rPr>
            </w:pPr>
            <w:r w:rsidRPr="006E548F">
              <w:rPr>
                <w:spacing w:val="1"/>
                <w:sz w:val="18"/>
                <w:szCs w:val="18"/>
              </w:rPr>
              <w:t>0.5</w:t>
            </w:r>
          </w:p>
        </w:tc>
        <w:tc>
          <w:tcPr>
            <w:tcW w:w="627" w:type="dxa"/>
            <w:shd w:val="clear" w:color="auto" w:fill="auto"/>
            <w:hideMark/>
          </w:tcPr>
          <w:p w:rsidR="006E548F" w:rsidRPr="006E548F" w:rsidRDefault="006E548F" w:rsidP="006A6EFF">
            <w:pPr>
              <w:rPr>
                <w:sz w:val="18"/>
                <w:szCs w:val="18"/>
              </w:rPr>
            </w:pPr>
            <w:r w:rsidRPr="006E548F">
              <w:rPr>
                <w:spacing w:val="1"/>
                <w:sz w:val="18"/>
                <w:szCs w:val="18"/>
              </w:rPr>
              <w:t>0.6</w:t>
            </w:r>
          </w:p>
        </w:tc>
        <w:tc>
          <w:tcPr>
            <w:tcW w:w="627" w:type="dxa"/>
            <w:shd w:val="clear" w:color="auto" w:fill="auto"/>
            <w:hideMark/>
          </w:tcPr>
          <w:p w:rsidR="006E548F" w:rsidRPr="006E548F" w:rsidRDefault="006E548F" w:rsidP="006A6EFF">
            <w:pPr>
              <w:rPr>
                <w:sz w:val="18"/>
                <w:szCs w:val="18"/>
              </w:rPr>
            </w:pPr>
            <w:r w:rsidRPr="006E548F">
              <w:rPr>
                <w:spacing w:val="1"/>
                <w:sz w:val="18"/>
                <w:szCs w:val="18"/>
              </w:rPr>
              <w:t>0.6</w:t>
            </w:r>
          </w:p>
        </w:tc>
        <w:tc>
          <w:tcPr>
            <w:tcW w:w="1239" w:type="dxa"/>
            <w:gridSpan w:val="2"/>
            <w:shd w:val="clear" w:color="auto" w:fill="006DA7"/>
          </w:tcPr>
          <w:p w:rsidR="006E548F" w:rsidRPr="006E548F" w:rsidRDefault="006E548F" w:rsidP="006A6EFF">
            <w:pPr>
              <w:rPr>
                <w:sz w:val="18"/>
                <w:szCs w:val="18"/>
              </w:rPr>
            </w:pPr>
          </w:p>
        </w:tc>
      </w:tr>
      <w:tr w:rsidR="006E548F" w:rsidRPr="006E548F" w:rsidTr="006E548F">
        <w:trPr>
          <w:trHeight w:hRule="exact" w:val="440"/>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120</w:t>
            </w:r>
          </w:p>
        </w:tc>
        <w:tc>
          <w:tcPr>
            <w:tcW w:w="597" w:type="dxa"/>
            <w:tcBorders>
              <w:bottom w:val="single" w:sz="8" w:space="0" w:color="000000" w:themeColor="text1"/>
            </w:tcBorders>
            <w:hideMark/>
          </w:tcPr>
          <w:p w:rsidR="006E548F" w:rsidRPr="006E548F" w:rsidRDefault="006E548F" w:rsidP="006A6EFF">
            <w:pPr>
              <w:rPr>
                <w:sz w:val="18"/>
                <w:szCs w:val="18"/>
              </w:rPr>
            </w:pPr>
            <w:r w:rsidRPr="006E548F">
              <w:rPr>
                <w:spacing w:val="1"/>
                <w:sz w:val="18"/>
                <w:szCs w:val="18"/>
              </w:rPr>
              <w:t>0.3</w:t>
            </w:r>
          </w:p>
        </w:tc>
        <w:tc>
          <w:tcPr>
            <w:tcW w:w="597" w:type="dxa"/>
            <w:tcBorders>
              <w:bottom w:val="single" w:sz="8" w:space="0" w:color="000000" w:themeColor="text1"/>
            </w:tcBorders>
            <w:shd w:val="clear" w:color="auto" w:fill="auto"/>
            <w:hideMark/>
          </w:tcPr>
          <w:p w:rsidR="006E548F" w:rsidRPr="006E548F" w:rsidRDefault="006E548F" w:rsidP="006A6EFF">
            <w:pPr>
              <w:rPr>
                <w:sz w:val="18"/>
                <w:szCs w:val="18"/>
              </w:rPr>
            </w:pPr>
            <w:r w:rsidRPr="006E548F">
              <w:rPr>
                <w:spacing w:val="1"/>
                <w:sz w:val="18"/>
                <w:szCs w:val="18"/>
              </w:rPr>
              <w:t>0.4</w:t>
            </w:r>
          </w:p>
        </w:tc>
        <w:tc>
          <w:tcPr>
            <w:tcW w:w="582" w:type="dxa"/>
            <w:hideMark/>
          </w:tcPr>
          <w:p w:rsidR="006E548F" w:rsidRPr="006E548F" w:rsidRDefault="006E548F" w:rsidP="006A6EFF">
            <w:pPr>
              <w:rPr>
                <w:sz w:val="18"/>
                <w:szCs w:val="18"/>
              </w:rPr>
            </w:pPr>
            <w:r w:rsidRPr="006E548F">
              <w:rPr>
                <w:spacing w:val="1"/>
                <w:sz w:val="18"/>
                <w:szCs w:val="18"/>
              </w:rPr>
              <w:t>0.4</w:t>
            </w:r>
          </w:p>
        </w:tc>
        <w:tc>
          <w:tcPr>
            <w:tcW w:w="597" w:type="dxa"/>
            <w:hideMark/>
          </w:tcPr>
          <w:p w:rsidR="006E548F" w:rsidRPr="006E548F" w:rsidRDefault="006E548F" w:rsidP="006A6EFF">
            <w:pPr>
              <w:rPr>
                <w:sz w:val="18"/>
                <w:szCs w:val="18"/>
              </w:rPr>
            </w:pPr>
            <w:r w:rsidRPr="006E548F">
              <w:rPr>
                <w:spacing w:val="1"/>
                <w:sz w:val="18"/>
                <w:szCs w:val="18"/>
              </w:rPr>
              <w:t>0.4</w:t>
            </w:r>
          </w:p>
        </w:tc>
        <w:tc>
          <w:tcPr>
            <w:tcW w:w="582" w:type="dxa"/>
            <w:hideMark/>
          </w:tcPr>
          <w:p w:rsidR="006E548F" w:rsidRPr="006E548F" w:rsidRDefault="006E548F" w:rsidP="006A6EFF">
            <w:pPr>
              <w:rPr>
                <w:sz w:val="18"/>
                <w:szCs w:val="18"/>
              </w:rPr>
            </w:pPr>
            <w:r w:rsidRPr="006E548F">
              <w:rPr>
                <w:spacing w:val="1"/>
                <w:sz w:val="18"/>
                <w:szCs w:val="18"/>
              </w:rPr>
              <w:t>0.5</w:t>
            </w:r>
          </w:p>
        </w:tc>
        <w:tc>
          <w:tcPr>
            <w:tcW w:w="597" w:type="dxa"/>
            <w:hideMark/>
          </w:tcPr>
          <w:p w:rsidR="006E548F" w:rsidRPr="006E548F" w:rsidRDefault="006E548F" w:rsidP="006A6EFF">
            <w:pPr>
              <w:rPr>
                <w:sz w:val="18"/>
                <w:szCs w:val="18"/>
              </w:rPr>
            </w:pPr>
            <w:r w:rsidRPr="006E548F">
              <w:rPr>
                <w:spacing w:val="1"/>
                <w:sz w:val="18"/>
                <w:szCs w:val="18"/>
              </w:rPr>
              <w:t>0.5</w:t>
            </w:r>
          </w:p>
        </w:tc>
        <w:tc>
          <w:tcPr>
            <w:tcW w:w="582" w:type="dxa"/>
            <w:hideMark/>
          </w:tcPr>
          <w:p w:rsidR="006E548F" w:rsidRPr="006E548F" w:rsidRDefault="006E548F" w:rsidP="006A6EFF">
            <w:pPr>
              <w:rPr>
                <w:sz w:val="18"/>
                <w:szCs w:val="18"/>
              </w:rPr>
            </w:pPr>
            <w:r w:rsidRPr="006E548F">
              <w:rPr>
                <w:spacing w:val="1"/>
                <w:sz w:val="18"/>
                <w:szCs w:val="18"/>
              </w:rPr>
              <w:t>0.5</w:t>
            </w:r>
          </w:p>
        </w:tc>
        <w:tc>
          <w:tcPr>
            <w:tcW w:w="627" w:type="dxa"/>
            <w:hideMark/>
          </w:tcPr>
          <w:p w:rsidR="006E548F" w:rsidRPr="006E548F" w:rsidRDefault="006E548F" w:rsidP="006A6EFF">
            <w:pPr>
              <w:rPr>
                <w:sz w:val="18"/>
                <w:szCs w:val="18"/>
              </w:rPr>
            </w:pPr>
            <w:r w:rsidRPr="006E548F">
              <w:rPr>
                <w:spacing w:val="1"/>
                <w:sz w:val="18"/>
                <w:szCs w:val="18"/>
              </w:rPr>
              <w:t>0.6</w:t>
            </w:r>
          </w:p>
        </w:tc>
        <w:tc>
          <w:tcPr>
            <w:tcW w:w="612"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0.6</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r>
      <w:tr w:rsidR="006E548F" w:rsidRPr="006E548F" w:rsidTr="006E548F">
        <w:trPr>
          <w:trHeight w:hRule="exact" w:val="381"/>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130</w:t>
            </w:r>
          </w:p>
        </w:tc>
        <w:tc>
          <w:tcPr>
            <w:tcW w:w="597" w:type="dxa"/>
            <w:vMerge w:val="restart"/>
            <w:shd w:val="clear" w:color="auto" w:fill="006DA7"/>
          </w:tcPr>
          <w:p w:rsidR="006E548F" w:rsidRPr="006E548F" w:rsidRDefault="006E548F" w:rsidP="006A6EFF">
            <w:pPr>
              <w:rPr>
                <w:sz w:val="18"/>
                <w:szCs w:val="18"/>
              </w:rPr>
            </w:pPr>
          </w:p>
        </w:tc>
        <w:tc>
          <w:tcPr>
            <w:tcW w:w="597"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82" w:type="dxa"/>
            <w:hideMark/>
          </w:tcPr>
          <w:p w:rsidR="006E548F" w:rsidRPr="006E548F" w:rsidRDefault="006E548F" w:rsidP="006A6EFF">
            <w:pPr>
              <w:rPr>
                <w:sz w:val="18"/>
                <w:szCs w:val="18"/>
              </w:rPr>
            </w:pPr>
            <w:r w:rsidRPr="006E548F">
              <w:rPr>
                <w:spacing w:val="1"/>
                <w:sz w:val="18"/>
                <w:szCs w:val="18"/>
              </w:rPr>
              <w:t>0.4</w:t>
            </w:r>
          </w:p>
        </w:tc>
        <w:tc>
          <w:tcPr>
            <w:tcW w:w="597" w:type="dxa"/>
            <w:hideMark/>
          </w:tcPr>
          <w:p w:rsidR="006E548F" w:rsidRPr="006E548F" w:rsidRDefault="006E548F" w:rsidP="006A6EFF">
            <w:pPr>
              <w:rPr>
                <w:sz w:val="18"/>
                <w:szCs w:val="18"/>
              </w:rPr>
            </w:pPr>
            <w:r w:rsidRPr="006E548F">
              <w:rPr>
                <w:spacing w:val="1"/>
                <w:sz w:val="18"/>
                <w:szCs w:val="18"/>
              </w:rPr>
              <w:t>0.5</w:t>
            </w:r>
          </w:p>
        </w:tc>
        <w:tc>
          <w:tcPr>
            <w:tcW w:w="582" w:type="dxa"/>
            <w:hideMark/>
          </w:tcPr>
          <w:p w:rsidR="006E548F" w:rsidRPr="006E548F" w:rsidRDefault="006E548F" w:rsidP="006A6EFF">
            <w:pPr>
              <w:rPr>
                <w:sz w:val="18"/>
                <w:szCs w:val="18"/>
              </w:rPr>
            </w:pPr>
            <w:r w:rsidRPr="006E548F">
              <w:rPr>
                <w:spacing w:val="1"/>
                <w:sz w:val="18"/>
                <w:szCs w:val="18"/>
              </w:rPr>
              <w:t>0.5</w:t>
            </w:r>
          </w:p>
        </w:tc>
        <w:tc>
          <w:tcPr>
            <w:tcW w:w="597" w:type="dxa"/>
            <w:hideMark/>
          </w:tcPr>
          <w:p w:rsidR="006E548F" w:rsidRPr="006E548F" w:rsidRDefault="006E548F" w:rsidP="006A6EFF">
            <w:pPr>
              <w:rPr>
                <w:sz w:val="18"/>
                <w:szCs w:val="18"/>
              </w:rPr>
            </w:pPr>
            <w:r w:rsidRPr="006E548F">
              <w:rPr>
                <w:spacing w:val="1"/>
                <w:sz w:val="18"/>
                <w:szCs w:val="18"/>
              </w:rPr>
              <w:t>0.5</w:t>
            </w:r>
          </w:p>
        </w:tc>
        <w:tc>
          <w:tcPr>
            <w:tcW w:w="582"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0.6</w:t>
            </w:r>
          </w:p>
        </w:tc>
        <w:tc>
          <w:tcPr>
            <w:tcW w:w="612"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r>
      <w:tr w:rsidR="006E548F" w:rsidRPr="006E548F" w:rsidTr="006E548F">
        <w:trPr>
          <w:trHeight w:hRule="exact" w:val="500"/>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140</w:t>
            </w:r>
          </w:p>
        </w:tc>
        <w:tc>
          <w:tcPr>
            <w:tcW w:w="597" w:type="dxa"/>
            <w:vMerge/>
            <w:shd w:val="clear" w:color="auto" w:fill="006DA7"/>
          </w:tcPr>
          <w:p w:rsidR="006E548F" w:rsidRPr="006E548F" w:rsidRDefault="006E548F" w:rsidP="006A6EFF">
            <w:pPr>
              <w:rPr>
                <w:sz w:val="18"/>
                <w:szCs w:val="18"/>
              </w:rPr>
            </w:pPr>
          </w:p>
        </w:tc>
        <w:tc>
          <w:tcPr>
            <w:tcW w:w="597" w:type="dxa"/>
            <w:shd w:val="clear" w:color="auto" w:fill="auto"/>
            <w:hideMark/>
          </w:tcPr>
          <w:p w:rsidR="006E548F" w:rsidRPr="006E548F" w:rsidRDefault="006E548F" w:rsidP="006A6EFF">
            <w:pPr>
              <w:rPr>
                <w:sz w:val="18"/>
                <w:szCs w:val="18"/>
              </w:rPr>
            </w:pPr>
            <w:r w:rsidRPr="006E548F">
              <w:rPr>
                <w:spacing w:val="1"/>
                <w:sz w:val="18"/>
                <w:szCs w:val="18"/>
              </w:rPr>
              <w:t>0.4</w:t>
            </w:r>
          </w:p>
        </w:tc>
        <w:tc>
          <w:tcPr>
            <w:tcW w:w="582" w:type="dxa"/>
            <w:hideMark/>
          </w:tcPr>
          <w:p w:rsidR="006E548F" w:rsidRPr="006E548F" w:rsidRDefault="006E548F" w:rsidP="006A6EFF">
            <w:pPr>
              <w:rPr>
                <w:sz w:val="18"/>
                <w:szCs w:val="18"/>
              </w:rPr>
            </w:pPr>
            <w:r w:rsidRPr="006E548F">
              <w:rPr>
                <w:spacing w:val="1"/>
                <w:sz w:val="18"/>
                <w:szCs w:val="18"/>
              </w:rPr>
              <w:t>0.4</w:t>
            </w:r>
          </w:p>
        </w:tc>
        <w:tc>
          <w:tcPr>
            <w:tcW w:w="597" w:type="dxa"/>
            <w:hideMark/>
          </w:tcPr>
          <w:p w:rsidR="006E548F" w:rsidRPr="006E548F" w:rsidRDefault="006E548F" w:rsidP="006A6EFF">
            <w:pPr>
              <w:rPr>
                <w:sz w:val="18"/>
                <w:szCs w:val="18"/>
              </w:rPr>
            </w:pPr>
            <w:r w:rsidRPr="006E548F">
              <w:rPr>
                <w:spacing w:val="1"/>
                <w:sz w:val="18"/>
                <w:szCs w:val="18"/>
              </w:rPr>
              <w:t>0.5</w:t>
            </w:r>
          </w:p>
        </w:tc>
        <w:tc>
          <w:tcPr>
            <w:tcW w:w="582" w:type="dxa"/>
            <w:hideMark/>
          </w:tcPr>
          <w:p w:rsidR="006E548F" w:rsidRPr="006E548F" w:rsidRDefault="006E548F" w:rsidP="006A6EFF">
            <w:pPr>
              <w:rPr>
                <w:sz w:val="18"/>
                <w:szCs w:val="18"/>
              </w:rPr>
            </w:pPr>
            <w:r w:rsidRPr="006E548F">
              <w:rPr>
                <w:spacing w:val="1"/>
                <w:sz w:val="18"/>
                <w:szCs w:val="18"/>
              </w:rPr>
              <w:t>0.5</w:t>
            </w:r>
          </w:p>
        </w:tc>
        <w:tc>
          <w:tcPr>
            <w:tcW w:w="597" w:type="dxa"/>
            <w:hideMark/>
          </w:tcPr>
          <w:p w:rsidR="006E548F" w:rsidRPr="006E548F" w:rsidRDefault="006E548F" w:rsidP="006A6EFF">
            <w:pPr>
              <w:rPr>
                <w:sz w:val="18"/>
                <w:szCs w:val="18"/>
              </w:rPr>
            </w:pPr>
            <w:r w:rsidRPr="006E548F">
              <w:rPr>
                <w:spacing w:val="1"/>
                <w:sz w:val="18"/>
                <w:szCs w:val="18"/>
              </w:rPr>
              <w:t>0.6</w:t>
            </w:r>
          </w:p>
        </w:tc>
        <w:tc>
          <w:tcPr>
            <w:tcW w:w="582"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0.6</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r>
      <w:tr w:rsidR="006E548F" w:rsidRPr="006E548F" w:rsidTr="006E548F">
        <w:trPr>
          <w:trHeight w:hRule="exact" w:val="475"/>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150</w:t>
            </w:r>
          </w:p>
        </w:tc>
        <w:tc>
          <w:tcPr>
            <w:tcW w:w="597" w:type="dxa"/>
            <w:vMerge/>
            <w:shd w:val="clear" w:color="auto" w:fill="006DA7"/>
          </w:tcPr>
          <w:p w:rsidR="006E548F" w:rsidRPr="006E548F" w:rsidRDefault="006E548F" w:rsidP="006A6EFF">
            <w:pPr>
              <w:rPr>
                <w:sz w:val="18"/>
                <w:szCs w:val="18"/>
              </w:rPr>
            </w:pPr>
          </w:p>
        </w:tc>
        <w:tc>
          <w:tcPr>
            <w:tcW w:w="597" w:type="dxa"/>
            <w:vMerge w:val="restart"/>
            <w:shd w:val="clear" w:color="auto" w:fill="006DA7"/>
          </w:tcPr>
          <w:p w:rsidR="006E548F" w:rsidRPr="006E548F" w:rsidRDefault="006E548F" w:rsidP="006A6EFF">
            <w:pPr>
              <w:rPr>
                <w:sz w:val="18"/>
                <w:szCs w:val="18"/>
              </w:rPr>
            </w:pPr>
          </w:p>
        </w:tc>
        <w:tc>
          <w:tcPr>
            <w:tcW w:w="582" w:type="dxa"/>
            <w:hideMark/>
          </w:tcPr>
          <w:p w:rsidR="006E548F" w:rsidRPr="006E548F" w:rsidRDefault="006E548F" w:rsidP="006A6EFF">
            <w:pPr>
              <w:rPr>
                <w:sz w:val="18"/>
                <w:szCs w:val="18"/>
              </w:rPr>
            </w:pPr>
            <w:r w:rsidRPr="006E548F">
              <w:rPr>
                <w:spacing w:val="1"/>
                <w:sz w:val="18"/>
                <w:szCs w:val="18"/>
              </w:rPr>
              <w:t>0.5</w:t>
            </w:r>
          </w:p>
        </w:tc>
        <w:tc>
          <w:tcPr>
            <w:tcW w:w="597" w:type="dxa"/>
            <w:hideMark/>
          </w:tcPr>
          <w:p w:rsidR="006E548F" w:rsidRPr="006E548F" w:rsidRDefault="006E548F" w:rsidP="006A6EFF">
            <w:pPr>
              <w:rPr>
                <w:sz w:val="18"/>
                <w:szCs w:val="18"/>
              </w:rPr>
            </w:pPr>
            <w:r w:rsidRPr="006E548F">
              <w:rPr>
                <w:spacing w:val="1"/>
                <w:sz w:val="18"/>
                <w:szCs w:val="18"/>
              </w:rPr>
              <w:t>0.5</w:t>
            </w:r>
          </w:p>
        </w:tc>
        <w:tc>
          <w:tcPr>
            <w:tcW w:w="582" w:type="dxa"/>
            <w:hideMark/>
          </w:tcPr>
          <w:p w:rsidR="006E548F" w:rsidRPr="006E548F" w:rsidRDefault="006E548F" w:rsidP="006A6EFF">
            <w:pPr>
              <w:rPr>
                <w:sz w:val="18"/>
                <w:szCs w:val="18"/>
              </w:rPr>
            </w:pPr>
            <w:r w:rsidRPr="006E548F">
              <w:rPr>
                <w:spacing w:val="1"/>
                <w:sz w:val="18"/>
                <w:szCs w:val="18"/>
              </w:rPr>
              <w:t>0.6</w:t>
            </w:r>
          </w:p>
        </w:tc>
        <w:tc>
          <w:tcPr>
            <w:tcW w:w="597" w:type="dxa"/>
            <w:hideMark/>
          </w:tcPr>
          <w:p w:rsidR="006E548F" w:rsidRPr="006E548F" w:rsidRDefault="006E548F" w:rsidP="006A6EFF">
            <w:pPr>
              <w:rPr>
                <w:sz w:val="18"/>
                <w:szCs w:val="18"/>
              </w:rPr>
            </w:pPr>
            <w:r w:rsidRPr="006E548F">
              <w:rPr>
                <w:spacing w:val="1"/>
                <w:sz w:val="18"/>
                <w:szCs w:val="18"/>
              </w:rPr>
              <w:t>0.6</w:t>
            </w:r>
          </w:p>
        </w:tc>
        <w:tc>
          <w:tcPr>
            <w:tcW w:w="582" w:type="dxa"/>
            <w:hideMark/>
          </w:tcPr>
          <w:p w:rsidR="006E548F" w:rsidRPr="006E548F" w:rsidRDefault="006E548F" w:rsidP="006A6EFF">
            <w:pPr>
              <w:rPr>
                <w:sz w:val="18"/>
                <w:szCs w:val="18"/>
              </w:rPr>
            </w:pPr>
            <w:r w:rsidRPr="006E548F">
              <w:rPr>
                <w:spacing w:val="1"/>
                <w:sz w:val="18"/>
                <w:szCs w:val="18"/>
              </w:rPr>
              <w:t>0.6</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r>
      <w:tr w:rsidR="006E548F" w:rsidRPr="006E548F" w:rsidTr="006E548F">
        <w:trPr>
          <w:trHeight w:hRule="exact" w:val="452"/>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160</w:t>
            </w:r>
          </w:p>
        </w:tc>
        <w:tc>
          <w:tcPr>
            <w:tcW w:w="597" w:type="dxa"/>
            <w:vMerge/>
            <w:shd w:val="clear" w:color="auto" w:fill="006DA7"/>
          </w:tcPr>
          <w:p w:rsidR="006E548F" w:rsidRPr="006E548F" w:rsidRDefault="006E548F" w:rsidP="006A6EFF">
            <w:pPr>
              <w:rPr>
                <w:sz w:val="18"/>
                <w:szCs w:val="18"/>
              </w:rPr>
            </w:pPr>
          </w:p>
        </w:tc>
        <w:tc>
          <w:tcPr>
            <w:tcW w:w="597" w:type="dxa"/>
            <w:vMerge/>
            <w:shd w:val="clear" w:color="auto" w:fill="006DA7"/>
          </w:tcPr>
          <w:p w:rsidR="006E548F" w:rsidRPr="006E548F" w:rsidRDefault="006E548F" w:rsidP="006A6EFF">
            <w:pPr>
              <w:rPr>
                <w:sz w:val="18"/>
                <w:szCs w:val="18"/>
              </w:rPr>
            </w:pPr>
          </w:p>
        </w:tc>
        <w:tc>
          <w:tcPr>
            <w:tcW w:w="582" w:type="dxa"/>
            <w:tcBorders>
              <w:bottom w:val="single" w:sz="8" w:space="0" w:color="000000" w:themeColor="text1"/>
            </w:tcBorders>
            <w:hideMark/>
          </w:tcPr>
          <w:p w:rsidR="006E548F" w:rsidRPr="006E548F" w:rsidRDefault="006E548F" w:rsidP="006A6EFF">
            <w:pPr>
              <w:rPr>
                <w:sz w:val="18"/>
                <w:szCs w:val="18"/>
              </w:rPr>
            </w:pPr>
            <w:r w:rsidRPr="006E548F">
              <w:rPr>
                <w:spacing w:val="1"/>
                <w:sz w:val="18"/>
                <w:szCs w:val="18"/>
              </w:rPr>
              <w:t>0.5</w:t>
            </w:r>
          </w:p>
        </w:tc>
        <w:tc>
          <w:tcPr>
            <w:tcW w:w="597" w:type="dxa"/>
            <w:tcBorders>
              <w:bottom w:val="single" w:sz="8" w:space="0" w:color="000000" w:themeColor="text1"/>
            </w:tcBorders>
            <w:hideMark/>
          </w:tcPr>
          <w:p w:rsidR="006E548F" w:rsidRPr="006E548F" w:rsidRDefault="006E548F" w:rsidP="006A6EFF">
            <w:pPr>
              <w:rPr>
                <w:sz w:val="18"/>
                <w:szCs w:val="18"/>
              </w:rPr>
            </w:pPr>
            <w:r w:rsidRPr="006E548F">
              <w:rPr>
                <w:spacing w:val="1"/>
                <w:sz w:val="18"/>
                <w:szCs w:val="18"/>
              </w:rPr>
              <w:t>0.5</w:t>
            </w:r>
          </w:p>
        </w:tc>
        <w:tc>
          <w:tcPr>
            <w:tcW w:w="582" w:type="dxa"/>
            <w:tcBorders>
              <w:bottom w:val="single" w:sz="8" w:space="0" w:color="000000" w:themeColor="text1"/>
            </w:tcBorders>
            <w:hideMark/>
          </w:tcPr>
          <w:p w:rsidR="006E548F" w:rsidRPr="006E548F" w:rsidRDefault="006E548F" w:rsidP="006A6EFF">
            <w:pPr>
              <w:rPr>
                <w:sz w:val="18"/>
                <w:szCs w:val="18"/>
              </w:rPr>
            </w:pPr>
            <w:r w:rsidRPr="006E548F">
              <w:rPr>
                <w:spacing w:val="1"/>
                <w:sz w:val="18"/>
                <w:szCs w:val="18"/>
              </w:rPr>
              <w:t>0.6</w:t>
            </w:r>
          </w:p>
        </w:tc>
        <w:tc>
          <w:tcPr>
            <w:tcW w:w="597" w:type="dxa"/>
            <w:hideMark/>
          </w:tcPr>
          <w:p w:rsidR="006E548F" w:rsidRPr="006E548F" w:rsidRDefault="006E548F" w:rsidP="006A6EFF">
            <w:pPr>
              <w:rPr>
                <w:sz w:val="18"/>
                <w:szCs w:val="18"/>
              </w:rPr>
            </w:pPr>
            <w:r w:rsidRPr="006E548F">
              <w:rPr>
                <w:spacing w:val="1"/>
                <w:sz w:val="18"/>
                <w:szCs w:val="18"/>
              </w:rPr>
              <w:t>0.6</w:t>
            </w:r>
          </w:p>
        </w:tc>
        <w:tc>
          <w:tcPr>
            <w:tcW w:w="58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r>
      <w:tr w:rsidR="006E548F" w:rsidRPr="006E548F" w:rsidTr="006E548F">
        <w:trPr>
          <w:trHeight w:hRule="exact" w:val="428"/>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170</w:t>
            </w:r>
          </w:p>
        </w:tc>
        <w:tc>
          <w:tcPr>
            <w:tcW w:w="597" w:type="dxa"/>
            <w:vMerge/>
            <w:shd w:val="clear" w:color="auto" w:fill="006DA7"/>
          </w:tcPr>
          <w:p w:rsidR="006E548F" w:rsidRPr="006E548F" w:rsidRDefault="006E548F" w:rsidP="006A6EFF">
            <w:pPr>
              <w:rPr>
                <w:sz w:val="18"/>
                <w:szCs w:val="18"/>
              </w:rPr>
            </w:pPr>
          </w:p>
        </w:tc>
        <w:tc>
          <w:tcPr>
            <w:tcW w:w="597" w:type="dxa"/>
            <w:vMerge/>
            <w:shd w:val="clear" w:color="auto" w:fill="006DA7"/>
          </w:tcPr>
          <w:p w:rsidR="006E548F" w:rsidRPr="006E548F" w:rsidRDefault="006E548F" w:rsidP="006A6EFF">
            <w:pPr>
              <w:rPr>
                <w:sz w:val="18"/>
                <w:szCs w:val="18"/>
              </w:rPr>
            </w:pPr>
          </w:p>
        </w:tc>
        <w:tc>
          <w:tcPr>
            <w:tcW w:w="582" w:type="dxa"/>
            <w:vMerge w:val="restart"/>
            <w:shd w:val="clear" w:color="auto" w:fill="006DA7"/>
          </w:tcPr>
          <w:p w:rsidR="006E548F" w:rsidRPr="006E548F" w:rsidRDefault="006E548F" w:rsidP="006A6EFF">
            <w:pPr>
              <w:rPr>
                <w:sz w:val="18"/>
                <w:szCs w:val="18"/>
              </w:rPr>
            </w:pPr>
          </w:p>
        </w:tc>
        <w:tc>
          <w:tcPr>
            <w:tcW w:w="597" w:type="dxa"/>
            <w:shd w:val="clear" w:color="auto" w:fill="auto"/>
            <w:hideMark/>
          </w:tcPr>
          <w:p w:rsidR="006E548F" w:rsidRPr="006E548F" w:rsidRDefault="006E548F" w:rsidP="006A6EFF">
            <w:pPr>
              <w:rPr>
                <w:sz w:val="18"/>
                <w:szCs w:val="18"/>
              </w:rPr>
            </w:pPr>
            <w:r w:rsidRPr="006E548F">
              <w:rPr>
                <w:spacing w:val="1"/>
                <w:sz w:val="18"/>
                <w:szCs w:val="18"/>
              </w:rPr>
              <w:t>0.6</w:t>
            </w:r>
          </w:p>
        </w:tc>
        <w:tc>
          <w:tcPr>
            <w:tcW w:w="582" w:type="dxa"/>
            <w:shd w:val="clear" w:color="auto" w:fill="auto"/>
            <w:hideMark/>
          </w:tcPr>
          <w:p w:rsidR="006E548F" w:rsidRPr="006E548F" w:rsidRDefault="006E548F" w:rsidP="006A6EFF">
            <w:pPr>
              <w:rPr>
                <w:sz w:val="18"/>
                <w:szCs w:val="18"/>
              </w:rPr>
            </w:pPr>
            <w:r w:rsidRPr="006E548F">
              <w:rPr>
                <w:spacing w:val="1"/>
                <w:sz w:val="18"/>
                <w:szCs w:val="18"/>
              </w:rPr>
              <w:t>0.6</w:t>
            </w:r>
          </w:p>
        </w:tc>
        <w:tc>
          <w:tcPr>
            <w:tcW w:w="597" w:type="dxa"/>
            <w:hideMark/>
          </w:tcPr>
          <w:p w:rsidR="006E548F" w:rsidRPr="006E548F" w:rsidRDefault="006E548F" w:rsidP="006A6EFF">
            <w:pPr>
              <w:rPr>
                <w:sz w:val="18"/>
                <w:szCs w:val="18"/>
              </w:rPr>
            </w:pPr>
            <w:r w:rsidRPr="006E548F">
              <w:rPr>
                <w:spacing w:val="1"/>
                <w:sz w:val="18"/>
                <w:szCs w:val="18"/>
              </w:rPr>
              <w:t>0.6</w:t>
            </w:r>
          </w:p>
        </w:tc>
        <w:tc>
          <w:tcPr>
            <w:tcW w:w="58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pacing w:val="1"/>
                <w:sz w:val="18"/>
                <w:szCs w:val="18"/>
              </w:rPr>
              <w:t>0.7</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r>
      <w:tr w:rsidR="006E548F" w:rsidRPr="006E548F" w:rsidTr="006E548F">
        <w:trPr>
          <w:trHeight w:hRule="exact" w:val="545"/>
        </w:trPr>
        <w:tc>
          <w:tcPr>
            <w:tcW w:w="791" w:type="dxa"/>
            <w:shd w:val="clear" w:color="auto" w:fill="006DA7"/>
            <w:hideMark/>
          </w:tcPr>
          <w:p w:rsidR="006E548F" w:rsidRPr="006E548F" w:rsidRDefault="006E548F" w:rsidP="006A6EFF">
            <w:pPr>
              <w:rPr>
                <w:b/>
                <w:color w:val="FFFFFF" w:themeColor="background1"/>
                <w:sz w:val="18"/>
                <w:szCs w:val="18"/>
              </w:rPr>
            </w:pPr>
            <w:r w:rsidRPr="006E548F">
              <w:rPr>
                <w:b/>
                <w:color w:val="FFFFFF" w:themeColor="background1"/>
                <w:sz w:val="18"/>
                <w:szCs w:val="18"/>
              </w:rPr>
              <w:t>180</w:t>
            </w:r>
          </w:p>
        </w:tc>
        <w:tc>
          <w:tcPr>
            <w:tcW w:w="597" w:type="dxa"/>
            <w:vMerge/>
            <w:shd w:val="clear" w:color="auto" w:fill="006DA7"/>
          </w:tcPr>
          <w:p w:rsidR="006E548F" w:rsidRPr="006E548F" w:rsidRDefault="006E548F" w:rsidP="006A6EFF">
            <w:pPr>
              <w:rPr>
                <w:sz w:val="18"/>
                <w:szCs w:val="18"/>
              </w:rPr>
            </w:pPr>
          </w:p>
        </w:tc>
        <w:tc>
          <w:tcPr>
            <w:tcW w:w="597" w:type="dxa"/>
            <w:vMerge/>
            <w:shd w:val="clear" w:color="auto" w:fill="006DA7"/>
          </w:tcPr>
          <w:p w:rsidR="006E548F" w:rsidRPr="006E548F" w:rsidRDefault="006E548F" w:rsidP="006A6EFF">
            <w:pPr>
              <w:rPr>
                <w:sz w:val="18"/>
                <w:szCs w:val="18"/>
              </w:rPr>
            </w:pPr>
          </w:p>
        </w:tc>
        <w:tc>
          <w:tcPr>
            <w:tcW w:w="582" w:type="dxa"/>
            <w:vMerge/>
            <w:shd w:val="clear" w:color="auto" w:fill="006DA7"/>
          </w:tcPr>
          <w:p w:rsidR="006E548F" w:rsidRPr="006E548F" w:rsidRDefault="006E548F" w:rsidP="006A6EFF">
            <w:pPr>
              <w:rPr>
                <w:sz w:val="18"/>
                <w:szCs w:val="18"/>
              </w:rPr>
            </w:pPr>
          </w:p>
        </w:tc>
        <w:tc>
          <w:tcPr>
            <w:tcW w:w="597" w:type="dxa"/>
            <w:shd w:val="clear" w:color="auto" w:fill="006DA7"/>
          </w:tcPr>
          <w:p w:rsidR="006E548F" w:rsidRPr="006E548F" w:rsidRDefault="006E548F" w:rsidP="006A6EFF">
            <w:pPr>
              <w:rPr>
                <w:sz w:val="18"/>
                <w:szCs w:val="18"/>
              </w:rPr>
            </w:pPr>
          </w:p>
        </w:tc>
        <w:tc>
          <w:tcPr>
            <w:tcW w:w="582" w:type="dxa"/>
            <w:hideMark/>
          </w:tcPr>
          <w:p w:rsidR="006E548F" w:rsidRPr="006E548F" w:rsidRDefault="006E548F" w:rsidP="006A6EFF">
            <w:pPr>
              <w:rPr>
                <w:sz w:val="18"/>
                <w:szCs w:val="18"/>
              </w:rPr>
            </w:pPr>
            <w:r w:rsidRPr="006E548F">
              <w:rPr>
                <w:spacing w:val="1"/>
                <w:sz w:val="18"/>
                <w:szCs w:val="18"/>
              </w:rPr>
              <w:t>0.6</w:t>
            </w:r>
          </w:p>
        </w:tc>
        <w:tc>
          <w:tcPr>
            <w:tcW w:w="597" w:type="dxa"/>
            <w:hideMark/>
          </w:tcPr>
          <w:p w:rsidR="006E548F" w:rsidRPr="006E548F" w:rsidRDefault="006E548F" w:rsidP="006A6EFF">
            <w:pPr>
              <w:rPr>
                <w:sz w:val="18"/>
                <w:szCs w:val="18"/>
              </w:rPr>
            </w:pPr>
            <w:r w:rsidRPr="006E548F">
              <w:rPr>
                <w:spacing w:val="1"/>
                <w:sz w:val="18"/>
                <w:szCs w:val="18"/>
              </w:rPr>
              <w:t>0.7</w:t>
            </w:r>
          </w:p>
        </w:tc>
        <w:tc>
          <w:tcPr>
            <w:tcW w:w="582" w:type="dxa"/>
            <w:hideMark/>
          </w:tcPr>
          <w:p w:rsidR="006E548F" w:rsidRPr="006E548F" w:rsidRDefault="006E548F" w:rsidP="006A6EFF">
            <w:pPr>
              <w:rPr>
                <w:sz w:val="18"/>
                <w:szCs w:val="18"/>
              </w:rPr>
            </w:pPr>
            <w:r w:rsidRPr="006E548F">
              <w:rPr>
                <w:spacing w:val="1"/>
                <w:sz w:val="18"/>
                <w:szCs w:val="18"/>
              </w:rPr>
              <w:t>0.7</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12"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c>
          <w:tcPr>
            <w:tcW w:w="627" w:type="dxa"/>
            <w:hideMark/>
          </w:tcPr>
          <w:p w:rsidR="006E548F" w:rsidRPr="006E548F" w:rsidRDefault="006E548F" w:rsidP="006A6EFF">
            <w:pPr>
              <w:rPr>
                <w:sz w:val="18"/>
                <w:szCs w:val="18"/>
              </w:rPr>
            </w:pPr>
            <w:r w:rsidRPr="006E548F">
              <w:rPr>
                <w:sz w:val="18"/>
                <w:szCs w:val="18"/>
              </w:rPr>
              <w:t>0</w:t>
            </w:r>
            <w:r w:rsidRPr="006E548F">
              <w:rPr>
                <w:spacing w:val="7"/>
                <w:sz w:val="18"/>
                <w:szCs w:val="18"/>
              </w:rPr>
              <w:t>.</w:t>
            </w:r>
            <w:r w:rsidRPr="006E548F">
              <w:rPr>
                <w:sz w:val="18"/>
                <w:szCs w:val="18"/>
              </w:rPr>
              <w:t>8*</w:t>
            </w:r>
          </w:p>
        </w:tc>
      </w:tr>
    </w:tbl>
    <w:p w:rsidR="00452AF0" w:rsidRDefault="00452AF0" w:rsidP="006E548F">
      <w:pPr>
        <w:pStyle w:val="TableDescription"/>
      </w:pPr>
      <w:r>
        <w:t>*Maximum</w:t>
      </w:r>
      <w:r>
        <w:rPr>
          <w:spacing w:val="15"/>
        </w:rPr>
        <w:t xml:space="preserve"> </w:t>
      </w:r>
      <w:r>
        <w:t>single</w:t>
      </w:r>
      <w:r>
        <w:rPr>
          <w:spacing w:val="11"/>
        </w:rPr>
        <w:t xml:space="preserve"> </w:t>
      </w:r>
      <w:r>
        <w:rPr>
          <w:spacing w:val="1"/>
        </w:rPr>
        <w:t>dose</w:t>
      </w:r>
      <w:r>
        <w:rPr>
          <w:spacing w:val="10"/>
        </w:rPr>
        <w:t xml:space="preserve"> </w:t>
      </w:r>
      <w:r>
        <w:rPr>
          <w:spacing w:val="-8"/>
        </w:rPr>
        <w:t>is</w:t>
      </w:r>
      <w:r>
        <w:rPr>
          <w:spacing w:val="25"/>
        </w:rPr>
        <w:t xml:space="preserve"> </w:t>
      </w:r>
      <w:r>
        <w:t>40</w:t>
      </w:r>
      <w:r>
        <w:rPr>
          <w:spacing w:val="15"/>
        </w:rPr>
        <w:t xml:space="preserve"> </w:t>
      </w:r>
      <w:r>
        <w:t>mg</w:t>
      </w:r>
      <w:r>
        <w:rPr>
          <w:spacing w:val="14"/>
        </w:rPr>
        <w:t xml:space="preserve"> </w:t>
      </w:r>
      <w:r>
        <w:rPr>
          <w:spacing w:val="2"/>
        </w:rPr>
        <w:t>(0.8</w:t>
      </w:r>
      <w:r>
        <w:rPr>
          <w:spacing w:val="15"/>
        </w:rPr>
        <w:t xml:space="preserve"> </w:t>
      </w:r>
      <w:r>
        <w:rPr>
          <w:spacing w:val="-5"/>
        </w:rPr>
        <w:t>m</w:t>
      </w:r>
      <w:r w:rsidR="00CE5241">
        <w:rPr>
          <w:spacing w:val="-5"/>
        </w:rPr>
        <w:t>L</w:t>
      </w:r>
      <w:r>
        <w:rPr>
          <w:spacing w:val="-5"/>
        </w:rPr>
        <w:t>)</w:t>
      </w:r>
    </w:p>
    <w:p w:rsidR="00452AF0" w:rsidRDefault="00452AF0" w:rsidP="006E548F">
      <w:pPr>
        <w:pStyle w:val="Heading5"/>
      </w:pPr>
      <w:r>
        <w:t xml:space="preserve">Proposed </w:t>
      </w:r>
      <w:proofErr w:type="spellStart"/>
      <w:proofErr w:type="gramStart"/>
      <w:r w:rsidR="006E548F" w:rsidRPr="006E548F">
        <w:t>a</w:t>
      </w:r>
      <w:r w:rsidRPr="006E548F">
        <w:t>ustralian</w:t>
      </w:r>
      <w:proofErr w:type="spellEnd"/>
      <w:proofErr w:type="gramEnd"/>
      <w:r>
        <w:t xml:space="preserve"> PI dosage instructions for </w:t>
      </w:r>
      <w:proofErr w:type="spellStart"/>
      <w:r>
        <w:t>pJIA</w:t>
      </w:r>
      <w:proofErr w:type="spellEnd"/>
    </w:p>
    <w:p w:rsidR="00250A44" w:rsidRPr="00250A44" w:rsidRDefault="00250A44" w:rsidP="009E5C39">
      <w:pPr>
        <w:pStyle w:val="TableTitle"/>
      </w:pPr>
      <w:r>
        <w:t>Table 1</w:t>
      </w:r>
      <w:r w:rsidR="00237330">
        <w:t xml:space="preserve">2: </w:t>
      </w:r>
      <w:proofErr w:type="spellStart"/>
      <w:r w:rsidR="00237330" w:rsidRPr="006E548F">
        <w:t>Polyarticular</w:t>
      </w:r>
      <w:proofErr w:type="spellEnd"/>
      <w:r w:rsidR="00237330">
        <w:t xml:space="preserve"> JIA d</w:t>
      </w:r>
      <w:r>
        <w:t>osing recommendations</w:t>
      </w:r>
    </w:p>
    <w:p w:rsidR="00452AF0" w:rsidRDefault="00452AF0" w:rsidP="006E548F">
      <w:r w:rsidRPr="00250A44">
        <w:rPr>
          <w:noProof/>
          <w:lang w:eastAsia="en-AU"/>
        </w:rPr>
        <w:drawing>
          <wp:inline distT="0" distB="0" distL="0" distR="0" wp14:anchorId="3CC5262A" wp14:editId="7255E0BD">
            <wp:extent cx="5075316" cy="2383436"/>
            <wp:effectExtent l="0" t="0" r="0" b="0"/>
            <wp:docPr id="2" name="Picture 2" descr="Table 12: Polyarticular JIA Dosing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lum bright="-20000" contrast="40000"/>
                      <a:extLst>
                        <a:ext uri="{28A0092B-C50C-407E-A947-70E740481C1C}">
                          <a14:useLocalDpi xmlns:a14="http://schemas.microsoft.com/office/drawing/2010/main" val="0"/>
                        </a:ext>
                      </a:extLst>
                    </a:blip>
                    <a:srcRect l="1660" r="3658" b="8602"/>
                    <a:stretch/>
                  </pic:blipFill>
                  <pic:spPr bwMode="auto">
                    <a:xfrm>
                      <a:off x="0" y="0"/>
                      <a:ext cx="5075526" cy="2383534"/>
                    </a:xfrm>
                    <a:prstGeom prst="rect">
                      <a:avLst/>
                    </a:prstGeom>
                    <a:noFill/>
                    <a:ln>
                      <a:noFill/>
                    </a:ln>
                    <a:extLst>
                      <a:ext uri="{53640926-AAD7-44D8-BBD7-CCE9431645EC}">
                        <a14:shadowObscured xmlns:a14="http://schemas.microsoft.com/office/drawing/2010/main"/>
                      </a:ext>
                    </a:extLst>
                  </pic:spPr>
                </pic:pic>
              </a:graphicData>
            </a:graphic>
          </wp:inline>
        </w:drawing>
      </w:r>
    </w:p>
    <w:p w:rsidR="00250A44" w:rsidRDefault="00452AF0" w:rsidP="006E548F">
      <w:pPr>
        <w:pStyle w:val="Heading5"/>
      </w:pPr>
      <w:r w:rsidRPr="006E548F">
        <w:t>RMP</w:t>
      </w:r>
    </w:p>
    <w:p w:rsidR="00452AF0" w:rsidRDefault="00452AF0" w:rsidP="006E548F">
      <w:r w:rsidRPr="00452AF0">
        <w:t xml:space="preserve">The sponsor’s RMP is </w:t>
      </w:r>
      <w:r w:rsidRPr="00250A44">
        <w:t>acceptable</w:t>
      </w:r>
      <w:r w:rsidRPr="00452AF0">
        <w:t>.</w:t>
      </w:r>
    </w:p>
    <w:p w:rsidR="00250A44" w:rsidRDefault="00452AF0" w:rsidP="006E548F">
      <w:pPr>
        <w:pStyle w:val="Heading5"/>
      </w:pPr>
      <w:r w:rsidRPr="00452AF0">
        <w:t>Data deficiencies or limitations</w:t>
      </w:r>
    </w:p>
    <w:p w:rsidR="00452AF0" w:rsidRPr="00452AF0" w:rsidRDefault="00452AF0" w:rsidP="006E548F">
      <w:r w:rsidRPr="00452AF0">
        <w:t>The pivotal study was open label, uncontrolled and non-randomised, therefore prone to bias and confounding.</w:t>
      </w:r>
      <w:r w:rsidR="00F071E1">
        <w:t xml:space="preserve"> </w:t>
      </w:r>
      <w:r w:rsidRPr="00452AF0">
        <w:t>The proposed weight based dosing is not directly supported by the trial design but from a simulation using the trial’s data and adalimumab concentrations.</w:t>
      </w:r>
      <w:r w:rsidR="00F071E1">
        <w:t xml:space="preserve"> </w:t>
      </w:r>
      <w:r w:rsidRPr="00452AF0">
        <w:t>There is limited data supporting monotherapy use.</w:t>
      </w:r>
      <w:r w:rsidR="00F071E1">
        <w:t xml:space="preserve"> </w:t>
      </w:r>
      <w:r w:rsidRPr="00452AF0">
        <w:t>Concomitant methotrexate and systemic corticosteroid use may confound the results.</w:t>
      </w:r>
      <w:r w:rsidR="00F071E1">
        <w:t xml:space="preserve"> </w:t>
      </w:r>
      <w:r w:rsidRPr="00452AF0">
        <w:t>There is a lack of data on growth and development and a lack of data on rebound associated with withdrawal of treatment.</w:t>
      </w:r>
    </w:p>
    <w:p w:rsidR="00250A44" w:rsidRDefault="00452AF0" w:rsidP="006E548F">
      <w:pPr>
        <w:pStyle w:val="Heading5"/>
      </w:pPr>
      <w:r w:rsidRPr="00452AF0">
        <w:lastRenderedPageBreak/>
        <w:t xml:space="preserve">Conditions of </w:t>
      </w:r>
      <w:r w:rsidR="006E548F" w:rsidRPr="006E548F">
        <w:t>r</w:t>
      </w:r>
      <w:r w:rsidRPr="006E548F">
        <w:t>egistration</w:t>
      </w:r>
    </w:p>
    <w:p w:rsidR="00452AF0" w:rsidRPr="00452AF0" w:rsidRDefault="00452AF0" w:rsidP="006E548F">
      <w:r w:rsidRPr="00452AF0">
        <w:t>The following are proposed as conditions of registration and the ACPM and sponsor are invited to comment:</w:t>
      </w:r>
    </w:p>
    <w:p w:rsidR="00452AF0" w:rsidRPr="00452AF0" w:rsidRDefault="00452AF0" w:rsidP="006E548F">
      <w:pPr>
        <w:pStyle w:val="Numberbullet0"/>
        <w:numPr>
          <w:ilvl w:val="0"/>
          <w:numId w:val="26"/>
        </w:numPr>
      </w:pPr>
      <w:r w:rsidRPr="00452AF0">
        <w:t xml:space="preserve">The implementation in Australia of the EU Risk Management Plan for </w:t>
      </w:r>
      <w:proofErr w:type="spellStart"/>
      <w:r w:rsidRPr="00452AF0">
        <w:t>Humira</w:t>
      </w:r>
      <w:proofErr w:type="spellEnd"/>
      <w:r w:rsidRPr="00452AF0">
        <w:t xml:space="preserve"> (</w:t>
      </w:r>
      <w:proofErr w:type="spellStart"/>
      <w:r w:rsidRPr="00452AF0">
        <w:t>adalimumab</w:t>
      </w:r>
      <w:proofErr w:type="spellEnd"/>
      <w:r w:rsidRPr="00452AF0">
        <w:t xml:space="preserve">), version </w:t>
      </w:r>
      <w:r w:rsidRPr="006E548F">
        <w:t>11</w:t>
      </w:r>
      <w:r w:rsidRPr="00452AF0">
        <w:t xml:space="preserve">.1.2 (dated September 2014, </w:t>
      </w:r>
      <w:r w:rsidR="00250A44">
        <w:t>data lock point</w:t>
      </w:r>
      <w:r w:rsidRPr="00452AF0">
        <w:t xml:space="preserve"> 31 December 2012) and Australian Specific Annex Version 2.0 (dated December 2014), included with submission PM-2014-01048-1-3, and any subsequent revisions, as agreed with the TGA.</w:t>
      </w:r>
    </w:p>
    <w:p w:rsidR="00250A44" w:rsidRDefault="00452AF0" w:rsidP="00250A44">
      <w:pPr>
        <w:pStyle w:val="Numberbullet0"/>
        <w:numPr>
          <w:ilvl w:val="0"/>
          <w:numId w:val="26"/>
        </w:numPr>
      </w:pPr>
      <w:r w:rsidRPr="00452AF0">
        <w:t>The following study reports must be submitted to the TGA, as</w:t>
      </w:r>
      <w:r w:rsidR="00F071E1">
        <w:t xml:space="preserve"> </w:t>
      </w:r>
      <w:r w:rsidRPr="00452AF0">
        <w:t>soon as possible after completion, for evaluation as a Category 1 submission:</w:t>
      </w:r>
    </w:p>
    <w:p w:rsidR="00452AF0" w:rsidRDefault="00452AF0" w:rsidP="006E548F">
      <w:pPr>
        <w:pStyle w:val="Numberbullet2"/>
      </w:pPr>
      <w:r w:rsidRPr="00452AF0">
        <w:t xml:space="preserve">The 5 year interim </w:t>
      </w:r>
      <w:r w:rsidRPr="006E548F">
        <w:t>study</w:t>
      </w:r>
      <w:r w:rsidRPr="00452AF0">
        <w:t xml:space="preserve"> report for the STRIVE registry.</w:t>
      </w:r>
    </w:p>
    <w:p w:rsidR="00452AF0" w:rsidRDefault="00452AF0" w:rsidP="006E548F">
      <w:pPr>
        <w:pStyle w:val="Heading4"/>
      </w:pPr>
      <w:r>
        <w:t xml:space="preserve">Summary of </w:t>
      </w:r>
      <w:r w:rsidR="006E548F">
        <w:t>i</w:t>
      </w:r>
      <w:r>
        <w:t>ssue/s</w:t>
      </w:r>
    </w:p>
    <w:p w:rsidR="00452AF0" w:rsidRDefault="00452AF0" w:rsidP="006E548F">
      <w:pPr>
        <w:rPr>
          <w:rFonts w:eastAsia="MS Mincho"/>
          <w:lang w:eastAsia="ja-JP"/>
        </w:rPr>
      </w:pPr>
      <w:r>
        <w:t>The primary issues with this submission are as follows:</w:t>
      </w:r>
    </w:p>
    <w:p w:rsidR="00452AF0" w:rsidRDefault="00452AF0" w:rsidP="00E9102E">
      <w:pPr>
        <w:pStyle w:val="Numberbullet0"/>
        <w:numPr>
          <w:ilvl w:val="0"/>
          <w:numId w:val="20"/>
        </w:numPr>
      </w:pPr>
      <w:r>
        <w:t>Whether the data are sufficient to extend the indications to an age of 2 years and older, including with and without concomitant methotrexate.</w:t>
      </w:r>
    </w:p>
    <w:p w:rsidR="00452AF0" w:rsidRDefault="00452AF0" w:rsidP="00E9102E">
      <w:pPr>
        <w:pStyle w:val="Numberbullet0"/>
        <w:numPr>
          <w:ilvl w:val="0"/>
          <w:numId w:val="20"/>
        </w:numPr>
      </w:pPr>
      <w:r>
        <w:t>Whether the appropriate dosage regimen should be based on body weight or based on body surface area (body weight and height).</w:t>
      </w:r>
    </w:p>
    <w:p w:rsidR="00D23139" w:rsidRDefault="00D23139" w:rsidP="006E548F">
      <w:pPr>
        <w:pStyle w:val="Heading4"/>
      </w:pPr>
      <w:r w:rsidRPr="00D23139">
        <w:t xml:space="preserve">Proposed </w:t>
      </w:r>
      <w:r w:rsidRPr="006E548F">
        <w:t>action</w:t>
      </w:r>
    </w:p>
    <w:p w:rsidR="00452AF0" w:rsidRPr="00452AF0" w:rsidRDefault="00250A44" w:rsidP="00452AF0">
      <w:r>
        <w:rPr>
          <w:rFonts w:asciiTheme="minorHAnsi" w:hAnsiTheme="minorHAnsi"/>
          <w:bCs/>
        </w:rPr>
        <w:t>The Delegate had</w:t>
      </w:r>
      <w:r w:rsidR="00452AF0">
        <w:rPr>
          <w:rFonts w:asciiTheme="minorHAnsi" w:hAnsiTheme="minorHAnsi"/>
          <w:bCs/>
        </w:rPr>
        <w:t xml:space="preserve"> no reason to say, at this time, that the application for </w:t>
      </w:r>
      <w:proofErr w:type="spellStart"/>
      <w:r w:rsidR="00452AF0">
        <w:rPr>
          <w:rFonts w:asciiTheme="minorHAnsi" w:hAnsiTheme="minorHAnsi"/>
          <w:bCs/>
        </w:rPr>
        <w:t>Humira</w:t>
      </w:r>
      <w:proofErr w:type="spellEnd"/>
      <w:r w:rsidR="00452AF0">
        <w:rPr>
          <w:rFonts w:asciiTheme="minorHAnsi" w:hAnsiTheme="minorHAnsi"/>
          <w:bCs/>
        </w:rPr>
        <w:t xml:space="preserve"> should not be approved for registration</w:t>
      </w:r>
      <w:r w:rsidR="00452AF0">
        <w:rPr>
          <w:rFonts w:asciiTheme="minorHAnsi" w:hAnsiTheme="minorHAnsi"/>
        </w:rPr>
        <w:t>.</w:t>
      </w:r>
    </w:p>
    <w:p w:rsidR="00D23139" w:rsidRDefault="00D23139" w:rsidP="006E548F">
      <w:pPr>
        <w:pStyle w:val="Heading4"/>
      </w:pPr>
      <w:r w:rsidRPr="00D23139">
        <w:t xml:space="preserve">Request for </w:t>
      </w:r>
      <w:r w:rsidRPr="006E548F">
        <w:t>ACPM</w:t>
      </w:r>
      <w:r w:rsidRPr="00D23139">
        <w:t xml:space="preserve"> advice</w:t>
      </w:r>
    </w:p>
    <w:p w:rsidR="00452AF0" w:rsidRDefault="00452AF0" w:rsidP="006E548F">
      <w:r>
        <w:t>The committee is requested to provide advice on the following specific issues:</w:t>
      </w:r>
    </w:p>
    <w:p w:rsidR="00452AF0" w:rsidRDefault="00452AF0" w:rsidP="00250A44">
      <w:pPr>
        <w:pStyle w:val="Numberbullet0"/>
        <w:numPr>
          <w:ilvl w:val="0"/>
          <w:numId w:val="27"/>
        </w:numPr>
      </w:pPr>
      <w:r>
        <w:t>Is the data sufficient to support use in patients as monotherapy and with methotrexate?</w:t>
      </w:r>
    </w:p>
    <w:p w:rsidR="00452AF0" w:rsidRDefault="00452AF0" w:rsidP="00250A44">
      <w:pPr>
        <w:pStyle w:val="Numberbullet0"/>
        <w:numPr>
          <w:ilvl w:val="0"/>
          <w:numId w:val="27"/>
        </w:numPr>
      </w:pPr>
      <w:r>
        <w:t>Is the sponsor’s proposed weight based dosage regimen, as approved in the USA, appropriate or is the dosage regimen based on body surface area, as approved in Europe, more appropriate?</w:t>
      </w:r>
    </w:p>
    <w:p w:rsidR="00452AF0" w:rsidRPr="00452AF0" w:rsidRDefault="00452AF0" w:rsidP="006E548F">
      <w:r>
        <w:t>The committee is also requested to provide advice on any other issues that it thinks may be relevant to a decision on whether or not to approve this application.</w:t>
      </w:r>
    </w:p>
    <w:p w:rsidR="00D23139" w:rsidRPr="00250A44" w:rsidRDefault="006E548F" w:rsidP="006E548F">
      <w:pPr>
        <w:pStyle w:val="Heading4"/>
      </w:pPr>
      <w:r>
        <w:t xml:space="preserve">Response from </w:t>
      </w:r>
      <w:r w:rsidRPr="006E548F">
        <w:t>sponsor</w:t>
      </w:r>
    </w:p>
    <w:p w:rsidR="00C546BC" w:rsidRDefault="00C546BC" w:rsidP="006E548F">
      <w:r>
        <w:t xml:space="preserve">AbbVie Pty Ltd welcomes the opportunity to provide comments on the evaluation and proposed actions in relation to the application to extend the indications registered in Australia for </w:t>
      </w:r>
      <w:proofErr w:type="spellStart"/>
      <w:r w:rsidR="002B4974">
        <w:t>Humira</w:t>
      </w:r>
      <w:proofErr w:type="spellEnd"/>
      <w:r>
        <w:t xml:space="preserve"> (</w:t>
      </w:r>
      <w:proofErr w:type="spellStart"/>
      <w:r>
        <w:t>adalimumab</w:t>
      </w:r>
      <w:proofErr w:type="spellEnd"/>
      <w:r>
        <w:t>) Solution for Injection to include the treatment of polyarticular juvenile idiopathic arthritis (</w:t>
      </w:r>
      <w:proofErr w:type="spellStart"/>
      <w:r>
        <w:t>pJIA</w:t>
      </w:r>
      <w:proofErr w:type="spellEnd"/>
      <w:r>
        <w:t>) to include pat</w:t>
      </w:r>
      <w:r w:rsidR="006E548F">
        <w:t>ients 2 years of age and older.</w:t>
      </w:r>
    </w:p>
    <w:p w:rsidR="00C546BC" w:rsidRDefault="00C546BC" w:rsidP="006E548F">
      <w:r>
        <w:t xml:space="preserve">AbbVie agrees with the assessment and proposed action of the Delegate in the Request for ACPM’s Advice dated 3 March 2015. This assessment is consistent with the opinion of the </w:t>
      </w:r>
      <w:r w:rsidR="00AD5182">
        <w:t>clinical evaluator</w:t>
      </w:r>
      <w:r>
        <w:t xml:space="preserve">, who recommended that the application be approved for patients 2 years of age and older, and that </w:t>
      </w:r>
      <w:proofErr w:type="spellStart"/>
      <w:r>
        <w:t>Humira</w:t>
      </w:r>
      <w:proofErr w:type="spellEnd"/>
      <w:r>
        <w:t xml:space="preserve"> (</w:t>
      </w:r>
      <w:proofErr w:type="spellStart"/>
      <w:r>
        <w:t>adalimumab</w:t>
      </w:r>
      <w:proofErr w:type="spellEnd"/>
      <w:r>
        <w:t>) be administered subcutaneously based on weight as propos</w:t>
      </w:r>
      <w:r w:rsidR="006E548F">
        <w:t>ed by the sponsor.</w:t>
      </w:r>
    </w:p>
    <w:p w:rsidR="00C546BC" w:rsidRDefault="00C546BC" w:rsidP="006E548F">
      <w:r>
        <w:t>The committee is requested to provide advice on</w:t>
      </w:r>
      <w:r w:rsidR="006E548F">
        <w:t xml:space="preserve"> the following specific issues:</w:t>
      </w:r>
    </w:p>
    <w:p w:rsidR="00C546BC" w:rsidRPr="006E548F" w:rsidRDefault="00C546BC" w:rsidP="006E548F">
      <w:pPr>
        <w:pStyle w:val="Numberbullet0"/>
        <w:numPr>
          <w:ilvl w:val="0"/>
          <w:numId w:val="28"/>
        </w:numPr>
        <w:rPr>
          <w:i/>
        </w:rPr>
      </w:pPr>
      <w:r w:rsidRPr="006E548F">
        <w:rPr>
          <w:i/>
        </w:rPr>
        <w:lastRenderedPageBreak/>
        <w:t>Is the data sufficient to support use in patients as mon</w:t>
      </w:r>
      <w:r w:rsidR="006E548F">
        <w:rPr>
          <w:i/>
        </w:rPr>
        <w:t>otherapy and with methotrexate?</w:t>
      </w:r>
    </w:p>
    <w:p w:rsidR="00C546BC" w:rsidRDefault="00AD5182" w:rsidP="006E548F">
      <w:pPr>
        <w:pStyle w:val="Heading5"/>
      </w:pPr>
      <w:r>
        <w:t>Sponsor</w:t>
      </w:r>
      <w:r w:rsidR="00C546BC">
        <w:t xml:space="preserve"> </w:t>
      </w:r>
      <w:r>
        <w:t>c</w:t>
      </w:r>
      <w:r w:rsidR="006E548F">
        <w:t>omment</w:t>
      </w:r>
    </w:p>
    <w:p w:rsidR="00C546BC" w:rsidRDefault="00C546BC" w:rsidP="006E548F">
      <w:r>
        <w:t xml:space="preserve">As indicated by the Delegate, adalimumab for the treatment of </w:t>
      </w:r>
      <w:proofErr w:type="spellStart"/>
      <w:r>
        <w:t>pJIA</w:t>
      </w:r>
      <w:proofErr w:type="spellEnd"/>
      <w:r>
        <w:t xml:space="preserve"> patients 4 years of age and older was considered at the July 2009 meeting of the ACPM, with approval for the indication granted, and the committee advised that dosing should be weight-based, that the indication did not require failure of a previous DMARD and that both monotherapy and combination therapy with methotrexate were appropriate. </w:t>
      </w:r>
      <w:r w:rsidR="00AD5182">
        <w:t>The sponsor</w:t>
      </w:r>
      <w:r>
        <w:t xml:space="preserve"> is proposing the extension of the current approved indication for </w:t>
      </w:r>
      <w:proofErr w:type="spellStart"/>
      <w:r>
        <w:t>pJIA</w:t>
      </w:r>
      <w:proofErr w:type="spellEnd"/>
      <w:r>
        <w:t xml:space="preserve"> patients to include those pat</w:t>
      </w:r>
      <w:r w:rsidR="006E548F">
        <w:t>ients 2 years of age and older.</w:t>
      </w:r>
    </w:p>
    <w:p w:rsidR="00C546BC" w:rsidRPr="006E548F" w:rsidRDefault="00C546BC" w:rsidP="006E548F">
      <w:pPr>
        <w:pStyle w:val="Numberbullet0"/>
        <w:rPr>
          <w:i/>
        </w:rPr>
      </w:pPr>
      <w:r w:rsidRPr="006E548F">
        <w:rPr>
          <w:i/>
        </w:rPr>
        <w:t>Is the sponsor’s proposed weight based dosage regimen, as approved in the USA, appropriate or is the dosage regimen based on body surface area, as approv</w:t>
      </w:r>
      <w:r w:rsidR="006E548F" w:rsidRPr="006E548F">
        <w:rPr>
          <w:i/>
        </w:rPr>
        <w:t>ed in Europe, more appropriate?</w:t>
      </w:r>
    </w:p>
    <w:p w:rsidR="00C546BC" w:rsidRDefault="00AD5182" w:rsidP="006E548F">
      <w:pPr>
        <w:pStyle w:val="Heading5"/>
      </w:pPr>
      <w:r>
        <w:t>Sponsor c</w:t>
      </w:r>
      <w:r w:rsidR="006E548F">
        <w:t>omment</w:t>
      </w:r>
    </w:p>
    <w:p w:rsidR="00C546BC" w:rsidRDefault="00C546BC" w:rsidP="006E548F">
      <w:r>
        <w:t xml:space="preserve">As indicated by the Delegate, adalimumab for the treatment of </w:t>
      </w:r>
      <w:proofErr w:type="spellStart"/>
      <w:r>
        <w:t>pJIA</w:t>
      </w:r>
      <w:proofErr w:type="spellEnd"/>
      <w:r>
        <w:t xml:space="preserve"> patients has different dosage regimens approved in the USA (weight-based dosing) and in Europe (dosing based on body surface area). The current approved dosage regimen in Australia (for </w:t>
      </w:r>
      <w:proofErr w:type="spellStart"/>
      <w:r>
        <w:t>pJIA</w:t>
      </w:r>
      <w:proofErr w:type="spellEnd"/>
      <w:r>
        <w:t xml:space="preserve"> patients 4 years of age and older) was considered at the July 2009 meeting of the ACPM, with the committee advised that dosing should be weight-based. </w:t>
      </w:r>
      <w:r w:rsidR="00AD5182">
        <w:t>The sponsor</w:t>
      </w:r>
      <w:r>
        <w:t xml:space="preserve"> is proposing an extension of the current weight-based dosing regimen, as approved by the FDA in the USA, and consistent with the current TGA</w:t>
      </w:r>
      <w:r w:rsidR="00AD5182">
        <w:t xml:space="preserve"> </w:t>
      </w:r>
      <w:r>
        <w:t>approved weight-based dosing.</w:t>
      </w:r>
    </w:p>
    <w:p w:rsidR="00C546BC" w:rsidRDefault="00C546BC" w:rsidP="006E548F">
      <w:pPr>
        <w:pStyle w:val="Heading5"/>
      </w:pPr>
      <w:r>
        <w:t xml:space="preserve">Other Issues in the Request for ACPM’s Advice </w:t>
      </w:r>
    </w:p>
    <w:p w:rsidR="00C546BC" w:rsidRDefault="00C546BC" w:rsidP="006E548F">
      <w:pPr>
        <w:pStyle w:val="Heading6"/>
      </w:pPr>
      <w:r>
        <w:t xml:space="preserve">Conditions of </w:t>
      </w:r>
      <w:r w:rsidR="006E548F">
        <w:t>registration</w:t>
      </w:r>
    </w:p>
    <w:p w:rsidR="00C546BC" w:rsidRPr="006E548F" w:rsidRDefault="00C546BC" w:rsidP="006E548F">
      <w:pPr>
        <w:pStyle w:val="Numberbullet0"/>
        <w:rPr>
          <w:i/>
        </w:rPr>
      </w:pPr>
      <w:r w:rsidRPr="006E548F">
        <w:rPr>
          <w:i/>
        </w:rPr>
        <w:t xml:space="preserve">The implementation in Australia of the EU Risk Management Plan for </w:t>
      </w:r>
      <w:proofErr w:type="spellStart"/>
      <w:r w:rsidRPr="006E548F">
        <w:rPr>
          <w:i/>
        </w:rPr>
        <w:t>Humira</w:t>
      </w:r>
      <w:proofErr w:type="spellEnd"/>
      <w:r w:rsidRPr="006E548F">
        <w:rPr>
          <w:i/>
        </w:rPr>
        <w:t xml:space="preserve"> (</w:t>
      </w:r>
      <w:proofErr w:type="spellStart"/>
      <w:r w:rsidRPr="006E548F">
        <w:rPr>
          <w:i/>
        </w:rPr>
        <w:t>adalimumab</w:t>
      </w:r>
      <w:proofErr w:type="spellEnd"/>
      <w:r w:rsidRPr="006E548F">
        <w:rPr>
          <w:i/>
        </w:rPr>
        <w:t>), version 11.1.2 (dated September 2014, DLP 31 December 2012) and Australian Specific Annex Version 2.0 (dated December 2014), included with submission PM-2014-01048-1-3, and any subsequent rev</w:t>
      </w:r>
      <w:r w:rsidR="006E548F" w:rsidRPr="006E548F">
        <w:rPr>
          <w:i/>
        </w:rPr>
        <w:t>isions, as agreed with the TGA.</w:t>
      </w:r>
    </w:p>
    <w:p w:rsidR="00C546BC" w:rsidRDefault="00AD5182" w:rsidP="006E548F">
      <w:pPr>
        <w:pStyle w:val="Heading6"/>
      </w:pPr>
      <w:r w:rsidRPr="006E548F">
        <w:t>Sponsor</w:t>
      </w:r>
      <w:r>
        <w:t xml:space="preserve"> c</w:t>
      </w:r>
      <w:r w:rsidR="006E548F">
        <w:t>omment</w:t>
      </w:r>
    </w:p>
    <w:p w:rsidR="00C546BC" w:rsidRDefault="00AD5182" w:rsidP="006E548F">
      <w:r>
        <w:t>The sponsor</w:t>
      </w:r>
      <w:r w:rsidR="00C546BC">
        <w:t xml:space="preserve"> agrees with, and accepts, the proposed condition of registration that the EU Risk Management Plan for </w:t>
      </w:r>
      <w:proofErr w:type="spellStart"/>
      <w:r w:rsidR="00C546BC">
        <w:t>Humira</w:t>
      </w:r>
      <w:proofErr w:type="spellEnd"/>
      <w:r w:rsidR="00C546BC">
        <w:t xml:space="preserve"> (</w:t>
      </w:r>
      <w:proofErr w:type="spellStart"/>
      <w:r w:rsidR="00C546BC">
        <w:t>adalimumab</w:t>
      </w:r>
      <w:proofErr w:type="spellEnd"/>
      <w:r w:rsidR="00C546BC">
        <w:t>), version 11.1.2 (dated September 2014, DLP 31 December 2012) and Australian Specific Annex Version 2.0 (dated December 2014), be implemented in Australia. This will also include ongoing dialogue with the TGA of subsequent revisions of</w:t>
      </w:r>
      <w:r w:rsidR="006E548F">
        <w:t xml:space="preserve"> these documents as applicable.</w:t>
      </w:r>
    </w:p>
    <w:p w:rsidR="00C546BC" w:rsidRPr="006E548F" w:rsidRDefault="00C546BC" w:rsidP="006E548F">
      <w:pPr>
        <w:pStyle w:val="Numberbullet0"/>
        <w:rPr>
          <w:i/>
        </w:rPr>
      </w:pPr>
      <w:r w:rsidRPr="006E548F">
        <w:rPr>
          <w:i/>
        </w:rPr>
        <w:t>The following study reports must be submitted to the TGA, as soon as possible after completion, for evaluati</w:t>
      </w:r>
      <w:r w:rsidR="006E548F">
        <w:rPr>
          <w:i/>
        </w:rPr>
        <w:t>on as a Category 1 application.</w:t>
      </w:r>
    </w:p>
    <w:p w:rsidR="00C546BC" w:rsidRPr="00537E4D" w:rsidRDefault="00C546BC" w:rsidP="00AD5182">
      <w:pPr>
        <w:pStyle w:val="Numberbullet2"/>
        <w:rPr>
          <w:i/>
        </w:rPr>
      </w:pPr>
      <w:r w:rsidRPr="00537E4D">
        <w:rPr>
          <w:i/>
        </w:rPr>
        <w:t>The 5 year inte</w:t>
      </w:r>
      <w:r w:rsidRPr="006E548F">
        <w:t>r</w:t>
      </w:r>
      <w:r w:rsidRPr="00537E4D">
        <w:rPr>
          <w:i/>
        </w:rPr>
        <w:t xml:space="preserve">im study </w:t>
      </w:r>
      <w:r w:rsidR="006E548F">
        <w:rPr>
          <w:i/>
        </w:rPr>
        <w:t>report for the STRIVE registry.</w:t>
      </w:r>
    </w:p>
    <w:p w:rsidR="00C546BC" w:rsidRDefault="00AD5182" w:rsidP="006E548F">
      <w:pPr>
        <w:pStyle w:val="Heading6"/>
      </w:pPr>
      <w:r>
        <w:t xml:space="preserve">Sponsor </w:t>
      </w:r>
      <w:r w:rsidRPr="006E548F">
        <w:t>c</w:t>
      </w:r>
      <w:r w:rsidR="006E548F" w:rsidRPr="006E548F">
        <w:t>omment</w:t>
      </w:r>
    </w:p>
    <w:p w:rsidR="00C546BC" w:rsidRDefault="00AD5182" w:rsidP="006E548F">
      <w:r>
        <w:t>The sponsor</w:t>
      </w:r>
      <w:r w:rsidR="00C546BC">
        <w:t xml:space="preserve"> accepts the condition of registration that the 5 year interim study report for the STRIVE registry be submitted to the TGA for evaluation as a Category 1 submission. As this interim study report is now available, </w:t>
      </w:r>
      <w:r>
        <w:t>the sponsor</w:t>
      </w:r>
      <w:r w:rsidR="00C546BC">
        <w:t xml:space="preserve"> will enter into discussions with the TGA to enable evaluation of this study to begin as soon as possible following completion of this current submission. </w:t>
      </w:r>
    </w:p>
    <w:p w:rsidR="00C546BC" w:rsidRDefault="00C546BC" w:rsidP="006E548F">
      <w:pPr>
        <w:pStyle w:val="Heading5"/>
      </w:pPr>
      <w:r>
        <w:t xml:space="preserve">Questions for the </w:t>
      </w:r>
      <w:r w:rsidR="00AD5182" w:rsidRPr="006E548F">
        <w:t>s</w:t>
      </w:r>
      <w:r w:rsidR="006E548F" w:rsidRPr="006E548F">
        <w:t>ponsor</w:t>
      </w:r>
    </w:p>
    <w:p w:rsidR="00C546BC" w:rsidRDefault="00C546BC" w:rsidP="006E548F">
      <w:r>
        <w:t>The sponsor is requested to address the following issues in the Pre-ACPM Respo</w:t>
      </w:r>
      <w:r w:rsidR="006E548F">
        <w:t>nse:</w:t>
      </w:r>
    </w:p>
    <w:p w:rsidR="00C546BC" w:rsidRPr="006E548F" w:rsidRDefault="00C546BC" w:rsidP="006E548F">
      <w:pPr>
        <w:pStyle w:val="Numberbullet0"/>
        <w:numPr>
          <w:ilvl w:val="0"/>
          <w:numId w:val="29"/>
        </w:numPr>
        <w:rPr>
          <w:i/>
        </w:rPr>
      </w:pPr>
      <w:r w:rsidRPr="006E548F">
        <w:rPr>
          <w:i/>
        </w:rPr>
        <w:t>Please advise if the planned submission to the FDA of the 5 year interim report for the registry has been submitted and reviewed and whether any changes are recommended to the safety or efficacy of adalimumab, inclu</w:t>
      </w:r>
      <w:r w:rsidR="006E548F">
        <w:rPr>
          <w:i/>
        </w:rPr>
        <w:t>ding in the US PI, as a result.</w:t>
      </w:r>
    </w:p>
    <w:p w:rsidR="00C546BC" w:rsidRDefault="00AD5182" w:rsidP="006E548F">
      <w:pPr>
        <w:pStyle w:val="Heading6"/>
      </w:pPr>
      <w:r>
        <w:lastRenderedPageBreak/>
        <w:t xml:space="preserve">Sponsor </w:t>
      </w:r>
      <w:r w:rsidRPr="006E548F">
        <w:t>c</w:t>
      </w:r>
      <w:r w:rsidR="006E548F" w:rsidRPr="006E548F">
        <w:t>omment</w:t>
      </w:r>
    </w:p>
    <w:p w:rsidR="00C546BC" w:rsidRDefault="00C546BC" w:rsidP="006A6EFF">
      <w:r>
        <w:t>The 5</w:t>
      </w:r>
      <w:r w:rsidR="00AD5182">
        <w:t xml:space="preserve"> </w:t>
      </w:r>
      <w:r>
        <w:t>year interim report for the registry was submitted to the US FDA and the EMA in June 2014, and there have been no changes recommended to the safety or efficacy of adalimumab, including in the US PI, as a result.</w:t>
      </w:r>
    </w:p>
    <w:p w:rsidR="00C546BC" w:rsidRPr="006E548F" w:rsidRDefault="00C546BC" w:rsidP="006E548F">
      <w:pPr>
        <w:pStyle w:val="Numberbullet0"/>
        <w:rPr>
          <w:i/>
        </w:rPr>
      </w:pPr>
      <w:r w:rsidRPr="006E548F">
        <w:rPr>
          <w:i/>
        </w:rPr>
        <w:t xml:space="preserve">For </w:t>
      </w:r>
      <w:r w:rsidR="00F00F6F" w:rsidRPr="006E548F">
        <w:rPr>
          <w:i/>
        </w:rPr>
        <w:t>Study D</w:t>
      </w:r>
      <w:r w:rsidRPr="006E548F">
        <w:rPr>
          <w:i/>
        </w:rPr>
        <w:t>E038, the sponsor had previously indicated in 2009 that the final study report would be submitted to the TGA, estimated to be approximately April 2013. Please provide an update on the submiss</w:t>
      </w:r>
      <w:r w:rsidR="006E548F" w:rsidRPr="006E548F">
        <w:rPr>
          <w:i/>
        </w:rPr>
        <w:t>ion of this final study report.</w:t>
      </w:r>
    </w:p>
    <w:p w:rsidR="00C546BC" w:rsidRPr="00C546BC" w:rsidRDefault="00AD5182" w:rsidP="006E548F">
      <w:pPr>
        <w:pStyle w:val="Heading6"/>
        <w:rPr>
          <w:rFonts w:eastAsiaTheme="minorHAnsi"/>
        </w:rPr>
      </w:pPr>
      <w:r>
        <w:rPr>
          <w:rFonts w:eastAsiaTheme="minorHAnsi"/>
        </w:rPr>
        <w:t xml:space="preserve">Sponsor </w:t>
      </w:r>
      <w:r w:rsidRPr="006E548F">
        <w:rPr>
          <w:rFonts w:eastAsiaTheme="minorHAnsi"/>
        </w:rPr>
        <w:t>c</w:t>
      </w:r>
      <w:r w:rsidR="006E548F" w:rsidRPr="006E548F">
        <w:rPr>
          <w:rFonts w:eastAsiaTheme="minorHAnsi"/>
        </w:rPr>
        <w:t>omment</w:t>
      </w:r>
    </w:p>
    <w:p w:rsidR="00C546BC" w:rsidRPr="00C546BC" w:rsidRDefault="00C546BC" w:rsidP="006E548F">
      <w:r w:rsidRPr="00C546BC">
        <w:t>The final study report for Study DE038 is available, and will be submitted to the TGA as soon as possible following di</w:t>
      </w:r>
      <w:r w:rsidR="006E548F">
        <w:t>scussion with the TGA Delegate.</w:t>
      </w:r>
    </w:p>
    <w:p w:rsidR="00C546BC" w:rsidRPr="006E548F" w:rsidRDefault="00C546BC" w:rsidP="006E548F">
      <w:pPr>
        <w:pStyle w:val="Numberbullet0"/>
        <w:rPr>
          <w:i/>
        </w:rPr>
      </w:pPr>
      <w:r w:rsidRPr="006E548F">
        <w:rPr>
          <w:i/>
        </w:rPr>
        <w:t>Please outline any further studies or registries being conducted to assess long term safety, especially effects on growth and development, and advise when the interim 5 year report for the registr</w:t>
      </w:r>
      <w:r w:rsidR="006E548F" w:rsidRPr="006E548F">
        <w:rPr>
          <w:i/>
        </w:rPr>
        <w:t>y will be submitted to the TGA.</w:t>
      </w:r>
    </w:p>
    <w:p w:rsidR="00C546BC" w:rsidRPr="00C546BC" w:rsidRDefault="00AD5182" w:rsidP="006E548F">
      <w:pPr>
        <w:pStyle w:val="Heading6"/>
        <w:rPr>
          <w:rFonts w:eastAsiaTheme="minorHAnsi"/>
        </w:rPr>
      </w:pPr>
      <w:r>
        <w:rPr>
          <w:rFonts w:eastAsiaTheme="minorHAnsi"/>
        </w:rPr>
        <w:t xml:space="preserve">Sponsor </w:t>
      </w:r>
      <w:r w:rsidRPr="006E548F">
        <w:rPr>
          <w:rFonts w:eastAsiaTheme="minorHAnsi"/>
        </w:rPr>
        <w:t>co</w:t>
      </w:r>
      <w:r w:rsidR="006E548F" w:rsidRPr="006E548F">
        <w:rPr>
          <w:rFonts w:eastAsiaTheme="minorHAnsi"/>
        </w:rPr>
        <w:t>mment</w:t>
      </w:r>
    </w:p>
    <w:p w:rsidR="00C546BC" w:rsidRPr="00C546BC" w:rsidRDefault="00C546BC" w:rsidP="00AD5182">
      <w:r w:rsidRPr="00C546BC">
        <w:t xml:space="preserve">There are global registries running for </w:t>
      </w:r>
      <w:proofErr w:type="spellStart"/>
      <w:r w:rsidRPr="00C546BC">
        <w:t>Humira</w:t>
      </w:r>
      <w:proofErr w:type="spellEnd"/>
      <w:r w:rsidRPr="00C546BC">
        <w:t xml:space="preserve"> (</w:t>
      </w:r>
      <w:proofErr w:type="spellStart"/>
      <w:r w:rsidRPr="00C546BC">
        <w:t>adalimumab</w:t>
      </w:r>
      <w:proofErr w:type="spellEnd"/>
      <w:r w:rsidRPr="00C546BC">
        <w:t xml:space="preserve">) in the treatment of Crohn’s Disease in adults, Crohn’s Disease in paediatric patients, </w:t>
      </w:r>
      <w:proofErr w:type="gramStart"/>
      <w:r w:rsidRPr="00C546BC">
        <w:t>Ulcerative</w:t>
      </w:r>
      <w:proofErr w:type="gramEnd"/>
      <w:r w:rsidRPr="00C546BC">
        <w:t xml:space="preserve"> Colitis in adults and Psoriasis in adults. There are no ongoing studies to evaluate the long-term efficacy and safety of </w:t>
      </w:r>
      <w:proofErr w:type="spellStart"/>
      <w:r w:rsidRPr="00C546BC">
        <w:t>adalimumab</w:t>
      </w:r>
      <w:proofErr w:type="spellEnd"/>
      <w:r w:rsidRPr="00C546BC">
        <w:t xml:space="preserve"> in </w:t>
      </w:r>
      <w:proofErr w:type="spellStart"/>
      <w:r w:rsidRPr="00C546BC">
        <w:t>pJIA</w:t>
      </w:r>
      <w:proofErr w:type="spellEnd"/>
      <w:r w:rsidRPr="00C546BC">
        <w:t>. As indicated above, the 5</w:t>
      </w:r>
      <w:r w:rsidR="00AD5182">
        <w:t xml:space="preserve"> </w:t>
      </w:r>
      <w:r w:rsidRPr="00C546BC">
        <w:t>year interim study report for the registry is available, and will be submitted to the TGA for evaluation as soon as possible following discussions with the TGA Delegate.</w:t>
      </w:r>
    </w:p>
    <w:p w:rsidR="008E7846" w:rsidRDefault="008E7846" w:rsidP="006A6EFF">
      <w:pPr>
        <w:pStyle w:val="Heading4"/>
      </w:pPr>
      <w:r>
        <w:t xml:space="preserve">Advisory </w:t>
      </w:r>
      <w:r w:rsidR="006A6EFF">
        <w:t>c</w:t>
      </w:r>
      <w:r>
        <w:t xml:space="preserve">ommittee </w:t>
      </w:r>
      <w:r w:rsidR="006A6EFF" w:rsidRPr="006A6EFF">
        <w:t>c</w:t>
      </w:r>
      <w:r w:rsidRPr="006A6EFF">
        <w:t>onsiderations</w:t>
      </w:r>
    </w:p>
    <w:p w:rsidR="008E7846" w:rsidRDefault="00D23139" w:rsidP="006A6EFF">
      <w:r w:rsidRPr="00D23139">
        <w:t>The Advisory Committee on Prescription Medicines (ACPM), having considered the evaluations and the Delegate’s overview, as well as the sponsor’s response to these documents, advised the following:</w:t>
      </w:r>
    </w:p>
    <w:p w:rsidR="0043155B" w:rsidRPr="006A6EFF" w:rsidRDefault="0043155B" w:rsidP="0043155B">
      <w:r w:rsidRPr="00FB1508">
        <w:rPr>
          <w:rFonts w:cs="Calibri"/>
        </w:rPr>
        <w:t xml:space="preserve">The ACPM, taking into account the submitted evidence of efficacy, safety and quality, agreed with the </w:t>
      </w:r>
      <w:r w:rsidR="00AD5182">
        <w:rPr>
          <w:rFonts w:cs="Calibri"/>
        </w:rPr>
        <w:t>D</w:t>
      </w:r>
      <w:r w:rsidRPr="00FB1508">
        <w:rPr>
          <w:rFonts w:cs="Calibri"/>
        </w:rPr>
        <w:t xml:space="preserve">elegate and considered </w:t>
      </w:r>
      <w:r w:rsidR="002B4974">
        <w:rPr>
          <w:bCs/>
          <w:noProof/>
        </w:rPr>
        <w:t>Humira</w:t>
      </w:r>
      <w:r w:rsidRPr="00FB1508">
        <w:t xml:space="preserve"> </w:t>
      </w:r>
      <w:r w:rsidRPr="00FB1508">
        <w:rPr>
          <w:rFonts w:eastAsia="Times New Roman" w:cs="Arial"/>
          <w:lang w:eastAsia="en-AU"/>
        </w:rPr>
        <w:t>vial and pre-filled pen 40 mg; and pre-filled syringe, 10 mg, 20 mg and 40</w:t>
      </w:r>
      <w:r w:rsidR="00F071E1">
        <w:rPr>
          <w:rFonts w:eastAsia="Times New Roman" w:cs="Arial"/>
          <w:lang w:eastAsia="en-AU"/>
        </w:rPr>
        <w:t xml:space="preserve"> </w:t>
      </w:r>
      <w:r w:rsidRPr="00FB1508">
        <w:rPr>
          <w:rFonts w:eastAsia="Times New Roman" w:cs="Arial"/>
          <w:lang w:eastAsia="en-AU"/>
        </w:rPr>
        <w:t>mg of adalimumab</w:t>
      </w:r>
      <w:r w:rsidRPr="00FB1508">
        <w:rPr>
          <w:bCs/>
        </w:rPr>
        <w:t xml:space="preserve"> </w:t>
      </w:r>
      <w:r w:rsidRPr="00FB1508">
        <w:rPr>
          <w:rFonts w:cs="Calibri"/>
        </w:rPr>
        <w:t xml:space="preserve">to have an overall positive benefit–risk profile for the </w:t>
      </w:r>
      <w:r w:rsidRPr="006A6EFF">
        <w:t>indication</w:t>
      </w:r>
      <w:r w:rsidR="006A6EFF">
        <w:t>;</w:t>
      </w:r>
    </w:p>
    <w:p w:rsidR="0043155B" w:rsidRPr="006A6EFF" w:rsidRDefault="0043155B" w:rsidP="006A6EFF">
      <w:pPr>
        <w:ind w:left="567"/>
        <w:rPr>
          <w:i/>
          <w:noProof/>
        </w:rPr>
      </w:pPr>
      <w:r w:rsidRPr="006A6EFF">
        <w:rPr>
          <w:i/>
          <w:noProof/>
        </w:rPr>
        <w:t>Polyarticular Juvenile Idiopathic Arthritis;</w:t>
      </w:r>
    </w:p>
    <w:p w:rsidR="0043155B" w:rsidRPr="006A6EFF" w:rsidRDefault="0043155B" w:rsidP="006A6EFF">
      <w:pPr>
        <w:ind w:left="567"/>
        <w:rPr>
          <w:i/>
          <w:noProof/>
        </w:rPr>
      </w:pPr>
      <w:proofErr w:type="spellStart"/>
      <w:r w:rsidRPr="006A6EFF">
        <w:rPr>
          <w:i/>
        </w:rPr>
        <w:t>H</w:t>
      </w:r>
      <w:r w:rsidR="00AD5182" w:rsidRPr="006A6EFF">
        <w:rPr>
          <w:i/>
        </w:rPr>
        <w:t>umira</w:t>
      </w:r>
      <w:proofErr w:type="spellEnd"/>
      <w:r w:rsidRPr="006A6EFF">
        <w:rPr>
          <w:i/>
          <w:noProof/>
        </w:rPr>
        <w:t xml:space="preserve"> in combination with methotrexate is indicated for reducing the signs and symptoms of moderately to severely active polyarticular juvenile idiopathic arthritis in patients aged 2 years of age and older. </w:t>
      </w:r>
      <w:proofErr w:type="gramStart"/>
      <w:r w:rsidRPr="006A6EFF">
        <w:rPr>
          <w:i/>
        </w:rPr>
        <w:t>who</w:t>
      </w:r>
      <w:proofErr w:type="gramEnd"/>
      <w:r w:rsidRPr="006A6EFF">
        <w:rPr>
          <w:i/>
        </w:rPr>
        <w:t xml:space="preserve"> have had an inadequate response to one or more disease modifying anti-rheumatic drugs (DMARDs). </w:t>
      </w:r>
      <w:proofErr w:type="spellStart"/>
      <w:r w:rsidRPr="006A6EFF">
        <w:rPr>
          <w:i/>
        </w:rPr>
        <w:t>Humira</w:t>
      </w:r>
      <w:proofErr w:type="spellEnd"/>
      <w:r w:rsidRPr="006A6EFF">
        <w:rPr>
          <w:i/>
          <w:noProof/>
        </w:rPr>
        <w:t xml:space="preserve"> can be given as monotherapy in case of intolerance to methotrexate or when continued treatment with methotrexate is inappropriate.</w:t>
      </w:r>
    </w:p>
    <w:p w:rsidR="0043155B" w:rsidRPr="00F76D08" w:rsidRDefault="0043155B" w:rsidP="006A6EFF">
      <w:pPr>
        <w:pStyle w:val="Heading5"/>
      </w:pPr>
      <w:r w:rsidRPr="00F76D08">
        <w:t>Proposed conditions of registration</w:t>
      </w:r>
    </w:p>
    <w:p w:rsidR="0043155B" w:rsidRPr="00F76D08" w:rsidRDefault="0043155B" w:rsidP="006A6EFF">
      <w:pPr>
        <w:rPr>
          <w:noProof/>
        </w:rPr>
      </w:pPr>
      <w:r w:rsidRPr="00F76D08">
        <w:t xml:space="preserve">The ACPM agreed with the </w:t>
      </w:r>
      <w:r w:rsidR="00AD5182">
        <w:t>D</w:t>
      </w:r>
      <w:r w:rsidRPr="00F76D08">
        <w:t xml:space="preserve">elegate on the proposed conditions of registration, including </w:t>
      </w:r>
      <w:r w:rsidRPr="00F76D08">
        <w:rPr>
          <w:noProof/>
        </w:rPr>
        <w:t>submitting to the TGA the 5 year interim study report for the STRIVE registry, as soon as possible after completion, for evaluation as a Category 1 submission.</w:t>
      </w:r>
    </w:p>
    <w:p w:rsidR="0043155B" w:rsidRPr="00F76D08" w:rsidRDefault="0043155B" w:rsidP="006A6EFF">
      <w:pPr>
        <w:pStyle w:val="Heading5"/>
        <w:rPr>
          <w:u w:val="single"/>
        </w:rPr>
      </w:pPr>
      <w:r w:rsidRPr="00F76D08">
        <w:t>Proposed Product Information (PI)/Consumer Medicine Information (CMI) amendments</w:t>
      </w:r>
    </w:p>
    <w:p w:rsidR="0043155B" w:rsidRPr="00AF4FCB" w:rsidRDefault="0043155B" w:rsidP="006A6EFF">
      <w:r w:rsidRPr="00AF4FCB">
        <w:t xml:space="preserve">The ACPM agreed with the </w:t>
      </w:r>
      <w:r w:rsidR="00AD5182">
        <w:t>D</w:t>
      </w:r>
      <w:r w:rsidRPr="00AF4FCB">
        <w:t>elegate to the proposed amendments to the Product Information (PI) and Consumer Medicine Information (CMI).</w:t>
      </w:r>
    </w:p>
    <w:p w:rsidR="0043155B" w:rsidRPr="00F76D08" w:rsidRDefault="0043155B" w:rsidP="006A6EFF">
      <w:pPr>
        <w:pStyle w:val="Heading5"/>
        <w:rPr>
          <w:rFonts w:eastAsia="MS Mincho"/>
          <w:highlight w:val="yellow"/>
          <w:lang w:eastAsia="ja-JP"/>
        </w:rPr>
      </w:pPr>
      <w:r w:rsidRPr="00F76D08">
        <w:rPr>
          <w:rFonts w:eastAsia="MS Mincho"/>
          <w:lang w:eastAsia="ja-JP"/>
        </w:rPr>
        <w:lastRenderedPageBreak/>
        <w:t xml:space="preserve">Specific </w:t>
      </w:r>
      <w:r w:rsidR="006A6EFF">
        <w:rPr>
          <w:rFonts w:eastAsia="MS Mincho"/>
          <w:lang w:eastAsia="ja-JP"/>
        </w:rPr>
        <w:t>a</w:t>
      </w:r>
      <w:r w:rsidRPr="00F76D08">
        <w:rPr>
          <w:rFonts w:eastAsia="MS Mincho"/>
          <w:lang w:eastAsia="ja-JP"/>
        </w:rPr>
        <w:t>dvice</w:t>
      </w:r>
    </w:p>
    <w:p w:rsidR="0043155B" w:rsidRPr="00F76D08" w:rsidRDefault="0043155B" w:rsidP="006A6EFF">
      <w:pPr>
        <w:rPr>
          <w:b/>
          <w:bCs/>
          <w:iCs/>
          <w:highlight w:val="yellow"/>
        </w:rPr>
      </w:pPr>
      <w:r w:rsidRPr="00F76D08">
        <w:t xml:space="preserve">The ACPM advised the following in response to the </w:t>
      </w:r>
      <w:r w:rsidR="00AD5182">
        <w:t>D</w:t>
      </w:r>
      <w:r w:rsidRPr="00F76D08">
        <w:t>elegate’s specific questions on this submission:</w:t>
      </w:r>
    </w:p>
    <w:p w:rsidR="0043155B" w:rsidRPr="006A6EFF" w:rsidRDefault="0043155B" w:rsidP="006A6EFF">
      <w:pPr>
        <w:pStyle w:val="Numberbullet0"/>
        <w:numPr>
          <w:ilvl w:val="0"/>
          <w:numId w:val="30"/>
        </w:numPr>
        <w:rPr>
          <w:i/>
          <w:noProof/>
          <w:lang w:eastAsia="ja-JP"/>
        </w:rPr>
      </w:pPr>
      <w:r w:rsidRPr="006A6EFF">
        <w:rPr>
          <w:i/>
          <w:noProof/>
          <w:lang w:eastAsia="ja-JP"/>
        </w:rPr>
        <w:t xml:space="preserve">Is the data </w:t>
      </w:r>
      <w:r w:rsidRPr="006A6EFF">
        <w:rPr>
          <w:i/>
        </w:rPr>
        <w:t>sufficient</w:t>
      </w:r>
      <w:r w:rsidRPr="006A6EFF">
        <w:rPr>
          <w:i/>
          <w:noProof/>
          <w:lang w:eastAsia="ja-JP"/>
        </w:rPr>
        <w:t xml:space="preserve"> to support use in patients as monotherapy and with methotrexate (MTX)?</w:t>
      </w:r>
    </w:p>
    <w:p w:rsidR="0043155B" w:rsidRPr="00800F9F" w:rsidRDefault="0043155B" w:rsidP="006A6EFF">
      <w:pPr>
        <w:rPr>
          <w:noProof/>
        </w:rPr>
      </w:pPr>
      <w:r w:rsidRPr="00800F9F">
        <w:rPr>
          <w:noProof/>
        </w:rPr>
        <w:t xml:space="preserve">Most children (78%) in the small, uncontrolled open label </w:t>
      </w:r>
      <w:r w:rsidR="00EF55F9">
        <w:rPr>
          <w:noProof/>
        </w:rPr>
        <w:t>Study M</w:t>
      </w:r>
      <w:r w:rsidRPr="00800F9F">
        <w:rPr>
          <w:noProof/>
        </w:rPr>
        <w:t>10-444 had been pretreated with MTX and 84% received combination therapy. The data do not support a first</w:t>
      </w:r>
      <w:r>
        <w:rPr>
          <w:noProof/>
        </w:rPr>
        <w:t>-</w:t>
      </w:r>
      <w:r w:rsidRPr="00800F9F">
        <w:rPr>
          <w:noProof/>
        </w:rPr>
        <w:t>line indication</w:t>
      </w:r>
      <w:r>
        <w:rPr>
          <w:noProof/>
        </w:rPr>
        <w:t xml:space="preserve"> </w:t>
      </w:r>
      <w:r>
        <w:t>lack of suitable untreated population in the pivotal study</w:t>
      </w:r>
      <w:r w:rsidRPr="00800F9F">
        <w:rPr>
          <w:noProof/>
        </w:rPr>
        <w:t xml:space="preserve">. The other biologicals available for pJIA can be used with or without MTX. Although the data </w:t>
      </w:r>
      <w:r>
        <w:rPr>
          <w:noProof/>
        </w:rPr>
        <w:t>are less</w:t>
      </w:r>
      <w:r w:rsidRPr="00800F9F">
        <w:rPr>
          <w:noProof/>
        </w:rPr>
        <w:t xml:space="preserve"> support</w:t>
      </w:r>
      <w:r>
        <w:rPr>
          <w:noProof/>
        </w:rPr>
        <w:t>ive of</w:t>
      </w:r>
      <w:r w:rsidRPr="00800F9F">
        <w:rPr>
          <w:noProof/>
        </w:rPr>
        <w:t xml:space="preserve"> monotherapy, it would be reasonable</w:t>
      </w:r>
      <w:r>
        <w:rPr>
          <w:noProof/>
        </w:rPr>
        <w:t xml:space="preserve"> to approve it</w:t>
      </w:r>
      <w:r w:rsidRPr="00800F9F">
        <w:rPr>
          <w:noProof/>
        </w:rPr>
        <w:t xml:space="preserve">, as with the other biologicals, </w:t>
      </w:r>
      <w:r>
        <w:rPr>
          <w:noProof/>
        </w:rPr>
        <w:t>and</w:t>
      </w:r>
      <w:r w:rsidRPr="00800F9F">
        <w:rPr>
          <w:noProof/>
        </w:rPr>
        <w:t xml:space="preserve"> leave this to be determined by prescribers.</w:t>
      </w:r>
    </w:p>
    <w:p w:rsidR="0043155B" w:rsidRPr="00AD5182" w:rsidRDefault="0043155B" w:rsidP="00AD5182">
      <w:pPr>
        <w:pStyle w:val="Numberbullet0"/>
        <w:rPr>
          <w:i/>
          <w:noProof/>
          <w:lang w:eastAsia="ja-JP"/>
        </w:rPr>
      </w:pPr>
      <w:r w:rsidRPr="00AD5182">
        <w:rPr>
          <w:i/>
          <w:noProof/>
          <w:lang w:eastAsia="ja-JP"/>
        </w:rPr>
        <w:t>Is the sponsor’s proposed weight-based dosage regimen, as approved in the USA, appropriate or is the dosage regimen based on body surface area, as approved in Europe, more appropriate?</w:t>
      </w:r>
    </w:p>
    <w:p w:rsidR="0043155B" w:rsidRDefault="0043155B" w:rsidP="006A6EFF">
      <w:pPr>
        <w:rPr>
          <w:noProof/>
          <w:lang w:eastAsia="ja-JP"/>
        </w:rPr>
      </w:pPr>
      <w:r w:rsidRPr="00800F9F">
        <w:rPr>
          <w:noProof/>
          <w:lang w:eastAsia="ja-JP"/>
        </w:rPr>
        <w:t xml:space="preserve">The limited data presented regarding trough levels and efficacy support weight-based dosing. It is less confusing and there is less risk of errors. In very small children, </w:t>
      </w:r>
      <w:r>
        <w:rPr>
          <w:noProof/>
          <w:lang w:eastAsia="ja-JP"/>
        </w:rPr>
        <w:t>body surface area (</w:t>
      </w:r>
      <w:r w:rsidRPr="00800F9F">
        <w:rPr>
          <w:noProof/>
          <w:lang w:eastAsia="ja-JP"/>
        </w:rPr>
        <w:t>BSA</w:t>
      </w:r>
      <w:r>
        <w:rPr>
          <w:noProof/>
          <w:lang w:eastAsia="ja-JP"/>
        </w:rPr>
        <w:t>)</w:t>
      </w:r>
      <w:r w:rsidRPr="00800F9F">
        <w:rPr>
          <w:noProof/>
          <w:lang w:eastAsia="ja-JP"/>
        </w:rPr>
        <w:t xml:space="preserve"> dosing has a risk of overdosage. Weight</w:t>
      </w:r>
      <w:r>
        <w:rPr>
          <w:noProof/>
          <w:lang w:eastAsia="ja-JP"/>
        </w:rPr>
        <w:t>-</w:t>
      </w:r>
      <w:r w:rsidRPr="00800F9F">
        <w:rPr>
          <w:noProof/>
          <w:lang w:eastAsia="ja-JP"/>
        </w:rPr>
        <w:t>based dosing is in line with the current dosing for older children, is simpler and more convenient to use given the available pre-filled syringes and pens.</w:t>
      </w:r>
      <w:r>
        <w:rPr>
          <w:noProof/>
          <w:lang w:eastAsia="ja-JP"/>
        </w:rPr>
        <w:t xml:space="preserve"> BSA</w:t>
      </w:r>
      <w:r w:rsidR="00AD5182">
        <w:rPr>
          <w:noProof/>
          <w:lang w:eastAsia="ja-JP"/>
        </w:rPr>
        <w:t xml:space="preserve"> </w:t>
      </w:r>
      <w:r>
        <w:rPr>
          <w:noProof/>
          <w:lang w:eastAsia="ja-JP"/>
        </w:rPr>
        <w:t>based dosing in the pivotal trial was simplified to 3 dose strata and few children of those chidlren would have received lower do</w:t>
      </w:r>
      <w:r w:rsidR="006A6EFF">
        <w:rPr>
          <w:noProof/>
          <w:lang w:eastAsia="ja-JP"/>
        </w:rPr>
        <w:t>ses on a weight based strategy.</w:t>
      </w:r>
    </w:p>
    <w:p w:rsidR="0043155B" w:rsidRPr="00F76D08" w:rsidRDefault="0043155B" w:rsidP="006A6EFF">
      <w:r w:rsidRPr="00F76D08">
        <w:t xml:space="preserve">The ACPM advised that implementation by the sponsor of the recommendations outlined above to the satisfaction of the TGA, in addition to the evidence of efficacy and safety provided would support the safe and effective use of these products. </w:t>
      </w:r>
    </w:p>
    <w:p w:rsidR="008E7846" w:rsidRPr="002E238E" w:rsidRDefault="008E7846" w:rsidP="006A6EFF">
      <w:pPr>
        <w:pStyle w:val="Heading3"/>
      </w:pPr>
      <w:bookmarkStart w:id="121" w:name="_Toc247691532"/>
      <w:bookmarkStart w:id="122" w:name="_Toc314842516"/>
      <w:bookmarkStart w:id="123" w:name="_Toc438564020"/>
      <w:bookmarkEnd w:id="76"/>
      <w:bookmarkEnd w:id="119"/>
      <w:bookmarkEnd w:id="120"/>
      <w:r w:rsidRPr="006A6EFF">
        <w:t>Outcome</w:t>
      </w:r>
      <w:bookmarkEnd w:id="121"/>
      <w:bookmarkEnd w:id="122"/>
      <w:bookmarkEnd w:id="123"/>
    </w:p>
    <w:p w:rsidR="00D23139" w:rsidRPr="00D23139" w:rsidRDefault="00D23139" w:rsidP="006A6EFF">
      <w:bookmarkStart w:id="124" w:name="_Toc247691533"/>
      <w:bookmarkStart w:id="125" w:name="_Toc314842517"/>
      <w:r w:rsidRPr="00BB0034">
        <w:t xml:space="preserve">Based on a review of quality, safety and efficacy, TGA approved the registration </w:t>
      </w:r>
      <w:proofErr w:type="spellStart"/>
      <w:r w:rsidR="00BB0034" w:rsidRPr="00BB0034">
        <w:t>Humira</w:t>
      </w:r>
      <w:proofErr w:type="spellEnd"/>
      <w:r w:rsidR="00BB0034" w:rsidRPr="00BB0034">
        <w:t xml:space="preserve"> </w:t>
      </w:r>
      <w:proofErr w:type="spellStart"/>
      <w:r w:rsidR="00BB0034" w:rsidRPr="00BB0034">
        <w:t>adalimumab</w:t>
      </w:r>
      <w:proofErr w:type="spellEnd"/>
      <w:r w:rsidR="00BB0034" w:rsidRPr="00BB0034">
        <w:t xml:space="preserve"> (</w:t>
      </w:r>
      <w:proofErr w:type="spellStart"/>
      <w:r w:rsidR="00BB0034" w:rsidRPr="00BB0034">
        <w:t>rch</w:t>
      </w:r>
      <w:proofErr w:type="spellEnd"/>
      <w:r w:rsidR="00BB0034" w:rsidRPr="00BE74F3">
        <w:t>)</w:t>
      </w:r>
      <w:r w:rsidR="00AD5182">
        <w:t>,</w:t>
      </w:r>
      <w:r w:rsidR="00BB0034" w:rsidRPr="00BE74F3">
        <w:t xml:space="preserve"> </w:t>
      </w:r>
      <w:r w:rsidR="00BE74F3" w:rsidRPr="00BE74F3">
        <w:t>sterile solution for subcutaneous administration</w:t>
      </w:r>
      <w:r w:rsidRPr="00BE74F3">
        <w:t>, indicated for:</w:t>
      </w:r>
    </w:p>
    <w:p w:rsidR="00BB0034" w:rsidRPr="006A6EFF" w:rsidRDefault="00BB0034" w:rsidP="006A6EFF">
      <w:pPr>
        <w:ind w:left="567"/>
        <w:rPr>
          <w:i/>
        </w:rPr>
      </w:pPr>
      <w:r w:rsidRPr="006A6EFF">
        <w:rPr>
          <w:i/>
        </w:rPr>
        <w:t>Polyarticular Juvenile Idiopathic Arthritis</w:t>
      </w:r>
    </w:p>
    <w:p w:rsidR="00BB0034" w:rsidRPr="006A6EFF" w:rsidRDefault="00BB0034" w:rsidP="006A6EFF">
      <w:pPr>
        <w:ind w:left="567"/>
        <w:rPr>
          <w:i/>
        </w:rPr>
      </w:pPr>
      <w:proofErr w:type="spellStart"/>
      <w:r w:rsidRPr="006A6EFF">
        <w:rPr>
          <w:i/>
        </w:rPr>
        <w:t>Humira</w:t>
      </w:r>
      <w:proofErr w:type="spellEnd"/>
      <w:r w:rsidRPr="006A6EFF">
        <w:rPr>
          <w:i/>
        </w:rPr>
        <w:t xml:space="preserve"> in combination with methotrexate is indicated for reducing the signs and symptoms of moderately to severely active polyarticular juvenile idiopathic arthritis in patients 2 years of age and older who have had an inadequate response to one or more disease modifying anti-rheumatic drugs (DMARDs). </w:t>
      </w:r>
      <w:proofErr w:type="spellStart"/>
      <w:r w:rsidRPr="006A6EFF">
        <w:rPr>
          <w:i/>
        </w:rPr>
        <w:t>Humira</w:t>
      </w:r>
      <w:proofErr w:type="spellEnd"/>
      <w:r w:rsidRPr="006A6EFF">
        <w:rPr>
          <w:i/>
        </w:rPr>
        <w:t xml:space="preserve"> can be given as monotherapy in case of intolerance to methotrexate or when continued treatment with methotrexate is inappropriate.</w:t>
      </w:r>
    </w:p>
    <w:p w:rsidR="00D23139" w:rsidRPr="00D23139" w:rsidRDefault="00D23139" w:rsidP="006A6EFF">
      <w:pPr>
        <w:pStyle w:val="Heading4"/>
      </w:pPr>
      <w:r w:rsidRPr="00D23139">
        <w:t xml:space="preserve">Specific </w:t>
      </w:r>
      <w:r w:rsidRPr="006A6EFF">
        <w:t>conditions</w:t>
      </w:r>
      <w:r w:rsidRPr="00D23139">
        <w:t xml:space="preserve"> of registration applying to these goods</w:t>
      </w:r>
    </w:p>
    <w:p w:rsidR="00BB0034" w:rsidRPr="00AD5182" w:rsidRDefault="00BB0034" w:rsidP="006A6EFF">
      <w:pPr>
        <w:pStyle w:val="Numberbullet0"/>
        <w:numPr>
          <w:ilvl w:val="0"/>
          <w:numId w:val="22"/>
        </w:numPr>
      </w:pPr>
      <w:r w:rsidRPr="00AD5182">
        <w:t xml:space="preserve">The </w:t>
      </w:r>
      <w:proofErr w:type="spellStart"/>
      <w:r w:rsidRPr="00AD5182">
        <w:t>Humira</w:t>
      </w:r>
      <w:proofErr w:type="spellEnd"/>
      <w:r w:rsidRPr="00AD5182">
        <w:t xml:space="preserve"> (</w:t>
      </w:r>
      <w:proofErr w:type="spellStart"/>
      <w:r w:rsidRPr="00AD5182">
        <w:t>adalimumab</w:t>
      </w:r>
      <w:proofErr w:type="spellEnd"/>
      <w:r w:rsidRPr="00AD5182">
        <w:t xml:space="preserve">) EU Risk Management Plan (EU-RMP), version 11.1.2, dated September 2014 (DLP 31 December 2012) and Australian Specific Annex Version 2.0 (dated December 2014), included with submission PM-2014-01048-1-3, and any subsequent revisions, as agreed with the TGA will be implemented in Australia. </w:t>
      </w:r>
    </w:p>
    <w:p w:rsidR="00BB0034" w:rsidRPr="00BB0034" w:rsidRDefault="00BB0034" w:rsidP="00E9102E">
      <w:pPr>
        <w:pStyle w:val="Numberbullet0"/>
        <w:numPr>
          <w:ilvl w:val="0"/>
          <w:numId w:val="22"/>
        </w:numPr>
      </w:pPr>
      <w:r w:rsidRPr="00BB0034">
        <w:t>The following study reports must be submitted to the TGA, as soon as possible after completion, for evaluation as a Category 1 submission:</w:t>
      </w:r>
    </w:p>
    <w:p w:rsidR="00BB0034" w:rsidRPr="00BB0034" w:rsidRDefault="00BB0034" w:rsidP="006A6EFF">
      <w:pPr>
        <w:pStyle w:val="ListBullet2"/>
      </w:pPr>
      <w:r w:rsidRPr="00BB0034">
        <w:t>The 5 year interim study report for the STRIVE registry.</w:t>
      </w:r>
    </w:p>
    <w:p w:rsidR="00BB0034" w:rsidRPr="00BB0034" w:rsidRDefault="00BB0034" w:rsidP="006A6EFF">
      <w:pPr>
        <w:pStyle w:val="ListBullet2"/>
      </w:pPr>
      <w:r w:rsidRPr="00BB0034">
        <w:t xml:space="preserve">The final study report for </w:t>
      </w:r>
      <w:r w:rsidR="00F00F6F">
        <w:t>Study D</w:t>
      </w:r>
      <w:r w:rsidRPr="00BB0034">
        <w:t>E038.</w:t>
      </w:r>
    </w:p>
    <w:p w:rsidR="008E7846" w:rsidRDefault="00A80B5B" w:rsidP="006A6EFF">
      <w:pPr>
        <w:pStyle w:val="Heading2"/>
      </w:pPr>
      <w:bookmarkStart w:id="126" w:name="_Toc438564021"/>
      <w:proofErr w:type="gramStart"/>
      <w:r>
        <w:lastRenderedPageBreak/>
        <w:t>Attachment 1.</w:t>
      </w:r>
      <w:proofErr w:type="gramEnd"/>
      <w:r>
        <w:t xml:space="preserve"> </w:t>
      </w:r>
      <w:r w:rsidR="008E7846" w:rsidRPr="006A6EFF">
        <w:t>Product</w:t>
      </w:r>
      <w:r w:rsidR="008E7846">
        <w:t xml:space="preserve"> </w:t>
      </w:r>
      <w:r w:rsidR="00AA0ED0" w:rsidRPr="006A6EFF">
        <w:t>I</w:t>
      </w:r>
      <w:r w:rsidR="008E7846" w:rsidRPr="006A6EFF">
        <w:t>nformation</w:t>
      </w:r>
      <w:bookmarkEnd w:id="124"/>
      <w:bookmarkEnd w:id="125"/>
      <w:bookmarkEnd w:id="126"/>
    </w:p>
    <w:p w:rsidR="00C80137" w:rsidRDefault="002B3624" w:rsidP="006A6EFF">
      <w:pPr>
        <w:rPr>
          <w:color w:val="000000"/>
          <w:lang w:eastAsia="en-AU"/>
        </w:rPr>
      </w:pPr>
      <w:r w:rsidRPr="002B3624">
        <w:t xml:space="preserve">The </w:t>
      </w:r>
      <w:r w:rsidR="00133A1B">
        <w:t>PI</w:t>
      </w:r>
      <w:r w:rsidRPr="002B3624">
        <w:t xml:space="preserve"> approved for </w:t>
      </w:r>
      <w:proofErr w:type="spellStart"/>
      <w:r w:rsidR="0043155B">
        <w:t>Humira</w:t>
      </w:r>
      <w:proofErr w:type="spellEnd"/>
      <w:r w:rsidRPr="002B3624">
        <w:t xml:space="preserve"> at the time this AusPAR was published is at Attachment 1. For the most recent </w:t>
      </w:r>
      <w:r w:rsidR="00133A1B">
        <w:t>PI,</w:t>
      </w:r>
      <w:r w:rsidRPr="002B3624">
        <w:t xml:space="preserve"> please refer to the </w:t>
      </w:r>
      <w:r w:rsidR="007C6B9B" w:rsidRPr="007C6B9B">
        <w:t>TGA website at &lt;</w:t>
      </w:r>
      <w:hyperlink r:id="rId28" w:history="1">
        <w:r w:rsidR="007C6B9B" w:rsidRPr="007C6B9B">
          <w:rPr>
            <w:rStyle w:val="Hyperlink"/>
          </w:rPr>
          <w:t>https://www.tga.gov.au/product-information-pi</w:t>
        </w:r>
      </w:hyperlink>
      <w:r w:rsidR="006A6EFF">
        <w:t>&gt;.</w:t>
      </w:r>
    </w:p>
    <w:p w:rsidR="00291957" w:rsidRDefault="00C80137" w:rsidP="006A6EFF">
      <w:pPr>
        <w:pStyle w:val="Heading2"/>
        <w:rPr>
          <w:lang w:eastAsia="ja-JP"/>
        </w:rPr>
      </w:pPr>
      <w:bookmarkStart w:id="127" w:name="_Toc438564022"/>
      <w:proofErr w:type="gramStart"/>
      <w:r>
        <w:rPr>
          <w:lang w:eastAsia="en-AU"/>
        </w:rPr>
        <w:t>Attachment 2.</w:t>
      </w:r>
      <w:proofErr w:type="gramEnd"/>
      <w:r w:rsidR="00A80B5B">
        <w:rPr>
          <w:lang w:eastAsia="en-AU"/>
        </w:rPr>
        <w:t xml:space="preserve"> </w:t>
      </w:r>
      <w:r>
        <w:rPr>
          <w:lang w:eastAsia="en-AU"/>
        </w:rPr>
        <w:t xml:space="preserve">Extract from the Clinical </w:t>
      </w:r>
      <w:r w:rsidRPr="006A6EFF">
        <w:t>Evaluation</w:t>
      </w:r>
      <w:r>
        <w:rPr>
          <w:lang w:eastAsia="en-AU"/>
        </w:rPr>
        <w:t xml:space="preserve"> Report</w:t>
      </w:r>
      <w:bookmarkEnd w:id="127"/>
    </w:p>
    <w:p w:rsidR="00C80137" w:rsidRPr="001D043B" w:rsidRDefault="00C80137" w:rsidP="003A7F6C">
      <w:pPr>
        <w:pStyle w:val="TableTitle"/>
        <w:sectPr w:rsidR="00C80137" w:rsidRPr="001D043B" w:rsidSect="00B452CE">
          <w:headerReference w:type="even" r:id="rId29"/>
          <w:headerReference w:type="default" r:id="rId30"/>
          <w:headerReference w:type="first" r:id="rId31"/>
          <w:footerReference w:type="first" r:id="rId32"/>
          <w:pgSz w:w="11906" w:h="16838" w:code="9"/>
          <w:pgMar w:top="834" w:right="1701" w:bottom="1191" w:left="1701" w:header="907" w:footer="216" w:gutter="0"/>
          <w:cols w:space="708"/>
          <w:docGrid w:linePitch="360"/>
        </w:sectPr>
      </w:pP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1C32CD" w:rsidRPr="00487162" w:rsidTr="00A05FA4">
        <w:trPr>
          <w:trHeight w:hRule="exact" w:val="704"/>
        </w:trPr>
        <w:tc>
          <w:tcPr>
            <w:tcW w:w="9175" w:type="dxa"/>
          </w:tcPr>
          <w:p w:rsidR="001C32CD" w:rsidRPr="00487162" w:rsidRDefault="001C32CD" w:rsidP="00A05FA4">
            <w:pPr>
              <w:pStyle w:val="TGASignoff"/>
            </w:pPr>
            <w:r w:rsidRPr="00487162">
              <w:lastRenderedPageBreak/>
              <w:t>Therapeutic Goods Administration</w:t>
            </w:r>
          </w:p>
        </w:tc>
      </w:tr>
      <w:tr w:rsidR="001C32CD" w:rsidRPr="004C239D" w:rsidTr="00A05FA4">
        <w:trPr>
          <w:trHeight w:val="1221"/>
        </w:trPr>
        <w:tc>
          <w:tcPr>
            <w:tcW w:w="9175" w:type="dxa"/>
            <w:tcMar>
              <w:top w:w="28" w:type="dxa"/>
            </w:tcMar>
          </w:tcPr>
          <w:p w:rsidR="001C32CD" w:rsidRPr="00487162" w:rsidRDefault="001C32CD" w:rsidP="00A05FA4">
            <w:pPr>
              <w:pStyle w:val="Address"/>
            </w:pPr>
            <w:r w:rsidRPr="00487162">
              <w:t>PO Box 100 Woden ACT 2606 Australia</w:t>
            </w:r>
          </w:p>
          <w:p w:rsidR="001C32CD" w:rsidRPr="00487162" w:rsidRDefault="001C32CD" w:rsidP="00A05FA4">
            <w:pPr>
              <w:pStyle w:val="Address"/>
            </w:pPr>
            <w:r w:rsidRPr="00487162">
              <w:t xml:space="preserve">Email: </w:t>
            </w:r>
            <w:hyperlink r:id="rId33" w:history="1">
              <w:r w:rsidRPr="004C239D">
                <w:rPr>
                  <w:rStyle w:val="Hyperlink"/>
                </w:rPr>
                <w:t>info@tga.gov.au</w:t>
              </w:r>
            </w:hyperlink>
            <w:r w:rsidR="00F071E1">
              <w:t xml:space="preserve"> </w:t>
            </w:r>
            <w:r w:rsidRPr="00487162">
              <w:t>Phone: 1800 020 653</w:t>
            </w:r>
            <w:r w:rsidR="00F071E1">
              <w:t xml:space="preserve"> </w:t>
            </w:r>
            <w:r w:rsidRPr="00487162">
              <w:t>Fax: 02 6232 8605</w:t>
            </w:r>
          </w:p>
          <w:p w:rsidR="001C32CD" w:rsidRPr="006A6EFF" w:rsidRDefault="00BD604B" w:rsidP="00A05FA4">
            <w:pPr>
              <w:pStyle w:val="Address"/>
              <w:spacing w:line="260" w:lineRule="atLeast"/>
              <w:rPr>
                <w:b/>
                <w:color w:val="0000FF"/>
                <w:u w:val="single"/>
              </w:rPr>
            </w:pPr>
            <w:hyperlink r:id="rId34" w:history="1">
              <w:r w:rsidR="007C6B9B" w:rsidRPr="006A6EFF">
                <w:rPr>
                  <w:rStyle w:val="Hyperlink"/>
                  <w:b/>
                </w:rPr>
                <w:t>https://www.tga.gov.au</w:t>
              </w:r>
            </w:hyperlink>
          </w:p>
        </w:tc>
      </w:tr>
    </w:tbl>
    <w:p w:rsidR="00774E1D" w:rsidRPr="008A5E0B" w:rsidRDefault="00774E1D" w:rsidP="004C239D"/>
    <w:sectPr w:rsidR="00774E1D" w:rsidRPr="008A5E0B" w:rsidSect="001C32CD">
      <w:headerReference w:type="even" r:id="rId35"/>
      <w:headerReference w:type="default" r:id="rId36"/>
      <w:footerReference w:type="default" r:id="rId37"/>
      <w:headerReference w:type="first" r:id="rId38"/>
      <w:footerReference w:type="first" r:id="rId39"/>
      <w:pgSz w:w="11906" w:h="16838" w:code="9"/>
      <w:pgMar w:top="13467" w:right="1701" w:bottom="426" w:left="1701" w:header="90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EFF" w:rsidRDefault="006A6EFF" w:rsidP="00C40A36">
      <w:pPr>
        <w:spacing w:after="0"/>
      </w:pPr>
      <w:r>
        <w:separator/>
      </w:r>
    </w:p>
  </w:endnote>
  <w:endnote w:type="continuationSeparator" w:id="0">
    <w:p w:rsidR="006A6EFF" w:rsidRDefault="006A6EFF"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oˆøª&amp;Â">
    <w:altName w:val="Cambria"/>
    <w:panose1 w:val="00000000000000000000"/>
    <w:charset w:val="4D"/>
    <w:family w:val="auto"/>
    <w:notTrueType/>
    <w:pitch w:val="default"/>
    <w:sig w:usb0="00000003" w:usb1="00000000" w:usb2="00000000" w:usb3="00000000" w:csb0="00000001" w:csb1="00000000"/>
  </w:font>
  <w:font w:name="‡ﬂ¯øª∆‚">
    <w:altName w:val="Cambria"/>
    <w:panose1 w:val="00000000000000000000"/>
    <w:charset w:val="4D"/>
    <w:family w:val="auto"/>
    <w:notTrueType/>
    <w:pitch w:val="default"/>
    <w:sig w:usb0="00000003" w:usb1="00000000" w:usb2="00000000" w:usb3="00000000" w:csb0="00000001" w:csb1="00000000"/>
  </w:font>
  <w:font w:name="‡'FAøªÜ·">
    <w:altName w:val="Cambria"/>
    <w:panose1 w:val="00000000000000000000"/>
    <w:charset w:val="4D"/>
    <w:family w:val="auto"/>
    <w:notTrueType/>
    <w:pitch w:val="default"/>
    <w:sig w:usb0="00000003" w:usb1="00000000" w:usb2="00000000" w:usb3="00000000" w:csb0="00000001" w:csb1="00000000"/>
  </w:font>
  <w:font w:name="‡œˇøªÊ€">
    <w:altName w:val="Cambria"/>
    <w:panose1 w:val="00000000000000000000"/>
    <w:charset w:val="4D"/>
    <w:family w:val="auto"/>
    <w:notTrueType/>
    <w:pitch w:val="default"/>
    <w:sig w:usb0="00000003" w:usb1="00000000" w:usb2="00000000" w:usb3="00000000" w:csb0="00000001" w:csb1="00000000"/>
  </w:font>
  <w:font w:name="‡'FAøªñ·">
    <w:altName w:val="Cambria"/>
    <w:panose1 w:val="00000000000000000000"/>
    <w:charset w:val="4D"/>
    <w:family w:val="auto"/>
    <w:notTrueType/>
    <w:pitch w:val="default"/>
    <w:sig w:usb0="00000003" w:usb1="00000000" w:usb2="00000000" w:usb3="00000000" w:csb0="00000001" w:csb1="00000000"/>
  </w:font>
  <w:font w:name="‡ﬂ˙øª¶‡">
    <w:altName w:val="Cambria"/>
    <w:panose1 w:val="00000000000000000000"/>
    <w:charset w:val="4D"/>
    <w:family w:val="auto"/>
    <w:notTrueType/>
    <w:pitch w:val="default"/>
    <w:sig w:usb0="00000003" w:usb1="00000000" w:usb2="00000000" w:usb3="00000000" w:csb0="00000001" w:csb1="00000000"/>
  </w:font>
  <w:font w:name="`Ï˙øª¶‡">
    <w:altName w:val="Cambria"/>
    <w:panose1 w:val="00000000000000000000"/>
    <w:charset w:val="4D"/>
    <w:family w:val="auto"/>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371"/>
      <w:gridCol w:w="1490"/>
    </w:tblGrid>
    <w:tr w:rsidR="006A6EFF" w:rsidRPr="00487162" w:rsidTr="00DB750B">
      <w:trPr>
        <w:trHeight w:val="269"/>
      </w:trPr>
      <w:tc>
        <w:tcPr>
          <w:tcW w:w="7371" w:type="dxa"/>
          <w:tcMar>
            <w:top w:w="142" w:type="dxa"/>
            <w:bottom w:w="0" w:type="dxa"/>
          </w:tcMar>
        </w:tcPr>
        <w:p w:rsidR="006A6EFF" w:rsidRPr="00487162" w:rsidRDefault="006A6EFF" w:rsidP="00416DC1">
          <w:pPr>
            <w:pStyle w:val="Footer"/>
          </w:pPr>
          <w:proofErr w:type="spellStart"/>
          <w:r w:rsidRPr="00487162">
            <w:t>AusPA</w:t>
          </w:r>
          <w:r>
            <w:t>R</w:t>
          </w:r>
          <w:proofErr w:type="spellEnd"/>
          <w:r>
            <w:t xml:space="preserve"> </w:t>
          </w:r>
          <w:proofErr w:type="spellStart"/>
          <w:r>
            <w:t>Humira</w:t>
          </w:r>
          <w:proofErr w:type="spellEnd"/>
          <w:r>
            <w:t xml:space="preserve"> </w:t>
          </w:r>
          <w:proofErr w:type="spellStart"/>
          <w:r>
            <w:t>Adalimumab</w:t>
          </w:r>
          <w:proofErr w:type="spellEnd"/>
          <w:r>
            <w:t xml:space="preserve"> (</w:t>
          </w:r>
          <w:proofErr w:type="spellStart"/>
          <w:r>
            <w:t>rch</w:t>
          </w:r>
          <w:proofErr w:type="spellEnd"/>
          <w:r>
            <w:t>) AbbVie P/L PM-2014</w:t>
          </w:r>
          <w:r w:rsidRPr="00487162">
            <w:t>-</w:t>
          </w:r>
          <w:r>
            <w:t xml:space="preserve">01048-1-3 </w:t>
          </w:r>
          <w:r w:rsidRPr="00416DC1">
            <w:t>Final 10 December 2015</w:t>
          </w:r>
        </w:p>
      </w:tc>
      <w:tc>
        <w:tcPr>
          <w:tcW w:w="1490" w:type="dxa"/>
          <w:tcMar>
            <w:top w:w="142" w:type="dxa"/>
            <w:bottom w:w="0" w:type="dxa"/>
          </w:tcMar>
        </w:tcPr>
        <w:p w:rsidR="006A6EFF" w:rsidRPr="00487162" w:rsidRDefault="006A6EFF" w:rsidP="00DB750B">
          <w:pPr>
            <w:pStyle w:val="Footer"/>
            <w:jc w:val="right"/>
          </w:pPr>
          <w:r w:rsidRPr="00487162">
            <w:t xml:space="preserve">Page </w:t>
          </w:r>
          <w:r>
            <w:fldChar w:fldCharType="begin"/>
          </w:r>
          <w:r>
            <w:instrText xml:space="preserve"> PAGE  \* Arabic </w:instrText>
          </w:r>
          <w:r>
            <w:fldChar w:fldCharType="separate"/>
          </w:r>
          <w:r w:rsidR="00BD604B">
            <w:rPr>
              <w:noProof/>
            </w:rPr>
            <w:t>48</w:t>
          </w:r>
          <w:r>
            <w:fldChar w:fldCharType="end"/>
          </w:r>
          <w:r w:rsidRPr="00487162">
            <w:t xml:space="preserve"> of </w:t>
          </w:r>
          <w:r w:rsidR="00BD604B">
            <w:fldChar w:fldCharType="begin"/>
          </w:r>
          <w:r w:rsidR="00BD604B">
            <w:instrText xml:space="preserve"> NUMPAGES  \* Arabic </w:instrText>
          </w:r>
          <w:r w:rsidR="00BD604B">
            <w:fldChar w:fldCharType="separate"/>
          </w:r>
          <w:r w:rsidR="00BD604B">
            <w:rPr>
              <w:noProof/>
            </w:rPr>
            <w:t>49</w:t>
          </w:r>
          <w:r w:rsidR="00BD604B">
            <w:rPr>
              <w:noProof/>
            </w:rPr>
            <w:fldChar w:fldCharType="end"/>
          </w:r>
        </w:p>
      </w:tc>
    </w:tr>
  </w:tbl>
  <w:p w:rsidR="006A6EFF" w:rsidRDefault="006A6EFF" w:rsidP="003D1E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A6EFF" w:rsidRPr="00487162" w:rsidTr="00E45619">
      <w:trPr>
        <w:trHeight w:val="269"/>
      </w:trPr>
      <w:tc>
        <w:tcPr>
          <w:tcW w:w="4519" w:type="dxa"/>
          <w:tcBorders>
            <w:top w:val="single" w:sz="4" w:space="0" w:color="auto"/>
          </w:tcBorders>
          <w:tcMar>
            <w:top w:w="142" w:type="dxa"/>
            <w:bottom w:w="0" w:type="dxa"/>
          </w:tcMar>
        </w:tcPr>
        <w:p w:rsidR="006A6EFF" w:rsidRPr="00487162" w:rsidRDefault="006A6EFF" w:rsidP="00FE1DEE">
          <w:pPr>
            <w:pStyle w:val="Footer"/>
          </w:pPr>
          <w:r w:rsidRPr="00487162">
            <w:t>Document title, Part #, Section # - Section title</w:t>
          </w:r>
        </w:p>
        <w:p w:rsidR="006A6EFF" w:rsidRPr="00487162" w:rsidRDefault="006A6EFF" w:rsidP="00FE1DEE">
          <w:pPr>
            <w:pStyle w:val="Footer"/>
          </w:pPr>
          <w:r w:rsidRPr="00487162">
            <w:t>V1.0 October 2010</w:t>
          </w:r>
        </w:p>
      </w:tc>
      <w:tc>
        <w:tcPr>
          <w:tcW w:w="4342" w:type="dxa"/>
          <w:tcBorders>
            <w:top w:val="single" w:sz="4" w:space="0" w:color="auto"/>
          </w:tcBorders>
          <w:tcMar>
            <w:top w:w="142" w:type="dxa"/>
            <w:bottom w:w="0" w:type="dxa"/>
          </w:tcMar>
        </w:tcPr>
        <w:p w:rsidR="006A6EFF" w:rsidRPr="00487162" w:rsidRDefault="006A6EFF"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r w:rsidR="00BD604B">
            <w:fldChar w:fldCharType="begin"/>
          </w:r>
          <w:r w:rsidR="00BD604B">
            <w:instrText xml:space="preserve"> NUMPAGES  </w:instrText>
          </w:r>
          <w:r w:rsidR="00BD604B">
            <w:fldChar w:fldCharType="separate"/>
          </w:r>
          <w:r>
            <w:rPr>
              <w:noProof/>
            </w:rPr>
            <w:t>1</w:t>
          </w:r>
          <w:r w:rsidR="00BD604B">
            <w:rPr>
              <w:noProof/>
            </w:rPr>
            <w:fldChar w:fldCharType="end"/>
          </w:r>
        </w:p>
      </w:tc>
    </w:tr>
  </w:tbl>
  <w:p w:rsidR="006A6EFF" w:rsidRDefault="006A6E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Pr="001C32CD" w:rsidRDefault="006A6EFF" w:rsidP="001C32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A6EFF" w:rsidTr="0010601F">
      <w:trPr>
        <w:trHeight w:val="108"/>
      </w:trPr>
      <w:tc>
        <w:tcPr>
          <w:tcW w:w="8875" w:type="dxa"/>
          <w:gridSpan w:val="2"/>
          <w:tcBorders>
            <w:bottom w:val="single" w:sz="4" w:space="0" w:color="auto"/>
          </w:tcBorders>
          <w:tcMar>
            <w:right w:w="284" w:type="dxa"/>
          </w:tcMar>
        </w:tcPr>
        <w:p w:rsidR="006A6EFF" w:rsidRDefault="006A6EFF" w:rsidP="006E08B3">
          <w:pPr>
            <w:pStyle w:val="Heading3"/>
          </w:pPr>
          <w:r>
            <w:t>Copyright</w:t>
          </w:r>
        </w:p>
        <w:p w:rsidR="006A6EFF" w:rsidRDefault="006A6EFF" w:rsidP="006E08B3">
          <w:r>
            <w:rPr>
              <w:rFonts w:cs="Arial"/>
            </w:rPr>
            <w:t>©</w:t>
          </w:r>
          <w:r>
            <w:t xml:space="preserve"> Commonwealth of Australia [add year]</w:t>
          </w:r>
        </w:p>
        <w:p w:rsidR="006A6EFF" w:rsidRDefault="006A6EFF" w:rsidP="006E08B3"/>
        <w:p w:rsidR="006A6EFF" w:rsidRDefault="006A6EFF"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A6EFF" w:rsidRDefault="006A6EFF" w:rsidP="006E08B3"/>
        <w:p w:rsidR="006A6EFF" w:rsidRDefault="006A6EFF" w:rsidP="006E08B3">
          <w:pPr>
            <w:pStyle w:val="Heading3"/>
          </w:pPr>
          <w:r>
            <w:t>Confidentiality</w:t>
          </w:r>
        </w:p>
        <w:p w:rsidR="006A6EFF" w:rsidRDefault="006A6EFF"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A6EFF" w:rsidRDefault="006A6EFF" w:rsidP="006E08B3"/>
        <w:p w:rsidR="006A6EFF" w:rsidRDefault="006A6EFF" w:rsidP="006E08B3">
          <w:r>
            <w:t>For submission made by individuals, all personal details, other than your name, will be removed from your submission before it is published on the TGA’s Internet site.</w:t>
          </w:r>
        </w:p>
        <w:p w:rsidR="006A6EFF" w:rsidRDefault="006A6EFF" w:rsidP="006E08B3"/>
        <w:p w:rsidR="006A6EFF" w:rsidRDefault="006A6EFF" w:rsidP="006E08B3">
          <w:r>
            <w:t xml:space="preserve">In addition, a list of parties making submissions will be published. If you do not wish to be identified with your submission you must specifically request this in the space provided </w:t>
          </w:r>
          <w:proofErr w:type="spellStart"/>
          <w:r>
            <w:t>ib</w:t>
          </w:r>
          <w:proofErr w:type="spellEnd"/>
          <w:r>
            <w:t xml:space="preserve"> the submission coversheet.</w:t>
          </w:r>
        </w:p>
      </w:tc>
    </w:tr>
    <w:tr w:rsidR="006A6EFF" w:rsidTr="0010601F">
      <w:trPr>
        <w:trHeight w:val="417"/>
      </w:trPr>
      <w:tc>
        <w:tcPr>
          <w:tcW w:w="4519" w:type="dxa"/>
          <w:tcBorders>
            <w:top w:val="single" w:sz="4" w:space="0" w:color="auto"/>
          </w:tcBorders>
          <w:tcMar>
            <w:top w:w="142" w:type="dxa"/>
            <w:bottom w:w="0" w:type="dxa"/>
          </w:tcMar>
        </w:tcPr>
        <w:p w:rsidR="006A6EFF" w:rsidRDefault="006A6EFF" w:rsidP="006E08B3">
          <w:r>
            <w:t>Document title, Part #, Section # - Section title</w:t>
          </w:r>
        </w:p>
        <w:p w:rsidR="006A6EFF" w:rsidRDefault="006A6EFF" w:rsidP="006E08B3">
          <w:r>
            <w:t>V1.0 October 2010</w:t>
          </w:r>
        </w:p>
      </w:tc>
      <w:tc>
        <w:tcPr>
          <w:tcW w:w="4356" w:type="dxa"/>
          <w:tcBorders>
            <w:top w:val="single" w:sz="4" w:space="0" w:color="auto"/>
          </w:tcBorders>
          <w:tcMar>
            <w:top w:w="142" w:type="dxa"/>
            <w:bottom w:w="0" w:type="dxa"/>
          </w:tcMar>
        </w:tcPr>
        <w:p w:rsidR="006A6EFF" w:rsidRDefault="006A6EFF"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r w:rsidR="00BD604B">
            <w:fldChar w:fldCharType="begin"/>
          </w:r>
          <w:r w:rsidR="00BD604B">
            <w:instrText xml:space="preserve"> NUMPAGES  \* Arabic </w:instrText>
          </w:r>
          <w:r w:rsidR="00BD604B">
            <w:fldChar w:fldCharType="separate"/>
          </w:r>
          <w:r>
            <w:rPr>
              <w:noProof/>
            </w:rPr>
            <w:t>1</w:t>
          </w:r>
          <w:r w:rsidR="00BD604B">
            <w:rPr>
              <w:noProof/>
            </w:rPr>
            <w:fldChar w:fldCharType="end"/>
          </w:r>
          <w:r>
            <w:t xml:space="preserve"> </w:t>
          </w:r>
        </w:p>
      </w:tc>
    </w:tr>
  </w:tbl>
  <w:p w:rsidR="006A6EFF" w:rsidRDefault="006A6E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EFF" w:rsidRDefault="006A6EFF" w:rsidP="00C40A36">
      <w:pPr>
        <w:spacing w:after="0"/>
      </w:pPr>
      <w:r>
        <w:separator/>
      </w:r>
    </w:p>
  </w:footnote>
  <w:footnote w:type="continuationSeparator" w:id="0">
    <w:p w:rsidR="006A6EFF" w:rsidRDefault="006A6EFF" w:rsidP="00C40A36">
      <w:pPr>
        <w:spacing w:after="0"/>
      </w:pPr>
      <w:r>
        <w:continuationSeparator/>
      </w:r>
    </w:p>
  </w:footnote>
  <w:footnote w:id="1">
    <w:p w:rsidR="006A6EFF" w:rsidRPr="005F01A3" w:rsidRDefault="006A6EFF" w:rsidP="005F01A3">
      <w:pPr>
        <w:pStyle w:val="FootnoteText"/>
        <w:rPr>
          <w:i/>
          <w:lang w:val="en-US"/>
        </w:rPr>
      </w:pPr>
      <w:r w:rsidRPr="00B7764D">
        <w:rPr>
          <w:rStyle w:val="FootnoteReference"/>
          <w:szCs w:val="18"/>
        </w:rPr>
        <w:footnoteRef/>
      </w:r>
      <w:r w:rsidRPr="00B7764D">
        <w:t xml:space="preserve"> </w:t>
      </w:r>
      <w:r>
        <w:t xml:space="preserve">Full indications: </w:t>
      </w:r>
      <w:r w:rsidRPr="005F01A3">
        <w:rPr>
          <w:i/>
          <w:lang w:val="en-US"/>
        </w:rPr>
        <w:t xml:space="preserve">Rheumatoid Arthritis: </w:t>
      </w:r>
      <w:proofErr w:type="spellStart"/>
      <w:r w:rsidRPr="005F01A3">
        <w:rPr>
          <w:i/>
          <w:lang w:val="en-US"/>
        </w:rPr>
        <w:t>Humira</w:t>
      </w:r>
      <w:proofErr w:type="spellEnd"/>
      <w:r w:rsidRPr="005F01A3">
        <w:rPr>
          <w:i/>
          <w:lang w:val="en-US"/>
        </w:rPr>
        <w:t xml:space="preserve"> is indicated for reducing signs and symptoms, as well as inhibiting the progression of structural damage in adult patients with moderate to severely active rheumatoid arthritis. This includes the treatment of patients with recently diagnosed moderate to severely active disease who have not received methotrexate. </w:t>
      </w:r>
      <w:proofErr w:type="spellStart"/>
      <w:r w:rsidRPr="005F01A3">
        <w:rPr>
          <w:i/>
          <w:lang w:val="en-US"/>
        </w:rPr>
        <w:t>Humira</w:t>
      </w:r>
      <w:proofErr w:type="spellEnd"/>
      <w:r w:rsidRPr="005F01A3">
        <w:rPr>
          <w:i/>
          <w:lang w:val="en-US"/>
        </w:rPr>
        <w:t xml:space="preserve"> can be used alone or in combination with methotrexate.</w:t>
      </w:r>
    </w:p>
    <w:p w:rsidR="006A6EFF" w:rsidRPr="005F01A3" w:rsidRDefault="006A6EFF" w:rsidP="005F01A3">
      <w:pPr>
        <w:pStyle w:val="FootnoteText"/>
        <w:rPr>
          <w:i/>
          <w:lang w:val="en-US"/>
        </w:rPr>
      </w:pPr>
      <w:r w:rsidRPr="005F01A3">
        <w:rPr>
          <w:i/>
          <w:color w:val="000000"/>
          <w:lang w:val="en-US"/>
        </w:rPr>
        <w:t xml:space="preserve">Polyarticular Juvenile Idiopathic Arthritis: </w:t>
      </w:r>
      <w:proofErr w:type="spellStart"/>
      <w:r w:rsidRPr="005F01A3">
        <w:rPr>
          <w:i/>
          <w:lang w:val="en-US"/>
        </w:rPr>
        <w:t>Humira</w:t>
      </w:r>
      <w:proofErr w:type="spellEnd"/>
      <w:r w:rsidRPr="005F01A3">
        <w:rPr>
          <w:i/>
          <w:lang w:val="en-US"/>
        </w:rPr>
        <w:t xml:space="preserve"> in combination with methotrexate is indicated for reducing the signs and symptoms of moderately to severely active polyarticular juvenile idiopathic arthritis in patients aged 4 years of age and older. </w:t>
      </w:r>
      <w:proofErr w:type="spellStart"/>
      <w:r w:rsidRPr="005F01A3">
        <w:rPr>
          <w:i/>
          <w:lang w:val="en-US"/>
        </w:rPr>
        <w:t>Humira</w:t>
      </w:r>
      <w:proofErr w:type="spellEnd"/>
      <w:r w:rsidRPr="005F01A3">
        <w:rPr>
          <w:i/>
          <w:lang w:val="en-US"/>
        </w:rPr>
        <w:t xml:space="preserve"> can be given as monotherapy in case of intolerance or when continued treatment with methotrexate is inappropriate.</w:t>
      </w:r>
    </w:p>
    <w:p w:rsidR="006A6EFF" w:rsidRPr="005F01A3" w:rsidRDefault="006A6EFF" w:rsidP="005F01A3">
      <w:pPr>
        <w:pStyle w:val="FootnoteText"/>
        <w:rPr>
          <w:i/>
          <w:lang w:val="en-US"/>
        </w:rPr>
      </w:pPr>
      <w:r w:rsidRPr="005F01A3">
        <w:rPr>
          <w:i/>
          <w:lang w:val="en-US"/>
        </w:rPr>
        <w:t xml:space="preserve">Psoriatic Arthritis: </w:t>
      </w:r>
      <w:proofErr w:type="spellStart"/>
      <w:r w:rsidRPr="005F01A3">
        <w:rPr>
          <w:i/>
          <w:lang w:val="en-US"/>
        </w:rPr>
        <w:t>Humira</w:t>
      </w:r>
      <w:proofErr w:type="spellEnd"/>
      <w:r w:rsidRPr="005F01A3">
        <w:rPr>
          <w:i/>
          <w:lang w:val="en-US"/>
        </w:rPr>
        <w:t xml:space="preserve"> is indicated for the treatment of signs and symptoms, as well as inhibiting the progression of structural damage, of moderate to severely active psoriatic arthritis in adult patients where response to previous DMARDs has been inadequate.</w:t>
      </w:r>
    </w:p>
    <w:p w:rsidR="006A6EFF" w:rsidRPr="005F01A3" w:rsidRDefault="006A6EFF" w:rsidP="005F01A3">
      <w:pPr>
        <w:pStyle w:val="FootnoteText"/>
        <w:rPr>
          <w:i/>
          <w:lang w:val="en-US"/>
        </w:rPr>
      </w:pPr>
      <w:r w:rsidRPr="005F01A3">
        <w:rPr>
          <w:i/>
          <w:lang w:val="en-US"/>
        </w:rPr>
        <w:t xml:space="preserve">Ankylosing Spondylitis: </w:t>
      </w:r>
      <w:proofErr w:type="spellStart"/>
      <w:r w:rsidRPr="005F01A3">
        <w:rPr>
          <w:i/>
          <w:lang w:val="en-US"/>
        </w:rPr>
        <w:t>Humira</w:t>
      </w:r>
      <w:proofErr w:type="spellEnd"/>
      <w:r w:rsidRPr="005F01A3">
        <w:rPr>
          <w:i/>
          <w:lang w:val="en-US"/>
        </w:rPr>
        <w:t xml:space="preserve"> is indicated for reducing signs and symptoms in patients with active ankylosing spondylitis.</w:t>
      </w:r>
    </w:p>
    <w:p w:rsidR="006A6EFF" w:rsidRPr="005F01A3" w:rsidRDefault="006A6EFF" w:rsidP="005F01A3">
      <w:pPr>
        <w:pStyle w:val="FootnoteText"/>
        <w:rPr>
          <w:i/>
          <w:lang w:val="en-US"/>
        </w:rPr>
      </w:pPr>
      <w:r w:rsidRPr="005F01A3">
        <w:rPr>
          <w:i/>
          <w:lang w:val="en-US"/>
        </w:rPr>
        <w:t xml:space="preserve">Crohn’s Disease: </w:t>
      </w:r>
      <w:proofErr w:type="spellStart"/>
      <w:r w:rsidRPr="005F01A3">
        <w:rPr>
          <w:i/>
          <w:lang w:val="en-US"/>
        </w:rPr>
        <w:t>Humira</w:t>
      </w:r>
      <w:proofErr w:type="spellEnd"/>
      <w:r w:rsidRPr="005F01A3">
        <w:rPr>
          <w:i/>
          <w:lang w:val="en-US"/>
        </w:rPr>
        <w:t xml:space="preserve"> is indicated for the treatment of moderate to severe Crohn’s disease in adults to reduce the signs and symptoms of the disease and to induce and maintain clinical remission in patients who have had an inadequate response to conventional therapies, or who have lost response to or are intolerant of infliximab.</w:t>
      </w:r>
    </w:p>
    <w:p w:rsidR="006A6EFF" w:rsidRPr="005F01A3" w:rsidRDefault="006A6EFF" w:rsidP="005F01A3">
      <w:pPr>
        <w:pStyle w:val="FootnoteText"/>
        <w:rPr>
          <w:i/>
          <w:lang w:val="en-US"/>
        </w:rPr>
      </w:pPr>
      <w:r w:rsidRPr="005F01A3">
        <w:rPr>
          <w:i/>
          <w:lang w:val="en-US"/>
        </w:rPr>
        <w:t xml:space="preserve">Ulcerative colitis: </w:t>
      </w:r>
      <w:proofErr w:type="spellStart"/>
      <w:r w:rsidRPr="005F01A3">
        <w:rPr>
          <w:i/>
          <w:lang w:val="en-US"/>
        </w:rPr>
        <w:t>Humira</w:t>
      </w:r>
      <w:proofErr w:type="spellEnd"/>
      <w:r w:rsidRPr="005F01A3">
        <w:rPr>
          <w:i/>
          <w:lang w:val="en-US"/>
        </w:rPr>
        <w:t xml:space="preserve"> is indicated for the treatment of moderate to severe ulcerative colitis in adult patients who have had an inadequate response to conventional therapy or who are intolerant to or have medical contraindications for such therapies. Patients should show a clinical response within 8 weeks of treatment to continue treatment beyond that time (see CLINICAL TRIALS).</w:t>
      </w:r>
    </w:p>
    <w:p w:rsidR="006A6EFF" w:rsidRPr="005F01A3" w:rsidRDefault="006A6EFF" w:rsidP="005F01A3">
      <w:pPr>
        <w:pStyle w:val="FootnoteText"/>
        <w:rPr>
          <w:i/>
          <w:lang w:val="en-US"/>
        </w:rPr>
      </w:pPr>
      <w:r w:rsidRPr="005F01A3">
        <w:rPr>
          <w:i/>
          <w:lang w:val="en-US"/>
        </w:rPr>
        <w:t xml:space="preserve">Psoriasis: </w:t>
      </w:r>
      <w:proofErr w:type="spellStart"/>
      <w:r w:rsidRPr="005F01A3">
        <w:rPr>
          <w:i/>
          <w:lang w:val="en-US"/>
        </w:rPr>
        <w:t>Humira</w:t>
      </w:r>
      <w:proofErr w:type="spellEnd"/>
      <w:r w:rsidRPr="005F01A3">
        <w:rPr>
          <w:i/>
          <w:lang w:val="en-US"/>
        </w:rPr>
        <w:t xml:space="preserve"> is indicated for the treatment of moderate to severe chronic plaque psoriasis in adult patients who are candidates for systemic therapy or phototherapy.</w:t>
      </w:r>
    </w:p>
  </w:footnote>
  <w:footnote w:id="2">
    <w:p w:rsidR="006A6EFF" w:rsidRPr="002B4974" w:rsidRDefault="006A6EFF" w:rsidP="00BB5741">
      <w:pPr>
        <w:pStyle w:val="FootnoteText"/>
        <w:rPr>
          <w:lang w:eastAsia="en-AU"/>
        </w:rPr>
      </w:pPr>
      <w:r w:rsidRPr="002B4974">
        <w:rPr>
          <w:rStyle w:val="FootnoteReference"/>
          <w:szCs w:val="18"/>
        </w:rPr>
        <w:footnoteRef/>
      </w:r>
      <w:r w:rsidRPr="002B4974">
        <w:t xml:space="preserve"> ELISA=</w:t>
      </w:r>
      <w:r w:rsidRPr="002B4974">
        <w:rPr>
          <w:lang w:eastAsia="en-AU"/>
        </w:rPr>
        <w:t xml:space="preserve">enzyme-linked </w:t>
      </w:r>
      <w:proofErr w:type="spellStart"/>
      <w:r w:rsidRPr="002B4974">
        <w:rPr>
          <w:lang w:eastAsia="en-AU"/>
        </w:rPr>
        <w:t>immunosorbent</w:t>
      </w:r>
      <w:proofErr w:type="spellEnd"/>
      <w:r w:rsidRPr="002B4974">
        <w:rPr>
          <w:lang w:eastAsia="en-AU"/>
        </w:rPr>
        <w:t xml:space="preserve"> assay</w:t>
      </w:r>
    </w:p>
  </w:footnote>
  <w:footnote w:id="3">
    <w:p w:rsidR="006A6EFF" w:rsidRPr="00EF55F9" w:rsidRDefault="006A6EFF" w:rsidP="00BB5741">
      <w:pPr>
        <w:pStyle w:val="FootnoteText"/>
      </w:pPr>
      <w:r w:rsidRPr="00EF55F9">
        <w:rPr>
          <w:rStyle w:val="FootnoteReference"/>
          <w:szCs w:val="18"/>
        </w:rPr>
        <w:footnoteRef/>
      </w:r>
      <w:r w:rsidRPr="00EF55F9">
        <w:t xml:space="preserve"> </w:t>
      </w:r>
      <w:proofErr w:type="spellStart"/>
      <w:r w:rsidRPr="00EF55F9">
        <w:t>PedACR</w:t>
      </w:r>
      <w:proofErr w:type="spellEnd"/>
      <w:r w:rsidRPr="00EF55F9">
        <w:t xml:space="preserve"> 30/50/70/90 responses are defined as follows: ≥30/50/70/90% improvement in ≥ 3 of the 6 JIA core set variables and ≥ 30% worsening in not more than 1 of the 6 JIA core set cr</w:t>
      </w:r>
      <w:r>
        <w:t>iteria. The 6 JIA criteria are:</w:t>
      </w:r>
    </w:p>
    <w:p w:rsidR="006A6EFF" w:rsidRPr="00EF55F9" w:rsidRDefault="006A6EFF" w:rsidP="00BB5741">
      <w:pPr>
        <w:pStyle w:val="FootnoteText"/>
        <w:numPr>
          <w:ilvl w:val="0"/>
          <w:numId w:val="38"/>
        </w:numPr>
      </w:pPr>
      <w:r w:rsidRPr="00EF55F9">
        <w:t>PGA of subject'</w:t>
      </w:r>
      <w:r>
        <w:t>s disease activity (100 mm VAS)</w:t>
      </w:r>
    </w:p>
    <w:p w:rsidR="006A6EFF" w:rsidRPr="00EF55F9" w:rsidRDefault="006A6EFF" w:rsidP="00BB5741">
      <w:pPr>
        <w:pStyle w:val="FootnoteText"/>
        <w:numPr>
          <w:ilvl w:val="0"/>
          <w:numId w:val="38"/>
        </w:numPr>
      </w:pPr>
      <w:r w:rsidRPr="00EF55F9">
        <w:t>Parent's global assessment of subject's disease activi</w:t>
      </w:r>
      <w:r>
        <w:t>ty (100 mm VAS)</w:t>
      </w:r>
    </w:p>
    <w:p w:rsidR="006A6EFF" w:rsidRPr="00EF55F9" w:rsidRDefault="006A6EFF" w:rsidP="00BB5741">
      <w:pPr>
        <w:pStyle w:val="FootnoteText"/>
        <w:numPr>
          <w:ilvl w:val="0"/>
          <w:numId w:val="38"/>
        </w:numPr>
      </w:pPr>
      <w:r w:rsidRPr="00EF55F9">
        <w:t>Number of active joints (joints with swelling not due to deformity or joints with limitation of passive motion (LOM) and with pain on passive mo</w:t>
      </w:r>
      <w:r>
        <w:t>tion (POM), tenderness or both)</w:t>
      </w:r>
    </w:p>
    <w:p w:rsidR="006A6EFF" w:rsidRPr="00EF55F9" w:rsidRDefault="006A6EFF" w:rsidP="00BB5741">
      <w:pPr>
        <w:pStyle w:val="FootnoteText"/>
        <w:numPr>
          <w:ilvl w:val="0"/>
          <w:numId w:val="38"/>
        </w:numPr>
      </w:pPr>
      <w:r>
        <w:t>Number of joints with LOM</w:t>
      </w:r>
    </w:p>
    <w:p w:rsidR="006A6EFF" w:rsidRPr="00EF55F9" w:rsidRDefault="006A6EFF" w:rsidP="00BB5741">
      <w:pPr>
        <w:pStyle w:val="FootnoteText"/>
        <w:numPr>
          <w:ilvl w:val="0"/>
          <w:numId w:val="38"/>
        </w:numPr>
      </w:pPr>
      <w:r>
        <w:t>Disability Index of Childhood Health Assessment Questionnaire (DICHAQ)</w:t>
      </w:r>
    </w:p>
    <w:p w:rsidR="006A6EFF" w:rsidRPr="00EF55F9" w:rsidRDefault="006A6EFF" w:rsidP="00BB5741">
      <w:pPr>
        <w:pStyle w:val="FootnoteText"/>
        <w:numPr>
          <w:ilvl w:val="0"/>
          <w:numId w:val="38"/>
        </w:numPr>
      </w:pPr>
      <w:r>
        <w:t>C-reactive protein (</w:t>
      </w:r>
      <w:r w:rsidRPr="00EF55F9">
        <w:t>CRP</w:t>
      </w:r>
      <w:r>
        <w:t>)</w:t>
      </w:r>
    </w:p>
  </w:footnote>
  <w:footnote w:id="4">
    <w:p w:rsidR="006A6EFF" w:rsidRDefault="006A6EFF" w:rsidP="00BB5741">
      <w:pPr>
        <w:pStyle w:val="FootnoteText"/>
      </w:pPr>
      <w:r>
        <w:rPr>
          <w:rStyle w:val="FootnoteReference"/>
        </w:rPr>
        <w:footnoteRef/>
      </w:r>
      <w:r>
        <w:t xml:space="preserve"> Prior medications included </w:t>
      </w:r>
      <w:r w:rsidRPr="00646CFB">
        <w:rPr>
          <w:lang w:val="en-US"/>
        </w:rPr>
        <w:t xml:space="preserve">MTX taken by </w:t>
      </w:r>
      <w:r>
        <w:rPr>
          <w:lang w:val="en-US"/>
        </w:rPr>
        <w:t>78.1</w:t>
      </w:r>
      <w:r w:rsidRPr="00646CFB">
        <w:rPr>
          <w:lang w:val="en-US"/>
        </w:rPr>
        <w:t>% (N=2</w:t>
      </w:r>
      <w:r>
        <w:rPr>
          <w:lang w:val="en-US"/>
        </w:rPr>
        <w:t>5</w:t>
      </w:r>
      <w:r w:rsidRPr="00646CFB">
        <w:rPr>
          <w:lang w:val="en-US"/>
        </w:rPr>
        <w:t xml:space="preserve">) of </w:t>
      </w:r>
      <w:r w:rsidRPr="00BB5741">
        <w:t>patients</w:t>
      </w:r>
      <w:r w:rsidRPr="00646CFB">
        <w:rPr>
          <w:lang w:val="en-US"/>
        </w:rPr>
        <w:t xml:space="preserve">, systemic NSAIDs </w:t>
      </w:r>
      <w:r>
        <w:rPr>
          <w:lang w:val="en-US"/>
        </w:rPr>
        <w:t xml:space="preserve">taken </w:t>
      </w:r>
      <w:r w:rsidRPr="00646CFB">
        <w:rPr>
          <w:lang w:val="en-US"/>
        </w:rPr>
        <w:t xml:space="preserve">by </w:t>
      </w:r>
      <w:r>
        <w:rPr>
          <w:lang w:val="en-US"/>
        </w:rPr>
        <w:t>62.5</w:t>
      </w:r>
      <w:r w:rsidRPr="00646CFB">
        <w:rPr>
          <w:lang w:val="en-US"/>
        </w:rPr>
        <w:t xml:space="preserve">% (N=20) of patients, and systemic corticosteroids </w:t>
      </w:r>
      <w:r>
        <w:rPr>
          <w:lang w:val="en-US"/>
        </w:rPr>
        <w:t xml:space="preserve">taken </w:t>
      </w:r>
      <w:r w:rsidRPr="00646CFB">
        <w:rPr>
          <w:lang w:val="en-US"/>
        </w:rPr>
        <w:t>by 6</w:t>
      </w:r>
      <w:r>
        <w:rPr>
          <w:lang w:val="en-US"/>
        </w:rPr>
        <w:t>8</w:t>
      </w:r>
      <w:r w:rsidRPr="00646CFB">
        <w:rPr>
          <w:lang w:val="en-US"/>
        </w:rPr>
        <w:t>.</w:t>
      </w:r>
      <w:r>
        <w:rPr>
          <w:lang w:val="en-US"/>
        </w:rPr>
        <w:t>8</w:t>
      </w:r>
      <w:r w:rsidRPr="00646CFB">
        <w:rPr>
          <w:lang w:val="en-US"/>
        </w:rPr>
        <w:t>% (N=2</w:t>
      </w:r>
      <w:r>
        <w:rPr>
          <w:lang w:val="en-US"/>
        </w:rPr>
        <w:t>2</w:t>
      </w:r>
      <w:r w:rsidRPr="00646CFB">
        <w:rPr>
          <w:lang w:val="en-US"/>
        </w:rPr>
        <w:t xml:space="preserve">) of patients. </w:t>
      </w:r>
    </w:p>
  </w:footnote>
  <w:footnote w:id="5">
    <w:p w:rsidR="006A6EFF" w:rsidRPr="00F071E1" w:rsidRDefault="006A6EFF" w:rsidP="00365B01">
      <w:pPr>
        <w:pStyle w:val="FootnoteText"/>
      </w:pPr>
      <w:r w:rsidRPr="00F071E1">
        <w:rPr>
          <w:rStyle w:val="FootnoteReference"/>
          <w:rFonts w:asciiTheme="minorHAnsi" w:hAnsiTheme="minorHAnsi"/>
          <w:b/>
          <w:szCs w:val="18"/>
        </w:rPr>
        <w:footnoteRef/>
      </w:r>
      <w:r w:rsidRPr="00F071E1">
        <w:t xml:space="preserve">The PPD skin test is a method used to diagnose silent (latent) tuberculosis (TB) infection. PPD stands for purified protein derivative.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rsidP="00E45619">
    <w:pPr>
      <w:pStyle w:val="Header"/>
    </w:pPr>
    <w:r>
      <w:t>Therapeutic Goods Administration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rPr>
        <w:noProof/>
        <w:lang w:eastAsia="en-AU"/>
      </w:rPr>
    </w:pPr>
    <w:r w:rsidRPr="00347824">
      <w:rPr>
        <w:noProof/>
        <w:lang w:eastAsia="en-AU"/>
      </w:rPr>
      <w:drawing>
        <wp:anchor distT="0" distB="0" distL="114300" distR="114300" simplePos="0" relativeHeight="251659264" behindDoc="1" locked="0" layoutInCell="1" allowOverlap="1" wp14:anchorId="2AE48340" wp14:editId="1B8BE686">
          <wp:simplePos x="0" y="0"/>
          <wp:positionH relativeFrom="column">
            <wp:posOffset>-1089660</wp:posOffset>
          </wp:positionH>
          <wp:positionV relativeFrom="paragraph">
            <wp:posOffset>-585470</wp:posOffset>
          </wp:positionV>
          <wp:extent cx="7572375" cy="10706100"/>
          <wp:effectExtent l="19050" t="0" r="0" b="0"/>
          <wp:wrapNone/>
          <wp:docPr id="21"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A6EFF" w:rsidRDefault="006A6EFF" w:rsidP="00593AD1">
    <w:pPr>
      <w:pStyle w:val="HeaderNoLine"/>
    </w:pPr>
    <w:r>
      <w:rPr>
        <w:noProof/>
        <w:lang w:eastAsia="en-AU"/>
      </w:rPr>
      <w:drawing>
        <wp:inline distT="0" distB="0" distL="0" distR="0" wp14:anchorId="611765F7" wp14:editId="59AF92EA">
          <wp:extent cx="5400675" cy="7639050"/>
          <wp:effectExtent l="0" t="0" r="9525" b="0"/>
          <wp:docPr id="22" name="Picture 22"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Header"/>
    </w:pPr>
    <w:r>
      <w:t>Therapeutic Goods Administration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rsidP="004C239D">
    <w:pPr>
      <w:pStyle w:val="HeaderNoLin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FF" w:rsidRDefault="006A6EFF" w:rsidP="006E08B3">
    <w:r>
      <w:t>Therapeutic Goods Administration</w:t>
    </w:r>
  </w:p>
  <w:p w:rsidR="006A6EFF" w:rsidRDefault="006A6EFF"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3AB710"/>
    <w:lvl w:ilvl="0">
      <w:start w:val="1"/>
      <w:numFmt w:val="decimal"/>
      <w:lvlText w:val="%1."/>
      <w:lvlJc w:val="left"/>
      <w:pPr>
        <w:tabs>
          <w:tab w:val="num" w:pos="1492"/>
        </w:tabs>
        <w:ind w:left="1492" w:hanging="360"/>
      </w:pPr>
    </w:lvl>
  </w:abstractNum>
  <w:abstractNum w:abstractNumId="1">
    <w:nsid w:val="FFFFFF7D"/>
    <w:multiLevelType w:val="singleLevel"/>
    <w:tmpl w:val="9EB29998"/>
    <w:lvl w:ilvl="0">
      <w:start w:val="1"/>
      <w:numFmt w:val="decimal"/>
      <w:lvlText w:val="%1."/>
      <w:lvlJc w:val="left"/>
      <w:pPr>
        <w:tabs>
          <w:tab w:val="num" w:pos="1209"/>
        </w:tabs>
        <w:ind w:left="1209" w:hanging="360"/>
      </w:pPr>
    </w:lvl>
  </w:abstractNum>
  <w:abstractNum w:abstractNumId="2">
    <w:nsid w:val="FFFFFF7E"/>
    <w:multiLevelType w:val="singleLevel"/>
    <w:tmpl w:val="A6C694E6"/>
    <w:lvl w:ilvl="0">
      <w:start w:val="1"/>
      <w:numFmt w:val="decimal"/>
      <w:lvlText w:val="%1."/>
      <w:lvlJc w:val="left"/>
      <w:pPr>
        <w:tabs>
          <w:tab w:val="num" w:pos="926"/>
        </w:tabs>
        <w:ind w:left="926" w:hanging="360"/>
      </w:pPr>
    </w:lvl>
  </w:abstractNum>
  <w:abstractNum w:abstractNumId="3">
    <w:nsid w:val="FFFFFF7F"/>
    <w:multiLevelType w:val="singleLevel"/>
    <w:tmpl w:val="2244E0CC"/>
    <w:lvl w:ilvl="0">
      <w:start w:val="1"/>
      <w:numFmt w:val="decimal"/>
      <w:lvlText w:val="%1."/>
      <w:lvlJc w:val="left"/>
      <w:pPr>
        <w:tabs>
          <w:tab w:val="num" w:pos="643"/>
        </w:tabs>
        <w:ind w:left="643" w:hanging="360"/>
      </w:pPr>
    </w:lvl>
  </w:abstractNum>
  <w:abstractNum w:abstractNumId="4">
    <w:nsid w:val="FFFFFF80"/>
    <w:multiLevelType w:val="singleLevel"/>
    <w:tmpl w:val="DAFA61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648353C"/>
    <w:lvl w:ilvl="0">
      <w:start w:val="1"/>
      <w:numFmt w:val="bullet"/>
      <w:lvlText w:val=""/>
      <w:lvlJc w:val="left"/>
      <w:pPr>
        <w:tabs>
          <w:tab w:val="num" w:pos="1209"/>
        </w:tabs>
        <w:ind w:left="1209" w:hanging="360"/>
      </w:pPr>
      <w:rPr>
        <w:rFonts w:ascii="Symbol" w:hAnsi="Symbol" w:hint="default"/>
      </w:rPr>
    </w:lvl>
  </w:abstractNum>
  <w:abstractNum w:abstractNumId="6">
    <w:nsid w:val="FFFFFF88"/>
    <w:multiLevelType w:val="singleLevel"/>
    <w:tmpl w:val="103633B4"/>
    <w:lvl w:ilvl="0">
      <w:start w:val="1"/>
      <w:numFmt w:val="decimal"/>
      <w:lvlText w:val="%1."/>
      <w:lvlJc w:val="left"/>
      <w:pPr>
        <w:tabs>
          <w:tab w:val="num" w:pos="360"/>
        </w:tabs>
        <w:ind w:left="360" w:hanging="360"/>
      </w:pPr>
    </w:lvl>
  </w:abstractNum>
  <w:abstractNum w:abstractNumId="7">
    <w:nsid w:val="FFFFFF89"/>
    <w:multiLevelType w:val="singleLevel"/>
    <w:tmpl w:val="09A09E14"/>
    <w:lvl w:ilvl="0">
      <w:start w:val="1"/>
      <w:numFmt w:val="bullet"/>
      <w:lvlText w:val=""/>
      <w:lvlJc w:val="left"/>
      <w:pPr>
        <w:tabs>
          <w:tab w:val="num" w:pos="360"/>
        </w:tabs>
        <w:ind w:left="360" w:hanging="360"/>
      </w:pPr>
      <w:rPr>
        <w:rFonts w:ascii="Symbol" w:hAnsi="Symbol" w:hint="default"/>
      </w:rPr>
    </w:lvl>
  </w:abstractNum>
  <w:abstractNum w:abstractNumId="8">
    <w:nsid w:val="0C914420"/>
    <w:multiLevelType w:val="hybridMultilevel"/>
    <w:tmpl w:val="F21CCC24"/>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9">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0">
    <w:nsid w:val="15482C1D"/>
    <w:multiLevelType w:val="hybridMultilevel"/>
    <w:tmpl w:val="B062299E"/>
    <w:lvl w:ilvl="0" w:tplc="0C09000F">
      <w:start w:val="1"/>
      <w:numFmt w:val="decimal"/>
      <w:lvlText w:val="%1."/>
      <w:lvlJc w:val="left"/>
      <w:pPr>
        <w:ind w:left="502" w:hanging="360"/>
      </w:pPr>
    </w:lvl>
    <w:lvl w:ilvl="1" w:tplc="0C090019">
      <w:start w:val="1"/>
      <w:numFmt w:val="lowerLetter"/>
      <w:lvlText w:val="%2."/>
      <w:lvlJc w:val="left"/>
      <w:pPr>
        <w:ind w:left="1222" w:hanging="360"/>
      </w:pPr>
    </w:lvl>
    <w:lvl w:ilvl="2" w:tplc="0C09001B">
      <w:start w:val="1"/>
      <w:numFmt w:val="lowerRoman"/>
      <w:lvlText w:val="%3."/>
      <w:lvlJc w:val="right"/>
      <w:pPr>
        <w:ind w:left="1942" w:hanging="180"/>
      </w:p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start w:val="1"/>
      <w:numFmt w:val="decimal"/>
      <w:lvlText w:val="%7."/>
      <w:lvlJc w:val="left"/>
      <w:pPr>
        <w:ind w:left="4822" w:hanging="360"/>
      </w:pPr>
    </w:lvl>
    <w:lvl w:ilvl="7" w:tplc="0C090019">
      <w:start w:val="1"/>
      <w:numFmt w:val="lowerLetter"/>
      <w:lvlText w:val="%8."/>
      <w:lvlJc w:val="left"/>
      <w:pPr>
        <w:ind w:left="5542" w:hanging="360"/>
      </w:pPr>
    </w:lvl>
    <w:lvl w:ilvl="8" w:tplc="0C09001B">
      <w:start w:val="1"/>
      <w:numFmt w:val="lowerRoman"/>
      <w:lvlText w:val="%9."/>
      <w:lvlJc w:val="right"/>
      <w:pPr>
        <w:ind w:left="6262" w:hanging="180"/>
      </w:pPr>
    </w:lvl>
  </w:abstractNum>
  <w:abstractNum w:abstractNumId="11">
    <w:nsid w:val="164D46F4"/>
    <w:multiLevelType w:val="hybridMultilevel"/>
    <w:tmpl w:val="A21A4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nsid w:val="17067FD5"/>
    <w:multiLevelType w:val="hybridMultilevel"/>
    <w:tmpl w:val="F73EBE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8A61AB8"/>
    <w:multiLevelType w:val="hybridMultilevel"/>
    <w:tmpl w:val="1826E756"/>
    <w:lvl w:ilvl="0" w:tplc="B32C2A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BCF57AC"/>
    <w:multiLevelType w:val="hybridMultilevel"/>
    <w:tmpl w:val="621EA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58483C12">
      <w:numFmt w:val="bullet"/>
      <w:lvlText w:val="•"/>
      <w:lvlJc w:val="left"/>
      <w:pPr>
        <w:ind w:left="2160" w:hanging="360"/>
      </w:pPr>
      <w:rPr>
        <w:rFonts w:ascii="Cambria" w:eastAsia="Cambria" w:hAnsi="Cambria"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315E1676"/>
    <w:multiLevelType w:val="hybridMultilevel"/>
    <w:tmpl w:val="DAFC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B3642EC"/>
    <w:multiLevelType w:val="hybridMultilevel"/>
    <w:tmpl w:val="EE306A50"/>
    <w:lvl w:ilvl="0" w:tplc="03C299E4">
      <w:start w:val="1"/>
      <w:numFmt w:val="decimal"/>
      <w:lvlText w:val="%1."/>
      <w:lvlJc w:val="left"/>
      <w:pPr>
        <w:ind w:left="360" w:hanging="360"/>
      </w:pPr>
      <w:rPr>
        <w:rFonts w:asciiTheme="minorHAnsi" w:hAnsiTheme="minorHAnsi" w:cs="Times New Roman" w:hint="default"/>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nsid w:val="53287872"/>
    <w:multiLevelType w:val="hybridMultilevel"/>
    <w:tmpl w:val="26AAA01E"/>
    <w:lvl w:ilvl="0" w:tplc="8460FF20">
      <w:start w:val="1"/>
      <w:numFmt w:val="lowerRoman"/>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55565F0"/>
    <w:multiLevelType w:val="hybridMultilevel"/>
    <w:tmpl w:val="F03A7C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C8A6F9B"/>
    <w:multiLevelType w:val="hybridMultilevel"/>
    <w:tmpl w:val="9B3611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67FE3880"/>
    <w:multiLevelType w:val="hybridMultilevel"/>
    <w:tmpl w:val="93B8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0036CF"/>
    <w:multiLevelType w:val="hybridMultilevel"/>
    <w:tmpl w:val="CB923E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77333473"/>
    <w:multiLevelType w:val="hybridMultilevel"/>
    <w:tmpl w:val="D37CC8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78B2292C"/>
    <w:multiLevelType w:val="hybridMultilevel"/>
    <w:tmpl w:val="6630BC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7B703D1F"/>
    <w:multiLevelType w:val="hybridMultilevel"/>
    <w:tmpl w:val="32BCB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2"/>
  </w:num>
  <w:num w:numId="4">
    <w:abstractNumId w:val="9"/>
  </w:num>
  <w:num w:numId="5">
    <w:abstractNumId w:val="23"/>
  </w:num>
  <w:num w:numId="6">
    <w:abstractNumId w:val="19"/>
  </w:num>
  <w:num w:numId="7">
    <w:abstractNumId w:val="24"/>
  </w:num>
  <w:num w:numId="8">
    <w:abstractNumId w:val="13"/>
  </w:num>
  <w:num w:numId="9">
    <w:abstractNumId w:val="16"/>
  </w:num>
  <w:num w:numId="10">
    <w:abstractNumId w:val="22"/>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8A6"/>
    <w:rsid w:val="00002031"/>
    <w:rsid w:val="00004734"/>
    <w:rsid w:val="00006B22"/>
    <w:rsid w:val="0001276A"/>
    <w:rsid w:val="000246AE"/>
    <w:rsid w:val="00025C67"/>
    <w:rsid w:val="000363E2"/>
    <w:rsid w:val="00044772"/>
    <w:rsid w:val="0005559E"/>
    <w:rsid w:val="000604D6"/>
    <w:rsid w:val="000734D8"/>
    <w:rsid w:val="00077775"/>
    <w:rsid w:val="00090471"/>
    <w:rsid w:val="00096AA7"/>
    <w:rsid w:val="000A0BDC"/>
    <w:rsid w:val="000A3AED"/>
    <w:rsid w:val="000B3532"/>
    <w:rsid w:val="000B3A75"/>
    <w:rsid w:val="000C00C2"/>
    <w:rsid w:val="000C690F"/>
    <w:rsid w:val="000D1295"/>
    <w:rsid w:val="000D2C65"/>
    <w:rsid w:val="000D30E8"/>
    <w:rsid w:val="000D391B"/>
    <w:rsid w:val="000D3D6D"/>
    <w:rsid w:val="000D4FC7"/>
    <w:rsid w:val="000E6196"/>
    <w:rsid w:val="000F4869"/>
    <w:rsid w:val="000F5B42"/>
    <w:rsid w:val="000F6E6F"/>
    <w:rsid w:val="0010601F"/>
    <w:rsid w:val="0010788A"/>
    <w:rsid w:val="00107A31"/>
    <w:rsid w:val="00110EA5"/>
    <w:rsid w:val="00112F56"/>
    <w:rsid w:val="00125318"/>
    <w:rsid w:val="001305A2"/>
    <w:rsid w:val="00133238"/>
    <w:rsid w:val="00133A1B"/>
    <w:rsid w:val="0014197B"/>
    <w:rsid w:val="001447CD"/>
    <w:rsid w:val="001516B1"/>
    <w:rsid w:val="00154EBB"/>
    <w:rsid w:val="00156316"/>
    <w:rsid w:val="00161181"/>
    <w:rsid w:val="00162D14"/>
    <w:rsid w:val="00165389"/>
    <w:rsid w:val="00167DFA"/>
    <w:rsid w:val="00173579"/>
    <w:rsid w:val="0017693F"/>
    <w:rsid w:val="0018110E"/>
    <w:rsid w:val="00181684"/>
    <w:rsid w:val="001843C6"/>
    <w:rsid w:val="001850E0"/>
    <w:rsid w:val="00197776"/>
    <w:rsid w:val="001A2158"/>
    <w:rsid w:val="001A525F"/>
    <w:rsid w:val="001B09F9"/>
    <w:rsid w:val="001B34DB"/>
    <w:rsid w:val="001B5C90"/>
    <w:rsid w:val="001B6448"/>
    <w:rsid w:val="001C1CE5"/>
    <w:rsid w:val="001C32CD"/>
    <w:rsid w:val="001D2984"/>
    <w:rsid w:val="001E07CF"/>
    <w:rsid w:val="001E59F1"/>
    <w:rsid w:val="001F2CEE"/>
    <w:rsid w:val="001F49EB"/>
    <w:rsid w:val="001F6CBA"/>
    <w:rsid w:val="00201D4E"/>
    <w:rsid w:val="002048A6"/>
    <w:rsid w:val="002048C0"/>
    <w:rsid w:val="002076C9"/>
    <w:rsid w:val="00207E37"/>
    <w:rsid w:val="00211C2A"/>
    <w:rsid w:val="00216E88"/>
    <w:rsid w:val="00220B8A"/>
    <w:rsid w:val="002227B3"/>
    <w:rsid w:val="002257F3"/>
    <w:rsid w:val="00233456"/>
    <w:rsid w:val="002339A5"/>
    <w:rsid w:val="00237330"/>
    <w:rsid w:val="00242DE0"/>
    <w:rsid w:val="0024443E"/>
    <w:rsid w:val="00250A44"/>
    <w:rsid w:val="00257848"/>
    <w:rsid w:val="0027084A"/>
    <w:rsid w:val="00286434"/>
    <w:rsid w:val="00286C59"/>
    <w:rsid w:val="00291957"/>
    <w:rsid w:val="002942D1"/>
    <w:rsid w:val="0029501A"/>
    <w:rsid w:val="002A3721"/>
    <w:rsid w:val="002A7825"/>
    <w:rsid w:val="002B1638"/>
    <w:rsid w:val="002B3624"/>
    <w:rsid w:val="002B4974"/>
    <w:rsid w:val="002C1739"/>
    <w:rsid w:val="002C4171"/>
    <w:rsid w:val="002D0952"/>
    <w:rsid w:val="002E40B3"/>
    <w:rsid w:val="002E4C9A"/>
    <w:rsid w:val="002F11F8"/>
    <w:rsid w:val="002F3F56"/>
    <w:rsid w:val="002F44B5"/>
    <w:rsid w:val="00311AC0"/>
    <w:rsid w:val="0032583B"/>
    <w:rsid w:val="00327883"/>
    <w:rsid w:val="00330AFC"/>
    <w:rsid w:val="00335504"/>
    <w:rsid w:val="00340C18"/>
    <w:rsid w:val="00340C85"/>
    <w:rsid w:val="003415F7"/>
    <w:rsid w:val="003442FD"/>
    <w:rsid w:val="00347824"/>
    <w:rsid w:val="00350567"/>
    <w:rsid w:val="003521E8"/>
    <w:rsid w:val="00365B01"/>
    <w:rsid w:val="00370CE3"/>
    <w:rsid w:val="003728F3"/>
    <w:rsid w:val="0037496E"/>
    <w:rsid w:val="00383221"/>
    <w:rsid w:val="00386150"/>
    <w:rsid w:val="003874CE"/>
    <w:rsid w:val="00390900"/>
    <w:rsid w:val="003A7F6C"/>
    <w:rsid w:val="003B4D60"/>
    <w:rsid w:val="003B7E39"/>
    <w:rsid w:val="003C58DC"/>
    <w:rsid w:val="003D1E62"/>
    <w:rsid w:val="003E0B99"/>
    <w:rsid w:val="003E2486"/>
    <w:rsid w:val="003E3208"/>
    <w:rsid w:val="003F0B04"/>
    <w:rsid w:val="0040134E"/>
    <w:rsid w:val="00416DC1"/>
    <w:rsid w:val="0043155B"/>
    <w:rsid w:val="004334C7"/>
    <w:rsid w:val="00440A2D"/>
    <w:rsid w:val="00441C3F"/>
    <w:rsid w:val="00452AF0"/>
    <w:rsid w:val="004564A7"/>
    <w:rsid w:val="004617BF"/>
    <w:rsid w:val="00463658"/>
    <w:rsid w:val="004637A0"/>
    <w:rsid w:val="004722CC"/>
    <w:rsid w:val="004936E4"/>
    <w:rsid w:val="00494E60"/>
    <w:rsid w:val="00497487"/>
    <w:rsid w:val="004A6189"/>
    <w:rsid w:val="004A7390"/>
    <w:rsid w:val="004B7B76"/>
    <w:rsid w:val="004C239D"/>
    <w:rsid w:val="004C2DCA"/>
    <w:rsid w:val="004C61D2"/>
    <w:rsid w:val="004F0C4A"/>
    <w:rsid w:val="004F0F38"/>
    <w:rsid w:val="004F47D6"/>
    <w:rsid w:val="004F50AE"/>
    <w:rsid w:val="004F5BA4"/>
    <w:rsid w:val="00501921"/>
    <w:rsid w:val="005153A1"/>
    <w:rsid w:val="00527EC7"/>
    <w:rsid w:val="00530354"/>
    <w:rsid w:val="00530B3F"/>
    <w:rsid w:val="0053625B"/>
    <w:rsid w:val="00537E4D"/>
    <w:rsid w:val="005434C6"/>
    <w:rsid w:val="00543B39"/>
    <w:rsid w:val="00546154"/>
    <w:rsid w:val="00550096"/>
    <w:rsid w:val="00555280"/>
    <w:rsid w:val="00557FF9"/>
    <w:rsid w:val="00561859"/>
    <w:rsid w:val="00562327"/>
    <w:rsid w:val="005711D5"/>
    <w:rsid w:val="00576378"/>
    <w:rsid w:val="00577130"/>
    <w:rsid w:val="00577945"/>
    <w:rsid w:val="00577E38"/>
    <w:rsid w:val="005800DC"/>
    <w:rsid w:val="00585322"/>
    <w:rsid w:val="005857C6"/>
    <w:rsid w:val="00586C92"/>
    <w:rsid w:val="00592F6E"/>
    <w:rsid w:val="00593AD1"/>
    <w:rsid w:val="005A68B6"/>
    <w:rsid w:val="005C5570"/>
    <w:rsid w:val="005C79A4"/>
    <w:rsid w:val="005D5442"/>
    <w:rsid w:val="005F01A3"/>
    <w:rsid w:val="005F2C5F"/>
    <w:rsid w:val="00603F32"/>
    <w:rsid w:val="00605AD4"/>
    <w:rsid w:val="00625A6E"/>
    <w:rsid w:val="00632398"/>
    <w:rsid w:val="00640FC3"/>
    <w:rsid w:val="00642020"/>
    <w:rsid w:val="0065337B"/>
    <w:rsid w:val="00653FF3"/>
    <w:rsid w:val="0065419D"/>
    <w:rsid w:val="006604D8"/>
    <w:rsid w:val="00664A5B"/>
    <w:rsid w:val="0066735C"/>
    <w:rsid w:val="006763D2"/>
    <w:rsid w:val="00680C08"/>
    <w:rsid w:val="006916A0"/>
    <w:rsid w:val="006931B1"/>
    <w:rsid w:val="006938E9"/>
    <w:rsid w:val="006A041F"/>
    <w:rsid w:val="006A15C0"/>
    <w:rsid w:val="006A6EFF"/>
    <w:rsid w:val="006C3E2A"/>
    <w:rsid w:val="006C642F"/>
    <w:rsid w:val="006D03E5"/>
    <w:rsid w:val="006D5D3E"/>
    <w:rsid w:val="006E08B3"/>
    <w:rsid w:val="006E548F"/>
    <w:rsid w:val="006F17AC"/>
    <w:rsid w:val="006F25B8"/>
    <w:rsid w:val="006F572E"/>
    <w:rsid w:val="007046D6"/>
    <w:rsid w:val="00705DB0"/>
    <w:rsid w:val="00715481"/>
    <w:rsid w:val="00722B57"/>
    <w:rsid w:val="0072679B"/>
    <w:rsid w:val="00730F8A"/>
    <w:rsid w:val="00735A8C"/>
    <w:rsid w:val="0074253D"/>
    <w:rsid w:val="0074429B"/>
    <w:rsid w:val="007615BC"/>
    <w:rsid w:val="00762F05"/>
    <w:rsid w:val="007652FF"/>
    <w:rsid w:val="00770CAC"/>
    <w:rsid w:val="00770EF1"/>
    <w:rsid w:val="00773EF7"/>
    <w:rsid w:val="00774E1D"/>
    <w:rsid w:val="007765D8"/>
    <w:rsid w:val="0077675A"/>
    <w:rsid w:val="00780355"/>
    <w:rsid w:val="007819FD"/>
    <w:rsid w:val="00785717"/>
    <w:rsid w:val="00785721"/>
    <w:rsid w:val="00793A59"/>
    <w:rsid w:val="007A58F7"/>
    <w:rsid w:val="007B6132"/>
    <w:rsid w:val="007B6E9F"/>
    <w:rsid w:val="007C1216"/>
    <w:rsid w:val="007C1AF7"/>
    <w:rsid w:val="007C6B9B"/>
    <w:rsid w:val="007D7A4E"/>
    <w:rsid w:val="007F3122"/>
    <w:rsid w:val="00805D27"/>
    <w:rsid w:val="00806DCB"/>
    <w:rsid w:val="00811599"/>
    <w:rsid w:val="00817741"/>
    <w:rsid w:val="00821776"/>
    <w:rsid w:val="008321F5"/>
    <w:rsid w:val="00832369"/>
    <w:rsid w:val="00834660"/>
    <w:rsid w:val="00836BC2"/>
    <w:rsid w:val="0085156D"/>
    <w:rsid w:val="0085641B"/>
    <w:rsid w:val="00857136"/>
    <w:rsid w:val="00885B11"/>
    <w:rsid w:val="00886D15"/>
    <w:rsid w:val="00887078"/>
    <w:rsid w:val="00887DD8"/>
    <w:rsid w:val="00891BA9"/>
    <w:rsid w:val="00896018"/>
    <w:rsid w:val="008960DD"/>
    <w:rsid w:val="0089635C"/>
    <w:rsid w:val="008A1B96"/>
    <w:rsid w:val="008A2B9D"/>
    <w:rsid w:val="008A3D9F"/>
    <w:rsid w:val="008A5E0B"/>
    <w:rsid w:val="008A6D59"/>
    <w:rsid w:val="008B4B03"/>
    <w:rsid w:val="008B596F"/>
    <w:rsid w:val="008C159F"/>
    <w:rsid w:val="008C1623"/>
    <w:rsid w:val="008C1850"/>
    <w:rsid w:val="008C51A9"/>
    <w:rsid w:val="008D2D01"/>
    <w:rsid w:val="008E73CC"/>
    <w:rsid w:val="008E7846"/>
    <w:rsid w:val="008F02E5"/>
    <w:rsid w:val="008F1CCC"/>
    <w:rsid w:val="008F2967"/>
    <w:rsid w:val="008F45D2"/>
    <w:rsid w:val="008F6943"/>
    <w:rsid w:val="00902A21"/>
    <w:rsid w:val="00920330"/>
    <w:rsid w:val="009219D7"/>
    <w:rsid w:val="00922D53"/>
    <w:rsid w:val="00923B70"/>
    <w:rsid w:val="00924482"/>
    <w:rsid w:val="00930237"/>
    <w:rsid w:val="00937C17"/>
    <w:rsid w:val="00940A89"/>
    <w:rsid w:val="00946EA5"/>
    <w:rsid w:val="00961A48"/>
    <w:rsid w:val="00961F58"/>
    <w:rsid w:val="00963C08"/>
    <w:rsid w:val="00974CDD"/>
    <w:rsid w:val="009752A5"/>
    <w:rsid w:val="0098585A"/>
    <w:rsid w:val="00991482"/>
    <w:rsid w:val="009A4CED"/>
    <w:rsid w:val="009A690D"/>
    <w:rsid w:val="009B1D12"/>
    <w:rsid w:val="009B416B"/>
    <w:rsid w:val="009C4BD5"/>
    <w:rsid w:val="009D7441"/>
    <w:rsid w:val="009D7B77"/>
    <w:rsid w:val="009E0BB0"/>
    <w:rsid w:val="009E3FBB"/>
    <w:rsid w:val="009E5C39"/>
    <w:rsid w:val="009F7353"/>
    <w:rsid w:val="00A04F85"/>
    <w:rsid w:val="00A05FA4"/>
    <w:rsid w:val="00A102E4"/>
    <w:rsid w:val="00A12C42"/>
    <w:rsid w:val="00A14DF7"/>
    <w:rsid w:val="00A20FBF"/>
    <w:rsid w:val="00A3246D"/>
    <w:rsid w:val="00A36FA7"/>
    <w:rsid w:val="00A40A5C"/>
    <w:rsid w:val="00A44DDB"/>
    <w:rsid w:val="00A4556A"/>
    <w:rsid w:val="00A475B7"/>
    <w:rsid w:val="00A47AF7"/>
    <w:rsid w:val="00A47C3E"/>
    <w:rsid w:val="00A50226"/>
    <w:rsid w:val="00A60BAD"/>
    <w:rsid w:val="00A80B5B"/>
    <w:rsid w:val="00A84E36"/>
    <w:rsid w:val="00A86C78"/>
    <w:rsid w:val="00A964D1"/>
    <w:rsid w:val="00AA0ED0"/>
    <w:rsid w:val="00AC2B40"/>
    <w:rsid w:val="00AC2BB2"/>
    <w:rsid w:val="00AC2C3C"/>
    <w:rsid w:val="00AC512D"/>
    <w:rsid w:val="00AD0083"/>
    <w:rsid w:val="00AD3935"/>
    <w:rsid w:val="00AD5182"/>
    <w:rsid w:val="00AE65EB"/>
    <w:rsid w:val="00AE67A7"/>
    <w:rsid w:val="00AF1D94"/>
    <w:rsid w:val="00AF5831"/>
    <w:rsid w:val="00AF60C5"/>
    <w:rsid w:val="00B009C6"/>
    <w:rsid w:val="00B0109D"/>
    <w:rsid w:val="00B01548"/>
    <w:rsid w:val="00B13EBD"/>
    <w:rsid w:val="00B20122"/>
    <w:rsid w:val="00B21D29"/>
    <w:rsid w:val="00B23514"/>
    <w:rsid w:val="00B25034"/>
    <w:rsid w:val="00B33588"/>
    <w:rsid w:val="00B33863"/>
    <w:rsid w:val="00B37D17"/>
    <w:rsid w:val="00B4175E"/>
    <w:rsid w:val="00B452CE"/>
    <w:rsid w:val="00B54C25"/>
    <w:rsid w:val="00B71BF5"/>
    <w:rsid w:val="00B76B91"/>
    <w:rsid w:val="00B7764D"/>
    <w:rsid w:val="00B77EB1"/>
    <w:rsid w:val="00B811C6"/>
    <w:rsid w:val="00B855B0"/>
    <w:rsid w:val="00B92E08"/>
    <w:rsid w:val="00BB0034"/>
    <w:rsid w:val="00BB5741"/>
    <w:rsid w:val="00BC622A"/>
    <w:rsid w:val="00BD604B"/>
    <w:rsid w:val="00BE0A78"/>
    <w:rsid w:val="00BE4818"/>
    <w:rsid w:val="00BE74F3"/>
    <w:rsid w:val="00BE79F0"/>
    <w:rsid w:val="00BF046D"/>
    <w:rsid w:val="00BF1190"/>
    <w:rsid w:val="00BF55D6"/>
    <w:rsid w:val="00BF5D04"/>
    <w:rsid w:val="00C009AA"/>
    <w:rsid w:val="00C068A4"/>
    <w:rsid w:val="00C1164D"/>
    <w:rsid w:val="00C1240B"/>
    <w:rsid w:val="00C16861"/>
    <w:rsid w:val="00C346AB"/>
    <w:rsid w:val="00C404A6"/>
    <w:rsid w:val="00C40A36"/>
    <w:rsid w:val="00C44419"/>
    <w:rsid w:val="00C45E7B"/>
    <w:rsid w:val="00C471B1"/>
    <w:rsid w:val="00C546BC"/>
    <w:rsid w:val="00C6316B"/>
    <w:rsid w:val="00C634A9"/>
    <w:rsid w:val="00C64586"/>
    <w:rsid w:val="00C674A7"/>
    <w:rsid w:val="00C70D53"/>
    <w:rsid w:val="00C73D0B"/>
    <w:rsid w:val="00C772FF"/>
    <w:rsid w:val="00C80137"/>
    <w:rsid w:val="00C801AF"/>
    <w:rsid w:val="00C80256"/>
    <w:rsid w:val="00C933C3"/>
    <w:rsid w:val="00C94CD4"/>
    <w:rsid w:val="00C9747E"/>
    <w:rsid w:val="00CB2637"/>
    <w:rsid w:val="00CB6BC0"/>
    <w:rsid w:val="00CC1B7C"/>
    <w:rsid w:val="00CC727F"/>
    <w:rsid w:val="00CE3E35"/>
    <w:rsid w:val="00CE5241"/>
    <w:rsid w:val="00CE6A5A"/>
    <w:rsid w:val="00CF15C3"/>
    <w:rsid w:val="00CF174A"/>
    <w:rsid w:val="00CF2B6F"/>
    <w:rsid w:val="00CF2F3E"/>
    <w:rsid w:val="00CF58B6"/>
    <w:rsid w:val="00D0062D"/>
    <w:rsid w:val="00D017ED"/>
    <w:rsid w:val="00D040D3"/>
    <w:rsid w:val="00D04C65"/>
    <w:rsid w:val="00D201D2"/>
    <w:rsid w:val="00D224FE"/>
    <w:rsid w:val="00D23139"/>
    <w:rsid w:val="00D425BB"/>
    <w:rsid w:val="00D426EA"/>
    <w:rsid w:val="00D6493E"/>
    <w:rsid w:val="00D7195D"/>
    <w:rsid w:val="00D7301E"/>
    <w:rsid w:val="00D75D3C"/>
    <w:rsid w:val="00D83AE1"/>
    <w:rsid w:val="00D855D4"/>
    <w:rsid w:val="00D902C9"/>
    <w:rsid w:val="00D93466"/>
    <w:rsid w:val="00DA1124"/>
    <w:rsid w:val="00DB0527"/>
    <w:rsid w:val="00DB6124"/>
    <w:rsid w:val="00DB750B"/>
    <w:rsid w:val="00DB75B7"/>
    <w:rsid w:val="00DC6E02"/>
    <w:rsid w:val="00DD28CD"/>
    <w:rsid w:val="00DE02AE"/>
    <w:rsid w:val="00DE402B"/>
    <w:rsid w:val="00DF1D7F"/>
    <w:rsid w:val="00DF4BE4"/>
    <w:rsid w:val="00E00B11"/>
    <w:rsid w:val="00E02FB4"/>
    <w:rsid w:val="00E05751"/>
    <w:rsid w:val="00E0634F"/>
    <w:rsid w:val="00E07C2E"/>
    <w:rsid w:val="00E13FC7"/>
    <w:rsid w:val="00E20571"/>
    <w:rsid w:val="00E235F7"/>
    <w:rsid w:val="00E23659"/>
    <w:rsid w:val="00E239D4"/>
    <w:rsid w:val="00E26130"/>
    <w:rsid w:val="00E40B22"/>
    <w:rsid w:val="00E44ED1"/>
    <w:rsid w:val="00E45619"/>
    <w:rsid w:val="00E4588F"/>
    <w:rsid w:val="00E46DA3"/>
    <w:rsid w:val="00E51BB1"/>
    <w:rsid w:val="00E624A5"/>
    <w:rsid w:val="00E64BA4"/>
    <w:rsid w:val="00E7344E"/>
    <w:rsid w:val="00E7366D"/>
    <w:rsid w:val="00E82665"/>
    <w:rsid w:val="00E9102E"/>
    <w:rsid w:val="00EB0798"/>
    <w:rsid w:val="00EB40AD"/>
    <w:rsid w:val="00EB586E"/>
    <w:rsid w:val="00EB5FC8"/>
    <w:rsid w:val="00EC228C"/>
    <w:rsid w:val="00EC463D"/>
    <w:rsid w:val="00EC7A85"/>
    <w:rsid w:val="00ED09C6"/>
    <w:rsid w:val="00ED2922"/>
    <w:rsid w:val="00ED3CAD"/>
    <w:rsid w:val="00ED5A41"/>
    <w:rsid w:val="00EE1DE8"/>
    <w:rsid w:val="00EE27C2"/>
    <w:rsid w:val="00EE387D"/>
    <w:rsid w:val="00EE6EDF"/>
    <w:rsid w:val="00EF4BAD"/>
    <w:rsid w:val="00EF55F9"/>
    <w:rsid w:val="00F00F6F"/>
    <w:rsid w:val="00F033EC"/>
    <w:rsid w:val="00F04F68"/>
    <w:rsid w:val="00F071E1"/>
    <w:rsid w:val="00F12670"/>
    <w:rsid w:val="00F14B27"/>
    <w:rsid w:val="00F3148D"/>
    <w:rsid w:val="00F325C5"/>
    <w:rsid w:val="00F32FE0"/>
    <w:rsid w:val="00F35298"/>
    <w:rsid w:val="00F42EBF"/>
    <w:rsid w:val="00F44ECA"/>
    <w:rsid w:val="00F4722A"/>
    <w:rsid w:val="00F47333"/>
    <w:rsid w:val="00F47E37"/>
    <w:rsid w:val="00F53C07"/>
    <w:rsid w:val="00F54B65"/>
    <w:rsid w:val="00F640B6"/>
    <w:rsid w:val="00F66DF2"/>
    <w:rsid w:val="00F722A5"/>
    <w:rsid w:val="00F80E40"/>
    <w:rsid w:val="00F848D9"/>
    <w:rsid w:val="00F91D45"/>
    <w:rsid w:val="00F95E9C"/>
    <w:rsid w:val="00F96115"/>
    <w:rsid w:val="00FA5664"/>
    <w:rsid w:val="00FA5B82"/>
    <w:rsid w:val="00FA639E"/>
    <w:rsid w:val="00FC1FCA"/>
    <w:rsid w:val="00FC25E4"/>
    <w:rsid w:val="00FC4EF7"/>
    <w:rsid w:val="00FD0824"/>
    <w:rsid w:val="00FD119B"/>
    <w:rsid w:val="00FD1EDC"/>
    <w:rsid w:val="00FD6BBD"/>
    <w:rsid w:val="00FE1DEE"/>
    <w:rsid w:val="00FF2126"/>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nhideWhenUsed="0"/>
    <w:lsdException w:name="caption" w:semiHidden="0" w:uiPriority="0" w:unhideWhenUsed="0" w:qFormat="1"/>
    <w:lsdException w:name="annotation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5800DC"/>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nhideWhenUsed/>
    <w:rsid w:val="00EC463D"/>
    <w:rPr>
      <w:sz w:val="16"/>
      <w:szCs w:val="16"/>
    </w:rPr>
  </w:style>
  <w:style w:type="paragraph" w:styleId="CommentText">
    <w:name w:val="annotation text"/>
    <w:basedOn w:val="Normal"/>
    <w:link w:val="CommentTextChar"/>
    <w:semiHidden/>
    <w:unhideWhenUsed/>
    <w:rsid w:val="00EC463D"/>
    <w:pPr>
      <w:spacing w:line="240" w:lineRule="auto"/>
    </w:pPr>
    <w:rPr>
      <w:sz w:val="20"/>
      <w:szCs w:val="20"/>
    </w:rPr>
  </w:style>
  <w:style w:type="character" w:customStyle="1" w:styleId="CommentTextChar">
    <w:name w:val="Comment Text Char"/>
    <w:basedOn w:val="DefaultParagraphFont"/>
    <w:link w:val="CommentText"/>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2048A6"/>
    <w:pPr>
      <w:adjustRightInd w:val="0"/>
      <w:snapToGrid w:val="0"/>
      <w:spacing w:before="180" w:after="180"/>
      <w:ind w:left="720"/>
      <w:contextualSpacing/>
    </w:pPr>
    <w:rPr>
      <w:rFonts w:eastAsia="MS Mincho" w:cstheme="minorBidi"/>
      <w:szCs w:val="20"/>
      <w:lang w:eastAsia="ja-JP"/>
    </w:rPr>
  </w:style>
  <w:style w:type="paragraph" w:customStyle="1" w:styleId="Default">
    <w:name w:val="Default"/>
    <w:rsid w:val="001735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TGAblue1">
    <w:name w:val="Table TGA blue1"/>
    <w:basedOn w:val="TableNormal"/>
    <w:uiPriority w:val="99"/>
    <w:qFormat/>
    <w:rsid w:val="00173579"/>
    <w:pPr>
      <w:spacing w:after="0" w:line="240" w:lineRule="auto"/>
    </w:pPr>
    <w:rPr>
      <w:rFonts w:ascii="Cambria" w:hAnsi="Cambria" w:cs="Times New Roman"/>
      <w:color w:val="000000"/>
      <w:szCs w:val="21"/>
    </w:rPr>
    <w:tblPr>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Grid1">
    <w:name w:val="Table Grid1"/>
    <w:basedOn w:val="TableNormal"/>
    <w:rsid w:val="004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
    <w:name w:val="pdf"/>
    <w:basedOn w:val="Normal"/>
    <w:rsid w:val="00452AF0"/>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nhideWhenUsed="0"/>
    <w:lsdException w:name="footer" w:semiHidden="0" w:unhideWhenUsed="0"/>
    <w:lsdException w:name="caption" w:semiHidden="0" w:uiPriority="0" w:unhideWhenUsed="0" w:qFormat="1"/>
    <w:lsdException w:name="annotation reference" w:uiPriority="0"/>
    <w:lsdException w:name="List Bullet" w:semiHidden="0" w:uiPriority="2" w:unhideWhenUsed="0" w:qFormat="1"/>
    <w:lsdException w:name="List Bullet 2" w:semiHidden="0" w:uiPriority="2" w:unhideWhenUsed="0" w:qFormat="1"/>
    <w:lsdException w:name="List Bullet 3" w:uiPriority="2"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5800DC"/>
    <w:pPr>
      <w:spacing w:before="120" w:after="120" w:line="240" w:lineRule="atLeast"/>
    </w:pPr>
    <w:rPr>
      <w:rFonts w:ascii="Cambria" w:eastAsia="Cambria" w:hAnsi="Cambria" w:cs="Times New Roman"/>
    </w:rPr>
  </w:style>
  <w:style w:type="paragraph" w:styleId="Heading1">
    <w:name w:val="heading 1"/>
    <w:basedOn w:val="Heading2"/>
    <w:next w:val="Normal"/>
    <w:link w:val="Heading1Char"/>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4722CC"/>
    <w:pPr>
      <w:keepNext/>
      <w:keepLines/>
      <w:spacing w:before="480"/>
      <w:outlineLvl w:val="1"/>
    </w:pPr>
    <w:rPr>
      <w:rFonts w:ascii="Arial" w:eastAsia="Times New Roman" w:hAnsi="Arial"/>
      <w:b/>
      <w:bCs/>
      <w:sz w:val="32"/>
      <w:szCs w:val="26"/>
    </w:rPr>
  </w:style>
  <w:style w:type="paragraph" w:styleId="Heading3">
    <w:name w:val="heading 3"/>
    <w:basedOn w:val="Normal"/>
    <w:next w:val="Normal"/>
    <w:link w:val="Heading3Char"/>
    <w:qFormat/>
    <w:rsid w:val="004722CC"/>
    <w:pPr>
      <w:keepNext/>
      <w:keepLines/>
      <w:spacing w:before="480" w:after="0" w:line="220" w:lineRule="atLeast"/>
      <w:outlineLvl w:val="2"/>
    </w:pPr>
    <w:rPr>
      <w:rFonts w:ascii="Arial" w:eastAsia="Times New Roman" w:hAnsi="Arial"/>
      <w:b/>
      <w:bCs/>
      <w:szCs w:val="21"/>
    </w:rPr>
  </w:style>
  <w:style w:type="paragraph" w:styleId="Heading4">
    <w:name w:val="heading 4"/>
    <w:basedOn w:val="Normal"/>
    <w:next w:val="Normal"/>
    <w:link w:val="Heading4Char"/>
    <w:qFormat/>
    <w:rsid w:val="00AD0083"/>
    <w:pPr>
      <w:keepNext/>
      <w:spacing w:before="360" w:after="0" w:line="220" w:lineRule="atLeast"/>
      <w:outlineLvl w:val="3"/>
    </w:pPr>
    <w:rPr>
      <w:b/>
      <w:bCs/>
      <w:szCs w:val="21"/>
    </w:rPr>
  </w:style>
  <w:style w:type="paragraph" w:styleId="Heading5">
    <w:name w:val="heading 5"/>
    <w:basedOn w:val="Normal"/>
    <w:next w:val="Normal"/>
    <w:link w:val="Heading5Char"/>
    <w:qFormat/>
    <w:rsid w:val="004722CC"/>
    <w:pPr>
      <w:keepNext/>
      <w:keepLines/>
      <w:spacing w:line="220" w:lineRule="atLeast"/>
      <w:outlineLvl w:val="4"/>
    </w:pPr>
    <w:rPr>
      <w:rFonts w:eastAsia="Times New Roman"/>
      <w:b/>
      <w:bCs/>
      <w:i/>
      <w:color w:val="001523"/>
      <w:szCs w:val="21"/>
    </w:rPr>
  </w:style>
  <w:style w:type="paragraph" w:styleId="Heading6">
    <w:name w:val="heading 6"/>
    <w:basedOn w:val="Normal"/>
    <w:next w:val="Normal"/>
    <w:link w:val="Heading6Char"/>
    <w:uiPriority w:val="9"/>
    <w:rsid w:val="00577130"/>
    <w:pPr>
      <w:keepNext/>
      <w:spacing w:line="220" w:lineRule="atLeast"/>
      <w:outlineLvl w:val="5"/>
    </w:pPr>
    <w:rPr>
      <w:rFonts w:eastAsia="Times New Roman"/>
      <w:bCs/>
      <w:i/>
      <w:szCs w:val="21"/>
    </w:rPr>
  </w:style>
  <w:style w:type="paragraph" w:styleId="Heading7">
    <w:name w:val="heading 7"/>
    <w:basedOn w:val="Normal"/>
    <w:next w:val="Normal"/>
    <w:link w:val="Heading7Char"/>
    <w:uiPriority w:val="9"/>
    <w:rsid w:val="00770CAC"/>
    <w:pPr>
      <w:keepNext/>
      <w:spacing w:after="60" w:line="180" w:lineRule="atLeast"/>
      <w:outlineLvl w:val="6"/>
    </w:pPr>
    <w:rPr>
      <w:rFonts w:eastAsia="Times New Roman"/>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AD3935"/>
    <w:rPr>
      <w:rFonts w:ascii="Arial" w:eastAsia="Times New Roman" w:hAnsi="Arial" w:cs="Times New Roman"/>
      <w:b/>
      <w:bCs/>
      <w:sz w:val="32"/>
      <w:szCs w:val="26"/>
    </w:rPr>
  </w:style>
  <w:style w:type="character" w:customStyle="1" w:styleId="Heading3Char">
    <w:name w:val="Heading 3 Char"/>
    <w:basedOn w:val="DefaultParagraphFont"/>
    <w:link w:val="Heading3"/>
    <w:rsid w:val="00AD3935"/>
    <w:rPr>
      <w:rFonts w:ascii="Arial" w:eastAsia="Times New Roman" w:hAnsi="Arial" w:cs="Times New Roman"/>
      <w:b/>
      <w:bCs/>
      <w:szCs w:val="21"/>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1B5C90"/>
    <w:pPr>
      <w:keepNext/>
      <w:spacing w:line="220" w:lineRule="atLeast"/>
    </w:pPr>
    <w:rPr>
      <w:b/>
    </w:rPr>
  </w:style>
  <w:style w:type="character" w:customStyle="1" w:styleId="Heading4Char">
    <w:name w:val="Heading 4 Char"/>
    <w:basedOn w:val="DefaultParagraphFont"/>
    <w:link w:val="Heading4"/>
    <w:rsid w:val="00AD3935"/>
    <w:rPr>
      <w:rFonts w:ascii="Cambria" w:eastAsia="Cambria" w:hAnsi="Cambria" w:cs="Times New Roman"/>
      <w:b/>
      <w:bCs/>
      <w:szCs w:val="21"/>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rsid w:val="00AD393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57713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70CAC"/>
    <w:rPr>
      <w:rFonts w:ascii="Cambria" w:eastAsia="Times New Roman" w:hAnsi="Cambria" w:cs="Times New Roman"/>
      <w:bCs/>
      <w:sz w:val="20"/>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4C2DCA"/>
    <w:pPr>
      <w:numPr>
        <w:numId w:val="3"/>
      </w:numPr>
    </w:pPr>
  </w:style>
  <w:style w:type="paragraph" w:styleId="ListBullet2">
    <w:name w:val="List Bullet 2"/>
    <w:basedOn w:val="Normal"/>
    <w:uiPriority w:val="2"/>
    <w:qFormat/>
    <w:rsid w:val="004C2DCA"/>
    <w:pPr>
      <w:numPr>
        <w:ilvl w:val="1"/>
        <w:numId w:val="3"/>
      </w:numPr>
    </w:pPr>
  </w:style>
  <w:style w:type="paragraph" w:styleId="ListBullet3">
    <w:name w:val="List Bullet 3"/>
    <w:basedOn w:val="Normal"/>
    <w:uiPriority w:val="2"/>
    <w:qFormat/>
    <w:rsid w:val="004C2DCA"/>
    <w:pPr>
      <w:numPr>
        <w:ilvl w:val="2"/>
        <w:numId w:val="3"/>
      </w:numPr>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4"/>
      </w:numPr>
    </w:pPr>
  </w:style>
  <w:style w:type="paragraph" w:customStyle="1" w:styleId="Numberbullet2">
    <w:name w:val="Number bullet 2"/>
    <w:basedOn w:val="ListBullet2"/>
    <w:qFormat/>
    <w:rsid w:val="004C2DCA"/>
    <w:pPr>
      <w:numPr>
        <w:numId w:val="4"/>
      </w:numPr>
    </w:pPr>
  </w:style>
  <w:style w:type="paragraph" w:customStyle="1" w:styleId="Numberbullet3">
    <w:name w:val="Number bullet 3"/>
    <w:basedOn w:val="ListBullet3"/>
    <w:qFormat/>
    <w:rsid w:val="004C2DCA"/>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1B5C90"/>
    <w:pPr>
      <w:spacing w:before="0" w:line="240" w:lineRule="auto"/>
    </w:pPr>
    <w:rPr>
      <w:szCs w:val="19"/>
    </w:rPr>
  </w:style>
  <w:style w:type="table" w:styleId="TableGrid">
    <w:name w:val="Table Grid"/>
    <w:basedOn w:val="TableNormal"/>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FD119B"/>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keepNext/>
        <w:wordWrap/>
      </w:pPr>
      <w:rPr>
        <w:rFonts w:ascii="Cambria" w:hAnsi="Cambria"/>
        <w:b/>
        <w:color w:val="FFFFFF" w:themeColor="background1"/>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EE1DE8"/>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neCell">
      <w:rPr>
        <w:b w:val="0"/>
        <w:i w:val="0"/>
      </w:rPr>
    </w:tblStylePr>
    <w:tblStylePr w:type="nwCell">
      <w:rPr>
        <w:rFonts w:ascii="Cambria" w:hAnsi="Cambria"/>
        <w:b/>
        <w:i w:val="0"/>
        <w:color w:val="FFFFFF"/>
        <w:sz w:val="22"/>
      </w:rPr>
    </w:tblStylePr>
  </w:style>
  <w:style w:type="paragraph" w:customStyle="1" w:styleId="TableTitle">
    <w:name w:val="Table Title"/>
    <w:basedOn w:val="Normal"/>
    <w:rsid w:val="002E40B3"/>
    <w:pPr>
      <w:keepNext/>
    </w:pPr>
    <w:rPr>
      <w:b/>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rsid w:val="00F3148D"/>
    <w:pPr>
      <w:tabs>
        <w:tab w:val="right" w:pos="8505"/>
      </w:tabs>
      <w:spacing w:after="200"/>
    </w:pPr>
    <w:rPr>
      <w:rFonts w:ascii="Arial" w:hAnsi="Arial"/>
      <w:b/>
      <w:sz w:val="32"/>
    </w:rPr>
  </w:style>
  <w:style w:type="paragraph" w:styleId="TOC2">
    <w:name w:val="toc 2"/>
    <w:basedOn w:val="Normal"/>
    <w:next w:val="Normal"/>
    <w:uiPriority w:val="39"/>
    <w:rsid w:val="00F3148D"/>
    <w:pPr>
      <w:tabs>
        <w:tab w:val="right" w:leader="underscore" w:pos="8505"/>
      </w:tabs>
      <w:spacing w:after="100"/>
      <w:ind w:left="624"/>
    </w:pPr>
    <w:rPr>
      <w:b/>
      <w:sz w:val="25"/>
    </w:rPr>
  </w:style>
  <w:style w:type="paragraph" w:styleId="TOC3">
    <w:name w:val="toc 3"/>
    <w:basedOn w:val="Normal"/>
    <w:next w:val="Normal"/>
    <w:uiPriority w:val="39"/>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styleId="FootnoteText">
    <w:name w:val="footnote text"/>
    <w:basedOn w:val="Normal"/>
    <w:link w:val="FootnoteTextChar"/>
    <w:uiPriority w:val="99"/>
    <w:unhideWhenUsed/>
    <w:rsid w:val="001B5C90"/>
    <w:pPr>
      <w:spacing w:before="0" w:after="0" w:line="240" w:lineRule="auto"/>
    </w:pPr>
    <w:rPr>
      <w:sz w:val="18"/>
      <w:szCs w:val="20"/>
    </w:rPr>
  </w:style>
  <w:style w:type="character" w:customStyle="1" w:styleId="FootnoteTextChar">
    <w:name w:val="Footnote Text Char"/>
    <w:basedOn w:val="DefaultParagraphFont"/>
    <w:link w:val="FootnoteText"/>
    <w:uiPriority w:val="99"/>
    <w:rsid w:val="001B5C90"/>
    <w:rPr>
      <w:rFonts w:ascii="Cambria" w:eastAsia="Cambria" w:hAnsi="Cambria" w:cs="Times New Roman"/>
      <w:sz w:val="18"/>
      <w:szCs w:val="20"/>
    </w:rPr>
  </w:style>
  <w:style w:type="character" w:styleId="FootnoteReference">
    <w:name w:val="footnote reference"/>
    <w:basedOn w:val="DefaultParagraphFont"/>
    <w:uiPriority w:val="99"/>
    <w:semiHidden/>
    <w:unhideWhenUsed/>
    <w:rsid w:val="001B5C90"/>
    <w:rPr>
      <w:vertAlign w:val="superscript"/>
    </w:rPr>
  </w:style>
  <w:style w:type="paragraph" w:customStyle="1" w:styleId="Quotation">
    <w:name w:val="Quotation"/>
    <w:basedOn w:val="Normal"/>
    <w:next w:val="Normal"/>
    <w:uiPriority w:val="4"/>
    <w:qFormat/>
    <w:rsid w:val="00E13FC7"/>
    <w:pPr>
      <w:spacing w:after="180"/>
      <w:ind w:left="425"/>
    </w:pPr>
    <w:rPr>
      <w:rFonts w:eastAsiaTheme="minorEastAsia" w:cstheme="minorBidi"/>
      <w:sz w:val="20"/>
      <w:lang w:eastAsia="zh-TW"/>
    </w:rPr>
  </w:style>
  <w:style w:type="paragraph" w:customStyle="1" w:styleId="Comment">
    <w:name w:val="Comment"/>
    <w:basedOn w:val="Normal"/>
    <w:next w:val="Normal"/>
    <w:uiPriority w:val="1"/>
    <w:qFormat/>
    <w:rsid w:val="00DD28CD"/>
    <w:pPr>
      <w:ind w:left="992" w:hanging="992"/>
    </w:pPr>
  </w:style>
  <w:style w:type="paragraph" w:styleId="EndnoteText">
    <w:name w:val="endnote text"/>
    <w:basedOn w:val="Normal"/>
    <w:link w:val="EndnoteTextChar"/>
    <w:uiPriority w:val="99"/>
    <w:semiHidden/>
    <w:unhideWhenUsed/>
    <w:rsid w:val="000E619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E6196"/>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0E6196"/>
    <w:rPr>
      <w:vertAlign w:val="superscript"/>
    </w:rPr>
  </w:style>
  <w:style w:type="character" w:styleId="CommentReference">
    <w:name w:val="annotation reference"/>
    <w:basedOn w:val="DefaultParagraphFont"/>
    <w:unhideWhenUsed/>
    <w:rsid w:val="00EC463D"/>
    <w:rPr>
      <w:sz w:val="16"/>
      <w:szCs w:val="16"/>
    </w:rPr>
  </w:style>
  <w:style w:type="paragraph" w:styleId="CommentText">
    <w:name w:val="annotation text"/>
    <w:basedOn w:val="Normal"/>
    <w:link w:val="CommentTextChar"/>
    <w:semiHidden/>
    <w:unhideWhenUsed/>
    <w:rsid w:val="00EC463D"/>
    <w:pPr>
      <w:spacing w:line="240" w:lineRule="auto"/>
    </w:pPr>
    <w:rPr>
      <w:sz w:val="20"/>
      <w:szCs w:val="20"/>
    </w:rPr>
  </w:style>
  <w:style w:type="character" w:customStyle="1" w:styleId="CommentTextChar">
    <w:name w:val="Comment Text Char"/>
    <w:basedOn w:val="DefaultParagraphFont"/>
    <w:link w:val="CommentText"/>
    <w:semiHidden/>
    <w:rsid w:val="00EC463D"/>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C463D"/>
    <w:rPr>
      <w:b/>
      <w:bCs/>
    </w:rPr>
  </w:style>
  <w:style w:type="character" w:customStyle="1" w:styleId="CommentSubjectChar">
    <w:name w:val="Comment Subject Char"/>
    <w:basedOn w:val="CommentTextChar"/>
    <w:link w:val="CommentSubject"/>
    <w:uiPriority w:val="99"/>
    <w:semiHidden/>
    <w:rsid w:val="00EC463D"/>
    <w:rPr>
      <w:rFonts w:ascii="Cambria" w:eastAsia="Cambria" w:hAnsi="Cambria" w:cs="Times New Roman"/>
      <w:b/>
      <w:bCs/>
      <w:sz w:val="20"/>
      <w:szCs w:val="20"/>
    </w:rPr>
  </w:style>
  <w:style w:type="paragraph" w:styleId="Revision">
    <w:name w:val="Revision"/>
    <w:hidden/>
    <w:uiPriority w:val="99"/>
    <w:semiHidden/>
    <w:rsid w:val="003442FD"/>
    <w:pPr>
      <w:spacing w:after="0" w:line="240" w:lineRule="auto"/>
    </w:pPr>
    <w:rPr>
      <w:rFonts w:ascii="Cambria" w:eastAsia="Cambria" w:hAnsi="Cambria" w:cs="Times New Roman"/>
    </w:rPr>
  </w:style>
  <w:style w:type="paragraph" w:customStyle="1" w:styleId="Instructions">
    <w:name w:val="Instructions"/>
    <w:basedOn w:val="Normal"/>
    <w:next w:val="Normal"/>
    <w:uiPriority w:val="1"/>
    <w:qFormat/>
    <w:rsid w:val="00EE27C2"/>
    <w:rPr>
      <w:i/>
      <w:color w:val="007099"/>
    </w:rPr>
  </w:style>
  <w:style w:type="paragraph" w:styleId="ListParagraph">
    <w:name w:val="List Paragraph"/>
    <w:basedOn w:val="Normal"/>
    <w:uiPriority w:val="34"/>
    <w:qFormat/>
    <w:rsid w:val="002048A6"/>
    <w:pPr>
      <w:adjustRightInd w:val="0"/>
      <w:snapToGrid w:val="0"/>
      <w:spacing w:before="180" w:after="180"/>
      <w:ind w:left="720"/>
      <w:contextualSpacing/>
    </w:pPr>
    <w:rPr>
      <w:rFonts w:eastAsia="MS Mincho" w:cstheme="minorBidi"/>
      <w:szCs w:val="20"/>
      <w:lang w:eastAsia="ja-JP"/>
    </w:rPr>
  </w:style>
  <w:style w:type="paragraph" w:customStyle="1" w:styleId="Default">
    <w:name w:val="Default"/>
    <w:rsid w:val="0017357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TGAblue1">
    <w:name w:val="Table TGA blue1"/>
    <w:basedOn w:val="TableNormal"/>
    <w:uiPriority w:val="99"/>
    <w:qFormat/>
    <w:rsid w:val="00173579"/>
    <w:pPr>
      <w:spacing w:after="0" w:line="240" w:lineRule="auto"/>
    </w:pPr>
    <w:rPr>
      <w:rFonts w:ascii="Cambria" w:hAnsi="Cambria" w:cs="Times New Roman"/>
      <w:color w:val="000000"/>
      <w:szCs w:val="21"/>
    </w:rPr>
    <w:tblPr>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pPr>
      <w:rPr>
        <w:rFonts w:ascii="Cambria" w:hAnsi="Cambria" w:hint="default"/>
        <w:b/>
        <w:color w:val="FFFFFF"/>
        <w:sz w:val="22"/>
        <w:szCs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Grid1">
    <w:name w:val="Table Grid1"/>
    <w:basedOn w:val="TableNormal"/>
    <w:rsid w:val="004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52A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
    <w:name w:val="pdf"/>
    <w:basedOn w:val="Normal"/>
    <w:rsid w:val="00452AF0"/>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726">
      <w:bodyDiv w:val="1"/>
      <w:marLeft w:val="0"/>
      <w:marRight w:val="0"/>
      <w:marTop w:val="0"/>
      <w:marBottom w:val="0"/>
      <w:divBdr>
        <w:top w:val="none" w:sz="0" w:space="0" w:color="auto"/>
        <w:left w:val="none" w:sz="0" w:space="0" w:color="auto"/>
        <w:bottom w:val="none" w:sz="0" w:space="0" w:color="auto"/>
        <w:right w:val="none" w:sz="0" w:space="0" w:color="auto"/>
      </w:divBdr>
    </w:div>
    <w:div w:id="63843363">
      <w:bodyDiv w:val="1"/>
      <w:marLeft w:val="0"/>
      <w:marRight w:val="0"/>
      <w:marTop w:val="0"/>
      <w:marBottom w:val="0"/>
      <w:divBdr>
        <w:top w:val="none" w:sz="0" w:space="0" w:color="auto"/>
        <w:left w:val="none" w:sz="0" w:space="0" w:color="auto"/>
        <w:bottom w:val="none" w:sz="0" w:space="0" w:color="auto"/>
        <w:right w:val="none" w:sz="0" w:space="0" w:color="auto"/>
      </w:divBdr>
    </w:div>
    <w:div w:id="67845699">
      <w:bodyDiv w:val="1"/>
      <w:marLeft w:val="0"/>
      <w:marRight w:val="0"/>
      <w:marTop w:val="0"/>
      <w:marBottom w:val="0"/>
      <w:divBdr>
        <w:top w:val="none" w:sz="0" w:space="0" w:color="auto"/>
        <w:left w:val="none" w:sz="0" w:space="0" w:color="auto"/>
        <w:bottom w:val="none" w:sz="0" w:space="0" w:color="auto"/>
        <w:right w:val="none" w:sz="0" w:space="0" w:color="auto"/>
      </w:divBdr>
    </w:div>
    <w:div w:id="79064534">
      <w:bodyDiv w:val="1"/>
      <w:marLeft w:val="0"/>
      <w:marRight w:val="0"/>
      <w:marTop w:val="0"/>
      <w:marBottom w:val="0"/>
      <w:divBdr>
        <w:top w:val="none" w:sz="0" w:space="0" w:color="auto"/>
        <w:left w:val="none" w:sz="0" w:space="0" w:color="auto"/>
        <w:bottom w:val="none" w:sz="0" w:space="0" w:color="auto"/>
        <w:right w:val="none" w:sz="0" w:space="0" w:color="auto"/>
      </w:divBdr>
    </w:div>
    <w:div w:id="128059009">
      <w:bodyDiv w:val="1"/>
      <w:marLeft w:val="0"/>
      <w:marRight w:val="0"/>
      <w:marTop w:val="0"/>
      <w:marBottom w:val="0"/>
      <w:divBdr>
        <w:top w:val="none" w:sz="0" w:space="0" w:color="auto"/>
        <w:left w:val="none" w:sz="0" w:space="0" w:color="auto"/>
        <w:bottom w:val="none" w:sz="0" w:space="0" w:color="auto"/>
        <w:right w:val="none" w:sz="0" w:space="0" w:color="auto"/>
      </w:divBdr>
    </w:div>
    <w:div w:id="398940687">
      <w:bodyDiv w:val="1"/>
      <w:marLeft w:val="0"/>
      <w:marRight w:val="0"/>
      <w:marTop w:val="0"/>
      <w:marBottom w:val="0"/>
      <w:divBdr>
        <w:top w:val="none" w:sz="0" w:space="0" w:color="auto"/>
        <w:left w:val="none" w:sz="0" w:space="0" w:color="auto"/>
        <w:bottom w:val="none" w:sz="0" w:space="0" w:color="auto"/>
        <w:right w:val="none" w:sz="0" w:space="0" w:color="auto"/>
      </w:divBdr>
    </w:div>
    <w:div w:id="424233993">
      <w:bodyDiv w:val="1"/>
      <w:marLeft w:val="0"/>
      <w:marRight w:val="0"/>
      <w:marTop w:val="0"/>
      <w:marBottom w:val="0"/>
      <w:divBdr>
        <w:top w:val="none" w:sz="0" w:space="0" w:color="auto"/>
        <w:left w:val="none" w:sz="0" w:space="0" w:color="auto"/>
        <w:bottom w:val="none" w:sz="0" w:space="0" w:color="auto"/>
        <w:right w:val="none" w:sz="0" w:space="0" w:color="auto"/>
      </w:divBdr>
    </w:div>
    <w:div w:id="446395116">
      <w:bodyDiv w:val="1"/>
      <w:marLeft w:val="0"/>
      <w:marRight w:val="0"/>
      <w:marTop w:val="0"/>
      <w:marBottom w:val="0"/>
      <w:divBdr>
        <w:top w:val="none" w:sz="0" w:space="0" w:color="auto"/>
        <w:left w:val="none" w:sz="0" w:space="0" w:color="auto"/>
        <w:bottom w:val="none" w:sz="0" w:space="0" w:color="auto"/>
        <w:right w:val="none" w:sz="0" w:space="0" w:color="auto"/>
      </w:divBdr>
    </w:div>
    <w:div w:id="456920323">
      <w:bodyDiv w:val="1"/>
      <w:marLeft w:val="0"/>
      <w:marRight w:val="0"/>
      <w:marTop w:val="0"/>
      <w:marBottom w:val="0"/>
      <w:divBdr>
        <w:top w:val="none" w:sz="0" w:space="0" w:color="auto"/>
        <w:left w:val="none" w:sz="0" w:space="0" w:color="auto"/>
        <w:bottom w:val="none" w:sz="0" w:space="0" w:color="auto"/>
        <w:right w:val="none" w:sz="0" w:space="0" w:color="auto"/>
      </w:divBdr>
    </w:div>
    <w:div w:id="463697282">
      <w:bodyDiv w:val="1"/>
      <w:marLeft w:val="0"/>
      <w:marRight w:val="0"/>
      <w:marTop w:val="0"/>
      <w:marBottom w:val="0"/>
      <w:divBdr>
        <w:top w:val="none" w:sz="0" w:space="0" w:color="auto"/>
        <w:left w:val="none" w:sz="0" w:space="0" w:color="auto"/>
        <w:bottom w:val="none" w:sz="0" w:space="0" w:color="auto"/>
        <w:right w:val="none" w:sz="0" w:space="0" w:color="auto"/>
      </w:divBdr>
    </w:div>
    <w:div w:id="474570289">
      <w:bodyDiv w:val="1"/>
      <w:marLeft w:val="0"/>
      <w:marRight w:val="0"/>
      <w:marTop w:val="0"/>
      <w:marBottom w:val="0"/>
      <w:divBdr>
        <w:top w:val="none" w:sz="0" w:space="0" w:color="auto"/>
        <w:left w:val="none" w:sz="0" w:space="0" w:color="auto"/>
        <w:bottom w:val="none" w:sz="0" w:space="0" w:color="auto"/>
        <w:right w:val="none" w:sz="0" w:space="0" w:color="auto"/>
      </w:divBdr>
    </w:div>
    <w:div w:id="477068884">
      <w:bodyDiv w:val="1"/>
      <w:marLeft w:val="0"/>
      <w:marRight w:val="0"/>
      <w:marTop w:val="0"/>
      <w:marBottom w:val="0"/>
      <w:divBdr>
        <w:top w:val="none" w:sz="0" w:space="0" w:color="auto"/>
        <w:left w:val="none" w:sz="0" w:space="0" w:color="auto"/>
        <w:bottom w:val="none" w:sz="0" w:space="0" w:color="auto"/>
        <w:right w:val="none" w:sz="0" w:space="0" w:color="auto"/>
      </w:divBdr>
      <w:divsChild>
        <w:div w:id="1327325992">
          <w:marLeft w:val="0"/>
          <w:marRight w:val="0"/>
          <w:marTop w:val="0"/>
          <w:marBottom w:val="0"/>
          <w:divBdr>
            <w:top w:val="none" w:sz="0" w:space="0" w:color="auto"/>
            <w:left w:val="none" w:sz="0" w:space="0" w:color="auto"/>
            <w:bottom w:val="none" w:sz="0" w:space="0" w:color="auto"/>
            <w:right w:val="none" w:sz="0" w:space="0" w:color="auto"/>
          </w:divBdr>
          <w:divsChild>
            <w:div w:id="1284314219">
              <w:marLeft w:val="0"/>
              <w:marRight w:val="0"/>
              <w:marTop w:val="0"/>
              <w:marBottom w:val="0"/>
              <w:divBdr>
                <w:top w:val="none" w:sz="0" w:space="0" w:color="auto"/>
                <w:left w:val="none" w:sz="0" w:space="0" w:color="auto"/>
                <w:bottom w:val="none" w:sz="0" w:space="0" w:color="auto"/>
                <w:right w:val="none" w:sz="0" w:space="0" w:color="auto"/>
              </w:divBdr>
              <w:divsChild>
                <w:div w:id="996685556">
                  <w:marLeft w:val="0"/>
                  <w:marRight w:val="0"/>
                  <w:marTop w:val="0"/>
                  <w:marBottom w:val="0"/>
                  <w:divBdr>
                    <w:top w:val="none" w:sz="0" w:space="0" w:color="auto"/>
                    <w:left w:val="none" w:sz="0" w:space="0" w:color="auto"/>
                    <w:bottom w:val="none" w:sz="0" w:space="0" w:color="auto"/>
                    <w:right w:val="none" w:sz="0" w:space="0" w:color="auto"/>
                  </w:divBdr>
                  <w:divsChild>
                    <w:div w:id="295260087">
                      <w:marLeft w:val="0"/>
                      <w:marRight w:val="0"/>
                      <w:marTop w:val="0"/>
                      <w:marBottom w:val="0"/>
                      <w:divBdr>
                        <w:top w:val="none" w:sz="0" w:space="0" w:color="auto"/>
                        <w:left w:val="none" w:sz="0" w:space="0" w:color="auto"/>
                        <w:bottom w:val="none" w:sz="0" w:space="0" w:color="auto"/>
                        <w:right w:val="none" w:sz="0" w:space="0" w:color="auto"/>
                      </w:divBdr>
                      <w:divsChild>
                        <w:div w:id="1236668801">
                          <w:marLeft w:val="0"/>
                          <w:marRight w:val="0"/>
                          <w:marTop w:val="45"/>
                          <w:marBottom w:val="0"/>
                          <w:divBdr>
                            <w:top w:val="none" w:sz="0" w:space="0" w:color="auto"/>
                            <w:left w:val="none" w:sz="0" w:space="0" w:color="auto"/>
                            <w:bottom w:val="none" w:sz="0" w:space="0" w:color="auto"/>
                            <w:right w:val="none" w:sz="0" w:space="0" w:color="auto"/>
                          </w:divBdr>
                          <w:divsChild>
                            <w:div w:id="678699129">
                              <w:marLeft w:val="0"/>
                              <w:marRight w:val="0"/>
                              <w:marTop w:val="0"/>
                              <w:marBottom w:val="0"/>
                              <w:divBdr>
                                <w:top w:val="none" w:sz="0" w:space="0" w:color="auto"/>
                                <w:left w:val="none" w:sz="0" w:space="0" w:color="auto"/>
                                <w:bottom w:val="none" w:sz="0" w:space="0" w:color="auto"/>
                                <w:right w:val="none" w:sz="0" w:space="0" w:color="auto"/>
                              </w:divBdr>
                              <w:divsChild>
                                <w:div w:id="882987318">
                                  <w:marLeft w:val="2070"/>
                                  <w:marRight w:val="3960"/>
                                  <w:marTop w:val="0"/>
                                  <w:marBottom w:val="0"/>
                                  <w:divBdr>
                                    <w:top w:val="none" w:sz="0" w:space="0" w:color="auto"/>
                                    <w:left w:val="none" w:sz="0" w:space="0" w:color="auto"/>
                                    <w:bottom w:val="none" w:sz="0" w:space="0" w:color="auto"/>
                                    <w:right w:val="none" w:sz="0" w:space="0" w:color="auto"/>
                                  </w:divBdr>
                                  <w:divsChild>
                                    <w:div w:id="1492915977">
                                      <w:marLeft w:val="0"/>
                                      <w:marRight w:val="0"/>
                                      <w:marTop w:val="0"/>
                                      <w:marBottom w:val="0"/>
                                      <w:divBdr>
                                        <w:top w:val="none" w:sz="0" w:space="0" w:color="auto"/>
                                        <w:left w:val="none" w:sz="0" w:space="0" w:color="auto"/>
                                        <w:bottom w:val="none" w:sz="0" w:space="0" w:color="auto"/>
                                        <w:right w:val="none" w:sz="0" w:space="0" w:color="auto"/>
                                      </w:divBdr>
                                      <w:divsChild>
                                        <w:div w:id="1544908423">
                                          <w:marLeft w:val="0"/>
                                          <w:marRight w:val="0"/>
                                          <w:marTop w:val="0"/>
                                          <w:marBottom w:val="0"/>
                                          <w:divBdr>
                                            <w:top w:val="none" w:sz="0" w:space="0" w:color="auto"/>
                                            <w:left w:val="none" w:sz="0" w:space="0" w:color="auto"/>
                                            <w:bottom w:val="none" w:sz="0" w:space="0" w:color="auto"/>
                                            <w:right w:val="none" w:sz="0" w:space="0" w:color="auto"/>
                                          </w:divBdr>
                                          <w:divsChild>
                                            <w:div w:id="1614246899">
                                              <w:marLeft w:val="0"/>
                                              <w:marRight w:val="0"/>
                                              <w:marTop w:val="0"/>
                                              <w:marBottom w:val="0"/>
                                              <w:divBdr>
                                                <w:top w:val="none" w:sz="0" w:space="0" w:color="auto"/>
                                                <w:left w:val="none" w:sz="0" w:space="0" w:color="auto"/>
                                                <w:bottom w:val="none" w:sz="0" w:space="0" w:color="auto"/>
                                                <w:right w:val="none" w:sz="0" w:space="0" w:color="auto"/>
                                              </w:divBdr>
                                              <w:divsChild>
                                                <w:div w:id="321542356">
                                                  <w:marLeft w:val="0"/>
                                                  <w:marRight w:val="0"/>
                                                  <w:marTop w:val="0"/>
                                                  <w:marBottom w:val="0"/>
                                                  <w:divBdr>
                                                    <w:top w:val="none" w:sz="0" w:space="0" w:color="auto"/>
                                                    <w:left w:val="none" w:sz="0" w:space="0" w:color="auto"/>
                                                    <w:bottom w:val="none" w:sz="0" w:space="0" w:color="auto"/>
                                                    <w:right w:val="none" w:sz="0" w:space="0" w:color="auto"/>
                                                  </w:divBdr>
                                                  <w:divsChild>
                                                    <w:div w:id="1405839481">
                                                      <w:marLeft w:val="0"/>
                                                      <w:marRight w:val="0"/>
                                                      <w:marTop w:val="0"/>
                                                      <w:marBottom w:val="345"/>
                                                      <w:divBdr>
                                                        <w:top w:val="none" w:sz="0" w:space="0" w:color="auto"/>
                                                        <w:left w:val="none" w:sz="0" w:space="0" w:color="auto"/>
                                                        <w:bottom w:val="none" w:sz="0" w:space="0" w:color="auto"/>
                                                        <w:right w:val="none" w:sz="0" w:space="0" w:color="auto"/>
                                                      </w:divBdr>
                                                      <w:divsChild>
                                                        <w:div w:id="1157957004">
                                                          <w:marLeft w:val="0"/>
                                                          <w:marRight w:val="0"/>
                                                          <w:marTop w:val="0"/>
                                                          <w:marBottom w:val="0"/>
                                                          <w:divBdr>
                                                            <w:top w:val="none" w:sz="0" w:space="0" w:color="auto"/>
                                                            <w:left w:val="none" w:sz="0" w:space="0" w:color="auto"/>
                                                            <w:bottom w:val="none" w:sz="0" w:space="0" w:color="auto"/>
                                                            <w:right w:val="none" w:sz="0" w:space="0" w:color="auto"/>
                                                          </w:divBdr>
                                                          <w:divsChild>
                                                            <w:div w:id="1499232446">
                                                              <w:marLeft w:val="0"/>
                                                              <w:marRight w:val="0"/>
                                                              <w:marTop w:val="0"/>
                                                              <w:marBottom w:val="0"/>
                                                              <w:divBdr>
                                                                <w:top w:val="none" w:sz="0" w:space="0" w:color="auto"/>
                                                                <w:left w:val="none" w:sz="0" w:space="0" w:color="auto"/>
                                                                <w:bottom w:val="none" w:sz="0" w:space="0" w:color="auto"/>
                                                                <w:right w:val="none" w:sz="0" w:space="0" w:color="auto"/>
                                                              </w:divBdr>
                                                              <w:divsChild>
                                                                <w:div w:id="1054812001">
                                                                  <w:marLeft w:val="0"/>
                                                                  <w:marRight w:val="0"/>
                                                                  <w:marTop w:val="0"/>
                                                                  <w:marBottom w:val="0"/>
                                                                  <w:divBdr>
                                                                    <w:top w:val="none" w:sz="0" w:space="0" w:color="auto"/>
                                                                    <w:left w:val="none" w:sz="0" w:space="0" w:color="auto"/>
                                                                    <w:bottom w:val="none" w:sz="0" w:space="0" w:color="auto"/>
                                                                    <w:right w:val="none" w:sz="0" w:space="0" w:color="auto"/>
                                                                  </w:divBdr>
                                                                  <w:divsChild>
                                                                    <w:div w:id="1961762276">
                                                                      <w:marLeft w:val="0"/>
                                                                      <w:marRight w:val="0"/>
                                                                      <w:marTop w:val="0"/>
                                                                      <w:marBottom w:val="0"/>
                                                                      <w:divBdr>
                                                                        <w:top w:val="none" w:sz="0" w:space="0" w:color="auto"/>
                                                                        <w:left w:val="none" w:sz="0" w:space="0" w:color="auto"/>
                                                                        <w:bottom w:val="none" w:sz="0" w:space="0" w:color="auto"/>
                                                                        <w:right w:val="none" w:sz="0" w:space="0" w:color="auto"/>
                                                                      </w:divBdr>
                                                                      <w:divsChild>
                                                                        <w:div w:id="816412653">
                                                                          <w:marLeft w:val="0"/>
                                                                          <w:marRight w:val="0"/>
                                                                          <w:marTop w:val="0"/>
                                                                          <w:marBottom w:val="0"/>
                                                                          <w:divBdr>
                                                                            <w:top w:val="none" w:sz="0" w:space="0" w:color="auto"/>
                                                                            <w:left w:val="none" w:sz="0" w:space="0" w:color="auto"/>
                                                                            <w:bottom w:val="none" w:sz="0" w:space="0" w:color="auto"/>
                                                                            <w:right w:val="none" w:sz="0" w:space="0" w:color="auto"/>
                                                                          </w:divBdr>
                                                                          <w:divsChild>
                                                                            <w:div w:id="2014339397">
                                                                              <w:marLeft w:val="0"/>
                                                                              <w:marRight w:val="0"/>
                                                                              <w:marTop w:val="0"/>
                                                                              <w:marBottom w:val="0"/>
                                                                              <w:divBdr>
                                                                                <w:top w:val="none" w:sz="0" w:space="0" w:color="auto"/>
                                                                                <w:left w:val="none" w:sz="0" w:space="0" w:color="auto"/>
                                                                                <w:bottom w:val="none" w:sz="0" w:space="0" w:color="auto"/>
                                                                                <w:right w:val="none" w:sz="0" w:space="0" w:color="auto"/>
                                                                              </w:divBdr>
                                                                              <w:divsChild>
                                                                                <w:div w:id="1818034349">
                                                                                  <w:marLeft w:val="0"/>
                                                                                  <w:marRight w:val="0"/>
                                                                                  <w:marTop w:val="0"/>
                                                                                  <w:marBottom w:val="0"/>
                                                                                  <w:divBdr>
                                                                                    <w:top w:val="none" w:sz="0" w:space="0" w:color="auto"/>
                                                                                    <w:left w:val="none" w:sz="0" w:space="0" w:color="auto"/>
                                                                                    <w:bottom w:val="none" w:sz="0" w:space="0" w:color="auto"/>
                                                                                    <w:right w:val="none" w:sz="0" w:space="0" w:color="auto"/>
                                                                                  </w:divBdr>
                                                                                  <w:divsChild>
                                                                                    <w:div w:id="1525552676">
                                                                                      <w:marLeft w:val="0"/>
                                                                                      <w:marRight w:val="0"/>
                                                                                      <w:marTop w:val="0"/>
                                                                                      <w:marBottom w:val="0"/>
                                                                                      <w:divBdr>
                                                                                        <w:top w:val="none" w:sz="0" w:space="0" w:color="auto"/>
                                                                                        <w:left w:val="none" w:sz="0" w:space="0" w:color="auto"/>
                                                                                        <w:bottom w:val="none" w:sz="0" w:space="0" w:color="auto"/>
                                                                                        <w:right w:val="none" w:sz="0" w:space="0" w:color="auto"/>
                                                                                      </w:divBdr>
                                                                                      <w:divsChild>
                                                                                        <w:div w:id="1482697610">
                                                                                          <w:marLeft w:val="0"/>
                                                                                          <w:marRight w:val="0"/>
                                                                                          <w:marTop w:val="0"/>
                                                                                          <w:marBottom w:val="0"/>
                                                                                          <w:divBdr>
                                                                                            <w:top w:val="none" w:sz="0" w:space="0" w:color="auto"/>
                                                                                            <w:left w:val="none" w:sz="0" w:space="0" w:color="auto"/>
                                                                                            <w:bottom w:val="none" w:sz="0" w:space="0" w:color="auto"/>
                                                                                            <w:right w:val="none" w:sz="0" w:space="0" w:color="auto"/>
                                                                                          </w:divBdr>
                                                                                          <w:divsChild>
                                                                                            <w:div w:id="1876501389">
                                                                                              <w:marLeft w:val="0"/>
                                                                                              <w:marRight w:val="0"/>
                                                                                              <w:marTop w:val="0"/>
                                                                                              <w:marBottom w:val="0"/>
                                                                                              <w:divBdr>
                                                                                                <w:top w:val="none" w:sz="0" w:space="0" w:color="auto"/>
                                                                                                <w:left w:val="none" w:sz="0" w:space="0" w:color="auto"/>
                                                                                                <w:bottom w:val="none" w:sz="0" w:space="0" w:color="auto"/>
                                                                                                <w:right w:val="none" w:sz="0" w:space="0" w:color="auto"/>
                                                                                              </w:divBdr>
                                                                                              <w:divsChild>
                                                                                                <w:div w:id="1931504630">
                                                                                                  <w:marLeft w:val="300"/>
                                                                                                  <w:marRight w:val="0"/>
                                                                                                  <w:marTop w:val="0"/>
                                                                                                  <w:marBottom w:val="0"/>
                                                                                                  <w:divBdr>
                                                                                                    <w:top w:val="none" w:sz="0" w:space="0" w:color="auto"/>
                                                                                                    <w:left w:val="none" w:sz="0" w:space="0" w:color="auto"/>
                                                                                                    <w:bottom w:val="none" w:sz="0" w:space="0" w:color="auto"/>
                                                                                                    <w:right w:val="none" w:sz="0" w:space="0" w:color="auto"/>
                                                                                                  </w:divBdr>
                                                                                                  <w:divsChild>
                                                                                                    <w:div w:id="837037142">
                                                                                                      <w:marLeft w:val="-300"/>
                                                                                                      <w:marRight w:val="0"/>
                                                                                                      <w:marTop w:val="0"/>
                                                                                                      <w:marBottom w:val="0"/>
                                                                                                      <w:divBdr>
                                                                                                        <w:top w:val="none" w:sz="0" w:space="0" w:color="auto"/>
                                                                                                        <w:left w:val="none" w:sz="0" w:space="0" w:color="auto"/>
                                                                                                        <w:bottom w:val="none" w:sz="0" w:space="0" w:color="auto"/>
                                                                                                        <w:right w:val="none" w:sz="0" w:space="0" w:color="auto"/>
                                                                                                      </w:divBdr>
                                                                                                      <w:divsChild>
                                                                                                        <w:div w:id="3460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249432">
      <w:bodyDiv w:val="1"/>
      <w:marLeft w:val="0"/>
      <w:marRight w:val="0"/>
      <w:marTop w:val="0"/>
      <w:marBottom w:val="0"/>
      <w:divBdr>
        <w:top w:val="none" w:sz="0" w:space="0" w:color="auto"/>
        <w:left w:val="none" w:sz="0" w:space="0" w:color="auto"/>
        <w:bottom w:val="none" w:sz="0" w:space="0" w:color="auto"/>
        <w:right w:val="none" w:sz="0" w:space="0" w:color="auto"/>
      </w:divBdr>
    </w:div>
    <w:div w:id="671638167">
      <w:bodyDiv w:val="1"/>
      <w:marLeft w:val="0"/>
      <w:marRight w:val="0"/>
      <w:marTop w:val="0"/>
      <w:marBottom w:val="0"/>
      <w:divBdr>
        <w:top w:val="none" w:sz="0" w:space="0" w:color="auto"/>
        <w:left w:val="none" w:sz="0" w:space="0" w:color="auto"/>
        <w:bottom w:val="none" w:sz="0" w:space="0" w:color="auto"/>
        <w:right w:val="none" w:sz="0" w:space="0" w:color="auto"/>
      </w:divBdr>
    </w:div>
    <w:div w:id="700276958">
      <w:bodyDiv w:val="1"/>
      <w:marLeft w:val="0"/>
      <w:marRight w:val="0"/>
      <w:marTop w:val="0"/>
      <w:marBottom w:val="0"/>
      <w:divBdr>
        <w:top w:val="none" w:sz="0" w:space="0" w:color="auto"/>
        <w:left w:val="none" w:sz="0" w:space="0" w:color="auto"/>
        <w:bottom w:val="none" w:sz="0" w:space="0" w:color="auto"/>
        <w:right w:val="none" w:sz="0" w:space="0" w:color="auto"/>
      </w:divBdr>
    </w:div>
    <w:div w:id="703363900">
      <w:bodyDiv w:val="1"/>
      <w:marLeft w:val="0"/>
      <w:marRight w:val="0"/>
      <w:marTop w:val="0"/>
      <w:marBottom w:val="0"/>
      <w:divBdr>
        <w:top w:val="none" w:sz="0" w:space="0" w:color="auto"/>
        <w:left w:val="none" w:sz="0" w:space="0" w:color="auto"/>
        <w:bottom w:val="none" w:sz="0" w:space="0" w:color="auto"/>
        <w:right w:val="none" w:sz="0" w:space="0" w:color="auto"/>
      </w:divBdr>
    </w:div>
    <w:div w:id="757020629">
      <w:bodyDiv w:val="1"/>
      <w:marLeft w:val="0"/>
      <w:marRight w:val="0"/>
      <w:marTop w:val="0"/>
      <w:marBottom w:val="0"/>
      <w:divBdr>
        <w:top w:val="none" w:sz="0" w:space="0" w:color="auto"/>
        <w:left w:val="none" w:sz="0" w:space="0" w:color="auto"/>
        <w:bottom w:val="none" w:sz="0" w:space="0" w:color="auto"/>
        <w:right w:val="none" w:sz="0" w:space="0" w:color="auto"/>
      </w:divBdr>
    </w:div>
    <w:div w:id="773483123">
      <w:bodyDiv w:val="1"/>
      <w:marLeft w:val="0"/>
      <w:marRight w:val="0"/>
      <w:marTop w:val="0"/>
      <w:marBottom w:val="0"/>
      <w:divBdr>
        <w:top w:val="none" w:sz="0" w:space="0" w:color="auto"/>
        <w:left w:val="none" w:sz="0" w:space="0" w:color="auto"/>
        <w:bottom w:val="none" w:sz="0" w:space="0" w:color="auto"/>
        <w:right w:val="none" w:sz="0" w:space="0" w:color="auto"/>
      </w:divBdr>
    </w:div>
    <w:div w:id="804735571">
      <w:bodyDiv w:val="1"/>
      <w:marLeft w:val="0"/>
      <w:marRight w:val="0"/>
      <w:marTop w:val="0"/>
      <w:marBottom w:val="0"/>
      <w:divBdr>
        <w:top w:val="none" w:sz="0" w:space="0" w:color="auto"/>
        <w:left w:val="none" w:sz="0" w:space="0" w:color="auto"/>
        <w:bottom w:val="none" w:sz="0" w:space="0" w:color="auto"/>
        <w:right w:val="none" w:sz="0" w:space="0" w:color="auto"/>
      </w:divBdr>
    </w:div>
    <w:div w:id="821702618">
      <w:bodyDiv w:val="1"/>
      <w:marLeft w:val="0"/>
      <w:marRight w:val="0"/>
      <w:marTop w:val="0"/>
      <w:marBottom w:val="0"/>
      <w:divBdr>
        <w:top w:val="none" w:sz="0" w:space="0" w:color="auto"/>
        <w:left w:val="none" w:sz="0" w:space="0" w:color="auto"/>
        <w:bottom w:val="none" w:sz="0" w:space="0" w:color="auto"/>
        <w:right w:val="none" w:sz="0" w:space="0" w:color="auto"/>
      </w:divBdr>
    </w:div>
    <w:div w:id="851382635">
      <w:bodyDiv w:val="1"/>
      <w:marLeft w:val="0"/>
      <w:marRight w:val="0"/>
      <w:marTop w:val="0"/>
      <w:marBottom w:val="0"/>
      <w:divBdr>
        <w:top w:val="none" w:sz="0" w:space="0" w:color="auto"/>
        <w:left w:val="none" w:sz="0" w:space="0" w:color="auto"/>
        <w:bottom w:val="none" w:sz="0" w:space="0" w:color="auto"/>
        <w:right w:val="none" w:sz="0" w:space="0" w:color="auto"/>
      </w:divBdr>
    </w:div>
    <w:div w:id="880214914">
      <w:bodyDiv w:val="1"/>
      <w:marLeft w:val="0"/>
      <w:marRight w:val="0"/>
      <w:marTop w:val="0"/>
      <w:marBottom w:val="0"/>
      <w:divBdr>
        <w:top w:val="none" w:sz="0" w:space="0" w:color="auto"/>
        <w:left w:val="none" w:sz="0" w:space="0" w:color="auto"/>
        <w:bottom w:val="none" w:sz="0" w:space="0" w:color="auto"/>
        <w:right w:val="none" w:sz="0" w:space="0" w:color="auto"/>
      </w:divBdr>
    </w:div>
    <w:div w:id="1032799824">
      <w:bodyDiv w:val="1"/>
      <w:marLeft w:val="0"/>
      <w:marRight w:val="0"/>
      <w:marTop w:val="0"/>
      <w:marBottom w:val="0"/>
      <w:divBdr>
        <w:top w:val="none" w:sz="0" w:space="0" w:color="auto"/>
        <w:left w:val="none" w:sz="0" w:space="0" w:color="auto"/>
        <w:bottom w:val="none" w:sz="0" w:space="0" w:color="auto"/>
        <w:right w:val="none" w:sz="0" w:space="0" w:color="auto"/>
      </w:divBdr>
    </w:div>
    <w:div w:id="1061443440">
      <w:bodyDiv w:val="1"/>
      <w:marLeft w:val="0"/>
      <w:marRight w:val="0"/>
      <w:marTop w:val="0"/>
      <w:marBottom w:val="0"/>
      <w:divBdr>
        <w:top w:val="none" w:sz="0" w:space="0" w:color="auto"/>
        <w:left w:val="none" w:sz="0" w:space="0" w:color="auto"/>
        <w:bottom w:val="none" w:sz="0" w:space="0" w:color="auto"/>
        <w:right w:val="none" w:sz="0" w:space="0" w:color="auto"/>
      </w:divBdr>
    </w:div>
    <w:div w:id="1105426011">
      <w:bodyDiv w:val="1"/>
      <w:marLeft w:val="0"/>
      <w:marRight w:val="0"/>
      <w:marTop w:val="0"/>
      <w:marBottom w:val="0"/>
      <w:divBdr>
        <w:top w:val="none" w:sz="0" w:space="0" w:color="auto"/>
        <w:left w:val="none" w:sz="0" w:space="0" w:color="auto"/>
        <w:bottom w:val="none" w:sz="0" w:space="0" w:color="auto"/>
        <w:right w:val="none" w:sz="0" w:space="0" w:color="auto"/>
      </w:divBdr>
    </w:div>
    <w:div w:id="1110971747">
      <w:bodyDiv w:val="1"/>
      <w:marLeft w:val="0"/>
      <w:marRight w:val="0"/>
      <w:marTop w:val="0"/>
      <w:marBottom w:val="0"/>
      <w:divBdr>
        <w:top w:val="none" w:sz="0" w:space="0" w:color="auto"/>
        <w:left w:val="none" w:sz="0" w:space="0" w:color="auto"/>
        <w:bottom w:val="none" w:sz="0" w:space="0" w:color="auto"/>
        <w:right w:val="none" w:sz="0" w:space="0" w:color="auto"/>
      </w:divBdr>
    </w:div>
    <w:div w:id="1124155921">
      <w:bodyDiv w:val="1"/>
      <w:marLeft w:val="0"/>
      <w:marRight w:val="0"/>
      <w:marTop w:val="0"/>
      <w:marBottom w:val="0"/>
      <w:divBdr>
        <w:top w:val="none" w:sz="0" w:space="0" w:color="auto"/>
        <w:left w:val="none" w:sz="0" w:space="0" w:color="auto"/>
        <w:bottom w:val="none" w:sz="0" w:space="0" w:color="auto"/>
        <w:right w:val="none" w:sz="0" w:space="0" w:color="auto"/>
      </w:divBdr>
    </w:div>
    <w:div w:id="1164930120">
      <w:bodyDiv w:val="1"/>
      <w:marLeft w:val="0"/>
      <w:marRight w:val="0"/>
      <w:marTop w:val="0"/>
      <w:marBottom w:val="0"/>
      <w:divBdr>
        <w:top w:val="none" w:sz="0" w:space="0" w:color="auto"/>
        <w:left w:val="none" w:sz="0" w:space="0" w:color="auto"/>
        <w:bottom w:val="none" w:sz="0" w:space="0" w:color="auto"/>
        <w:right w:val="none" w:sz="0" w:space="0" w:color="auto"/>
      </w:divBdr>
    </w:div>
    <w:div w:id="1185438172">
      <w:bodyDiv w:val="1"/>
      <w:marLeft w:val="0"/>
      <w:marRight w:val="0"/>
      <w:marTop w:val="0"/>
      <w:marBottom w:val="0"/>
      <w:divBdr>
        <w:top w:val="none" w:sz="0" w:space="0" w:color="auto"/>
        <w:left w:val="none" w:sz="0" w:space="0" w:color="auto"/>
        <w:bottom w:val="none" w:sz="0" w:space="0" w:color="auto"/>
        <w:right w:val="none" w:sz="0" w:space="0" w:color="auto"/>
      </w:divBdr>
    </w:div>
    <w:div w:id="1252855089">
      <w:bodyDiv w:val="1"/>
      <w:marLeft w:val="0"/>
      <w:marRight w:val="0"/>
      <w:marTop w:val="0"/>
      <w:marBottom w:val="0"/>
      <w:divBdr>
        <w:top w:val="none" w:sz="0" w:space="0" w:color="auto"/>
        <w:left w:val="none" w:sz="0" w:space="0" w:color="auto"/>
        <w:bottom w:val="none" w:sz="0" w:space="0" w:color="auto"/>
        <w:right w:val="none" w:sz="0" w:space="0" w:color="auto"/>
      </w:divBdr>
    </w:div>
    <w:div w:id="1282103012">
      <w:bodyDiv w:val="1"/>
      <w:marLeft w:val="0"/>
      <w:marRight w:val="0"/>
      <w:marTop w:val="0"/>
      <w:marBottom w:val="0"/>
      <w:divBdr>
        <w:top w:val="none" w:sz="0" w:space="0" w:color="auto"/>
        <w:left w:val="none" w:sz="0" w:space="0" w:color="auto"/>
        <w:bottom w:val="none" w:sz="0" w:space="0" w:color="auto"/>
        <w:right w:val="none" w:sz="0" w:space="0" w:color="auto"/>
      </w:divBdr>
    </w:div>
    <w:div w:id="1349017766">
      <w:bodyDiv w:val="1"/>
      <w:marLeft w:val="0"/>
      <w:marRight w:val="0"/>
      <w:marTop w:val="0"/>
      <w:marBottom w:val="0"/>
      <w:divBdr>
        <w:top w:val="none" w:sz="0" w:space="0" w:color="auto"/>
        <w:left w:val="none" w:sz="0" w:space="0" w:color="auto"/>
        <w:bottom w:val="none" w:sz="0" w:space="0" w:color="auto"/>
        <w:right w:val="none" w:sz="0" w:space="0" w:color="auto"/>
      </w:divBdr>
    </w:div>
    <w:div w:id="1361666418">
      <w:bodyDiv w:val="1"/>
      <w:marLeft w:val="0"/>
      <w:marRight w:val="0"/>
      <w:marTop w:val="0"/>
      <w:marBottom w:val="0"/>
      <w:divBdr>
        <w:top w:val="none" w:sz="0" w:space="0" w:color="auto"/>
        <w:left w:val="none" w:sz="0" w:space="0" w:color="auto"/>
        <w:bottom w:val="none" w:sz="0" w:space="0" w:color="auto"/>
        <w:right w:val="none" w:sz="0" w:space="0" w:color="auto"/>
      </w:divBdr>
    </w:div>
    <w:div w:id="1402673728">
      <w:bodyDiv w:val="1"/>
      <w:marLeft w:val="0"/>
      <w:marRight w:val="0"/>
      <w:marTop w:val="0"/>
      <w:marBottom w:val="0"/>
      <w:divBdr>
        <w:top w:val="none" w:sz="0" w:space="0" w:color="auto"/>
        <w:left w:val="none" w:sz="0" w:space="0" w:color="auto"/>
        <w:bottom w:val="none" w:sz="0" w:space="0" w:color="auto"/>
        <w:right w:val="none" w:sz="0" w:space="0" w:color="auto"/>
      </w:divBdr>
    </w:div>
    <w:div w:id="1404140527">
      <w:bodyDiv w:val="1"/>
      <w:marLeft w:val="0"/>
      <w:marRight w:val="0"/>
      <w:marTop w:val="0"/>
      <w:marBottom w:val="0"/>
      <w:divBdr>
        <w:top w:val="none" w:sz="0" w:space="0" w:color="auto"/>
        <w:left w:val="none" w:sz="0" w:space="0" w:color="auto"/>
        <w:bottom w:val="none" w:sz="0" w:space="0" w:color="auto"/>
        <w:right w:val="none" w:sz="0" w:space="0" w:color="auto"/>
      </w:divBdr>
    </w:div>
    <w:div w:id="1529487669">
      <w:bodyDiv w:val="1"/>
      <w:marLeft w:val="0"/>
      <w:marRight w:val="0"/>
      <w:marTop w:val="0"/>
      <w:marBottom w:val="0"/>
      <w:divBdr>
        <w:top w:val="none" w:sz="0" w:space="0" w:color="auto"/>
        <w:left w:val="none" w:sz="0" w:space="0" w:color="auto"/>
        <w:bottom w:val="none" w:sz="0" w:space="0" w:color="auto"/>
        <w:right w:val="none" w:sz="0" w:space="0" w:color="auto"/>
      </w:divBdr>
    </w:div>
    <w:div w:id="1537813823">
      <w:bodyDiv w:val="1"/>
      <w:marLeft w:val="0"/>
      <w:marRight w:val="0"/>
      <w:marTop w:val="0"/>
      <w:marBottom w:val="0"/>
      <w:divBdr>
        <w:top w:val="none" w:sz="0" w:space="0" w:color="auto"/>
        <w:left w:val="none" w:sz="0" w:space="0" w:color="auto"/>
        <w:bottom w:val="none" w:sz="0" w:space="0" w:color="auto"/>
        <w:right w:val="none" w:sz="0" w:space="0" w:color="auto"/>
      </w:divBdr>
    </w:div>
    <w:div w:id="1569028119">
      <w:bodyDiv w:val="1"/>
      <w:marLeft w:val="0"/>
      <w:marRight w:val="0"/>
      <w:marTop w:val="0"/>
      <w:marBottom w:val="0"/>
      <w:divBdr>
        <w:top w:val="none" w:sz="0" w:space="0" w:color="auto"/>
        <w:left w:val="none" w:sz="0" w:space="0" w:color="auto"/>
        <w:bottom w:val="none" w:sz="0" w:space="0" w:color="auto"/>
        <w:right w:val="none" w:sz="0" w:space="0" w:color="auto"/>
      </w:divBdr>
    </w:div>
    <w:div w:id="1593080536">
      <w:bodyDiv w:val="1"/>
      <w:marLeft w:val="0"/>
      <w:marRight w:val="0"/>
      <w:marTop w:val="0"/>
      <w:marBottom w:val="0"/>
      <w:divBdr>
        <w:top w:val="none" w:sz="0" w:space="0" w:color="auto"/>
        <w:left w:val="none" w:sz="0" w:space="0" w:color="auto"/>
        <w:bottom w:val="none" w:sz="0" w:space="0" w:color="auto"/>
        <w:right w:val="none" w:sz="0" w:space="0" w:color="auto"/>
      </w:divBdr>
    </w:div>
    <w:div w:id="1690981649">
      <w:bodyDiv w:val="1"/>
      <w:marLeft w:val="0"/>
      <w:marRight w:val="0"/>
      <w:marTop w:val="0"/>
      <w:marBottom w:val="0"/>
      <w:divBdr>
        <w:top w:val="none" w:sz="0" w:space="0" w:color="auto"/>
        <w:left w:val="none" w:sz="0" w:space="0" w:color="auto"/>
        <w:bottom w:val="none" w:sz="0" w:space="0" w:color="auto"/>
        <w:right w:val="none" w:sz="0" w:space="0" w:color="auto"/>
      </w:divBdr>
    </w:div>
    <w:div w:id="1715301441">
      <w:bodyDiv w:val="1"/>
      <w:marLeft w:val="0"/>
      <w:marRight w:val="0"/>
      <w:marTop w:val="0"/>
      <w:marBottom w:val="0"/>
      <w:divBdr>
        <w:top w:val="none" w:sz="0" w:space="0" w:color="auto"/>
        <w:left w:val="none" w:sz="0" w:space="0" w:color="auto"/>
        <w:bottom w:val="none" w:sz="0" w:space="0" w:color="auto"/>
        <w:right w:val="none" w:sz="0" w:space="0" w:color="auto"/>
      </w:divBdr>
    </w:div>
    <w:div w:id="1732927501">
      <w:bodyDiv w:val="1"/>
      <w:marLeft w:val="0"/>
      <w:marRight w:val="0"/>
      <w:marTop w:val="0"/>
      <w:marBottom w:val="0"/>
      <w:divBdr>
        <w:top w:val="none" w:sz="0" w:space="0" w:color="auto"/>
        <w:left w:val="none" w:sz="0" w:space="0" w:color="auto"/>
        <w:bottom w:val="none" w:sz="0" w:space="0" w:color="auto"/>
        <w:right w:val="none" w:sz="0" w:space="0" w:color="auto"/>
      </w:divBdr>
    </w:div>
    <w:div w:id="1791781745">
      <w:bodyDiv w:val="1"/>
      <w:marLeft w:val="0"/>
      <w:marRight w:val="0"/>
      <w:marTop w:val="0"/>
      <w:marBottom w:val="0"/>
      <w:divBdr>
        <w:top w:val="none" w:sz="0" w:space="0" w:color="auto"/>
        <w:left w:val="none" w:sz="0" w:space="0" w:color="auto"/>
        <w:bottom w:val="none" w:sz="0" w:space="0" w:color="auto"/>
        <w:right w:val="none" w:sz="0" w:space="0" w:color="auto"/>
      </w:divBdr>
    </w:div>
    <w:div w:id="1816334739">
      <w:bodyDiv w:val="1"/>
      <w:marLeft w:val="0"/>
      <w:marRight w:val="0"/>
      <w:marTop w:val="0"/>
      <w:marBottom w:val="0"/>
      <w:divBdr>
        <w:top w:val="none" w:sz="0" w:space="0" w:color="auto"/>
        <w:left w:val="none" w:sz="0" w:space="0" w:color="auto"/>
        <w:bottom w:val="none" w:sz="0" w:space="0" w:color="auto"/>
        <w:right w:val="none" w:sz="0" w:space="0" w:color="auto"/>
      </w:divBdr>
    </w:div>
    <w:div w:id="1849824870">
      <w:bodyDiv w:val="1"/>
      <w:marLeft w:val="0"/>
      <w:marRight w:val="0"/>
      <w:marTop w:val="0"/>
      <w:marBottom w:val="0"/>
      <w:divBdr>
        <w:top w:val="none" w:sz="0" w:space="0" w:color="auto"/>
        <w:left w:val="none" w:sz="0" w:space="0" w:color="auto"/>
        <w:bottom w:val="none" w:sz="0" w:space="0" w:color="auto"/>
        <w:right w:val="none" w:sz="0" w:space="0" w:color="auto"/>
      </w:divBdr>
    </w:div>
    <w:div w:id="1977490528">
      <w:bodyDiv w:val="1"/>
      <w:marLeft w:val="0"/>
      <w:marRight w:val="0"/>
      <w:marTop w:val="0"/>
      <w:marBottom w:val="0"/>
      <w:divBdr>
        <w:top w:val="none" w:sz="0" w:space="0" w:color="auto"/>
        <w:left w:val="none" w:sz="0" w:space="0" w:color="auto"/>
        <w:bottom w:val="none" w:sz="0" w:space="0" w:color="auto"/>
        <w:right w:val="none" w:sz="0" w:space="0" w:color="auto"/>
      </w:divBdr>
    </w:div>
    <w:div w:id="2084133965">
      <w:bodyDiv w:val="1"/>
      <w:marLeft w:val="0"/>
      <w:marRight w:val="0"/>
      <w:marTop w:val="0"/>
      <w:marBottom w:val="0"/>
      <w:divBdr>
        <w:top w:val="none" w:sz="0" w:space="0" w:color="auto"/>
        <w:left w:val="none" w:sz="0" w:space="0" w:color="auto"/>
        <w:bottom w:val="none" w:sz="0" w:space="0" w:color="auto"/>
        <w:right w:val="none" w:sz="0" w:space="0" w:color="auto"/>
      </w:divBdr>
    </w:div>
    <w:div w:id="2110153375">
      <w:bodyDiv w:val="1"/>
      <w:marLeft w:val="0"/>
      <w:marRight w:val="0"/>
      <w:marTop w:val="0"/>
      <w:marBottom w:val="0"/>
      <w:divBdr>
        <w:top w:val="none" w:sz="0" w:space="0" w:color="auto"/>
        <w:left w:val="none" w:sz="0" w:space="0" w:color="auto"/>
        <w:bottom w:val="none" w:sz="0" w:space="0" w:color="auto"/>
        <w:right w:val="none" w:sz="0" w:space="0" w:color="auto"/>
      </w:divBdr>
    </w:div>
    <w:div w:id="2112772326">
      <w:bodyDiv w:val="1"/>
      <w:marLeft w:val="0"/>
      <w:marRight w:val="0"/>
      <w:marTop w:val="0"/>
      <w:marBottom w:val="0"/>
      <w:divBdr>
        <w:top w:val="none" w:sz="0" w:space="0" w:color="auto"/>
        <w:left w:val="none" w:sz="0" w:space="0" w:color="auto"/>
        <w:bottom w:val="none" w:sz="0" w:space="0" w:color="auto"/>
        <w:right w:val="none" w:sz="0" w:space="0" w:color="auto"/>
      </w:divBdr>
    </w:div>
    <w:div w:id="2120221476">
      <w:bodyDiv w:val="1"/>
      <w:marLeft w:val="0"/>
      <w:marRight w:val="0"/>
      <w:marTop w:val="0"/>
      <w:marBottom w:val="0"/>
      <w:divBdr>
        <w:top w:val="none" w:sz="0" w:space="0" w:color="auto"/>
        <w:left w:val="none" w:sz="0" w:space="0" w:color="auto"/>
        <w:bottom w:val="none" w:sz="0" w:space="0" w:color="auto"/>
        <w:right w:val="none" w:sz="0" w:space="0" w:color="auto"/>
      </w:divBdr>
    </w:div>
    <w:div w:id="21243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8.em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www.tga.gov.a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tga.gov.au/product-information-pi" TargetMode="External"/><Relationship Id="rId25" Type="http://schemas.microsoft.com/office/2007/relationships/hdphoto" Target="media/hdphoto1.wdp"/><Relationship Id="rId33" Type="http://schemas.openxmlformats.org/officeDocument/2006/relationships/hyperlink" Target="mailto:info@tga.gov.au"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7.png"/><Relationship Id="rId32" Type="http://schemas.openxmlformats.org/officeDocument/2006/relationships/footer" Target="footer4.xm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en.wikipedia.org/wiki/Atherosclerosis" TargetMode="External"/><Relationship Id="rId28" Type="http://schemas.openxmlformats.org/officeDocument/2006/relationships/hyperlink" Target="https://www.tga.gov.au/product-information-pi" TargetMode="External"/><Relationship Id="rId36" Type="http://schemas.openxmlformats.org/officeDocument/2006/relationships/header" Target="header8.xml"/><Relationship Id="rId10" Type="http://schemas.openxmlformats.org/officeDocument/2006/relationships/hyperlink" Target="mailto:tga.copyright@tga.gov.au" TargetMode="External"/><Relationship Id="rId19" Type="http://schemas.openxmlformats.org/officeDocument/2006/relationships/image" Target="media/image4.pn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footer" Target="footer2.xml"/><Relationship Id="rId22" Type="http://schemas.openxmlformats.org/officeDocument/2006/relationships/hyperlink" Target="http://en.wikipedia.org/wiki/Juvenile_idiopathic_arthritis" TargetMode="External"/><Relationship Id="rId27" Type="http://schemas.openxmlformats.org/officeDocument/2006/relationships/image" Target="media/image9.emf"/><Relationship Id="rId30" Type="http://schemas.openxmlformats.org/officeDocument/2006/relationships/header" Target="header5.xml"/><Relationship Id="rId35" Type="http://schemas.openxmlformats.org/officeDocument/2006/relationships/header" Target="header7.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ann\AppData\Local\Hewlett-Packard\HP%20TRIM\TEMP\HPTRIM.5516\R12%20926607%20%20AusPAR%20-%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0D6AD-D798-410A-A64F-734E8F49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 926607  AusPAR - template.DOTX</Template>
  <TotalTime>179</TotalTime>
  <Pages>49</Pages>
  <Words>18540</Words>
  <Characters>100674</Characters>
  <Application>Microsoft Office Word</Application>
  <DocSecurity>0</DocSecurity>
  <Lines>2455</Lines>
  <Paragraphs>1324</Paragraphs>
  <ScaleCrop>false</ScaleCrop>
  <HeadingPairs>
    <vt:vector size="2" baseType="variant">
      <vt:variant>
        <vt:lpstr>Title</vt:lpstr>
      </vt:variant>
      <vt:variant>
        <vt:i4>1</vt:i4>
      </vt:variant>
    </vt:vector>
  </HeadingPairs>
  <TitlesOfParts>
    <vt:vector size="1" baseType="lpstr">
      <vt:lpstr>Australian Public Assessment Report for Adalimumab (rch)</vt:lpstr>
    </vt:vector>
  </TitlesOfParts>
  <Company>Therapeutic Goods Administration</Company>
  <LinksUpToDate>false</LinksUpToDate>
  <CharactersWithSpaces>117890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Public Assessment Report for Adalimumab (rch)</dc:title>
  <dc:subject>Prescription medicines</dc:subject>
  <dc:creator>Therapeutic Goods Administration</dc:creator>
  <cp:keywords>AusPARs</cp:keywords>
  <cp:lastModifiedBy>Searson, Lisa</cp:lastModifiedBy>
  <cp:revision>9</cp:revision>
  <cp:lastPrinted>2015-11-23T02:51:00Z</cp:lastPrinted>
  <dcterms:created xsi:type="dcterms:W3CDTF">2015-12-22T01:51:00Z</dcterms:created>
  <dcterms:modified xsi:type="dcterms:W3CDTF">2015-12-22T05:20:00Z</dcterms:modified>
</cp:coreProperties>
</file>