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0526AB" w:rsidP="000526AB">
            <w:pPr>
              <w:rPr>
                <w:rFonts w:ascii="Arial" w:hAnsi="Arial" w:cs="Arial"/>
                <w:b/>
                <w:color w:val="002C47"/>
                <w:sz w:val="36"/>
                <w:szCs w:val="36"/>
              </w:rPr>
            </w:pPr>
            <w:bookmarkStart w:id="0" w:name="_GoBack"/>
            <w:bookmarkEnd w:id="0"/>
            <w:r>
              <w:rPr>
                <w:rFonts w:ascii="Arial" w:hAnsi="Arial" w:cs="Arial"/>
                <w:b/>
                <w:color w:val="002C47"/>
                <w:sz w:val="36"/>
                <w:szCs w:val="36"/>
              </w:rPr>
              <w:t>11 February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5B6DC7">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0526AB" w:rsidRPr="000526AB">
              <w:rPr>
                <w:color w:val="FFFFFF" w:themeColor="background1"/>
              </w:rPr>
              <w:t>Aflibercept (rch)</w:t>
            </w:r>
          </w:p>
        </w:tc>
      </w:tr>
      <w:tr w:rsidR="00E07F15" w:rsidRPr="00B64760" w:rsidTr="00E07F15">
        <w:tc>
          <w:tcPr>
            <w:tcW w:w="9079" w:type="dxa"/>
          </w:tcPr>
          <w:p w:rsidR="00E07F15" w:rsidRPr="008E7846" w:rsidRDefault="00E07F15" w:rsidP="000526AB">
            <w:pPr>
              <w:pStyle w:val="Subtitle"/>
              <w:rPr>
                <w:color w:val="FFFFFF" w:themeColor="background1"/>
              </w:rPr>
            </w:pPr>
            <w:r w:rsidRPr="008E7846">
              <w:rPr>
                <w:color w:val="FFFFFF" w:themeColor="background1"/>
              </w:rPr>
              <w:t xml:space="preserve">Proprietary Product Name: </w:t>
            </w:r>
            <w:r w:rsidR="000526AB">
              <w:rPr>
                <w:color w:val="FFFFFF" w:themeColor="background1"/>
              </w:rPr>
              <w:t>Eylea</w:t>
            </w:r>
          </w:p>
        </w:tc>
      </w:tr>
      <w:tr w:rsidR="00E07F15" w:rsidRPr="00B64760" w:rsidTr="00E07F15">
        <w:trPr>
          <w:trHeight w:val="486"/>
        </w:trPr>
        <w:tc>
          <w:tcPr>
            <w:tcW w:w="9079" w:type="dxa"/>
          </w:tcPr>
          <w:p w:rsidR="00E07F15" w:rsidRPr="008E7846" w:rsidRDefault="00E07F15" w:rsidP="007D5BF7">
            <w:pPr>
              <w:pStyle w:val="Subtitle"/>
              <w:rPr>
                <w:color w:val="FFFFFF" w:themeColor="background1"/>
              </w:rPr>
            </w:pPr>
            <w:r w:rsidRPr="008E7846">
              <w:rPr>
                <w:color w:val="FFFFFF" w:themeColor="background1"/>
              </w:rPr>
              <w:t xml:space="preserve">Sponsor: </w:t>
            </w:r>
            <w:r w:rsidR="000526AB">
              <w:rPr>
                <w:color w:val="FFFFFF" w:themeColor="background1"/>
              </w:rPr>
              <w:t>Bayer Australia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2F27A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F27A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F27A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F27A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F27A1">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F7558D">
      <w:pPr>
        <w:pStyle w:val="LegalSubheading"/>
        <w:spacing w:before="37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7D6583">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E4973" w:rsidRDefault="00084ED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6651338" w:history="1">
            <w:r w:rsidR="009E4973" w:rsidRPr="00EF50B8">
              <w:rPr>
                <w:rStyle w:val="Hyperlink"/>
                <w:noProof/>
              </w:rPr>
              <w:t>List of abbreviations</w:t>
            </w:r>
            <w:r w:rsidR="009E4973">
              <w:rPr>
                <w:noProof/>
                <w:webHidden/>
              </w:rPr>
              <w:tab/>
            </w:r>
            <w:r w:rsidR="009E4973">
              <w:rPr>
                <w:noProof/>
                <w:webHidden/>
              </w:rPr>
              <w:fldChar w:fldCharType="begin"/>
            </w:r>
            <w:r w:rsidR="009E4973">
              <w:rPr>
                <w:noProof/>
                <w:webHidden/>
              </w:rPr>
              <w:instrText xml:space="preserve"> PAGEREF _Toc396651338 \h </w:instrText>
            </w:r>
            <w:r w:rsidR="009E4973">
              <w:rPr>
                <w:noProof/>
                <w:webHidden/>
              </w:rPr>
            </w:r>
            <w:r w:rsidR="009E4973">
              <w:rPr>
                <w:noProof/>
                <w:webHidden/>
              </w:rPr>
              <w:fldChar w:fldCharType="separate"/>
            </w:r>
            <w:r w:rsidR="009E4973">
              <w:rPr>
                <w:noProof/>
                <w:webHidden/>
              </w:rPr>
              <w:t>4</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39" w:history="1">
            <w:r w:rsidR="009E4973" w:rsidRPr="00EF50B8">
              <w:rPr>
                <w:rStyle w:val="Hyperlink"/>
                <w:noProof/>
                <w:lang w:eastAsia="en-AU"/>
              </w:rPr>
              <w:t>1.</w:t>
            </w:r>
            <w:r w:rsidR="009E4973">
              <w:rPr>
                <w:rFonts w:asciiTheme="minorHAnsi" w:eastAsiaTheme="minorEastAsia" w:hAnsiTheme="minorHAnsi" w:cstheme="minorBidi"/>
                <w:b w:val="0"/>
                <w:noProof/>
                <w:sz w:val="22"/>
                <w:lang w:eastAsia="en-AU"/>
              </w:rPr>
              <w:tab/>
            </w:r>
            <w:r w:rsidR="009E4973" w:rsidRPr="00EF50B8">
              <w:rPr>
                <w:rStyle w:val="Hyperlink"/>
                <w:noProof/>
                <w:lang w:eastAsia="en-AU"/>
              </w:rPr>
              <w:t>Clinical rationale</w:t>
            </w:r>
            <w:r w:rsidR="009E4973">
              <w:rPr>
                <w:noProof/>
                <w:webHidden/>
              </w:rPr>
              <w:tab/>
            </w:r>
            <w:r w:rsidR="009E4973">
              <w:rPr>
                <w:noProof/>
                <w:webHidden/>
              </w:rPr>
              <w:fldChar w:fldCharType="begin"/>
            </w:r>
            <w:r w:rsidR="009E4973">
              <w:rPr>
                <w:noProof/>
                <w:webHidden/>
              </w:rPr>
              <w:instrText xml:space="preserve"> PAGEREF _Toc396651339 \h </w:instrText>
            </w:r>
            <w:r w:rsidR="009E4973">
              <w:rPr>
                <w:noProof/>
                <w:webHidden/>
              </w:rPr>
            </w:r>
            <w:r w:rsidR="009E4973">
              <w:rPr>
                <w:noProof/>
                <w:webHidden/>
              </w:rPr>
              <w:fldChar w:fldCharType="separate"/>
            </w:r>
            <w:r w:rsidR="009E4973">
              <w:rPr>
                <w:noProof/>
                <w:webHidden/>
              </w:rPr>
              <w:t>6</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40" w:history="1">
            <w:r w:rsidR="009E4973" w:rsidRPr="00EF50B8">
              <w:rPr>
                <w:rStyle w:val="Hyperlink"/>
                <w:noProof/>
                <w:lang w:eastAsia="en-AU"/>
              </w:rPr>
              <w:t>2.</w:t>
            </w:r>
            <w:r w:rsidR="009E4973">
              <w:rPr>
                <w:rFonts w:asciiTheme="minorHAnsi" w:eastAsiaTheme="minorEastAsia" w:hAnsiTheme="minorHAnsi" w:cstheme="minorBidi"/>
                <w:b w:val="0"/>
                <w:noProof/>
                <w:sz w:val="22"/>
                <w:lang w:eastAsia="en-AU"/>
              </w:rPr>
              <w:tab/>
            </w:r>
            <w:r w:rsidR="009E4973" w:rsidRPr="00EF50B8">
              <w:rPr>
                <w:rStyle w:val="Hyperlink"/>
                <w:noProof/>
                <w:lang w:eastAsia="en-AU"/>
              </w:rPr>
              <w:t xml:space="preserve">Contents of </w:t>
            </w:r>
            <w:r w:rsidR="009E4973" w:rsidRPr="00EF50B8">
              <w:rPr>
                <w:rStyle w:val="Hyperlink"/>
                <w:noProof/>
              </w:rPr>
              <w:t>the</w:t>
            </w:r>
            <w:r w:rsidR="009E4973" w:rsidRPr="00EF50B8">
              <w:rPr>
                <w:rStyle w:val="Hyperlink"/>
                <w:noProof/>
                <w:lang w:eastAsia="en-AU"/>
              </w:rPr>
              <w:t xml:space="preserve"> clinical dossier</w:t>
            </w:r>
            <w:r w:rsidR="009E4973">
              <w:rPr>
                <w:noProof/>
                <w:webHidden/>
              </w:rPr>
              <w:tab/>
            </w:r>
            <w:r w:rsidR="009E4973">
              <w:rPr>
                <w:noProof/>
                <w:webHidden/>
              </w:rPr>
              <w:fldChar w:fldCharType="begin"/>
            </w:r>
            <w:r w:rsidR="009E4973">
              <w:rPr>
                <w:noProof/>
                <w:webHidden/>
              </w:rPr>
              <w:instrText xml:space="preserve"> PAGEREF _Toc396651340 \h </w:instrText>
            </w:r>
            <w:r w:rsidR="009E4973">
              <w:rPr>
                <w:noProof/>
                <w:webHidden/>
              </w:rPr>
            </w:r>
            <w:r w:rsidR="009E4973">
              <w:rPr>
                <w:noProof/>
                <w:webHidden/>
              </w:rPr>
              <w:fldChar w:fldCharType="separate"/>
            </w:r>
            <w:r w:rsidR="009E4973">
              <w:rPr>
                <w:noProof/>
                <w:webHidden/>
              </w:rPr>
              <w:t>7</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41" w:history="1">
            <w:r w:rsidR="009E4973" w:rsidRPr="00EF50B8">
              <w:rPr>
                <w:rStyle w:val="Hyperlink"/>
                <w:noProof/>
              </w:rPr>
              <w:t>2.1.</w:t>
            </w:r>
            <w:r w:rsidR="009E4973">
              <w:rPr>
                <w:rFonts w:asciiTheme="minorHAnsi" w:eastAsiaTheme="minorEastAsia" w:hAnsiTheme="minorHAnsi" w:cstheme="minorBidi"/>
                <w:noProof/>
                <w:lang w:eastAsia="en-AU"/>
              </w:rPr>
              <w:tab/>
            </w:r>
            <w:r w:rsidR="009E4973" w:rsidRPr="00EF50B8">
              <w:rPr>
                <w:rStyle w:val="Hyperlink"/>
                <w:noProof/>
              </w:rPr>
              <w:t>Scope of the clinical dossier</w:t>
            </w:r>
            <w:r w:rsidR="009E4973">
              <w:rPr>
                <w:noProof/>
                <w:webHidden/>
              </w:rPr>
              <w:tab/>
            </w:r>
            <w:r w:rsidR="009E4973">
              <w:rPr>
                <w:noProof/>
                <w:webHidden/>
              </w:rPr>
              <w:fldChar w:fldCharType="begin"/>
            </w:r>
            <w:r w:rsidR="009E4973">
              <w:rPr>
                <w:noProof/>
                <w:webHidden/>
              </w:rPr>
              <w:instrText xml:space="preserve"> PAGEREF _Toc396651341 \h </w:instrText>
            </w:r>
            <w:r w:rsidR="009E4973">
              <w:rPr>
                <w:noProof/>
                <w:webHidden/>
              </w:rPr>
            </w:r>
            <w:r w:rsidR="009E4973">
              <w:rPr>
                <w:noProof/>
                <w:webHidden/>
              </w:rPr>
              <w:fldChar w:fldCharType="separate"/>
            </w:r>
            <w:r w:rsidR="009E4973">
              <w:rPr>
                <w:noProof/>
                <w:webHidden/>
              </w:rPr>
              <w:t>7</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42" w:history="1">
            <w:r w:rsidR="009E4973" w:rsidRPr="00EF50B8">
              <w:rPr>
                <w:rStyle w:val="Hyperlink"/>
                <w:noProof/>
              </w:rPr>
              <w:t>2.2.</w:t>
            </w:r>
            <w:r w:rsidR="009E4973">
              <w:rPr>
                <w:rFonts w:asciiTheme="minorHAnsi" w:eastAsiaTheme="minorEastAsia" w:hAnsiTheme="minorHAnsi" w:cstheme="minorBidi"/>
                <w:noProof/>
                <w:lang w:eastAsia="en-AU"/>
              </w:rPr>
              <w:tab/>
            </w:r>
            <w:r w:rsidR="009E4973" w:rsidRPr="00EF50B8">
              <w:rPr>
                <w:rStyle w:val="Hyperlink"/>
                <w:noProof/>
              </w:rPr>
              <w:t>Paediatric data</w:t>
            </w:r>
            <w:r w:rsidR="009E4973">
              <w:rPr>
                <w:noProof/>
                <w:webHidden/>
              </w:rPr>
              <w:tab/>
            </w:r>
            <w:r w:rsidR="009E4973">
              <w:rPr>
                <w:noProof/>
                <w:webHidden/>
              </w:rPr>
              <w:fldChar w:fldCharType="begin"/>
            </w:r>
            <w:r w:rsidR="009E4973">
              <w:rPr>
                <w:noProof/>
                <w:webHidden/>
              </w:rPr>
              <w:instrText xml:space="preserve"> PAGEREF _Toc396651342 \h </w:instrText>
            </w:r>
            <w:r w:rsidR="009E4973">
              <w:rPr>
                <w:noProof/>
                <w:webHidden/>
              </w:rPr>
            </w:r>
            <w:r w:rsidR="009E4973">
              <w:rPr>
                <w:noProof/>
                <w:webHidden/>
              </w:rPr>
              <w:fldChar w:fldCharType="separate"/>
            </w:r>
            <w:r w:rsidR="009E4973">
              <w:rPr>
                <w:noProof/>
                <w:webHidden/>
              </w:rPr>
              <w:t>8</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43" w:history="1">
            <w:r w:rsidR="009E4973" w:rsidRPr="00EF50B8">
              <w:rPr>
                <w:rStyle w:val="Hyperlink"/>
                <w:noProof/>
              </w:rPr>
              <w:t>2.3.</w:t>
            </w:r>
            <w:r w:rsidR="009E4973">
              <w:rPr>
                <w:rFonts w:asciiTheme="minorHAnsi" w:eastAsiaTheme="minorEastAsia" w:hAnsiTheme="minorHAnsi" w:cstheme="minorBidi"/>
                <w:noProof/>
                <w:lang w:eastAsia="en-AU"/>
              </w:rPr>
              <w:tab/>
            </w:r>
            <w:r w:rsidR="009E4973" w:rsidRPr="00EF50B8">
              <w:rPr>
                <w:rStyle w:val="Hyperlink"/>
                <w:noProof/>
              </w:rPr>
              <w:t>Good clinical practice</w:t>
            </w:r>
            <w:r w:rsidR="009E4973">
              <w:rPr>
                <w:noProof/>
                <w:webHidden/>
              </w:rPr>
              <w:tab/>
            </w:r>
            <w:r w:rsidR="009E4973">
              <w:rPr>
                <w:noProof/>
                <w:webHidden/>
              </w:rPr>
              <w:fldChar w:fldCharType="begin"/>
            </w:r>
            <w:r w:rsidR="009E4973">
              <w:rPr>
                <w:noProof/>
                <w:webHidden/>
              </w:rPr>
              <w:instrText xml:space="preserve"> PAGEREF _Toc396651343 \h </w:instrText>
            </w:r>
            <w:r w:rsidR="009E4973">
              <w:rPr>
                <w:noProof/>
                <w:webHidden/>
              </w:rPr>
            </w:r>
            <w:r w:rsidR="009E4973">
              <w:rPr>
                <w:noProof/>
                <w:webHidden/>
              </w:rPr>
              <w:fldChar w:fldCharType="separate"/>
            </w:r>
            <w:r w:rsidR="009E4973">
              <w:rPr>
                <w:noProof/>
                <w:webHidden/>
              </w:rPr>
              <w:t>8</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44" w:history="1">
            <w:r w:rsidR="009E4973" w:rsidRPr="00EF50B8">
              <w:rPr>
                <w:rStyle w:val="Hyperlink"/>
                <w:noProof/>
              </w:rPr>
              <w:t>3.</w:t>
            </w:r>
            <w:r w:rsidR="009E4973">
              <w:rPr>
                <w:rFonts w:asciiTheme="minorHAnsi" w:eastAsiaTheme="minorEastAsia" w:hAnsiTheme="minorHAnsi" w:cstheme="minorBidi"/>
                <w:b w:val="0"/>
                <w:noProof/>
                <w:sz w:val="22"/>
                <w:lang w:eastAsia="en-AU"/>
              </w:rPr>
              <w:tab/>
            </w:r>
            <w:r w:rsidR="009E4973" w:rsidRPr="00EF50B8">
              <w:rPr>
                <w:rStyle w:val="Hyperlink"/>
                <w:noProof/>
              </w:rPr>
              <w:t>Pharmacokinetics</w:t>
            </w:r>
            <w:r w:rsidR="009E4973">
              <w:rPr>
                <w:noProof/>
                <w:webHidden/>
              </w:rPr>
              <w:tab/>
            </w:r>
            <w:r w:rsidR="009E4973">
              <w:rPr>
                <w:noProof/>
                <w:webHidden/>
              </w:rPr>
              <w:fldChar w:fldCharType="begin"/>
            </w:r>
            <w:r w:rsidR="009E4973">
              <w:rPr>
                <w:noProof/>
                <w:webHidden/>
              </w:rPr>
              <w:instrText xml:space="preserve"> PAGEREF _Toc396651344 \h </w:instrText>
            </w:r>
            <w:r w:rsidR="009E4973">
              <w:rPr>
                <w:noProof/>
                <w:webHidden/>
              </w:rPr>
            </w:r>
            <w:r w:rsidR="009E4973">
              <w:rPr>
                <w:noProof/>
                <w:webHidden/>
              </w:rPr>
              <w:fldChar w:fldCharType="separate"/>
            </w:r>
            <w:r w:rsidR="009E4973">
              <w:rPr>
                <w:noProof/>
                <w:webHidden/>
              </w:rPr>
              <w:t>8</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45" w:history="1">
            <w:r w:rsidR="009E4973" w:rsidRPr="00EF50B8">
              <w:rPr>
                <w:rStyle w:val="Hyperlink"/>
                <w:noProof/>
              </w:rPr>
              <w:t>3.1.</w:t>
            </w:r>
            <w:r w:rsidR="009E4973">
              <w:rPr>
                <w:rFonts w:asciiTheme="minorHAnsi" w:eastAsiaTheme="minorEastAsia" w:hAnsiTheme="minorHAnsi" w:cstheme="minorBidi"/>
                <w:noProof/>
                <w:lang w:eastAsia="en-AU"/>
              </w:rPr>
              <w:tab/>
            </w:r>
            <w:r w:rsidR="009E4973" w:rsidRPr="00EF50B8">
              <w:rPr>
                <w:rStyle w:val="Hyperlink"/>
                <w:noProof/>
              </w:rPr>
              <w:t>Studies providing pharmacokinetic data</w:t>
            </w:r>
            <w:r w:rsidR="009E4973">
              <w:rPr>
                <w:noProof/>
                <w:webHidden/>
              </w:rPr>
              <w:tab/>
            </w:r>
            <w:r w:rsidR="009E4973">
              <w:rPr>
                <w:noProof/>
                <w:webHidden/>
              </w:rPr>
              <w:fldChar w:fldCharType="begin"/>
            </w:r>
            <w:r w:rsidR="009E4973">
              <w:rPr>
                <w:noProof/>
                <w:webHidden/>
              </w:rPr>
              <w:instrText xml:space="preserve"> PAGEREF _Toc396651345 \h </w:instrText>
            </w:r>
            <w:r w:rsidR="009E4973">
              <w:rPr>
                <w:noProof/>
                <w:webHidden/>
              </w:rPr>
            </w:r>
            <w:r w:rsidR="009E4973">
              <w:rPr>
                <w:noProof/>
                <w:webHidden/>
              </w:rPr>
              <w:fldChar w:fldCharType="separate"/>
            </w:r>
            <w:r w:rsidR="009E4973">
              <w:rPr>
                <w:noProof/>
                <w:webHidden/>
              </w:rPr>
              <w:t>8</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46" w:history="1">
            <w:r w:rsidR="009E4973" w:rsidRPr="00EF50B8">
              <w:rPr>
                <w:rStyle w:val="Hyperlink"/>
                <w:noProof/>
              </w:rPr>
              <w:t>3.2.</w:t>
            </w:r>
            <w:r w:rsidR="009E4973">
              <w:rPr>
                <w:rFonts w:asciiTheme="minorHAnsi" w:eastAsiaTheme="minorEastAsia" w:hAnsiTheme="minorHAnsi" w:cstheme="minorBidi"/>
                <w:noProof/>
                <w:lang w:eastAsia="en-AU"/>
              </w:rPr>
              <w:tab/>
            </w:r>
            <w:r w:rsidR="009E4973" w:rsidRPr="00EF50B8">
              <w:rPr>
                <w:rStyle w:val="Hyperlink"/>
                <w:noProof/>
              </w:rPr>
              <w:t>GALILEO – pharmacokinetics</w:t>
            </w:r>
            <w:r w:rsidR="009E4973">
              <w:rPr>
                <w:noProof/>
                <w:webHidden/>
              </w:rPr>
              <w:tab/>
            </w:r>
            <w:r w:rsidR="009E4973">
              <w:rPr>
                <w:noProof/>
                <w:webHidden/>
              </w:rPr>
              <w:fldChar w:fldCharType="begin"/>
            </w:r>
            <w:r w:rsidR="009E4973">
              <w:rPr>
                <w:noProof/>
                <w:webHidden/>
              </w:rPr>
              <w:instrText xml:space="preserve"> PAGEREF _Toc396651346 \h </w:instrText>
            </w:r>
            <w:r w:rsidR="009E4973">
              <w:rPr>
                <w:noProof/>
                <w:webHidden/>
              </w:rPr>
            </w:r>
            <w:r w:rsidR="009E4973">
              <w:rPr>
                <w:noProof/>
                <w:webHidden/>
              </w:rPr>
              <w:fldChar w:fldCharType="separate"/>
            </w:r>
            <w:r w:rsidR="009E4973">
              <w:rPr>
                <w:noProof/>
                <w:webHidden/>
              </w:rPr>
              <w:t>8</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47" w:history="1">
            <w:r w:rsidR="009E4973" w:rsidRPr="00EF50B8">
              <w:rPr>
                <w:rStyle w:val="Hyperlink"/>
                <w:noProof/>
              </w:rPr>
              <w:t>3.3.</w:t>
            </w:r>
            <w:r w:rsidR="009E4973">
              <w:rPr>
                <w:rFonts w:asciiTheme="minorHAnsi" w:eastAsiaTheme="minorEastAsia" w:hAnsiTheme="minorHAnsi" w:cstheme="minorBidi"/>
                <w:noProof/>
                <w:lang w:eastAsia="en-AU"/>
              </w:rPr>
              <w:tab/>
            </w:r>
            <w:r w:rsidR="009E4973" w:rsidRPr="00EF50B8">
              <w:rPr>
                <w:rStyle w:val="Hyperlink"/>
                <w:noProof/>
              </w:rPr>
              <w:t>Evaluator’s overall conclusions on pharmacokinetics</w:t>
            </w:r>
            <w:r w:rsidR="009E4973">
              <w:rPr>
                <w:noProof/>
                <w:webHidden/>
              </w:rPr>
              <w:tab/>
            </w:r>
            <w:r w:rsidR="009E4973">
              <w:rPr>
                <w:noProof/>
                <w:webHidden/>
              </w:rPr>
              <w:fldChar w:fldCharType="begin"/>
            </w:r>
            <w:r w:rsidR="009E4973">
              <w:rPr>
                <w:noProof/>
                <w:webHidden/>
              </w:rPr>
              <w:instrText xml:space="preserve"> PAGEREF _Toc396651347 \h </w:instrText>
            </w:r>
            <w:r w:rsidR="009E4973">
              <w:rPr>
                <w:noProof/>
                <w:webHidden/>
              </w:rPr>
            </w:r>
            <w:r w:rsidR="009E4973">
              <w:rPr>
                <w:noProof/>
                <w:webHidden/>
              </w:rPr>
              <w:fldChar w:fldCharType="separate"/>
            </w:r>
            <w:r w:rsidR="009E4973">
              <w:rPr>
                <w:noProof/>
                <w:webHidden/>
              </w:rPr>
              <w:t>12</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48" w:history="1">
            <w:r w:rsidR="009E4973" w:rsidRPr="00EF50B8">
              <w:rPr>
                <w:rStyle w:val="Hyperlink"/>
                <w:noProof/>
              </w:rPr>
              <w:t>4.</w:t>
            </w:r>
            <w:r w:rsidR="009E4973">
              <w:rPr>
                <w:rFonts w:asciiTheme="minorHAnsi" w:eastAsiaTheme="minorEastAsia" w:hAnsiTheme="minorHAnsi" w:cstheme="minorBidi"/>
                <w:b w:val="0"/>
                <w:noProof/>
                <w:sz w:val="22"/>
                <w:lang w:eastAsia="en-AU"/>
              </w:rPr>
              <w:tab/>
            </w:r>
            <w:r w:rsidR="009E4973" w:rsidRPr="00EF50B8">
              <w:rPr>
                <w:rStyle w:val="Hyperlink"/>
                <w:noProof/>
              </w:rPr>
              <w:t>Pharmacodynamics</w:t>
            </w:r>
            <w:r w:rsidR="009E4973">
              <w:rPr>
                <w:noProof/>
                <w:webHidden/>
              </w:rPr>
              <w:tab/>
            </w:r>
            <w:r w:rsidR="009E4973">
              <w:rPr>
                <w:noProof/>
                <w:webHidden/>
              </w:rPr>
              <w:fldChar w:fldCharType="begin"/>
            </w:r>
            <w:r w:rsidR="009E4973">
              <w:rPr>
                <w:noProof/>
                <w:webHidden/>
              </w:rPr>
              <w:instrText xml:space="preserve"> PAGEREF _Toc396651348 \h </w:instrText>
            </w:r>
            <w:r w:rsidR="009E4973">
              <w:rPr>
                <w:noProof/>
                <w:webHidden/>
              </w:rPr>
            </w:r>
            <w:r w:rsidR="009E4973">
              <w:rPr>
                <w:noProof/>
                <w:webHidden/>
              </w:rPr>
              <w:fldChar w:fldCharType="separate"/>
            </w:r>
            <w:r w:rsidR="009E4973">
              <w:rPr>
                <w:noProof/>
                <w:webHidden/>
              </w:rPr>
              <w:t>12</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49" w:history="1">
            <w:r w:rsidR="009E4973" w:rsidRPr="00EF50B8">
              <w:rPr>
                <w:rStyle w:val="Hyperlink"/>
                <w:noProof/>
              </w:rPr>
              <w:t>5.</w:t>
            </w:r>
            <w:r w:rsidR="009E4973">
              <w:rPr>
                <w:rFonts w:asciiTheme="minorHAnsi" w:eastAsiaTheme="minorEastAsia" w:hAnsiTheme="minorHAnsi" w:cstheme="minorBidi"/>
                <w:b w:val="0"/>
                <w:noProof/>
                <w:sz w:val="22"/>
                <w:lang w:eastAsia="en-AU"/>
              </w:rPr>
              <w:tab/>
            </w:r>
            <w:r w:rsidR="009E4973" w:rsidRPr="00EF50B8">
              <w:rPr>
                <w:rStyle w:val="Hyperlink"/>
                <w:noProof/>
              </w:rPr>
              <w:t>Dosage selection for the pivotal studies</w:t>
            </w:r>
            <w:r w:rsidR="009E4973">
              <w:rPr>
                <w:noProof/>
                <w:webHidden/>
              </w:rPr>
              <w:tab/>
            </w:r>
            <w:r w:rsidR="009E4973">
              <w:rPr>
                <w:noProof/>
                <w:webHidden/>
              </w:rPr>
              <w:fldChar w:fldCharType="begin"/>
            </w:r>
            <w:r w:rsidR="009E4973">
              <w:rPr>
                <w:noProof/>
                <w:webHidden/>
              </w:rPr>
              <w:instrText xml:space="preserve"> PAGEREF _Toc396651349 \h </w:instrText>
            </w:r>
            <w:r w:rsidR="009E4973">
              <w:rPr>
                <w:noProof/>
                <w:webHidden/>
              </w:rPr>
            </w:r>
            <w:r w:rsidR="009E4973">
              <w:rPr>
                <w:noProof/>
                <w:webHidden/>
              </w:rPr>
              <w:fldChar w:fldCharType="separate"/>
            </w:r>
            <w:r w:rsidR="009E4973">
              <w:rPr>
                <w:noProof/>
                <w:webHidden/>
              </w:rPr>
              <w:t>13</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50" w:history="1">
            <w:r w:rsidR="009E4973" w:rsidRPr="00EF50B8">
              <w:rPr>
                <w:rStyle w:val="Hyperlink"/>
                <w:noProof/>
              </w:rPr>
              <w:t>6.</w:t>
            </w:r>
            <w:r w:rsidR="009E4973">
              <w:rPr>
                <w:rFonts w:asciiTheme="minorHAnsi" w:eastAsiaTheme="minorEastAsia" w:hAnsiTheme="minorHAnsi" w:cstheme="minorBidi"/>
                <w:b w:val="0"/>
                <w:noProof/>
                <w:sz w:val="22"/>
                <w:lang w:eastAsia="en-AU"/>
              </w:rPr>
              <w:tab/>
            </w:r>
            <w:r w:rsidR="009E4973" w:rsidRPr="00EF50B8">
              <w:rPr>
                <w:rStyle w:val="Hyperlink"/>
                <w:noProof/>
              </w:rPr>
              <w:t>Clinical efficacy</w:t>
            </w:r>
            <w:r w:rsidR="009E4973">
              <w:rPr>
                <w:noProof/>
                <w:webHidden/>
              </w:rPr>
              <w:tab/>
            </w:r>
            <w:r w:rsidR="009E4973">
              <w:rPr>
                <w:noProof/>
                <w:webHidden/>
              </w:rPr>
              <w:fldChar w:fldCharType="begin"/>
            </w:r>
            <w:r w:rsidR="009E4973">
              <w:rPr>
                <w:noProof/>
                <w:webHidden/>
              </w:rPr>
              <w:instrText xml:space="preserve"> PAGEREF _Toc396651350 \h </w:instrText>
            </w:r>
            <w:r w:rsidR="009E4973">
              <w:rPr>
                <w:noProof/>
                <w:webHidden/>
              </w:rPr>
            </w:r>
            <w:r w:rsidR="009E4973">
              <w:rPr>
                <w:noProof/>
                <w:webHidden/>
              </w:rPr>
              <w:fldChar w:fldCharType="separate"/>
            </w:r>
            <w:r w:rsidR="009E4973">
              <w:rPr>
                <w:noProof/>
                <w:webHidden/>
              </w:rPr>
              <w:t>13</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51" w:history="1">
            <w:r w:rsidR="009E4973" w:rsidRPr="00EF50B8">
              <w:rPr>
                <w:rStyle w:val="Hyperlink"/>
                <w:noProof/>
              </w:rPr>
              <w:t>6.1.</w:t>
            </w:r>
            <w:r w:rsidR="009E4973">
              <w:rPr>
                <w:rFonts w:asciiTheme="minorHAnsi" w:eastAsiaTheme="minorEastAsia" w:hAnsiTheme="minorHAnsi" w:cstheme="minorBidi"/>
                <w:noProof/>
                <w:lang w:eastAsia="en-AU"/>
              </w:rPr>
              <w:tab/>
            </w:r>
            <w:r w:rsidR="009E4973" w:rsidRPr="00EF50B8">
              <w:rPr>
                <w:rStyle w:val="Hyperlink"/>
                <w:noProof/>
              </w:rPr>
              <w:t>Overview</w:t>
            </w:r>
            <w:r w:rsidR="009E4973">
              <w:rPr>
                <w:noProof/>
                <w:webHidden/>
              </w:rPr>
              <w:tab/>
            </w:r>
            <w:r w:rsidR="009E4973">
              <w:rPr>
                <w:noProof/>
                <w:webHidden/>
              </w:rPr>
              <w:fldChar w:fldCharType="begin"/>
            </w:r>
            <w:r w:rsidR="009E4973">
              <w:rPr>
                <w:noProof/>
                <w:webHidden/>
              </w:rPr>
              <w:instrText xml:space="preserve"> PAGEREF _Toc396651351 \h </w:instrText>
            </w:r>
            <w:r w:rsidR="009E4973">
              <w:rPr>
                <w:noProof/>
                <w:webHidden/>
              </w:rPr>
            </w:r>
            <w:r w:rsidR="009E4973">
              <w:rPr>
                <w:noProof/>
                <w:webHidden/>
              </w:rPr>
              <w:fldChar w:fldCharType="separate"/>
            </w:r>
            <w:r w:rsidR="009E4973">
              <w:rPr>
                <w:noProof/>
                <w:webHidden/>
              </w:rPr>
              <w:t>13</w:t>
            </w:r>
            <w:r w:rsidR="009E4973">
              <w:rPr>
                <w:noProof/>
                <w:webHidden/>
              </w:rPr>
              <w:fldChar w:fldCharType="end"/>
            </w:r>
          </w:hyperlink>
        </w:p>
        <w:p w:rsidR="009E4973" w:rsidRDefault="00B4120F">
          <w:pPr>
            <w:pStyle w:val="TOC3"/>
            <w:tabs>
              <w:tab w:val="left" w:pos="1561"/>
            </w:tabs>
            <w:rPr>
              <w:rFonts w:asciiTheme="minorHAnsi" w:eastAsiaTheme="minorEastAsia" w:hAnsiTheme="minorHAnsi" w:cstheme="minorBidi"/>
              <w:noProof/>
              <w:lang w:eastAsia="en-AU"/>
            </w:rPr>
          </w:pPr>
          <w:hyperlink w:anchor="_Toc396651352" w:history="1">
            <w:r w:rsidR="009E4973" w:rsidRPr="00EF50B8">
              <w:rPr>
                <w:rStyle w:val="Hyperlink"/>
                <w:i/>
                <w:noProof/>
              </w:rPr>
              <w:t>6.2.</w:t>
            </w:r>
            <w:r w:rsidR="009E4973">
              <w:rPr>
                <w:rFonts w:asciiTheme="minorHAnsi" w:eastAsiaTheme="minorEastAsia" w:hAnsiTheme="minorHAnsi" w:cstheme="minorBidi"/>
                <w:noProof/>
                <w:lang w:eastAsia="en-AU"/>
              </w:rPr>
              <w:tab/>
            </w:r>
            <w:r w:rsidR="009E4973" w:rsidRPr="00EF50B8">
              <w:rPr>
                <w:rStyle w:val="Hyperlink"/>
                <w:noProof/>
              </w:rPr>
              <w:t>Pivotal efficacy studies – GALILEO and COPERNICUS</w:t>
            </w:r>
            <w:r w:rsidR="009E4973">
              <w:rPr>
                <w:noProof/>
                <w:webHidden/>
              </w:rPr>
              <w:tab/>
            </w:r>
            <w:r w:rsidR="009E4973">
              <w:rPr>
                <w:noProof/>
                <w:webHidden/>
              </w:rPr>
              <w:fldChar w:fldCharType="begin"/>
            </w:r>
            <w:r w:rsidR="009E4973">
              <w:rPr>
                <w:noProof/>
                <w:webHidden/>
              </w:rPr>
              <w:instrText xml:space="preserve"> PAGEREF _Toc396651352 \h </w:instrText>
            </w:r>
            <w:r w:rsidR="009E4973">
              <w:rPr>
                <w:noProof/>
                <w:webHidden/>
              </w:rPr>
            </w:r>
            <w:r w:rsidR="009E4973">
              <w:rPr>
                <w:noProof/>
                <w:webHidden/>
              </w:rPr>
              <w:fldChar w:fldCharType="separate"/>
            </w:r>
            <w:r w:rsidR="009E4973">
              <w:rPr>
                <w:noProof/>
                <w:webHidden/>
              </w:rPr>
              <w:t>13</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53" w:history="1">
            <w:r w:rsidR="009E4973" w:rsidRPr="00EF50B8">
              <w:rPr>
                <w:rStyle w:val="Hyperlink"/>
                <w:noProof/>
              </w:rPr>
              <w:t>6.3.</w:t>
            </w:r>
            <w:r w:rsidR="009E4973">
              <w:rPr>
                <w:rFonts w:asciiTheme="minorHAnsi" w:eastAsiaTheme="minorEastAsia" w:hAnsiTheme="minorHAnsi" w:cstheme="minorBidi"/>
                <w:noProof/>
                <w:lang w:eastAsia="en-AU"/>
              </w:rPr>
              <w:tab/>
            </w:r>
            <w:r w:rsidR="009E4973" w:rsidRPr="00EF50B8">
              <w:rPr>
                <w:rStyle w:val="Hyperlink"/>
                <w:noProof/>
              </w:rPr>
              <w:t>Results for efficacy endpoints-Week-24</w:t>
            </w:r>
            <w:r w:rsidR="009E4973">
              <w:rPr>
                <w:noProof/>
                <w:webHidden/>
              </w:rPr>
              <w:tab/>
            </w:r>
            <w:r w:rsidR="009E4973">
              <w:rPr>
                <w:noProof/>
                <w:webHidden/>
              </w:rPr>
              <w:fldChar w:fldCharType="begin"/>
            </w:r>
            <w:r w:rsidR="009E4973">
              <w:rPr>
                <w:noProof/>
                <w:webHidden/>
              </w:rPr>
              <w:instrText xml:space="preserve"> PAGEREF _Toc396651353 \h </w:instrText>
            </w:r>
            <w:r w:rsidR="009E4973">
              <w:rPr>
                <w:noProof/>
                <w:webHidden/>
              </w:rPr>
            </w:r>
            <w:r w:rsidR="009E4973">
              <w:rPr>
                <w:noProof/>
                <w:webHidden/>
              </w:rPr>
              <w:fldChar w:fldCharType="separate"/>
            </w:r>
            <w:r w:rsidR="009E4973">
              <w:rPr>
                <w:noProof/>
                <w:webHidden/>
              </w:rPr>
              <w:t>26</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54" w:history="1">
            <w:r w:rsidR="009E4973" w:rsidRPr="00EF50B8">
              <w:rPr>
                <w:rStyle w:val="Hyperlink"/>
                <w:noProof/>
              </w:rPr>
              <w:t>6.4.</w:t>
            </w:r>
            <w:r w:rsidR="009E4973">
              <w:rPr>
                <w:rFonts w:asciiTheme="minorHAnsi" w:eastAsiaTheme="minorEastAsia" w:hAnsiTheme="minorHAnsi" w:cstheme="minorBidi"/>
                <w:noProof/>
                <w:lang w:eastAsia="en-AU"/>
              </w:rPr>
              <w:tab/>
            </w:r>
            <w:r w:rsidR="009E4973" w:rsidRPr="00EF50B8">
              <w:rPr>
                <w:rStyle w:val="Hyperlink"/>
                <w:noProof/>
              </w:rPr>
              <w:t>Evaluator’s conclusions on clinical efficacy</w:t>
            </w:r>
            <w:r w:rsidR="009E4973">
              <w:rPr>
                <w:noProof/>
                <w:webHidden/>
              </w:rPr>
              <w:tab/>
            </w:r>
            <w:r w:rsidR="009E4973">
              <w:rPr>
                <w:noProof/>
                <w:webHidden/>
              </w:rPr>
              <w:fldChar w:fldCharType="begin"/>
            </w:r>
            <w:r w:rsidR="009E4973">
              <w:rPr>
                <w:noProof/>
                <w:webHidden/>
              </w:rPr>
              <w:instrText xml:space="preserve"> PAGEREF _Toc396651354 \h </w:instrText>
            </w:r>
            <w:r w:rsidR="009E4973">
              <w:rPr>
                <w:noProof/>
                <w:webHidden/>
              </w:rPr>
            </w:r>
            <w:r w:rsidR="009E4973">
              <w:rPr>
                <w:noProof/>
                <w:webHidden/>
              </w:rPr>
              <w:fldChar w:fldCharType="separate"/>
            </w:r>
            <w:r w:rsidR="009E4973">
              <w:rPr>
                <w:noProof/>
                <w:webHidden/>
              </w:rPr>
              <w:t>34</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55" w:history="1">
            <w:r w:rsidR="009E4973" w:rsidRPr="00EF50B8">
              <w:rPr>
                <w:rStyle w:val="Hyperlink"/>
                <w:noProof/>
              </w:rPr>
              <w:t>7.</w:t>
            </w:r>
            <w:r w:rsidR="009E4973">
              <w:rPr>
                <w:rFonts w:asciiTheme="minorHAnsi" w:eastAsiaTheme="minorEastAsia" w:hAnsiTheme="minorHAnsi" w:cstheme="minorBidi"/>
                <w:b w:val="0"/>
                <w:noProof/>
                <w:sz w:val="22"/>
                <w:lang w:eastAsia="en-AU"/>
              </w:rPr>
              <w:tab/>
            </w:r>
            <w:r w:rsidR="009E4973" w:rsidRPr="00EF50B8">
              <w:rPr>
                <w:rStyle w:val="Hyperlink"/>
                <w:noProof/>
              </w:rPr>
              <w:t>Clinical safety</w:t>
            </w:r>
            <w:r w:rsidR="009E4973">
              <w:rPr>
                <w:noProof/>
                <w:webHidden/>
              </w:rPr>
              <w:tab/>
            </w:r>
            <w:r w:rsidR="009E4973">
              <w:rPr>
                <w:noProof/>
                <w:webHidden/>
              </w:rPr>
              <w:fldChar w:fldCharType="begin"/>
            </w:r>
            <w:r w:rsidR="009E4973">
              <w:rPr>
                <w:noProof/>
                <w:webHidden/>
              </w:rPr>
              <w:instrText xml:space="preserve"> PAGEREF _Toc396651355 \h </w:instrText>
            </w:r>
            <w:r w:rsidR="009E4973">
              <w:rPr>
                <w:noProof/>
                <w:webHidden/>
              </w:rPr>
            </w:r>
            <w:r w:rsidR="009E4973">
              <w:rPr>
                <w:noProof/>
                <w:webHidden/>
              </w:rPr>
              <w:fldChar w:fldCharType="separate"/>
            </w:r>
            <w:r w:rsidR="009E4973">
              <w:rPr>
                <w:noProof/>
                <w:webHidden/>
              </w:rPr>
              <w:t>40</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56" w:history="1">
            <w:r w:rsidR="009E4973" w:rsidRPr="00EF50B8">
              <w:rPr>
                <w:rStyle w:val="Hyperlink"/>
                <w:noProof/>
              </w:rPr>
              <w:t>7.1.</w:t>
            </w:r>
            <w:r w:rsidR="009E4973">
              <w:rPr>
                <w:rFonts w:asciiTheme="minorHAnsi" w:eastAsiaTheme="minorEastAsia" w:hAnsiTheme="minorHAnsi" w:cstheme="minorBidi"/>
                <w:noProof/>
                <w:lang w:eastAsia="en-AU"/>
              </w:rPr>
              <w:tab/>
            </w:r>
            <w:r w:rsidR="009E4973" w:rsidRPr="00EF50B8">
              <w:rPr>
                <w:rStyle w:val="Hyperlink"/>
                <w:noProof/>
              </w:rPr>
              <w:t>Studies providing evaluable safety data</w:t>
            </w:r>
            <w:r w:rsidR="009E4973">
              <w:rPr>
                <w:noProof/>
                <w:webHidden/>
              </w:rPr>
              <w:tab/>
            </w:r>
            <w:r w:rsidR="009E4973">
              <w:rPr>
                <w:noProof/>
                <w:webHidden/>
              </w:rPr>
              <w:fldChar w:fldCharType="begin"/>
            </w:r>
            <w:r w:rsidR="009E4973">
              <w:rPr>
                <w:noProof/>
                <w:webHidden/>
              </w:rPr>
              <w:instrText xml:space="preserve"> PAGEREF _Toc396651356 \h </w:instrText>
            </w:r>
            <w:r w:rsidR="009E4973">
              <w:rPr>
                <w:noProof/>
                <w:webHidden/>
              </w:rPr>
            </w:r>
            <w:r w:rsidR="009E4973">
              <w:rPr>
                <w:noProof/>
                <w:webHidden/>
              </w:rPr>
              <w:fldChar w:fldCharType="separate"/>
            </w:r>
            <w:r w:rsidR="009E4973">
              <w:rPr>
                <w:noProof/>
                <w:webHidden/>
              </w:rPr>
              <w:t>40</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57" w:history="1">
            <w:r w:rsidR="009E4973" w:rsidRPr="00EF50B8">
              <w:rPr>
                <w:rStyle w:val="Hyperlink"/>
                <w:noProof/>
              </w:rPr>
              <w:t>7.2.</w:t>
            </w:r>
            <w:r w:rsidR="009E4973">
              <w:rPr>
                <w:rFonts w:asciiTheme="minorHAnsi" w:eastAsiaTheme="minorEastAsia" w:hAnsiTheme="minorHAnsi" w:cstheme="minorBidi"/>
                <w:noProof/>
                <w:lang w:eastAsia="en-AU"/>
              </w:rPr>
              <w:tab/>
            </w:r>
            <w:r w:rsidR="009E4973" w:rsidRPr="00EF50B8">
              <w:rPr>
                <w:rStyle w:val="Hyperlink"/>
                <w:noProof/>
              </w:rPr>
              <w:t>Integrated summary - safety data from the Week 52 integrated database</w:t>
            </w:r>
            <w:r w:rsidR="009E4973">
              <w:rPr>
                <w:noProof/>
                <w:webHidden/>
              </w:rPr>
              <w:tab/>
            </w:r>
            <w:r w:rsidR="009E4973">
              <w:rPr>
                <w:noProof/>
                <w:webHidden/>
              </w:rPr>
              <w:fldChar w:fldCharType="begin"/>
            </w:r>
            <w:r w:rsidR="009E4973">
              <w:rPr>
                <w:noProof/>
                <w:webHidden/>
              </w:rPr>
              <w:instrText xml:space="preserve"> PAGEREF _Toc396651357 \h </w:instrText>
            </w:r>
            <w:r w:rsidR="009E4973">
              <w:rPr>
                <w:noProof/>
                <w:webHidden/>
              </w:rPr>
            </w:r>
            <w:r w:rsidR="009E4973">
              <w:rPr>
                <w:noProof/>
                <w:webHidden/>
              </w:rPr>
              <w:fldChar w:fldCharType="separate"/>
            </w:r>
            <w:r w:rsidR="009E4973">
              <w:rPr>
                <w:noProof/>
                <w:webHidden/>
              </w:rPr>
              <w:t>41</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58" w:history="1">
            <w:r w:rsidR="009E4973" w:rsidRPr="00EF50B8">
              <w:rPr>
                <w:rStyle w:val="Hyperlink"/>
                <w:noProof/>
              </w:rPr>
              <w:t>7.3.</w:t>
            </w:r>
            <w:r w:rsidR="009E4973">
              <w:rPr>
                <w:rFonts w:asciiTheme="minorHAnsi" w:eastAsiaTheme="minorEastAsia" w:hAnsiTheme="minorHAnsi" w:cstheme="minorBidi"/>
                <w:noProof/>
                <w:lang w:eastAsia="en-AU"/>
              </w:rPr>
              <w:tab/>
            </w:r>
            <w:r w:rsidR="009E4973" w:rsidRPr="00EF50B8">
              <w:rPr>
                <w:rStyle w:val="Hyperlink"/>
                <w:noProof/>
              </w:rPr>
              <w:t>Adverse events</w:t>
            </w:r>
            <w:r w:rsidR="009E4973">
              <w:rPr>
                <w:noProof/>
                <w:webHidden/>
              </w:rPr>
              <w:tab/>
            </w:r>
            <w:r w:rsidR="009E4973">
              <w:rPr>
                <w:noProof/>
                <w:webHidden/>
              </w:rPr>
              <w:fldChar w:fldCharType="begin"/>
            </w:r>
            <w:r w:rsidR="009E4973">
              <w:rPr>
                <w:noProof/>
                <w:webHidden/>
              </w:rPr>
              <w:instrText xml:space="preserve"> PAGEREF _Toc396651358 \h </w:instrText>
            </w:r>
            <w:r w:rsidR="009E4973">
              <w:rPr>
                <w:noProof/>
                <w:webHidden/>
              </w:rPr>
            </w:r>
            <w:r w:rsidR="009E4973">
              <w:rPr>
                <w:noProof/>
                <w:webHidden/>
              </w:rPr>
              <w:fldChar w:fldCharType="separate"/>
            </w:r>
            <w:r w:rsidR="009E4973">
              <w:rPr>
                <w:noProof/>
                <w:webHidden/>
              </w:rPr>
              <w:t>42</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59" w:history="1">
            <w:r w:rsidR="009E4973" w:rsidRPr="00EF50B8">
              <w:rPr>
                <w:rStyle w:val="Hyperlink"/>
                <w:noProof/>
              </w:rPr>
              <w:t>7.4.</w:t>
            </w:r>
            <w:r w:rsidR="009E4973">
              <w:rPr>
                <w:rFonts w:asciiTheme="minorHAnsi" w:eastAsiaTheme="minorEastAsia" w:hAnsiTheme="minorHAnsi" w:cstheme="minorBidi"/>
                <w:noProof/>
                <w:lang w:eastAsia="en-AU"/>
              </w:rPr>
              <w:tab/>
            </w:r>
            <w:r w:rsidR="009E4973" w:rsidRPr="00EF50B8">
              <w:rPr>
                <w:rStyle w:val="Hyperlink"/>
                <w:noProof/>
              </w:rPr>
              <w:t>Laboratory tests</w:t>
            </w:r>
            <w:r w:rsidR="009E4973">
              <w:rPr>
                <w:noProof/>
                <w:webHidden/>
              </w:rPr>
              <w:tab/>
            </w:r>
            <w:r w:rsidR="009E4973">
              <w:rPr>
                <w:noProof/>
                <w:webHidden/>
              </w:rPr>
              <w:fldChar w:fldCharType="begin"/>
            </w:r>
            <w:r w:rsidR="009E4973">
              <w:rPr>
                <w:noProof/>
                <w:webHidden/>
              </w:rPr>
              <w:instrText xml:space="preserve"> PAGEREF _Toc396651359 \h </w:instrText>
            </w:r>
            <w:r w:rsidR="009E4973">
              <w:rPr>
                <w:noProof/>
                <w:webHidden/>
              </w:rPr>
            </w:r>
            <w:r w:rsidR="009E4973">
              <w:rPr>
                <w:noProof/>
                <w:webHidden/>
              </w:rPr>
              <w:fldChar w:fldCharType="separate"/>
            </w:r>
            <w:r w:rsidR="009E4973">
              <w:rPr>
                <w:noProof/>
                <w:webHidden/>
              </w:rPr>
              <w:t>58</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60" w:history="1">
            <w:r w:rsidR="009E4973" w:rsidRPr="00EF50B8">
              <w:rPr>
                <w:rStyle w:val="Hyperlink"/>
                <w:noProof/>
              </w:rPr>
              <w:t>7.5.</w:t>
            </w:r>
            <w:r w:rsidR="009E4973">
              <w:rPr>
                <w:rFonts w:asciiTheme="minorHAnsi" w:eastAsiaTheme="minorEastAsia" w:hAnsiTheme="minorHAnsi" w:cstheme="minorBidi"/>
                <w:noProof/>
                <w:lang w:eastAsia="en-AU"/>
              </w:rPr>
              <w:tab/>
            </w:r>
            <w:r w:rsidR="009E4973" w:rsidRPr="00EF50B8">
              <w:rPr>
                <w:rStyle w:val="Hyperlink"/>
                <w:noProof/>
              </w:rPr>
              <w:t>Other observations relating to safety</w:t>
            </w:r>
            <w:r w:rsidR="009E4973">
              <w:rPr>
                <w:noProof/>
                <w:webHidden/>
              </w:rPr>
              <w:tab/>
            </w:r>
            <w:r w:rsidR="009E4973">
              <w:rPr>
                <w:noProof/>
                <w:webHidden/>
              </w:rPr>
              <w:fldChar w:fldCharType="begin"/>
            </w:r>
            <w:r w:rsidR="009E4973">
              <w:rPr>
                <w:noProof/>
                <w:webHidden/>
              </w:rPr>
              <w:instrText xml:space="preserve"> PAGEREF _Toc396651360 \h </w:instrText>
            </w:r>
            <w:r w:rsidR="009E4973">
              <w:rPr>
                <w:noProof/>
                <w:webHidden/>
              </w:rPr>
            </w:r>
            <w:r w:rsidR="009E4973">
              <w:rPr>
                <w:noProof/>
                <w:webHidden/>
              </w:rPr>
              <w:fldChar w:fldCharType="separate"/>
            </w:r>
            <w:r w:rsidR="009E4973">
              <w:rPr>
                <w:noProof/>
                <w:webHidden/>
              </w:rPr>
              <w:t>58</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61" w:history="1">
            <w:r w:rsidR="009E4973" w:rsidRPr="00EF50B8">
              <w:rPr>
                <w:rStyle w:val="Hyperlink"/>
                <w:noProof/>
              </w:rPr>
              <w:t>7.6.</w:t>
            </w:r>
            <w:r w:rsidR="009E4973">
              <w:rPr>
                <w:rFonts w:asciiTheme="minorHAnsi" w:eastAsiaTheme="minorEastAsia" w:hAnsiTheme="minorHAnsi" w:cstheme="minorBidi"/>
                <w:noProof/>
                <w:lang w:eastAsia="en-AU"/>
              </w:rPr>
              <w:tab/>
            </w:r>
            <w:r w:rsidR="009E4973" w:rsidRPr="00EF50B8">
              <w:rPr>
                <w:rStyle w:val="Hyperlink"/>
                <w:noProof/>
              </w:rPr>
              <w:t>Long-term safety</w:t>
            </w:r>
            <w:r w:rsidR="009E4973">
              <w:rPr>
                <w:noProof/>
                <w:webHidden/>
              </w:rPr>
              <w:tab/>
            </w:r>
            <w:r w:rsidR="009E4973">
              <w:rPr>
                <w:noProof/>
                <w:webHidden/>
              </w:rPr>
              <w:fldChar w:fldCharType="begin"/>
            </w:r>
            <w:r w:rsidR="009E4973">
              <w:rPr>
                <w:noProof/>
                <w:webHidden/>
              </w:rPr>
              <w:instrText xml:space="preserve"> PAGEREF _Toc396651361 \h </w:instrText>
            </w:r>
            <w:r w:rsidR="009E4973">
              <w:rPr>
                <w:noProof/>
                <w:webHidden/>
              </w:rPr>
            </w:r>
            <w:r w:rsidR="009E4973">
              <w:rPr>
                <w:noProof/>
                <w:webHidden/>
              </w:rPr>
              <w:fldChar w:fldCharType="separate"/>
            </w:r>
            <w:r w:rsidR="009E4973">
              <w:rPr>
                <w:noProof/>
                <w:webHidden/>
              </w:rPr>
              <w:t>62</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62" w:history="1">
            <w:r w:rsidR="009E4973" w:rsidRPr="00EF50B8">
              <w:rPr>
                <w:rStyle w:val="Hyperlink"/>
                <w:noProof/>
              </w:rPr>
              <w:t>7.7.</w:t>
            </w:r>
            <w:r w:rsidR="009E4973">
              <w:rPr>
                <w:rFonts w:asciiTheme="minorHAnsi" w:eastAsiaTheme="minorEastAsia" w:hAnsiTheme="minorHAnsi" w:cstheme="minorBidi"/>
                <w:noProof/>
                <w:lang w:eastAsia="en-AU"/>
              </w:rPr>
              <w:tab/>
            </w:r>
            <w:r w:rsidR="009E4973" w:rsidRPr="00EF50B8">
              <w:rPr>
                <w:rStyle w:val="Hyperlink"/>
                <w:noProof/>
              </w:rPr>
              <w:t>Postmarketing experience</w:t>
            </w:r>
            <w:r w:rsidR="009E4973">
              <w:rPr>
                <w:noProof/>
                <w:webHidden/>
              </w:rPr>
              <w:tab/>
            </w:r>
            <w:r w:rsidR="009E4973">
              <w:rPr>
                <w:noProof/>
                <w:webHidden/>
              </w:rPr>
              <w:fldChar w:fldCharType="begin"/>
            </w:r>
            <w:r w:rsidR="009E4973">
              <w:rPr>
                <w:noProof/>
                <w:webHidden/>
              </w:rPr>
              <w:instrText xml:space="preserve"> PAGEREF _Toc396651362 \h </w:instrText>
            </w:r>
            <w:r w:rsidR="009E4973">
              <w:rPr>
                <w:noProof/>
                <w:webHidden/>
              </w:rPr>
            </w:r>
            <w:r w:rsidR="009E4973">
              <w:rPr>
                <w:noProof/>
                <w:webHidden/>
              </w:rPr>
              <w:fldChar w:fldCharType="separate"/>
            </w:r>
            <w:r w:rsidR="009E4973">
              <w:rPr>
                <w:noProof/>
                <w:webHidden/>
              </w:rPr>
              <w:t>73</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63" w:history="1">
            <w:r w:rsidR="009E4973" w:rsidRPr="00EF50B8">
              <w:rPr>
                <w:rStyle w:val="Hyperlink"/>
                <w:noProof/>
              </w:rPr>
              <w:t>7.8.</w:t>
            </w:r>
            <w:r w:rsidR="009E4973">
              <w:rPr>
                <w:rFonts w:asciiTheme="minorHAnsi" w:eastAsiaTheme="minorEastAsia" w:hAnsiTheme="minorHAnsi" w:cstheme="minorBidi"/>
                <w:noProof/>
                <w:lang w:eastAsia="en-AU"/>
              </w:rPr>
              <w:tab/>
            </w:r>
            <w:r w:rsidR="009E4973" w:rsidRPr="00EF50B8">
              <w:rPr>
                <w:rStyle w:val="Hyperlink"/>
                <w:noProof/>
              </w:rPr>
              <w:t>Evaluator’s overall conclusions on clinical safety</w:t>
            </w:r>
            <w:r w:rsidR="009E4973">
              <w:rPr>
                <w:noProof/>
                <w:webHidden/>
              </w:rPr>
              <w:tab/>
            </w:r>
            <w:r w:rsidR="009E4973">
              <w:rPr>
                <w:noProof/>
                <w:webHidden/>
              </w:rPr>
              <w:fldChar w:fldCharType="begin"/>
            </w:r>
            <w:r w:rsidR="009E4973">
              <w:rPr>
                <w:noProof/>
                <w:webHidden/>
              </w:rPr>
              <w:instrText xml:space="preserve"> PAGEREF _Toc396651363 \h </w:instrText>
            </w:r>
            <w:r w:rsidR="009E4973">
              <w:rPr>
                <w:noProof/>
                <w:webHidden/>
              </w:rPr>
            </w:r>
            <w:r w:rsidR="009E4973">
              <w:rPr>
                <w:noProof/>
                <w:webHidden/>
              </w:rPr>
              <w:fldChar w:fldCharType="separate"/>
            </w:r>
            <w:r w:rsidR="009E4973">
              <w:rPr>
                <w:noProof/>
                <w:webHidden/>
              </w:rPr>
              <w:t>73</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64" w:history="1">
            <w:r w:rsidR="009E4973" w:rsidRPr="00EF50B8">
              <w:rPr>
                <w:rStyle w:val="Hyperlink"/>
                <w:noProof/>
              </w:rPr>
              <w:t>8.</w:t>
            </w:r>
            <w:r w:rsidR="009E4973">
              <w:rPr>
                <w:rFonts w:asciiTheme="minorHAnsi" w:eastAsiaTheme="minorEastAsia" w:hAnsiTheme="minorHAnsi" w:cstheme="minorBidi"/>
                <w:b w:val="0"/>
                <w:noProof/>
                <w:sz w:val="22"/>
                <w:lang w:eastAsia="en-AU"/>
              </w:rPr>
              <w:tab/>
            </w:r>
            <w:r w:rsidR="009E4973" w:rsidRPr="00EF50B8">
              <w:rPr>
                <w:rStyle w:val="Hyperlink"/>
                <w:noProof/>
              </w:rPr>
              <w:t>First round benefit-risk assessment</w:t>
            </w:r>
            <w:r w:rsidR="009E4973">
              <w:rPr>
                <w:noProof/>
                <w:webHidden/>
              </w:rPr>
              <w:tab/>
            </w:r>
            <w:r w:rsidR="009E4973">
              <w:rPr>
                <w:noProof/>
                <w:webHidden/>
              </w:rPr>
              <w:fldChar w:fldCharType="begin"/>
            </w:r>
            <w:r w:rsidR="009E4973">
              <w:rPr>
                <w:noProof/>
                <w:webHidden/>
              </w:rPr>
              <w:instrText xml:space="preserve"> PAGEREF _Toc396651364 \h </w:instrText>
            </w:r>
            <w:r w:rsidR="009E4973">
              <w:rPr>
                <w:noProof/>
                <w:webHidden/>
              </w:rPr>
            </w:r>
            <w:r w:rsidR="009E4973">
              <w:rPr>
                <w:noProof/>
                <w:webHidden/>
              </w:rPr>
              <w:fldChar w:fldCharType="separate"/>
            </w:r>
            <w:r w:rsidR="009E4973">
              <w:rPr>
                <w:noProof/>
                <w:webHidden/>
              </w:rPr>
              <w:t>81</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65" w:history="1">
            <w:r w:rsidR="009E4973" w:rsidRPr="00EF50B8">
              <w:rPr>
                <w:rStyle w:val="Hyperlink"/>
                <w:noProof/>
              </w:rPr>
              <w:t>8.1.</w:t>
            </w:r>
            <w:r w:rsidR="009E4973">
              <w:rPr>
                <w:rFonts w:asciiTheme="minorHAnsi" w:eastAsiaTheme="minorEastAsia" w:hAnsiTheme="minorHAnsi" w:cstheme="minorBidi"/>
                <w:noProof/>
                <w:lang w:eastAsia="en-AU"/>
              </w:rPr>
              <w:tab/>
            </w:r>
            <w:r w:rsidR="009E4973" w:rsidRPr="00EF50B8">
              <w:rPr>
                <w:rStyle w:val="Hyperlink"/>
                <w:noProof/>
              </w:rPr>
              <w:t>First round assessment of benefits</w:t>
            </w:r>
            <w:r w:rsidR="009E4973">
              <w:rPr>
                <w:noProof/>
                <w:webHidden/>
              </w:rPr>
              <w:tab/>
            </w:r>
            <w:r w:rsidR="009E4973">
              <w:rPr>
                <w:noProof/>
                <w:webHidden/>
              </w:rPr>
              <w:fldChar w:fldCharType="begin"/>
            </w:r>
            <w:r w:rsidR="009E4973">
              <w:rPr>
                <w:noProof/>
                <w:webHidden/>
              </w:rPr>
              <w:instrText xml:space="preserve"> PAGEREF _Toc396651365 \h </w:instrText>
            </w:r>
            <w:r w:rsidR="009E4973">
              <w:rPr>
                <w:noProof/>
                <w:webHidden/>
              </w:rPr>
            </w:r>
            <w:r w:rsidR="009E4973">
              <w:rPr>
                <w:noProof/>
                <w:webHidden/>
              </w:rPr>
              <w:fldChar w:fldCharType="separate"/>
            </w:r>
            <w:r w:rsidR="009E4973">
              <w:rPr>
                <w:noProof/>
                <w:webHidden/>
              </w:rPr>
              <w:t>81</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66" w:history="1">
            <w:r w:rsidR="009E4973" w:rsidRPr="00EF50B8">
              <w:rPr>
                <w:rStyle w:val="Hyperlink"/>
                <w:noProof/>
              </w:rPr>
              <w:t>8.2.</w:t>
            </w:r>
            <w:r w:rsidR="009E4973">
              <w:rPr>
                <w:rFonts w:asciiTheme="minorHAnsi" w:eastAsiaTheme="minorEastAsia" w:hAnsiTheme="minorHAnsi" w:cstheme="minorBidi"/>
                <w:noProof/>
                <w:lang w:eastAsia="en-AU"/>
              </w:rPr>
              <w:tab/>
            </w:r>
            <w:r w:rsidR="009E4973" w:rsidRPr="00EF50B8">
              <w:rPr>
                <w:rStyle w:val="Hyperlink"/>
                <w:noProof/>
              </w:rPr>
              <w:t>First round assessment of risks</w:t>
            </w:r>
            <w:r w:rsidR="009E4973">
              <w:rPr>
                <w:noProof/>
                <w:webHidden/>
              </w:rPr>
              <w:tab/>
            </w:r>
            <w:r w:rsidR="009E4973">
              <w:rPr>
                <w:noProof/>
                <w:webHidden/>
              </w:rPr>
              <w:fldChar w:fldCharType="begin"/>
            </w:r>
            <w:r w:rsidR="009E4973">
              <w:rPr>
                <w:noProof/>
                <w:webHidden/>
              </w:rPr>
              <w:instrText xml:space="preserve"> PAGEREF _Toc396651366 \h </w:instrText>
            </w:r>
            <w:r w:rsidR="009E4973">
              <w:rPr>
                <w:noProof/>
                <w:webHidden/>
              </w:rPr>
            </w:r>
            <w:r w:rsidR="009E4973">
              <w:rPr>
                <w:noProof/>
                <w:webHidden/>
              </w:rPr>
              <w:fldChar w:fldCharType="separate"/>
            </w:r>
            <w:r w:rsidR="009E4973">
              <w:rPr>
                <w:noProof/>
                <w:webHidden/>
              </w:rPr>
              <w:t>82</w:t>
            </w:r>
            <w:r w:rsidR="009E4973">
              <w:rPr>
                <w:noProof/>
                <w:webHidden/>
              </w:rPr>
              <w:fldChar w:fldCharType="end"/>
            </w:r>
          </w:hyperlink>
        </w:p>
        <w:p w:rsidR="009E4973" w:rsidRDefault="00B4120F">
          <w:pPr>
            <w:pStyle w:val="TOC3"/>
            <w:tabs>
              <w:tab w:val="left" w:pos="1575"/>
            </w:tabs>
            <w:rPr>
              <w:rFonts w:asciiTheme="minorHAnsi" w:eastAsiaTheme="minorEastAsia" w:hAnsiTheme="minorHAnsi" w:cstheme="minorBidi"/>
              <w:noProof/>
              <w:lang w:eastAsia="en-AU"/>
            </w:rPr>
          </w:pPr>
          <w:hyperlink w:anchor="_Toc396651367" w:history="1">
            <w:r w:rsidR="009E4973" w:rsidRPr="00EF50B8">
              <w:rPr>
                <w:rStyle w:val="Hyperlink"/>
                <w:noProof/>
              </w:rPr>
              <w:t>8.3.</w:t>
            </w:r>
            <w:r w:rsidR="009E4973">
              <w:rPr>
                <w:rFonts w:asciiTheme="minorHAnsi" w:eastAsiaTheme="minorEastAsia" w:hAnsiTheme="minorHAnsi" w:cstheme="minorBidi"/>
                <w:noProof/>
                <w:lang w:eastAsia="en-AU"/>
              </w:rPr>
              <w:tab/>
            </w:r>
            <w:r w:rsidR="009E4973" w:rsidRPr="00EF50B8">
              <w:rPr>
                <w:rStyle w:val="Hyperlink"/>
                <w:noProof/>
              </w:rPr>
              <w:t>First round assessment of benefit-risk balance</w:t>
            </w:r>
            <w:r w:rsidR="009E4973">
              <w:rPr>
                <w:noProof/>
                <w:webHidden/>
              </w:rPr>
              <w:tab/>
            </w:r>
            <w:r w:rsidR="009E4973">
              <w:rPr>
                <w:noProof/>
                <w:webHidden/>
              </w:rPr>
              <w:fldChar w:fldCharType="begin"/>
            </w:r>
            <w:r w:rsidR="009E4973">
              <w:rPr>
                <w:noProof/>
                <w:webHidden/>
              </w:rPr>
              <w:instrText xml:space="preserve"> PAGEREF _Toc396651367 \h </w:instrText>
            </w:r>
            <w:r w:rsidR="009E4973">
              <w:rPr>
                <w:noProof/>
                <w:webHidden/>
              </w:rPr>
            </w:r>
            <w:r w:rsidR="009E4973">
              <w:rPr>
                <w:noProof/>
                <w:webHidden/>
              </w:rPr>
              <w:fldChar w:fldCharType="separate"/>
            </w:r>
            <w:r w:rsidR="009E4973">
              <w:rPr>
                <w:noProof/>
                <w:webHidden/>
              </w:rPr>
              <w:t>85</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68" w:history="1">
            <w:r w:rsidR="009E4973" w:rsidRPr="00EF50B8">
              <w:rPr>
                <w:rStyle w:val="Hyperlink"/>
                <w:noProof/>
              </w:rPr>
              <w:t>9.</w:t>
            </w:r>
            <w:r w:rsidR="009E4973">
              <w:rPr>
                <w:rFonts w:asciiTheme="minorHAnsi" w:eastAsiaTheme="minorEastAsia" w:hAnsiTheme="minorHAnsi" w:cstheme="minorBidi"/>
                <w:b w:val="0"/>
                <w:noProof/>
                <w:sz w:val="22"/>
                <w:lang w:eastAsia="en-AU"/>
              </w:rPr>
              <w:tab/>
            </w:r>
            <w:r w:rsidR="009E4973" w:rsidRPr="00EF50B8">
              <w:rPr>
                <w:rStyle w:val="Hyperlink"/>
                <w:noProof/>
              </w:rPr>
              <w:t>First round recommendation regarding authorisation</w:t>
            </w:r>
            <w:r w:rsidR="009E4973">
              <w:rPr>
                <w:noProof/>
                <w:webHidden/>
              </w:rPr>
              <w:tab/>
            </w:r>
            <w:r w:rsidR="009E4973">
              <w:rPr>
                <w:noProof/>
                <w:webHidden/>
              </w:rPr>
              <w:fldChar w:fldCharType="begin"/>
            </w:r>
            <w:r w:rsidR="009E4973">
              <w:rPr>
                <w:noProof/>
                <w:webHidden/>
              </w:rPr>
              <w:instrText xml:space="preserve"> PAGEREF _Toc396651368 \h </w:instrText>
            </w:r>
            <w:r w:rsidR="009E4973">
              <w:rPr>
                <w:noProof/>
                <w:webHidden/>
              </w:rPr>
            </w:r>
            <w:r w:rsidR="009E4973">
              <w:rPr>
                <w:noProof/>
                <w:webHidden/>
              </w:rPr>
              <w:fldChar w:fldCharType="separate"/>
            </w:r>
            <w:r w:rsidR="009E4973">
              <w:rPr>
                <w:noProof/>
                <w:webHidden/>
              </w:rPr>
              <w:t>86</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69" w:history="1">
            <w:r w:rsidR="009E4973" w:rsidRPr="00EF50B8">
              <w:rPr>
                <w:rStyle w:val="Hyperlink"/>
                <w:noProof/>
              </w:rPr>
              <w:t>10.</w:t>
            </w:r>
            <w:r w:rsidR="009E4973">
              <w:rPr>
                <w:rFonts w:asciiTheme="minorHAnsi" w:eastAsiaTheme="minorEastAsia" w:hAnsiTheme="minorHAnsi" w:cstheme="minorBidi"/>
                <w:b w:val="0"/>
                <w:noProof/>
                <w:sz w:val="22"/>
                <w:lang w:eastAsia="en-AU"/>
              </w:rPr>
              <w:tab/>
            </w:r>
            <w:r w:rsidR="009E4973" w:rsidRPr="00EF50B8">
              <w:rPr>
                <w:rStyle w:val="Hyperlink"/>
                <w:noProof/>
              </w:rPr>
              <w:t>Clinical questions</w:t>
            </w:r>
            <w:r w:rsidR="009E4973">
              <w:rPr>
                <w:noProof/>
                <w:webHidden/>
              </w:rPr>
              <w:tab/>
            </w:r>
            <w:r w:rsidR="009E4973">
              <w:rPr>
                <w:noProof/>
                <w:webHidden/>
              </w:rPr>
              <w:fldChar w:fldCharType="begin"/>
            </w:r>
            <w:r w:rsidR="009E4973">
              <w:rPr>
                <w:noProof/>
                <w:webHidden/>
              </w:rPr>
              <w:instrText xml:space="preserve"> PAGEREF _Toc396651369 \h </w:instrText>
            </w:r>
            <w:r w:rsidR="009E4973">
              <w:rPr>
                <w:noProof/>
                <w:webHidden/>
              </w:rPr>
            </w:r>
            <w:r w:rsidR="009E4973">
              <w:rPr>
                <w:noProof/>
                <w:webHidden/>
              </w:rPr>
              <w:fldChar w:fldCharType="separate"/>
            </w:r>
            <w:r w:rsidR="009E4973">
              <w:rPr>
                <w:noProof/>
                <w:webHidden/>
              </w:rPr>
              <w:t>86</w:t>
            </w:r>
            <w:r w:rsidR="009E4973">
              <w:rPr>
                <w:noProof/>
                <w:webHidden/>
              </w:rPr>
              <w:fldChar w:fldCharType="end"/>
            </w:r>
          </w:hyperlink>
        </w:p>
        <w:p w:rsidR="009E4973" w:rsidRDefault="00B4120F">
          <w:pPr>
            <w:pStyle w:val="TOC3"/>
            <w:tabs>
              <w:tab w:val="left" w:pos="1697"/>
            </w:tabs>
            <w:rPr>
              <w:rFonts w:asciiTheme="minorHAnsi" w:eastAsiaTheme="minorEastAsia" w:hAnsiTheme="minorHAnsi" w:cstheme="minorBidi"/>
              <w:noProof/>
              <w:lang w:eastAsia="en-AU"/>
            </w:rPr>
          </w:pPr>
          <w:hyperlink w:anchor="_Toc396651370" w:history="1">
            <w:r w:rsidR="009E4973" w:rsidRPr="00EF50B8">
              <w:rPr>
                <w:rStyle w:val="Hyperlink"/>
                <w:noProof/>
              </w:rPr>
              <w:t>10.1.</w:t>
            </w:r>
            <w:r w:rsidR="009E4973">
              <w:rPr>
                <w:rFonts w:asciiTheme="minorHAnsi" w:eastAsiaTheme="minorEastAsia" w:hAnsiTheme="minorHAnsi" w:cstheme="minorBidi"/>
                <w:noProof/>
                <w:lang w:eastAsia="en-AU"/>
              </w:rPr>
              <w:tab/>
            </w:r>
            <w:r w:rsidR="009E4973" w:rsidRPr="00EF50B8">
              <w:rPr>
                <w:rStyle w:val="Hyperlink"/>
                <w:noProof/>
              </w:rPr>
              <w:t>Pharmacokinetics</w:t>
            </w:r>
            <w:r w:rsidR="009E4973">
              <w:rPr>
                <w:noProof/>
                <w:webHidden/>
              </w:rPr>
              <w:tab/>
            </w:r>
            <w:r w:rsidR="009E4973">
              <w:rPr>
                <w:noProof/>
                <w:webHidden/>
              </w:rPr>
              <w:fldChar w:fldCharType="begin"/>
            </w:r>
            <w:r w:rsidR="009E4973">
              <w:rPr>
                <w:noProof/>
                <w:webHidden/>
              </w:rPr>
              <w:instrText xml:space="preserve"> PAGEREF _Toc396651370 \h </w:instrText>
            </w:r>
            <w:r w:rsidR="009E4973">
              <w:rPr>
                <w:noProof/>
                <w:webHidden/>
              </w:rPr>
            </w:r>
            <w:r w:rsidR="009E4973">
              <w:rPr>
                <w:noProof/>
                <w:webHidden/>
              </w:rPr>
              <w:fldChar w:fldCharType="separate"/>
            </w:r>
            <w:r w:rsidR="009E4973">
              <w:rPr>
                <w:noProof/>
                <w:webHidden/>
              </w:rPr>
              <w:t>86</w:t>
            </w:r>
            <w:r w:rsidR="009E4973">
              <w:rPr>
                <w:noProof/>
                <w:webHidden/>
              </w:rPr>
              <w:fldChar w:fldCharType="end"/>
            </w:r>
          </w:hyperlink>
        </w:p>
        <w:p w:rsidR="009E4973" w:rsidRDefault="00B4120F">
          <w:pPr>
            <w:pStyle w:val="TOC3"/>
            <w:tabs>
              <w:tab w:val="left" w:pos="1697"/>
            </w:tabs>
            <w:rPr>
              <w:rFonts w:asciiTheme="minorHAnsi" w:eastAsiaTheme="minorEastAsia" w:hAnsiTheme="minorHAnsi" w:cstheme="minorBidi"/>
              <w:noProof/>
              <w:lang w:eastAsia="en-AU"/>
            </w:rPr>
          </w:pPr>
          <w:hyperlink w:anchor="_Toc396651371" w:history="1">
            <w:r w:rsidR="009E4973" w:rsidRPr="00EF50B8">
              <w:rPr>
                <w:rStyle w:val="Hyperlink"/>
                <w:noProof/>
              </w:rPr>
              <w:t>10.2.</w:t>
            </w:r>
            <w:r w:rsidR="009E4973">
              <w:rPr>
                <w:rFonts w:asciiTheme="minorHAnsi" w:eastAsiaTheme="minorEastAsia" w:hAnsiTheme="minorHAnsi" w:cstheme="minorBidi"/>
                <w:noProof/>
                <w:lang w:eastAsia="en-AU"/>
              </w:rPr>
              <w:tab/>
            </w:r>
            <w:r w:rsidR="009E4973" w:rsidRPr="00EF50B8">
              <w:rPr>
                <w:rStyle w:val="Hyperlink"/>
                <w:noProof/>
              </w:rPr>
              <w:t>Pharmacodynamics</w:t>
            </w:r>
            <w:r w:rsidR="009E4973">
              <w:rPr>
                <w:noProof/>
                <w:webHidden/>
              </w:rPr>
              <w:tab/>
            </w:r>
            <w:r w:rsidR="009E4973">
              <w:rPr>
                <w:noProof/>
                <w:webHidden/>
              </w:rPr>
              <w:fldChar w:fldCharType="begin"/>
            </w:r>
            <w:r w:rsidR="009E4973">
              <w:rPr>
                <w:noProof/>
                <w:webHidden/>
              </w:rPr>
              <w:instrText xml:space="preserve"> PAGEREF _Toc396651371 \h </w:instrText>
            </w:r>
            <w:r w:rsidR="009E4973">
              <w:rPr>
                <w:noProof/>
                <w:webHidden/>
              </w:rPr>
            </w:r>
            <w:r w:rsidR="009E4973">
              <w:rPr>
                <w:noProof/>
                <w:webHidden/>
              </w:rPr>
              <w:fldChar w:fldCharType="separate"/>
            </w:r>
            <w:r w:rsidR="009E4973">
              <w:rPr>
                <w:noProof/>
                <w:webHidden/>
              </w:rPr>
              <w:t>86</w:t>
            </w:r>
            <w:r w:rsidR="009E4973">
              <w:rPr>
                <w:noProof/>
                <w:webHidden/>
              </w:rPr>
              <w:fldChar w:fldCharType="end"/>
            </w:r>
          </w:hyperlink>
        </w:p>
        <w:p w:rsidR="009E4973" w:rsidRDefault="00B4120F">
          <w:pPr>
            <w:pStyle w:val="TOC3"/>
            <w:tabs>
              <w:tab w:val="left" w:pos="1697"/>
            </w:tabs>
            <w:rPr>
              <w:rFonts w:asciiTheme="minorHAnsi" w:eastAsiaTheme="minorEastAsia" w:hAnsiTheme="minorHAnsi" w:cstheme="minorBidi"/>
              <w:noProof/>
              <w:lang w:eastAsia="en-AU"/>
            </w:rPr>
          </w:pPr>
          <w:hyperlink w:anchor="_Toc396651372" w:history="1">
            <w:r w:rsidR="009E4973" w:rsidRPr="00EF50B8">
              <w:rPr>
                <w:rStyle w:val="Hyperlink"/>
                <w:noProof/>
              </w:rPr>
              <w:t>10.3.</w:t>
            </w:r>
            <w:r w:rsidR="009E4973">
              <w:rPr>
                <w:rFonts w:asciiTheme="minorHAnsi" w:eastAsiaTheme="minorEastAsia" w:hAnsiTheme="minorHAnsi" w:cstheme="minorBidi"/>
                <w:noProof/>
                <w:lang w:eastAsia="en-AU"/>
              </w:rPr>
              <w:tab/>
            </w:r>
            <w:r w:rsidR="009E4973" w:rsidRPr="00EF50B8">
              <w:rPr>
                <w:rStyle w:val="Hyperlink"/>
                <w:noProof/>
              </w:rPr>
              <w:t>Efficacy</w:t>
            </w:r>
            <w:r w:rsidR="009E4973">
              <w:rPr>
                <w:noProof/>
                <w:webHidden/>
              </w:rPr>
              <w:tab/>
            </w:r>
            <w:r w:rsidR="009E4973">
              <w:rPr>
                <w:noProof/>
                <w:webHidden/>
              </w:rPr>
              <w:fldChar w:fldCharType="begin"/>
            </w:r>
            <w:r w:rsidR="009E4973">
              <w:rPr>
                <w:noProof/>
                <w:webHidden/>
              </w:rPr>
              <w:instrText xml:space="preserve"> PAGEREF _Toc396651372 \h </w:instrText>
            </w:r>
            <w:r w:rsidR="009E4973">
              <w:rPr>
                <w:noProof/>
                <w:webHidden/>
              </w:rPr>
            </w:r>
            <w:r w:rsidR="009E4973">
              <w:rPr>
                <w:noProof/>
                <w:webHidden/>
              </w:rPr>
              <w:fldChar w:fldCharType="separate"/>
            </w:r>
            <w:r w:rsidR="009E4973">
              <w:rPr>
                <w:noProof/>
                <w:webHidden/>
              </w:rPr>
              <w:t>86</w:t>
            </w:r>
            <w:r w:rsidR="009E4973">
              <w:rPr>
                <w:noProof/>
                <w:webHidden/>
              </w:rPr>
              <w:fldChar w:fldCharType="end"/>
            </w:r>
          </w:hyperlink>
        </w:p>
        <w:p w:rsidR="009E4973" w:rsidRDefault="00B4120F">
          <w:pPr>
            <w:pStyle w:val="TOC3"/>
            <w:tabs>
              <w:tab w:val="left" w:pos="1697"/>
            </w:tabs>
            <w:rPr>
              <w:rFonts w:asciiTheme="minorHAnsi" w:eastAsiaTheme="minorEastAsia" w:hAnsiTheme="minorHAnsi" w:cstheme="minorBidi"/>
              <w:noProof/>
              <w:lang w:eastAsia="en-AU"/>
            </w:rPr>
          </w:pPr>
          <w:hyperlink w:anchor="_Toc396651373" w:history="1">
            <w:r w:rsidR="009E4973" w:rsidRPr="00EF50B8">
              <w:rPr>
                <w:rStyle w:val="Hyperlink"/>
                <w:noProof/>
              </w:rPr>
              <w:t>10.4.</w:t>
            </w:r>
            <w:r w:rsidR="009E4973">
              <w:rPr>
                <w:rFonts w:asciiTheme="minorHAnsi" w:eastAsiaTheme="minorEastAsia" w:hAnsiTheme="minorHAnsi" w:cstheme="minorBidi"/>
                <w:noProof/>
                <w:lang w:eastAsia="en-AU"/>
              </w:rPr>
              <w:tab/>
            </w:r>
            <w:r w:rsidR="009E4973" w:rsidRPr="00EF50B8">
              <w:rPr>
                <w:rStyle w:val="Hyperlink"/>
                <w:noProof/>
              </w:rPr>
              <w:t>Safety</w:t>
            </w:r>
            <w:r w:rsidR="009E4973">
              <w:rPr>
                <w:noProof/>
                <w:webHidden/>
              </w:rPr>
              <w:tab/>
            </w:r>
            <w:r w:rsidR="009E4973">
              <w:rPr>
                <w:noProof/>
                <w:webHidden/>
              </w:rPr>
              <w:fldChar w:fldCharType="begin"/>
            </w:r>
            <w:r w:rsidR="009E4973">
              <w:rPr>
                <w:noProof/>
                <w:webHidden/>
              </w:rPr>
              <w:instrText xml:space="preserve"> PAGEREF _Toc396651373 \h </w:instrText>
            </w:r>
            <w:r w:rsidR="009E4973">
              <w:rPr>
                <w:noProof/>
                <w:webHidden/>
              </w:rPr>
            </w:r>
            <w:r w:rsidR="009E4973">
              <w:rPr>
                <w:noProof/>
                <w:webHidden/>
              </w:rPr>
              <w:fldChar w:fldCharType="separate"/>
            </w:r>
            <w:r w:rsidR="009E4973">
              <w:rPr>
                <w:noProof/>
                <w:webHidden/>
              </w:rPr>
              <w:t>86</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74" w:history="1">
            <w:r w:rsidR="009E4973" w:rsidRPr="00EF50B8">
              <w:rPr>
                <w:rStyle w:val="Hyperlink"/>
                <w:noProof/>
              </w:rPr>
              <w:t>11.</w:t>
            </w:r>
            <w:r w:rsidR="009E4973">
              <w:rPr>
                <w:rFonts w:asciiTheme="minorHAnsi" w:eastAsiaTheme="minorEastAsia" w:hAnsiTheme="minorHAnsi" w:cstheme="minorBidi"/>
                <w:b w:val="0"/>
                <w:noProof/>
                <w:sz w:val="22"/>
                <w:lang w:eastAsia="en-AU"/>
              </w:rPr>
              <w:tab/>
            </w:r>
            <w:r w:rsidR="009E4973" w:rsidRPr="00EF50B8">
              <w:rPr>
                <w:rStyle w:val="Hyperlink"/>
                <w:noProof/>
              </w:rPr>
              <w:t>Second round evaluation of clinical data submitted in response to questions</w:t>
            </w:r>
            <w:r w:rsidR="009E4973">
              <w:rPr>
                <w:noProof/>
                <w:webHidden/>
              </w:rPr>
              <w:tab/>
            </w:r>
            <w:r w:rsidR="009E4973">
              <w:rPr>
                <w:noProof/>
                <w:webHidden/>
              </w:rPr>
              <w:fldChar w:fldCharType="begin"/>
            </w:r>
            <w:r w:rsidR="009E4973">
              <w:rPr>
                <w:noProof/>
                <w:webHidden/>
              </w:rPr>
              <w:instrText xml:space="preserve"> PAGEREF _Toc396651374 \h </w:instrText>
            </w:r>
            <w:r w:rsidR="009E4973">
              <w:rPr>
                <w:noProof/>
                <w:webHidden/>
              </w:rPr>
            </w:r>
            <w:r w:rsidR="009E4973">
              <w:rPr>
                <w:noProof/>
                <w:webHidden/>
              </w:rPr>
              <w:fldChar w:fldCharType="separate"/>
            </w:r>
            <w:r w:rsidR="009E4973">
              <w:rPr>
                <w:noProof/>
                <w:webHidden/>
              </w:rPr>
              <w:t>88</w:t>
            </w:r>
            <w:r w:rsidR="009E4973">
              <w:rPr>
                <w:noProof/>
                <w:webHidden/>
              </w:rPr>
              <w:fldChar w:fldCharType="end"/>
            </w:r>
          </w:hyperlink>
        </w:p>
        <w:p w:rsidR="009E4973" w:rsidRDefault="00B4120F">
          <w:pPr>
            <w:pStyle w:val="TOC3"/>
            <w:tabs>
              <w:tab w:val="left" w:pos="1697"/>
            </w:tabs>
            <w:rPr>
              <w:rFonts w:asciiTheme="minorHAnsi" w:eastAsiaTheme="minorEastAsia" w:hAnsiTheme="minorHAnsi" w:cstheme="minorBidi"/>
              <w:noProof/>
              <w:lang w:eastAsia="en-AU"/>
            </w:rPr>
          </w:pPr>
          <w:hyperlink w:anchor="_Toc396651375" w:history="1">
            <w:r w:rsidR="009E4973" w:rsidRPr="00EF50B8">
              <w:rPr>
                <w:rStyle w:val="Hyperlink"/>
                <w:noProof/>
              </w:rPr>
              <w:t>11.1.</w:t>
            </w:r>
            <w:r w:rsidR="009E4973">
              <w:rPr>
                <w:rFonts w:asciiTheme="minorHAnsi" w:eastAsiaTheme="minorEastAsia" w:hAnsiTheme="minorHAnsi" w:cstheme="minorBidi"/>
                <w:noProof/>
                <w:lang w:eastAsia="en-AU"/>
              </w:rPr>
              <w:tab/>
            </w:r>
            <w:r w:rsidR="009E4973" w:rsidRPr="00EF50B8">
              <w:rPr>
                <w:rStyle w:val="Hyperlink"/>
                <w:noProof/>
              </w:rPr>
              <w:t>Evaluation of the sponsor’s response</w:t>
            </w:r>
            <w:r w:rsidR="009E4973">
              <w:rPr>
                <w:noProof/>
                <w:webHidden/>
              </w:rPr>
              <w:tab/>
            </w:r>
            <w:r w:rsidR="009E4973">
              <w:rPr>
                <w:noProof/>
                <w:webHidden/>
              </w:rPr>
              <w:fldChar w:fldCharType="begin"/>
            </w:r>
            <w:r w:rsidR="009E4973">
              <w:rPr>
                <w:noProof/>
                <w:webHidden/>
              </w:rPr>
              <w:instrText xml:space="preserve"> PAGEREF _Toc396651375 \h </w:instrText>
            </w:r>
            <w:r w:rsidR="009E4973">
              <w:rPr>
                <w:noProof/>
                <w:webHidden/>
              </w:rPr>
            </w:r>
            <w:r w:rsidR="009E4973">
              <w:rPr>
                <w:noProof/>
                <w:webHidden/>
              </w:rPr>
              <w:fldChar w:fldCharType="separate"/>
            </w:r>
            <w:r w:rsidR="009E4973">
              <w:rPr>
                <w:noProof/>
                <w:webHidden/>
              </w:rPr>
              <w:t>89</w:t>
            </w:r>
            <w:r w:rsidR="009E4973">
              <w:rPr>
                <w:noProof/>
                <w:webHidden/>
              </w:rPr>
              <w:fldChar w:fldCharType="end"/>
            </w:r>
          </w:hyperlink>
        </w:p>
        <w:p w:rsidR="009E4973" w:rsidRDefault="00B4120F">
          <w:pPr>
            <w:pStyle w:val="TOC3"/>
            <w:tabs>
              <w:tab w:val="left" w:pos="1697"/>
            </w:tabs>
            <w:rPr>
              <w:rFonts w:asciiTheme="minorHAnsi" w:eastAsiaTheme="minorEastAsia" w:hAnsiTheme="minorHAnsi" w:cstheme="minorBidi"/>
              <w:noProof/>
              <w:lang w:eastAsia="en-AU"/>
            </w:rPr>
          </w:pPr>
          <w:hyperlink w:anchor="_Toc396651376" w:history="1">
            <w:r w:rsidR="009E4973" w:rsidRPr="00EF50B8">
              <w:rPr>
                <w:rStyle w:val="Hyperlink"/>
                <w:noProof/>
              </w:rPr>
              <w:t>11.2.</w:t>
            </w:r>
            <w:r w:rsidR="009E4973">
              <w:rPr>
                <w:rFonts w:asciiTheme="minorHAnsi" w:eastAsiaTheme="minorEastAsia" w:hAnsiTheme="minorHAnsi" w:cstheme="minorBidi"/>
                <w:noProof/>
                <w:lang w:eastAsia="en-AU"/>
              </w:rPr>
              <w:tab/>
            </w:r>
            <w:r w:rsidR="009E4973" w:rsidRPr="00EF50B8">
              <w:rPr>
                <w:rStyle w:val="Hyperlink"/>
                <w:noProof/>
              </w:rPr>
              <w:t>Dosing regimen</w:t>
            </w:r>
            <w:r w:rsidR="009E4973">
              <w:rPr>
                <w:noProof/>
                <w:webHidden/>
              </w:rPr>
              <w:tab/>
            </w:r>
            <w:r w:rsidR="009E4973">
              <w:rPr>
                <w:noProof/>
                <w:webHidden/>
              </w:rPr>
              <w:fldChar w:fldCharType="begin"/>
            </w:r>
            <w:r w:rsidR="009E4973">
              <w:rPr>
                <w:noProof/>
                <w:webHidden/>
              </w:rPr>
              <w:instrText xml:space="preserve"> PAGEREF _Toc396651376 \h </w:instrText>
            </w:r>
            <w:r w:rsidR="009E4973">
              <w:rPr>
                <w:noProof/>
                <w:webHidden/>
              </w:rPr>
            </w:r>
            <w:r w:rsidR="009E4973">
              <w:rPr>
                <w:noProof/>
                <w:webHidden/>
              </w:rPr>
              <w:fldChar w:fldCharType="separate"/>
            </w:r>
            <w:r w:rsidR="009E4973">
              <w:rPr>
                <w:noProof/>
                <w:webHidden/>
              </w:rPr>
              <w:t>91</w:t>
            </w:r>
            <w:r w:rsidR="009E4973">
              <w:rPr>
                <w:noProof/>
                <w:webHidden/>
              </w:rPr>
              <w:fldChar w:fldCharType="end"/>
            </w:r>
          </w:hyperlink>
        </w:p>
        <w:p w:rsidR="009E4973" w:rsidRDefault="00B4120F">
          <w:pPr>
            <w:pStyle w:val="TOC2"/>
            <w:tabs>
              <w:tab w:val="left" w:pos="1247"/>
            </w:tabs>
            <w:rPr>
              <w:rFonts w:asciiTheme="minorHAnsi" w:eastAsiaTheme="minorEastAsia" w:hAnsiTheme="minorHAnsi" w:cstheme="minorBidi"/>
              <w:b w:val="0"/>
              <w:noProof/>
              <w:sz w:val="22"/>
              <w:lang w:eastAsia="en-AU"/>
            </w:rPr>
          </w:pPr>
          <w:hyperlink w:anchor="_Toc396651377" w:history="1">
            <w:r w:rsidR="009E4973" w:rsidRPr="00EF50B8">
              <w:rPr>
                <w:rStyle w:val="Hyperlink"/>
                <w:noProof/>
              </w:rPr>
              <w:t>12.</w:t>
            </w:r>
            <w:r w:rsidR="009E4973">
              <w:rPr>
                <w:rFonts w:asciiTheme="minorHAnsi" w:eastAsiaTheme="minorEastAsia" w:hAnsiTheme="minorHAnsi" w:cstheme="minorBidi"/>
                <w:b w:val="0"/>
                <w:noProof/>
                <w:sz w:val="22"/>
                <w:lang w:eastAsia="en-AU"/>
              </w:rPr>
              <w:tab/>
            </w:r>
            <w:r w:rsidR="009E4973" w:rsidRPr="00EF50B8">
              <w:rPr>
                <w:rStyle w:val="Hyperlink"/>
                <w:noProof/>
              </w:rPr>
              <w:t>Second round recommendation regarding authorisation</w:t>
            </w:r>
            <w:r w:rsidR="009E4973">
              <w:rPr>
                <w:noProof/>
                <w:webHidden/>
              </w:rPr>
              <w:tab/>
            </w:r>
            <w:r w:rsidR="009E4973">
              <w:rPr>
                <w:noProof/>
                <w:webHidden/>
              </w:rPr>
              <w:fldChar w:fldCharType="begin"/>
            </w:r>
            <w:r w:rsidR="009E4973">
              <w:rPr>
                <w:noProof/>
                <w:webHidden/>
              </w:rPr>
              <w:instrText xml:space="preserve"> PAGEREF _Toc396651377 \h </w:instrText>
            </w:r>
            <w:r w:rsidR="009E4973">
              <w:rPr>
                <w:noProof/>
                <w:webHidden/>
              </w:rPr>
            </w:r>
            <w:r w:rsidR="009E4973">
              <w:rPr>
                <w:noProof/>
                <w:webHidden/>
              </w:rPr>
              <w:fldChar w:fldCharType="separate"/>
            </w:r>
            <w:r w:rsidR="009E4973">
              <w:rPr>
                <w:noProof/>
                <w:webHidden/>
              </w:rPr>
              <w:t>99</w:t>
            </w:r>
            <w:r w:rsidR="009E4973">
              <w:rPr>
                <w:noProof/>
                <w:webHidden/>
              </w:rPr>
              <w:fldChar w:fldCharType="end"/>
            </w:r>
          </w:hyperlink>
        </w:p>
        <w:p w:rsidR="003A7F6C" w:rsidRPr="00B811C6" w:rsidRDefault="00084ED5" w:rsidP="00B811C6">
          <w:pPr>
            <w:pStyle w:val="TOC2"/>
          </w:pPr>
          <w:r>
            <w:fldChar w:fldCharType="end"/>
          </w:r>
        </w:p>
      </w:sdtContent>
    </w:sdt>
    <w:bookmarkStart w:id="3" w:name="_Toc314842482" w:displacedByCustomXml="prev"/>
    <w:p w:rsidR="00586F98" w:rsidRDefault="00586F98" w:rsidP="00586F98">
      <w:pPr>
        <w:pStyle w:val="Heading2"/>
        <w:numPr>
          <w:ilvl w:val="0"/>
          <w:numId w:val="0"/>
        </w:numPr>
      </w:pPr>
      <w:bookmarkStart w:id="4" w:name="_Toc351716269"/>
      <w:bookmarkStart w:id="5" w:name="_Toc351718881"/>
      <w:bookmarkStart w:id="6" w:name="_Toc355338616"/>
      <w:bookmarkStart w:id="7" w:name="_Toc396651338"/>
      <w:r>
        <w:t>List of abbreviations</w:t>
      </w:r>
      <w:bookmarkEnd w:id="4"/>
      <w:bookmarkEnd w:id="5"/>
      <w:bookmarkEnd w:id="6"/>
      <w:bookmarkEnd w:id="7"/>
    </w:p>
    <w:tbl>
      <w:tblPr>
        <w:tblStyle w:val="TableTGAblue"/>
        <w:tblW w:w="0" w:type="auto"/>
        <w:tblLook w:val="04A0" w:firstRow="1" w:lastRow="0" w:firstColumn="1" w:lastColumn="0" w:noHBand="0" w:noVBand="1"/>
      </w:tblPr>
      <w:tblGrid>
        <w:gridCol w:w="2235"/>
        <w:gridCol w:w="5811"/>
      </w:tblGrid>
      <w:tr w:rsidR="000526AB" w:rsidRPr="00A00196" w:rsidTr="008D76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Abbreviation</w:t>
            </w:r>
          </w:p>
        </w:tc>
        <w:tc>
          <w:tcPr>
            <w:tcW w:w="5811" w:type="dxa"/>
          </w:tcPr>
          <w:p w:rsidR="000526AB" w:rsidRPr="000526AB" w:rsidRDefault="000526AB" w:rsidP="006125E9">
            <w:pPr>
              <w:cnfStyle w:val="100000000000" w:firstRow="1" w:lastRow="0" w:firstColumn="0" w:lastColumn="0" w:oddVBand="0" w:evenVBand="0" w:oddHBand="0" w:evenHBand="0" w:firstRowFirstColumn="0" w:firstRowLastColumn="0" w:lastRowFirstColumn="0" w:lastRowLastColumn="0"/>
              <w:rPr>
                <w:lang w:eastAsia="en-US"/>
              </w:rPr>
            </w:pPr>
            <w:r w:rsidRPr="000526AB">
              <w:rPr>
                <w:lang w:eastAsia="en-US"/>
              </w:rPr>
              <w:t>Meaning</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B2776" w:rsidP="006125E9">
            <w:pPr>
              <w:rPr>
                <w:lang w:eastAsia="en-US"/>
              </w:rPr>
            </w:pPr>
            <w:r>
              <w:rPr>
                <w:lang w:eastAsia="en-US"/>
              </w:rPr>
              <w:t>2Q4</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2mg (of VTE) administered every 4 weeks</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2Q8</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2 mg (of VTE) administered every 8 weeks</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 xml:space="preserve">ADA </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Anti-drug antibodies</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ADR</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Adverse drug reaction</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AE</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Adverse event</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AMD</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Neovascular (wet) age-related macular degeneration</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APTC</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Antiplatelets Trialist’s Collaboration</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ATE</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Arterial thromboembolic events</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BCVA</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Best corrected visual acuity</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BP</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Blood pressure</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BRVO</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Branch retinal vein occlusion</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CFT</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Central foveal thickness</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CMH</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Cochran-Mantel-Haenszel</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CNV</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 xml:space="preserve">Choroidal </w:t>
            </w:r>
            <w:r w:rsidR="00ED3DEB">
              <w:rPr>
                <w:lang w:eastAsia="en-US"/>
              </w:rPr>
              <w:t>neovascularisation</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CRT</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Central retinal thickness</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CRVO</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Central retinal vein occlusion</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ECG</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Electrocardiogram</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ETDRS</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Early Treatment Diabetic Retinopathy Study</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lastRenderedPageBreak/>
              <w:t>FA</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Fluorescein angiography</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FAS</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Full analysis set</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FDA</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Food and Drug Administration</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IOP</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Intraocular pressure</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IVT</w:t>
            </w:r>
          </w:p>
        </w:tc>
        <w:tc>
          <w:tcPr>
            <w:tcW w:w="5811" w:type="dxa"/>
          </w:tcPr>
          <w:p w:rsidR="000526AB" w:rsidRPr="000526AB" w:rsidRDefault="006125E9" w:rsidP="006125E9">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Intravitreal</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LOCF</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Last observation carried forward</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LSM</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Least squares mean</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NV</w:t>
            </w:r>
          </w:p>
        </w:tc>
        <w:tc>
          <w:tcPr>
            <w:tcW w:w="5811" w:type="dxa"/>
          </w:tcPr>
          <w:p w:rsidR="000526AB" w:rsidRPr="000526AB" w:rsidRDefault="00ED3DEB" w:rsidP="006125E9">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Neovascularisation</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NVD</w:t>
            </w:r>
          </w:p>
        </w:tc>
        <w:tc>
          <w:tcPr>
            <w:tcW w:w="5811" w:type="dxa"/>
          </w:tcPr>
          <w:p w:rsidR="000526AB" w:rsidRPr="000526AB" w:rsidRDefault="00ED3DEB" w:rsidP="006125E9">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Neovascularisation</w:t>
            </w:r>
            <w:r w:rsidR="006125E9">
              <w:rPr>
                <w:lang w:eastAsia="en-US"/>
              </w:rPr>
              <w:t xml:space="preserve"> of the disc</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NVE</w:t>
            </w:r>
          </w:p>
        </w:tc>
        <w:tc>
          <w:tcPr>
            <w:tcW w:w="5811" w:type="dxa"/>
          </w:tcPr>
          <w:p w:rsidR="000526AB" w:rsidRPr="000526AB" w:rsidRDefault="00ED3DEB" w:rsidP="006125E9">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Neovascularisation</w:t>
            </w:r>
            <w:r w:rsidR="000526AB" w:rsidRPr="000526AB">
              <w:rPr>
                <w:lang w:eastAsia="en-US"/>
              </w:rPr>
              <w:t xml:space="preserve"> elsewhere</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NVG</w:t>
            </w:r>
          </w:p>
        </w:tc>
        <w:tc>
          <w:tcPr>
            <w:tcW w:w="5811" w:type="dxa"/>
          </w:tcPr>
          <w:p w:rsidR="000526AB" w:rsidRPr="000526AB" w:rsidRDefault="00ED3DEB" w:rsidP="006125E9">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Neovascularisation</w:t>
            </w:r>
            <w:r w:rsidR="000526AB" w:rsidRPr="000526AB">
              <w:rPr>
                <w:lang w:eastAsia="en-US"/>
              </w:rPr>
              <w:t xml:space="preserve"> glaucoma</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NEI VFQ-25</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National Eye Institute 25-item Visual Function Questionnaire</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OCT</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Optical coherence tomography</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PD</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Pharmacodynamic</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PK</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Pharmacokinetics</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PlGF</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Placental growth factor</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PPS</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Per protocol set</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PRN</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As needed</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PRP</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Panretinal photocoagulation</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PT</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Preferred term</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RVO</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Retinal vein occlusion</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SAE</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Serious adverse event</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0526AB" w:rsidP="006125E9">
            <w:pPr>
              <w:rPr>
                <w:lang w:eastAsia="en-US"/>
              </w:rPr>
            </w:pPr>
            <w:r w:rsidRPr="000526AB">
              <w:rPr>
                <w:lang w:eastAsia="en-US"/>
              </w:rPr>
              <w:t>SAF</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 xml:space="preserve">Safety Analysis Set </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TEAE</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Treatment-emergent adverse event</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TEAEI</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 xml:space="preserve">Treatment-emergent adverse event of interest </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lastRenderedPageBreak/>
              <w:t>VA</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Visual acuity</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VEGF</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Vascular endothelial growth factor</w:t>
            </w:r>
          </w:p>
        </w:tc>
      </w:tr>
      <w:tr w:rsidR="000526AB" w:rsidRPr="00A00196"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VEGFR</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VEGF receptor</w:t>
            </w:r>
          </w:p>
        </w:tc>
      </w:tr>
      <w:tr w:rsidR="000526AB" w:rsidRPr="00395022" w:rsidTr="006125E9">
        <w:tc>
          <w:tcPr>
            <w:cnfStyle w:val="001000000000" w:firstRow="0" w:lastRow="0" w:firstColumn="1" w:lastColumn="0" w:oddVBand="0" w:evenVBand="0" w:oddHBand="0" w:evenHBand="0" w:firstRowFirstColumn="0" w:firstRowLastColumn="0" w:lastRowFirstColumn="0" w:lastRowLastColumn="0"/>
            <w:tcW w:w="2235" w:type="dxa"/>
          </w:tcPr>
          <w:p w:rsidR="000526AB" w:rsidRPr="000526AB" w:rsidRDefault="006125E9" w:rsidP="006125E9">
            <w:pPr>
              <w:rPr>
                <w:lang w:eastAsia="en-US"/>
              </w:rPr>
            </w:pPr>
            <w:r>
              <w:rPr>
                <w:lang w:eastAsia="en-US"/>
              </w:rPr>
              <w:t>VTE</w:t>
            </w:r>
          </w:p>
        </w:tc>
        <w:tc>
          <w:tcPr>
            <w:tcW w:w="5811" w:type="dxa"/>
          </w:tcPr>
          <w:p w:rsidR="000526AB" w:rsidRPr="000526AB" w:rsidRDefault="000526AB" w:rsidP="006125E9">
            <w:pPr>
              <w:cnfStyle w:val="000000000000" w:firstRow="0" w:lastRow="0" w:firstColumn="0" w:lastColumn="0" w:oddVBand="0" w:evenVBand="0" w:oddHBand="0" w:evenHBand="0" w:firstRowFirstColumn="0" w:firstRowLastColumn="0" w:lastRowFirstColumn="0" w:lastRowLastColumn="0"/>
              <w:rPr>
                <w:lang w:eastAsia="en-US"/>
              </w:rPr>
            </w:pPr>
            <w:r w:rsidRPr="000526AB">
              <w:rPr>
                <w:lang w:eastAsia="en-US"/>
              </w:rPr>
              <w:t>VEGF Trap-Eye (Eylea)</w:t>
            </w:r>
          </w:p>
        </w:tc>
      </w:tr>
    </w:tbl>
    <w:p w:rsidR="00586F98" w:rsidRDefault="00586F98" w:rsidP="006125E9">
      <w:pPr>
        <w:pStyle w:val="Heading2"/>
        <w:rPr>
          <w:lang w:eastAsia="en-AU"/>
        </w:rPr>
      </w:pPr>
      <w:bookmarkStart w:id="8" w:name="_Toc396651339"/>
      <w:bookmarkStart w:id="9" w:name="_Toc351718900"/>
      <w:bookmarkStart w:id="10" w:name="_Toc355338635"/>
      <w:r>
        <w:rPr>
          <w:lang w:eastAsia="en-AU"/>
        </w:rPr>
        <w:t>Clinical rationale</w:t>
      </w:r>
      <w:bookmarkEnd w:id="8"/>
    </w:p>
    <w:p w:rsidR="000526AB" w:rsidRPr="00FA6EB0" w:rsidRDefault="000526AB" w:rsidP="008D763C">
      <w:r w:rsidRPr="00FA6EB0">
        <w:t xml:space="preserve">The rationale for aflibercept for the treatment of </w:t>
      </w:r>
      <w:r w:rsidR="00FA6EB0" w:rsidRPr="000526AB">
        <w:rPr>
          <w:sz w:val="20"/>
          <w:szCs w:val="20"/>
        </w:rPr>
        <w:t>Central retinal vein occlusion</w:t>
      </w:r>
      <w:r w:rsidR="00FA6EB0">
        <w:t xml:space="preserve"> (</w:t>
      </w:r>
      <w:r w:rsidRPr="00FA6EB0">
        <w:t>CRVO</w:t>
      </w:r>
      <w:r w:rsidR="00FA6EB0">
        <w:t>)</w:t>
      </w:r>
      <w:r w:rsidRPr="00FA6EB0">
        <w:t xml:space="preserve"> is based on the central role vascular endothelial growth factor (VEGF) is considered to have in this disease. The increased retinal venous vascular pressure that results from CRVO causes transudation of plasma and blood, resulting in oedema and haemorrhages throughout all or most of the retina. Severe oedema appears to increase interstitial pressure and compromise arterial perfusion, resulting in variable amounts of capillary occlusion and cotton wool patches (nerve layer infarcts). The resulting retinal ischaemia leads to the production of inflammatory mediators such as VEGF, which increase vascular permeability and promote neovascularisation, leading to macular oedema. Aflibercept acts as a soluble decoy receptor that binds VEGF-A</w:t>
      </w:r>
      <w:r w:rsidR="00301349">
        <w:t xml:space="preserve"> </w:t>
      </w:r>
      <w:r w:rsidRPr="00FA6EB0">
        <w:t>and placental growth factor (PlGF) with higher affinity than their natural receptors, inhibiting the binding and activation of these cognate VEGF receptors.</w:t>
      </w:r>
    </w:p>
    <w:p w:rsidR="000526AB" w:rsidRPr="003F2E97" w:rsidRDefault="000526AB" w:rsidP="006125E9">
      <w:r w:rsidRPr="00FA6EB0">
        <w:t>RVO is the second leading cause of blindness due to retinal vascular disease after diabetic retinopathy. There a</w:t>
      </w:r>
      <w:r w:rsidRPr="003F2E97">
        <w:t>re two distinct types of RVO classified according to the site of occlusion, central retinal vein occlusion (CRVO) and branch retinal vein occlusion (BRVO) and both conditions lead to permeability disorders of the retina caused by venous occlusion. It is estimated that RVO has a prevalence of 1% to 2% in persons older than 40 years of age and affects 16 million persons worldwide.</w:t>
      </w:r>
      <w:bookmarkStart w:id="11" w:name="_Ref381171272"/>
      <w:r w:rsidR="003F2E97" w:rsidRPr="003F2E97">
        <w:rPr>
          <w:rStyle w:val="FootnoteReference"/>
        </w:rPr>
        <w:footnoteReference w:id="1"/>
      </w:r>
      <w:bookmarkEnd w:id="11"/>
      <w:r w:rsidRPr="003F2E97">
        <w:t xml:space="preserve"> BRVO has been reported with a prevalence of about 3 times that of CRVO</w:t>
      </w:r>
      <w:bookmarkStart w:id="12" w:name="_Ref381171229"/>
      <w:r w:rsidR="003F2E97" w:rsidRPr="003F2E97">
        <w:rPr>
          <w:rStyle w:val="FootnoteReference"/>
        </w:rPr>
        <w:footnoteReference w:id="2"/>
      </w:r>
      <w:bookmarkEnd w:id="12"/>
      <w:r w:rsidRPr="003F2E97">
        <w:t>,</w:t>
      </w:r>
      <w:r w:rsidR="00354E40">
        <w:t xml:space="preserve"> </w:t>
      </w:r>
      <w:r w:rsidRPr="003F2E97">
        <w:t>and it has been estimated that CRVO affects approximately 2.5 million people worldwide.</w:t>
      </w:r>
      <w:r w:rsidR="003F2E97" w:rsidRPr="003F2E97">
        <w:rPr>
          <w:rStyle w:val="FootnoteReference"/>
        </w:rPr>
        <w:footnoteReference w:id="3"/>
      </w:r>
    </w:p>
    <w:p w:rsidR="000526AB" w:rsidRPr="00FA6EB0" w:rsidRDefault="000526AB" w:rsidP="00354E40">
      <w:r w:rsidRPr="003F2E97">
        <w:t>The prevalence (and incidence) of RVO is strongly associated with increasing age. Retinal vein occlusion is rarely seen in individuals younger than 50 years of age but may affect up to 5% of individuals over the age of 80 years. In an Australian population prevalence study, the age related increase in RVO prevalence was highly significant (p&lt;0.001) and the prevalence for age specific cohorts was 0.7% for subjects &lt; 60 years, 1.2% for subjects 60 to 69 years, 2.1% for subjects 70 to 79 years and 4.6% for subjects 80 years of age or older.</w:t>
      </w:r>
      <w:r w:rsidR="004378DF">
        <w:fldChar w:fldCharType="begin"/>
      </w:r>
      <w:r w:rsidR="004378DF">
        <w:instrText xml:space="preserve"> NOTEREF _Ref381171229 \h  \* MERGEFORMAT </w:instrText>
      </w:r>
      <w:r w:rsidR="004378DF">
        <w:fldChar w:fldCharType="separate"/>
      </w:r>
      <w:r w:rsidR="00B84D36">
        <w:t>2</w:t>
      </w:r>
      <w:r w:rsidR="004378DF">
        <w:fldChar w:fldCharType="end"/>
      </w:r>
      <w:r w:rsidRPr="003F2E97">
        <w:t xml:space="preserve"> In this study, the prevalence of RVO was 1.6% for both males and females and there was no significant sex difference after adjusting for age. In an Australian population aged 49 years and older, the 10 year incidence of RVO was 1.6% and significant predictors of incident RVO were age </w:t>
      </w:r>
      <w:r w:rsidR="00FA6EB0" w:rsidRPr="003F2E97">
        <w:t>≥</w:t>
      </w:r>
      <w:r w:rsidRPr="003F2E97">
        <w:t xml:space="preserve"> 70 years, increasing mean arterial blood pressure and atherosclerotic retinal vessels.</w:t>
      </w:r>
      <w:r w:rsidR="003F2E97" w:rsidRPr="003F2E97">
        <w:rPr>
          <w:rStyle w:val="FootnoteReference"/>
        </w:rPr>
        <w:footnoteReference w:id="4"/>
      </w:r>
      <w:r w:rsidRPr="003F2E97">
        <w:t xml:space="preserve"> Risk factors for CRVO, reported by the Eye Disease Case-Control Study Group, include hypertension, diabetes </w:t>
      </w:r>
      <w:r w:rsidRPr="003F2E97">
        <w:lastRenderedPageBreak/>
        <w:t>mellitus, higher cardiovascular risk profile, and less physical activity.</w:t>
      </w:r>
      <w:r w:rsidR="003F2E97" w:rsidRPr="003F2E97">
        <w:rPr>
          <w:rStyle w:val="FootnoteReference"/>
        </w:rPr>
        <w:footnoteReference w:id="5"/>
      </w:r>
      <w:r w:rsidRPr="003F2E97">
        <w:t xml:space="preserve"> Other possible risk factors predisposing to CRVO include age greater than 65 years</w:t>
      </w:r>
      <w:r w:rsidR="004378DF" w:rsidRPr="00354E40">
        <w:rPr>
          <w:vertAlign w:val="superscript"/>
        </w:rPr>
        <w:fldChar w:fldCharType="begin"/>
      </w:r>
      <w:r w:rsidR="004378DF" w:rsidRPr="00354E40">
        <w:rPr>
          <w:vertAlign w:val="superscript"/>
        </w:rPr>
        <w:instrText xml:space="preserve"> NOTEREF _Ref381171341 \h  \* MERGEFORMAT </w:instrText>
      </w:r>
      <w:r w:rsidR="004378DF" w:rsidRPr="00354E40">
        <w:rPr>
          <w:vertAlign w:val="superscript"/>
        </w:rPr>
      </w:r>
      <w:r w:rsidR="004378DF" w:rsidRPr="00354E40">
        <w:rPr>
          <w:vertAlign w:val="superscript"/>
        </w:rPr>
        <w:fldChar w:fldCharType="separate"/>
      </w:r>
      <w:r w:rsidR="00B84D36" w:rsidRPr="00354E40">
        <w:rPr>
          <w:vertAlign w:val="superscript"/>
        </w:rPr>
        <w:t>6</w:t>
      </w:r>
      <w:r w:rsidR="004378DF" w:rsidRPr="00354E40">
        <w:rPr>
          <w:vertAlign w:val="superscript"/>
        </w:rPr>
        <w:fldChar w:fldCharType="end"/>
      </w:r>
      <w:r w:rsidRPr="003F2E97">
        <w:t>, glaucoma or elevated intraocular pressure</w:t>
      </w:r>
      <w:r w:rsidR="004378DF">
        <w:fldChar w:fldCharType="begin"/>
      </w:r>
      <w:r w:rsidR="004378DF">
        <w:instrText xml:space="preserve"> NOTEREF _Ref381171272 \h  \* MERGEFORMAT </w:instrText>
      </w:r>
      <w:r w:rsidR="004378DF">
        <w:fldChar w:fldCharType="separate"/>
      </w:r>
      <w:r w:rsidR="00B84D36">
        <w:t>1</w:t>
      </w:r>
      <w:r w:rsidR="004378DF">
        <w:fldChar w:fldCharType="end"/>
      </w:r>
      <w:r w:rsidR="003F2E97" w:rsidRPr="003F2E97">
        <w:rPr>
          <w:vertAlign w:val="superscript"/>
        </w:rPr>
        <w:t>,</w:t>
      </w:r>
      <w:bookmarkStart w:id="13" w:name="_Ref381171341"/>
      <w:r w:rsidR="003F2E97" w:rsidRPr="003F2E97">
        <w:rPr>
          <w:rStyle w:val="FootnoteReference"/>
        </w:rPr>
        <w:footnoteReference w:id="6"/>
      </w:r>
      <w:bookmarkEnd w:id="13"/>
      <w:r w:rsidR="003F2E97" w:rsidRPr="003F2E97">
        <w:rPr>
          <w:vertAlign w:val="superscript"/>
        </w:rPr>
        <w:t xml:space="preserve"> </w:t>
      </w:r>
      <w:r w:rsidRPr="003F2E97">
        <w:t>renal disease</w:t>
      </w:r>
      <w:r w:rsidR="004378DF" w:rsidRPr="00354E40">
        <w:rPr>
          <w:vertAlign w:val="superscript"/>
        </w:rPr>
        <w:fldChar w:fldCharType="begin"/>
      </w:r>
      <w:r w:rsidR="004378DF" w:rsidRPr="00354E40">
        <w:rPr>
          <w:vertAlign w:val="superscript"/>
        </w:rPr>
        <w:instrText xml:space="preserve"> NOTEREF _Ref381171272 \h  \* MERGEFORMAT </w:instrText>
      </w:r>
      <w:r w:rsidR="004378DF" w:rsidRPr="00354E40">
        <w:rPr>
          <w:vertAlign w:val="superscript"/>
        </w:rPr>
      </w:r>
      <w:r w:rsidR="004378DF" w:rsidRPr="00354E40">
        <w:rPr>
          <w:vertAlign w:val="superscript"/>
        </w:rPr>
        <w:fldChar w:fldCharType="separate"/>
      </w:r>
      <w:r w:rsidR="00B84D36" w:rsidRPr="00354E40">
        <w:rPr>
          <w:vertAlign w:val="superscript"/>
        </w:rPr>
        <w:t>1</w:t>
      </w:r>
      <w:r w:rsidR="004378DF" w:rsidRPr="00354E40">
        <w:rPr>
          <w:vertAlign w:val="superscript"/>
        </w:rPr>
        <w:fldChar w:fldCharType="end"/>
      </w:r>
      <w:r w:rsidRPr="003F2E97">
        <w:t>, dyslipidemia</w:t>
      </w:r>
      <w:r w:rsidR="004378DF" w:rsidRPr="00354E40">
        <w:rPr>
          <w:vertAlign w:val="superscript"/>
        </w:rPr>
        <w:fldChar w:fldCharType="begin"/>
      </w:r>
      <w:r w:rsidR="004378DF" w:rsidRPr="00354E40">
        <w:rPr>
          <w:vertAlign w:val="superscript"/>
        </w:rPr>
        <w:instrText xml:space="preserve"> NOTEREF _Ref381171272 \h  \* MERGEFORMAT </w:instrText>
      </w:r>
      <w:r w:rsidR="004378DF" w:rsidRPr="00354E40">
        <w:rPr>
          <w:vertAlign w:val="superscript"/>
        </w:rPr>
      </w:r>
      <w:r w:rsidR="004378DF" w:rsidRPr="00354E40">
        <w:rPr>
          <w:vertAlign w:val="superscript"/>
        </w:rPr>
        <w:fldChar w:fldCharType="separate"/>
      </w:r>
      <w:r w:rsidR="00B84D36" w:rsidRPr="00354E40">
        <w:rPr>
          <w:vertAlign w:val="superscript"/>
        </w:rPr>
        <w:t>1</w:t>
      </w:r>
      <w:r w:rsidR="004378DF" w:rsidRPr="00354E40">
        <w:rPr>
          <w:vertAlign w:val="superscript"/>
        </w:rPr>
        <w:fldChar w:fldCharType="end"/>
      </w:r>
      <w:r w:rsidRPr="003F2E97">
        <w:t>, coagulopathy</w:t>
      </w:r>
      <w:r w:rsidR="004378DF" w:rsidRPr="00354E40">
        <w:rPr>
          <w:vertAlign w:val="superscript"/>
        </w:rPr>
        <w:fldChar w:fldCharType="begin"/>
      </w:r>
      <w:r w:rsidR="004378DF" w:rsidRPr="00354E40">
        <w:rPr>
          <w:vertAlign w:val="superscript"/>
        </w:rPr>
        <w:instrText xml:space="preserve"> NOTEREF _Ref381171341 \h  \* MERGEFORMAT </w:instrText>
      </w:r>
      <w:r w:rsidR="004378DF" w:rsidRPr="00354E40">
        <w:rPr>
          <w:vertAlign w:val="superscript"/>
        </w:rPr>
      </w:r>
      <w:r w:rsidR="004378DF" w:rsidRPr="00354E40">
        <w:rPr>
          <w:vertAlign w:val="superscript"/>
        </w:rPr>
        <w:fldChar w:fldCharType="separate"/>
      </w:r>
      <w:r w:rsidR="00B84D36" w:rsidRPr="00354E40">
        <w:rPr>
          <w:vertAlign w:val="superscript"/>
        </w:rPr>
        <w:t>6</w:t>
      </w:r>
      <w:r w:rsidR="004378DF" w:rsidRPr="00354E40">
        <w:rPr>
          <w:vertAlign w:val="superscript"/>
        </w:rPr>
        <w:fldChar w:fldCharType="end"/>
      </w:r>
      <w:r w:rsidR="003F2E97" w:rsidRPr="003F2E97">
        <w:rPr>
          <w:vertAlign w:val="superscript"/>
        </w:rPr>
        <w:t>,</w:t>
      </w:r>
      <w:bookmarkStart w:id="14" w:name="_Ref381171455"/>
      <w:r w:rsidR="003F2E97" w:rsidRPr="003F2E97">
        <w:rPr>
          <w:rStyle w:val="FootnoteReference"/>
        </w:rPr>
        <w:footnoteReference w:id="7"/>
      </w:r>
      <w:bookmarkEnd w:id="14"/>
      <w:r w:rsidRPr="003F2E97">
        <w:t xml:space="preserve"> and smoking</w:t>
      </w:r>
      <w:r w:rsidR="004378DF" w:rsidRPr="00354E40">
        <w:rPr>
          <w:vertAlign w:val="superscript"/>
        </w:rPr>
        <w:fldChar w:fldCharType="begin"/>
      </w:r>
      <w:r w:rsidR="004378DF" w:rsidRPr="00354E40">
        <w:rPr>
          <w:vertAlign w:val="superscript"/>
        </w:rPr>
        <w:instrText xml:space="preserve"> NOTEREF _Ref381171272 \h  \* MERGEFORMAT </w:instrText>
      </w:r>
      <w:r w:rsidR="004378DF" w:rsidRPr="00354E40">
        <w:rPr>
          <w:vertAlign w:val="superscript"/>
        </w:rPr>
      </w:r>
      <w:r w:rsidR="004378DF" w:rsidRPr="00354E40">
        <w:rPr>
          <w:vertAlign w:val="superscript"/>
        </w:rPr>
        <w:fldChar w:fldCharType="separate"/>
      </w:r>
      <w:r w:rsidR="00B84D36" w:rsidRPr="00354E40">
        <w:rPr>
          <w:vertAlign w:val="superscript"/>
        </w:rPr>
        <w:t>1</w:t>
      </w:r>
      <w:r w:rsidR="004378DF" w:rsidRPr="00354E40">
        <w:rPr>
          <w:vertAlign w:val="superscript"/>
        </w:rPr>
        <w:fldChar w:fldCharType="end"/>
      </w:r>
      <w:r w:rsidRPr="003F2E97">
        <w:t>. Inflammatory disease within the eye may also contribute to pathogenesis.</w:t>
      </w:r>
      <w:r w:rsidR="004378DF" w:rsidRPr="00354E40">
        <w:rPr>
          <w:vertAlign w:val="superscript"/>
        </w:rPr>
        <w:fldChar w:fldCharType="begin"/>
      </w:r>
      <w:r w:rsidR="004378DF" w:rsidRPr="00354E40">
        <w:rPr>
          <w:vertAlign w:val="superscript"/>
        </w:rPr>
        <w:instrText xml:space="preserve"> NOTEREF _Ref381171272 \h  \* MERGEFORMAT </w:instrText>
      </w:r>
      <w:r w:rsidR="004378DF" w:rsidRPr="00354E40">
        <w:rPr>
          <w:vertAlign w:val="superscript"/>
        </w:rPr>
      </w:r>
      <w:r w:rsidR="004378DF" w:rsidRPr="00354E40">
        <w:rPr>
          <w:vertAlign w:val="superscript"/>
        </w:rPr>
        <w:fldChar w:fldCharType="separate"/>
      </w:r>
      <w:r w:rsidR="00B84D36" w:rsidRPr="00354E40">
        <w:rPr>
          <w:vertAlign w:val="superscript"/>
        </w:rPr>
        <w:t>1</w:t>
      </w:r>
      <w:r w:rsidR="004378DF" w:rsidRPr="00354E40">
        <w:rPr>
          <w:vertAlign w:val="superscript"/>
        </w:rPr>
        <w:fldChar w:fldCharType="end"/>
      </w:r>
    </w:p>
    <w:p w:rsidR="000526AB" w:rsidRPr="00FA6EB0" w:rsidRDefault="000526AB" w:rsidP="006125E9">
      <w:r w:rsidRPr="00FA6EB0">
        <w:t xml:space="preserve">The visual prognosis in macular oedema following CRVO is poor in a substantial proportion of patients, especially those with the ischaemic subtype. In patients with both ischaemic and non ischaemic, CRVO baseline </w:t>
      </w:r>
      <w:r w:rsidR="00FA6EB0" w:rsidRPr="000526AB">
        <w:rPr>
          <w:sz w:val="20"/>
          <w:szCs w:val="20"/>
        </w:rPr>
        <w:t>Visual acuity</w:t>
      </w:r>
      <w:r w:rsidR="00FA6EB0" w:rsidRPr="00FA6EB0">
        <w:t xml:space="preserve"> </w:t>
      </w:r>
      <w:r w:rsidR="00FA6EB0">
        <w:t>(</w:t>
      </w:r>
      <w:r w:rsidRPr="00FA6EB0">
        <w:t>VA</w:t>
      </w:r>
      <w:r w:rsidR="00FA6EB0">
        <w:t>)</w:t>
      </w:r>
      <w:r w:rsidRPr="00FA6EB0">
        <w:t xml:space="preserve"> is generally poor (20/40) and in most patients it decreases over time.</w:t>
      </w:r>
      <w:bookmarkStart w:id="15" w:name="_Ref381171466"/>
      <w:r w:rsidR="003F2E97">
        <w:rPr>
          <w:rStyle w:val="FootnoteReference"/>
        </w:rPr>
        <w:footnoteReference w:id="8"/>
      </w:r>
      <w:bookmarkEnd w:id="15"/>
      <w:r w:rsidRPr="00FA6EB0">
        <w:t xml:space="preserve"> The degree of retinal ischaemia is one of the major determinants of outcome in CRVO.</w:t>
      </w:r>
      <w:r w:rsidR="004378DF" w:rsidRPr="00354E40">
        <w:rPr>
          <w:vertAlign w:val="superscript"/>
        </w:rPr>
        <w:fldChar w:fldCharType="begin"/>
      </w:r>
      <w:r w:rsidR="004378DF" w:rsidRPr="00354E40">
        <w:rPr>
          <w:vertAlign w:val="superscript"/>
        </w:rPr>
        <w:instrText xml:space="preserve"> NOTEREF _Ref381171455 \h  \* MERGEFORMAT </w:instrText>
      </w:r>
      <w:r w:rsidR="004378DF" w:rsidRPr="00354E40">
        <w:rPr>
          <w:vertAlign w:val="superscript"/>
        </w:rPr>
      </w:r>
      <w:r w:rsidR="004378DF" w:rsidRPr="00354E40">
        <w:rPr>
          <w:vertAlign w:val="superscript"/>
        </w:rPr>
        <w:fldChar w:fldCharType="separate"/>
      </w:r>
      <w:r w:rsidR="00B84D36" w:rsidRPr="00354E40">
        <w:rPr>
          <w:vertAlign w:val="superscript"/>
        </w:rPr>
        <w:t>7</w:t>
      </w:r>
      <w:r w:rsidR="004378DF" w:rsidRPr="00354E40">
        <w:rPr>
          <w:vertAlign w:val="superscript"/>
        </w:rPr>
        <w:fldChar w:fldCharType="end"/>
      </w:r>
      <w:r w:rsidRPr="00FA6EB0">
        <w:t xml:space="preserve"> The principal causes of visual morbidity and complications of CRVO are macular oedema, vit</w:t>
      </w:r>
      <w:r w:rsidR="00FA6EB0">
        <w:t>reous haemorrhage, neovascularis</w:t>
      </w:r>
      <w:r w:rsidRPr="00FA6EB0">
        <w:t>ation and neovascular glaucoma.</w:t>
      </w:r>
      <w:r w:rsidR="004378DF" w:rsidRPr="00354E40">
        <w:rPr>
          <w:vertAlign w:val="superscript"/>
        </w:rPr>
        <w:fldChar w:fldCharType="begin"/>
      </w:r>
      <w:r w:rsidR="004378DF" w:rsidRPr="00354E40">
        <w:rPr>
          <w:vertAlign w:val="superscript"/>
        </w:rPr>
        <w:instrText xml:space="preserve"> NOTEREF _Ref381171466 \h  \* MERGEFORMAT </w:instrText>
      </w:r>
      <w:r w:rsidR="004378DF" w:rsidRPr="00354E40">
        <w:rPr>
          <w:vertAlign w:val="superscript"/>
        </w:rPr>
      </w:r>
      <w:r w:rsidR="004378DF" w:rsidRPr="00354E40">
        <w:rPr>
          <w:vertAlign w:val="superscript"/>
        </w:rPr>
        <w:fldChar w:fldCharType="separate"/>
      </w:r>
      <w:r w:rsidR="00B84D36" w:rsidRPr="00354E40">
        <w:rPr>
          <w:vertAlign w:val="superscript"/>
        </w:rPr>
        <w:t>8</w:t>
      </w:r>
      <w:r w:rsidR="004378DF" w:rsidRPr="00354E40">
        <w:rPr>
          <w:vertAlign w:val="superscript"/>
        </w:rPr>
        <w:fldChar w:fldCharType="end"/>
      </w:r>
      <w:r w:rsidRPr="00FA6EB0">
        <w:t xml:space="preserve"> Macular oedema, with or without macular non-perfusion, is the most frequent cause of vision loss in patients with RVO</w:t>
      </w:r>
      <w:r w:rsidR="004378DF" w:rsidRPr="00354E40">
        <w:rPr>
          <w:vertAlign w:val="superscript"/>
        </w:rPr>
        <w:fldChar w:fldCharType="begin"/>
      </w:r>
      <w:r w:rsidR="004378DF" w:rsidRPr="00354E40">
        <w:rPr>
          <w:vertAlign w:val="superscript"/>
        </w:rPr>
        <w:instrText xml:space="preserve"> NOTEREF _Ref381171272 \h  \* MERGEFORMAT </w:instrText>
      </w:r>
      <w:r w:rsidR="004378DF" w:rsidRPr="00354E40">
        <w:rPr>
          <w:vertAlign w:val="superscript"/>
        </w:rPr>
      </w:r>
      <w:r w:rsidR="004378DF" w:rsidRPr="00354E40">
        <w:rPr>
          <w:vertAlign w:val="superscript"/>
        </w:rPr>
        <w:fldChar w:fldCharType="separate"/>
      </w:r>
      <w:r w:rsidR="00B84D36" w:rsidRPr="00354E40">
        <w:rPr>
          <w:vertAlign w:val="superscript"/>
        </w:rPr>
        <w:t>1</w:t>
      </w:r>
      <w:r w:rsidR="004378DF" w:rsidRPr="00354E40">
        <w:rPr>
          <w:vertAlign w:val="superscript"/>
        </w:rPr>
        <w:fldChar w:fldCharType="end"/>
      </w:r>
      <w:r w:rsidRPr="00FA6EB0">
        <w:t xml:space="preserve"> and is present to some degree in nearly all cases of CRVO.</w:t>
      </w:r>
      <w:r w:rsidR="004378DF" w:rsidRPr="00354E40">
        <w:rPr>
          <w:vertAlign w:val="superscript"/>
        </w:rPr>
        <w:fldChar w:fldCharType="begin"/>
      </w:r>
      <w:r w:rsidR="004378DF" w:rsidRPr="00354E40">
        <w:rPr>
          <w:vertAlign w:val="superscript"/>
        </w:rPr>
        <w:instrText xml:space="preserve"> NOTEREF _Ref381171455 \h  \* MERGEFORMAT </w:instrText>
      </w:r>
      <w:r w:rsidR="004378DF" w:rsidRPr="00354E40">
        <w:rPr>
          <w:vertAlign w:val="superscript"/>
        </w:rPr>
      </w:r>
      <w:r w:rsidR="004378DF" w:rsidRPr="00354E40">
        <w:rPr>
          <w:vertAlign w:val="superscript"/>
        </w:rPr>
        <w:fldChar w:fldCharType="separate"/>
      </w:r>
      <w:r w:rsidR="00B84D36" w:rsidRPr="00354E40">
        <w:rPr>
          <w:vertAlign w:val="superscript"/>
        </w:rPr>
        <w:t>7</w:t>
      </w:r>
      <w:r w:rsidR="004378DF" w:rsidRPr="00354E40">
        <w:rPr>
          <w:vertAlign w:val="superscript"/>
        </w:rPr>
        <w:fldChar w:fldCharType="end"/>
      </w:r>
      <w:r w:rsidRPr="00FA6EB0">
        <w:t xml:space="preserve"> There is a correlation between the severity of ischaemia and the risk of developing </w:t>
      </w:r>
      <w:r w:rsidR="00ED3DEB">
        <w:t>neovascularisation</w:t>
      </w:r>
      <w:bookmarkStart w:id="16" w:name="_Ref381171629"/>
      <w:r w:rsidR="003F2E97">
        <w:rPr>
          <w:rStyle w:val="FootnoteReference"/>
        </w:rPr>
        <w:footnoteReference w:id="9"/>
      </w:r>
      <w:bookmarkEnd w:id="16"/>
      <w:r w:rsidRPr="00FA6EB0">
        <w:t xml:space="preserve"> and CRVO can</w:t>
      </w:r>
      <w:r w:rsidR="00FA6EB0">
        <w:t xml:space="preserve"> be complicated by neovascularis</w:t>
      </w:r>
      <w:r w:rsidRPr="00FA6EB0">
        <w:t>ation of the iris or angle which may in turn lead to the devel</w:t>
      </w:r>
      <w:r w:rsidR="006125E9">
        <w:t>opment of neovascular glaucoma.</w:t>
      </w:r>
    </w:p>
    <w:p w:rsidR="000526AB" w:rsidRPr="003F2E97" w:rsidRDefault="000526AB" w:rsidP="00BE349B">
      <w:r w:rsidRPr="00FA6EB0">
        <w:t>The most common presenting symptom of RVO is an abrupt, painless decrease in central visual acuity (VA) which varies in severity. Less commonly, patients may present with a history of transient vision loss, lasting a few seconds to minutes, with complete recovery of vision. These symptoms may recur over several days to weeks and are followed by a decrease in vision that can last for more than 1 year in some patients. The degree of vision loss depends on the extent of retinal involvement and on macular perfusion status. CRVO involves the entire retina, with scattered superficial and deep retinal haemorrhages, and venous dilation. In contra</w:t>
      </w:r>
      <w:r w:rsidR="00FA6EB0">
        <w:t>st, BRVO involves a more localis</w:t>
      </w:r>
      <w:r w:rsidRPr="00FA6EB0">
        <w:t>ed area of retina and is characteri</w:t>
      </w:r>
      <w:r w:rsidR="00FA6EB0">
        <w:t>s</w:t>
      </w:r>
      <w:r w:rsidRPr="00FA6EB0">
        <w:t>ed by scattered superficial and deep retinal haemorrhages, ve</w:t>
      </w:r>
      <w:r w:rsidRPr="003F2E97">
        <w:t>nous dilation, intraretinal microvascular abnormalities and occlude</w:t>
      </w:r>
      <w:r w:rsidR="006125E9">
        <w:t>d and sheathed retinal venules.</w:t>
      </w:r>
    </w:p>
    <w:p w:rsidR="00586F98" w:rsidRPr="00FA6EB0" w:rsidRDefault="000526AB" w:rsidP="00BE349B">
      <w:r w:rsidRPr="003F2E97">
        <w:t>In Australia, Lucentis (ranibizumab) is the only non-surgical treatment approved for the treatment of RVO (both CRVO and BRVO). Laser photocoagulation has been used for more than 20 years for the treatment of BRVO.</w:t>
      </w:r>
      <w:r w:rsidR="004378DF">
        <w:fldChar w:fldCharType="begin"/>
      </w:r>
      <w:r w:rsidR="004378DF">
        <w:instrText xml:space="preserve"> NOTEREF _Ref381171455 \h  \* MERGEFORMAT </w:instrText>
      </w:r>
      <w:r w:rsidR="004378DF">
        <w:fldChar w:fldCharType="separate"/>
      </w:r>
      <w:r w:rsidR="00B84D36">
        <w:t>7</w:t>
      </w:r>
      <w:r w:rsidR="004378DF">
        <w:fldChar w:fldCharType="end"/>
      </w:r>
      <w:r w:rsidRPr="003F2E97">
        <w:t xml:space="preserve"> This treatment can provide vision stabili</w:t>
      </w:r>
      <w:r w:rsidR="00FA6EB0" w:rsidRPr="003F2E97">
        <w:t>s</w:t>
      </w:r>
      <w:r w:rsidRPr="003F2E97">
        <w:t>ation over the long-term and may enable some patients to read an additional 2 lines at 3 years compared with no treatment.</w:t>
      </w:r>
      <w:r w:rsidR="004378DF" w:rsidRPr="00BE349B">
        <w:rPr>
          <w:vertAlign w:val="superscript"/>
        </w:rPr>
        <w:fldChar w:fldCharType="begin"/>
      </w:r>
      <w:r w:rsidR="004378DF" w:rsidRPr="00BE349B">
        <w:rPr>
          <w:vertAlign w:val="superscript"/>
        </w:rPr>
        <w:instrText xml:space="preserve"> NOTEREF _Ref381171272 \h  \* MERGEFORMAT </w:instrText>
      </w:r>
      <w:r w:rsidR="004378DF" w:rsidRPr="00BE349B">
        <w:rPr>
          <w:vertAlign w:val="superscript"/>
        </w:rPr>
      </w:r>
      <w:r w:rsidR="004378DF" w:rsidRPr="00BE349B">
        <w:rPr>
          <w:vertAlign w:val="superscript"/>
        </w:rPr>
        <w:fldChar w:fldCharType="separate"/>
      </w:r>
      <w:r w:rsidR="00B84D36" w:rsidRPr="00BE349B">
        <w:rPr>
          <w:vertAlign w:val="superscript"/>
        </w:rPr>
        <w:t>1</w:t>
      </w:r>
      <w:r w:rsidR="004378DF" w:rsidRPr="00BE349B">
        <w:rPr>
          <w:vertAlign w:val="superscript"/>
        </w:rPr>
        <w:fldChar w:fldCharType="end"/>
      </w:r>
      <w:r w:rsidRPr="003F2E97">
        <w:t xml:space="preserve"> However, laser photocoagulation is generally not recommended for the treatment of macular oedema associated with CR</w:t>
      </w:r>
      <w:r w:rsidRPr="00FA6EB0">
        <w:t xml:space="preserve">VO, although scatter laser photocoagulation has been recommended for the treatment of patients with anterior segment </w:t>
      </w:r>
      <w:r w:rsidR="00ED3DEB">
        <w:t>neovascularisation</w:t>
      </w:r>
      <w:r w:rsidRPr="00FA6EB0">
        <w:t>.</w:t>
      </w:r>
      <w:r w:rsidRPr="00BE349B">
        <w:rPr>
          <w:vertAlign w:val="superscript"/>
        </w:rPr>
        <w:t>1</w:t>
      </w:r>
    </w:p>
    <w:p w:rsidR="00586F98" w:rsidRDefault="00586F98" w:rsidP="00BE349B">
      <w:pPr>
        <w:pStyle w:val="Heading2"/>
        <w:rPr>
          <w:lang w:eastAsia="en-AU"/>
        </w:rPr>
      </w:pPr>
      <w:bookmarkStart w:id="17" w:name="_Toc396651340"/>
      <w:r>
        <w:rPr>
          <w:lang w:eastAsia="en-AU"/>
        </w:rPr>
        <w:t xml:space="preserve">Contents of </w:t>
      </w:r>
      <w:r w:rsidRPr="00BE349B">
        <w:t>the</w:t>
      </w:r>
      <w:r>
        <w:rPr>
          <w:lang w:eastAsia="en-AU"/>
        </w:rPr>
        <w:t xml:space="preserve"> clinical dossier</w:t>
      </w:r>
      <w:bookmarkEnd w:id="9"/>
      <w:bookmarkEnd w:id="10"/>
      <w:bookmarkEnd w:id="17"/>
    </w:p>
    <w:p w:rsidR="00586F98" w:rsidRDefault="00586F98" w:rsidP="00BE349B">
      <w:pPr>
        <w:pStyle w:val="Heading3"/>
      </w:pPr>
      <w:bookmarkStart w:id="18" w:name="_Toc396651341"/>
      <w:r>
        <w:t xml:space="preserve">Scope of the </w:t>
      </w:r>
      <w:r w:rsidRPr="00BE349B">
        <w:t>clinical</w:t>
      </w:r>
      <w:r>
        <w:t xml:space="preserve"> dossier</w:t>
      </w:r>
      <w:bookmarkEnd w:id="18"/>
    </w:p>
    <w:p w:rsidR="000526AB" w:rsidRPr="000526AB" w:rsidRDefault="000526AB" w:rsidP="00BE349B">
      <w:pPr>
        <w:rPr>
          <w:lang w:eastAsia="ja-JP"/>
        </w:rPr>
      </w:pPr>
      <w:r w:rsidRPr="000526AB">
        <w:rPr>
          <w:lang w:eastAsia="ja-JP"/>
        </w:rPr>
        <w:t>The submission contained the following clinical information:</w:t>
      </w:r>
    </w:p>
    <w:p w:rsidR="000526AB" w:rsidRPr="006125E9" w:rsidRDefault="000526AB" w:rsidP="00BE349B">
      <w:pPr>
        <w:pStyle w:val="ListBullet"/>
      </w:pPr>
      <w:r w:rsidRPr="006125E9">
        <w:t>2 pivotal efficacy/safety studies: GALILEO</w:t>
      </w:r>
      <w:r w:rsidR="00300BDB" w:rsidRPr="006125E9">
        <w:t xml:space="preserve"> Week 2</w:t>
      </w:r>
      <w:r w:rsidRPr="006125E9">
        <w:t>4, 52, and 76 clin</w:t>
      </w:r>
      <w:r w:rsidR="00FA6EB0" w:rsidRPr="006125E9">
        <w:t>ical study reports; COPERNICUS</w:t>
      </w:r>
      <w:r w:rsidR="00300BDB" w:rsidRPr="006125E9">
        <w:t xml:space="preserve"> Week 2</w:t>
      </w:r>
      <w:r w:rsidRPr="006125E9">
        <w:t xml:space="preserve">4, 52, </w:t>
      </w:r>
      <w:r w:rsidR="006125E9">
        <w:t>and 100 clinical study reports.</w:t>
      </w:r>
    </w:p>
    <w:p w:rsidR="000526AB" w:rsidRPr="006125E9" w:rsidRDefault="000526AB" w:rsidP="00BE349B">
      <w:pPr>
        <w:pStyle w:val="ListBullet"/>
      </w:pPr>
      <w:r w:rsidRPr="006125E9">
        <w:lastRenderedPageBreak/>
        <w:t>Integrated Analysis - Statistical Analysis Plans (6</w:t>
      </w:r>
      <w:r w:rsidR="00FA6EB0" w:rsidRPr="006125E9">
        <w:t xml:space="preserve"> </w:t>
      </w:r>
      <w:r w:rsidRPr="006125E9">
        <w:t>months and 1</w:t>
      </w:r>
      <w:r w:rsidR="00FA6EB0" w:rsidRPr="006125E9">
        <w:t xml:space="preserve"> </w:t>
      </w:r>
      <w:r w:rsidRPr="006125E9">
        <w:t>years data); Supportive Integrated Analysis for Posology (1-year data); Justification Document for Adverse Drug Reactions; Detailed Definition of Adverse Events of Interest (AEIs) and Selected Sub-groups; Integrated Analysis (6</w:t>
      </w:r>
      <w:r w:rsidR="00FA6EB0" w:rsidRPr="006125E9">
        <w:t xml:space="preserve"> </w:t>
      </w:r>
      <w:r w:rsidRPr="006125E9">
        <w:t>months and 1</w:t>
      </w:r>
      <w:r w:rsidR="00FA6EB0" w:rsidRPr="006125E9">
        <w:t xml:space="preserve"> </w:t>
      </w:r>
      <w:r w:rsidRPr="006125E9">
        <w:t>year data); Supportive Integrated Analysis for Labelling; GALILEO AE Tables and Figures; COPE</w:t>
      </w:r>
      <w:r w:rsidR="006125E9">
        <w:t>RNICUS 0819 Tables and Figures.</w:t>
      </w:r>
    </w:p>
    <w:p w:rsidR="00586F98" w:rsidRPr="006125E9" w:rsidRDefault="000526AB" w:rsidP="006125E9">
      <w:pPr>
        <w:pStyle w:val="ListBullet"/>
      </w:pPr>
      <w:r w:rsidRPr="006125E9">
        <w:t>References</w:t>
      </w:r>
    </w:p>
    <w:p w:rsidR="00586F98" w:rsidRDefault="00586F98" w:rsidP="00BE349B">
      <w:pPr>
        <w:pStyle w:val="Heading3"/>
      </w:pPr>
      <w:bookmarkStart w:id="19" w:name="_Toc396651342"/>
      <w:r>
        <w:t>Paediatric data</w:t>
      </w:r>
      <w:bookmarkEnd w:id="19"/>
    </w:p>
    <w:p w:rsidR="00586F98" w:rsidRDefault="000526AB" w:rsidP="00BE349B">
      <w:pPr>
        <w:rPr>
          <w:lang w:eastAsia="ja-JP"/>
        </w:rPr>
      </w:pPr>
      <w:r w:rsidRPr="000526AB">
        <w:rPr>
          <w:lang w:eastAsia="ja-JP"/>
        </w:rPr>
        <w:t>There is no paediatric development program for Eylea for the treatment of macular oedema following CRVO. The sponsor obtained a waiver from the European Paediatric Committee on the grounds that the CRVO only occurs in adults (EMEA-000236-PIP03-11). The absence of paediatric data is considered to be acceptable.</w:t>
      </w:r>
    </w:p>
    <w:p w:rsidR="00586F98" w:rsidRDefault="00586F98" w:rsidP="00BE349B">
      <w:pPr>
        <w:pStyle w:val="Heading3"/>
      </w:pPr>
      <w:bookmarkStart w:id="20" w:name="_Toc396651343"/>
      <w:r>
        <w:t xml:space="preserve">Good clinical </w:t>
      </w:r>
      <w:r w:rsidRPr="00BE349B">
        <w:t>practice</w:t>
      </w:r>
      <w:bookmarkEnd w:id="20"/>
    </w:p>
    <w:p w:rsidR="00586F98" w:rsidRPr="00586F98" w:rsidRDefault="000526AB" w:rsidP="00A140CF">
      <w:pPr>
        <w:rPr>
          <w:lang w:eastAsia="ja-JP"/>
        </w:rPr>
      </w:pPr>
      <w:bookmarkStart w:id="21" w:name="_Toc241374282"/>
      <w:r w:rsidRPr="000526AB">
        <w:rPr>
          <w:lang w:eastAsia="ja-JP"/>
        </w:rPr>
        <w:t xml:space="preserve">The two pivotal efficacy and safety studies </w:t>
      </w:r>
      <w:bookmarkEnd w:id="21"/>
      <w:r w:rsidRPr="000526AB">
        <w:rPr>
          <w:lang w:eastAsia="ja-JP"/>
        </w:rPr>
        <w:t>were conducted in accordance with the Declaration of Helsinki and the International Conference on Harmonisation (ICH) guideline E6: Good Clinical Practice (GCP).</w:t>
      </w:r>
    </w:p>
    <w:p w:rsidR="00586F98" w:rsidRDefault="00586F98" w:rsidP="00BE349B">
      <w:pPr>
        <w:pStyle w:val="Heading2"/>
      </w:pPr>
      <w:bookmarkStart w:id="22" w:name="_Toc355338639"/>
      <w:bookmarkStart w:id="23" w:name="_Toc396651344"/>
      <w:r>
        <w:t>Pharmacokinetics</w:t>
      </w:r>
      <w:bookmarkEnd w:id="22"/>
      <w:bookmarkEnd w:id="23"/>
    </w:p>
    <w:p w:rsidR="000526AB" w:rsidRDefault="000526AB" w:rsidP="00BE349B">
      <w:pPr>
        <w:pStyle w:val="Heading3"/>
      </w:pPr>
      <w:bookmarkStart w:id="24" w:name="_Ref271017296"/>
      <w:bookmarkStart w:id="25" w:name="_Ref271018924"/>
      <w:bookmarkStart w:id="26" w:name="_Ref271018934"/>
      <w:bookmarkStart w:id="27" w:name="_Toc272414614"/>
      <w:bookmarkStart w:id="28" w:name="_Toc290846238"/>
      <w:bookmarkStart w:id="29" w:name="_Toc221697247"/>
      <w:bookmarkStart w:id="30" w:name="_Toc396651345"/>
      <w:r>
        <w:t>Studies</w:t>
      </w:r>
      <w:bookmarkEnd w:id="24"/>
      <w:bookmarkEnd w:id="25"/>
      <w:bookmarkEnd w:id="26"/>
      <w:r>
        <w:t xml:space="preserve"> providing </w:t>
      </w:r>
      <w:r w:rsidRPr="00BE349B">
        <w:t>pharmacokinetic</w:t>
      </w:r>
      <w:r>
        <w:t xml:space="preserve"> data</w:t>
      </w:r>
      <w:bookmarkEnd w:id="27"/>
      <w:bookmarkEnd w:id="28"/>
      <w:bookmarkEnd w:id="29"/>
      <w:bookmarkEnd w:id="30"/>
    </w:p>
    <w:p w:rsidR="000526AB" w:rsidRDefault="000526AB" w:rsidP="00A140CF">
      <w:r>
        <w:t xml:space="preserve">PK data were submitted for subjects with CRVO from the Phase </w:t>
      </w:r>
      <w:r w:rsidR="00B82C73">
        <w:t>III</w:t>
      </w:r>
      <w:r>
        <w:t xml:space="preserve"> study GALILEO. In addition, the Summary of Clinical Pharmacology included a </w:t>
      </w:r>
      <w:r w:rsidRPr="00DF70E9">
        <w:rPr>
          <w:i/>
        </w:rPr>
        <w:t>post-hoc</w:t>
      </w:r>
      <w:r>
        <w:t xml:space="preserve"> comparison of PK data in subjects with </w:t>
      </w:r>
      <w:r w:rsidR="00A140CF">
        <w:t>CRVO and subjects with wet-AMD.</w:t>
      </w:r>
    </w:p>
    <w:p w:rsidR="000526AB" w:rsidRDefault="000526AB" w:rsidP="00BE349B">
      <w:pPr>
        <w:pStyle w:val="Heading3"/>
      </w:pPr>
      <w:bookmarkStart w:id="31" w:name="_Toc221697248"/>
      <w:bookmarkStart w:id="32" w:name="_Toc396651346"/>
      <w:r>
        <w:t xml:space="preserve">GALILEO – </w:t>
      </w:r>
      <w:r w:rsidR="00A140CF" w:rsidRPr="00BE349B">
        <w:t>p</w:t>
      </w:r>
      <w:r w:rsidRPr="00BE349B">
        <w:t>harmacokinetics</w:t>
      </w:r>
      <w:bookmarkEnd w:id="31"/>
      <w:bookmarkEnd w:id="32"/>
    </w:p>
    <w:p w:rsidR="000526AB" w:rsidRDefault="000526AB" w:rsidP="00A140CF">
      <w:pPr>
        <w:pStyle w:val="Heading4"/>
      </w:pPr>
      <w:bookmarkStart w:id="33" w:name="_Toc221697249"/>
      <w:r>
        <w:t>Overview</w:t>
      </w:r>
      <w:bookmarkEnd w:id="33"/>
    </w:p>
    <w:p w:rsidR="000526AB" w:rsidRPr="00EF4443" w:rsidRDefault="000526AB" w:rsidP="00A140CF">
      <w:pPr>
        <w:rPr>
          <w:szCs w:val="24"/>
        </w:rPr>
      </w:pPr>
      <w:r w:rsidRPr="00EF4443">
        <w:t xml:space="preserve">The PK assessment in GALILEO was divided into two parts: a mandatory part with assessment of systemic trough concentrations and a PK sub-study. </w:t>
      </w:r>
      <w:r w:rsidRPr="00EF4443">
        <w:rPr>
          <w:szCs w:val="24"/>
        </w:rPr>
        <w:t xml:space="preserve">PK data were available from the VEGF Trap-Eye (VTE) group in which subjects were treated with VTE 2 mg every 4 weeks by intravitreal (IVT) injection (VTE2Q4) from </w:t>
      </w:r>
      <w:r w:rsidR="00745C7F">
        <w:rPr>
          <w:szCs w:val="24"/>
        </w:rPr>
        <w:t>W</w:t>
      </w:r>
      <w:r w:rsidRPr="00EF4443">
        <w:rPr>
          <w:szCs w:val="24"/>
        </w:rPr>
        <w:t>eek 0 to</w:t>
      </w:r>
      <w:r w:rsidR="00300BDB">
        <w:rPr>
          <w:szCs w:val="24"/>
        </w:rPr>
        <w:t xml:space="preserve"> Week 2</w:t>
      </w:r>
      <w:r w:rsidRPr="00EF4443">
        <w:rPr>
          <w:szCs w:val="24"/>
        </w:rPr>
        <w:t>0 and then with VTE 2 mg on</w:t>
      </w:r>
      <w:r w:rsidR="00745C7F">
        <w:rPr>
          <w:szCs w:val="24"/>
        </w:rPr>
        <w:t xml:space="preserve"> an as needed basis (PRN) from</w:t>
      </w:r>
      <w:r w:rsidR="00300BDB">
        <w:rPr>
          <w:szCs w:val="24"/>
        </w:rPr>
        <w:t xml:space="preserve"> Week 2</w:t>
      </w:r>
      <w:r w:rsidRPr="00EF4443">
        <w:rPr>
          <w:szCs w:val="24"/>
        </w:rPr>
        <w:t>4 through to</w:t>
      </w:r>
      <w:r w:rsidR="00300BDB">
        <w:rPr>
          <w:szCs w:val="24"/>
        </w:rPr>
        <w:t xml:space="preserve"> Week 7</w:t>
      </w:r>
      <w:r w:rsidRPr="00EF4443">
        <w:rPr>
          <w:szCs w:val="24"/>
        </w:rPr>
        <w:t>6. No PK samples were collected after</w:t>
      </w:r>
      <w:r w:rsidR="00300BDB">
        <w:rPr>
          <w:szCs w:val="24"/>
        </w:rPr>
        <w:t xml:space="preserve"> Week 5</w:t>
      </w:r>
      <w:r w:rsidR="00A140CF">
        <w:rPr>
          <w:szCs w:val="24"/>
        </w:rPr>
        <w:t>2.</w:t>
      </w:r>
    </w:p>
    <w:p w:rsidR="000526AB" w:rsidRPr="00EF4443" w:rsidRDefault="000526AB" w:rsidP="00BE349B">
      <w:pPr>
        <w:rPr>
          <w:szCs w:val="20"/>
        </w:rPr>
      </w:pPr>
      <w:r w:rsidRPr="00EF4443">
        <w:t xml:space="preserve">Free VEGF Trap and bound VEGF Trap plasma concentrations were measured using validated enzyme-linked immunosorbent assay (ELISA) methods. The assay for bound VEGF Trap </w:t>
      </w:r>
      <w:r>
        <w:t>was</w:t>
      </w:r>
      <w:r w:rsidRPr="00EF4443">
        <w:t xml:space="preserve"> calibrated usin</w:t>
      </w:r>
      <w:r>
        <w:t>g VEGF:</w:t>
      </w:r>
      <w:r w:rsidRPr="00EF4443">
        <w:t xml:space="preserve">VEGF Trap complex standards. The results for bound VEGF Trap </w:t>
      </w:r>
      <w:r>
        <w:t xml:space="preserve">were </w:t>
      </w:r>
      <w:r w:rsidRPr="00EF4443">
        <w:t xml:space="preserve">reported as weight per volume (mg/L) of the complex (VEGF:VEGF Trap). </w:t>
      </w:r>
      <w:r>
        <w:t xml:space="preserve">One (1) ng of the VEGF:VEGF complex </w:t>
      </w:r>
      <w:r w:rsidRPr="00C060E9">
        <w:t xml:space="preserve">equals 0.717 </w:t>
      </w:r>
      <w:r>
        <w:t xml:space="preserve">ng VEGF Trap and 0.283 ng VEGF. Consequently, </w:t>
      </w:r>
      <w:r w:rsidRPr="00C060E9">
        <w:t>t</w:t>
      </w:r>
      <w:r>
        <w:t xml:space="preserve">he concentration of the complex </w:t>
      </w:r>
      <w:r w:rsidRPr="00C060E9">
        <w:t>was multiplied by 0.717 to give an adjusted bound VEGF Trap concentration.</w:t>
      </w:r>
      <w:r>
        <w:t xml:space="preserve"> </w:t>
      </w:r>
      <w:r w:rsidRPr="00EF4443">
        <w:t>The lower limit of quantitation (LLOQ) for the free and adjusted bound assays was 0.0156 mg/L</w:t>
      </w:r>
      <w:r w:rsidR="00A140CF">
        <w:t xml:space="preserve"> and 0.0315 mg/L, respectively.</w:t>
      </w:r>
    </w:p>
    <w:p w:rsidR="000526AB" w:rsidRDefault="000526AB" w:rsidP="00BE349B">
      <w:pPr>
        <w:pStyle w:val="Heading4"/>
      </w:pPr>
      <w:bookmarkStart w:id="34" w:name="_Toc221697250"/>
      <w:r>
        <w:t>Mandatory PK assessment of trough concentrations</w:t>
      </w:r>
      <w:bookmarkEnd w:id="34"/>
    </w:p>
    <w:p w:rsidR="000526AB" w:rsidRDefault="000526AB" w:rsidP="00BE349B">
      <w:pPr>
        <w:rPr>
          <w:szCs w:val="24"/>
        </w:rPr>
      </w:pPr>
      <w:r>
        <w:t>M</w:t>
      </w:r>
      <w:r w:rsidRPr="008A7170">
        <w:t>andatory PK assessment</w:t>
      </w:r>
      <w:r w:rsidRPr="008A7170">
        <w:rPr>
          <w:b/>
        </w:rPr>
        <w:t xml:space="preserve"> </w:t>
      </w:r>
      <w:r w:rsidRPr="008A7170">
        <w:t>(sparse sampling schedule) of sys</w:t>
      </w:r>
      <w:r>
        <w:t xml:space="preserve">temic trough concentrations of </w:t>
      </w:r>
      <w:r w:rsidRPr="008A7170">
        <w:t>free and bou</w:t>
      </w:r>
      <w:r>
        <w:t>nd VEGF Trap were</w:t>
      </w:r>
      <w:r w:rsidRPr="008A7170">
        <w:t xml:space="preserve"> </w:t>
      </w:r>
      <w:r>
        <w:t xml:space="preserve">calculated from samples collected </w:t>
      </w:r>
      <w:r w:rsidRPr="008A7170">
        <w:rPr>
          <w:szCs w:val="24"/>
        </w:rPr>
        <w:t xml:space="preserve">from all </w:t>
      </w:r>
      <w:r>
        <w:rPr>
          <w:szCs w:val="24"/>
        </w:rPr>
        <w:t xml:space="preserve">subjects </w:t>
      </w:r>
      <w:r w:rsidRPr="008A7170">
        <w:rPr>
          <w:szCs w:val="24"/>
        </w:rPr>
        <w:t xml:space="preserve">in the per protocol set </w:t>
      </w:r>
      <w:r>
        <w:rPr>
          <w:szCs w:val="24"/>
        </w:rPr>
        <w:t>(</w:t>
      </w:r>
      <w:r w:rsidRPr="008A7170">
        <w:rPr>
          <w:szCs w:val="24"/>
        </w:rPr>
        <w:t>PPS</w:t>
      </w:r>
      <w:r>
        <w:rPr>
          <w:szCs w:val="24"/>
        </w:rPr>
        <w:t xml:space="preserve">) </w:t>
      </w:r>
      <w:r w:rsidR="00745C7F">
        <w:rPr>
          <w:szCs w:val="24"/>
        </w:rPr>
        <w:t>W</w:t>
      </w:r>
      <w:r>
        <w:rPr>
          <w:szCs w:val="24"/>
        </w:rPr>
        <w:t>eeks</w:t>
      </w:r>
      <w:r w:rsidRPr="008A7170">
        <w:rPr>
          <w:szCs w:val="24"/>
        </w:rPr>
        <w:t xml:space="preserve"> 0</w:t>
      </w:r>
      <w:r w:rsidR="00A140CF">
        <w:rPr>
          <w:szCs w:val="24"/>
        </w:rPr>
        <w:t xml:space="preserve"> (baseline), 12, 24, 36 and 52.</w:t>
      </w:r>
    </w:p>
    <w:p w:rsidR="000526AB" w:rsidRPr="00A140CF" w:rsidRDefault="000526AB" w:rsidP="00A140CF">
      <w:r w:rsidRPr="00961438">
        <w:rPr>
          <w:b/>
        </w:rPr>
        <w:lastRenderedPageBreak/>
        <w:t>Free VEGF Trap trough plasma concentrations</w:t>
      </w:r>
      <w:r>
        <w:t xml:space="preserve"> at </w:t>
      </w:r>
      <w:r w:rsidR="00745C7F">
        <w:t>W</w:t>
      </w:r>
      <w:r>
        <w:t xml:space="preserve">eeks 12, 24, 36 and 52 were below the LLOQ </w:t>
      </w:r>
      <w:r w:rsidRPr="008A7170">
        <w:t>for the assay</w:t>
      </w:r>
      <w:r>
        <w:t xml:space="preserve"> </w:t>
      </w:r>
      <w:r w:rsidRPr="008A7170">
        <w:t>for a</w:t>
      </w:r>
      <w:r>
        <w:t xml:space="preserve">ll subjects. </w:t>
      </w:r>
      <w:r w:rsidRPr="008A7170">
        <w:t xml:space="preserve">Therefore, a planned exploratory sub-group analysis investigating </w:t>
      </w:r>
      <w:r>
        <w:t xml:space="preserve">the effects of </w:t>
      </w:r>
      <w:r w:rsidRPr="008A7170">
        <w:t xml:space="preserve">possible covariates </w:t>
      </w:r>
      <w:r>
        <w:t>on</w:t>
      </w:r>
      <w:r w:rsidRPr="008A7170">
        <w:t xml:space="preserve"> the </w:t>
      </w:r>
      <w:r>
        <w:t xml:space="preserve">PKs </w:t>
      </w:r>
      <w:r w:rsidRPr="008A7170">
        <w:t xml:space="preserve">of free VEGF Trap </w:t>
      </w:r>
      <w:r w:rsidR="00A140CF">
        <w:t>could not be undertaken.</w:t>
      </w:r>
    </w:p>
    <w:p w:rsidR="000526AB" w:rsidRPr="008B44B1" w:rsidRDefault="000526AB" w:rsidP="00BE349B">
      <w:pPr>
        <w:rPr>
          <w:b/>
          <w:i/>
        </w:rPr>
      </w:pPr>
      <w:r w:rsidRPr="00961438">
        <w:rPr>
          <w:b/>
        </w:rPr>
        <w:t>Adjusted bound VEGF Trap mean (SD) trough plasma concentrations</w:t>
      </w:r>
      <w:r w:rsidRPr="00730190">
        <w:t xml:space="preserve"> were </w:t>
      </w:r>
      <w:r>
        <w:t xml:space="preserve">0.70 (6.37) </w:t>
      </w:r>
      <w:r w:rsidR="00745C7F">
        <w:t>µg/L at W</w:t>
      </w:r>
      <w:r w:rsidRPr="00730190">
        <w:t>eek 0 (</w:t>
      </w:r>
      <w:r>
        <w:t xml:space="preserve">baseline/pre-dose) </w:t>
      </w:r>
      <w:r w:rsidR="00745C7F">
        <w:t>and 102 (48.7) µg/mL at</w:t>
      </w:r>
      <w:r w:rsidR="00300BDB">
        <w:t xml:space="preserve"> Week 1</w:t>
      </w:r>
      <w:r w:rsidRPr="00730190">
        <w:t>2. For the first time point (Week 0</w:t>
      </w:r>
      <w:r>
        <w:t>)</w:t>
      </w:r>
      <w:r w:rsidRPr="00730190">
        <w:t xml:space="preserve">, one individual plasma sample </w:t>
      </w:r>
      <w:r>
        <w:t xml:space="preserve">from one subject </w:t>
      </w:r>
      <w:r w:rsidRPr="00730190">
        <w:t>had an adjusted bound VEGF Trap concentra</w:t>
      </w:r>
      <w:r>
        <w:t xml:space="preserve">tion above the LLOQ. This value was </w:t>
      </w:r>
      <w:r w:rsidRPr="00730190">
        <w:t xml:space="preserve">implausible as it was measured prior to the first injection of </w:t>
      </w:r>
      <w:r>
        <w:t>VTE</w:t>
      </w:r>
      <w:r w:rsidRPr="00730190">
        <w:t>. After</w:t>
      </w:r>
      <w:r w:rsidR="00300BDB">
        <w:t xml:space="preserve"> Week 1</w:t>
      </w:r>
      <w:r w:rsidRPr="00730190">
        <w:t xml:space="preserve">2, </w:t>
      </w:r>
      <w:r>
        <w:t xml:space="preserve">adjusted bound VEGF Trap </w:t>
      </w:r>
      <w:r w:rsidRPr="00730190">
        <w:t>mean (</w:t>
      </w:r>
      <w:r w:rsidR="00745C7F">
        <w:t>standard deviation (</w:t>
      </w:r>
      <w:r w:rsidRPr="00730190">
        <w:t>SD</w:t>
      </w:r>
      <w:r w:rsidR="00745C7F">
        <w:t>)</w:t>
      </w:r>
      <w:r w:rsidRPr="00730190">
        <w:t xml:space="preserve">) </w:t>
      </w:r>
      <w:r>
        <w:t xml:space="preserve">trough plasma </w:t>
      </w:r>
      <w:r w:rsidRPr="00730190">
        <w:t>concentrati</w:t>
      </w:r>
      <w:r>
        <w:t>ons increased only slightly to</w:t>
      </w:r>
      <w:r w:rsidR="00300BDB">
        <w:t xml:space="preserve"> Week 2</w:t>
      </w:r>
      <w:r w:rsidRPr="00730190">
        <w:t>4 (</w:t>
      </w:r>
      <w:r>
        <w:t xml:space="preserve">118 [71.2] </w:t>
      </w:r>
      <w:r w:rsidR="00745C7F">
        <w:t>µ</w:t>
      </w:r>
      <w:r w:rsidRPr="00730190">
        <w:t>g/L</w:t>
      </w:r>
      <w:r>
        <w:t xml:space="preserve">) </w:t>
      </w:r>
      <w:r w:rsidRPr="00730190">
        <w:t xml:space="preserve">after which </w:t>
      </w:r>
      <w:r>
        <w:t xml:space="preserve">mean (SD) </w:t>
      </w:r>
      <w:r w:rsidRPr="00730190">
        <w:t xml:space="preserve">concentrations decreased to </w:t>
      </w:r>
      <w:r w:rsidR="00745C7F">
        <w:t>W</w:t>
      </w:r>
      <w:r w:rsidRPr="00730190">
        <w:t>ee</w:t>
      </w:r>
      <w:r>
        <w:t xml:space="preserve">k 36 (49.6 [53.6] </w:t>
      </w:r>
      <w:r w:rsidR="00745C7F">
        <w:t>µ</w:t>
      </w:r>
      <w:r>
        <w:t>g/L</w:t>
      </w:r>
      <w:r w:rsidRPr="00730190">
        <w:t>) and</w:t>
      </w:r>
      <w:r w:rsidR="00300BDB">
        <w:t xml:space="preserve"> Week 5</w:t>
      </w:r>
      <w:r>
        <w:t xml:space="preserve">2 (69.8 [62.0] </w:t>
      </w:r>
      <w:r w:rsidR="00745C7F">
        <w:t>µ</w:t>
      </w:r>
      <w:r>
        <w:t>g/L</w:t>
      </w:r>
      <w:r w:rsidRPr="00730190">
        <w:t xml:space="preserve">). The results are </w:t>
      </w:r>
      <w:r w:rsidR="00301349">
        <w:t>summarised</w:t>
      </w:r>
      <w:r w:rsidRPr="00730190">
        <w:t xml:space="preserve"> below in Table </w:t>
      </w:r>
      <w:r w:rsidR="00745C7F">
        <w:t>1</w:t>
      </w:r>
      <w:r w:rsidR="00A140CF">
        <w:t>.</w:t>
      </w:r>
    </w:p>
    <w:p w:rsidR="000526AB" w:rsidRDefault="000526AB" w:rsidP="00BE349B">
      <w:pPr>
        <w:pStyle w:val="TableTitle"/>
      </w:pPr>
      <w:bookmarkStart w:id="35" w:name="_Toc221767054"/>
      <w:r>
        <w:t>Table</w:t>
      </w:r>
      <w:r w:rsidR="00745C7F">
        <w:t xml:space="preserve"> 1</w:t>
      </w:r>
      <w:r>
        <w:t xml:space="preserve">: </w:t>
      </w:r>
      <w:r w:rsidRPr="00730190">
        <w:t xml:space="preserve">Concentration-time data for adjusted </w:t>
      </w:r>
      <w:r w:rsidRPr="00BE349B">
        <w:t>bound</w:t>
      </w:r>
      <w:r w:rsidRPr="00730190">
        <w:t xml:space="preserve"> VEGF trap (</w:t>
      </w:r>
      <w:r w:rsidR="00745C7F">
        <w:t>µ</w:t>
      </w:r>
      <w:r>
        <w:t>g/L</w:t>
      </w:r>
      <w:r w:rsidRPr="00730190">
        <w:t xml:space="preserve">); mandatory </w:t>
      </w:r>
      <w:r w:rsidR="00745C7F">
        <w:t>PK</w:t>
      </w:r>
      <w:r w:rsidRPr="00730190">
        <w:t xml:space="preserve"> assessment of trough concentrations.</w:t>
      </w:r>
      <w:bookmarkEnd w:id="35"/>
    </w:p>
    <w:p w:rsidR="000526AB" w:rsidRDefault="000526AB" w:rsidP="00A140CF">
      <w:r>
        <w:rPr>
          <w:noProof/>
          <w:lang w:eastAsia="en-AU"/>
        </w:rPr>
        <w:drawing>
          <wp:inline distT="0" distB="0" distL="0" distR="0" wp14:anchorId="03BE3FDF" wp14:editId="34A4EEAE">
            <wp:extent cx="3840480" cy="822960"/>
            <wp:effectExtent l="19050" t="0" r="7620" b="0"/>
            <wp:docPr id="34" name="Picture 2" descr="Table 1: Concentration-time data for adjusted bound VEGF trap (µg/L); mandatory PK assessment of trough concen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840480" cy="822960"/>
                    </a:xfrm>
                    <a:prstGeom prst="rect">
                      <a:avLst/>
                    </a:prstGeom>
                    <a:noFill/>
                    <a:ln w="9525">
                      <a:noFill/>
                      <a:miter lim="800000"/>
                      <a:headEnd/>
                      <a:tailEnd/>
                    </a:ln>
                  </pic:spPr>
                </pic:pic>
              </a:graphicData>
            </a:graphic>
          </wp:inline>
        </w:drawing>
      </w:r>
    </w:p>
    <w:p w:rsidR="000526AB" w:rsidRPr="008B44B1" w:rsidRDefault="000526AB" w:rsidP="009D57EF">
      <w:pPr>
        <w:pStyle w:val="TableDescription"/>
      </w:pPr>
      <w:r w:rsidRPr="008B44B1">
        <w:t xml:space="preserve">a: </w:t>
      </w:r>
      <w:r w:rsidR="00884BCD">
        <w:t>[information redacted]</w:t>
      </w:r>
      <w:r w:rsidRPr="008B44B1">
        <w:t xml:space="preserve"> was previously included in this group in error. Blood samples for this subject were not collected at Visit 1 (</w:t>
      </w:r>
      <w:r w:rsidR="00884BCD">
        <w:t>that is,</w:t>
      </w:r>
      <w:r w:rsidRPr="008B44B1">
        <w:t xml:space="preserve"> Week 0, pre-dose) as scheduled but were taken 4 weeks later at Visit 3. However, as Visit 3 was not a planned sampling time in the mandatory PK assessment, results from this time point (Visit 3) are </w:t>
      </w:r>
      <w:r w:rsidR="001B02F8">
        <w:t>not included in the assessment.</w:t>
      </w:r>
    </w:p>
    <w:p w:rsidR="000526AB" w:rsidRDefault="000526AB" w:rsidP="009D57EF">
      <w:pPr>
        <w:pStyle w:val="TableDescription"/>
      </w:pPr>
      <w:r w:rsidRPr="008B44B1">
        <w:t xml:space="preserve">b: For the first time point (Week 0, pre-dose), one individual plasma sample </w:t>
      </w:r>
      <w:r w:rsidR="00884BCD">
        <w:t>[information redacted]</w:t>
      </w:r>
      <w:r w:rsidRPr="008B44B1">
        <w:t xml:space="preserve"> had an adjusted bound VEGF Trap concentration above the LLOQ. This value for adjusted bound VEGF Trap concentrations is implausible as it was measured prior to the first injection of VEGF Trap-Eye. Therefore, results from this time po</w:t>
      </w:r>
      <w:r w:rsidR="001B02F8">
        <w:t>int are not considered further.</w:t>
      </w:r>
    </w:p>
    <w:p w:rsidR="000526AB" w:rsidRPr="002809A8" w:rsidRDefault="000526AB" w:rsidP="00A140CF">
      <w:r w:rsidRPr="002809A8">
        <w:t xml:space="preserve">The results </w:t>
      </w:r>
      <w:r>
        <w:t xml:space="preserve">for </w:t>
      </w:r>
      <w:r w:rsidRPr="002809A8">
        <w:t xml:space="preserve">the </w:t>
      </w:r>
      <w:r w:rsidRPr="00961438">
        <w:rPr>
          <w:b/>
        </w:rPr>
        <w:t>adjusted bound VEGF Trap</w:t>
      </w:r>
      <w:r w:rsidRPr="002809A8">
        <w:t xml:space="preserve"> exploratory </w:t>
      </w:r>
      <w:r>
        <w:t xml:space="preserve">sub-group analysis </w:t>
      </w:r>
      <w:r w:rsidRPr="002809A8">
        <w:t xml:space="preserve">of </w:t>
      </w:r>
      <w:r>
        <w:t>trough</w:t>
      </w:r>
      <w:r w:rsidRPr="002809A8">
        <w:t xml:space="preserve"> concentrations </w:t>
      </w:r>
      <w:r>
        <w:t>in the PPS</w:t>
      </w:r>
      <w:r w:rsidR="00884BCD">
        <w:t xml:space="preserve"> at W</w:t>
      </w:r>
      <w:r w:rsidRPr="002809A8">
        <w:t>eeks 12, 24, 36, and 52 fo</w:t>
      </w:r>
      <w:r>
        <w:t xml:space="preserve">r age, sex, </w:t>
      </w:r>
      <w:r w:rsidR="00884BCD">
        <w:t>body mass index (</w:t>
      </w:r>
      <w:r>
        <w:t>BMI</w:t>
      </w:r>
      <w:r w:rsidR="00884BCD">
        <w:t>)</w:t>
      </w:r>
      <w:r>
        <w:t>, renal function</w:t>
      </w:r>
      <w:r w:rsidRPr="002809A8">
        <w:t>, hepatic im</w:t>
      </w:r>
      <w:r>
        <w:t xml:space="preserve">pairment, and geographic region </w:t>
      </w:r>
      <w:r w:rsidR="00884BCD">
        <w:t>were summarised in a table</w:t>
      </w:r>
      <w:r w:rsidRPr="002809A8">
        <w:t xml:space="preserve">. </w:t>
      </w:r>
      <w:r>
        <w:t>The analysis is considered to be exploratory</w:t>
      </w:r>
      <w:r w:rsidRPr="002809A8">
        <w:t xml:space="preserve"> because of the small numbers of subjects in some sub-groups and the relative imbalance in subject </w:t>
      </w:r>
      <w:r>
        <w:t>n</w:t>
      </w:r>
      <w:r w:rsidRPr="002809A8">
        <w:t xml:space="preserve">umbers between </w:t>
      </w:r>
      <w:r>
        <w:t xml:space="preserve">some </w:t>
      </w:r>
      <w:r w:rsidRPr="002809A8">
        <w:t>sub-groups</w:t>
      </w:r>
      <w:r>
        <w:t xml:space="preserve">. </w:t>
      </w:r>
      <w:r w:rsidR="00884BCD">
        <w:t>The results are summaris</w:t>
      </w:r>
      <w:r w:rsidRPr="002809A8">
        <w:t>ed below:</w:t>
      </w:r>
    </w:p>
    <w:p w:rsidR="000526AB" w:rsidRPr="001B02F8" w:rsidRDefault="000526AB" w:rsidP="009D57EF">
      <w:pPr>
        <w:pStyle w:val="ListBullet"/>
      </w:pPr>
      <w:r w:rsidRPr="001B02F8">
        <w:t xml:space="preserve">Higher bound VEGF Trap trough plasma concentrations were observed in the 65 to </w:t>
      </w:r>
      <w:r w:rsidRPr="001B02F8">
        <w:sym w:font="Symbol" w:char="F03C"/>
      </w:r>
      <w:r w:rsidRPr="001B02F8">
        <w:t xml:space="preserve"> 75 years age group compared with the </w:t>
      </w:r>
      <w:r w:rsidRPr="001B02F8">
        <w:sym w:font="Symbol" w:char="F03C"/>
      </w:r>
      <w:r w:rsidRPr="001B02F8">
        <w:t xml:space="preserve"> 65 years age group at all time points. The number of subjects in the </w:t>
      </w:r>
      <w:r w:rsidR="00884BCD" w:rsidRPr="001B02F8">
        <w:t>≥</w:t>
      </w:r>
      <w:r w:rsidRPr="001B02F8">
        <w:t xml:space="preserve"> 75 </w:t>
      </w:r>
      <w:r w:rsidRPr="009D57EF">
        <w:t>year</w:t>
      </w:r>
      <w:r w:rsidRPr="001B02F8">
        <w:t xml:space="preserve"> age group </w:t>
      </w:r>
      <w:r w:rsidR="00884BCD" w:rsidRPr="001B02F8">
        <w:t>wa</w:t>
      </w:r>
      <w:r w:rsidRPr="001B02F8">
        <w:t>s too small to meaningfully compare the data in this age group w</w:t>
      </w:r>
      <w:r w:rsidR="001B02F8">
        <w:t>ith the two younger age groups.</w:t>
      </w:r>
    </w:p>
    <w:p w:rsidR="000526AB" w:rsidRPr="001B02F8" w:rsidRDefault="000526AB" w:rsidP="009D57EF">
      <w:pPr>
        <w:pStyle w:val="ListBullet"/>
      </w:pPr>
      <w:r w:rsidRPr="001B02F8">
        <w:t>Adjusted bound VEGF Trap trough plasma concentration w</w:t>
      </w:r>
      <w:r w:rsidR="00884BCD" w:rsidRPr="001B02F8">
        <w:t>as</w:t>
      </w:r>
      <w:r w:rsidRPr="001B02F8">
        <w:t xml:space="preserve"> higher in females than in males at all time points, although the ranges in both sexes were wide </w:t>
      </w:r>
      <w:r w:rsidRPr="009D57EF">
        <w:t>and</w:t>
      </w:r>
      <w:r w:rsidRPr="001B02F8">
        <w:t xml:space="preserve"> overlapping. For both females and males, trough plasma concentrations at </w:t>
      </w:r>
      <w:r w:rsidR="00884BCD" w:rsidRPr="001B02F8">
        <w:t>W</w:t>
      </w:r>
      <w:r w:rsidRPr="001B02F8">
        <w:t xml:space="preserve">eeks 36 and 52 tended to be lower than at </w:t>
      </w:r>
      <w:r w:rsidR="00884BCD" w:rsidRPr="001B02F8">
        <w:t>W</w:t>
      </w:r>
      <w:r w:rsidRPr="001B02F8">
        <w:t xml:space="preserve">eeks </w:t>
      </w:r>
      <w:r w:rsidR="001B02F8">
        <w:t>12 and 24.</w:t>
      </w:r>
    </w:p>
    <w:p w:rsidR="000526AB" w:rsidRPr="001B02F8" w:rsidRDefault="000526AB" w:rsidP="001B02F8">
      <w:pPr>
        <w:pStyle w:val="ListBullet"/>
      </w:pPr>
      <w:r w:rsidRPr="001B02F8">
        <w:t xml:space="preserve">Adjusted bound VEGF Trap trough plasma concentrations at </w:t>
      </w:r>
      <w:r w:rsidR="00884BCD" w:rsidRPr="001B02F8">
        <w:t>W</w:t>
      </w:r>
      <w:r w:rsidRPr="001B02F8">
        <w:t xml:space="preserve">eeks 12 and 24 were higher in subjects with mild renal impairment compared with subjects with normal renal function, while the difference between the two sub-groups at </w:t>
      </w:r>
      <w:r w:rsidR="00884BCD" w:rsidRPr="001B02F8">
        <w:t>W</w:t>
      </w:r>
      <w:r w:rsidRPr="001B02F8">
        <w:t>eeks 36 and 52 were relatively small. The number of subjects with moderate or severe renal impairment w</w:t>
      </w:r>
      <w:r w:rsidR="00884BCD" w:rsidRPr="001B02F8">
        <w:t>as</w:t>
      </w:r>
      <w:r w:rsidRPr="001B02F8">
        <w:t xml:space="preserve"> too small to meaningfully compare the PK data in these two sub-groups with the PK data from the normal renal function or mild renal impairment sub-group</w:t>
      </w:r>
      <w:r w:rsidR="001B02F8">
        <w:t>s.</w:t>
      </w:r>
    </w:p>
    <w:p w:rsidR="000526AB" w:rsidRPr="001B02F8" w:rsidRDefault="000526AB" w:rsidP="001B02F8">
      <w:pPr>
        <w:pStyle w:val="ListBullet"/>
      </w:pPr>
      <w:r w:rsidRPr="001B02F8">
        <w:t xml:space="preserve">There was no clear trend in adjusted bound VEGF Trap trough plasma concentrations with increasing BMI. The number of subjects with hepatic impairment was too small to meaningfully compare adjusted VEGF Trap trough plasma concentrations in this sub-group </w:t>
      </w:r>
      <w:r w:rsidRPr="001B02F8">
        <w:lastRenderedPageBreak/>
        <w:t xml:space="preserve">with subjects with no hepatic impairment. There was no consistent difference in adjusted bound VEGF trap trough plasma concentrations at </w:t>
      </w:r>
      <w:r w:rsidR="00884BCD" w:rsidRPr="001B02F8">
        <w:t>W</w:t>
      </w:r>
      <w:r w:rsidRPr="001B02F8">
        <w:t xml:space="preserve">eeks 24, 36 and 52 among the three geographical regions (Asia/Pacific; Europe; Japan). In each of the three regions, trough plasma concentrations </w:t>
      </w:r>
      <w:r w:rsidR="00884BCD" w:rsidRPr="001B02F8">
        <w:t>at W</w:t>
      </w:r>
      <w:r w:rsidRPr="001B02F8">
        <w:t>eek 36 and/or</w:t>
      </w:r>
      <w:r w:rsidR="00300BDB" w:rsidRPr="001B02F8">
        <w:t xml:space="preserve"> Week 5</w:t>
      </w:r>
      <w:r w:rsidRPr="001B02F8">
        <w:t xml:space="preserve">2 were lower than at </w:t>
      </w:r>
      <w:r w:rsidR="00884BCD" w:rsidRPr="001B02F8">
        <w:t>W</w:t>
      </w:r>
      <w:r w:rsidRPr="001B02F8">
        <w:t>eeks</w:t>
      </w:r>
      <w:r w:rsidR="001B02F8">
        <w:t xml:space="preserve"> 12 and 24.</w:t>
      </w:r>
    </w:p>
    <w:p w:rsidR="000526AB" w:rsidRPr="00730190" w:rsidRDefault="000526AB" w:rsidP="009D57EF">
      <w:pPr>
        <w:pStyle w:val="Heading4"/>
      </w:pPr>
      <w:bookmarkStart w:id="36" w:name="_Toc221697251"/>
      <w:r>
        <w:t>Exploratory sub-</w:t>
      </w:r>
      <w:r w:rsidRPr="009D57EF">
        <w:t>group</w:t>
      </w:r>
      <w:r>
        <w:t xml:space="preserve"> PK analysis</w:t>
      </w:r>
      <w:bookmarkEnd w:id="36"/>
    </w:p>
    <w:p w:rsidR="000526AB" w:rsidRDefault="000526AB" w:rsidP="001B02F8">
      <w:r w:rsidRPr="00B87D95">
        <w:t xml:space="preserve">The purpose of </w:t>
      </w:r>
      <w:r>
        <w:t xml:space="preserve">the PK sub-study (planned to be undertaken in 24 subjects from selected sites) </w:t>
      </w:r>
      <w:r w:rsidRPr="00B87D95">
        <w:t>was to assess</w:t>
      </w:r>
      <w:r>
        <w:t xml:space="preserve"> </w:t>
      </w:r>
      <w:r w:rsidRPr="00B87D95">
        <w:t xml:space="preserve">the </w:t>
      </w:r>
      <w:r w:rsidR="00884BCD">
        <w:t>area under the plasma concentration time curve (</w:t>
      </w:r>
      <w:r w:rsidRPr="00B87D95">
        <w:t>AUC</w:t>
      </w:r>
      <w:r w:rsidR="00884BCD">
        <w:t>)</w:t>
      </w:r>
      <w:r w:rsidRPr="00B87D95">
        <w:t xml:space="preserve">, </w:t>
      </w:r>
      <w:r w:rsidR="00884BCD">
        <w:t>peak plasma concentration (</w:t>
      </w:r>
      <w:r w:rsidRPr="00B87D95">
        <w:t>C</w:t>
      </w:r>
      <w:r w:rsidRPr="00B87D95">
        <w:rPr>
          <w:vertAlign w:val="subscript"/>
        </w:rPr>
        <w:t>max</w:t>
      </w:r>
      <w:r w:rsidR="00884BCD">
        <w:t>),</w:t>
      </w:r>
      <w:r>
        <w:t xml:space="preserve"> </w:t>
      </w:r>
      <w:r w:rsidR="00884BCD">
        <w:t>time to peak plasma concentration (</w:t>
      </w:r>
      <w:r>
        <w:t>T</w:t>
      </w:r>
      <w:r w:rsidRPr="00B87D95">
        <w:rPr>
          <w:vertAlign w:val="subscript"/>
        </w:rPr>
        <w:t>max</w:t>
      </w:r>
      <w:r w:rsidR="00884BCD">
        <w:t>)</w:t>
      </w:r>
      <w:r w:rsidRPr="00B87D95">
        <w:t xml:space="preserve"> </w:t>
      </w:r>
      <w:r>
        <w:t xml:space="preserve">and </w:t>
      </w:r>
      <w:r w:rsidR="00884BCD">
        <w:t>time to last measurable concentration (</w:t>
      </w:r>
      <w:r>
        <w:t>T</w:t>
      </w:r>
      <w:r>
        <w:rPr>
          <w:vertAlign w:val="subscript"/>
        </w:rPr>
        <w:t>L</w:t>
      </w:r>
      <w:r w:rsidRPr="00B87D95">
        <w:rPr>
          <w:vertAlign w:val="subscript"/>
        </w:rPr>
        <w:t>ast</w:t>
      </w:r>
      <w:r w:rsidR="00884BCD">
        <w:t xml:space="preserve">) </w:t>
      </w:r>
      <w:r>
        <w:t xml:space="preserve">of both </w:t>
      </w:r>
      <w:r w:rsidRPr="00B87D95">
        <w:t xml:space="preserve">free and adjusted bound </w:t>
      </w:r>
      <w:r>
        <w:t xml:space="preserve">plasma </w:t>
      </w:r>
      <w:r w:rsidRPr="00B87D95">
        <w:t>VEGF Trap</w:t>
      </w:r>
      <w:r>
        <w:t xml:space="preserve"> following first </w:t>
      </w:r>
      <w:r w:rsidRPr="00B87D95">
        <w:t>and repeated dosing</w:t>
      </w:r>
      <w:r>
        <w:t xml:space="preserve">. </w:t>
      </w:r>
      <w:r w:rsidRPr="00B87D95">
        <w:t xml:space="preserve">Blood samples were drawn pre-dose, and then post-dose at 4, 8, 24, 48 (2 days), 72 (3 days), 96 (4 days), 168 (7 days), 336 (14 days) and 672 hours (28 days), after single </w:t>
      </w:r>
      <w:r w:rsidR="00884BCD">
        <w:t>(Week 0) and repeat dosing (W</w:t>
      </w:r>
      <w:r w:rsidRPr="00B87D95">
        <w:t>eek</w:t>
      </w:r>
      <w:r>
        <w:t>s</w:t>
      </w:r>
      <w:r w:rsidRPr="00B87D95">
        <w:t xml:space="preserve"> 20 and 24). Non-compartmental </w:t>
      </w:r>
      <w:r>
        <w:t xml:space="preserve">PK </w:t>
      </w:r>
      <w:r w:rsidRPr="00B87D95">
        <w:t>analysis was undertaken for subj</w:t>
      </w:r>
      <w:r>
        <w:t xml:space="preserve">ects with plasma concentrations &gt;LLOQ </w:t>
      </w:r>
      <w:r w:rsidRPr="00B87D95">
        <w:t>and no more than 2 subse</w:t>
      </w:r>
      <w:r w:rsidR="001B02F8">
        <w:t>quently missing concentrations.</w:t>
      </w:r>
    </w:p>
    <w:p w:rsidR="000526AB" w:rsidRPr="001F7D1B" w:rsidRDefault="009D57EF" w:rsidP="001B02F8">
      <w:pPr>
        <w:pStyle w:val="Heading5"/>
      </w:pPr>
      <w:r>
        <w:t>Free VEGF T</w:t>
      </w:r>
      <w:r w:rsidR="000526AB" w:rsidRPr="00B87D95">
        <w:t>rap (aflibercept)</w:t>
      </w:r>
      <w:r w:rsidR="001B02F8">
        <w:t xml:space="preserve"> PK parameters</w:t>
      </w:r>
    </w:p>
    <w:p w:rsidR="000526AB" w:rsidRPr="00884BCD" w:rsidRDefault="000526AB" w:rsidP="001B02F8">
      <w:r w:rsidRPr="00884BCD">
        <w:t xml:space="preserve">Samples were taken pre-dose and at various times up to 672 hours (28 days) after VTE administration. Across all time points, individual plasma concentration values for free VEGF Trap were below the LLOQ in 54% of subjects at </w:t>
      </w:r>
      <w:r w:rsidR="00884BCD" w:rsidRPr="00884BCD">
        <w:t>W</w:t>
      </w:r>
      <w:r w:rsidRPr="00884BCD">
        <w:t>eek 0, 70% of subjects at</w:t>
      </w:r>
      <w:r w:rsidR="00300BDB">
        <w:t xml:space="preserve"> Week 2</w:t>
      </w:r>
      <w:r w:rsidRPr="00884BCD">
        <w:t>0 and 67% of subjects at</w:t>
      </w:r>
      <w:r w:rsidR="00300BDB">
        <w:t xml:space="preserve"> Week 2</w:t>
      </w:r>
      <w:r w:rsidRPr="00884BCD">
        <w:t xml:space="preserve">4. At </w:t>
      </w:r>
      <w:r w:rsidR="00884BCD" w:rsidRPr="00884BCD">
        <w:t>W</w:t>
      </w:r>
      <w:r w:rsidRPr="00884BCD">
        <w:t xml:space="preserve">eeks 0, 20 and 24 there were 7, 3 and 1 subjects, respectively, with evaluable PK data. In 50% of subjects, plasma concentrations declined to non detectable levels within 4 days after VTE administration. All subjects had free VTE plasma concentrations below 81 </w:t>
      </w:r>
      <w:r w:rsidR="00884BCD">
        <w:t>µ</w:t>
      </w:r>
      <w:r w:rsidRPr="00884BCD">
        <w:t xml:space="preserve">g/L at all time points (LLOQ = 15.6 </w:t>
      </w:r>
      <w:r w:rsidR="00884BCD">
        <w:t>µ</w:t>
      </w:r>
      <w:r w:rsidRPr="00884BCD">
        <w:t>g/L). Free VTE plasma concentrations declined to non-quantifiable levels in almost all subjects by 96 hours (4 days) post-injection. There was no evidence of accumulation of aflibercept following multiple dosing based on free aflibercept C</w:t>
      </w:r>
      <w:r w:rsidRPr="00884BCD">
        <w:rPr>
          <w:vertAlign w:val="subscript"/>
        </w:rPr>
        <w:t>max</w:t>
      </w:r>
      <w:r w:rsidRPr="00884BCD">
        <w:t xml:space="preserve"> and AUC</w:t>
      </w:r>
      <w:r w:rsidRPr="00884BCD">
        <w:rPr>
          <w:vertAlign w:val="subscript"/>
        </w:rPr>
        <w:t xml:space="preserve">0-Last </w:t>
      </w:r>
      <w:r w:rsidRPr="00884BCD">
        <w:t>values. The results for C</w:t>
      </w:r>
      <w:r w:rsidRPr="00884BCD">
        <w:rPr>
          <w:vertAlign w:val="subscript"/>
        </w:rPr>
        <w:t>max</w:t>
      </w:r>
      <w:r w:rsidRPr="00884BCD">
        <w:t>, AUC</w:t>
      </w:r>
      <w:r w:rsidRPr="00884BCD">
        <w:rPr>
          <w:vertAlign w:val="subscript"/>
        </w:rPr>
        <w:t>0-Last</w:t>
      </w:r>
      <w:r w:rsidRPr="00884BCD">
        <w:t>, T</w:t>
      </w:r>
      <w:r w:rsidRPr="00884BCD">
        <w:rPr>
          <w:vertAlign w:val="subscript"/>
        </w:rPr>
        <w:t>max</w:t>
      </w:r>
      <w:r w:rsidRPr="00884BCD">
        <w:t xml:space="preserve"> and T</w:t>
      </w:r>
      <w:r w:rsidRPr="00884BCD">
        <w:rPr>
          <w:vertAlign w:val="subscript"/>
        </w:rPr>
        <w:t>Last</w:t>
      </w:r>
      <w:r w:rsidRPr="00884BCD">
        <w:t xml:space="preserve"> are summari</w:t>
      </w:r>
      <w:r w:rsidR="00884BCD">
        <w:t>s</w:t>
      </w:r>
      <w:r w:rsidRPr="00884BCD">
        <w:t xml:space="preserve">ed below in Table </w:t>
      </w:r>
      <w:r w:rsidR="00884BCD">
        <w:t>2.</w:t>
      </w:r>
    </w:p>
    <w:p w:rsidR="000526AB" w:rsidRDefault="000526AB" w:rsidP="001B02F8">
      <w:pPr>
        <w:pStyle w:val="TableTitle"/>
      </w:pPr>
      <w:bookmarkStart w:id="37" w:name="_Toc221767055"/>
      <w:r>
        <w:t>Table</w:t>
      </w:r>
      <w:r w:rsidR="00C83F10">
        <w:t xml:space="preserve"> 2</w:t>
      </w:r>
      <w:r>
        <w:t>: Free VEGF Trap pharmacokinetic parameters; PPS.</w:t>
      </w:r>
      <w:bookmarkEnd w:id="37"/>
    </w:p>
    <w:tbl>
      <w:tblPr>
        <w:tblStyle w:val="TableTGAblue"/>
        <w:tblW w:w="0" w:type="auto"/>
        <w:tblLayout w:type="fixed"/>
        <w:tblLook w:val="00A0" w:firstRow="1" w:lastRow="0" w:firstColumn="1" w:lastColumn="0" w:noHBand="0" w:noVBand="0"/>
      </w:tblPr>
      <w:tblGrid>
        <w:gridCol w:w="1134"/>
        <w:gridCol w:w="1276"/>
        <w:gridCol w:w="992"/>
        <w:gridCol w:w="1276"/>
        <w:gridCol w:w="992"/>
        <w:gridCol w:w="1276"/>
        <w:gridCol w:w="992"/>
        <w:gridCol w:w="993"/>
      </w:tblGrid>
      <w:tr w:rsidR="000526AB" w:rsidTr="001B02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rsidR="000526AB" w:rsidRPr="002D3ECD" w:rsidRDefault="000526AB" w:rsidP="002D3ECD">
            <w:pPr>
              <w:ind w:left="0" w:right="0"/>
              <w:rPr>
                <w:sz w:val="20"/>
                <w:szCs w:val="20"/>
                <w:lang w:eastAsia="en-US"/>
              </w:rPr>
            </w:pPr>
            <w:r w:rsidRPr="002D3ECD">
              <w:rPr>
                <w:sz w:val="20"/>
                <w:szCs w:val="20"/>
                <w:lang w:eastAsia="en-US"/>
              </w:rPr>
              <w:t>Para</w:t>
            </w:r>
            <w:r w:rsidR="00884BCD" w:rsidRPr="002D3ECD">
              <w:rPr>
                <w:sz w:val="20"/>
                <w:szCs w:val="20"/>
                <w:lang w:eastAsia="en-US"/>
              </w:rPr>
              <w:t>-</w:t>
            </w:r>
            <w:r w:rsidRPr="002D3ECD">
              <w:rPr>
                <w:sz w:val="20"/>
                <w:szCs w:val="20"/>
                <w:lang w:eastAsia="en-US"/>
              </w:rPr>
              <w:t>meter</w:t>
            </w:r>
          </w:p>
        </w:tc>
        <w:tc>
          <w:tcPr>
            <w:tcW w:w="1276" w:type="dxa"/>
          </w:tcPr>
          <w:p w:rsidR="000526AB" w:rsidRPr="002D3ECD" w:rsidRDefault="000526AB" w:rsidP="002D3ECD">
            <w:pPr>
              <w:ind w:left="0" w:right="0"/>
              <w:cnfStyle w:val="100000000000" w:firstRow="1" w:lastRow="0" w:firstColumn="0" w:lastColumn="0" w:oddVBand="0" w:evenVBand="0" w:oddHBand="0" w:evenHBand="0" w:firstRowFirstColumn="0" w:firstRowLastColumn="0" w:lastRowFirstColumn="0" w:lastRowLastColumn="0"/>
              <w:rPr>
                <w:sz w:val="20"/>
                <w:szCs w:val="20"/>
                <w:lang w:eastAsia="en-US"/>
              </w:rPr>
            </w:pPr>
          </w:p>
        </w:tc>
        <w:tc>
          <w:tcPr>
            <w:tcW w:w="2268" w:type="dxa"/>
            <w:gridSpan w:val="2"/>
          </w:tcPr>
          <w:p w:rsidR="000526AB" w:rsidRPr="002D3ECD" w:rsidRDefault="000526AB" w:rsidP="002D3ECD">
            <w:pPr>
              <w:ind w:left="0" w:right="0"/>
              <w:cnfStyle w:val="100000000000" w:firstRow="1"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After 1</w:t>
            </w:r>
            <w:r w:rsidRPr="002D3ECD">
              <w:rPr>
                <w:sz w:val="20"/>
                <w:szCs w:val="20"/>
                <w:vertAlign w:val="superscript"/>
                <w:lang w:eastAsia="en-US"/>
              </w:rPr>
              <w:t>st</w:t>
            </w:r>
            <w:r w:rsidRPr="002D3ECD">
              <w:rPr>
                <w:sz w:val="20"/>
                <w:szCs w:val="20"/>
                <w:lang w:eastAsia="en-US"/>
              </w:rPr>
              <w:t xml:space="preserve"> injection Week 0 (n=7)</w:t>
            </w:r>
          </w:p>
        </w:tc>
        <w:tc>
          <w:tcPr>
            <w:tcW w:w="2268" w:type="dxa"/>
            <w:gridSpan w:val="2"/>
          </w:tcPr>
          <w:p w:rsidR="000526AB" w:rsidRPr="002D3ECD" w:rsidRDefault="000526AB" w:rsidP="002D3ECD">
            <w:pPr>
              <w:ind w:left="0" w:right="0"/>
              <w:cnfStyle w:val="100000000000" w:firstRow="1"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After 6</w:t>
            </w:r>
            <w:r w:rsidRPr="002D3ECD">
              <w:rPr>
                <w:sz w:val="20"/>
                <w:szCs w:val="20"/>
                <w:vertAlign w:val="superscript"/>
                <w:lang w:eastAsia="en-US"/>
              </w:rPr>
              <w:t>th</w:t>
            </w:r>
            <w:r w:rsidRPr="002D3ECD">
              <w:rPr>
                <w:sz w:val="20"/>
                <w:szCs w:val="20"/>
                <w:lang w:eastAsia="en-US"/>
              </w:rPr>
              <w:t xml:space="preserve"> monthly injection</w:t>
            </w:r>
            <w:r w:rsidR="00300BDB" w:rsidRPr="002D3ECD">
              <w:rPr>
                <w:sz w:val="20"/>
                <w:szCs w:val="20"/>
                <w:lang w:eastAsia="en-US"/>
              </w:rPr>
              <w:t xml:space="preserve"> Week 2</w:t>
            </w:r>
            <w:r w:rsidRPr="002D3ECD">
              <w:rPr>
                <w:sz w:val="20"/>
                <w:szCs w:val="20"/>
                <w:lang w:eastAsia="en-US"/>
              </w:rPr>
              <w:t>0 (n=3)</w:t>
            </w:r>
          </w:p>
        </w:tc>
        <w:tc>
          <w:tcPr>
            <w:tcW w:w="1985" w:type="dxa"/>
            <w:gridSpan w:val="2"/>
          </w:tcPr>
          <w:p w:rsidR="000526AB" w:rsidRPr="002D3ECD" w:rsidRDefault="000526AB" w:rsidP="002D3ECD">
            <w:pPr>
              <w:ind w:left="0" w:right="0"/>
              <w:cnfStyle w:val="100000000000" w:firstRow="1"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After 7</w:t>
            </w:r>
            <w:r w:rsidRPr="002D3ECD">
              <w:rPr>
                <w:sz w:val="20"/>
                <w:szCs w:val="20"/>
                <w:vertAlign w:val="superscript"/>
                <w:lang w:eastAsia="en-US"/>
              </w:rPr>
              <w:t>th</w:t>
            </w:r>
            <w:r w:rsidRPr="002D3ECD">
              <w:rPr>
                <w:sz w:val="20"/>
                <w:szCs w:val="20"/>
                <w:lang w:eastAsia="en-US"/>
              </w:rPr>
              <w:t xml:space="preserve"> monthly injection</w:t>
            </w:r>
            <w:r w:rsidR="00300BDB" w:rsidRPr="002D3ECD">
              <w:rPr>
                <w:sz w:val="20"/>
                <w:szCs w:val="20"/>
                <w:lang w:eastAsia="en-US"/>
              </w:rPr>
              <w:t xml:space="preserve"> Week 2</w:t>
            </w:r>
            <w:r w:rsidRPr="002D3ECD">
              <w:rPr>
                <w:sz w:val="20"/>
                <w:szCs w:val="20"/>
                <w:lang w:eastAsia="en-US"/>
              </w:rPr>
              <w:t>4</w:t>
            </w:r>
            <w:r w:rsidR="002D3ECD">
              <w:rPr>
                <w:sz w:val="20"/>
                <w:szCs w:val="20"/>
                <w:lang w:eastAsia="en-US"/>
              </w:rPr>
              <w:t xml:space="preserve"> (n=1)</w:t>
            </w:r>
          </w:p>
        </w:tc>
      </w:tr>
      <w:tr w:rsidR="000526AB" w:rsidTr="001B02F8">
        <w:tc>
          <w:tcPr>
            <w:cnfStyle w:val="001000000000" w:firstRow="0" w:lastRow="0" w:firstColumn="1" w:lastColumn="0" w:oddVBand="0" w:evenVBand="0" w:oddHBand="0" w:evenHBand="0" w:firstRowFirstColumn="0" w:firstRowLastColumn="0" w:lastRowFirstColumn="0" w:lastRowLastColumn="0"/>
            <w:tcW w:w="1134" w:type="dxa"/>
          </w:tcPr>
          <w:p w:rsidR="000526AB" w:rsidRPr="002D3ECD" w:rsidRDefault="000526AB" w:rsidP="002D3ECD">
            <w:pPr>
              <w:ind w:left="0" w:right="0"/>
              <w:rPr>
                <w:sz w:val="20"/>
                <w:szCs w:val="20"/>
                <w:lang w:eastAsia="en-US"/>
              </w:rPr>
            </w:pPr>
            <w:r w:rsidRPr="002D3ECD">
              <w:rPr>
                <w:sz w:val="20"/>
                <w:szCs w:val="20"/>
                <w:lang w:eastAsia="en-US"/>
              </w:rPr>
              <w:t>C</w:t>
            </w:r>
            <w:r w:rsidRPr="002D3ECD">
              <w:rPr>
                <w:sz w:val="20"/>
                <w:szCs w:val="20"/>
                <w:vertAlign w:val="subscript"/>
                <w:lang w:eastAsia="en-US"/>
              </w:rPr>
              <w:t>max</w:t>
            </w:r>
          </w:p>
        </w:tc>
        <w:tc>
          <w:tcPr>
            <w:tcW w:w="1276"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µg/L CV-G %</w:t>
            </w:r>
            <w:r w:rsidRPr="002D3ECD">
              <w:rPr>
                <w:sz w:val="20"/>
                <w:szCs w:val="20"/>
                <w:vertAlign w:val="superscript"/>
                <w:lang w:eastAsia="en-US"/>
              </w:rPr>
              <w:t>a</w:t>
            </w:r>
            <w:r w:rsidRPr="002D3ECD">
              <w:rPr>
                <w:sz w:val="20"/>
                <w:szCs w:val="20"/>
                <w:lang w:eastAsia="en-US"/>
              </w:rPr>
              <w:t xml:space="preserve"> </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45.6</w:t>
            </w:r>
          </w:p>
        </w:tc>
        <w:tc>
          <w:tcPr>
            <w:tcW w:w="1276"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(42.5%)</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38.7</w:t>
            </w:r>
          </w:p>
        </w:tc>
        <w:tc>
          <w:tcPr>
            <w:tcW w:w="1276"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(71.0%)</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23.6</w:t>
            </w:r>
          </w:p>
        </w:tc>
        <w:tc>
          <w:tcPr>
            <w:tcW w:w="993"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(NC)</w:t>
            </w:r>
          </w:p>
        </w:tc>
      </w:tr>
      <w:tr w:rsidR="000526AB" w:rsidTr="001B02F8">
        <w:tc>
          <w:tcPr>
            <w:cnfStyle w:val="001000000000" w:firstRow="0" w:lastRow="0" w:firstColumn="1" w:lastColumn="0" w:oddVBand="0" w:evenVBand="0" w:oddHBand="0" w:evenHBand="0" w:firstRowFirstColumn="0" w:firstRowLastColumn="0" w:lastRowFirstColumn="0" w:lastRowLastColumn="0"/>
            <w:tcW w:w="1134" w:type="dxa"/>
          </w:tcPr>
          <w:p w:rsidR="000526AB" w:rsidRPr="002D3ECD" w:rsidRDefault="000526AB" w:rsidP="002D3ECD">
            <w:pPr>
              <w:ind w:left="0" w:right="0"/>
              <w:rPr>
                <w:sz w:val="20"/>
                <w:szCs w:val="20"/>
                <w:lang w:eastAsia="en-US"/>
              </w:rPr>
            </w:pPr>
            <w:r w:rsidRPr="002D3ECD">
              <w:rPr>
                <w:sz w:val="20"/>
                <w:szCs w:val="20"/>
                <w:lang w:eastAsia="en-US"/>
              </w:rPr>
              <w:t xml:space="preserve">AUC </w:t>
            </w:r>
            <w:r w:rsidRPr="002D3ECD">
              <w:rPr>
                <w:sz w:val="20"/>
                <w:szCs w:val="20"/>
                <w:vertAlign w:val="subscript"/>
                <w:lang w:eastAsia="en-US"/>
              </w:rPr>
              <w:t>(0-Last)</w:t>
            </w:r>
          </w:p>
        </w:tc>
        <w:tc>
          <w:tcPr>
            <w:tcW w:w="1276"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µg</w:t>
            </w:r>
            <w:r w:rsidR="00D74B64" w:rsidRPr="002D3ECD">
              <w:rPr>
                <w:sz w:val="20"/>
                <w:szCs w:val="20"/>
                <w:lang w:eastAsia="en-US"/>
              </w:rPr>
              <w:t>.</w:t>
            </w:r>
            <w:r w:rsidRPr="002D3ECD">
              <w:rPr>
                <w:sz w:val="20"/>
                <w:szCs w:val="20"/>
                <w:lang w:eastAsia="en-US"/>
              </w:rPr>
              <w:t>h/L CV-G %)</w:t>
            </w:r>
            <w:r w:rsidRPr="002D3ECD">
              <w:rPr>
                <w:sz w:val="20"/>
                <w:szCs w:val="20"/>
                <w:vertAlign w:val="superscript"/>
                <w:lang w:eastAsia="en-US"/>
              </w:rPr>
              <w:t>a</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2847</w:t>
            </w:r>
          </w:p>
        </w:tc>
        <w:tc>
          <w:tcPr>
            <w:tcW w:w="1276"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(54.3%)</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1440</w:t>
            </w:r>
          </w:p>
        </w:tc>
        <w:tc>
          <w:tcPr>
            <w:tcW w:w="1276"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(91.4%)</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1762</w:t>
            </w:r>
          </w:p>
        </w:tc>
        <w:tc>
          <w:tcPr>
            <w:tcW w:w="993"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(NC)</w:t>
            </w:r>
          </w:p>
        </w:tc>
      </w:tr>
      <w:tr w:rsidR="000526AB" w:rsidTr="001B02F8">
        <w:tc>
          <w:tcPr>
            <w:cnfStyle w:val="001000000000" w:firstRow="0" w:lastRow="0" w:firstColumn="1" w:lastColumn="0" w:oddVBand="0" w:evenVBand="0" w:oddHBand="0" w:evenHBand="0" w:firstRowFirstColumn="0" w:firstRowLastColumn="0" w:lastRowFirstColumn="0" w:lastRowLastColumn="0"/>
            <w:tcW w:w="1134" w:type="dxa"/>
          </w:tcPr>
          <w:p w:rsidR="000526AB" w:rsidRPr="002D3ECD" w:rsidRDefault="000526AB" w:rsidP="002D3ECD">
            <w:pPr>
              <w:ind w:left="0" w:right="0"/>
              <w:rPr>
                <w:sz w:val="20"/>
                <w:szCs w:val="20"/>
                <w:lang w:eastAsia="en-US"/>
              </w:rPr>
            </w:pPr>
            <w:r w:rsidRPr="002D3ECD">
              <w:rPr>
                <w:sz w:val="20"/>
                <w:szCs w:val="20"/>
                <w:lang w:eastAsia="en-US"/>
              </w:rPr>
              <w:t>T</w:t>
            </w:r>
            <w:r w:rsidRPr="002D3ECD">
              <w:rPr>
                <w:sz w:val="20"/>
                <w:szCs w:val="20"/>
                <w:vertAlign w:val="subscript"/>
                <w:lang w:eastAsia="en-US"/>
              </w:rPr>
              <w:t>max</w:t>
            </w:r>
          </w:p>
        </w:tc>
        <w:tc>
          <w:tcPr>
            <w:tcW w:w="1276" w:type="dxa"/>
          </w:tcPr>
          <w:p w:rsidR="000526AB" w:rsidRPr="002D3ECD" w:rsidRDefault="00884BCD"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h</w:t>
            </w:r>
            <w:r w:rsidR="000526AB" w:rsidRPr="002D3ECD">
              <w:rPr>
                <w:sz w:val="20"/>
                <w:szCs w:val="20"/>
                <w:lang w:eastAsia="en-US"/>
              </w:rPr>
              <w:t xml:space="preserve"> range</w:t>
            </w:r>
            <w:r w:rsidR="000526AB" w:rsidRPr="002D3ECD">
              <w:rPr>
                <w:sz w:val="20"/>
                <w:szCs w:val="20"/>
                <w:vertAlign w:val="superscript"/>
                <w:lang w:eastAsia="en-US"/>
              </w:rPr>
              <w:t>b</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22.7</w:t>
            </w:r>
          </w:p>
        </w:tc>
        <w:tc>
          <w:tcPr>
            <w:tcW w:w="1276"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(7.9, 73.1)</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8.0</w:t>
            </w:r>
          </w:p>
        </w:tc>
        <w:tc>
          <w:tcPr>
            <w:tcW w:w="1276"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(8, 95.2)</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22.2</w:t>
            </w:r>
          </w:p>
        </w:tc>
        <w:tc>
          <w:tcPr>
            <w:tcW w:w="993"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(NC)</w:t>
            </w:r>
          </w:p>
        </w:tc>
      </w:tr>
      <w:tr w:rsidR="000526AB" w:rsidTr="001B02F8">
        <w:tc>
          <w:tcPr>
            <w:cnfStyle w:val="001000000000" w:firstRow="0" w:lastRow="0" w:firstColumn="1" w:lastColumn="0" w:oddVBand="0" w:evenVBand="0" w:oddHBand="0" w:evenHBand="0" w:firstRowFirstColumn="0" w:firstRowLastColumn="0" w:lastRowFirstColumn="0" w:lastRowLastColumn="0"/>
            <w:tcW w:w="1134" w:type="dxa"/>
          </w:tcPr>
          <w:p w:rsidR="000526AB" w:rsidRPr="002D3ECD" w:rsidRDefault="000526AB" w:rsidP="002D3ECD">
            <w:pPr>
              <w:ind w:left="0" w:right="0"/>
              <w:rPr>
                <w:sz w:val="20"/>
                <w:szCs w:val="20"/>
                <w:lang w:eastAsia="en-US"/>
              </w:rPr>
            </w:pPr>
            <w:r w:rsidRPr="002D3ECD">
              <w:rPr>
                <w:sz w:val="20"/>
                <w:szCs w:val="20"/>
                <w:lang w:eastAsia="en-US"/>
              </w:rPr>
              <w:t>T</w:t>
            </w:r>
            <w:r w:rsidRPr="002D3ECD">
              <w:rPr>
                <w:sz w:val="20"/>
                <w:szCs w:val="20"/>
                <w:vertAlign w:val="subscript"/>
                <w:lang w:eastAsia="en-US"/>
              </w:rPr>
              <w:t>Last</w:t>
            </w:r>
          </w:p>
        </w:tc>
        <w:tc>
          <w:tcPr>
            <w:tcW w:w="1276" w:type="dxa"/>
          </w:tcPr>
          <w:p w:rsidR="000526AB" w:rsidRPr="002D3ECD" w:rsidRDefault="00884BCD"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h</w:t>
            </w:r>
            <w:r w:rsidR="000526AB" w:rsidRPr="002D3ECD">
              <w:rPr>
                <w:sz w:val="20"/>
                <w:szCs w:val="20"/>
                <w:lang w:eastAsia="en-US"/>
              </w:rPr>
              <w:t xml:space="preserve"> range</w:t>
            </w:r>
            <w:r w:rsidR="000526AB" w:rsidRPr="002D3ECD">
              <w:rPr>
                <w:sz w:val="20"/>
                <w:szCs w:val="20"/>
                <w:vertAlign w:val="superscript"/>
                <w:lang w:eastAsia="en-US"/>
              </w:rPr>
              <w:t>b</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96.3</w:t>
            </w:r>
          </w:p>
        </w:tc>
        <w:tc>
          <w:tcPr>
            <w:tcW w:w="1276"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(70.8, 167)</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95.2</w:t>
            </w:r>
          </w:p>
        </w:tc>
        <w:tc>
          <w:tcPr>
            <w:tcW w:w="1276"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(22.6, 96.1)</w:t>
            </w:r>
          </w:p>
        </w:tc>
        <w:tc>
          <w:tcPr>
            <w:tcW w:w="992"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94.8</w:t>
            </w:r>
          </w:p>
        </w:tc>
        <w:tc>
          <w:tcPr>
            <w:tcW w:w="993" w:type="dxa"/>
          </w:tcPr>
          <w:p w:rsidR="000526AB" w:rsidRPr="002D3ECD" w:rsidRDefault="000526AB" w:rsidP="002D3ECD">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(NC)</w:t>
            </w:r>
          </w:p>
        </w:tc>
      </w:tr>
    </w:tbl>
    <w:p w:rsidR="000526AB" w:rsidRPr="002D3ECD" w:rsidRDefault="000526AB" w:rsidP="002D3ECD">
      <w:pPr>
        <w:pStyle w:val="TableDescription"/>
      </w:pPr>
      <w:r w:rsidRPr="002D3ECD">
        <w:t>Values &lt; LLOQ not included; NC = not calculated.</w:t>
      </w:r>
      <w:r w:rsidR="00301349" w:rsidRPr="002D3ECD">
        <w:t xml:space="preserve"> </w:t>
      </w:r>
      <w:r w:rsidRPr="002D3ECD">
        <w:t>a = Geometric mean (coefficient of variation of geometric mean).</w:t>
      </w:r>
      <w:r w:rsidR="00301349" w:rsidRPr="002D3ECD">
        <w:t xml:space="preserve"> </w:t>
      </w:r>
      <w:r w:rsidRPr="002D3ECD">
        <w:t>b = Median (range).</w:t>
      </w:r>
    </w:p>
    <w:p w:rsidR="000526AB" w:rsidRPr="00CD7D01" w:rsidRDefault="000526AB" w:rsidP="002D3ECD">
      <w:pPr>
        <w:pStyle w:val="Heading5"/>
      </w:pPr>
      <w:r w:rsidRPr="00CD7D01">
        <w:t>Adjusted bound VEGF Trap (</w:t>
      </w:r>
      <w:r w:rsidRPr="002D3ECD">
        <w:t>aflibercept</w:t>
      </w:r>
      <w:r w:rsidRPr="00CD7D01">
        <w:t>) PK parameters</w:t>
      </w:r>
    </w:p>
    <w:p w:rsidR="000526AB" w:rsidRPr="00C5306A" w:rsidRDefault="000526AB" w:rsidP="002D3ECD">
      <w:r w:rsidRPr="00C5306A">
        <w:t xml:space="preserve">Samples were taken pre-dose and at various times up to 672 hours (28 days) after VTE administration. Across all time points, individual plasma concentration values for adjusted bound VEGF Trap were above the LLOQ in approximately 50% of subjects at </w:t>
      </w:r>
      <w:r w:rsidR="00C5306A">
        <w:t>W</w:t>
      </w:r>
      <w:r w:rsidRPr="00C5306A">
        <w:t>eek 0 and increased to 100% at</w:t>
      </w:r>
      <w:r w:rsidR="00300BDB">
        <w:t xml:space="preserve"> Week 2</w:t>
      </w:r>
      <w:r w:rsidRPr="00C5306A">
        <w:t xml:space="preserve">0. At </w:t>
      </w:r>
      <w:r w:rsidR="00C5306A">
        <w:t>W</w:t>
      </w:r>
      <w:r w:rsidRPr="00C5306A">
        <w:t xml:space="preserve">eeks 0, 20 and 24 there were 8, 4 and 1 subjects, respectively, with evaluable PK data. All subjects had adjusted bound VEGF Trap individual plasma concentrations lower than 315 </w:t>
      </w:r>
      <w:r w:rsidR="00C5306A">
        <w:t>µ</w:t>
      </w:r>
      <w:r w:rsidRPr="00C5306A">
        <w:t xml:space="preserve">g/L at all time points (LLOQ = 31.5 </w:t>
      </w:r>
      <w:r w:rsidR="00C5306A">
        <w:t>µ</w:t>
      </w:r>
      <w:r w:rsidRPr="00C5306A">
        <w:t xml:space="preserve">g/L). At about 4 </w:t>
      </w:r>
      <w:r w:rsidRPr="00C5306A">
        <w:lastRenderedPageBreak/>
        <w:t>weeks post-injection, plasma concentrations of adjusted bound VTE had declined to non-detectable levels. The results for C</w:t>
      </w:r>
      <w:r w:rsidRPr="00C5306A">
        <w:rPr>
          <w:vertAlign w:val="subscript"/>
        </w:rPr>
        <w:t>max</w:t>
      </w:r>
      <w:r w:rsidRPr="00C5306A">
        <w:t>, AUC</w:t>
      </w:r>
      <w:r w:rsidRPr="00C5306A">
        <w:rPr>
          <w:vertAlign w:val="subscript"/>
        </w:rPr>
        <w:t>0-Last</w:t>
      </w:r>
      <w:r w:rsidRPr="00C5306A">
        <w:t>, T</w:t>
      </w:r>
      <w:r w:rsidRPr="00C5306A">
        <w:rPr>
          <w:vertAlign w:val="subscript"/>
        </w:rPr>
        <w:t xml:space="preserve">max </w:t>
      </w:r>
      <w:r w:rsidRPr="00C5306A">
        <w:t>and T</w:t>
      </w:r>
      <w:r w:rsidRPr="00C5306A">
        <w:rPr>
          <w:vertAlign w:val="subscript"/>
        </w:rPr>
        <w:t>Last</w:t>
      </w:r>
      <w:r w:rsidRPr="00C5306A">
        <w:t xml:space="preserve"> are summari</w:t>
      </w:r>
      <w:r w:rsidR="00C5306A">
        <w:t>s</w:t>
      </w:r>
      <w:r w:rsidRPr="00C5306A">
        <w:t xml:space="preserve">ed below in Table </w:t>
      </w:r>
      <w:r w:rsidR="00C5306A">
        <w:t>3</w:t>
      </w:r>
      <w:r w:rsidR="001B02F8">
        <w:t>.</w:t>
      </w:r>
    </w:p>
    <w:p w:rsidR="000526AB" w:rsidRDefault="000526AB" w:rsidP="001B02F8">
      <w:pPr>
        <w:pStyle w:val="TableTitle"/>
      </w:pPr>
      <w:bookmarkStart w:id="38" w:name="_Toc221767056"/>
      <w:r>
        <w:t>Table</w:t>
      </w:r>
      <w:r w:rsidR="00C83F10">
        <w:t xml:space="preserve"> 3</w:t>
      </w:r>
      <w:r>
        <w:t>: Adjusted bound VEGF Trap pharmacokinetic parameters; PPS.</w:t>
      </w:r>
      <w:bookmarkEnd w:id="38"/>
    </w:p>
    <w:tbl>
      <w:tblPr>
        <w:tblStyle w:val="TableTGAblue"/>
        <w:tblW w:w="0" w:type="auto"/>
        <w:tblLayout w:type="fixed"/>
        <w:tblLook w:val="00A0" w:firstRow="1" w:lastRow="0" w:firstColumn="1" w:lastColumn="0" w:noHBand="0" w:noVBand="0"/>
      </w:tblPr>
      <w:tblGrid>
        <w:gridCol w:w="1134"/>
        <w:gridCol w:w="1276"/>
        <w:gridCol w:w="1134"/>
        <w:gridCol w:w="1276"/>
        <w:gridCol w:w="1134"/>
        <w:gridCol w:w="1276"/>
        <w:gridCol w:w="992"/>
        <w:gridCol w:w="850"/>
      </w:tblGrid>
      <w:tr w:rsidR="000526AB" w:rsidTr="001B0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0526AB" w:rsidRPr="002D3ECD" w:rsidRDefault="000526AB" w:rsidP="001B02F8">
            <w:pPr>
              <w:ind w:left="0"/>
              <w:rPr>
                <w:sz w:val="20"/>
                <w:szCs w:val="20"/>
                <w:lang w:eastAsia="en-US"/>
              </w:rPr>
            </w:pPr>
            <w:r w:rsidRPr="002D3ECD">
              <w:rPr>
                <w:sz w:val="20"/>
                <w:szCs w:val="20"/>
                <w:lang w:eastAsia="en-US"/>
              </w:rPr>
              <w:t>Para</w:t>
            </w:r>
            <w:r w:rsidR="00C5306A" w:rsidRPr="002D3ECD">
              <w:rPr>
                <w:sz w:val="20"/>
                <w:szCs w:val="20"/>
                <w:lang w:eastAsia="en-US"/>
              </w:rPr>
              <w:t>-</w:t>
            </w:r>
            <w:r w:rsidRPr="002D3ECD">
              <w:rPr>
                <w:sz w:val="20"/>
                <w:szCs w:val="20"/>
                <w:lang w:eastAsia="en-US"/>
              </w:rPr>
              <w:t>meter</w:t>
            </w:r>
          </w:p>
        </w:tc>
        <w:tc>
          <w:tcPr>
            <w:tcW w:w="1276" w:type="dxa"/>
          </w:tcPr>
          <w:p w:rsidR="000526AB" w:rsidRPr="002D3ECD" w:rsidRDefault="000526AB" w:rsidP="001B02F8">
            <w:pPr>
              <w:ind w:left="0"/>
              <w:cnfStyle w:val="100000000000" w:firstRow="1" w:lastRow="0" w:firstColumn="0" w:lastColumn="0" w:oddVBand="0" w:evenVBand="0" w:oddHBand="0" w:evenHBand="0" w:firstRowFirstColumn="0" w:firstRowLastColumn="0" w:lastRowFirstColumn="0" w:lastRowLastColumn="0"/>
              <w:rPr>
                <w:sz w:val="20"/>
                <w:szCs w:val="20"/>
                <w:lang w:eastAsia="en-US"/>
              </w:rPr>
            </w:pPr>
          </w:p>
        </w:tc>
        <w:tc>
          <w:tcPr>
            <w:tcW w:w="2410" w:type="dxa"/>
            <w:gridSpan w:val="2"/>
          </w:tcPr>
          <w:p w:rsidR="000526AB" w:rsidRPr="002D3ECD" w:rsidRDefault="000526AB" w:rsidP="001B02F8">
            <w:pPr>
              <w:ind w:left="0"/>
              <w:cnfStyle w:val="100000000000" w:firstRow="1"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After 1</w:t>
            </w:r>
            <w:r w:rsidRPr="002D3ECD">
              <w:rPr>
                <w:sz w:val="20"/>
                <w:szCs w:val="20"/>
                <w:vertAlign w:val="superscript"/>
                <w:lang w:eastAsia="en-US"/>
              </w:rPr>
              <w:t>st</w:t>
            </w:r>
            <w:r w:rsidRPr="002D3ECD">
              <w:rPr>
                <w:sz w:val="20"/>
                <w:szCs w:val="20"/>
                <w:lang w:eastAsia="en-US"/>
              </w:rPr>
              <w:t xml:space="preserve"> injection </w:t>
            </w:r>
          </w:p>
          <w:p w:rsidR="000526AB" w:rsidRPr="002D3ECD" w:rsidRDefault="000526AB" w:rsidP="001B02F8">
            <w:pPr>
              <w:ind w:left="0"/>
              <w:cnfStyle w:val="100000000000" w:firstRow="1"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Week 0 (n=7)</w:t>
            </w:r>
          </w:p>
        </w:tc>
        <w:tc>
          <w:tcPr>
            <w:tcW w:w="2410" w:type="dxa"/>
            <w:gridSpan w:val="2"/>
          </w:tcPr>
          <w:p w:rsidR="000526AB" w:rsidRPr="002D3ECD" w:rsidRDefault="000526AB" w:rsidP="001B02F8">
            <w:pPr>
              <w:ind w:left="0"/>
              <w:cnfStyle w:val="100000000000" w:firstRow="1"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After 6</w:t>
            </w:r>
            <w:r w:rsidRPr="002D3ECD">
              <w:rPr>
                <w:sz w:val="20"/>
                <w:szCs w:val="20"/>
                <w:vertAlign w:val="superscript"/>
                <w:lang w:eastAsia="en-US"/>
              </w:rPr>
              <w:t>th</w:t>
            </w:r>
            <w:r w:rsidRPr="002D3ECD">
              <w:rPr>
                <w:sz w:val="20"/>
                <w:szCs w:val="20"/>
                <w:lang w:eastAsia="en-US"/>
              </w:rPr>
              <w:t xml:space="preserve"> monthly injection</w:t>
            </w:r>
            <w:r w:rsidR="00300BDB" w:rsidRPr="002D3ECD">
              <w:rPr>
                <w:sz w:val="20"/>
                <w:szCs w:val="20"/>
                <w:lang w:eastAsia="en-US"/>
              </w:rPr>
              <w:t xml:space="preserve"> Week 2</w:t>
            </w:r>
            <w:r w:rsidRPr="002D3ECD">
              <w:rPr>
                <w:sz w:val="20"/>
                <w:szCs w:val="20"/>
                <w:lang w:eastAsia="en-US"/>
              </w:rPr>
              <w:t>0 (n=3)</w:t>
            </w:r>
          </w:p>
        </w:tc>
        <w:tc>
          <w:tcPr>
            <w:tcW w:w="1842" w:type="dxa"/>
            <w:gridSpan w:val="2"/>
          </w:tcPr>
          <w:p w:rsidR="000526AB" w:rsidRPr="002D3ECD" w:rsidRDefault="000526AB" w:rsidP="001B02F8">
            <w:pPr>
              <w:ind w:left="0"/>
              <w:cnfStyle w:val="100000000000" w:firstRow="1"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After 7</w:t>
            </w:r>
            <w:r w:rsidRPr="002D3ECD">
              <w:rPr>
                <w:sz w:val="20"/>
                <w:szCs w:val="20"/>
                <w:vertAlign w:val="superscript"/>
                <w:lang w:eastAsia="en-US"/>
              </w:rPr>
              <w:t>th</w:t>
            </w:r>
            <w:r w:rsidRPr="002D3ECD">
              <w:rPr>
                <w:sz w:val="20"/>
                <w:szCs w:val="20"/>
                <w:lang w:eastAsia="en-US"/>
              </w:rPr>
              <w:t xml:space="preserve"> monthly injection</w:t>
            </w:r>
            <w:r w:rsidR="00300BDB" w:rsidRPr="002D3ECD">
              <w:rPr>
                <w:sz w:val="20"/>
                <w:szCs w:val="20"/>
                <w:lang w:eastAsia="en-US"/>
              </w:rPr>
              <w:t xml:space="preserve"> Week 2</w:t>
            </w:r>
            <w:r w:rsidRPr="002D3ECD">
              <w:rPr>
                <w:sz w:val="20"/>
                <w:szCs w:val="20"/>
                <w:lang w:eastAsia="en-US"/>
              </w:rPr>
              <w:t xml:space="preserve">4 (n=1) </w:t>
            </w:r>
          </w:p>
        </w:tc>
      </w:tr>
      <w:tr w:rsidR="000526AB" w:rsidTr="001B02F8">
        <w:tc>
          <w:tcPr>
            <w:cnfStyle w:val="001000000000" w:firstRow="0" w:lastRow="0" w:firstColumn="1" w:lastColumn="0" w:oddVBand="0" w:evenVBand="0" w:oddHBand="0" w:evenHBand="0" w:firstRowFirstColumn="0" w:firstRowLastColumn="0" w:lastRowFirstColumn="0" w:lastRowLastColumn="0"/>
            <w:tcW w:w="1134" w:type="dxa"/>
          </w:tcPr>
          <w:p w:rsidR="000526AB" w:rsidRPr="002D3ECD" w:rsidRDefault="000526AB" w:rsidP="001B02F8">
            <w:pPr>
              <w:ind w:left="0"/>
              <w:rPr>
                <w:sz w:val="20"/>
                <w:szCs w:val="20"/>
                <w:lang w:eastAsia="en-US"/>
              </w:rPr>
            </w:pPr>
            <w:r w:rsidRPr="002D3ECD">
              <w:rPr>
                <w:sz w:val="20"/>
                <w:szCs w:val="20"/>
                <w:lang w:eastAsia="en-US"/>
              </w:rPr>
              <w:t>C</w:t>
            </w:r>
            <w:r w:rsidRPr="002D3ECD">
              <w:rPr>
                <w:sz w:val="20"/>
                <w:szCs w:val="20"/>
                <w:vertAlign w:val="subscript"/>
                <w:lang w:eastAsia="en-US"/>
              </w:rPr>
              <w:t>max</w:t>
            </w:r>
          </w:p>
        </w:tc>
        <w:tc>
          <w:tcPr>
            <w:tcW w:w="1276"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µg/L CV-G%</w:t>
            </w:r>
            <w:r w:rsidRPr="002D3ECD">
              <w:rPr>
                <w:sz w:val="20"/>
                <w:szCs w:val="20"/>
                <w:vertAlign w:val="superscript"/>
                <w:lang w:eastAsia="en-US"/>
              </w:rPr>
              <w:t xml:space="preserve"> a</w:t>
            </w:r>
            <w:r w:rsidRPr="002D3ECD">
              <w:rPr>
                <w:sz w:val="20"/>
                <w:szCs w:val="20"/>
                <w:lang w:eastAsia="en-US"/>
              </w:rPr>
              <w:t xml:space="preserve"> </w:t>
            </w:r>
          </w:p>
        </w:tc>
        <w:tc>
          <w:tcPr>
            <w:tcW w:w="1134"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83.2</w:t>
            </w:r>
          </w:p>
        </w:tc>
        <w:tc>
          <w:tcPr>
            <w:tcW w:w="1276"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(31.5%)</w:t>
            </w:r>
          </w:p>
        </w:tc>
        <w:tc>
          <w:tcPr>
            <w:tcW w:w="1134"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193</w:t>
            </w:r>
          </w:p>
        </w:tc>
        <w:tc>
          <w:tcPr>
            <w:tcW w:w="1276"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(41.4%)</w:t>
            </w:r>
          </w:p>
        </w:tc>
        <w:tc>
          <w:tcPr>
            <w:tcW w:w="992"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191</w:t>
            </w:r>
          </w:p>
        </w:tc>
        <w:tc>
          <w:tcPr>
            <w:tcW w:w="850"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NC</w:t>
            </w:r>
          </w:p>
        </w:tc>
      </w:tr>
      <w:tr w:rsidR="000526AB" w:rsidTr="001B02F8">
        <w:tc>
          <w:tcPr>
            <w:cnfStyle w:val="001000000000" w:firstRow="0" w:lastRow="0" w:firstColumn="1" w:lastColumn="0" w:oddVBand="0" w:evenVBand="0" w:oddHBand="0" w:evenHBand="0" w:firstRowFirstColumn="0" w:firstRowLastColumn="0" w:lastRowFirstColumn="0" w:lastRowLastColumn="0"/>
            <w:tcW w:w="1134" w:type="dxa"/>
          </w:tcPr>
          <w:p w:rsidR="000526AB" w:rsidRPr="002D3ECD" w:rsidRDefault="000526AB" w:rsidP="001B02F8">
            <w:pPr>
              <w:ind w:left="0"/>
              <w:rPr>
                <w:sz w:val="20"/>
                <w:szCs w:val="20"/>
                <w:lang w:eastAsia="en-US"/>
              </w:rPr>
            </w:pPr>
            <w:r w:rsidRPr="002D3ECD">
              <w:rPr>
                <w:sz w:val="20"/>
                <w:szCs w:val="20"/>
                <w:lang w:eastAsia="en-US"/>
              </w:rPr>
              <w:t xml:space="preserve">AUC </w:t>
            </w:r>
            <w:r w:rsidRPr="002D3ECD">
              <w:rPr>
                <w:sz w:val="20"/>
                <w:szCs w:val="20"/>
                <w:vertAlign w:val="subscript"/>
                <w:lang w:eastAsia="en-US"/>
              </w:rPr>
              <w:t>(0-Last)</w:t>
            </w:r>
          </w:p>
        </w:tc>
        <w:tc>
          <w:tcPr>
            <w:tcW w:w="1276"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µgh/L CV-G %</w:t>
            </w:r>
            <w:r w:rsidRPr="002D3ECD">
              <w:rPr>
                <w:sz w:val="20"/>
                <w:szCs w:val="20"/>
                <w:vertAlign w:val="superscript"/>
                <w:lang w:eastAsia="en-US"/>
              </w:rPr>
              <w:t>a</w:t>
            </w:r>
          </w:p>
        </w:tc>
        <w:tc>
          <w:tcPr>
            <w:tcW w:w="1134"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41246</w:t>
            </w:r>
          </w:p>
        </w:tc>
        <w:tc>
          <w:tcPr>
            <w:tcW w:w="1276"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(41.6%)</w:t>
            </w:r>
          </w:p>
        </w:tc>
        <w:tc>
          <w:tcPr>
            <w:tcW w:w="1134"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86583</w:t>
            </w:r>
          </w:p>
        </w:tc>
        <w:tc>
          <w:tcPr>
            <w:tcW w:w="1276"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(46.5%)</w:t>
            </w:r>
          </w:p>
        </w:tc>
        <w:tc>
          <w:tcPr>
            <w:tcW w:w="992"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98550</w:t>
            </w:r>
          </w:p>
        </w:tc>
        <w:tc>
          <w:tcPr>
            <w:tcW w:w="850"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NC</w:t>
            </w:r>
          </w:p>
        </w:tc>
      </w:tr>
      <w:tr w:rsidR="000526AB" w:rsidTr="001B02F8">
        <w:tc>
          <w:tcPr>
            <w:cnfStyle w:val="001000000000" w:firstRow="0" w:lastRow="0" w:firstColumn="1" w:lastColumn="0" w:oddVBand="0" w:evenVBand="0" w:oddHBand="0" w:evenHBand="0" w:firstRowFirstColumn="0" w:firstRowLastColumn="0" w:lastRowFirstColumn="0" w:lastRowLastColumn="0"/>
            <w:tcW w:w="1134" w:type="dxa"/>
          </w:tcPr>
          <w:p w:rsidR="000526AB" w:rsidRPr="002D3ECD" w:rsidRDefault="000526AB" w:rsidP="001B02F8">
            <w:pPr>
              <w:ind w:left="0"/>
              <w:rPr>
                <w:sz w:val="20"/>
                <w:szCs w:val="20"/>
                <w:lang w:eastAsia="en-US"/>
              </w:rPr>
            </w:pPr>
            <w:r w:rsidRPr="002D3ECD">
              <w:rPr>
                <w:sz w:val="20"/>
                <w:szCs w:val="20"/>
                <w:lang w:eastAsia="en-US"/>
              </w:rPr>
              <w:t>T</w:t>
            </w:r>
            <w:r w:rsidRPr="002D3ECD">
              <w:rPr>
                <w:sz w:val="20"/>
                <w:szCs w:val="20"/>
                <w:vertAlign w:val="subscript"/>
                <w:lang w:eastAsia="en-US"/>
              </w:rPr>
              <w:t>max</w:t>
            </w:r>
          </w:p>
        </w:tc>
        <w:tc>
          <w:tcPr>
            <w:tcW w:w="1276" w:type="dxa"/>
          </w:tcPr>
          <w:p w:rsidR="000526AB" w:rsidRPr="002D3ECD" w:rsidRDefault="00C5306A"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h</w:t>
            </w:r>
            <w:r w:rsidR="000526AB" w:rsidRPr="002D3ECD">
              <w:rPr>
                <w:sz w:val="20"/>
                <w:szCs w:val="20"/>
                <w:lang w:eastAsia="en-US"/>
              </w:rPr>
              <w:t xml:space="preserve"> range </w:t>
            </w:r>
            <w:r w:rsidR="000526AB" w:rsidRPr="002D3ECD">
              <w:rPr>
                <w:sz w:val="20"/>
                <w:szCs w:val="20"/>
                <w:vertAlign w:val="superscript"/>
                <w:lang w:eastAsia="en-US"/>
              </w:rPr>
              <w:t>b</w:t>
            </w:r>
          </w:p>
        </w:tc>
        <w:tc>
          <w:tcPr>
            <w:tcW w:w="1134"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336</w:t>
            </w:r>
          </w:p>
        </w:tc>
        <w:tc>
          <w:tcPr>
            <w:tcW w:w="1276"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(168-337)</w:t>
            </w:r>
          </w:p>
        </w:tc>
        <w:tc>
          <w:tcPr>
            <w:tcW w:w="1134"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168</w:t>
            </w:r>
          </w:p>
        </w:tc>
        <w:tc>
          <w:tcPr>
            <w:tcW w:w="1276"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(166-336)</w:t>
            </w:r>
          </w:p>
        </w:tc>
        <w:tc>
          <w:tcPr>
            <w:tcW w:w="992"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335</w:t>
            </w:r>
          </w:p>
        </w:tc>
        <w:tc>
          <w:tcPr>
            <w:tcW w:w="850"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NC</w:t>
            </w:r>
          </w:p>
        </w:tc>
      </w:tr>
      <w:tr w:rsidR="000526AB" w:rsidTr="001B02F8">
        <w:tc>
          <w:tcPr>
            <w:cnfStyle w:val="001000000000" w:firstRow="0" w:lastRow="0" w:firstColumn="1" w:lastColumn="0" w:oddVBand="0" w:evenVBand="0" w:oddHBand="0" w:evenHBand="0" w:firstRowFirstColumn="0" w:firstRowLastColumn="0" w:lastRowFirstColumn="0" w:lastRowLastColumn="0"/>
            <w:tcW w:w="1134" w:type="dxa"/>
          </w:tcPr>
          <w:p w:rsidR="000526AB" w:rsidRPr="002D3ECD" w:rsidRDefault="000526AB" w:rsidP="001B02F8">
            <w:pPr>
              <w:ind w:left="0"/>
              <w:rPr>
                <w:sz w:val="20"/>
                <w:szCs w:val="20"/>
                <w:lang w:eastAsia="en-US"/>
              </w:rPr>
            </w:pPr>
            <w:r w:rsidRPr="002D3ECD">
              <w:rPr>
                <w:sz w:val="20"/>
                <w:szCs w:val="20"/>
                <w:lang w:eastAsia="en-US"/>
              </w:rPr>
              <w:t>T</w:t>
            </w:r>
            <w:r w:rsidRPr="002D3ECD">
              <w:rPr>
                <w:sz w:val="20"/>
                <w:szCs w:val="20"/>
                <w:vertAlign w:val="subscript"/>
                <w:lang w:eastAsia="en-US"/>
              </w:rPr>
              <w:t>Last</w:t>
            </w:r>
          </w:p>
        </w:tc>
        <w:tc>
          <w:tcPr>
            <w:tcW w:w="1276"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 xml:space="preserve">h range </w:t>
            </w:r>
            <w:r w:rsidRPr="002D3ECD">
              <w:rPr>
                <w:sz w:val="20"/>
                <w:szCs w:val="20"/>
                <w:vertAlign w:val="superscript"/>
                <w:lang w:eastAsia="en-US"/>
              </w:rPr>
              <w:t>b</w:t>
            </w:r>
          </w:p>
        </w:tc>
        <w:tc>
          <w:tcPr>
            <w:tcW w:w="1134"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683</w:t>
            </w:r>
          </w:p>
        </w:tc>
        <w:tc>
          <w:tcPr>
            <w:tcW w:w="1276"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(574, 745)</w:t>
            </w:r>
          </w:p>
        </w:tc>
        <w:tc>
          <w:tcPr>
            <w:tcW w:w="1134"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552</w:t>
            </w:r>
          </w:p>
        </w:tc>
        <w:tc>
          <w:tcPr>
            <w:tcW w:w="1276"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(432-669)</w:t>
            </w:r>
          </w:p>
        </w:tc>
        <w:tc>
          <w:tcPr>
            <w:tcW w:w="992"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599</w:t>
            </w:r>
          </w:p>
        </w:tc>
        <w:tc>
          <w:tcPr>
            <w:tcW w:w="850" w:type="dxa"/>
          </w:tcPr>
          <w:p w:rsidR="000526AB" w:rsidRPr="002D3ECD" w:rsidRDefault="000526AB" w:rsidP="001B02F8">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2D3ECD">
              <w:rPr>
                <w:sz w:val="20"/>
                <w:szCs w:val="20"/>
                <w:lang w:eastAsia="en-US"/>
              </w:rPr>
              <w:t>NC</w:t>
            </w:r>
          </w:p>
        </w:tc>
      </w:tr>
    </w:tbl>
    <w:p w:rsidR="000526AB" w:rsidRPr="00FE4D2F" w:rsidRDefault="000526AB" w:rsidP="001B02F8">
      <w:pPr>
        <w:pStyle w:val="TableDescription"/>
      </w:pPr>
      <w:r>
        <w:t xml:space="preserve">Values &lt; LLOQ not included; NC = not calculated. </w:t>
      </w:r>
      <w:r w:rsidRPr="00B87D95">
        <w:t>a = Geometric mean (coefficient of variation of geometric mean)</w:t>
      </w:r>
      <w:r>
        <w:t>.</w:t>
      </w:r>
      <w:r w:rsidR="00C5306A">
        <w:t xml:space="preserve"> </w:t>
      </w:r>
      <w:r w:rsidRPr="001F7D1B">
        <w:t>b = Median (range)</w:t>
      </w:r>
      <w:r>
        <w:t>.</w:t>
      </w:r>
    </w:p>
    <w:p w:rsidR="000526AB" w:rsidRPr="001F7D1B" w:rsidRDefault="000526AB" w:rsidP="00A47517">
      <w:pPr>
        <w:pStyle w:val="Heading4"/>
      </w:pPr>
      <w:bookmarkStart w:id="39" w:name="_Toc221697252"/>
      <w:r>
        <w:t xml:space="preserve">Comparison of PK </w:t>
      </w:r>
      <w:r w:rsidRPr="00A47517">
        <w:t>parameters</w:t>
      </w:r>
      <w:r>
        <w:t xml:space="preserve"> – CRVO and wet-AMD</w:t>
      </w:r>
      <w:bookmarkEnd w:id="39"/>
    </w:p>
    <w:p w:rsidR="000526AB" w:rsidRPr="00C5306A" w:rsidRDefault="000526AB" w:rsidP="001B02F8">
      <w:r w:rsidRPr="00C5306A">
        <w:t xml:space="preserve">The </w:t>
      </w:r>
      <w:r w:rsidR="00DA1068">
        <w:t xml:space="preserve">sponsor’s </w:t>
      </w:r>
      <w:r w:rsidRPr="00C5306A">
        <w:t>Summary of Clinical Pharmacology included a post</w:t>
      </w:r>
      <w:r w:rsidR="00C42C2F">
        <w:t xml:space="preserve"> </w:t>
      </w:r>
      <w:r w:rsidRPr="00C5306A">
        <w:t>hoc comparison of the systemic PKs of free and adjusted bound VEGF Trap in subjects with macular oedema due to CRVO and with wet-AMD. The systemic PKs of free and adjusted bound VEGF Trap has been described in the previous Eylea submission for the treatment of wet adult macular degeneration (wet-AMD). The broad demographic characteristics of the wet-AMD population were 44.5% male and 55.5% female, aged between 50 and 93 years (median: 75 years) with a mean body weight of 70.1</w:t>
      </w:r>
      <w:r w:rsidR="00DA1068">
        <w:t>±</w:t>
      </w:r>
      <w:r w:rsidRPr="00C5306A">
        <w:t>14.5 kg and mean body mass index (BMI) of 26.3</w:t>
      </w:r>
      <w:r w:rsidR="00DA1068">
        <w:t>±</w:t>
      </w:r>
      <w:r w:rsidRPr="00C5306A">
        <w:t>4.7 kg/m</w:t>
      </w:r>
      <w:r w:rsidRPr="00DA1068">
        <w:rPr>
          <w:vertAlign w:val="superscript"/>
        </w:rPr>
        <w:t>2</w:t>
      </w:r>
      <w:r w:rsidRPr="00C5306A">
        <w:t>. In comparison, the broad demographic characteristics of the CRVO population were 56.3% male and 43.7% female, aged between 22 and 89 years (median: 63.9 years), with a mean body weight of 78.2</w:t>
      </w:r>
      <w:r w:rsidR="00DA1068">
        <w:t>±</w:t>
      </w:r>
      <w:r w:rsidRPr="00C5306A">
        <w:t>17.4 kg and a mean BMI of 27.5</w:t>
      </w:r>
      <w:r w:rsidR="00DA1068">
        <w:t>±</w:t>
      </w:r>
      <w:r w:rsidRPr="00C5306A">
        <w:t>5.1 kg/m</w:t>
      </w:r>
      <w:r w:rsidRPr="00DA1068">
        <w:rPr>
          <w:vertAlign w:val="superscript"/>
        </w:rPr>
        <w:t>2</w:t>
      </w:r>
      <w:r w:rsidR="001B02F8">
        <w:t>.</w:t>
      </w:r>
    </w:p>
    <w:p w:rsidR="00C42C2F" w:rsidRDefault="000526AB" w:rsidP="00A47517">
      <w:r w:rsidRPr="00C5306A">
        <w:t>In the PK comparison between subjects with CRVO (GALILEO) and subjects with wet-AMD (VGFT-OD-0702.PK), the arithmetic mean (</w:t>
      </w:r>
      <w:r w:rsidR="00C42C2F">
        <w:t>coefficient of variation (</w:t>
      </w:r>
      <w:r w:rsidRPr="00C5306A">
        <w:t>CV</w:t>
      </w:r>
      <w:r w:rsidR="00C42C2F">
        <w:t>)</w:t>
      </w:r>
      <w:r w:rsidRPr="00C5306A">
        <w:t>%) systemic C</w:t>
      </w:r>
      <w:r w:rsidRPr="00C42C2F">
        <w:rPr>
          <w:vertAlign w:val="subscript"/>
        </w:rPr>
        <w:t>max</w:t>
      </w:r>
      <w:r w:rsidRPr="00C5306A">
        <w:t xml:space="preserve"> values for free VEGF Trap after single VTE 2 mg </w:t>
      </w:r>
      <w:r w:rsidR="00C42C2F">
        <w:t>intravitreal (</w:t>
      </w:r>
      <w:r w:rsidRPr="00C5306A">
        <w:t>IVT</w:t>
      </w:r>
      <w:r w:rsidR="00C42C2F">
        <w:t>)</w:t>
      </w:r>
      <w:r w:rsidRPr="00C5306A">
        <w:t xml:space="preserve"> injections were low for both subjects with CRVO and wet-AMD (0.049 [39.3%] and 0.019 [118%] mg/L, respectively) and were only approximately 1 to 3 times the LLOQ (0.0156 mg/L). The arithmetic mean (CV%) systemic AUC</w:t>
      </w:r>
      <w:r w:rsidRPr="00C42C2F">
        <w:rPr>
          <w:vertAlign w:val="subscript"/>
        </w:rPr>
        <w:t>0-Last</w:t>
      </w:r>
      <w:r w:rsidRPr="00C5306A">
        <w:t xml:space="preserve"> values for free VEGF Trap after single doses were 0.133 mg</w:t>
      </w:r>
      <w:r w:rsidR="00C42C2F">
        <w:t>.</w:t>
      </w:r>
      <w:r w:rsidRPr="00C5306A">
        <w:t>day/L (51.3%) in CRVO subjects and 0.119 mg</w:t>
      </w:r>
      <w:r w:rsidR="00C42C2F">
        <w:t>.</w:t>
      </w:r>
      <w:r w:rsidRPr="00C5306A">
        <w:t>day/L (159%) in wet-AMD subjects. The CV% values for both the arithmetic mean systemic C</w:t>
      </w:r>
      <w:r w:rsidRPr="00C42C2F">
        <w:rPr>
          <w:vertAlign w:val="subscript"/>
        </w:rPr>
        <w:t xml:space="preserve">max </w:t>
      </w:r>
      <w:r w:rsidRPr="00C5306A">
        <w:t>and AUC</w:t>
      </w:r>
      <w:r w:rsidRPr="00C42C2F">
        <w:rPr>
          <w:vertAlign w:val="subscript"/>
        </w:rPr>
        <w:t xml:space="preserve">0-Last </w:t>
      </w:r>
      <w:r w:rsidR="00C42C2F">
        <w:t>values for free VEGF Trap in</w:t>
      </w:r>
      <w:r w:rsidRPr="00C5306A">
        <w:t xml:space="preserve"> subjects with wet-AMD were very high (118% and 159%, respectively), indicating marked inter-subject variability in the 6 subjects from which the results were derived. The arithmetic mean adjusted bound VEGF Trap systemic C</w:t>
      </w:r>
      <w:r w:rsidRPr="00C42C2F">
        <w:rPr>
          <w:vertAlign w:val="subscript"/>
        </w:rPr>
        <w:t>max</w:t>
      </w:r>
      <w:r w:rsidRPr="00C5306A">
        <w:t xml:space="preserve"> and AUC</w:t>
      </w:r>
      <w:r w:rsidRPr="00C42C2F">
        <w:rPr>
          <w:vertAlign w:val="subscript"/>
        </w:rPr>
        <w:t>0-Last</w:t>
      </w:r>
      <w:r w:rsidRPr="00C5306A">
        <w:t xml:space="preserve"> values were higher in subjects with wet-AMD than in subjects with CRVO. The arithmetic mean (CV%) adjusted bound VEGF Trap systemic C</w:t>
      </w:r>
      <w:r w:rsidRPr="00C42C2F">
        <w:rPr>
          <w:vertAlign w:val="subscript"/>
        </w:rPr>
        <w:t>max</w:t>
      </w:r>
      <w:r w:rsidRPr="00C5306A">
        <w:t xml:space="preserve"> values were 0.086 (25.6%) and 0.186 (40.3%) ng/mL in the CRVO and wet-AMD subjects, respectively, and the corresponding AUC</w:t>
      </w:r>
      <w:r w:rsidRPr="00C42C2F">
        <w:rPr>
          <w:vertAlign w:val="subscript"/>
        </w:rPr>
        <w:t>0-Last</w:t>
      </w:r>
      <w:r w:rsidRPr="00C5306A">
        <w:t xml:space="preserve"> values were 1.82 (30.0%) and 4.43 (42.3%), respectively. Intersubject variability in the mean adjusted bound VEGF Trap systemic C</w:t>
      </w:r>
      <w:r w:rsidRPr="00C42C2F">
        <w:rPr>
          <w:vertAlign w:val="subscript"/>
        </w:rPr>
        <w:t>max</w:t>
      </w:r>
      <w:r w:rsidRPr="00C5306A">
        <w:t xml:space="preserve"> and AUC</w:t>
      </w:r>
      <w:r w:rsidRPr="00C42C2F">
        <w:rPr>
          <w:vertAlign w:val="subscript"/>
        </w:rPr>
        <w:t>0-Last</w:t>
      </w:r>
      <w:r w:rsidRPr="00C5306A">
        <w:t xml:space="preserve"> in the 6 subjects in the wet-AMD</w:t>
      </w:r>
      <w:r w:rsidR="001B02F8">
        <w:t xml:space="preserve"> group was moderate (CV% ~40%).</w:t>
      </w:r>
    </w:p>
    <w:p w:rsidR="000526AB" w:rsidRPr="00C5306A" w:rsidRDefault="000526AB" w:rsidP="00A47517">
      <w:r w:rsidRPr="00C5306A">
        <w:t>The systemic trough concentrations (C</w:t>
      </w:r>
      <w:r w:rsidRPr="00C42C2F">
        <w:rPr>
          <w:vertAlign w:val="subscript"/>
        </w:rPr>
        <w:t>trough</w:t>
      </w:r>
      <w:r w:rsidRPr="00C5306A">
        <w:t>) for adjusted bound VEGF Trap were compared in subjects with CRVO from GALILEO and subjects with wet-AMD from VIEW2. In subjects with CRVO, C</w:t>
      </w:r>
      <w:r w:rsidRPr="00C42C2F">
        <w:rPr>
          <w:vertAlign w:val="subscript"/>
        </w:rPr>
        <w:t>trough</w:t>
      </w:r>
      <w:r w:rsidRPr="00C5306A">
        <w:t xml:space="preserve"> free VEGF Trap levels were below the LLOQ (0.0156 mg/ml) at</w:t>
      </w:r>
      <w:r w:rsidR="00300BDB">
        <w:t xml:space="preserve"> Week 1</w:t>
      </w:r>
      <w:r w:rsidRPr="00C5306A">
        <w:t xml:space="preserve">2 in all 84 </w:t>
      </w:r>
      <w:r w:rsidRPr="00C5306A">
        <w:lastRenderedPageBreak/>
        <w:t>subjects assessed. Similarly, in subjects with wet-AMD 130 (76.9%) o</w:t>
      </w:r>
      <w:r w:rsidR="00C42C2F">
        <w:t>f the 169 subjects assessed at</w:t>
      </w:r>
      <w:r w:rsidR="00300BDB">
        <w:t xml:space="preserve"> Week 1</w:t>
      </w:r>
      <w:r w:rsidRPr="00C5306A">
        <w:t xml:space="preserve"> had Ctrough free VEGF Trap levels below the LLOQ (0.0156 mg/mL) and 162 (98.8%) of 164 subjects had levels below the LLOQ at</w:t>
      </w:r>
      <w:r w:rsidR="00300BDB">
        <w:t xml:space="preserve"> Week 1</w:t>
      </w:r>
      <w:r w:rsidRPr="00C5306A">
        <w:t>2. The arithmetic mean (SD) C</w:t>
      </w:r>
      <w:r w:rsidRPr="00C42C2F">
        <w:rPr>
          <w:vertAlign w:val="subscript"/>
        </w:rPr>
        <w:t>trough</w:t>
      </w:r>
      <w:r w:rsidRPr="00C5306A">
        <w:t xml:space="preserve"> adjusted </w:t>
      </w:r>
      <w:r w:rsidR="00C42C2F">
        <w:t>bound VEGF Trap at</w:t>
      </w:r>
      <w:r w:rsidR="00300BDB">
        <w:t xml:space="preserve"> Week 1</w:t>
      </w:r>
      <w:r w:rsidRPr="00C5306A">
        <w:t>2 was 0.102 (0.0487) mg/L (range: 0, 0.220) in subjects (n=84) with CRVO and 0.128 (0.0599) mg/L (range: 0, 0.388) in subjects (n=164) with wet-AMD. The C</w:t>
      </w:r>
      <w:r w:rsidRPr="00C42C2F">
        <w:rPr>
          <w:vertAlign w:val="subscript"/>
        </w:rPr>
        <w:t>trough</w:t>
      </w:r>
      <w:r w:rsidRPr="00C5306A">
        <w:t xml:space="preserve"> range for adjusted bound VEGF Trap at</w:t>
      </w:r>
      <w:r w:rsidR="00300BDB">
        <w:t xml:space="preserve"> Week 1</w:t>
      </w:r>
      <w:r w:rsidRPr="00C5306A">
        <w:t>2 was broad in subjects with CRVO and with wet-AMD and the ranges were overlapping for the two subject groups. In the sub-group analysis of potential covariates affecting the systemic PKs of VTE, numerical differences between sub-groups at</w:t>
      </w:r>
      <w:r w:rsidR="00300BDB">
        <w:t xml:space="preserve"> Week 1</w:t>
      </w:r>
      <w:r w:rsidRPr="00C5306A">
        <w:t>2 in C</w:t>
      </w:r>
      <w:r w:rsidRPr="00C42C2F">
        <w:rPr>
          <w:vertAlign w:val="subscript"/>
        </w:rPr>
        <w:t>trough</w:t>
      </w:r>
      <w:r w:rsidRPr="00C5306A">
        <w:t xml:space="preserve"> adjusted bound VEGF Trap in subjects with CRVO and subjects with wet-AMD were generally small, while the range of values in the sub-gro</w:t>
      </w:r>
      <w:bookmarkStart w:id="40" w:name="_Ref269118175"/>
      <w:bookmarkStart w:id="41" w:name="_Toc272414616"/>
      <w:bookmarkStart w:id="42" w:name="_Toc290846239"/>
      <w:r w:rsidR="001B02F8">
        <w:t>ups were broad and overlapping.</w:t>
      </w:r>
    </w:p>
    <w:p w:rsidR="000526AB" w:rsidRDefault="000526AB" w:rsidP="00A47517">
      <w:pPr>
        <w:pStyle w:val="Heading3"/>
      </w:pPr>
      <w:bookmarkStart w:id="43" w:name="_Toc241374296"/>
      <w:bookmarkStart w:id="44" w:name="_Ref269982040"/>
      <w:bookmarkStart w:id="45" w:name="_Ref271018704"/>
      <w:bookmarkStart w:id="46" w:name="_Ref271018755"/>
      <w:bookmarkStart w:id="47" w:name="_Toc272414635"/>
      <w:bookmarkStart w:id="48" w:name="_Toc290846258"/>
      <w:bookmarkStart w:id="49" w:name="_Toc221697253"/>
      <w:bookmarkStart w:id="50" w:name="_Toc396651347"/>
      <w:bookmarkEnd w:id="40"/>
      <w:bookmarkEnd w:id="41"/>
      <w:bookmarkEnd w:id="42"/>
      <w:r>
        <w:t xml:space="preserve">Evaluator’s overall conclusions on </w:t>
      </w:r>
      <w:r w:rsidRPr="00A47517">
        <w:t>pharmacokinetics</w:t>
      </w:r>
      <w:bookmarkEnd w:id="43"/>
      <w:bookmarkEnd w:id="44"/>
      <w:bookmarkEnd w:id="45"/>
      <w:bookmarkEnd w:id="46"/>
      <w:bookmarkEnd w:id="47"/>
      <w:bookmarkEnd w:id="48"/>
      <w:bookmarkEnd w:id="49"/>
      <w:bookmarkEnd w:id="50"/>
    </w:p>
    <w:p w:rsidR="000526AB" w:rsidRPr="00883305" w:rsidRDefault="000526AB" w:rsidP="001B02F8">
      <w:r w:rsidRPr="00883305">
        <w:t xml:space="preserve">After single and multiple </w:t>
      </w:r>
      <w:r>
        <w:t>(every 4 weeks) VTE 2 mg IVT injections administered to subjects with CRVO</w:t>
      </w:r>
      <w:r w:rsidRPr="00883305">
        <w:t xml:space="preserve">, systemic exposure to free and adjusted bound </w:t>
      </w:r>
      <w:r>
        <w:t xml:space="preserve">VTE was low. The low systemic exposures to VTE are </w:t>
      </w:r>
      <w:r w:rsidRPr="00883305">
        <w:t xml:space="preserve">unlikely to result in significant </w:t>
      </w:r>
      <w:r w:rsidR="00D74B64">
        <w:t xml:space="preserve">non-ocular </w:t>
      </w:r>
      <w:r>
        <w:t xml:space="preserve">clinical effects. Furthermore, the </w:t>
      </w:r>
      <w:r w:rsidRPr="00883305">
        <w:t>PK</w:t>
      </w:r>
      <w:r>
        <w:t>s of VTE</w:t>
      </w:r>
      <w:r w:rsidRPr="00883305">
        <w:t xml:space="preserve"> in </w:t>
      </w:r>
      <w:r>
        <w:t>subject</w:t>
      </w:r>
      <w:r w:rsidRPr="00883305">
        <w:t xml:space="preserve">s with CRVO </w:t>
      </w:r>
      <w:r>
        <w:t>and wet-AMD are similar</w:t>
      </w:r>
      <w:r w:rsidRPr="00883305">
        <w:t xml:space="preserve">. </w:t>
      </w:r>
      <w:r>
        <w:t>Therefore, it is considered reasonable to extrapolate the known PK data for VTE in subjects with</w:t>
      </w:r>
      <w:r w:rsidR="001B02F8">
        <w:t xml:space="preserve"> wet-AMD to subjects with CRVO.</w:t>
      </w:r>
    </w:p>
    <w:p w:rsidR="000526AB" w:rsidRPr="00C94EF4" w:rsidRDefault="000526AB" w:rsidP="001B02F8">
      <w:r>
        <w:t>In the mandatory PK assessment (GALILEO)</w:t>
      </w:r>
      <w:r w:rsidRPr="00C94EF4">
        <w:t xml:space="preserve">, </w:t>
      </w:r>
      <w:r>
        <w:t>repeat administration of VTE</w:t>
      </w:r>
      <w:r w:rsidRPr="00C94EF4">
        <w:t xml:space="preserve"> resulted in </w:t>
      </w:r>
      <w:r>
        <w:t xml:space="preserve">free VTE trough plasma concentrations </w:t>
      </w:r>
      <w:r w:rsidRPr="00C94EF4">
        <w:t>that were below the LLOQ in all subjects. The sponsor states that this result was exp</w:t>
      </w:r>
      <w:r>
        <w:t xml:space="preserve">ected </w:t>
      </w:r>
      <w:r w:rsidRPr="00C94EF4">
        <w:t xml:space="preserve">because </w:t>
      </w:r>
      <w:r>
        <w:t xml:space="preserve">VTE </w:t>
      </w:r>
      <w:r w:rsidRPr="00C94EF4">
        <w:t xml:space="preserve">is absorbed slowly from the eye into the systemic circulation where it binds to endogenous VEGF. Repeated administration of </w:t>
      </w:r>
      <w:r>
        <w:t>VTE</w:t>
      </w:r>
      <w:r w:rsidRPr="00C94EF4">
        <w:t xml:space="preserve"> 2 mg every 4 weeks </w:t>
      </w:r>
      <w:r w:rsidR="00C42C2F">
        <w:t>through to</w:t>
      </w:r>
      <w:r w:rsidR="00300BDB">
        <w:t xml:space="preserve"> Week 2</w:t>
      </w:r>
      <w:r w:rsidRPr="00C94EF4">
        <w:t>4 and then as required (PRN) up to</w:t>
      </w:r>
      <w:r w:rsidR="00300BDB">
        <w:t xml:space="preserve"> Week 5</w:t>
      </w:r>
      <w:r w:rsidRPr="00C94EF4">
        <w:t xml:space="preserve">2 did not result in accumulation of the </w:t>
      </w:r>
      <w:r>
        <w:t xml:space="preserve">drug </w:t>
      </w:r>
      <w:r w:rsidRPr="00C94EF4">
        <w:t xml:space="preserve">in plasma. Therefore, the PK results suggest no increased risk of systemic side effects with </w:t>
      </w:r>
      <w:r>
        <w:t xml:space="preserve">VTE </w:t>
      </w:r>
      <w:r w:rsidRPr="00C94EF4">
        <w:t xml:space="preserve">following long-term treatment. Exploratory sub-group analyses with respect to age, sex, BMI, creatinine clearance, hepatic impairment and geographical region could not be conducted because all free </w:t>
      </w:r>
      <w:r>
        <w:t xml:space="preserve">VTE plasma trough concentrations </w:t>
      </w:r>
      <w:r w:rsidRPr="00C94EF4">
        <w:t xml:space="preserve">were below </w:t>
      </w:r>
      <w:r>
        <w:t xml:space="preserve">the </w:t>
      </w:r>
      <w:r w:rsidR="001B02F8">
        <w:t>LLOQ.</w:t>
      </w:r>
    </w:p>
    <w:p w:rsidR="00586F98" w:rsidRDefault="000526AB" w:rsidP="001B02F8">
      <w:r>
        <w:t>In the mandatory PK assessment (GALILEO), following repeat VTE 2 mg IVT dosing at 4</w:t>
      </w:r>
      <w:r w:rsidR="00C42C2F">
        <w:t xml:space="preserve"> </w:t>
      </w:r>
      <w:r>
        <w:t xml:space="preserve">week intervals </w:t>
      </w:r>
      <w:r w:rsidRPr="00C94EF4">
        <w:t xml:space="preserve">adjusted </w:t>
      </w:r>
      <w:r>
        <w:t xml:space="preserve">VTE </w:t>
      </w:r>
      <w:r w:rsidRPr="00C94EF4">
        <w:t xml:space="preserve">bound </w:t>
      </w:r>
      <w:r>
        <w:t xml:space="preserve">trough </w:t>
      </w:r>
      <w:r w:rsidRPr="00C94EF4">
        <w:t xml:space="preserve">plasma concentrations increased </w:t>
      </w:r>
      <w:r w:rsidR="00C42C2F">
        <w:t>from baseline (pre-dose) to</w:t>
      </w:r>
      <w:r w:rsidR="00300BDB">
        <w:t xml:space="preserve"> Week 2</w:t>
      </w:r>
      <w:r>
        <w:t>4 after which concentrations decreased through to</w:t>
      </w:r>
      <w:r w:rsidR="00300BDB">
        <w:t xml:space="preserve"> Week 5</w:t>
      </w:r>
      <w:r>
        <w:t xml:space="preserve">2. </w:t>
      </w:r>
      <w:r w:rsidRPr="00C94EF4">
        <w:t>E</w:t>
      </w:r>
      <w:r>
        <w:t xml:space="preserve">xploratory sub-group analyses of </w:t>
      </w:r>
      <w:r w:rsidRPr="00C94EF4">
        <w:t xml:space="preserve">adjusted </w:t>
      </w:r>
      <w:r>
        <w:t xml:space="preserve">VTE </w:t>
      </w:r>
      <w:r w:rsidRPr="00C94EF4">
        <w:t xml:space="preserve">bound </w:t>
      </w:r>
      <w:r>
        <w:t xml:space="preserve">aflibercept trough plasma concentration </w:t>
      </w:r>
      <w:r w:rsidRPr="00C94EF4">
        <w:t xml:space="preserve">showed: higher concentrations in the 65 to </w:t>
      </w:r>
      <w:r w:rsidRPr="00C94EF4">
        <w:sym w:font="Symbol" w:char="F03C"/>
      </w:r>
      <w:r w:rsidRPr="00C94EF4">
        <w:t xml:space="preserve"> 75 years age group compared with the </w:t>
      </w:r>
      <w:r w:rsidRPr="00C94EF4">
        <w:sym w:font="Symbol" w:char="F03C"/>
      </w:r>
      <w:r w:rsidRPr="00C94EF4">
        <w:t xml:space="preserve"> 65 years age group at all time points; higher concentrations in females compared with males at all time po</w:t>
      </w:r>
      <w:r>
        <w:t xml:space="preserve">ints; and higher concentrations </w:t>
      </w:r>
      <w:r w:rsidRPr="00C94EF4">
        <w:t>at</w:t>
      </w:r>
      <w:r w:rsidR="00300BDB">
        <w:t xml:space="preserve"> Week 1</w:t>
      </w:r>
      <w:r w:rsidRPr="00C94EF4">
        <w:t>2 and 24 in subjects with mild renal impairment compared with subj</w:t>
      </w:r>
      <w:r>
        <w:t>ects with normal renal function</w:t>
      </w:r>
      <w:r w:rsidRPr="00C94EF4">
        <w:t xml:space="preserve">, with differences between the two groups at </w:t>
      </w:r>
      <w:r w:rsidR="00C42C2F">
        <w:t>W</w:t>
      </w:r>
      <w:r>
        <w:t xml:space="preserve">eeks </w:t>
      </w:r>
      <w:r w:rsidRPr="00C94EF4">
        <w:t>36 and 52 being relatively small. Non</w:t>
      </w:r>
      <w:r w:rsidR="00C42C2F">
        <w:t>e</w:t>
      </w:r>
      <w:r w:rsidRPr="00C94EF4">
        <w:t xml:space="preserve"> of the other sub-</w:t>
      </w:r>
      <w:r>
        <w:t xml:space="preserve">group analyses resulted in noteworthy </w:t>
      </w:r>
      <w:r w:rsidRPr="00C94EF4">
        <w:t xml:space="preserve">differences between </w:t>
      </w:r>
      <w:r>
        <w:t>subjects</w:t>
      </w:r>
      <w:r w:rsidRPr="00C94EF4">
        <w:t xml:space="preserve"> </w:t>
      </w:r>
      <w:r>
        <w:t xml:space="preserve">and </w:t>
      </w:r>
      <w:r w:rsidRPr="00C94EF4">
        <w:t>subject numbers in some sub</w:t>
      </w:r>
      <w:r>
        <w:t>-</w:t>
      </w:r>
      <w:r w:rsidRPr="00C94EF4">
        <w:t>groups were too small for meaningfu</w:t>
      </w:r>
      <w:r>
        <w:t>l comparisons to be made (</w:t>
      </w:r>
      <w:r w:rsidR="00C42C2F">
        <w:t>for example,</w:t>
      </w:r>
      <w:r>
        <w:t xml:space="preserve"> </w:t>
      </w:r>
      <w:r w:rsidRPr="00C94EF4">
        <w:t>hepatic impairment, moderate and severe renal impairment, an</w:t>
      </w:r>
      <w:r>
        <w:t>d subjects aged ≥ 75 years).</w:t>
      </w:r>
    </w:p>
    <w:p w:rsidR="00586F98" w:rsidRDefault="00586F98" w:rsidP="00A47517">
      <w:pPr>
        <w:pStyle w:val="Heading2"/>
      </w:pPr>
      <w:bookmarkStart w:id="51" w:name="_Toc396651348"/>
      <w:r>
        <w:t>Pharmacodynamics</w:t>
      </w:r>
      <w:bookmarkEnd w:id="51"/>
    </w:p>
    <w:p w:rsidR="00C22678" w:rsidRPr="00586F98" w:rsidRDefault="000526AB" w:rsidP="00A47517">
      <w:pPr>
        <w:rPr>
          <w:lang w:eastAsia="ja-JP"/>
        </w:rPr>
      </w:pPr>
      <w:r w:rsidRPr="000526AB">
        <w:rPr>
          <w:lang w:eastAsia="ja-JP"/>
        </w:rPr>
        <w:t>Data relating to pharmacodynamic parameters of immunogenicity and changes in central retinal thickness (CRT) following treatment with VTE are discussed later in this CER. These two parameters are considered to be directly relevant to the clinical efficacy and safety of VTE.</w:t>
      </w:r>
    </w:p>
    <w:p w:rsidR="00586F98" w:rsidRDefault="00C22678" w:rsidP="00A47517">
      <w:pPr>
        <w:pStyle w:val="Heading2"/>
      </w:pPr>
      <w:bookmarkStart w:id="52" w:name="_Toc396651349"/>
      <w:r>
        <w:lastRenderedPageBreak/>
        <w:t xml:space="preserve">Dosage selection for the pivotal </w:t>
      </w:r>
      <w:r w:rsidRPr="00A47517">
        <w:t>studies</w:t>
      </w:r>
      <w:bookmarkEnd w:id="52"/>
    </w:p>
    <w:p w:rsidR="00C22678" w:rsidRPr="00586F98" w:rsidRDefault="000526AB" w:rsidP="00C22678">
      <w:pPr>
        <w:rPr>
          <w:lang w:eastAsia="ja-JP"/>
        </w:rPr>
      </w:pPr>
      <w:r w:rsidRPr="001B02F8">
        <w:t>There w</w:t>
      </w:r>
      <w:r w:rsidR="00C42C2F" w:rsidRPr="001B02F8">
        <w:t>as</w:t>
      </w:r>
      <w:r w:rsidRPr="001B02F8">
        <w:t xml:space="preserve"> no dose ranging studies with VTE in subjects with CRVO</w:t>
      </w:r>
      <w:r w:rsidR="00C42C2F" w:rsidRPr="001B02F8">
        <w:t xml:space="preserve"> submitted</w:t>
      </w:r>
      <w:r w:rsidRPr="001B02F8">
        <w:t>. The rationale for</w:t>
      </w:r>
      <w:r w:rsidRPr="000526AB">
        <w:rPr>
          <w:lang w:eastAsia="ja-JP"/>
        </w:rPr>
        <w:t xml:space="preserve"> the final dose selection of VTE 2 mg via IVT injection every 4 weeks was based on the favourable safety and efficacy profile achieved using the same dosing regimen in the Phase</w:t>
      </w:r>
      <w:r w:rsidR="00C42C2F">
        <w:rPr>
          <w:lang w:eastAsia="ja-JP"/>
        </w:rPr>
        <w:t xml:space="preserve"> II</w:t>
      </w:r>
      <w:r w:rsidRPr="000526AB">
        <w:rPr>
          <w:lang w:eastAsia="ja-JP"/>
        </w:rPr>
        <w:t xml:space="preserve"> AMD study VGFT-OD-0508 (CLEAR-IT) and on the known disease characteristics of CRVO. The sponsor stated that, as the acute critical phase of C</w:t>
      </w:r>
      <w:r w:rsidR="00C42C2F">
        <w:rPr>
          <w:lang w:eastAsia="ja-JP"/>
        </w:rPr>
        <w:t>RVO is characteris</w:t>
      </w:r>
      <w:r w:rsidRPr="000526AB">
        <w:rPr>
          <w:lang w:eastAsia="ja-JP"/>
        </w:rPr>
        <w:t>ed by a larger area of leakage associated with higher intraocular VEGF levels than AMD, it was reasonable to expect that meaningful treatment results could be achieved within 6 months of treat</w:t>
      </w:r>
      <w:r w:rsidR="00C42C2F">
        <w:rPr>
          <w:lang w:eastAsia="ja-JP"/>
        </w:rPr>
        <w:t xml:space="preserve">ment using the 2 mg dose at a 4 </w:t>
      </w:r>
      <w:r w:rsidRPr="000526AB">
        <w:rPr>
          <w:lang w:eastAsia="ja-JP"/>
        </w:rPr>
        <w:t>week interval. The sponsor also stated that VTE via IVT injection is justified and supported by the safety and tolerability profile of the regimen in AMD and DME studies. Furthermore, IVT injection permits direct targeting of VTE to the retina and is associated with only low systemic plasma concentrations that are unlikely to have significant systemic effects.</w:t>
      </w:r>
    </w:p>
    <w:p w:rsidR="00C22678" w:rsidRDefault="00C22678" w:rsidP="00A47517">
      <w:pPr>
        <w:pStyle w:val="Heading2"/>
      </w:pPr>
      <w:bookmarkStart w:id="53" w:name="_Toc396651350"/>
      <w:r>
        <w:t xml:space="preserve">Clinical </w:t>
      </w:r>
      <w:r w:rsidRPr="00A47517">
        <w:t>efficacy</w:t>
      </w:r>
      <w:bookmarkEnd w:id="53"/>
    </w:p>
    <w:p w:rsidR="000526AB" w:rsidRPr="000526AB" w:rsidRDefault="000526AB" w:rsidP="00A47517">
      <w:pPr>
        <w:pStyle w:val="Heading3"/>
      </w:pPr>
      <w:bookmarkStart w:id="54" w:name="_Toc221697257"/>
      <w:bookmarkStart w:id="55" w:name="_Toc396651351"/>
      <w:r w:rsidRPr="00A47517">
        <w:t>Overview</w:t>
      </w:r>
      <w:bookmarkEnd w:id="54"/>
      <w:bookmarkEnd w:id="55"/>
    </w:p>
    <w:p w:rsidR="000526AB" w:rsidRPr="000526AB" w:rsidRDefault="000526AB" w:rsidP="001B02F8">
      <w:pPr>
        <w:rPr>
          <w:lang w:eastAsia="ja-JP"/>
        </w:rPr>
      </w:pPr>
      <w:r w:rsidRPr="000526AB">
        <w:rPr>
          <w:lang w:eastAsia="ja-JP"/>
        </w:rPr>
        <w:t xml:space="preserve">The submission included two completed, pivotal, Phase </w:t>
      </w:r>
      <w:r w:rsidR="00C42C2F">
        <w:rPr>
          <w:lang w:eastAsia="ja-JP"/>
        </w:rPr>
        <w:t>III, randomis</w:t>
      </w:r>
      <w:r w:rsidRPr="000526AB">
        <w:rPr>
          <w:lang w:eastAsia="ja-JP"/>
        </w:rPr>
        <w:t>ed, double-masked, and sham-controlled efficacy and safety studies provided to support the registration of Eylea (VTE) for the treatment of mac</w:t>
      </w:r>
      <w:r w:rsidR="00C42C2F">
        <w:rPr>
          <w:lang w:eastAsia="ja-JP"/>
        </w:rPr>
        <w:t>ular oedema secondary to CRVO: S</w:t>
      </w:r>
      <w:r w:rsidRPr="000526AB">
        <w:rPr>
          <w:lang w:eastAsia="ja-JP"/>
        </w:rPr>
        <w:t>tudy</w:t>
      </w:r>
      <w:r w:rsidR="00C42C2F">
        <w:rPr>
          <w:lang w:eastAsia="ja-JP"/>
        </w:rPr>
        <w:t xml:space="preserve"> VGFT-OD-0819 (COPERNICUS) and S</w:t>
      </w:r>
      <w:r w:rsidRPr="000526AB">
        <w:rPr>
          <w:lang w:eastAsia="ja-JP"/>
        </w:rPr>
        <w:t xml:space="preserve">tudy 14130 (GALILEO). The studies </w:t>
      </w:r>
      <w:r w:rsidR="00C42C2F">
        <w:rPr>
          <w:lang w:eastAsia="ja-JP"/>
        </w:rPr>
        <w:t>included a total of 366 randomis</w:t>
      </w:r>
      <w:r w:rsidRPr="000526AB">
        <w:rPr>
          <w:lang w:eastAsia="ja-JP"/>
        </w:rPr>
        <w:t xml:space="preserve">ed patients. In both studies, the primary efficacy endpoint was the proportion of subjects who gained </w:t>
      </w:r>
      <w:r w:rsidR="00C42C2F">
        <w:rPr>
          <w:lang w:eastAsia="ja-JP"/>
        </w:rPr>
        <w:t>≥</w:t>
      </w:r>
      <w:r w:rsidRPr="000526AB">
        <w:rPr>
          <w:lang w:eastAsia="ja-JP"/>
        </w:rPr>
        <w:t xml:space="preserve"> 15 letters of best corrected visual acuity (BCVA) at</w:t>
      </w:r>
      <w:r w:rsidR="00300BDB">
        <w:rPr>
          <w:lang w:eastAsia="ja-JP"/>
        </w:rPr>
        <w:t xml:space="preserve"> Week 2</w:t>
      </w:r>
      <w:r w:rsidRPr="000526AB">
        <w:rPr>
          <w:lang w:eastAsia="ja-JP"/>
        </w:rPr>
        <w:t xml:space="preserve">4. The primary efficacy endpoint was compared in subjects treated with sham injections and subjects treated with VTE 2 mg via intravitreal (IVT) injections every 4 weeks (VTE2Q4) from </w:t>
      </w:r>
      <w:r w:rsidR="00C42C2F">
        <w:rPr>
          <w:lang w:eastAsia="ja-JP"/>
        </w:rPr>
        <w:t>W</w:t>
      </w:r>
      <w:r w:rsidRPr="000526AB">
        <w:rPr>
          <w:lang w:eastAsia="ja-JP"/>
        </w:rPr>
        <w:t>eek 0 to</w:t>
      </w:r>
      <w:r w:rsidR="00300BDB">
        <w:rPr>
          <w:lang w:eastAsia="ja-JP"/>
        </w:rPr>
        <w:t xml:space="preserve"> Week 2</w:t>
      </w:r>
      <w:r w:rsidRPr="000526AB">
        <w:rPr>
          <w:lang w:eastAsia="ja-JP"/>
        </w:rPr>
        <w:t>0. In both studies, only 1 eye was treated and designated as the study eye, the other eye</w:t>
      </w:r>
      <w:r w:rsidR="001B02F8">
        <w:rPr>
          <w:lang w:eastAsia="ja-JP"/>
        </w:rPr>
        <w:t xml:space="preserve"> was designated the fellow eye.</w:t>
      </w:r>
    </w:p>
    <w:p w:rsidR="000526AB" w:rsidRPr="000526AB" w:rsidRDefault="000526AB" w:rsidP="001B02F8">
      <w:pPr>
        <w:rPr>
          <w:lang w:eastAsia="ja-JP"/>
        </w:rPr>
      </w:pPr>
      <w:r w:rsidRPr="000526AB">
        <w:rPr>
          <w:lang w:eastAsia="ja-JP"/>
        </w:rPr>
        <w:t>In COPERNICUS, after the first 24 weeks of treatment subjects in both the sham and VTE2Q4 groups were eligible for VTE injections administered as needed (PRN) through to</w:t>
      </w:r>
      <w:r w:rsidR="00300BDB">
        <w:rPr>
          <w:lang w:eastAsia="ja-JP"/>
        </w:rPr>
        <w:t xml:space="preserve"> Week 1</w:t>
      </w:r>
      <w:r w:rsidRPr="000526AB">
        <w:rPr>
          <w:lang w:eastAsia="ja-JP"/>
        </w:rPr>
        <w:t>00. In GALILEO, after the first 24 weeks of treatment subjects in the VTE2Q4 group were eligible for</w:t>
      </w:r>
      <w:r w:rsidR="00C42C2F">
        <w:rPr>
          <w:lang w:eastAsia="ja-JP"/>
        </w:rPr>
        <w:t xml:space="preserve"> VTE injections PRN through to</w:t>
      </w:r>
      <w:r w:rsidR="00300BDB">
        <w:rPr>
          <w:lang w:eastAsia="ja-JP"/>
        </w:rPr>
        <w:t xml:space="preserve"> Week 7</w:t>
      </w:r>
      <w:r w:rsidRPr="000526AB">
        <w:rPr>
          <w:lang w:eastAsia="ja-JP"/>
        </w:rPr>
        <w:t>6, while subjects in the sham group continued with</w:t>
      </w:r>
      <w:r w:rsidR="00C42C2F">
        <w:rPr>
          <w:lang w:eastAsia="ja-JP"/>
        </w:rPr>
        <w:t xml:space="preserve"> sham every 4 weeks through to</w:t>
      </w:r>
      <w:r w:rsidR="00300BDB">
        <w:rPr>
          <w:lang w:eastAsia="ja-JP"/>
        </w:rPr>
        <w:t xml:space="preserve"> Week 5</w:t>
      </w:r>
      <w:r w:rsidRPr="000526AB">
        <w:rPr>
          <w:lang w:eastAsia="ja-JP"/>
        </w:rPr>
        <w:t>2 after which they became eligible for VTE PRN through to</w:t>
      </w:r>
      <w:r w:rsidR="00300BDB">
        <w:rPr>
          <w:lang w:eastAsia="ja-JP"/>
        </w:rPr>
        <w:t xml:space="preserve"> Week 7</w:t>
      </w:r>
      <w:r w:rsidR="001B02F8">
        <w:rPr>
          <w:lang w:eastAsia="ja-JP"/>
        </w:rPr>
        <w:t>6.</w:t>
      </w:r>
    </w:p>
    <w:p w:rsidR="000526AB" w:rsidRPr="000526AB" w:rsidRDefault="000526AB" w:rsidP="00A47517">
      <w:pPr>
        <w:pStyle w:val="Heading3"/>
        <w:rPr>
          <w:i/>
        </w:rPr>
      </w:pPr>
      <w:bookmarkStart w:id="56" w:name="_Ref271037274"/>
      <w:bookmarkStart w:id="57" w:name="_Toc272414652"/>
      <w:bookmarkStart w:id="58" w:name="_Toc290846274"/>
      <w:bookmarkStart w:id="59" w:name="_Toc221697258"/>
      <w:bookmarkStart w:id="60" w:name="_Toc396651352"/>
      <w:r w:rsidRPr="000526AB">
        <w:t>Pivotal efficacy studies</w:t>
      </w:r>
      <w:bookmarkEnd w:id="56"/>
      <w:bookmarkEnd w:id="57"/>
      <w:bookmarkEnd w:id="58"/>
      <w:r w:rsidRPr="000526AB">
        <w:t xml:space="preserve"> – </w:t>
      </w:r>
      <w:r w:rsidRPr="00A47517">
        <w:t>GALILEO</w:t>
      </w:r>
      <w:r w:rsidRPr="000526AB">
        <w:t xml:space="preserve"> and COPERNICUS</w:t>
      </w:r>
      <w:bookmarkEnd w:id="59"/>
      <w:bookmarkEnd w:id="60"/>
    </w:p>
    <w:p w:rsidR="000526AB" w:rsidRPr="000526AB" w:rsidRDefault="000526AB" w:rsidP="00A47517">
      <w:pPr>
        <w:pStyle w:val="Heading4"/>
      </w:pPr>
      <w:bookmarkStart w:id="61" w:name="_Toc221697259"/>
      <w:r w:rsidRPr="000526AB">
        <w:t xml:space="preserve">Design, objectives, location </w:t>
      </w:r>
      <w:r w:rsidRPr="00A47517">
        <w:t>and</w:t>
      </w:r>
      <w:r w:rsidRPr="000526AB">
        <w:t xml:space="preserve"> dates</w:t>
      </w:r>
      <w:bookmarkEnd w:id="61"/>
    </w:p>
    <w:p w:rsidR="000526AB" w:rsidRPr="000526AB" w:rsidRDefault="000526AB" w:rsidP="00A47517">
      <w:pPr>
        <w:rPr>
          <w:lang w:eastAsia="ja-JP"/>
        </w:rPr>
      </w:pPr>
      <w:r w:rsidRPr="000526AB">
        <w:rPr>
          <w:lang w:eastAsia="ja-JP"/>
        </w:rPr>
        <w:t xml:space="preserve">COPERNICUS was conducted in approximately 70 centres with the majority of </w:t>
      </w:r>
      <w:r w:rsidR="00300BDB">
        <w:rPr>
          <w:lang w:eastAsia="ja-JP"/>
        </w:rPr>
        <w:t>randomised</w:t>
      </w:r>
      <w:r w:rsidRPr="000526AB">
        <w:rPr>
          <w:lang w:eastAsia="ja-JP"/>
        </w:rPr>
        <w:t xml:space="preserve"> subjects (n=189) being treated in centres in the USA (77.8%), followed by Canada (6.9%), Colombia (6.3%), Israel (5.3%) and India (3.7%). The submission included</w:t>
      </w:r>
      <w:r w:rsidR="00300BDB">
        <w:rPr>
          <w:lang w:eastAsia="ja-JP"/>
        </w:rPr>
        <w:t xml:space="preserve"> Week 2</w:t>
      </w:r>
      <w:r w:rsidRPr="000526AB">
        <w:rPr>
          <w:lang w:eastAsia="ja-JP"/>
        </w:rPr>
        <w:t>4,</w:t>
      </w:r>
      <w:r w:rsidR="00300BDB">
        <w:rPr>
          <w:lang w:eastAsia="ja-JP"/>
        </w:rPr>
        <w:t xml:space="preserve"> Week 5</w:t>
      </w:r>
      <w:r w:rsidRPr="000526AB">
        <w:rPr>
          <w:lang w:eastAsia="ja-JP"/>
        </w:rPr>
        <w:t>2 and</w:t>
      </w:r>
      <w:r w:rsidR="00300BDB">
        <w:rPr>
          <w:lang w:eastAsia="ja-JP"/>
        </w:rPr>
        <w:t xml:space="preserve"> Week 1</w:t>
      </w:r>
      <w:r w:rsidRPr="000526AB">
        <w:rPr>
          <w:lang w:eastAsia="ja-JP"/>
        </w:rPr>
        <w:t>00 Clinical Study Reports (CSRs). For the</w:t>
      </w:r>
      <w:r w:rsidR="00300BDB">
        <w:rPr>
          <w:lang w:eastAsia="ja-JP"/>
        </w:rPr>
        <w:t xml:space="preserve"> Week 2</w:t>
      </w:r>
      <w:r w:rsidRPr="000526AB">
        <w:rPr>
          <w:lang w:eastAsia="ja-JP"/>
        </w:rPr>
        <w:t>4 CSR (Amendment 1) the study period was 8 July 2009 to 21 October 2010, and the date of the report was 20 August 2010; for the</w:t>
      </w:r>
      <w:r w:rsidR="00300BDB">
        <w:rPr>
          <w:lang w:eastAsia="ja-JP"/>
        </w:rPr>
        <w:t xml:space="preserve"> Week 5</w:t>
      </w:r>
      <w:r w:rsidRPr="000526AB">
        <w:rPr>
          <w:lang w:eastAsia="ja-JP"/>
        </w:rPr>
        <w:t>2 CSR (Amendment 1) the study period was 8 July 2009 to 27 April 2011, and the date of the report was 21 August 2012; and for the</w:t>
      </w:r>
      <w:r w:rsidR="00300BDB">
        <w:rPr>
          <w:lang w:eastAsia="ja-JP"/>
        </w:rPr>
        <w:t xml:space="preserve"> Week 1</w:t>
      </w:r>
      <w:r w:rsidRPr="000526AB">
        <w:rPr>
          <w:lang w:eastAsia="ja-JP"/>
        </w:rPr>
        <w:t xml:space="preserve">00 CSR the study period was from 8 July 2009 to 4 April 2012, and the date of </w:t>
      </w:r>
      <w:r w:rsidR="001B02F8">
        <w:rPr>
          <w:lang w:eastAsia="ja-JP"/>
        </w:rPr>
        <w:t>the report was 19 October 2012.</w:t>
      </w:r>
    </w:p>
    <w:p w:rsidR="000526AB" w:rsidRPr="000526AB" w:rsidRDefault="000526AB" w:rsidP="001B02F8">
      <w:pPr>
        <w:rPr>
          <w:lang w:eastAsia="ja-JP"/>
        </w:rPr>
      </w:pPr>
      <w:r w:rsidRPr="000526AB">
        <w:rPr>
          <w:lang w:eastAsia="ja-JP"/>
        </w:rPr>
        <w:t xml:space="preserve">GALILEO was conducted in 63 study sites in 10 countries, Austria (3), France (5), Germany (21), Hungary (5), Italy (7), Latvia (2), Australia (6), Japan (6), Singapore (2), and South Korea (6). Of the 171 </w:t>
      </w:r>
      <w:r w:rsidR="00300BDB">
        <w:rPr>
          <w:lang w:eastAsia="ja-JP"/>
        </w:rPr>
        <w:t>randomised</w:t>
      </w:r>
      <w:r w:rsidRPr="000526AB">
        <w:rPr>
          <w:lang w:eastAsia="ja-JP"/>
        </w:rPr>
        <w:t xml:space="preserve"> subjects, the majority came from European centres (n=121; 70.8%) with the remainder (n=50; 29.2%) coming from Asian/Pacific centres. For the</w:t>
      </w:r>
      <w:r w:rsidR="00300BDB">
        <w:rPr>
          <w:lang w:eastAsia="ja-JP"/>
        </w:rPr>
        <w:t xml:space="preserve"> Week 2</w:t>
      </w:r>
      <w:r w:rsidRPr="000526AB">
        <w:rPr>
          <w:lang w:eastAsia="ja-JP"/>
        </w:rPr>
        <w:t>4 CSR (Amendment 1) the study period was 28 October 2009 to 1 February 2011 and the report was dated 15 August 2012; for the</w:t>
      </w:r>
      <w:r w:rsidR="00300BDB">
        <w:rPr>
          <w:lang w:eastAsia="ja-JP"/>
        </w:rPr>
        <w:t xml:space="preserve"> Week 5</w:t>
      </w:r>
      <w:r w:rsidRPr="000526AB">
        <w:rPr>
          <w:lang w:eastAsia="ja-JP"/>
        </w:rPr>
        <w:t xml:space="preserve">2 CSR (Amendment 1) the study period was 28 October </w:t>
      </w:r>
      <w:r w:rsidRPr="000526AB">
        <w:rPr>
          <w:lang w:eastAsia="ja-JP"/>
        </w:rPr>
        <w:lastRenderedPageBreak/>
        <w:t>2009 to 22 July 2011, and the date of the report was 15 August 2012; and for the</w:t>
      </w:r>
      <w:r w:rsidR="00300BDB">
        <w:rPr>
          <w:lang w:eastAsia="ja-JP"/>
        </w:rPr>
        <w:t xml:space="preserve"> Week 7</w:t>
      </w:r>
      <w:r w:rsidRPr="000526AB">
        <w:rPr>
          <w:lang w:eastAsia="ja-JP"/>
        </w:rPr>
        <w:t>6 CSR the study period was 28 October 2009 to 1 February 2012, and the date of the rep</w:t>
      </w:r>
      <w:r w:rsidR="001B02F8">
        <w:rPr>
          <w:lang w:eastAsia="ja-JP"/>
        </w:rPr>
        <w:t>ort was 8 October 2012.</w:t>
      </w:r>
    </w:p>
    <w:p w:rsidR="000526AB" w:rsidRPr="000526AB" w:rsidRDefault="000526AB" w:rsidP="001B02F8">
      <w:pPr>
        <w:rPr>
          <w:lang w:eastAsia="ja-JP"/>
        </w:rPr>
      </w:pPr>
      <w:r w:rsidRPr="000526AB">
        <w:rPr>
          <w:lang w:eastAsia="ja-JP"/>
        </w:rPr>
        <w:t xml:space="preserve">The </w:t>
      </w:r>
      <w:r w:rsidRPr="000526AB">
        <w:rPr>
          <w:b/>
          <w:lang w:eastAsia="ja-JP"/>
        </w:rPr>
        <w:t>primary objective</w:t>
      </w:r>
      <w:r w:rsidRPr="000526AB">
        <w:rPr>
          <w:lang w:eastAsia="ja-JP"/>
        </w:rPr>
        <w:t xml:space="preserve"> of both studies was to assess the efficacy of VTE IVT injections compared with standard of care (observation [sham injection]) on best corrected visual acuity (BCVA) using the Early Treatment Diabetic Retinopathy Study (ETDRS) protocol in subjects with ma</w:t>
      </w:r>
      <w:r w:rsidR="001B02F8">
        <w:rPr>
          <w:lang w:eastAsia="ja-JP"/>
        </w:rPr>
        <w:t>cular oedema secondary to CRVO.</w:t>
      </w:r>
    </w:p>
    <w:p w:rsidR="000526AB" w:rsidRPr="000526AB" w:rsidRDefault="000526AB" w:rsidP="001B02F8">
      <w:pPr>
        <w:rPr>
          <w:lang w:eastAsia="ja-JP"/>
        </w:rPr>
      </w:pPr>
      <w:r w:rsidRPr="000526AB">
        <w:rPr>
          <w:lang w:eastAsia="ja-JP"/>
        </w:rPr>
        <w:t xml:space="preserve">The </w:t>
      </w:r>
      <w:r w:rsidRPr="000526AB">
        <w:rPr>
          <w:b/>
          <w:lang w:eastAsia="ja-JP"/>
        </w:rPr>
        <w:t>secondary objectives</w:t>
      </w:r>
      <w:r w:rsidRPr="000526AB">
        <w:rPr>
          <w:lang w:eastAsia="ja-JP"/>
        </w:rPr>
        <w:t xml:space="preserve"> of both studies</w:t>
      </w:r>
      <w:r w:rsidRPr="000526AB">
        <w:rPr>
          <w:b/>
          <w:lang w:eastAsia="ja-JP"/>
        </w:rPr>
        <w:t xml:space="preserve"> </w:t>
      </w:r>
      <w:r w:rsidRPr="000526AB">
        <w:rPr>
          <w:lang w:eastAsia="ja-JP"/>
        </w:rPr>
        <w:t>were: (a) assessment of the safety and tolerability of VTE IVT injections compared with standard of care in subjects with macular oedema secondary to CRVO; and (b) assessment of the effects VTE IVT injections compared with standard of care on central retinal thickness (CRT) in subjects with macular oedema secondary to CRVO. In addition, the secondary objectives of GALILEO included assessment the PKs of free and bou</w:t>
      </w:r>
      <w:r w:rsidR="001B02F8">
        <w:rPr>
          <w:lang w:eastAsia="ja-JP"/>
        </w:rPr>
        <w:t>nd VTE in a subset of subjects.</w:t>
      </w:r>
    </w:p>
    <w:p w:rsidR="000526AB" w:rsidRPr="000526AB" w:rsidRDefault="000526AB" w:rsidP="001B02F8">
      <w:pPr>
        <w:rPr>
          <w:lang w:eastAsia="ja-JP"/>
        </w:rPr>
      </w:pPr>
      <w:r w:rsidRPr="000526AB">
        <w:rPr>
          <w:lang w:eastAsia="ja-JP"/>
        </w:rPr>
        <w:t>COPERNICUS planned to enrol approximately 165 subjects; 99 subjects in the VTE treatment group and 66 subjects in the sham treatment group. The study duration was 10</w:t>
      </w:r>
      <w:r w:rsidR="00300BDB">
        <w:rPr>
          <w:lang w:eastAsia="ja-JP"/>
        </w:rPr>
        <w:t>0 weeks (see Figure 1, below).</w:t>
      </w:r>
    </w:p>
    <w:p w:rsidR="000526AB" w:rsidRPr="000526AB" w:rsidRDefault="000526AB" w:rsidP="00A47517">
      <w:pPr>
        <w:pStyle w:val="FigureTitle"/>
        <w:rPr>
          <w:lang w:eastAsia="ja-JP"/>
        </w:rPr>
      </w:pPr>
      <w:bookmarkStart w:id="62" w:name="_Toc221697754"/>
      <w:r w:rsidRPr="000526AB">
        <w:rPr>
          <w:lang w:eastAsia="ja-JP"/>
        </w:rPr>
        <w:t xml:space="preserve">Figure </w:t>
      </w:r>
      <w:r w:rsidR="00084ED5" w:rsidRPr="000526AB">
        <w:rPr>
          <w:lang w:eastAsia="ja-JP"/>
        </w:rPr>
        <w:fldChar w:fldCharType="begin"/>
      </w:r>
      <w:r w:rsidRPr="000526AB">
        <w:rPr>
          <w:lang w:eastAsia="ja-JP"/>
        </w:rPr>
        <w:instrText xml:space="preserve"> SEQ Figure \* ARABIC </w:instrText>
      </w:r>
      <w:r w:rsidR="00084ED5" w:rsidRPr="000526AB">
        <w:rPr>
          <w:lang w:eastAsia="ja-JP"/>
        </w:rPr>
        <w:fldChar w:fldCharType="separate"/>
      </w:r>
      <w:r w:rsidR="00B84D36">
        <w:rPr>
          <w:noProof/>
          <w:lang w:eastAsia="ja-JP"/>
        </w:rPr>
        <w:t>1</w:t>
      </w:r>
      <w:r w:rsidR="00084ED5" w:rsidRPr="000526AB">
        <w:rPr>
          <w:lang w:eastAsia="ja-JP"/>
        </w:rPr>
        <w:fldChar w:fldCharType="end"/>
      </w:r>
      <w:r w:rsidRPr="000526AB">
        <w:rPr>
          <w:lang w:eastAsia="ja-JP"/>
        </w:rPr>
        <w:t xml:space="preserve">: Copernicus – Study </w:t>
      </w:r>
      <w:r w:rsidRPr="00A47517">
        <w:t>design</w:t>
      </w:r>
      <w:r w:rsidRPr="000526AB">
        <w:rPr>
          <w:lang w:eastAsia="ja-JP"/>
        </w:rPr>
        <w:t>.</w:t>
      </w:r>
      <w:bookmarkEnd w:id="62"/>
    </w:p>
    <w:p w:rsidR="00300BDB" w:rsidRDefault="000526AB" w:rsidP="00A47517">
      <w:pPr>
        <w:rPr>
          <w:lang w:eastAsia="ja-JP"/>
        </w:rPr>
      </w:pPr>
      <w:r w:rsidRPr="000526AB">
        <w:rPr>
          <w:noProof/>
          <w:lang w:eastAsia="en-AU"/>
        </w:rPr>
        <w:drawing>
          <wp:inline distT="0" distB="0" distL="0" distR="0" wp14:anchorId="36656A8B" wp14:editId="6BB52E76">
            <wp:extent cx="4240530" cy="1982470"/>
            <wp:effectExtent l="19050" t="0" r="7620" b="0"/>
            <wp:docPr id="1" name="Picture 2" descr="Figure 1: Copernicus –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240530" cy="1982470"/>
                    </a:xfrm>
                    <a:prstGeom prst="rect">
                      <a:avLst/>
                    </a:prstGeom>
                    <a:noFill/>
                    <a:ln w="9525">
                      <a:noFill/>
                      <a:miter lim="800000"/>
                      <a:headEnd/>
                      <a:tailEnd/>
                    </a:ln>
                  </pic:spPr>
                </pic:pic>
              </a:graphicData>
            </a:graphic>
          </wp:inline>
        </w:drawing>
      </w:r>
    </w:p>
    <w:p w:rsidR="000526AB" w:rsidRPr="000526AB" w:rsidRDefault="000526AB" w:rsidP="00A47517">
      <w:pPr>
        <w:rPr>
          <w:lang w:eastAsia="ja-JP"/>
        </w:rPr>
      </w:pPr>
      <w:r w:rsidRPr="000526AB">
        <w:rPr>
          <w:lang w:eastAsia="ja-JP"/>
        </w:rPr>
        <w:t xml:space="preserve">GALILEO planned to enrol 165 subjects; 99 subjects in the VTE treatment group and 66 subjects in the sham treatment group. The study duration was </w:t>
      </w:r>
      <w:r w:rsidR="001B02F8">
        <w:rPr>
          <w:lang w:eastAsia="ja-JP"/>
        </w:rPr>
        <w:t>76 weeks (see Figure 2, below)</w:t>
      </w:r>
      <w:r w:rsidR="00A47517">
        <w:rPr>
          <w:lang w:eastAsia="ja-JP"/>
        </w:rPr>
        <w:t>.</w:t>
      </w:r>
    </w:p>
    <w:p w:rsidR="000526AB" w:rsidRPr="000526AB" w:rsidRDefault="000526AB" w:rsidP="001B02F8">
      <w:pPr>
        <w:pStyle w:val="FigureTitle"/>
        <w:rPr>
          <w:lang w:eastAsia="ja-JP"/>
        </w:rPr>
      </w:pPr>
      <w:bookmarkStart w:id="63" w:name="_Toc221697755"/>
      <w:r w:rsidRPr="000526AB">
        <w:rPr>
          <w:lang w:eastAsia="ja-JP"/>
        </w:rPr>
        <w:t xml:space="preserve">Figure </w:t>
      </w:r>
      <w:r w:rsidR="00084ED5" w:rsidRPr="000526AB">
        <w:rPr>
          <w:lang w:eastAsia="ja-JP"/>
        </w:rPr>
        <w:fldChar w:fldCharType="begin"/>
      </w:r>
      <w:r w:rsidRPr="000526AB">
        <w:rPr>
          <w:lang w:eastAsia="ja-JP"/>
        </w:rPr>
        <w:instrText xml:space="preserve"> SEQ Figure \* ARABIC </w:instrText>
      </w:r>
      <w:r w:rsidR="00084ED5" w:rsidRPr="000526AB">
        <w:rPr>
          <w:lang w:eastAsia="ja-JP"/>
        </w:rPr>
        <w:fldChar w:fldCharType="separate"/>
      </w:r>
      <w:r w:rsidR="00B84D36">
        <w:rPr>
          <w:noProof/>
          <w:lang w:eastAsia="ja-JP"/>
        </w:rPr>
        <w:t>2</w:t>
      </w:r>
      <w:r w:rsidR="00084ED5" w:rsidRPr="000526AB">
        <w:rPr>
          <w:lang w:eastAsia="ja-JP"/>
        </w:rPr>
        <w:fldChar w:fldCharType="end"/>
      </w:r>
      <w:r w:rsidRPr="000526AB">
        <w:rPr>
          <w:lang w:eastAsia="ja-JP"/>
        </w:rPr>
        <w:t>: GALILEO – Study design.</w:t>
      </w:r>
      <w:bookmarkEnd w:id="63"/>
    </w:p>
    <w:p w:rsidR="000526AB" w:rsidRPr="000526AB" w:rsidRDefault="000526AB" w:rsidP="001B02F8">
      <w:pPr>
        <w:rPr>
          <w:lang w:eastAsia="ja-JP"/>
        </w:rPr>
      </w:pPr>
      <w:r w:rsidRPr="000526AB">
        <w:rPr>
          <w:noProof/>
          <w:lang w:eastAsia="en-AU"/>
        </w:rPr>
        <w:drawing>
          <wp:inline distT="0" distB="0" distL="0" distR="0" wp14:anchorId="20C44826" wp14:editId="2510A735">
            <wp:extent cx="4222750" cy="1929130"/>
            <wp:effectExtent l="19050" t="0" r="6350" b="0"/>
            <wp:docPr id="15" name="Picture 3" descr="Figure 2: GALILEO –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222750" cy="1929130"/>
                    </a:xfrm>
                    <a:prstGeom prst="rect">
                      <a:avLst/>
                    </a:prstGeom>
                    <a:noFill/>
                    <a:ln w="9525">
                      <a:noFill/>
                      <a:miter lim="800000"/>
                      <a:headEnd/>
                      <a:tailEnd/>
                    </a:ln>
                  </pic:spPr>
                </pic:pic>
              </a:graphicData>
            </a:graphic>
          </wp:inline>
        </w:drawing>
      </w:r>
    </w:p>
    <w:p w:rsidR="000526AB" w:rsidRPr="000526AB" w:rsidRDefault="000526AB" w:rsidP="00A47517">
      <w:pPr>
        <w:rPr>
          <w:lang w:eastAsia="ja-JP"/>
        </w:rPr>
      </w:pPr>
      <w:r w:rsidRPr="000526AB">
        <w:rPr>
          <w:lang w:eastAsia="ja-JP"/>
        </w:rPr>
        <w:t>In both studies, during screening (</w:t>
      </w:r>
      <w:r w:rsidR="00300BDB">
        <w:rPr>
          <w:lang w:eastAsia="ja-JP"/>
        </w:rPr>
        <w:t>D</w:t>
      </w:r>
      <w:r w:rsidRPr="000526AB">
        <w:rPr>
          <w:lang w:eastAsia="ja-JP"/>
        </w:rPr>
        <w:t xml:space="preserve">ay -21 to </w:t>
      </w:r>
      <w:r w:rsidR="00300BDB">
        <w:rPr>
          <w:lang w:eastAsia="ja-JP"/>
        </w:rPr>
        <w:t>D</w:t>
      </w:r>
      <w:r w:rsidRPr="000526AB">
        <w:rPr>
          <w:lang w:eastAsia="ja-JP"/>
        </w:rPr>
        <w:t>ay 1) subjects signed the consent form and underwent physical and ophthalmic examinations. In addition, laboratory samples were collected for baseline safety laboratory parameters, the National Eye Institute 25-Item Visual Functioning Questionnaire (NEI VFQ-25) quality of life (QOL) was administered, and medical/ophthalmic history and inclusion/ex</w:t>
      </w:r>
      <w:r w:rsidR="001B02F8">
        <w:rPr>
          <w:lang w:eastAsia="ja-JP"/>
        </w:rPr>
        <w:t>clusion criteria were reviewed.</w:t>
      </w:r>
    </w:p>
    <w:p w:rsidR="000526AB" w:rsidRPr="000526AB" w:rsidRDefault="000526AB" w:rsidP="001B02F8">
      <w:pPr>
        <w:rPr>
          <w:lang w:eastAsia="ja-JP"/>
        </w:rPr>
      </w:pPr>
      <w:r w:rsidRPr="000526AB">
        <w:rPr>
          <w:lang w:eastAsia="ja-JP"/>
        </w:rPr>
        <w:lastRenderedPageBreak/>
        <w:t xml:space="preserve">In COPERNICUS, on </w:t>
      </w:r>
      <w:r w:rsidR="00300BDB">
        <w:rPr>
          <w:lang w:eastAsia="ja-JP"/>
        </w:rPr>
        <w:t>D</w:t>
      </w:r>
      <w:r w:rsidRPr="000526AB">
        <w:rPr>
          <w:lang w:eastAsia="ja-JP"/>
        </w:rPr>
        <w:t xml:space="preserve">ay 1 subjects were </w:t>
      </w:r>
      <w:r w:rsidR="00300BDB">
        <w:rPr>
          <w:lang w:eastAsia="ja-JP"/>
        </w:rPr>
        <w:t>randomised</w:t>
      </w:r>
      <w:r w:rsidRPr="000526AB">
        <w:rPr>
          <w:lang w:eastAsia="ja-JP"/>
        </w:rPr>
        <w:t xml:space="preserve"> to VTE2Q4 or sham (3:2 ratio) and treated through to and including</w:t>
      </w:r>
      <w:r w:rsidR="00300BDB">
        <w:rPr>
          <w:lang w:eastAsia="ja-JP"/>
        </w:rPr>
        <w:t xml:space="preserve"> Week 2</w:t>
      </w:r>
      <w:r w:rsidRPr="000526AB">
        <w:rPr>
          <w:lang w:eastAsia="ja-JP"/>
        </w:rPr>
        <w:t>0, with the primary efficacy endpoint being assessed at</w:t>
      </w:r>
      <w:r w:rsidR="00300BDB">
        <w:rPr>
          <w:lang w:eastAsia="ja-JP"/>
        </w:rPr>
        <w:t xml:space="preserve"> Week 2</w:t>
      </w:r>
      <w:r w:rsidRPr="000526AB">
        <w:rPr>
          <w:lang w:eastAsia="ja-JP"/>
        </w:rPr>
        <w:t>4, and treatment from</w:t>
      </w:r>
      <w:r w:rsidR="00300BDB">
        <w:rPr>
          <w:lang w:eastAsia="ja-JP"/>
        </w:rPr>
        <w:t xml:space="preserve"> Week 2</w:t>
      </w:r>
      <w:r w:rsidRPr="000526AB">
        <w:rPr>
          <w:lang w:eastAsia="ja-JP"/>
        </w:rPr>
        <w:t>4 through to</w:t>
      </w:r>
      <w:r w:rsidR="00300BDB">
        <w:rPr>
          <w:lang w:eastAsia="ja-JP"/>
        </w:rPr>
        <w:t xml:space="preserve"> Week 1</w:t>
      </w:r>
      <w:r w:rsidRPr="000526AB">
        <w:rPr>
          <w:lang w:eastAsia="ja-JP"/>
        </w:rPr>
        <w:t>00 being as outl</w:t>
      </w:r>
      <w:r w:rsidR="00300BDB">
        <w:rPr>
          <w:lang w:eastAsia="ja-JP"/>
        </w:rPr>
        <w:t>ined above in Figure 1. In the Week 5</w:t>
      </w:r>
      <w:r w:rsidRPr="000526AB">
        <w:rPr>
          <w:lang w:eastAsia="ja-JP"/>
        </w:rPr>
        <w:t>2 to</w:t>
      </w:r>
      <w:r w:rsidR="00300BDB">
        <w:rPr>
          <w:lang w:eastAsia="ja-JP"/>
        </w:rPr>
        <w:t xml:space="preserve"> Week 1</w:t>
      </w:r>
      <w:r w:rsidRPr="000526AB">
        <w:rPr>
          <w:lang w:eastAsia="ja-JP"/>
        </w:rPr>
        <w:t xml:space="preserve">00 period, subjects were evaluated quarterly and were treated with VTE if they met the pre-specified </w:t>
      </w:r>
      <w:r w:rsidR="00427821">
        <w:rPr>
          <w:lang w:eastAsia="ja-JP"/>
        </w:rPr>
        <w:t xml:space="preserve">re </w:t>
      </w:r>
      <w:r w:rsidR="00C84038">
        <w:rPr>
          <w:lang w:eastAsia="ja-JP"/>
        </w:rPr>
        <w:t>treatment</w:t>
      </w:r>
      <w:r w:rsidRPr="000526AB">
        <w:rPr>
          <w:lang w:eastAsia="ja-JP"/>
        </w:rPr>
        <w:t xml:space="preserve"> criteria. However, in this period VTE could be administered as frequently as every 4 weeks based on the investigator’s opinion. Although </w:t>
      </w:r>
      <w:r w:rsidR="00300BDB">
        <w:rPr>
          <w:lang w:eastAsia="ja-JP"/>
        </w:rPr>
        <w:t>W</w:t>
      </w:r>
      <w:r w:rsidRPr="000526AB">
        <w:rPr>
          <w:lang w:eastAsia="ja-JP"/>
        </w:rPr>
        <w:t>eek 88 was the last mandatory study visit at which a PRN injection could be administered, the last</w:t>
      </w:r>
      <w:r w:rsidR="00300BDB">
        <w:rPr>
          <w:lang w:eastAsia="ja-JP"/>
        </w:rPr>
        <w:t xml:space="preserve"> possible PRN injection was at W</w:t>
      </w:r>
      <w:r w:rsidRPr="000526AB">
        <w:rPr>
          <w:lang w:eastAsia="ja-JP"/>
        </w:rPr>
        <w:t>eek 96 for subject</w:t>
      </w:r>
      <w:r w:rsidR="001B02F8">
        <w:rPr>
          <w:lang w:eastAsia="ja-JP"/>
        </w:rPr>
        <w:t>s receiving monthly injections.</w:t>
      </w:r>
    </w:p>
    <w:p w:rsidR="000526AB" w:rsidRPr="000526AB" w:rsidRDefault="000526AB" w:rsidP="001B02F8">
      <w:pPr>
        <w:rPr>
          <w:lang w:eastAsia="ja-JP"/>
        </w:rPr>
      </w:pPr>
      <w:r w:rsidRPr="000526AB">
        <w:rPr>
          <w:lang w:eastAsia="ja-JP"/>
        </w:rPr>
        <w:t>In GALILEO, on completion of screening and confirmation of study eligibility subjects were randomly assigned to VTE2Q4 or sha</w:t>
      </w:r>
      <w:r w:rsidR="00300BDB">
        <w:rPr>
          <w:lang w:eastAsia="ja-JP"/>
        </w:rPr>
        <w:t>m (3:2 ratio) and treated from D</w:t>
      </w:r>
      <w:r w:rsidRPr="000526AB">
        <w:rPr>
          <w:lang w:eastAsia="ja-JP"/>
        </w:rPr>
        <w:t>ay 1 through to an including</w:t>
      </w:r>
      <w:r w:rsidR="00300BDB">
        <w:rPr>
          <w:lang w:eastAsia="ja-JP"/>
        </w:rPr>
        <w:t xml:space="preserve"> Week 2</w:t>
      </w:r>
      <w:r w:rsidRPr="000526AB">
        <w:rPr>
          <w:lang w:eastAsia="ja-JP"/>
        </w:rPr>
        <w:t>0, with the primary efficacy endpoint being assessed at</w:t>
      </w:r>
      <w:r w:rsidR="00300BDB">
        <w:rPr>
          <w:lang w:eastAsia="ja-JP"/>
        </w:rPr>
        <w:t xml:space="preserve"> Week 2</w:t>
      </w:r>
      <w:r w:rsidRPr="000526AB">
        <w:rPr>
          <w:lang w:eastAsia="ja-JP"/>
        </w:rPr>
        <w:t>4 and treatment from</w:t>
      </w:r>
      <w:r w:rsidR="00300BDB">
        <w:rPr>
          <w:lang w:eastAsia="ja-JP"/>
        </w:rPr>
        <w:t xml:space="preserve"> Week 2</w:t>
      </w:r>
      <w:r w:rsidRPr="000526AB">
        <w:rPr>
          <w:lang w:eastAsia="ja-JP"/>
        </w:rPr>
        <w:t>4 through to</w:t>
      </w:r>
      <w:r w:rsidR="00300BDB">
        <w:rPr>
          <w:lang w:eastAsia="ja-JP"/>
        </w:rPr>
        <w:t xml:space="preserve"> Week 7</w:t>
      </w:r>
      <w:r w:rsidRPr="000526AB">
        <w:rPr>
          <w:lang w:eastAsia="ja-JP"/>
        </w:rPr>
        <w:t>6 as outlined above in Figure</w:t>
      </w:r>
      <w:r w:rsidR="001B02F8">
        <w:rPr>
          <w:lang w:eastAsia="ja-JP"/>
        </w:rPr>
        <w:t xml:space="preserve"> 2.</w:t>
      </w:r>
    </w:p>
    <w:p w:rsidR="000526AB" w:rsidRPr="00300BDB" w:rsidRDefault="000526AB" w:rsidP="00A47517">
      <w:r w:rsidRPr="00300BDB">
        <w:rPr>
          <w:b/>
        </w:rPr>
        <w:t>Comment:</w:t>
      </w:r>
      <w:r w:rsidR="003B6380">
        <w:rPr>
          <w:b/>
        </w:rPr>
        <w:t xml:space="preserve"> </w:t>
      </w:r>
      <w:r w:rsidRPr="00300BDB">
        <w:t xml:space="preserve">Both the pivotal Phase </w:t>
      </w:r>
      <w:r w:rsidR="00300BDB">
        <w:t>III</w:t>
      </w:r>
      <w:r w:rsidRPr="00300BDB">
        <w:t xml:space="preserve"> studies were of similar design with the double-masked control treatment being sham. The studies appear to have been designed before the approval of Lucentis for the treatment of visual impairment due to macular oedema secondary to RVO. The sponsor states the sham control reflected the current standard of care at the inception of the clinical program, namely, observation until progression to anterior segment neova</w:t>
      </w:r>
      <w:r w:rsidR="00300BDB">
        <w:t>scularis</w:t>
      </w:r>
      <w:r w:rsidRPr="00300BDB">
        <w:t>ation at which time treatment typically involved pan-retinal laser photocoagulation. In both studies, the primary efficacy analysis took place at</w:t>
      </w:r>
      <w:r w:rsidR="00300BDB" w:rsidRPr="00300BDB">
        <w:t xml:space="preserve"> Week 2</w:t>
      </w:r>
      <w:r w:rsidRPr="00300BDB">
        <w:t>4 and the studies shared a similar design up to</w:t>
      </w:r>
      <w:r w:rsidR="00300BDB" w:rsidRPr="00300BDB">
        <w:t xml:space="preserve"> Week 2</w:t>
      </w:r>
      <w:r w:rsidRPr="00300BDB">
        <w:t>4. However, after</w:t>
      </w:r>
      <w:r w:rsidR="00300BDB" w:rsidRPr="00300BDB">
        <w:t xml:space="preserve"> Week 2</w:t>
      </w:r>
      <w:r w:rsidRPr="00300BDB">
        <w:t>4, the two studies had different designs (see above, Figures 1 and 2). In COPERNICUS, the sham+VTE PRN group from</w:t>
      </w:r>
      <w:r w:rsidR="00300BDB" w:rsidRPr="00300BDB">
        <w:t xml:space="preserve"> Week 2</w:t>
      </w:r>
      <w:r w:rsidRPr="00300BDB">
        <w:t>4 to</w:t>
      </w:r>
      <w:r w:rsidR="00300BDB" w:rsidRPr="00300BDB">
        <w:t xml:space="preserve"> Week 1</w:t>
      </w:r>
      <w:r w:rsidRPr="00300BDB">
        <w:t>00 included subjects who had been treated with sham or VTE, while in GALILEO the sham group from</w:t>
      </w:r>
      <w:r w:rsidR="00300BDB" w:rsidRPr="00300BDB">
        <w:t xml:space="preserve"> Week 2</w:t>
      </w:r>
      <w:r w:rsidRPr="00300BDB">
        <w:t>4 to</w:t>
      </w:r>
      <w:r w:rsidR="00300BDB" w:rsidRPr="00300BDB">
        <w:t xml:space="preserve"> Week 5</w:t>
      </w:r>
      <w:r w:rsidRPr="00300BDB">
        <w:t>2 included only subjects treated with sham and the sham+VTE PRN group from</w:t>
      </w:r>
      <w:r w:rsidR="00300BDB" w:rsidRPr="00300BDB">
        <w:t xml:space="preserve"> Week 5</w:t>
      </w:r>
      <w:r w:rsidRPr="00300BDB">
        <w:t>2 to</w:t>
      </w:r>
      <w:r w:rsidR="00300BDB" w:rsidRPr="00300BDB">
        <w:t xml:space="preserve"> Week 7</w:t>
      </w:r>
      <w:r w:rsidRPr="00300BDB">
        <w:t>6 included subjects who had been treated with sham or VTE.</w:t>
      </w:r>
    </w:p>
    <w:p w:rsidR="000526AB" w:rsidRPr="000526AB" w:rsidRDefault="000526AB" w:rsidP="00A47517">
      <w:pPr>
        <w:pStyle w:val="Heading4"/>
      </w:pPr>
      <w:bookmarkStart w:id="64" w:name="_Toc221697260"/>
      <w:r w:rsidRPr="00A47517">
        <w:t>Inclusion</w:t>
      </w:r>
      <w:r w:rsidRPr="000526AB">
        <w:t xml:space="preserve"> and exclusion criteria</w:t>
      </w:r>
      <w:bookmarkEnd w:id="64"/>
    </w:p>
    <w:p w:rsidR="000526AB" w:rsidRPr="000526AB" w:rsidRDefault="000526AB" w:rsidP="001B02F8">
      <w:pPr>
        <w:rPr>
          <w:lang w:eastAsia="ja-JP"/>
        </w:rPr>
      </w:pPr>
      <w:r w:rsidRPr="000526AB">
        <w:rPr>
          <w:lang w:eastAsia="ja-JP"/>
        </w:rPr>
        <w:t xml:space="preserve">The </w:t>
      </w:r>
      <w:r w:rsidRPr="000526AB">
        <w:rPr>
          <w:b/>
          <w:lang w:eastAsia="ja-JP"/>
        </w:rPr>
        <w:t>key inclusion</w:t>
      </w:r>
      <w:r w:rsidRPr="000526AB">
        <w:rPr>
          <w:lang w:eastAsia="ja-JP"/>
        </w:rPr>
        <w:t xml:space="preserve"> criteria for </w:t>
      </w:r>
      <w:r w:rsidRPr="000526AB">
        <w:rPr>
          <w:b/>
          <w:lang w:eastAsia="ja-JP"/>
        </w:rPr>
        <w:t>both studies</w:t>
      </w:r>
      <w:r w:rsidR="001B02F8">
        <w:rPr>
          <w:lang w:eastAsia="ja-JP"/>
        </w:rPr>
        <w:t xml:space="preserve"> were:</w:t>
      </w:r>
    </w:p>
    <w:p w:rsidR="000526AB" w:rsidRPr="001B02F8" w:rsidRDefault="000526AB" w:rsidP="001B02F8">
      <w:pPr>
        <w:pStyle w:val="ListBullet"/>
      </w:pPr>
      <w:r w:rsidRPr="001B02F8">
        <w:t>A</w:t>
      </w:r>
      <w:r w:rsidR="001B02F8">
        <w:t>dults at least 18 years of age.</w:t>
      </w:r>
    </w:p>
    <w:p w:rsidR="000526AB" w:rsidRPr="001B02F8" w:rsidRDefault="000526AB" w:rsidP="001B02F8">
      <w:pPr>
        <w:pStyle w:val="ListBullet"/>
      </w:pPr>
      <w:r w:rsidRPr="001B02F8">
        <w:t xml:space="preserve">Centre-involved macular oedema secondary to CRVO with central retinal thickness (CRT) </w:t>
      </w:r>
      <w:r w:rsidR="00300BDB" w:rsidRPr="001B02F8">
        <w:t>≥</w:t>
      </w:r>
      <w:r w:rsidRPr="001B02F8">
        <w:t>250</w:t>
      </w:r>
      <w:r w:rsidR="00300BDB" w:rsidRPr="001B02F8">
        <w:t xml:space="preserve"> µ</w:t>
      </w:r>
      <w:r w:rsidRPr="001B02F8">
        <w:t>m on optical coherence tomography (OCT).</w:t>
      </w:r>
    </w:p>
    <w:p w:rsidR="000526AB" w:rsidRPr="001B02F8" w:rsidRDefault="000526AB" w:rsidP="001B02F8">
      <w:pPr>
        <w:pStyle w:val="ListBullet"/>
      </w:pPr>
      <w:r w:rsidRPr="001B02F8">
        <w:t>Best corrected visual acuity (BCVA), using the Early Treatment Diabetic Retinopathy Study (ETDRS) protocol, of 20/40 to 20/320 (73 to 24 letters) in the study eye.</w:t>
      </w:r>
    </w:p>
    <w:p w:rsidR="000526AB" w:rsidRPr="000526AB" w:rsidRDefault="000526AB" w:rsidP="001B02F8">
      <w:pPr>
        <w:rPr>
          <w:lang w:eastAsia="ja-JP"/>
        </w:rPr>
      </w:pPr>
      <w:r w:rsidRPr="000526AB">
        <w:rPr>
          <w:lang w:eastAsia="ja-JP"/>
        </w:rPr>
        <w:t>The key exclusion criteria for both studies were:</w:t>
      </w:r>
    </w:p>
    <w:p w:rsidR="000526AB" w:rsidRPr="001B02F8" w:rsidRDefault="000526AB" w:rsidP="001B02F8">
      <w:pPr>
        <w:pStyle w:val="ListBullet"/>
      </w:pPr>
      <w:r w:rsidRPr="001B02F8">
        <w:t>Only one functional eye, even if that eye was otherwise eligible for the study. Furthermore, subjects with only one eligible eye were not to have other ocular conditions with poorer prognosis in the fellow eye.</w:t>
      </w:r>
    </w:p>
    <w:p w:rsidR="000526AB" w:rsidRPr="001B02F8" w:rsidRDefault="000526AB" w:rsidP="001B02F8">
      <w:pPr>
        <w:pStyle w:val="ListBullet"/>
      </w:pPr>
      <w:r w:rsidRPr="001B02F8">
        <w:t>Any prior or concomitant ocular (in the study eye) treatment or surgery for macular oedema</w:t>
      </w:r>
      <w:r w:rsidR="00300BDB" w:rsidRPr="001B02F8">
        <w:t xml:space="preserve"> </w:t>
      </w:r>
      <w:r w:rsidRPr="001B02F8">
        <w:t>secondary to CRVO, or syst</w:t>
      </w:r>
      <w:r w:rsidR="001B02F8">
        <w:t>emic use of anti-VEGF products.</w:t>
      </w:r>
    </w:p>
    <w:p w:rsidR="000526AB" w:rsidRPr="001B02F8" w:rsidRDefault="000526AB" w:rsidP="001B02F8">
      <w:pPr>
        <w:pStyle w:val="ListBullet"/>
      </w:pPr>
      <w:r w:rsidRPr="001B02F8">
        <w:t>Any prior or concomitant therapy with another investigational agent to treat macular oedema seco</w:t>
      </w:r>
      <w:r w:rsidR="001B02F8">
        <w:t>ndary to CRVO in the study eye.</w:t>
      </w:r>
    </w:p>
    <w:p w:rsidR="000526AB" w:rsidRPr="001B02F8" w:rsidRDefault="000526AB" w:rsidP="001B02F8">
      <w:pPr>
        <w:pStyle w:val="ListBullet"/>
      </w:pPr>
      <w:r w:rsidRPr="001B02F8">
        <w:t>Any prior treatment with anti-VEGF agents in the study eye or previous administration of systemic anti-angiogenic medications.</w:t>
      </w:r>
    </w:p>
    <w:p w:rsidR="000526AB" w:rsidRPr="001B02F8" w:rsidRDefault="000526AB" w:rsidP="001B02F8">
      <w:pPr>
        <w:pStyle w:val="ListBullet"/>
      </w:pPr>
      <w:r w:rsidRPr="001B02F8">
        <w:t>Bilateral manifestation of RVO.</w:t>
      </w:r>
    </w:p>
    <w:p w:rsidR="000526AB" w:rsidRPr="000526AB" w:rsidRDefault="000526AB" w:rsidP="003B6380">
      <w:pPr>
        <w:rPr>
          <w:lang w:eastAsia="ja-JP"/>
        </w:rPr>
      </w:pPr>
      <w:r w:rsidRPr="000526AB">
        <w:rPr>
          <w:lang w:eastAsia="ja-JP"/>
        </w:rPr>
        <w:t>There were minor differences between the studies in inclusio</w:t>
      </w:r>
      <w:r w:rsidR="003B6380">
        <w:rPr>
          <w:lang w:eastAsia="ja-JP"/>
        </w:rPr>
        <w:t>n/exclusion criteria including:</w:t>
      </w:r>
    </w:p>
    <w:p w:rsidR="000526AB" w:rsidRPr="003B6380" w:rsidRDefault="000526AB" w:rsidP="003B6380">
      <w:pPr>
        <w:pStyle w:val="ListBullet"/>
      </w:pPr>
      <w:r w:rsidRPr="003B6380">
        <w:t>Subjects with a history of allergy to povidone iodine were excluded from the COPERNICUS study, but this was not listed as an</w:t>
      </w:r>
      <w:r w:rsidR="003B6380">
        <w:t xml:space="preserve"> exclusion criterion in GALILEO</w:t>
      </w:r>
      <w:r w:rsidR="00A47517">
        <w:t>.</w:t>
      </w:r>
    </w:p>
    <w:p w:rsidR="000526AB" w:rsidRPr="003B6380" w:rsidRDefault="000526AB" w:rsidP="003B6380">
      <w:pPr>
        <w:pStyle w:val="ListBullet"/>
      </w:pPr>
      <w:r w:rsidRPr="003B6380">
        <w:lastRenderedPageBreak/>
        <w:t xml:space="preserve">Subjects with the prior use of anti-angiogenic drugs in the fellow eye were excluded from the </w:t>
      </w:r>
      <w:r w:rsidRPr="003B6380">
        <w:tab/>
        <w:t>COPERNICUS study, but this was not listed as an</w:t>
      </w:r>
      <w:r w:rsidR="003B6380">
        <w:t xml:space="preserve"> exclusion criterion in GALILEO</w:t>
      </w:r>
      <w:r w:rsidR="00A47517">
        <w:t>.</w:t>
      </w:r>
    </w:p>
    <w:p w:rsidR="000526AB" w:rsidRPr="000526AB" w:rsidRDefault="000526AB" w:rsidP="003B6380">
      <w:pPr>
        <w:rPr>
          <w:lang w:eastAsia="ja-JP"/>
        </w:rPr>
      </w:pPr>
      <w:r w:rsidRPr="000526AB">
        <w:rPr>
          <w:lang w:eastAsia="ja-JP"/>
        </w:rPr>
        <w:t>The inclusion and exclusion criteria for COPERNICUS have been examined and are consistent with those for GALILEO, apart fr</w:t>
      </w:r>
      <w:r w:rsidR="003B6380">
        <w:rPr>
          <w:lang w:eastAsia="ja-JP"/>
        </w:rPr>
        <w:t>om the differences noted above.</w:t>
      </w:r>
    </w:p>
    <w:p w:rsidR="000526AB" w:rsidRPr="000526AB" w:rsidRDefault="000526AB" w:rsidP="003B6380">
      <w:pPr>
        <w:rPr>
          <w:lang w:eastAsia="ja-JP"/>
        </w:rPr>
      </w:pPr>
      <w:r w:rsidRPr="000526AB">
        <w:rPr>
          <w:lang w:eastAsia="ja-JP"/>
        </w:rPr>
        <w:t>Both studies also included criteria for withdrawal in the event of pre-specified events. These criteria have been examined and are considered to appropriate. Both studies also had satisfactory procedures in place to follow-up subjects wh</w:t>
      </w:r>
      <w:r w:rsidR="003D389D">
        <w:rPr>
          <w:lang w:eastAsia="ja-JP"/>
        </w:rPr>
        <w:t>o had prematurely discontinued.</w:t>
      </w:r>
    </w:p>
    <w:p w:rsidR="000526AB" w:rsidRPr="000526AB" w:rsidRDefault="000526AB" w:rsidP="003B6380">
      <w:pPr>
        <w:pStyle w:val="Heading4"/>
      </w:pPr>
      <w:bookmarkStart w:id="65" w:name="_Toc221697261"/>
      <w:r w:rsidRPr="000526AB">
        <w:t>Study treatm</w:t>
      </w:r>
      <w:r w:rsidRPr="003D389D">
        <w:t>e</w:t>
      </w:r>
      <w:r w:rsidRPr="000526AB">
        <w:t>nts</w:t>
      </w:r>
      <w:bookmarkEnd w:id="65"/>
    </w:p>
    <w:p w:rsidR="000526AB" w:rsidRPr="000526AB" w:rsidRDefault="000526AB" w:rsidP="003B6380">
      <w:pPr>
        <w:rPr>
          <w:lang w:eastAsia="ja-JP"/>
        </w:rPr>
      </w:pPr>
      <w:r w:rsidRPr="000526AB">
        <w:rPr>
          <w:lang w:eastAsia="ja-JP"/>
        </w:rPr>
        <w:t>In both studies, VTE was supplied by Regeneron and was administered by IVT injection using standard ophthalmic techniques. It was supplied in sealed, sterile 3 mL (40 mg/mL) single-use vials with a “withdrawable” volume of approximately 0.5 mL. Sham injections, using a syringe barrel without a needle, were performed with no active drug and without intraocular penetration. No dose escalations</w:t>
      </w:r>
      <w:r w:rsidR="003B6380">
        <w:rPr>
          <w:lang w:eastAsia="ja-JP"/>
        </w:rPr>
        <w:t xml:space="preserve"> were allowed during the study.</w:t>
      </w:r>
    </w:p>
    <w:p w:rsidR="000526AB" w:rsidRPr="000526AB" w:rsidRDefault="000526AB" w:rsidP="003B6380">
      <w:pPr>
        <w:rPr>
          <w:lang w:eastAsia="ja-JP"/>
        </w:rPr>
      </w:pPr>
      <w:r w:rsidRPr="000526AB">
        <w:rPr>
          <w:lang w:eastAsia="ja-JP"/>
        </w:rPr>
        <w:t>The treatment regimens through to</w:t>
      </w:r>
      <w:r w:rsidR="00300BDB">
        <w:rPr>
          <w:lang w:eastAsia="ja-JP"/>
        </w:rPr>
        <w:t xml:space="preserve"> Week 1</w:t>
      </w:r>
      <w:r w:rsidRPr="000526AB">
        <w:rPr>
          <w:lang w:eastAsia="ja-JP"/>
        </w:rPr>
        <w:t>00 for COPERNICUS and through to</w:t>
      </w:r>
      <w:r w:rsidR="00300BDB">
        <w:rPr>
          <w:lang w:eastAsia="ja-JP"/>
        </w:rPr>
        <w:t xml:space="preserve"> Week 7</w:t>
      </w:r>
      <w:r w:rsidRPr="000526AB">
        <w:rPr>
          <w:lang w:eastAsia="ja-JP"/>
        </w:rPr>
        <w:t xml:space="preserve">6 for GALILEO are outlined above in Figures 1 and 2. The protocol specified </w:t>
      </w:r>
      <w:r w:rsidR="00427821">
        <w:rPr>
          <w:lang w:eastAsia="ja-JP"/>
        </w:rPr>
        <w:t xml:space="preserve">re </w:t>
      </w:r>
      <w:r w:rsidR="00C84038">
        <w:rPr>
          <w:lang w:eastAsia="ja-JP"/>
        </w:rPr>
        <w:t>treatment</w:t>
      </w:r>
      <w:r w:rsidRPr="000526AB">
        <w:rPr>
          <w:lang w:eastAsia="ja-JP"/>
        </w:rPr>
        <w:t xml:space="preserve"> w</w:t>
      </w:r>
      <w:r w:rsidR="0091044A">
        <w:rPr>
          <w:lang w:eastAsia="ja-JP"/>
        </w:rPr>
        <w:t>as</w:t>
      </w:r>
      <w:r w:rsidRPr="000526AB">
        <w:rPr>
          <w:lang w:eastAsia="ja-JP"/>
        </w:rPr>
        <w:t xml:space="preserve"> similar for the two studies. There were three </w:t>
      </w:r>
      <w:r w:rsidR="00427821">
        <w:rPr>
          <w:lang w:eastAsia="ja-JP"/>
        </w:rPr>
        <w:t xml:space="preserve">re </w:t>
      </w:r>
      <w:r w:rsidR="00C84038">
        <w:rPr>
          <w:lang w:eastAsia="ja-JP"/>
        </w:rPr>
        <w:t>treatment</w:t>
      </w:r>
      <w:r w:rsidRPr="000526AB">
        <w:rPr>
          <w:lang w:eastAsia="ja-JP"/>
        </w:rPr>
        <w:t xml:space="preserve"> criteria specified for deterioration and one </w:t>
      </w:r>
      <w:r w:rsidR="00427821">
        <w:rPr>
          <w:lang w:eastAsia="ja-JP"/>
        </w:rPr>
        <w:t xml:space="preserve">re </w:t>
      </w:r>
      <w:r w:rsidR="00C84038">
        <w:rPr>
          <w:lang w:eastAsia="ja-JP"/>
        </w:rPr>
        <w:t>treatment</w:t>
      </w:r>
      <w:r w:rsidRPr="000526AB">
        <w:rPr>
          <w:lang w:eastAsia="ja-JP"/>
        </w:rPr>
        <w:t xml:space="preserve"> criterion specified for improvement. The </w:t>
      </w:r>
      <w:r w:rsidR="00427821">
        <w:rPr>
          <w:lang w:eastAsia="ja-JP"/>
        </w:rPr>
        <w:t xml:space="preserve">re </w:t>
      </w:r>
      <w:r w:rsidR="00C84038">
        <w:rPr>
          <w:lang w:eastAsia="ja-JP"/>
        </w:rPr>
        <w:t>treatment</w:t>
      </w:r>
      <w:r w:rsidRPr="000526AB">
        <w:rPr>
          <w:lang w:eastAsia="ja-JP"/>
        </w:rPr>
        <w:t xml:space="preserve"> criteria </w:t>
      </w:r>
      <w:r w:rsidR="003B6380">
        <w:rPr>
          <w:lang w:eastAsia="ja-JP"/>
        </w:rPr>
        <w:t>were:</w:t>
      </w:r>
    </w:p>
    <w:p w:rsidR="000526AB" w:rsidRPr="000526AB" w:rsidRDefault="000526AB" w:rsidP="003D389D">
      <w:pPr>
        <w:pStyle w:val="Numberbullet0"/>
        <w:rPr>
          <w:lang w:eastAsia="ja-JP"/>
        </w:rPr>
      </w:pPr>
      <w:r w:rsidRPr="000526AB">
        <w:rPr>
          <w:lang w:eastAsia="ja-JP"/>
        </w:rPr>
        <w:t>Re-treatm</w:t>
      </w:r>
      <w:r w:rsidR="003B6380">
        <w:rPr>
          <w:lang w:eastAsia="ja-JP"/>
        </w:rPr>
        <w:t xml:space="preserve">ent criteria for </w:t>
      </w:r>
      <w:r w:rsidR="003B6380" w:rsidRPr="003D389D">
        <w:t>deterioration</w:t>
      </w:r>
      <w:r w:rsidR="003B6380">
        <w:rPr>
          <w:lang w:eastAsia="ja-JP"/>
        </w:rPr>
        <w:t>:</w:t>
      </w:r>
    </w:p>
    <w:p w:rsidR="000526AB" w:rsidRPr="000526AB" w:rsidRDefault="000526AB" w:rsidP="003B6380">
      <w:pPr>
        <w:pStyle w:val="Numberbullet2"/>
        <w:rPr>
          <w:lang w:eastAsia="ja-JP"/>
        </w:rPr>
      </w:pPr>
      <w:r w:rsidRPr="000526AB">
        <w:rPr>
          <w:lang w:eastAsia="ja-JP"/>
        </w:rPr>
        <w:t xml:space="preserve">greater than 50 </w:t>
      </w:r>
      <w:r w:rsidR="0091044A">
        <w:rPr>
          <w:lang w:eastAsia="ja-JP"/>
        </w:rPr>
        <w:t>µ</w:t>
      </w:r>
      <w:r w:rsidRPr="000526AB">
        <w:rPr>
          <w:lang w:eastAsia="ja-JP"/>
        </w:rPr>
        <w:t>m increase in CRT compared to the lowest previous measurement as assessed by OCT;</w:t>
      </w:r>
    </w:p>
    <w:p w:rsidR="000526AB" w:rsidRPr="000526AB" w:rsidRDefault="000526AB" w:rsidP="003B6380">
      <w:pPr>
        <w:pStyle w:val="Numberbullet2"/>
        <w:rPr>
          <w:lang w:eastAsia="ja-JP"/>
        </w:rPr>
      </w:pPr>
      <w:r w:rsidRPr="000526AB">
        <w:rPr>
          <w:lang w:eastAsia="ja-JP"/>
        </w:rPr>
        <w:t xml:space="preserve">new or persistent cystic retinal changes or sub-retinal fluid as assessed by OCT or persistent diffuse oedema </w:t>
      </w:r>
      <w:r w:rsidR="0091044A">
        <w:rPr>
          <w:lang w:eastAsia="ja-JP"/>
        </w:rPr>
        <w:t>≥</w:t>
      </w:r>
      <w:r w:rsidRPr="000526AB">
        <w:rPr>
          <w:lang w:eastAsia="ja-JP"/>
        </w:rPr>
        <w:t xml:space="preserve"> 250 </w:t>
      </w:r>
      <w:r w:rsidR="0091044A">
        <w:rPr>
          <w:lang w:eastAsia="ja-JP"/>
        </w:rPr>
        <w:t>µ</w:t>
      </w:r>
      <w:r w:rsidRPr="000526AB">
        <w:rPr>
          <w:lang w:eastAsia="ja-JP"/>
        </w:rPr>
        <w:t>m in the central subfield as assessed by OCT;</w:t>
      </w:r>
    </w:p>
    <w:p w:rsidR="000526AB" w:rsidRPr="000526AB" w:rsidRDefault="000526AB" w:rsidP="003B6380">
      <w:pPr>
        <w:pStyle w:val="Numberbullet2"/>
        <w:rPr>
          <w:lang w:eastAsia="ja-JP"/>
        </w:rPr>
      </w:pPr>
      <w:r w:rsidRPr="000526AB">
        <w:rPr>
          <w:lang w:eastAsia="ja-JP"/>
        </w:rPr>
        <w:t>loss of 5 or more letters in BCVA compared to the best previous measurement in conjunction with any increase in CRT as assessed by OCT.</w:t>
      </w:r>
    </w:p>
    <w:p w:rsidR="000526AB" w:rsidRPr="000526AB" w:rsidRDefault="000526AB" w:rsidP="003B6380">
      <w:pPr>
        <w:pStyle w:val="Numberbullet0"/>
        <w:rPr>
          <w:lang w:eastAsia="ja-JP"/>
        </w:rPr>
      </w:pPr>
      <w:r w:rsidRPr="000526AB">
        <w:rPr>
          <w:lang w:eastAsia="ja-JP"/>
        </w:rPr>
        <w:t>Re-treat</w:t>
      </w:r>
      <w:r w:rsidR="003B6380">
        <w:rPr>
          <w:lang w:eastAsia="ja-JP"/>
        </w:rPr>
        <w:t>ment criterion for improvement.</w:t>
      </w:r>
    </w:p>
    <w:p w:rsidR="000526AB" w:rsidRPr="000526AB" w:rsidRDefault="000526AB" w:rsidP="003B6380">
      <w:pPr>
        <w:pStyle w:val="Numberbullet2"/>
        <w:rPr>
          <w:lang w:eastAsia="ja-JP"/>
        </w:rPr>
      </w:pPr>
      <w:r w:rsidRPr="000526AB">
        <w:rPr>
          <w:lang w:eastAsia="ja-JP"/>
        </w:rPr>
        <w:t>increase of 5 or more letters in BCVA compared with the m</w:t>
      </w:r>
      <w:r w:rsidR="003B6380">
        <w:rPr>
          <w:lang w:eastAsia="ja-JP"/>
        </w:rPr>
        <w:t>ost recent previous assessment.</w:t>
      </w:r>
    </w:p>
    <w:p w:rsidR="000526AB" w:rsidRPr="000526AB" w:rsidRDefault="000526AB" w:rsidP="003B6380">
      <w:pPr>
        <w:rPr>
          <w:lang w:eastAsia="ja-JP"/>
        </w:rPr>
      </w:pPr>
      <w:r w:rsidRPr="000526AB">
        <w:rPr>
          <w:lang w:eastAsia="ja-JP"/>
        </w:rPr>
        <w:t>In both studies, any other medication considered necessary for the subject’s welfare, and not expected to interfere with the evaluation of the study drug, could be given at the discretion of the investigator. Subjects were not allowed to receive any medications (approved or investigational) for CRVO in the study eye other than the assigned study treatment until they ha</w:t>
      </w:r>
      <w:r w:rsidRPr="0091044A">
        <w:t>d completed the end of study visit or early termination visit assessments. All subjects, regardless of treatment group, who progressed t</w:t>
      </w:r>
      <w:r w:rsidR="0091044A" w:rsidRPr="0091044A">
        <w:t>o anterior segment neovascularis</w:t>
      </w:r>
      <w:r w:rsidRPr="0091044A">
        <w:t xml:space="preserve">ation, </w:t>
      </w:r>
      <w:r w:rsidR="0091044A">
        <w:t>neovascularis</w:t>
      </w:r>
      <w:r w:rsidR="0091044A" w:rsidRPr="0091044A">
        <w:t>ation of the disc (</w:t>
      </w:r>
      <w:r w:rsidRPr="0091044A">
        <w:t>NVD</w:t>
      </w:r>
      <w:r w:rsidR="0091044A" w:rsidRPr="0091044A">
        <w:t>)</w:t>
      </w:r>
      <w:r w:rsidRPr="0091044A">
        <w:t xml:space="preserve">, or clinically relevant </w:t>
      </w:r>
      <w:r w:rsidR="0091044A">
        <w:t>neovascularis</w:t>
      </w:r>
      <w:r w:rsidR="0091044A" w:rsidRPr="0091044A">
        <w:t>ation elsewhere (</w:t>
      </w:r>
      <w:r w:rsidRPr="0091044A">
        <w:t>NVE</w:t>
      </w:r>
      <w:r w:rsidR="0091044A" w:rsidRPr="0091044A">
        <w:t>)</w:t>
      </w:r>
      <w:r w:rsidRPr="0091044A">
        <w:t>, could receive PRP at any time during the study. In COPERNICUS, subjects treated with PRP could remain in the stu</w:t>
      </w:r>
      <w:r w:rsidRPr="000526AB">
        <w:rPr>
          <w:lang w:eastAsia="ja-JP"/>
        </w:rPr>
        <w:t xml:space="preserve">dy, while in GALILEO subjects treated with PRP were withdrawn from the study but could remain in the study for safety-follow up visits. The fellow eye was not considered an additional study eye and was not eligible to receive VTE. Subjects could not receive any investigational treatment for CRVO in the fellow eye. However, subjects who received treatment for the fellow eye were not required to be withdrawn from the study. Safety of the fellow eye was monitored and all </w:t>
      </w:r>
      <w:r w:rsidR="0091044A">
        <w:rPr>
          <w:lang w:eastAsia="ja-JP"/>
        </w:rPr>
        <w:t>adverse events (</w:t>
      </w:r>
      <w:r w:rsidRPr="000526AB">
        <w:rPr>
          <w:lang w:eastAsia="ja-JP"/>
        </w:rPr>
        <w:t>AEs</w:t>
      </w:r>
      <w:r w:rsidR="0091044A">
        <w:rPr>
          <w:lang w:eastAsia="ja-JP"/>
        </w:rPr>
        <w:t>)</w:t>
      </w:r>
      <w:r w:rsidRPr="000526AB">
        <w:rPr>
          <w:lang w:eastAsia="ja-JP"/>
        </w:rPr>
        <w:t xml:space="preserve"> (ocular and systemic) were collected. Wet AMD in the fellow eye cou</w:t>
      </w:r>
      <w:r w:rsidR="003B6380">
        <w:rPr>
          <w:lang w:eastAsia="ja-JP"/>
        </w:rPr>
        <w:t>ld be treated with ranibizumab.</w:t>
      </w:r>
    </w:p>
    <w:p w:rsidR="000526AB" w:rsidRPr="000526AB" w:rsidRDefault="000526AB" w:rsidP="003D389D">
      <w:pPr>
        <w:pStyle w:val="Heading4"/>
      </w:pPr>
      <w:bookmarkStart w:id="66" w:name="_Toc221697262"/>
      <w:r w:rsidRPr="000526AB">
        <w:t xml:space="preserve">Efficacy procedures and </w:t>
      </w:r>
      <w:r w:rsidRPr="003D389D">
        <w:t>endpoints</w:t>
      </w:r>
      <w:bookmarkEnd w:id="66"/>
    </w:p>
    <w:p w:rsidR="000526AB" w:rsidRPr="000526AB" w:rsidRDefault="000526AB" w:rsidP="003D389D">
      <w:pPr>
        <w:pStyle w:val="Heading5"/>
        <w:rPr>
          <w:lang w:eastAsia="ja-JP"/>
        </w:rPr>
      </w:pPr>
      <w:bookmarkStart w:id="67" w:name="_Toc221697263"/>
      <w:r w:rsidRPr="000526AB">
        <w:rPr>
          <w:lang w:eastAsia="ja-JP"/>
        </w:rPr>
        <w:t>Efficacy procedures</w:t>
      </w:r>
      <w:bookmarkEnd w:id="67"/>
    </w:p>
    <w:p w:rsidR="000526AB" w:rsidRPr="000526AB" w:rsidRDefault="000526AB" w:rsidP="003B6380">
      <w:pPr>
        <w:rPr>
          <w:lang w:eastAsia="ja-JP"/>
        </w:rPr>
      </w:pPr>
      <w:r w:rsidRPr="000526AB">
        <w:rPr>
          <w:lang w:eastAsia="ja-JP"/>
        </w:rPr>
        <w:t>In both COPERNICUS and GALILEO, the following procedures were used t</w:t>
      </w:r>
      <w:r w:rsidR="003D389D">
        <w:rPr>
          <w:lang w:eastAsia="ja-JP"/>
        </w:rPr>
        <w:t>o assess the efficacy endpoints</w:t>
      </w:r>
      <w:r w:rsidRPr="000526AB">
        <w:rPr>
          <w:lang w:eastAsia="ja-JP"/>
        </w:rPr>
        <w:t>:</w:t>
      </w:r>
    </w:p>
    <w:p w:rsidR="000526AB" w:rsidRPr="003B6380" w:rsidRDefault="000526AB" w:rsidP="002F27A1">
      <w:pPr>
        <w:pStyle w:val="Numberbullet0"/>
        <w:numPr>
          <w:ilvl w:val="0"/>
          <w:numId w:val="11"/>
        </w:numPr>
      </w:pPr>
      <w:r w:rsidRPr="003B6380">
        <w:lastRenderedPageBreak/>
        <w:t xml:space="preserve">Best-corrected visual acuity (BCVA) assessed using the ETDRS chart. Assessment was done at 4 metres. If the subject could correctly read only 19 or fewer letters at 4 meters assessment was repeated starting at 1 metre. Visual acuity (VA) examiners were certified to ensure consistent measurement of BCVA and all VA examiners remained </w:t>
      </w:r>
      <w:r w:rsidR="003B6380">
        <w:t>masked to treatment allocation.</w:t>
      </w:r>
    </w:p>
    <w:p w:rsidR="000526AB" w:rsidRPr="003B6380" w:rsidRDefault="000526AB" w:rsidP="003B6380">
      <w:pPr>
        <w:pStyle w:val="Numberbullet0"/>
      </w:pPr>
      <w:r w:rsidRPr="003B6380">
        <w:t xml:space="preserve">Optical coherence tomograph (OCT) was used to assess the retina of the study eye. All OCT images were captured using the Zeiss Stratus OCTTM software and transmitted to and read by </w:t>
      </w:r>
      <w:r w:rsidRPr="003B6380">
        <w:tab/>
        <w:t xml:space="preserve">a masked reader at the Independent Central Reading Center. OCT technicians were certified by the Independent Central Reading Center to ensure the consistency and quality of image acquisition, and all OCT technicians at the site were to remain </w:t>
      </w:r>
      <w:r w:rsidR="003B6380">
        <w:t>masked to treatment assignment.</w:t>
      </w:r>
    </w:p>
    <w:p w:rsidR="003B6380" w:rsidRDefault="000526AB" w:rsidP="003B6380">
      <w:pPr>
        <w:pStyle w:val="Numberbullet0"/>
      </w:pPr>
      <w:r w:rsidRPr="003B6380">
        <w:t>Fundus photography (FP) and fluorescein angiography (FA) were used to assess the retinal vasculature of the study eye. The FP and FA images were transmitted to the Independent Central</w:t>
      </w:r>
      <w:r w:rsidR="0091044A" w:rsidRPr="003B6380">
        <w:t xml:space="preserve"> </w:t>
      </w:r>
      <w:r w:rsidRPr="003B6380">
        <w:t xml:space="preserve">Reading Center and read by masked readers ensure consistency and quality of image acquisition. All FP/FA technicians at the site were to remain </w:t>
      </w:r>
      <w:r w:rsidR="003B6380">
        <w:t>masked to treatment assignment.</w:t>
      </w:r>
    </w:p>
    <w:p w:rsidR="000526AB" w:rsidRPr="003B6380" w:rsidRDefault="000526AB" w:rsidP="003B6380">
      <w:pPr>
        <w:pStyle w:val="Numberbullet0"/>
      </w:pPr>
      <w:r w:rsidRPr="003B6380">
        <w:t>Vision-related quality of life (QOL) was assessed using the NEI VFQ-25 questionnaire in the interviewer-administered format and the local language and administered by masked study personnel.</w:t>
      </w:r>
    </w:p>
    <w:p w:rsidR="000526AB" w:rsidRPr="003B6380" w:rsidRDefault="000526AB" w:rsidP="003B6380">
      <w:pPr>
        <w:pStyle w:val="Numberbullet0"/>
      </w:pPr>
      <w:r w:rsidRPr="003B6380">
        <w:t>In GALILEO, the overall state of health was assessed using the EQ-5D health questionnaire. The EQ-5D consists of five dimensions: Mobility, Self-care, Usual activities, Pain/discomfort, and Anxiety/depression. Each dimension has three levels, reflecting no health problems (Level 1), moderate health problems, and extreme health problems (Level 3). The questionnaire, in the local language, was administered, preferably before starting any other visit-re</w:t>
      </w:r>
      <w:r w:rsidR="0091044A" w:rsidRPr="003B6380">
        <w:t>lated procedure, on Day 1, and W</w:t>
      </w:r>
      <w:r w:rsidRPr="003B6380">
        <w:t>eeks 24, 52, and 76. In the event that a subject could not read the questionnaire due to visual impairment, the questionnaire was administered by m</w:t>
      </w:r>
      <w:r w:rsidR="003B6380">
        <w:t>asked study personnel.</w:t>
      </w:r>
    </w:p>
    <w:p w:rsidR="000526AB" w:rsidRPr="000526AB" w:rsidRDefault="000526AB" w:rsidP="003B6380">
      <w:pPr>
        <w:pStyle w:val="Heading5"/>
        <w:rPr>
          <w:lang w:eastAsia="ja-JP"/>
        </w:rPr>
      </w:pPr>
      <w:bookmarkStart w:id="68" w:name="_Toc221697264"/>
      <w:r w:rsidRPr="000526AB">
        <w:rPr>
          <w:lang w:eastAsia="ja-JP"/>
        </w:rPr>
        <w:t>Efficacy endpoints</w:t>
      </w:r>
      <w:bookmarkEnd w:id="68"/>
    </w:p>
    <w:p w:rsidR="000526AB" w:rsidRPr="000526AB" w:rsidRDefault="000526AB" w:rsidP="003B6380">
      <w:pPr>
        <w:rPr>
          <w:lang w:eastAsia="ja-JP"/>
        </w:rPr>
      </w:pPr>
      <w:r w:rsidRPr="000526AB">
        <w:rPr>
          <w:lang w:eastAsia="ja-JP"/>
        </w:rPr>
        <w:t xml:space="preserve">The </w:t>
      </w:r>
      <w:r w:rsidRPr="000526AB">
        <w:rPr>
          <w:b/>
          <w:lang w:eastAsia="ja-JP"/>
        </w:rPr>
        <w:t>primary efficacy endpoint</w:t>
      </w:r>
      <w:r w:rsidR="003B6380">
        <w:rPr>
          <w:lang w:eastAsia="ja-JP"/>
        </w:rPr>
        <w:t xml:space="preserve"> in COPERNICUS and GALILEO was:</w:t>
      </w:r>
    </w:p>
    <w:p w:rsidR="000526AB" w:rsidRPr="000526AB" w:rsidRDefault="000526AB" w:rsidP="003B6380">
      <w:pPr>
        <w:pStyle w:val="ListBullet"/>
        <w:rPr>
          <w:lang w:eastAsia="ja-JP"/>
        </w:rPr>
      </w:pPr>
      <w:r w:rsidRPr="000526AB">
        <w:rPr>
          <w:lang w:eastAsia="ja-JP"/>
        </w:rPr>
        <w:t>the proportion of subjects who gained 15 letters or more of BCVA (using the ETDRS protocol) at Week 24 from baseline.</w:t>
      </w:r>
    </w:p>
    <w:p w:rsidR="000526AB" w:rsidRPr="000526AB" w:rsidRDefault="000526AB" w:rsidP="003B6380">
      <w:pPr>
        <w:rPr>
          <w:lang w:eastAsia="ja-JP"/>
        </w:rPr>
      </w:pPr>
      <w:r w:rsidRPr="000526AB">
        <w:rPr>
          <w:lang w:eastAsia="ja-JP"/>
        </w:rPr>
        <w:t xml:space="preserve">The </w:t>
      </w:r>
      <w:r w:rsidRPr="000526AB">
        <w:rPr>
          <w:b/>
          <w:lang w:eastAsia="ja-JP"/>
        </w:rPr>
        <w:t>secondary efficacy endpoints</w:t>
      </w:r>
      <w:r w:rsidRPr="000526AB">
        <w:rPr>
          <w:lang w:eastAsia="ja-JP"/>
        </w:rPr>
        <w:t xml:space="preserve"> in COPERNICUS and GALILEO were:</w:t>
      </w:r>
    </w:p>
    <w:p w:rsidR="000526AB" w:rsidRPr="003B6380" w:rsidRDefault="000526AB" w:rsidP="003B6380">
      <w:pPr>
        <w:pStyle w:val="ListBullet"/>
      </w:pPr>
      <w:r w:rsidRPr="003B6380">
        <w:t>change in BCVA from baseline to</w:t>
      </w:r>
      <w:r w:rsidR="00300BDB" w:rsidRPr="003B6380">
        <w:t xml:space="preserve"> Week 2</w:t>
      </w:r>
      <w:r w:rsidR="003B6380">
        <w:t>4;</w:t>
      </w:r>
    </w:p>
    <w:p w:rsidR="000526AB" w:rsidRPr="003B6380" w:rsidRDefault="000526AB" w:rsidP="003B6380">
      <w:pPr>
        <w:pStyle w:val="ListBullet"/>
      </w:pPr>
      <w:r w:rsidRPr="003B6380">
        <w:t>change in CRT from baseline to</w:t>
      </w:r>
      <w:r w:rsidR="00300BDB" w:rsidRPr="003B6380">
        <w:t xml:space="preserve"> Week 2</w:t>
      </w:r>
      <w:r w:rsidRPr="003B6380">
        <w:t>4;</w:t>
      </w:r>
    </w:p>
    <w:p w:rsidR="000526AB" w:rsidRPr="003B6380" w:rsidRDefault="000526AB" w:rsidP="003B6380">
      <w:pPr>
        <w:pStyle w:val="ListBullet"/>
      </w:pPr>
      <w:r w:rsidRPr="003B6380">
        <w:t xml:space="preserve">proportion of subjects progressing to any </w:t>
      </w:r>
      <w:r w:rsidR="00ED3DEB" w:rsidRPr="003B6380">
        <w:t>neovascularisation</w:t>
      </w:r>
      <w:r w:rsidRPr="003B6380">
        <w:t xml:space="preserve"> at</w:t>
      </w:r>
      <w:r w:rsidR="00300BDB" w:rsidRPr="003B6380">
        <w:t xml:space="preserve"> Week 2</w:t>
      </w:r>
      <w:r w:rsidRPr="003B6380">
        <w:t>4;</w:t>
      </w:r>
    </w:p>
    <w:p w:rsidR="000526AB" w:rsidRPr="003B6380" w:rsidRDefault="000526AB" w:rsidP="003B6380">
      <w:pPr>
        <w:pStyle w:val="ListBullet"/>
      </w:pPr>
      <w:r w:rsidRPr="003B6380">
        <w:t>change in NEI VFQ-25 total score from baseline to</w:t>
      </w:r>
      <w:r w:rsidR="00300BDB" w:rsidRPr="003B6380">
        <w:t xml:space="preserve"> Week 2</w:t>
      </w:r>
      <w:r w:rsidR="003B6380">
        <w:t>4.</w:t>
      </w:r>
    </w:p>
    <w:p w:rsidR="000526AB" w:rsidRPr="000526AB" w:rsidRDefault="000526AB" w:rsidP="003B6380">
      <w:pPr>
        <w:rPr>
          <w:lang w:eastAsia="ja-JP"/>
        </w:rPr>
      </w:pPr>
      <w:r w:rsidRPr="000526AB">
        <w:rPr>
          <w:lang w:eastAsia="ja-JP"/>
        </w:rPr>
        <w:t>GALILEO also included the change in the EQ-5D score from baseline to</w:t>
      </w:r>
      <w:r w:rsidR="00300BDB">
        <w:rPr>
          <w:lang w:eastAsia="ja-JP"/>
        </w:rPr>
        <w:t xml:space="preserve"> Week 2</w:t>
      </w:r>
      <w:r w:rsidRPr="000526AB">
        <w:rPr>
          <w:lang w:eastAsia="ja-JP"/>
        </w:rPr>
        <w:t>4</w:t>
      </w:r>
      <w:r w:rsidR="003B6380">
        <w:rPr>
          <w:lang w:eastAsia="ja-JP"/>
        </w:rPr>
        <w:t xml:space="preserve"> a secondary efficacy endpoint.</w:t>
      </w:r>
    </w:p>
    <w:p w:rsidR="000526AB" w:rsidRPr="000526AB" w:rsidRDefault="000526AB" w:rsidP="003B6380">
      <w:pPr>
        <w:rPr>
          <w:lang w:eastAsia="ja-JP"/>
        </w:rPr>
      </w:pPr>
      <w:r w:rsidRPr="000526AB">
        <w:rPr>
          <w:lang w:eastAsia="ja-JP"/>
        </w:rPr>
        <w:t xml:space="preserve">The </w:t>
      </w:r>
      <w:r w:rsidRPr="000526AB">
        <w:rPr>
          <w:b/>
          <w:lang w:eastAsia="ja-JP"/>
        </w:rPr>
        <w:t>tertiary efficacy endpoints</w:t>
      </w:r>
      <w:r w:rsidRPr="000526AB">
        <w:rPr>
          <w:lang w:eastAsia="ja-JP"/>
        </w:rPr>
        <w:t xml:space="preserve"> in COPERNICUS and GALILEO were: (1) changes in the NEI VFQ-25 subscales (distance activities, near activities, and vision dependency from</w:t>
      </w:r>
      <w:r w:rsidR="00300BDB">
        <w:rPr>
          <w:lang w:eastAsia="ja-JP"/>
        </w:rPr>
        <w:t xml:space="preserve"> Week 2</w:t>
      </w:r>
      <w:r w:rsidRPr="000526AB">
        <w:rPr>
          <w:lang w:eastAsia="ja-JP"/>
        </w:rPr>
        <w:t xml:space="preserve">4); (2) proportion of subjects gaining </w:t>
      </w:r>
      <w:r w:rsidR="0091044A">
        <w:rPr>
          <w:lang w:eastAsia="ja-JP"/>
        </w:rPr>
        <w:t>≥</w:t>
      </w:r>
      <w:r w:rsidRPr="000526AB">
        <w:rPr>
          <w:lang w:eastAsia="ja-JP"/>
        </w:rPr>
        <w:t xml:space="preserve"> 15 letters from baseline to</w:t>
      </w:r>
      <w:r w:rsidR="00300BDB">
        <w:rPr>
          <w:lang w:eastAsia="ja-JP"/>
        </w:rPr>
        <w:t xml:space="preserve"> Week 5</w:t>
      </w:r>
      <w:r w:rsidRPr="000526AB">
        <w:rPr>
          <w:lang w:eastAsia="ja-JP"/>
        </w:rPr>
        <w:t>2; (3) change from baseline in BCVA score at</w:t>
      </w:r>
      <w:r w:rsidR="00300BDB">
        <w:rPr>
          <w:lang w:eastAsia="ja-JP"/>
        </w:rPr>
        <w:t xml:space="preserve"> Week 5</w:t>
      </w:r>
      <w:r w:rsidRPr="000526AB">
        <w:rPr>
          <w:lang w:eastAsia="ja-JP"/>
        </w:rPr>
        <w:t>2; (4) change from baseline in CRT at</w:t>
      </w:r>
      <w:r w:rsidR="00300BDB">
        <w:rPr>
          <w:lang w:eastAsia="ja-JP"/>
        </w:rPr>
        <w:t xml:space="preserve"> Week 5</w:t>
      </w:r>
      <w:r w:rsidRPr="000526AB">
        <w:rPr>
          <w:lang w:eastAsia="ja-JP"/>
        </w:rPr>
        <w:t>2; (5) proportion of subje</w:t>
      </w:r>
      <w:r w:rsidR="0091044A">
        <w:rPr>
          <w:lang w:eastAsia="ja-JP"/>
        </w:rPr>
        <w:t>cts progressing to neovascularis</w:t>
      </w:r>
      <w:r w:rsidRPr="000526AB">
        <w:rPr>
          <w:lang w:eastAsia="ja-JP"/>
        </w:rPr>
        <w:t>ation by</w:t>
      </w:r>
      <w:r w:rsidR="00300BDB">
        <w:rPr>
          <w:lang w:eastAsia="ja-JP"/>
        </w:rPr>
        <w:t xml:space="preserve"> Week 5</w:t>
      </w:r>
      <w:r w:rsidRPr="000526AB">
        <w:rPr>
          <w:lang w:eastAsia="ja-JP"/>
        </w:rPr>
        <w:t>2; (6) change from baseline in the NEI VFQ-25 total score at</w:t>
      </w:r>
      <w:r w:rsidR="00300BDB">
        <w:rPr>
          <w:lang w:eastAsia="ja-JP"/>
        </w:rPr>
        <w:t xml:space="preserve"> Week 5</w:t>
      </w:r>
      <w:r w:rsidRPr="000526AB">
        <w:rPr>
          <w:lang w:eastAsia="ja-JP"/>
        </w:rPr>
        <w:t>2; (7) changes in the NEI VFQ-25 subscales from baseline to</w:t>
      </w:r>
      <w:r w:rsidR="00300BDB">
        <w:rPr>
          <w:lang w:eastAsia="ja-JP"/>
        </w:rPr>
        <w:t xml:space="preserve"> Week 5</w:t>
      </w:r>
      <w:r w:rsidRPr="000526AB">
        <w:rPr>
          <w:lang w:eastAsia="ja-JP"/>
        </w:rPr>
        <w:t>2. GALILEO also included the change in the EQ-5D score from baseline to</w:t>
      </w:r>
      <w:r w:rsidR="00300BDB">
        <w:rPr>
          <w:lang w:eastAsia="ja-JP"/>
        </w:rPr>
        <w:t xml:space="preserve"> Week 5</w:t>
      </w:r>
      <w:r w:rsidRPr="000526AB">
        <w:rPr>
          <w:lang w:eastAsia="ja-JP"/>
        </w:rPr>
        <w:t>2, and time to firs</w:t>
      </w:r>
      <w:r w:rsidR="0091044A">
        <w:rPr>
          <w:lang w:eastAsia="ja-JP"/>
        </w:rPr>
        <w:t>t anterior segment neovascularis</w:t>
      </w:r>
      <w:r w:rsidRPr="000526AB">
        <w:rPr>
          <w:lang w:eastAsia="ja-JP"/>
        </w:rPr>
        <w:t xml:space="preserve">ation, NVD or NVE as tertiary efficacy endpoints. In </w:t>
      </w:r>
      <w:r w:rsidRPr="000526AB">
        <w:rPr>
          <w:lang w:eastAsia="ja-JP"/>
        </w:rPr>
        <w:lastRenderedPageBreak/>
        <w:t>COPERNICUS a set of tertiary efficacy endpoints were also assessed at</w:t>
      </w:r>
      <w:r w:rsidR="00300BDB">
        <w:rPr>
          <w:lang w:eastAsia="ja-JP"/>
        </w:rPr>
        <w:t xml:space="preserve"> Week 1</w:t>
      </w:r>
      <w:r w:rsidRPr="000526AB">
        <w:rPr>
          <w:lang w:eastAsia="ja-JP"/>
        </w:rPr>
        <w:t>00 and additional (exploratory) efficacy</w:t>
      </w:r>
      <w:r w:rsidRPr="000526AB">
        <w:rPr>
          <w:b/>
          <w:lang w:eastAsia="ja-JP"/>
        </w:rPr>
        <w:t xml:space="preserve"> </w:t>
      </w:r>
      <w:r w:rsidRPr="000526AB">
        <w:rPr>
          <w:lang w:eastAsia="ja-JP"/>
        </w:rPr>
        <w:t>endpoints were assessed at</w:t>
      </w:r>
      <w:r w:rsidR="00300BDB">
        <w:rPr>
          <w:lang w:eastAsia="ja-JP"/>
        </w:rPr>
        <w:t xml:space="preserve"> Week 7</w:t>
      </w:r>
      <w:r w:rsidR="003B6380">
        <w:rPr>
          <w:lang w:eastAsia="ja-JP"/>
        </w:rPr>
        <w:t>6 in GALILEO.</w:t>
      </w:r>
    </w:p>
    <w:p w:rsidR="000526AB" w:rsidRPr="003B6380" w:rsidRDefault="000526AB" w:rsidP="003D389D">
      <w:r w:rsidRPr="0091044A">
        <w:rPr>
          <w:b/>
        </w:rPr>
        <w:t>Comment</w:t>
      </w:r>
      <w:r w:rsidRPr="003B6380">
        <w:t>:</w:t>
      </w:r>
      <w:r w:rsidR="0091044A" w:rsidRPr="003B6380">
        <w:t xml:space="preserve"> </w:t>
      </w:r>
      <w:r w:rsidRPr="003B6380">
        <w:t xml:space="preserve">The efficacy endpoints are all considered to be satisfactory. The ETDRS protocol used to assess BCVA is considered to be appropriate and has been used to assess changes in BCVA in other submissions relating to IVT injections to treat macular oedema secondary to RVO (Lucentis), AMD (Lucentis and Eylea) and DM (Lucentis). In addition, the proportion of subjects who gained at least 15 ETDRS in BCVA and the changes from baseline in mean BCVA have both been used to assess efficacy in pivotal Phase </w:t>
      </w:r>
      <w:r w:rsidR="0091044A" w:rsidRPr="003B6380">
        <w:t>III</w:t>
      </w:r>
      <w:r w:rsidRPr="003B6380">
        <w:t xml:space="preserve"> studies of medicines to treat macular oedema irrespective of the underlying aetiology</w:t>
      </w:r>
      <w:r w:rsidR="003B6380">
        <w:t>.</w:t>
      </w:r>
    </w:p>
    <w:p w:rsidR="000526AB" w:rsidRPr="000526AB" w:rsidRDefault="000526AB" w:rsidP="003B6380">
      <w:pPr>
        <w:pStyle w:val="Heading4"/>
      </w:pPr>
      <w:bookmarkStart w:id="69" w:name="_Toc221697265"/>
      <w:r w:rsidRPr="000526AB">
        <w:t>Randomi</w:t>
      </w:r>
      <w:r w:rsidR="0091044A">
        <w:t>s</w:t>
      </w:r>
      <w:r w:rsidRPr="000526AB">
        <w:t>ation and masking methods</w:t>
      </w:r>
      <w:bookmarkEnd w:id="69"/>
    </w:p>
    <w:p w:rsidR="000526AB" w:rsidRPr="000526AB" w:rsidRDefault="000526AB" w:rsidP="003B6380">
      <w:pPr>
        <w:pStyle w:val="Heading5"/>
        <w:rPr>
          <w:lang w:eastAsia="ja-JP"/>
        </w:rPr>
      </w:pPr>
      <w:bookmarkStart w:id="70" w:name="_Toc221697266"/>
      <w:r w:rsidRPr="000526AB">
        <w:rPr>
          <w:lang w:eastAsia="ja-JP"/>
        </w:rPr>
        <w:t>Randomi</w:t>
      </w:r>
      <w:r w:rsidR="0091044A">
        <w:rPr>
          <w:lang w:eastAsia="ja-JP"/>
        </w:rPr>
        <w:t>s</w:t>
      </w:r>
      <w:r w:rsidRPr="000526AB">
        <w:rPr>
          <w:lang w:eastAsia="ja-JP"/>
        </w:rPr>
        <w:t>ation</w:t>
      </w:r>
      <w:bookmarkEnd w:id="70"/>
    </w:p>
    <w:p w:rsidR="000526AB" w:rsidRPr="000526AB" w:rsidRDefault="0091044A" w:rsidP="003B6380">
      <w:pPr>
        <w:rPr>
          <w:lang w:eastAsia="ja-JP"/>
        </w:rPr>
      </w:pPr>
      <w:r>
        <w:rPr>
          <w:lang w:eastAsia="ja-JP"/>
        </w:rPr>
        <w:t>In COPERNICUS, centralis</w:t>
      </w:r>
      <w:r w:rsidR="000526AB" w:rsidRPr="000526AB">
        <w:rPr>
          <w:lang w:eastAsia="ja-JP"/>
        </w:rPr>
        <w:t>ed randomi</w:t>
      </w:r>
      <w:r>
        <w:rPr>
          <w:lang w:eastAsia="ja-JP"/>
        </w:rPr>
        <w:t>s</w:t>
      </w:r>
      <w:r w:rsidR="000526AB" w:rsidRPr="000526AB">
        <w:rPr>
          <w:lang w:eastAsia="ja-JP"/>
        </w:rPr>
        <w:t>ation stratified by geographic region (North America v</w:t>
      </w:r>
      <w:r>
        <w:rPr>
          <w:lang w:eastAsia="ja-JP"/>
        </w:rPr>
        <w:t>ersu</w:t>
      </w:r>
      <w:r w:rsidR="000526AB" w:rsidRPr="000526AB">
        <w:rPr>
          <w:lang w:eastAsia="ja-JP"/>
        </w:rPr>
        <w:t>s Rest of World) was undertaken by IRVS. In addition, subjects were stratified by baseline BCVA (&gt; 20/200 [letters read 35 to 73] v</w:t>
      </w:r>
      <w:r>
        <w:rPr>
          <w:lang w:eastAsia="ja-JP"/>
        </w:rPr>
        <w:t>ersu</w:t>
      </w:r>
      <w:r w:rsidR="000526AB" w:rsidRPr="000526AB">
        <w:rPr>
          <w:lang w:eastAsia="ja-JP"/>
        </w:rPr>
        <w:t xml:space="preserve">s </w:t>
      </w:r>
      <w:r>
        <w:rPr>
          <w:lang w:eastAsia="ja-JP"/>
        </w:rPr>
        <w:t>≤</w:t>
      </w:r>
      <w:r w:rsidR="000526AB" w:rsidRPr="000526AB">
        <w:rPr>
          <w:lang w:eastAsia="ja-JP"/>
        </w:rPr>
        <w:t xml:space="preserve"> 20/200 [read 34 to 24]). It was anticipated that subjects with baseline BCVA </w:t>
      </w:r>
      <w:r>
        <w:rPr>
          <w:lang w:eastAsia="ja-JP"/>
        </w:rPr>
        <w:t>≤</w:t>
      </w:r>
      <w:r w:rsidR="000526AB" w:rsidRPr="000526AB">
        <w:rPr>
          <w:lang w:eastAsia="ja-JP"/>
        </w:rPr>
        <w:t xml:space="preserve"> 20/200 would more likely have ischaemic CRVO or be more likely to develop this condition.</w:t>
      </w:r>
    </w:p>
    <w:p w:rsidR="000526AB" w:rsidRPr="000526AB" w:rsidRDefault="000526AB" w:rsidP="003B6380">
      <w:pPr>
        <w:rPr>
          <w:lang w:eastAsia="ja-JP"/>
        </w:rPr>
      </w:pPr>
      <w:r w:rsidRPr="000526AB">
        <w:rPr>
          <w:lang w:eastAsia="ja-JP"/>
        </w:rPr>
        <w:t xml:space="preserve">In GALILEO, subjects were </w:t>
      </w:r>
      <w:r w:rsidR="00300BDB">
        <w:rPr>
          <w:lang w:eastAsia="ja-JP"/>
        </w:rPr>
        <w:t>randomised</w:t>
      </w:r>
      <w:r w:rsidRPr="000526AB">
        <w:rPr>
          <w:lang w:eastAsia="ja-JP"/>
        </w:rPr>
        <w:t xml:space="preserve"> based on stratification factors of geographic region (Europe</w:t>
      </w:r>
      <w:r w:rsidR="0091044A">
        <w:rPr>
          <w:lang w:eastAsia="ja-JP"/>
        </w:rPr>
        <w:t xml:space="preserve"> versus </w:t>
      </w:r>
      <w:r w:rsidRPr="000526AB">
        <w:rPr>
          <w:lang w:eastAsia="ja-JP"/>
        </w:rPr>
        <w:t>Asia/Pacific) and baseline BCVA (</w:t>
      </w:r>
      <w:r w:rsidR="0091044A">
        <w:rPr>
          <w:lang w:eastAsia="ja-JP"/>
        </w:rPr>
        <w:t>≥</w:t>
      </w:r>
      <w:r w:rsidRPr="000526AB">
        <w:rPr>
          <w:lang w:eastAsia="ja-JP"/>
        </w:rPr>
        <w:t xml:space="preserve"> 35 letters</w:t>
      </w:r>
      <w:r w:rsidR="0091044A">
        <w:rPr>
          <w:lang w:eastAsia="ja-JP"/>
        </w:rPr>
        <w:t xml:space="preserve"> versus ≤</w:t>
      </w:r>
      <w:r w:rsidRPr="000526AB">
        <w:rPr>
          <w:lang w:eastAsia="ja-JP"/>
        </w:rPr>
        <w:t xml:space="preserve"> 34 letters). The protocol sp</w:t>
      </w:r>
      <w:r w:rsidR="0091044A">
        <w:rPr>
          <w:lang w:eastAsia="ja-JP"/>
        </w:rPr>
        <w:t>ecified that stratified randomis</w:t>
      </w:r>
      <w:r w:rsidRPr="000526AB">
        <w:rPr>
          <w:lang w:eastAsia="ja-JP"/>
        </w:rPr>
        <w:t>ation based on geographic region (Europe</w:t>
      </w:r>
      <w:r w:rsidR="0091044A">
        <w:rPr>
          <w:lang w:eastAsia="ja-JP"/>
        </w:rPr>
        <w:t xml:space="preserve"> versus </w:t>
      </w:r>
      <w:r w:rsidRPr="000526AB">
        <w:rPr>
          <w:lang w:eastAsia="ja-JP"/>
        </w:rPr>
        <w:t>Asia/Pacific) and baseline BCVA (&gt; 20/200</w:t>
      </w:r>
      <w:r w:rsidR="0091044A">
        <w:rPr>
          <w:lang w:eastAsia="ja-JP"/>
        </w:rPr>
        <w:t xml:space="preserve"> versus ≤</w:t>
      </w:r>
      <w:r w:rsidRPr="000526AB">
        <w:rPr>
          <w:lang w:eastAsia="ja-JP"/>
        </w:rPr>
        <w:t xml:space="preserve"> 20/200). However, discrepancies were subsequently identified in the IVRS baseline BCVA strata for 30 subjects compared with actual baseline BCVA values. Consequently, the main analysis used the actual baseline BCVA valu</w:t>
      </w:r>
      <w:r w:rsidR="003B6380">
        <w:rPr>
          <w:lang w:eastAsia="ja-JP"/>
        </w:rPr>
        <w:t>es rather than the IVRS strata.</w:t>
      </w:r>
    </w:p>
    <w:p w:rsidR="000526AB" w:rsidRPr="000526AB" w:rsidRDefault="000526AB" w:rsidP="003B6380">
      <w:pPr>
        <w:pStyle w:val="Heading5"/>
        <w:rPr>
          <w:lang w:eastAsia="ja-JP"/>
        </w:rPr>
      </w:pPr>
      <w:bookmarkStart w:id="71" w:name="_Toc221697267"/>
      <w:r w:rsidRPr="000526AB">
        <w:rPr>
          <w:lang w:eastAsia="ja-JP"/>
        </w:rPr>
        <w:t>Masking</w:t>
      </w:r>
      <w:bookmarkEnd w:id="71"/>
    </w:p>
    <w:p w:rsidR="000526AB" w:rsidRPr="000526AB" w:rsidRDefault="000526AB" w:rsidP="003B6380">
      <w:pPr>
        <w:rPr>
          <w:lang w:eastAsia="ja-JP"/>
        </w:rPr>
      </w:pPr>
      <w:r w:rsidRPr="000526AB">
        <w:rPr>
          <w:lang w:eastAsia="ja-JP"/>
        </w:rPr>
        <w:t>In COPERNICUS and GALILEO, IVT injections were performed by a physician unmasked to treatment assignment, with no role in the study beyond the administration of study drug and the conduct of post</w:t>
      </w:r>
      <w:r w:rsidR="0091044A">
        <w:rPr>
          <w:lang w:eastAsia="ja-JP"/>
        </w:rPr>
        <w:t xml:space="preserve"> </w:t>
      </w:r>
      <w:r w:rsidRPr="000526AB">
        <w:rPr>
          <w:lang w:eastAsia="ja-JP"/>
        </w:rPr>
        <w:t>injection safety and ocular assessments. In both studies, a separate physician was assigned to the role of masked evaluator and this individual and all other study-site personnel remained masked to treatment assignment. In GALILEO, study treatment assignments remained masked to these individuals until database lock of the final 7</w:t>
      </w:r>
      <w:r w:rsidR="0091044A">
        <w:rPr>
          <w:lang w:eastAsia="ja-JP"/>
        </w:rPr>
        <w:t>6-week data and authoris</w:t>
      </w:r>
      <w:r w:rsidRPr="000526AB">
        <w:rPr>
          <w:lang w:eastAsia="ja-JP"/>
        </w:rPr>
        <w:t>ation of data release by responsible sponsor personnel. All subjects remained masked throughout the full conduct of the study. In COPERNICUS, masking was not mandated during year 2 (</w:t>
      </w:r>
      <w:r w:rsidR="0091044A">
        <w:rPr>
          <w:lang w:eastAsia="ja-JP"/>
        </w:rPr>
        <w:t>that is, W</w:t>
      </w:r>
      <w:r w:rsidRPr="000526AB">
        <w:rPr>
          <w:lang w:eastAsia="ja-JP"/>
        </w:rPr>
        <w:t xml:space="preserve">eeks 52 to 100) but the protocol “strongly recommended” that masked and unmasked roles be maintained until all enrolled subjects at a study site had completed Year 1 and entered the </w:t>
      </w:r>
      <w:r w:rsidR="0091044A">
        <w:rPr>
          <w:lang w:eastAsia="ja-JP"/>
        </w:rPr>
        <w:t>W</w:t>
      </w:r>
      <w:r w:rsidRPr="000526AB">
        <w:rPr>
          <w:lang w:eastAsia="ja-JP"/>
        </w:rPr>
        <w:t>eeks 52 to 100 PRN extension. In both COPERNICUS and GALILEO, unmasking of treatment assignment was permitted for m</w:t>
      </w:r>
      <w:r w:rsidR="003B6380">
        <w:rPr>
          <w:lang w:eastAsia="ja-JP"/>
        </w:rPr>
        <w:t>edical emergencies.</w:t>
      </w:r>
    </w:p>
    <w:p w:rsidR="000526AB" w:rsidRPr="000526AB" w:rsidRDefault="000526AB" w:rsidP="003B6380">
      <w:pPr>
        <w:pStyle w:val="Heading4"/>
      </w:pPr>
      <w:bookmarkStart w:id="72" w:name="_Toc221697268"/>
      <w:r w:rsidRPr="000526AB">
        <w:t>Analysis populations</w:t>
      </w:r>
      <w:bookmarkEnd w:id="72"/>
    </w:p>
    <w:p w:rsidR="000526AB" w:rsidRPr="000526AB" w:rsidRDefault="000526AB" w:rsidP="003B6380">
      <w:pPr>
        <w:rPr>
          <w:lang w:eastAsia="ja-JP"/>
        </w:rPr>
      </w:pPr>
      <w:r w:rsidRPr="000526AB">
        <w:rPr>
          <w:lang w:eastAsia="ja-JP"/>
        </w:rPr>
        <w:t xml:space="preserve">In both studies, the </w:t>
      </w:r>
      <w:r w:rsidRPr="000526AB">
        <w:rPr>
          <w:b/>
          <w:lang w:eastAsia="ja-JP"/>
        </w:rPr>
        <w:t>full analysis set (FAS)</w:t>
      </w:r>
      <w:r w:rsidRPr="000526AB">
        <w:rPr>
          <w:lang w:eastAsia="ja-JP"/>
        </w:rPr>
        <w:t xml:space="preserve"> included all </w:t>
      </w:r>
      <w:r w:rsidR="00300BDB">
        <w:rPr>
          <w:lang w:eastAsia="ja-JP"/>
        </w:rPr>
        <w:t>randomised</w:t>
      </w:r>
      <w:r w:rsidRPr="000526AB">
        <w:rPr>
          <w:lang w:eastAsia="ja-JP"/>
        </w:rPr>
        <w:t xml:space="preserve"> subjects who received any study treatment, had a baseline ETDRS score and at least one post-baseline ETDRS score. The FAS was the primary effic</w:t>
      </w:r>
      <w:r w:rsidR="0091044A">
        <w:rPr>
          <w:lang w:eastAsia="ja-JP"/>
        </w:rPr>
        <w:t>acy analysis set and was analys</w:t>
      </w:r>
      <w:r w:rsidRPr="000526AB">
        <w:rPr>
          <w:lang w:eastAsia="ja-JP"/>
        </w:rPr>
        <w:t xml:space="preserve">ed as </w:t>
      </w:r>
      <w:r w:rsidR="00300BDB">
        <w:rPr>
          <w:lang w:eastAsia="ja-JP"/>
        </w:rPr>
        <w:t>randomised</w:t>
      </w:r>
      <w:r w:rsidRPr="000526AB">
        <w:rPr>
          <w:lang w:eastAsia="ja-JP"/>
        </w:rPr>
        <w:t xml:space="preserve">. The </w:t>
      </w:r>
      <w:r w:rsidRPr="000526AB">
        <w:rPr>
          <w:b/>
          <w:lang w:eastAsia="ja-JP"/>
        </w:rPr>
        <w:t xml:space="preserve">per-protocol set (PPS) </w:t>
      </w:r>
      <w:r w:rsidRPr="000526AB">
        <w:rPr>
          <w:lang w:eastAsia="ja-JP"/>
        </w:rPr>
        <w:t>included all subjects in the FAS who received at least 5 study treatments and did not have a major protocol violation (</w:t>
      </w:r>
      <w:r w:rsidR="00ED3DEB">
        <w:rPr>
          <w:lang w:eastAsia="ja-JP"/>
        </w:rPr>
        <w:t>that is,</w:t>
      </w:r>
      <w:r w:rsidRPr="000526AB">
        <w:rPr>
          <w:lang w:eastAsia="ja-JP"/>
        </w:rPr>
        <w:t xml:space="preserve"> a violation that may have affected the interpretation of the study results). The PPS was also used for the efficacy assessments and was analy</w:t>
      </w:r>
      <w:r w:rsidR="00ED3DEB">
        <w:rPr>
          <w:lang w:eastAsia="ja-JP"/>
        </w:rPr>
        <w:t>s</w:t>
      </w:r>
      <w:r w:rsidRPr="000526AB">
        <w:rPr>
          <w:lang w:eastAsia="ja-JP"/>
        </w:rPr>
        <w:t xml:space="preserve">ed as treated. The </w:t>
      </w:r>
      <w:r w:rsidRPr="000526AB">
        <w:rPr>
          <w:b/>
          <w:lang w:eastAsia="ja-JP"/>
        </w:rPr>
        <w:t>safety analysis set (SAF)</w:t>
      </w:r>
      <w:r w:rsidRPr="000526AB">
        <w:rPr>
          <w:lang w:eastAsia="ja-JP"/>
        </w:rPr>
        <w:t xml:space="preserve"> included all subjects who received any study treatment. The SAF was </w:t>
      </w:r>
      <w:r w:rsidR="00ED3DEB">
        <w:rPr>
          <w:lang w:eastAsia="ja-JP"/>
        </w:rPr>
        <w:t>analysed</w:t>
      </w:r>
      <w:r w:rsidRPr="000526AB">
        <w:rPr>
          <w:lang w:eastAsia="ja-JP"/>
        </w:rPr>
        <w:t xml:space="preserve"> as treated</w:t>
      </w:r>
      <w:r w:rsidR="003B6380">
        <w:rPr>
          <w:lang w:eastAsia="ja-JP"/>
        </w:rPr>
        <w:t>.</w:t>
      </w:r>
    </w:p>
    <w:p w:rsidR="000526AB" w:rsidRPr="000526AB" w:rsidDel="0081373E" w:rsidRDefault="000526AB" w:rsidP="003B6380">
      <w:pPr>
        <w:pStyle w:val="Heading4"/>
      </w:pPr>
      <w:bookmarkStart w:id="73" w:name="_Toc221697269"/>
      <w:r w:rsidRPr="000526AB" w:rsidDel="0081373E">
        <w:t>Sample size</w:t>
      </w:r>
      <w:bookmarkEnd w:id="73"/>
    </w:p>
    <w:p w:rsidR="000526AB" w:rsidRPr="000526AB" w:rsidRDefault="000526AB" w:rsidP="003B6380">
      <w:pPr>
        <w:rPr>
          <w:lang w:eastAsia="ja-JP"/>
        </w:rPr>
      </w:pPr>
      <w:r w:rsidRPr="000526AB">
        <w:rPr>
          <w:lang w:eastAsia="ja-JP"/>
        </w:rPr>
        <w:t xml:space="preserve">In both COPERNICUS and GALILEO, subjects were randomly assigned in a 3:2 ratio (VTE:sham). A difference of 25% was anticipated between the two treatment groups in the proportion of </w:t>
      </w:r>
      <w:r w:rsidRPr="000526AB">
        <w:rPr>
          <w:lang w:eastAsia="ja-JP"/>
        </w:rPr>
        <w:lastRenderedPageBreak/>
        <w:t>subjects gaining at least 15 letters, assuming that the proportion in the sham group was 15</w:t>
      </w:r>
      <w:r w:rsidRPr="005867B3">
        <w:rPr>
          <w:lang w:eastAsia="ja-JP"/>
        </w:rPr>
        <w:t>%</w:t>
      </w:r>
      <w:r w:rsidR="005867B3" w:rsidRPr="005867B3">
        <w:rPr>
          <w:rStyle w:val="FootnoteReference"/>
          <w:lang w:eastAsia="ja-JP"/>
        </w:rPr>
        <w:footnoteReference w:id="10"/>
      </w:r>
      <w:r w:rsidRPr="005867B3">
        <w:rPr>
          <w:lang w:eastAsia="ja-JP"/>
        </w:rPr>
        <w:t>,</w:t>
      </w:r>
      <w:r w:rsidR="005867B3">
        <w:rPr>
          <w:lang w:eastAsia="ja-JP"/>
        </w:rPr>
        <w:t xml:space="preserve"> </w:t>
      </w:r>
      <w:r w:rsidRPr="000526AB">
        <w:rPr>
          <w:lang w:eastAsia="ja-JP"/>
        </w:rPr>
        <w:t>and the proportion in the VTE group w</w:t>
      </w:r>
      <w:r w:rsidRPr="005867B3">
        <w:rPr>
          <w:lang w:eastAsia="ja-JP"/>
        </w:rPr>
        <w:t>as 40%.</w:t>
      </w:r>
      <w:r w:rsidR="004378DF">
        <w:fldChar w:fldCharType="begin"/>
      </w:r>
      <w:r w:rsidR="004378DF">
        <w:instrText xml:space="preserve"> NOTEREF _Ref381171629 \h  \* MERGEFORMAT </w:instrText>
      </w:r>
      <w:r w:rsidR="004378DF">
        <w:fldChar w:fldCharType="separate"/>
      </w:r>
      <w:r w:rsidR="00B84D36">
        <w:t>9</w:t>
      </w:r>
      <w:r w:rsidR="004378DF">
        <w:fldChar w:fldCharType="end"/>
      </w:r>
      <w:r w:rsidRPr="005867B3">
        <w:rPr>
          <w:lang w:eastAsia="ja-JP"/>
        </w:rPr>
        <w:t xml:space="preserve"> To d</w:t>
      </w:r>
      <w:r w:rsidRPr="000526AB">
        <w:rPr>
          <w:lang w:eastAsia="ja-JP"/>
        </w:rPr>
        <w:t xml:space="preserve">etect this difference, 90 subjects in the VTE group and 60 subjects in the sham group were needed to provide 90% power at a 5% significance level in a 2-sided Fisher's Exact test. To account for an approximate 10% dropout rate, 165 subjects (66 sham and 99 VTE) were to be </w:t>
      </w:r>
      <w:r w:rsidR="00300BDB">
        <w:rPr>
          <w:lang w:eastAsia="ja-JP"/>
        </w:rPr>
        <w:t>randomised</w:t>
      </w:r>
      <w:r w:rsidRPr="000526AB">
        <w:rPr>
          <w:lang w:eastAsia="ja-JP"/>
        </w:rPr>
        <w:t xml:space="preserve"> and treated. This sample size provided at least 90% power for the primary analysis using the Cochran-Mantel-Haenszel test stratified by</w:t>
      </w:r>
      <w:r w:rsidR="003B6380">
        <w:rPr>
          <w:lang w:eastAsia="ja-JP"/>
        </w:rPr>
        <w:t xml:space="preserve"> region and baseline BCVA.</w:t>
      </w:r>
    </w:p>
    <w:p w:rsidR="000526AB" w:rsidRPr="00ED3DEB" w:rsidRDefault="000526AB" w:rsidP="003D389D">
      <w:r w:rsidRPr="00ED3DEB">
        <w:rPr>
          <w:b/>
        </w:rPr>
        <w:t>Comment:</w:t>
      </w:r>
      <w:r w:rsidR="00ED3DEB" w:rsidRPr="00ED3DEB">
        <w:t xml:space="preserve"> </w:t>
      </w:r>
      <w:r w:rsidRPr="00ED3DEB">
        <w:t xml:space="preserve">In COPERNICUS, 188 </w:t>
      </w:r>
      <w:r w:rsidR="00300BDB" w:rsidRPr="00ED3DEB">
        <w:t>randomised</w:t>
      </w:r>
      <w:r w:rsidRPr="00ED3DEB">
        <w:t xml:space="preserve"> subjects were treated with at least one dose of study drug from </w:t>
      </w:r>
      <w:r w:rsidR="00D02A01">
        <w:t>Week 0</w:t>
      </w:r>
      <w:r w:rsidRPr="00ED3DEB">
        <w:t xml:space="preserve"> to</w:t>
      </w:r>
      <w:r w:rsidR="00300BDB" w:rsidRPr="00ED3DEB">
        <w:t xml:space="preserve"> Week 2</w:t>
      </w:r>
      <w:r w:rsidRPr="00ED3DEB">
        <w:t xml:space="preserve">4 (74 sham; 114 VTETQ4). In, GALILEO, 172 </w:t>
      </w:r>
      <w:r w:rsidR="00300BDB" w:rsidRPr="00ED3DEB">
        <w:t>randomised</w:t>
      </w:r>
      <w:r w:rsidRPr="00ED3DEB">
        <w:t xml:space="preserve"> subjects were treated with at least one dose of study drug from </w:t>
      </w:r>
      <w:r w:rsidR="00ED3DEB">
        <w:t>W</w:t>
      </w:r>
      <w:r w:rsidRPr="00ED3DEB">
        <w:t>eek 0 to</w:t>
      </w:r>
      <w:r w:rsidR="00300BDB" w:rsidRPr="00ED3DEB">
        <w:t xml:space="preserve"> Week 2</w:t>
      </w:r>
      <w:r w:rsidRPr="00ED3DEB">
        <w:t xml:space="preserve">4 (68 sham; 104 VTE2Q4). The </w:t>
      </w:r>
      <w:r w:rsidR="00300BDB" w:rsidRPr="00ED3DEB">
        <w:t>randomised</w:t>
      </w:r>
      <w:r w:rsidRPr="00ED3DEB">
        <w:t xml:space="preserve"> and treated subjects in both studies indicate that the power in</w:t>
      </w:r>
      <w:r w:rsidR="003D389D">
        <w:t xml:space="preserve"> both studies was at least 90%.</w:t>
      </w:r>
    </w:p>
    <w:p w:rsidR="000526AB" w:rsidRPr="000526AB" w:rsidRDefault="000526AB" w:rsidP="003B6380">
      <w:pPr>
        <w:pStyle w:val="Heading4"/>
      </w:pPr>
      <w:bookmarkStart w:id="74" w:name="_Toc221697270"/>
      <w:r w:rsidRPr="000526AB">
        <w:t>Statistical methods</w:t>
      </w:r>
      <w:bookmarkEnd w:id="74"/>
    </w:p>
    <w:p w:rsidR="000526AB" w:rsidRPr="000526AB" w:rsidRDefault="000526AB" w:rsidP="003B6380">
      <w:pPr>
        <w:pStyle w:val="Heading5"/>
        <w:rPr>
          <w:lang w:eastAsia="ja-JP"/>
        </w:rPr>
      </w:pPr>
      <w:bookmarkStart w:id="75" w:name="_Toc221697271"/>
      <w:r w:rsidRPr="000526AB">
        <w:rPr>
          <w:lang w:eastAsia="ja-JP"/>
        </w:rPr>
        <w:t>Hypothesis</w:t>
      </w:r>
      <w:bookmarkEnd w:id="75"/>
    </w:p>
    <w:p w:rsidR="000526AB" w:rsidRPr="000526AB" w:rsidRDefault="000526AB" w:rsidP="003B6380">
      <w:pPr>
        <w:rPr>
          <w:lang w:eastAsia="ja-JP"/>
        </w:rPr>
      </w:pPr>
      <w:r w:rsidRPr="000526AB">
        <w:rPr>
          <w:lang w:eastAsia="ja-JP"/>
        </w:rPr>
        <w:t xml:space="preserve">Both COPERNICUS and GALILEO examined the following hypotheses for the superiority testing of the primary efficacy variable: </w:t>
      </w:r>
      <w:r w:rsidRPr="000526AB">
        <w:rPr>
          <w:b/>
          <w:lang w:eastAsia="ja-JP"/>
        </w:rPr>
        <w:t>H0 (null): pt = pc</w:t>
      </w:r>
      <w:r w:rsidRPr="000526AB">
        <w:rPr>
          <w:b/>
          <w:vertAlign w:val="subscript"/>
          <w:lang w:eastAsia="ja-JP"/>
        </w:rPr>
        <w:t xml:space="preserve"> </w:t>
      </w:r>
      <w:r w:rsidRPr="000526AB">
        <w:rPr>
          <w:b/>
          <w:lang w:eastAsia="ja-JP"/>
        </w:rPr>
        <w:t>versus H1 (alternative): pt ≠ pc</w:t>
      </w:r>
      <w:r w:rsidRPr="000526AB">
        <w:rPr>
          <w:lang w:eastAsia="ja-JP"/>
        </w:rPr>
        <w:t>; where pt is the proportion of subjects who gained at least 15 letters in BCVA compared with baseline at the</w:t>
      </w:r>
      <w:r w:rsidR="00300BDB">
        <w:rPr>
          <w:lang w:eastAsia="ja-JP"/>
        </w:rPr>
        <w:t xml:space="preserve"> Week 2</w:t>
      </w:r>
      <w:r w:rsidRPr="000526AB">
        <w:rPr>
          <w:lang w:eastAsia="ja-JP"/>
        </w:rPr>
        <w:t>4 endpoint in the VTE group and pc is the proportion of subjects who gained at least 15 letters in BCVA compared with baseline at the</w:t>
      </w:r>
      <w:r w:rsidR="00300BDB">
        <w:rPr>
          <w:lang w:eastAsia="ja-JP"/>
        </w:rPr>
        <w:t xml:space="preserve"> Week 2</w:t>
      </w:r>
      <w:r w:rsidR="003B6380">
        <w:rPr>
          <w:lang w:eastAsia="ja-JP"/>
        </w:rPr>
        <w:t>4 endpoint in the sham group.</w:t>
      </w:r>
    </w:p>
    <w:p w:rsidR="000526AB" w:rsidRPr="000526AB" w:rsidRDefault="000526AB" w:rsidP="003B6380">
      <w:pPr>
        <w:pStyle w:val="Heading5"/>
        <w:rPr>
          <w:lang w:eastAsia="ja-JP"/>
        </w:rPr>
      </w:pPr>
      <w:bookmarkStart w:id="76" w:name="_Toc221697272"/>
      <w:r w:rsidRPr="000526AB">
        <w:rPr>
          <w:lang w:eastAsia="ja-JP"/>
        </w:rPr>
        <w:t>Week-24 analyses</w:t>
      </w:r>
      <w:bookmarkEnd w:id="76"/>
    </w:p>
    <w:p w:rsidR="000526AB" w:rsidRPr="000526AB" w:rsidRDefault="000526AB" w:rsidP="003B6380">
      <w:pPr>
        <w:pStyle w:val="Heading6"/>
        <w:rPr>
          <w:lang w:eastAsia="ja-JP"/>
        </w:rPr>
      </w:pPr>
      <w:r w:rsidRPr="000526AB">
        <w:rPr>
          <w:lang w:eastAsia="ja-JP"/>
        </w:rPr>
        <w:t>Analysis of the primary efficacy endpoint</w:t>
      </w:r>
    </w:p>
    <w:p w:rsidR="000526AB" w:rsidRPr="000526AB" w:rsidRDefault="000526AB" w:rsidP="003B6380">
      <w:pPr>
        <w:rPr>
          <w:lang w:eastAsia="ja-JP"/>
        </w:rPr>
      </w:pPr>
      <w:r w:rsidRPr="000526AB">
        <w:rPr>
          <w:lang w:eastAsia="ja-JP"/>
        </w:rPr>
        <w:t>In both COPERNICUS and GALILEO, the primary efficacy variable was the binary response (yes/no) of whether a subject gained at least 15 letters in BCVA on the ETDRS chart compared with baseline at</w:t>
      </w:r>
      <w:r w:rsidR="00300BDB">
        <w:rPr>
          <w:lang w:eastAsia="ja-JP"/>
        </w:rPr>
        <w:t xml:space="preserve"> Week 2</w:t>
      </w:r>
      <w:r w:rsidRPr="000526AB">
        <w:rPr>
          <w:lang w:eastAsia="ja-JP"/>
        </w:rPr>
        <w:t>4. In COPERNICUS, subjects who discontinued prior to</w:t>
      </w:r>
      <w:r w:rsidR="00300BDB">
        <w:rPr>
          <w:lang w:eastAsia="ja-JP"/>
        </w:rPr>
        <w:t xml:space="preserve"> Week 2</w:t>
      </w:r>
      <w:r w:rsidRPr="000526AB">
        <w:rPr>
          <w:lang w:eastAsia="ja-JP"/>
        </w:rPr>
        <w:t>4 and who had fewer than 5 study treatments were evaluated as non-responders in the primary analysis (otherwise missing values were imputed using last observation carried forward [LOCF]) and in GALILEO subjects who discontinued prior to</w:t>
      </w:r>
      <w:r w:rsidR="00300BDB">
        <w:rPr>
          <w:lang w:eastAsia="ja-JP"/>
        </w:rPr>
        <w:t xml:space="preserve"> Week 2</w:t>
      </w:r>
      <w:r w:rsidRPr="000526AB">
        <w:rPr>
          <w:lang w:eastAsia="ja-JP"/>
        </w:rPr>
        <w:t>4 were evaluated as failures in the primary analysis. The primary efficacy analysis was conducted in the FAS, with analysis in the PPS being supportive.</w:t>
      </w:r>
    </w:p>
    <w:p w:rsidR="000526AB" w:rsidRPr="000526AB" w:rsidRDefault="000526AB" w:rsidP="003B6380">
      <w:pPr>
        <w:rPr>
          <w:lang w:eastAsia="ja-JP"/>
        </w:rPr>
      </w:pPr>
      <w:r w:rsidRPr="000526AB">
        <w:rPr>
          <w:lang w:eastAsia="ja-JP"/>
        </w:rPr>
        <w:t>In both studies, a two-sided Cochran-Mantel-Haenszel (CMH) tests at alpha level 5%, stratified by regions (North America</w:t>
      </w:r>
      <w:r w:rsidR="0091044A">
        <w:rPr>
          <w:lang w:eastAsia="ja-JP"/>
        </w:rPr>
        <w:t xml:space="preserve"> versus </w:t>
      </w:r>
      <w:r w:rsidRPr="000526AB">
        <w:rPr>
          <w:lang w:eastAsia="ja-JP"/>
        </w:rPr>
        <w:t>Rest of World [COPERNICUS] or Europe</w:t>
      </w:r>
      <w:r w:rsidR="0091044A">
        <w:rPr>
          <w:lang w:eastAsia="ja-JP"/>
        </w:rPr>
        <w:t xml:space="preserve"> versus </w:t>
      </w:r>
      <w:r w:rsidRPr="000526AB">
        <w:rPr>
          <w:lang w:eastAsia="ja-JP"/>
        </w:rPr>
        <w:t>Asia/Pacific [GALILEO]) and baseline BCVA (&gt; 20/200</w:t>
      </w:r>
      <w:r w:rsidR="0091044A">
        <w:rPr>
          <w:lang w:eastAsia="ja-JP"/>
        </w:rPr>
        <w:t xml:space="preserve"> versus </w:t>
      </w:r>
      <w:r w:rsidRPr="000526AB">
        <w:rPr>
          <w:lang w:eastAsia="ja-JP"/>
        </w:rPr>
        <w:t>≤ 20/200) was performed. In addition, a two-sided 95% CMH confidence interval adjusted for region and baseline BCVA was also calculated for the difference in proportions between the two treatment groups for subjects who gained at least 15 letters in BCVA. Sensitivity analyses using LOCF and observed value analyses were also conducted. Logistic regression was also performed as a secondary analysis of the primary efficacy variable at</w:t>
      </w:r>
      <w:r w:rsidR="00300BDB">
        <w:rPr>
          <w:lang w:eastAsia="ja-JP"/>
        </w:rPr>
        <w:t xml:space="preserve"> Week 2</w:t>
      </w:r>
      <w:r w:rsidRPr="000526AB">
        <w:rPr>
          <w:lang w:eastAsia="ja-JP"/>
        </w:rPr>
        <w:t xml:space="preserve">4, with treatment group, region and </w:t>
      </w:r>
      <w:r w:rsidR="003B6380">
        <w:rPr>
          <w:lang w:eastAsia="ja-JP"/>
        </w:rPr>
        <w:t>baseline BCVA as fixed factors.</w:t>
      </w:r>
    </w:p>
    <w:p w:rsidR="000526AB" w:rsidRPr="000526AB" w:rsidRDefault="000526AB" w:rsidP="003B6380">
      <w:pPr>
        <w:pStyle w:val="Heading6"/>
        <w:rPr>
          <w:lang w:eastAsia="ja-JP"/>
        </w:rPr>
      </w:pPr>
      <w:r w:rsidRPr="000526AB">
        <w:rPr>
          <w:lang w:eastAsia="ja-JP"/>
        </w:rPr>
        <w:t>Analyses of t</w:t>
      </w:r>
      <w:r w:rsidR="003B6380">
        <w:rPr>
          <w:lang w:eastAsia="ja-JP"/>
        </w:rPr>
        <w:t>he secondary efficacy endpoints</w:t>
      </w:r>
    </w:p>
    <w:p w:rsidR="000526AB" w:rsidRPr="000526AB" w:rsidRDefault="000526AB" w:rsidP="003B6380">
      <w:pPr>
        <w:rPr>
          <w:lang w:eastAsia="ja-JP"/>
        </w:rPr>
      </w:pPr>
      <w:r w:rsidRPr="000526AB">
        <w:rPr>
          <w:lang w:eastAsia="ja-JP"/>
        </w:rPr>
        <w:t xml:space="preserve">The analyses of the secondary efficacy endpoints were undertaken according to a pre-specified sequential testing strategy in order control for multiplicity and preserve an overall alpha of 0.05. In general, two-way </w:t>
      </w:r>
      <w:r w:rsidR="00ED3DEB">
        <w:rPr>
          <w:lang w:eastAsia="ja-JP"/>
        </w:rPr>
        <w:t>analysis of co variance (</w:t>
      </w:r>
      <w:r w:rsidRPr="000526AB">
        <w:rPr>
          <w:lang w:eastAsia="ja-JP"/>
        </w:rPr>
        <w:t>ANCOVA</w:t>
      </w:r>
      <w:r w:rsidR="00ED3DEB">
        <w:rPr>
          <w:lang w:eastAsia="ja-JP"/>
        </w:rPr>
        <w:t>)</w:t>
      </w:r>
      <w:r w:rsidRPr="000526AB">
        <w:rPr>
          <w:lang w:eastAsia="ja-JP"/>
        </w:rPr>
        <w:t xml:space="preserve"> and/or </w:t>
      </w:r>
      <w:r w:rsidR="00ED3DEB">
        <w:rPr>
          <w:lang w:eastAsia="ja-JP"/>
        </w:rPr>
        <w:t>analysis of variance (</w:t>
      </w:r>
      <w:r w:rsidRPr="000526AB">
        <w:rPr>
          <w:lang w:eastAsia="ja-JP"/>
        </w:rPr>
        <w:t>ANOVA</w:t>
      </w:r>
      <w:r w:rsidR="00ED3DEB">
        <w:rPr>
          <w:lang w:eastAsia="ja-JP"/>
        </w:rPr>
        <w:t>)</w:t>
      </w:r>
      <w:r w:rsidRPr="000526AB">
        <w:rPr>
          <w:lang w:eastAsia="ja-JP"/>
        </w:rPr>
        <w:t xml:space="preserve"> main effects models with treatment group, region, and baseline as f</w:t>
      </w:r>
      <w:r w:rsidR="00ED3DEB">
        <w:rPr>
          <w:lang w:eastAsia="ja-JP"/>
        </w:rPr>
        <w:t>ixed factors were used to analys</w:t>
      </w:r>
      <w:r w:rsidRPr="000526AB">
        <w:rPr>
          <w:lang w:eastAsia="ja-JP"/>
        </w:rPr>
        <w:t xml:space="preserve">e the endpoints. Sensitivity analyses for all secondary efficacy endpoints (except for progression to </w:t>
      </w:r>
      <w:r w:rsidR="00ED3DEB">
        <w:rPr>
          <w:lang w:eastAsia="ja-JP"/>
        </w:rPr>
        <w:t>neovascularisation</w:t>
      </w:r>
      <w:r w:rsidRPr="000526AB">
        <w:rPr>
          <w:lang w:eastAsia="ja-JP"/>
        </w:rPr>
        <w:t xml:space="preserve">) were undertaken with missing values being replaced </w:t>
      </w:r>
      <w:r w:rsidRPr="000526AB">
        <w:rPr>
          <w:lang w:eastAsia="ja-JP"/>
        </w:rPr>
        <w:lastRenderedPageBreak/>
        <w:t>using the LOCF method. All secondary efficacy endpoint analyses were undertaken in the FAS with analyses in the PPS being supportive.</w:t>
      </w:r>
    </w:p>
    <w:p w:rsidR="000526AB" w:rsidRPr="000526AB" w:rsidRDefault="003B6380" w:rsidP="003B6380">
      <w:pPr>
        <w:pStyle w:val="Heading6"/>
        <w:rPr>
          <w:lang w:eastAsia="ja-JP"/>
        </w:rPr>
      </w:pPr>
      <w:r>
        <w:rPr>
          <w:lang w:eastAsia="ja-JP"/>
        </w:rPr>
        <w:t>Sub-group analyses</w:t>
      </w:r>
    </w:p>
    <w:p w:rsidR="000526AB" w:rsidRPr="000526AB" w:rsidRDefault="000526AB" w:rsidP="003B6380">
      <w:pPr>
        <w:rPr>
          <w:lang w:eastAsia="ja-JP"/>
        </w:rPr>
      </w:pPr>
      <w:r w:rsidRPr="000526AB">
        <w:rPr>
          <w:lang w:eastAsia="ja-JP"/>
        </w:rPr>
        <w:t xml:space="preserve">Sub-group analyses were performed on the primary and secondary efficacy variables. Sub-group analyses for progression to </w:t>
      </w:r>
      <w:r w:rsidR="00ED3DEB">
        <w:rPr>
          <w:lang w:eastAsia="ja-JP"/>
        </w:rPr>
        <w:t>neovascularisation</w:t>
      </w:r>
      <w:r w:rsidRPr="000526AB">
        <w:rPr>
          <w:lang w:eastAsia="ja-JP"/>
        </w:rPr>
        <w:t xml:space="preserve"> were performed in COPERNICUS but were not interpretable because of the very small number of subjects (n=5 in the sham group and n=0 in the VTE2Q4 group) experiencing progression to </w:t>
      </w:r>
      <w:r w:rsidR="00ED3DEB">
        <w:rPr>
          <w:lang w:eastAsia="ja-JP"/>
        </w:rPr>
        <w:t>neovascularisation</w:t>
      </w:r>
      <w:r w:rsidRPr="000526AB">
        <w:rPr>
          <w:lang w:eastAsia="ja-JP"/>
        </w:rPr>
        <w:t>.</w:t>
      </w:r>
    </w:p>
    <w:p w:rsidR="000526AB" w:rsidRPr="000526AB" w:rsidRDefault="000526AB" w:rsidP="003B6380">
      <w:pPr>
        <w:pStyle w:val="Heading5"/>
        <w:rPr>
          <w:lang w:eastAsia="ja-JP"/>
        </w:rPr>
      </w:pPr>
      <w:bookmarkStart w:id="77" w:name="_Toc221697273"/>
      <w:r w:rsidRPr="000526AB">
        <w:rPr>
          <w:lang w:eastAsia="ja-JP"/>
        </w:rPr>
        <w:t>Weeks 52 (both studies), 76 (GALILEO) and 100 (COPERNICUS) analyses</w:t>
      </w:r>
      <w:bookmarkEnd w:id="77"/>
    </w:p>
    <w:p w:rsidR="000526AB" w:rsidRPr="000526AB" w:rsidRDefault="000526AB" w:rsidP="003B6380">
      <w:pPr>
        <w:rPr>
          <w:lang w:eastAsia="ja-JP"/>
        </w:rPr>
      </w:pPr>
      <w:r w:rsidRPr="000526AB">
        <w:rPr>
          <w:lang w:eastAsia="ja-JP"/>
        </w:rPr>
        <w:t xml:space="preserve">All efficacy outcomes assessed at </w:t>
      </w:r>
      <w:r w:rsidR="00ED3DEB">
        <w:rPr>
          <w:lang w:eastAsia="ja-JP"/>
        </w:rPr>
        <w:t>W</w:t>
      </w:r>
      <w:r w:rsidRPr="000526AB">
        <w:rPr>
          <w:lang w:eastAsia="ja-JP"/>
        </w:rPr>
        <w:t>eeks 52, 76 and 100 were considered to be tertiary</w:t>
      </w:r>
      <w:r w:rsidR="00301349">
        <w:rPr>
          <w:lang w:eastAsia="ja-JP"/>
        </w:rPr>
        <w:t xml:space="preserve"> </w:t>
      </w:r>
      <w:r w:rsidRPr="000526AB">
        <w:rPr>
          <w:lang w:eastAsia="ja-JP"/>
        </w:rPr>
        <w:t>(exploratory) endpoints, with p-values being nominal and no adjustments being ma</w:t>
      </w:r>
      <w:r w:rsidR="003B6380">
        <w:rPr>
          <w:lang w:eastAsia="ja-JP"/>
        </w:rPr>
        <w:t>de for multiplicity of testing.</w:t>
      </w:r>
    </w:p>
    <w:p w:rsidR="000526AB" w:rsidRPr="000526AB" w:rsidRDefault="000526AB" w:rsidP="003B6380">
      <w:pPr>
        <w:pStyle w:val="Heading4"/>
      </w:pPr>
      <w:bookmarkStart w:id="78" w:name="_Toc221697274"/>
      <w:r w:rsidRPr="000526AB">
        <w:t>Participant flow</w:t>
      </w:r>
      <w:bookmarkEnd w:id="78"/>
    </w:p>
    <w:p w:rsidR="000526AB" w:rsidRPr="000526AB" w:rsidRDefault="000526AB" w:rsidP="003B6380">
      <w:pPr>
        <w:pStyle w:val="Heading5"/>
        <w:rPr>
          <w:lang w:eastAsia="ja-JP"/>
        </w:rPr>
      </w:pPr>
      <w:bookmarkStart w:id="79" w:name="_Toc221697275"/>
      <w:r w:rsidRPr="000526AB">
        <w:rPr>
          <w:lang w:eastAsia="ja-JP"/>
        </w:rPr>
        <w:t>Disposition at</w:t>
      </w:r>
      <w:r w:rsidR="00300BDB">
        <w:rPr>
          <w:lang w:eastAsia="ja-JP"/>
        </w:rPr>
        <w:t xml:space="preserve"> Week 2</w:t>
      </w:r>
      <w:r w:rsidRPr="000526AB">
        <w:rPr>
          <w:lang w:eastAsia="ja-JP"/>
        </w:rPr>
        <w:t>4</w:t>
      </w:r>
      <w:bookmarkEnd w:id="79"/>
    </w:p>
    <w:p w:rsidR="000526AB" w:rsidRPr="00C465E2" w:rsidRDefault="007B42DC" w:rsidP="00C465E2">
      <w:pPr>
        <w:pStyle w:val="Heading6"/>
      </w:pPr>
      <w:r w:rsidRPr="00C465E2">
        <w:t>COPERNICUS</w:t>
      </w:r>
    </w:p>
    <w:p w:rsidR="000526AB" w:rsidRPr="000526AB" w:rsidRDefault="000526AB" w:rsidP="007B42DC">
      <w:pPr>
        <w:rPr>
          <w:lang w:eastAsia="ja-JP"/>
        </w:rPr>
      </w:pPr>
      <w:r w:rsidRPr="000526AB">
        <w:rPr>
          <w:lang w:eastAsia="ja-JP"/>
        </w:rPr>
        <w:t xml:space="preserve">A total of 273 subjects were screened, 189 of whom were </w:t>
      </w:r>
      <w:r w:rsidR="00300BDB">
        <w:rPr>
          <w:lang w:eastAsia="ja-JP"/>
        </w:rPr>
        <w:t>randomised</w:t>
      </w:r>
      <w:r w:rsidRPr="000526AB">
        <w:rPr>
          <w:lang w:eastAsia="ja-JP"/>
        </w:rPr>
        <w:t xml:space="preserve"> (74, sham; 115, VTE2Q4). A total of 84 subjects were not </w:t>
      </w:r>
      <w:r w:rsidR="00300BDB">
        <w:rPr>
          <w:lang w:eastAsia="ja-JP"/>
        </w:rPr>
        <w:t>randomised</w:t>
      </w:r>
      <w:r w:rsidRPr="000526AB">
        <w:rPr>
          <w:lang w:eastAsia="ja-JP"/>
        </w:rPr>
        <w:t xml:space="preserve"> due to withdrawal of consent or inclusion</w:t>
      </w:r>
      <w:r w:rsidR="007B42DC">
        <w:rPr>
          <w:lang w:eastAsia="ja-JP"/>
        </w:rPr>
        <w:t>/exclusion criteria violations.</w:t>
      </w:r>
    </w:p>
    <w:p w:rsidR="000526AB" w:rsidRPr="00ED3DEB" w:rsidRDefault="000526AB" w:rsidP="006809D5">
      <w:r w:rsidRPr="00ED3DEB">
        <w:rPr>
          <w:b/>
        </w:rPr>
        <w:t>Commen</w:t>
      </w:r>
      <w:r w:rsidR="00ED3DEB" w:rsidRPr="00ED3DEB">
        <w:rPr>
          <w:b/>
        </w:rPr>
        <w:t xml:space="preserve">t: </w:t>
      </w:r>
      <w:r w:rsidRPr="00ED3DEB">
        <w:t xml:space="preserve">The majority of all </w:t>
      </w:r>
      <w:r w:rsidR="00300BDB" w:rsidRPr="00ED3DEB">
        <w:t>randomised</w:t>
      </w:r>
      <w:r w:rsidRPr="00ED3DEB">
        <w:t xml:space="preserve"> subjects completed the first 24 weeks of the study (170 [89.9%]). However, the proportion of subjects completing the first 24 weeks was notably higher in the VTE2Q4 group compared with the sham group (95.7%</w:t>
      </w:r>
      <w:r w:rsidR="0091044A" w:rsidRPr="00ED3DEB">
        <w:t xml:space="preserve"> versus </w:t>
      </w:r>
      <w:r w:rsidRPr="00ED3DEB">
        <w:t xml:space="preserve">81.1%). A total of 19 (10.1%) subjects discontinued </w:t>
      </w:r>
      <w:r w:rsidRPr="00ED3DEB">
        <w:rPr>
          <w:b/>
        </w:rPr>
        <w:t>the study</w:t>
      </w:r>
      <w:r w:rsidRPr="00ED3DEB">
        <w:t xml:space="preserve"> prior to</w:t>
      </w:r>
      <w:r w:rsidR="00300BDB" w:rsidRPr="00ED3DEB">
        <w:t xml:space="preserve"> Week 2</w:t>
      </w:r>
      <w:r w:rsidRPr="00ED3DEB">
        <w:t xml:space="preserve">4, including 14 (18.9%) in the sham group and 5 (4.3%) in the VTE2Q4 group. The primary reasons for premature discontinuation of </w:t>
      </w:r>
      <w:r w:rsidRPr="00ED3DEB">
        <w:rPr>
          <w:b/>
        </w:rPr>
        <w:t>the study</w:t>
      </w:r>
      <w:r w:rsidRPr="00ED3DEB">
        <w:t xml:space="preserve"> prior to</w:t>
      </w:r>
      <w:r w:rsidR="00300BDB" w:rsidRPr="00ED3DEB">
        <w:t xml:space="preserve"> Week 2</w:t>
      </w:r>
      <w:r w:rsidRPr="00ED3DEB">
        <w:t xml:space="preserve">4 in the sham group were “treatment failure” (5.4%), and “adverse event” (4.1%). The primary reason for premature discontinuation of </w:t>
      </w:r>
      <w:r w:rsidRPr="00ED3DEB">
        <w:rPr>
          <w:b/>
        </w:rPr>
        <w:t>the study</w:t>
      </w:r>
      <w:r w:rsidRPr="00ED3DEB">
        <w:t xml:space="preserve"> prior to</w:t>
      </w:r>
      <w:r w:rsidR="00300BDB" w:rsidRPr="00ED3DEB">
        <w:t xml:space="preserve"> Week 2</w:t>
      </w:r>
      <w:r w:rsidRPr="00ED3DEB">
        <w:t xml:space="preserve">4 in the VTE2Q4 group was “withdrawal of consent” (2.6%). A total of 19 (10.1%) subjects discontinued </w:t>
      </w:r>
      <w:r w:rsidRPr="00ED3DEB">
        <w:rPr>
          <w:b/>
        </w:rPr>
        <w:t>the study drug</w:t>
      </w:r>
      <w:r w:rsidRPr="00ED3DEB">
        <w:t xml:space="preserve"> prior to</w:t>
      </w:r>
      <w:r w:rsidR="00300BDB" w:rsidRPr="00ED3DEB">
        <w:t xml:space="preserve"> Week 2</w:t>
      </w:r>
      <w:r w:rsidRPr="00ED3DEB">
        <w:t xml:space="preserve">4 (14 [18.9%] sham; 5 [4.3%] aflibercept). The reasons for premature discontinuation of the </w:t>
      </w:r>
      <w:r w:rsidRPr="00ED3DEB">
        <w:rPr>
          <w:b/>
        </w:rPr>
        <w:t>study drug</w:t>
      </w:r>
      <w:r w:rsidRPr="00ED3DEB">
        <w:t xml:space="preserve"> in the sham group were identical to those leading to premature discontinuation of </w:t>
      </w:r>
      <w:r w:rsidRPr="00ED3DEB">
        <w:rPr>
          <w:b/>
        </w:rPr>
        <w:t>the study</w:t>
      </w:r>
      <w:r w:rsidRPr="00ED3DEB">
        <w:t xml:space="preserve">. However, while the total number of premature discontinuations due to </w:t>
      </w:r>
      <w:r w:rsidRPr="00ED3DEB">
        <w:rPr>
          <w:b/>
        </w:rPr>
        <w:t>the study drug</w:t>
      </w:r>
      <w:r w:rsidRPr="00ED3DEB">
        <w:t xml:space="preserve"> prior to</w:t>
      </w:r>
      <w:r w:rsidR="00300BDB" w:rsidRPr="00ED3DEB">
        <w:t xml:space="preserve"> Week 2</w:t>
      </w:r>
      <w:r w:rsidRPr="00ED3DEB">
        <w:t xml:space="preserve">4 in the VTE2Q4 group was identical to the number of premature discontinuations from </w:t>
      </w:r>
      <w:r w:rsidRPr="00ED3DEB">
        <w:rPr>
          <w:b/>
        </w:rPr>
        <w:t>the study</w:t>
      </w:r>
      <w:r w:rsidRPr="00ED3DEB">
        <w:t xml:space="preserve"> prior to</w:t>
      </w:r>
      <w:r w:rsidR="00300BDB" w:rsidRPr="00ED3DEB">
        <w:t xml:space="preserve"> Week 2</w:t>
      </w:r>
      <w:r w:rsidRPr="00ED3DEB">
        <w:t>4 there were minor differences in the reasons for discontinuation.</w:t>
      </w:r>
    </w:p>
    <w:p w:rsidR="000526AB" w:rsidRPr="000526AB" w:rsidRDefault="007B42DC" w:rsidP="00C465E2">
      <w:pPr>
        <w:pStyle w:val="Heading6"/>
        <w:rPr>
          <w:lang w:eastAsia="ja-JP"/>
        </w:rPr>
      </w:pPr>
      <w:r>
        <w:rPr>
          <w:lang w:eastAsia="ja-JP"/>
        </w:rPr>
        <w:t>GALILEO</w:t>
      </w:r>
    </w:p>
    <w:p w:rsidR="000526AB" w:rsidRPr="000526AB" w:rsidRDefault="000526AB" w:rsidP="007B42DC">
      <w:pPr>
        <w:rPr>
          <w:lang w:eastAsia="ja-JP"/>
        </w:rPr>
      </w:pPr>
      <w:r w:rsidRPr="000526AB">
        <w:rPr>
          <w:lang w:eastAsia="ja-JP"/>
        </w:rPr>
        <w:t xml:space="preserve">A total of 240 subjects were screened, 177 of whom were </w:t>
      </w:r>
      <w:r w:rsidR="00300BDB">
        <w:rPr>
          <w:lang w:eastAsia="ja-JP"/>
        </w:rPr>
        <w:t>randomised</w:t>
      </w:r>
      <w:r w:rsidRPr="000526AB">
        <w:rPr>
          <w:lang w:eastAsia="ja-JP"/>
        </w:rPr>
        <w:t xml:space="preserve"> (71, sham; 106, VTE2Q4). A total of 63 patients were not </w:t>
      </w:r>
      <w:r w:rsidR="00300BDB">
        <w:rPr>
          <w:lang w:eastAsia="ja-JP"/>
        </w:rPr>
        <w:t>randomised</w:t>
      </w:r>
      <w:r w:rsidRPr="000526AB">
        <w:rPr>
          <w:lang w:eastAsia="ja-JP"/>
        </w:rPr>
        <w:t xml:space="preserve">, most of whom were considered to be screening failures (n=57). Of the 177 </w:t>
      </w:r>
      <w:r w:rsidR="00300BDB">
        <w:rPr>
          <w:lang w:eastAsia="ja-JP"/>
        </w:rPr>
        <w:t>randomised</w:t>
      </w:r>
      <w:r w:rsidRPr="000526AB">
        <w:rPr>
          <w:lang w:eastAsia="ja-JP"/>
        </w:rPr>
        <w:t xml:space="preserve"> patients, 172 received at least one treatment w</w:t>
      </w:r>
      <w:r w:rsidR="007B42DC">
        <w:rPr>
          <w:lang w:eastAsia="ja-JP"/>
        </w:rPr>
        <w:t>ith sham (n=68) or VTE (n=104).</w:t>
      </w:r>
    </w:p>
    <w:p w:rsidR="000526AB" w:rsidRPr="00ED3DEB" w:rsidRDefault="000526AB" w:rsidP="006809D5">
      <w:r w:rsidRPr="00ED3DEB">
        <w:rPr>
          <w:b/>
        </w:rPr>
        <w:t>Comment</w:t>
      </w:r>
      <w:r w:rsidRPr="00ED3DEB">
        <w:t xml:space="preserve">: The majority of all </w:t>
      </w:r>
      <w:r w:rsidR="00300BDB" w:rsidRPr="00ED3DEB">
        <w:t>randomised</w:t>
      </w:r>
      <w:r w:rsidRPr="00ED3DEB">
        <w:t xml:space="preserve"> subjects completed the first 24 weeks of the study (122 [85.9%]). However, the proportion of subjects completing the first 24 weeks was notably higher in the VTE2Q4 group compared with the sham group (90.6%</w:t>
      </w:r>
      <w:r w:rsidR="0091044A" w:rsidRPr="00ED3DEB">
        <w:t xml:space="preserve"> versus </w:t>
      </w:r>
      <w:r w:rsidRPr="00ED3DEB">
        <w:t>78.9%, respectively). A total of 25 (14.1%) subjects discontinued the study prior to</w:t>
      </w:r>
      <w:r w:rsidR="00300BDB" w:rsidRPr="00ED3DEB">
        <w:t xml:space="preserve"> Week 2</w:t>
      </w:r>
      <w:r w:rsidRPr="00ED3DEB">
        <w:t>4, including 15 (21.1%) in the sham group and 10 (9.4%) in the VTE2Q4 group. The primary reasons for premature discontinuation of the study prior to</w:t>
      </w:r>
      <w:r w:rsidR="00300BDB" w:rsidRPr="00ED3DEB">
        <w:t xml:space="preserve"> Week 2</w:t>
      </w:r>
      <w:r w:rsidRPr="00ED3DEB">
        <w:t>4 in the sham group were “lack of efficacy” (7.0%), and “adverse event” (5.6%). The primary reason for premature discontinuation of the study prior to</w:t>
      </w:r>
      <w:r w:rsidR="00300BDB" w:rsidRPr="00ED3DEB">
        <w:t xml:space="preserve"> Week 2</w:t>
      </w:r>
      <w:r w:rsidRPr="00ED3DEB">
        <w:t>4 in the VTE2Q4 group was “protocol violation” (4.7%). A total of 29 (16.4%) subjects discontinued the study drug prior to</w:t>
      </w:r>
      <w:r w:rsidR="00300BDB" w:rsidRPr="00ED3DEB">
        <w:t xml:space="preserve"> Week 2</w:t>
      </w:r>
      <w:r w:rsidRPr="00ED3DEB">
        <w:t>4, including 18</w:t>
      </w:r>
      <w:r w:rsidR="00ED3DEB">
        <w:t xml:space="preserve"> (25.4%) in the sham group and </w:t>
      </w:r>
      <w:r w:rsidRPr="00ED3DEB">
        <w:t>11 (10.4%) in the VTE2Q4 group. The proportion of subjects discontinuing the study drug prior to</w:t>
      </w:r>
      <w:r w:rsidR="00300BDB" w:rsidRPr="00ED3DEB">
        <w:t xml:space="preserve"> Week 2</w:t>
      </w:r>
      <w:r w:rsidRPr="00ED3DEB">
        <w:t>4 due to “adverse events” was notably higher in the sham group than in the VTE2Q4 group (11.3%</w:t>
      </w:r>
      <w:r w:rsidR="0091044A" w:rsidRPr="00ED3DEB">
        <w:t xml:space="preserve"> versus </w:t>
      </w:r>
      <w:r w:rsidRPr="00ED3DEB">
        <w:t xml:space="preserve">1.9%, respectively). In addition, the </w:t>
      </w:r>
      <w:r w:rsidRPr="00ED3DEB">
        <w:lastRenderedPageBreak/>
        <w:t>proportion of subjects discontinuing the study drug prior to</w:t>
      </w:r>
      <w:r w:rsidR="00300BDB" w:rsidRPr="00ED3DEB">
        <w:t xml:space="preserve"> Week 2</w:t>
      </w:r>
      <w:r w:rsidRPr="00ED3DEB">
        <w:t>4 due to “lack of efficacy” was notably higher in the sham group than in the VTE2Q4 group (5.6%</w:t>
      </w:r>
      <w:r w:rsidR="0091044A" w:rsidRPr="00ED3DEB">
        <w:t xml:space="preserve"> versus </w:t>
      </w:r>
      <w:r w:rsidRPr="00ED3DEB">
        <w:t>0%, respectively).</w:t>
      </w:r>
    </w:p>
    <w:p w:rsidR="000526AB" w:rsidRPr="000526AB" w:rsidRDefault="000526AB" w:rsidP="007B42DC">
      <w:pPr>
        <w:pStyle w:val="Heading5"/>
        <w:rPr>
          <w:lang w:eastAsia="ja-JP"/>
        </w:rPr>
      </w:pPr>
      <w:bookmarkStart w:id="80" w:name="_Toc221697276"/>
      <w:r w:rsidRPr="000526AB">
        <w:rPr>
          <w:lang w:eastAsia="ja-JP"/>
        </w:rPr>
        <w:t>Disposition -</w:t>
      </w:r>
      <w:r w:rsidR="00300BDB">
        <w:rPr>
          <w:lang w:eastAsia="ja-JP"/>
        </w:rPr>
        <w:t xml:space="preserve"> Week 5</w:t>
      </w:r>
      <w:r w:rsidRPr="000526AB">
        <w:rPr>
          <w:lang w:eastAsia="ja-JP"/>
        </w:rPr>
        <w:t>2</w:t>
      </w:r>
      <w:bookmarkEnd w:id="80"/>
    </w:p>
    <w:p w:rsidR="000526AB" w:rsidRPr="007B42DC" w:rsidRDefault="000526AB" w:rsidP="006809D5">
      <w:pPr>
        <w:pStyle w:val="Heading6"/>
      </w:pPr>
      <w:r w:rsidRPr="006809D5">
        <w:t>COPERNICUS</w:t>
      </w:r>
    </w:p>
    <w:p w:rsidR="000526AB" w:rsidRPr="000526AB" w:rsidRDefault="000526AB" w:rsidP="007B42DC">
      <w:pPr>
        <w:rPr>
          <w:lang w:eastAsia="ja-JP"/>
        </w:rPr>
      </w:pPr>
      <w:r w:rsidRPr="000526AB">
        <w:rPr>
          <w:lang w:eastAsia="ja-JP"/>
        </w:rPr>
        <w:t xml:space="preserve">Of the 189 </w:t>
      </w:r>
      <w:r w:rsidR="00300BDB">
        <w:rPr>
          <w:lang w:eastAsia="ja-JP"/>
        </w:rPr>
        <w:t>randomised</w:t>
      </w:r>
      <w:r w:rsidRPr="000526AB">
        <w:rPr>
          <w:lang w:eastAsia="ja-JP"/>
        </w:rPr>
        <w:t xml:space="preserve"> subjects (74, sham; 115, VTE2Q4), the majority (164 [86.8%]) completed the first 52 weeks of the study, including 57 (77.0%) in the sham+VTE PRN group and 107 (93.0%) in the VTE2Q4+PRN group. Overall, the proportion of subjects discontinuing the </w:t>
      </w:r>
      <w:r w:rsidRPr="000526AB">
        <w:rPr>
          <w:b/>
          <w:lang w:eastAsia="ja-JP"/>
        </w:rPr>
        <w:t>study</w:t>
      </w:r>
      <w:r w:rsidRPr="000526AB">
        <w:rPr>
          <w:lang w:eastAsia="ja-JP"/>
        </w:rPr>
        <w:t xml:space="preserve"> or the </w:t>
      </w:r>
      <w:r w:rsidRPr="000526AB">
        <w:rPr>
          <w:b/>
          <w:lang w:eastAsia="ja-JP"/>
        </w:rPr>
        <w:t>study drug</w:t>
      </w:r>
      <w:r w:rsidRPr="000526AB">
        <w:rPr>
          <w:lang w:eastAsia="ja-JP"/>
        </w:rPr>
        <w:t xml:space="preserve"> before</w:t>
      </w:r>
      <w:r w:rsidR="00300BDB">
        <w:rPr>
          <w:lang w:eastAsia="ja-JP"/>
        </w:rPr>
        <w:t xml:space="preserve"> Week 5</w:t>
      </w:r>
      <w:r w:rsidRPr="000526AB">
        <w:rPr>
          <w:lang w:eastAsia="ja-JP"/>
        </w:rPr>
        <w:t>2 was similar (13.2%</w:t>
      </w:r>
      <w:r w:rsidR="0091044A">
        <w:rPr>
          <w:lang w:eastAsia="ja-JP"/>
        </w:rPr>
        <w:t xml:space="preserve"> versus </w:t>
      </w:r>
      <w:r w:rsidRPr="000526AB">
        <w:rPr>
          <w:lang w:eastAsia="ja-JP"/>
        </w:rPr>
        <w:t xml:space="preserve">13.8%, respectively). A total of 26 (13.8%) subjects prematurely discontinued the </w:t>
      </w:r>
      <w:r w:rsidRPr="000526AB">
        <w:rPr>
          <w:b/>
          <w:lang w:eastAsia="ja-JP"/>
        </w:rPr>
        <w:t xml:space="preserve">study drug </w:t>
      </w:r>
      <w:r w:rsidRPr="000526AB">
        <w:rPr>
          <w:lang w:eastAsia="ja-JP"/>
        </w:rPr>
        <w:t>before</w:t>
      </w:r>
      <w:r w:rsidR="00300BDB">
        <w:rPr>
          <w:lang w:eastAsia="ja-JP"/>
        </w:rPr>
        <w:t xml:space="preserve"> Week 5</w:t>
      </w:r>
      <w:r w:rsidRPr="000526AB">
        <w:rPr>
          <w:lang w:eastAsia="ja-JP"/>
        </w:rPr>
        <w:t xml:space="preserve">2, including 18 (24.3%) in the sham+VTE PRN group and 8 (7.0%) in the VTE2Q4+PRN group. The primary reasons for discontinuing the </w:t>
      </w:r>
      <w:r w:rsidRPr="000526AB">
        <w:rPr>
          <w:b/>
          <w:lang w:eastAsia="ja-JP"/>
        </w:rPr>
        <w:t>study dru</w:t>
      </w:r>
      <w:r w:rsidRPr="000526AB">
        <w:rPr>
          <w:lang w:eastAsia="ja-JP"/>
        </w:rPr>
        <w:t>g prior to</w:t>
      </w:r>
      <w:r w:rsidR="00300BDB">
        <w:rPr>
          <w:lang w:eastAsia="ja-JP"/>
        </w:rPr>
        <w:t xml:space="preserve"> Week 5</w:t>
      </w:r>
      <w:r w:rsidRPr="000526AB">
        <w:rPr>
          <w:lang w:eastAsia="ja-JP"/>
        </w:rPr>
        <w:t>2 in the sham+VTE PRN group were “adverse events” (5.4%) and “treatment failure” (5.4%), and the main reason in the VTE2Q4+PRN group was “withdrawal of consent” (4.3%). No subjects discontinued VTE2Q4+PRN prior to</w:t>
      </w:r>
      <w:r w:rsidR="00300BDB">
        <w:rPr>
          <w:lang w:eastAsia="ja-JP"/>
        </w:rPr>
        <w:t xml:space="preserve"> Week 5</w:t>
      </w:r>
      <w:r w:rsidR="007B42DC">
        <w:rPr>
          <w:lang w:eastAsia="ja-JP"/>
        </w:rPr>
        <w:t>2 due to “treatment failure”.</w:t>
      </w:r>
    </w:p>
    <w:p w:rsidR="000526AB" w:rsidRPr="000526AB" w:rsidRDefault="000526AB" w:rsidP="00C465E2">
      <w:pPr>
        <w:pStyle w:val="Heading6"/>
        <w:rPr>
          <w:lang w:eastAsia="ja-JP"/>
        </w:rPr>
      </w:pPr>
      <w:r w:rsidRPr="00C465E2">
        <w:t>GALILEO</w:t>
      </w:r>
    </w:p>
    <w:p w:rsidR="000526AB" w:rsidRPr="000526AB" w:rsidRDefault="000526AB" w:rsidP="00C465E2">
      <w:pPr>
        <w:rPr>
          <w:lang w:eastAsia="ja-JP"/>
        </w:rPr>
      </w:pPr>
      <w:r w:rsidRPr="000526AB">
        <w:rPr>
          <w:lang w:eastAsia="ja-JP"/>
        </w:rPr>
        <w:t xml:space="preserve">Of the 177 </w:t>
      </w:r>
      <w:r w:rsidR="00300BDB">
        <w:rPr>
          <w:lang w:eastAsia="ja-JP"/>
        </w:rPr>
        <w:t>randomised</w:t>
      </w:r>
      <w:r w:rsidRPr="000526AB">
        <w:rPr>
          <w:lang w:eastAsia="ja-JP"/>
        </w:rPr>
        <w:t xml:space="preserve"> subjects (71, sham; 106, VTE2Q4), the majority (143 [80.8%]) completed the first 52 weeks of the study, including 52 [73.3%] in the sham group and 91 [85.8%] in the VTE2Q4+PRN group. Overall, the proportion of subjects discontinuing the </w:t>
      </w:r>
      <w:r w:rsidRPr="000526AB">
        <w:rPr>
          <w:b/>
          <w:lang w:eastAsia="ja-JP"/>
        </w:rPr>
        <w:t>treatment</w:t>
      </w:r>
      <w:r w:rsidRPr="000526AB">
        <w:rPr>
          <w:lang w:eastAsia="ja-JP"/>
        </w:rPr>
        <w:t xml:space="preserve"> prior to</w:t>
      </w:r>
      <w:r w:rsidR="00300BDB">
        <w:rPr>
          <w:lang w:eastAsia="ja-JP"/>
        </w:rPr>
        <w:t xml:space="preserve"> Week 5</w:t>
      </w:r>
      <w:r w:rsidRPr="000526AB">
        <w:rPr>
          <w:lang w:eastAsia="ja-JP"/>
        </w:rPr>
        <w:t xml:space="preserve">2 was greater than the proportion of subjects discontinuing the </w:t>
      </w:r>
      <w:r w:rsidRPr="000526AB">
        <w:rPr>
          <w:b/>
          <w:lang w:eastAsia="ja-JP"/>
        </w:rPr>
        <w:t>study</w:t>
      </w:r>
      <w:r w:rsidRPr="000526AB">
        <w:rPr>
          <w:lang w:eastAsia="ja-JP"/>
        </w:rPr>
        <w:t xml:space="preserve"> (26.0%</w:t>
      </w:r>
      <w:r w:rsidR="0091044A">
        <w:rPr>
          <w:lang w:eastAsia="ja-JP"/>
        </w:rPr>
        <w:t xml:space="preserve"> versus </w:t>
      </w:r>
      <w:r w:rsidRPr="000526AB">
        <w:rPr>
          <w:lang w:eastAsia="ja-JP"/>
        </w:rPr>
        <w:t xml:space="preserve">19.2%). Subjects who discontinued treatment were allowed to remain in the study and continue protocol-specified evaluations. The proportion of subjects who discontinued </w:t>
      </w:r>
      <w:r w:rsidRPr="000526AB">
        <w:rPr>
          <w:b/>
          <w:lang w:eastAsia="ja-JP"/>
        </w:rPr>
        <w:t>treatment</w:t>
      </w:r>
      <w:r w:rsidRPr="000526AB">
        <w:rPr>
          <w:lang w:eastAsia="ja-JP"/>
        </w:rPr>
        <w:t xml:space="preserve"> prior to</w:t>
      </w:r>
      <w:r w:rsidR="00300BDB">
        <w:rPr>
          <w:lang w:eastAsia="ja-JP"/>
        </w:rPr>
        <w:t xml:space="preserve"> Week 5</w:t>
      </w:r>
      <w:r w:rsidRPr="000526AB">
        <w:rPr>
          <w:lang w:eastAsia="ja-JP"/>
        </w:rPr>
        <w:t xml:space="preserve">2 was 35.2% in the sham group and 19.8% in the VTE2Q4+PRN group. The most frequently reported primary reason for discontinuation of </w:t>
      </w:r>
      <w:r w:rsidRPr="000526AB">
        <w:rPr>
          <w:b/>
          <w:lang w:eastAsia="ja-JP"/>
        </w:rPr>
        <w:t>treatment</w:t>
      </w:r>
      <w:r w:rsidRPr="000526AB">
        <w:rPr>
          <w:lang w:eastAsia="ja-JP"/>
        </w:rPr>
        <w:t xml:space="preserve"> prior to</w:t>
      </w:r>
      <w:r w:rsidR="00300BDB">
        <w:rPr>
          <w:lang w:eastAsia="ja-JP"/>
        </w:rPr>
        <w:t xml:space="preserve"> Week 5</w:t>
      </w:r>
      <w:r w:rsidRPr="000526AB">
        <w:rPr>
          <w:lang w:eastAsia="ja-JP"/>
        </w:rPr>
        <w:t>2 was “adverse event” (VTE2Q4+PRN 5.7%</w:t>
      </w:r>
      <w:r w:rsidR="0091044A">
        <w:rPr>
          <w:lang w:eastAsia="ja-JP"/>
        </w:rPr>
        <w:t xml:space="preserve"> versus </w:t>
      </w:r>
      <w:r w:rsidRPr="000526AB">
        <w:rPr>
          <w:lang w:eastAsia="ja-JP"/>
        </w:rPr>
        <w:t>sham 12.7%). No subjects in the VTE2Q4+PRN group discontinued study treatment due to “lack of efficacy” compared with 7%</w:t>
      </w:r>
      <w:r w:rsidR="007B42DC">
        <w:rPr>
          <w:lang w:eastAsia="ja-JP"/>
        </w:rPr>
        <w:t xml:space="preserve"> of subjects in the sham group.</w:t>
      </w:r>
    </w:p>
    <w:p w:rsidR="000526AB" w:rsidRPr="000526AB" w:rsidRDefault="000526AB" w:rsidP="007B42DC">
      <w:pPr>
        <w:pStyle w:val="Heading5"/>
        <w:rPr>
          <w:lang w:eastAsia="ja-JP"/>
        </w:rPr>
      </w:pPr>
      <w:bookmarkStart w:id="81" w:name="_Toc221697277"/>
      <w:r w:rsidRPr="000526AB">
        <w:rPr>
          <w:lang w:eastAsia="ja-JP"/>
        </w:rPr>
        <w:t>Disposition beyond</w:t>
      </w:r>
      <w:r w:rsidR="00300BDB">
        <w:rPr>
          <w:lang w:eastAsia="ja-JP"/>
        </w:rPr>
        <w:t xml:space="preserve"> Week 5</w:t>
      </w:r>
      <w:r w:rsidRPr="000526AB">
        <w:rPr>
          <w:lang w:eastAsia="ja-JP"/>
        </w:rPr>
        <w:t>2</w:t>
      </w:r>
      <w:bookmarkEnd w:id="81"/>
    </w:p>
    <w:p w:rsidR="000526AB" w:rsidRPr="000526AB" w:rsidRDefault="000526AB" w:rsidP="00C465E2">
      <w:pPr>
        <w:pStyle w:val="Heading6"/>
        <w:rPr>
          <w:lang w:eastAsia="ja-JP"/>
        </w:rPr>
      </w:pPr>
      <w:r w:rsidRPr="000526AB">
        <w:rPr>
          <w:lang w:eastAsia="ja-JP"/>
        </w:rPr>
        <w:t>COPERNICUS – Disposition at</w:t>
      </w:r>
      <w:r w:rsidR="00300BDB">
        <w:rPr>
          <w:lang w:eastAsia="ja-JP"/>
        </w:rPr>
        <w:t xml:space="preserve"> Week 1</w:t>
      </w:r>
      <w:r w:rsidRPr="000526AB">
        <w:rPr>
          <w:lang w:eastAsia="ja-JP"/>
        </w:rPr>
        <w:t>00</w:t>
      </w:r>
    </w:p>
    <w:p w:rsidR="007B42DC" w:rsidRDefault="000526AB" w:rsidP="00C465E2">
      <w:pPr>
        <w:rPr>
          <w:lang w:eastAsia="ja-JP"/>
        </w:rPr>
      </w:pPr>
      <w:r w:rsidRPr="000526AB">
        <w:rPr>
          <w:lang w:eastAsia="ja-JP"/>
        </w:rPr>
        <w:t xml:space="preserve">The majority of subjects completed 100 weeks (152 [80.4%]), including 67.6% (n=50) in the sham+VTE PRN group, and 88.7% (n=102) in the VTE2Q4+PRN group. A total of 37 (19.6%) subjects discontinued </w:t>
      </w:r>
      <w:r w:rsidRPr="000526AB">
        <w:rPr>
          <w:b/>
          <w:lang w:eastAsia="ja-JP"/>
        </w:rPr>
        <w:t>the study</w:t>
      </w:r>
      <w:r w:rsidRPr="000526AB">
        <w:rPr>
          <w:lang w:eastAsia="ja-JP"/>
        </w:rPr>
        <w:t xml:space="preserve"> prior to</w:t>
      </w:r>
      <w:r w:rsidR="00300BDB">
        <w:rPr>
          <w:lang w:eastAsia="ja-JP"/>
        </w:rPr>
        <w:t xml:space="preserve"> Week 1</w:t>
      </w:r>
      <w:r w:rsidRPr="000526AB">
        <w:rPr>
          <w:lang w:eastAsia="ja-JP"/>
        </w:rPr>
        <w:t xml:space="preserve">00, including 24 (32.4%) in the sham+VTE PRN group and 13 (11.3%) in the VTE2Q4+PRN group. The primary reasons for discontinuation of </w:t>
      </w:r>
      <w:r w:rsidRPr="000526AB">
        <w:rPr>
          <w:b/>
          <w:lang w:eastAsia="ja-JP"/>
        </w:rPr>
        <w:t>the study</w:t>
      </w:r>
      <w:r w:rsidRPr="000526AB">
        <w:rPr>
          <w:lang w:eastAsia="ja-JP"/>
        </w:rPr>
        <w:t xml:space="preserve"> prior to</w:t>
      </w:r>
      <w:r w:rsidR="00300BDB">
        <w:rPr>
          <w:lang w:eastAsia="ja-JP"/>
        </w:rPr>
        <w:t xml:space="preserve"> Week 1</w:t>
      </w:r>
      <w:r w:rsidRPr="000526AB">
        <w:rPr>
          <w:lang w:eastAsia="ja-JP"/>
        </w:rPr>
        <w:t xml:space="preserve">00 in the sham+VTE PRN group were “lost to follow-up” (6.8%), “adverse event” (5.4%), “death” (5.4%), and “treatment failure” (5.4%), and in the VTE2Q4 group the main reason was “withdrawal of consent” (4.3%). The majority of subjects (151 [79.9%]) completed 100 weeks of treatment with the </w:t>
      </w:r>
      <w:r w:rsidRPr="000526AB">
        <w:rPr>
          <w:b/>
          <w:lang w:eastAsia="ja-JP"/>
        </w:rPr>
        <w:t>study drug</w:t>
      </w:r>
      <w:r w:rsidRPr="000526AB">
        <w:rPr>
          <w:lang w:eastAsia="ja-JP"/>
        </w:rPr>
        <w:t xml:space="preserve">, including 68.9% (n=51) in the sham+VTE PRN group and 87.0% (n=100) in the VTE2Q4+PRN group. The main reasons for discontinuation of the </w:t>
      </w:r>
      <w:r w:rsidRPr="000526AB">
        <w:rPr>
          <w:b/>
          <w:lang w:eastAsia="ja-JP"/>
        </w:rPr>
        <w:t>study drug</w:t>
      </w:r>
      <w:r w:rsidRPr="000526AB">
        <w:rPr>
          <w:lang w:eastAsia="ja-JP"/>
        </w:rPr>
        <w:t xml:space="preserve"> before</w:t>
      </w:r>
      <w:r w:rsidR="00300BDB">
        <w:rPr>
          <w:lang w:eastAsia="ja-JP"/>
        </w:rPr>
        <w:t xml:space="preserve"> Week 1</w:t>
      </w:r>
      <w:r w:rsidRPr="000526AB">
        <w:rPr>
          <w:lang w:eastAsia="ja-JP"/>
        </w:rPr>
        <w:t>00 in the sham+VTE PRN group were “adverse event” (5.4%), “death” (5.4%), “lost to follow-up” (5.4%) and “treatment failure” (5.4%), and in the VTE2Q4+PRN group the main rea</w:t>
      </w:r>
      <w:r w:rsidR="007B42DC">
        <w:rPr>
          <w:lang w:eastAsia="ja-JP"/>
        </w:rPr>
        <w:t>son was “adverse event” (5.2%).</w:t>
      </w:r>
    </w:p>
    <w:p w:rsidR="000526AB" w:rsidRPr="000526AB" w:rsidRDefault="000526AB" w:rsidP="00C465E2">
      <w:pPr>
        <w:pStyle w:val="Heading6"/>
        <w:rPr>
          <w:lang w:eastAsia="ja-JP"/>
        </w:rPr>
      </w:pPr>
      <w:r w:rsidRPr="00C465E2">
        <w:t>GALILEO</w:t>
      </w:r>
      <w:r w:rsidRPr="000526AB">
        <w:rPr>
          <w:lang w:eastAsia="ja-JP"/>
        </w:rPr>
        <w:t xml:space="preserve"> – Disposition at</w:t>
      </w:r>
      <w:r w:rsidR="00300BDB">
        <w:rPr>
          <w:lang w:eastAsia="ja-JP"/>
        </w:rPr>
        <w:t xml:space="preserve"> Week 7</w:t>
      </w:r>
      <w:r w:rsidRPr="000526AB">
        <w:rPr>
          <w:lang w:eastAsia="ja-JP"/>
        </w:rPr>
        <w:t>6</w:t>
      </w:r>
    </w:p>
    <w:p w:rsidR="000526AB" w:rsidRPr="000526AB" w:rsidRDefault="000526AB" w:rsidP="007B42DC">
      <w:pPr>
        <w:rPr>
          <w:lang w:eastAsia="ja-JP"/>
        </w:rPr>
      </w:pPr>
      <w:r w:rsidRPr="000526AB">
        <w:rPr>
          <w:lang w:eastAsia="ja-JP"/>
        </w:rPr>
        <w:t xml:space="preserve">The majority of subjects completed 76 weeks (142 [80.2%]), including 73.2% (n=52) in the sham+VTE PRN group and 84.9% (n=90) in the VTE2Q4+PRN group. A total of 35 (19.8%) subjects discontinued </w:t>
      </w:r>
      <w:r w:rsidRPr="000526AB">
        <w:rPr>
          <w:b/>
          <w:lang w:eastAsia="ja-JP"/>
        </w:rPr>
        <w:t>the study</w:t>
      </w:r>
      <w:r w:rsidRPr="000526AB">
        <w:rPr>
          <w:lang w:eastAsia="ja-JP"/>
        </w:rPr>
        <w:t xml:space="preserve"> prior to</w:t>
      </w:r>
      <w:r w:rsidR="00300BDB">
        <w:rPr>
          <w:lang w:eastAsia="ja-JP"/>
        </w:rPr>
        <w:t xml:space="preserve"> Week 7</w:t>
      </w:r>
      <w:r w:rsidRPr="000526AB">
        <w:rPr>
          <w:lang w:eastAsia="ja-JP"/>
        </w:rPr>
        <w:t>6, including 19 (26.8%) in the sham+VTE PRN group and 16 (15.1%) in the VTE2Q4+PRN group. Completion of the 76-week study was not necessarily associated with completion of study treatment during this period (</w:t>
      </w:r>
      <w:r w:rsidR="00ED3DEB">
        <w:rPr>
          <w:lang w:eastAsia="ja-JP"/>
        </w:rPr>
        <w:t>that is,</w:t>
      </w:r>
      <w:r w:rsidRPr="000526AB">
        <w:rPr>
          <w:lang w:eastAsia="ja-JP"/>
        </w:rPr>
        <w:t xml:space="preserve"> subjects who discontinued study treatment were allowed to remain in the study and continue to undergo the protocol-specified evaluations). The majority of subjects completed 68 weeks of </w:t>
      </w:r>
      <w:r w:rsidRPr="000526AB">
        <w:rPr>
          <w:b/>
          <w:lang w:eastAsia="ja-JP"/>
        </w:rPr>
        <w:lastRenderedPageBreak/>
        <w:t>study treatment</w:t>
      </w:r>
      <w:r w:rsidRPr="000526AB">
        <w:rPr>
          <w:lang w:eastAsia="ja-JP"/>
        </w:rPr>
        <w:t xml:space="preserve"> (137 [77.4%]), including 70.4% (n=50) in the sham+VTE PRN group and 82.1% (n=87). Discontinuation of </w:t>
      </w:r>
      <w:r w:rsidRPr="000526AB">
        <w:rPr>
          <w:b/>
          <w:lang w:eastAsia="ja-JP"/>
        </w:rPr>
        <w:t>study treatment</w:t>
      </w:r>
      <w:r w:rsidRPr="000526AB">
        <w:rPr>
          <w:lang w:eastAsia="ja-JP"/>
        </w:rPr>
        <w:t xml:space="preserve"> prior to</w:t>
      </w:r>
      <w:r w:rsidR="00300BDB">
        <w:rPr>
          <w:lang w:eastAsia="ja-JP"/>
        </w:rPr>
        <w:t xml:space="preserve"> Week 7</w:t>
      </w:r>
      <w:r w:rsidRPr="000526AB">
        <w:rPr>
          <w:lang w:eastAsia="ja-JP"/>
        </w:rPr>
        <w:t xml:space="preserve">6 occurred in a total of 40 (22.6%) subjects, including 21 (29.6%) in the sham+VTE PRN group and 19 (17.9%) in the VTE2Q4+PRN group. The most frequently reported primary reason for discontinuation of </w:t>
      </w:r>
      <w:r w:rsidRPr="000526AB">
        <w:rPr>
          <w:b/>
          <w:lang w:eastAsia="ja-JP"/>
        </w:rPr>
        <w:t>study treatment</w:t>
      </w:r>
      <w:r w:rsidRPr="000526AB">
        <w:rPr>
          <w:lang w:eastAsia="ja-JP"/>
        </w:rPr>
        <w:t xml:space="preserve"> prior to</w:t>
      </w:r>
      <w:r w:rsidR="00300BDB">
        <w:rPr>
          <w:lang w:eastAsia="ja-JP"/>
        </w:rPr>
        <w:t xml:space="preserve"> Week 7</w:t>
      </w:r>
      <w:r w:rsidRPr="000526AB">
        <w:rPr>
          <w:lang w:eastAsia="ja-JP"/>
        </w:rPr>
        <w:t>6 was “adverse event” (sham+VTE PRN 12.7%</w:t>
      </w:r>
      <w:r w:rsidR="0091044A">
        <w:rPr>
          <w:lang w:eastAsia="ja-JP"/>
        </w:rPr>
        <w:t xml:space="preserve"> versus </w:t>
      </w:r>
      <w:r w:rsidRPr="000526AB">
        <w:rPr>
          <w:lang w:eastAsia="ja-JP"/>
        </w:rPr>
        <w:t xml:space="preserve">VTE2Q4+PRN 6.6%). No subjects in the VTE2Q4+PRN group discontinued </w:t>
      </w:r>
      <w:r w:rsidRPr="000526AB">
        <w:rPr>
          <w:b/>
          <w:lang w:eastAsia="ja-JP"/>
        </w:rPr>
        <w:t>study treatment</w:t>
      </w:r>
      <w:r w:rsidRPr="000526AB">
        <w:rPr>
          <w:lang w:eastAsia="ja-JP"/>
        </w:rPr>
        <w:t xml:space="preserve"> for a lack of efficacy compared with 7% of subjects in the sham+VTE group. No subjects </w:t>
      </w:r>
      <w:r w:rsidR="007B42DC">
        <w:rPr>
          <w:lang w:eastAsia="ja-JP"/>
        </w:rPr>
        <w:t>died during the 72-weeks study.</w:t>
      </w:r>
    </w:p>
    <w:p w:rsidR="000526AB" w:rsidRPr="000526AB" w:rsidRDefault="000526AB" w:rsidP="007B42DC">
      <w:pPr>
        <w:pStyle w:val="Heading5"/>
      </w:pPr>
      <w:bookmarkStart w:id="82" w:name="_Toc221697278"/>
      <w:r w:rsidRPr="000526AB">
        <w:t>Major protocol violations/deviations</w:t>
      </w:r>
      <w:bookmarkEnd w:id="82"/>
    </w:p>
    <w:p w:rsidR="000526AB" w:rsidRPr="000526AB" w:rsidRDefault="000526AB" w:rsidP="00300308">
      <w:pPr>
        <w:pStyle w:val="Heading6"/>
        <w:rPr>
          <w:lang w:eastAsia="ja-JP"/>
        </w:rPr>
      </w:pPr>
      <w:r w:rsidRPr="00300308">
        <w:t>COPERNICUS</w:t>
      </w:r>
    </w:p>
    <w:p w:rsidR="000526AB" w:rsidRPr="000526AB" w:rsidRDefault="009941E9" w:rsidP="007B42DC">
      <w:pPr>
        <w:rPr>
          <w:lang w:eastAsia="ja-JP"/>
        </w:rPr>
      </w:pPr>
      <w:r>
        <w:rPr>
          <w:lang w:eastAsia="ja-JP"/>
        </w:rPr>
        <w:t>In the W</w:t>
      </w:r>
      <w:r w:rsidR="000526AB" w:rsidRPr="000526AB">
        <w:rPr>
          <w:lang w:eastAsia="ja-JP"/>
        </w:rPr>
        <w:t>eek</w:t>
      </w:r>
      <w:r>
        <w:rPr>
          <w:lang w:eastAsia="ja-JP"/>
        </w:rPr>
        <w:t xml:space="preserve"> </w:t>
      </w:r>
      <w:r w:rsidR="000526AB" w:rsidRPr="000526AB">
        <w:rPr>
          <w:lang w:eastAsia="ja-JP"/>
        </w:rPr>
        <w:t>24 analysis there were 6 (3.2%) subjects with major protocol deviations, including 3 (4.1%) subjects in the sham group and 3 (2.6%) subjects in the VTE2Q4 group. The major protocol deviations in the two treatment groups (sham</w:t>
      </w:r>
      <w:r w:rsidR="0091044A">
        <w:rPr>
          <w:lang w:eastAsia="ja-JP"/>
        </w:rPr>
        <w:t xml:space="preserve"> versus </w:t>
      </w:r>
      <w:r w:rsidR="000526AB" w:rsidRPr="000526AB">
        <w:rPr>
          <w:lang w:eastAsia="ja-JP"/>
        </w:rPr>
        <w:t>VTE2Q4) were: inclusion/exclusion criteria error at study entry (2 [2.7%]</w:t>
      </w:r>
      <w:r w:rsidR="0091044A">
        <w:rPr>
          <w:lang w:eastAsia="ja-JP"/>
        </w:rPr>
        <w:t xml:space="preserve"> versus </w:t>
      </w:r>
      <w:r w:rsidR="000526AB" w:rsidRPr="000526AB">
        <w:rPr>
          <w:lang w:eastAsia="ja-JP"/>
        </w:rPr>
        <w:t>1 [0.9%]); treatment deviation (1 [1.4%]</w:t>
      </w:r>
      <w:r w:rsidR="0091044A">
        <w:rPr>
          <w:lang w:eastAsia="ja-JP"/>
        </w:rPr>
        <w:t xml:space="preserve"> versus </w:t>
      </w:r>
      <w:r w:rsidR="000526AB" w:rsidRPr="000526AB">
        <w:rPr>
          <w:lang w:eastAsia="ja-JP"/>
        </w:rPr>
        <w:t>1 [0.9%]); and procedure deviation (0 [0%]</w:t>
      </w:r>
      <w:r w:rsidR="0091044A">
        <w:rPr>
          <w:lang w:eastAsia="ja-JP"/>
        </w:rPr>
        <w:t xml:space="preserve"> versus </w:t>
      </w:r>
      <w:r w:rsidR="000526AB" w:rsidRPr="000526AB">
        <w:rPr>
          <w:lang w:eastAsia="ja-JP"/>
        </w:rPr>
        <w:t xml:space="preserve">1 [0.9%]). The 3 </w:t>
      </w:r>
      <w:r w:rsidR="00300BDB">
        <w:rPr>
          <w:lang w:eastAsia="ja-JP"/>
        </w:rPr>
        <w:t>randomised</w:t>
      </w:r>
      <w:r w:rsidR="000526AB" w:rsidRPr="000526AB">
        <w:rPr>
          <w:lang w:eastAsia="ja-JP"/>
        </w:rPr>
        <w:t xml:space="preserve"> subjects with “inclusion/exclusion criteria error at study entry” had been enrolled despite having bilateral RVO and without meeting the 3-month washout period for intraocular steroids. Overall, there were 150 (79.4%) subjects with minor protocol deviations in the study at</w:t>
      </w:r>
      <w:r w:rsidR="00300BDB">
        <w:rPr>
          <w:lang w:eastAsia="ja-JP"/>
        </w:rPr>
        <w:t xml:space="preserve"> Week 2</w:t>
      </w:r>
      <w:r w:rsidR="007B42DC">
        <w:rPr>
          <w:lang w:eastAsia="ja-JP"/>
        </w:rPr>
        <w:t>4.</w:t>
      </w:r>
    </w:p>
    <w:p w:rsidR="000526AB" w:rsidRPr="000526AB" w:rsidRDefault="000526AB" w:rsidP="007B42DC">
      <w:pPr>
        <w:rPr>
          <w:lang w:eastAsia="ja-JP"/>
        </w:rPr>
      </w:pPr>
      <w:r w:rsidRPr="000526AB">
        <w:rPr>
          <w:lang w:eastAsia="ja-JP"/>
        </w:rPr>
        <w:t xml:space="preserve">In the </w:t>
      </w:r>
      <w:r w:rsidR="009941E9">
        <w:rPr>
          <w:lang w:eastAsia="ja-JP"/>
        </w:rPr>
        <w:t>W</w:t>
      </w:r>
      <w:r w:rsidRPr="000526AB">
        <w:rPr>
          <w:lang w:eastAsia="ja-JP"/>
        </w:rPr>
        <w:t>eek</w:t>
      </w:r>
      <w:r w:rsidR="009941E9">
        <w:rPr>
          <w:lang w:eastAsia="ja-JP"/>
        </w:rPr>
        <w:t xml:space="preserve"> </w:t>
      </w:r>
      <w:r w:rsidRPr="000526AB">
        <w:rPr>
          <w:lang w:eastAsia="ja-JP"/>
        </w:rPr>
        <w:t>52 analysis, 1 additional subject in the VTE2Q4+PRN group had a major protocol deviation described as “excluded concomitant treatment” and 177 (93.7%) subjects had one or more minor protocol deviations. In the week-100 analysis, major protocol deviations from baseline to</w:t>
      </w:r>
      <w:r w:rsidR="00300BDB">
        <w:rPr>
          <w:lang w:eastAsia="ja-JP"/>
        </w:rPr>
        <w:t xml:space="preserve"> Week 1</w:t>
      </w:r>
      <w:r w:rsidRPr="000526AB">
        <w:rPr>
          <w:lang w:eastAsia="ja-JP"/>
        </w:rPr>
        <w:t xml:space="preserve">00 were reported in 9 (4.8%) subjects, including 3 (4.1%) subjects in the sham+VTE PRN group and 6 (5.2%) subjects in the VTE2Q4+PRN group (see Table </w:t>
      </w:r>
      <w:r w:rsidR="009941E9">
        <w:rPr>
          <w:lang w:eastAsia="ja-JP"/>
        </w:rPr>
        <w:t>4</w:t>
      </w:r>
      <w:r w:rsidRPr="000526AB">
        <w:rPr>
          <w:lang w:eastAsia="ja-JP"/>
        </w:rPr>
        <w:t xml:space="preserve"> below). From baseline through</w:t>
      </w:r>
      <w:r w:rsidR="00300BDB">
        <w:rPr>
          <w:lang w:eastAsia="ja-JP"/>
        </w:rPr>
        <w:t xml:space="preserve"> Week 1</w:t>
      </w:r>
      <w:r w:rsidRPr="000526AB">
        <w:rPr>
          <w:lang w:eastAsia="ja-JP"/>
        </w:rPr>
        <w:t>00, a total of 183 (96.8%) subjects had one or more minor protocol deviations. Overall, 2 subjects were prematurely unmasked during the 100 weeks of the study; 1 unmasked during the first 24 weeks due to a serious adverse event (SAE) of central retinal artery occlusion; and 1 unmasked in the VTE2Q4+PRN group at day 342 due to an er</w:t>
      </w:r>
      <w:r w:rsidR="007B42DC">
        <w:rPr>
          <w:lang w:eastAsia="ja-JP"/>
        </w:rPr>
        <w:t>ror in the injection procedure.</w:t>
      </w:r>
    </w:p>
    <w:p w:rsidR="000526AB" w:rsidRPr="000526AB" w:rsidRDefault="000526AB" w:rsidP="007B42DC">
      <w:pPr>
        <w:pStyle w:val="TableTitle"/>
        <w:rPr>
          <w:lang w:eastAsia="ja-JP"/>
        </w:rPr>
      </w:pPr>
      <w:bookmarkStart w:id="83" w:name="_Toc221767057"/>
      <w:r w:rsidRPr="000526AB">
        <w:rPr>
          <w:lang w:eastAsia="ja-JP"/>
        </w:rPr>
        <w:t>Table</w:t>
      </w:r>
      <w:r w:rsidR="009941E9">
        <w:rPr>
          <w:lang w:eastAsia="ja-JP"/>
        </w:rPr>
        <w:t xml:space="preserve"> 4</w:t>
      </w:r>
      <w:r w:rsidRPr="000526AB">
        <w:rPr>
          <w:lang w:eastAsia="ja-JP"/>
        </w:rPr>
        <w:t>: COPERNICUS –</w:t>
      </w:r>
      <w:r w:rsidR="00300BDB">
        <w:rPr>
          <w:lang w:eastAsia="ja-JP"/>
        </w:rPr>
        <w:t xml:space="preserve"> Week 1</w:t>
      </w:r>
      <w:r w:rsidRPr="000526AB">
        <w:rPr>
          <w:lang w:eastAsia="ja-JP"/>
        </w:rPr>
        <w:t xml:space="preserve">00 protocol deviations from baseline; all </w:t>
      </w:r>
      <w:r w:rsidR="00300BDB">
        <w:rPr>
          <w:lang w:eastAsia="ja-JP"/>
        </w:rPr>
        <w:t>randomised</w:t>
      </w:r>
      <w:r w:rsidRPr="000526AB">
        <w:rPr>
          <w:lang w:eastAsia="ja-JP"/>
        </w:rPr>
        <w:t xml:space="preserve"> patients.</w:t>
      </w:r>
      <w:bookmarkEnd w:id="83"/>
      <w:r w:rsidRPr="000526AB">
        <w:rPr>
          <w:lang w:eastAsia="ja-JP"/>
        </w:rPr>
        <w:t xml:space="preserve"> </w:t>
      </w:r>
    </w:p>
    <w:p w:rsidR="000526AB" w:rsidRPr="000526AB" w:rsidRDefault="000526AB" w:rsidP="007B42DC">
      <w:pPr>
        <w:rPr>
          <w:lang w:eastAsia="ja-JP"/>
        </w:rPr>
      </w:pPr>
      <w:r w:rsidRPr="000526AB">
        <w:rPr>
          <w:noProof/>
          <w:lang w:eastAsia="en-AU"/>
        </w:rPr>
        <w:drawing>
          <wp:inline distT="0" distB="0" distL="0" distR="0" wp14:anchorId="0AEB6816" wp14:editId="0404C094">
            <wp:extent cx="4673600" cy="1798320"/>
            <wp:effectExtent l="19050" t="0" r="0" b="0"/>
            <wp:docPr id="18" name="Picture 2" descr="Table 4: COPERNICUS – Week 100 protocol deviations from baseline; all randomis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673600" cy="1798320"/>
                    </a:xfrm>
                    <a:prstGeom prst="rect">
                      <a:avLst/>
                    </a:prstGeom>
                    <a:noFill/>
                    <a:ln w="9525">
                      <a:noFill/>
                      <a:miter lim="800000"/>
                      <a:headEnd/>
                      <a:tailEnd/>
                    </a:ln>
                  </pic:spPr>
                </pic:pic>
              </a:graphicData>
            </a:graphic>
          </wp:inline>
        </w:drawing>
      </w:r>
    </w:p>
    <w:p w:rsidR="000526AB" w:rsidRPr="000526AB" w:rsidRDefault="000526AB" w:rsidP="00300308">
      <w:pPr>
        <w:pStyle w:val="Heading6"/>
        <w:rPr>
          <w:lang w:eastAsia="ja-JP"/>
        </w:rPr>
      </w:pPr>
      <w:r w:rsidRPr="00300308">
        <w:t>GALILEO</w:t>
      </w:r>
    </w:p>
    <w:p w:rsidR="000526AB" w:rsidRPr="000526AB" w:rsidRDefault="000526AB" w:rsidP="007B42DC">
      <w:pPr>
        <w:rPr>
          <w:lang w:eastAsia="ja-JP"/>
        </w:rPr>
      </w:pPr>
      <w:r w:rsidRPr="000526AB">
        <w:rPr>
          <w:lang w:eastAsia="ja-JP"/>
        </w:rPr>
        <w:t>In the week-24 analysis there were 25 (14.1%) subjects with a major protocol deviation, including 10 (14.1%) subjects in the sham group and 15 (14.2%) subjects in the VTE2Q4 group. The major protocol deviations in the two treatment groups (sham</w:t>
      </w:r>
      <w:r w:rsidR="0091044A">
        <w:rPr>
          <w:lang w:eastAsia="ja-JP"/>
        </w:rPr>
        <w:t xml:space="preserve"> versus </w:t>
      </w:r>
      <w:r w:rsidRPr="000526AB">
        <w:rPr>
          <w:lang w:eastAsia="ja-JP"/>
        </w:rPr>
        <w:t>VTE2Q4) were: inclusion/exclusion error at study entry (6 [8.5%]</w:t>
      </w:r>
      <w:r w:rsidR="0091044A">
        <w:rPr>
          <w:lang w:eastAsia="ja-JP"/>
        </w:rPr>
        <w:t xml:space="preserve"> versus </w:t>
      </w:r>
      <w:r w:rsidRPr="000526AB">
        <w:rPr>
          <w:lang w:eastAsia="ja-JP"/>
        </w:rPr>
        <w:t>9 [8.5%]); excluded concomitant treatment (4 [5.6%]</w:t>
      </w:r>
      <w:r w:rsidR="0091044A">
        <w:rPr>
          <w:lang w:eastAsia="ja-JP"/>
        </w:rPr>
        <w:t xml:space="preserve"> versus </w:t>
      </w:r>
      <w:r w:rsidRPr="000526AB">
        <w:rPr>
          <w:lang w:eastAsia="ja-JP"/>
        </w:rPr>
        <w:t>6 [5.7%]); procedure deviation (0 [0%]</w:t>
      </w:r>
      <w:r w:rsidR="0091044A">
        <w:rPr>
          <w:lang w:eastAsia="ja-JP"/>
        </w:rPr>
        <w:t xml:space="preserve"> versus </w:t>
      </w:r>
      <w:r w:rsidRPr="000526AB">
        <w:rPr>
          <w:lang w:eastAsia="ja-JP"/>
        </w:rPr>
        <w:t>1 [0.9%]); and treatment deviation (0 [0%]</w:t>
      </w:r>
      <w:r w:rsidR="0091044A">
        <w:rPr>
          <w:lang w:eastAsia="ja-JP"/>
        </w:rPr>
        <w:t xml:space="preserve"> versus </w:t>
      </w:r>
      <w:r w:rsidRPr="000526AB">
        <w:rPr>
          <w:lang w:eastAsia="ja-JP"/>
        </w:rPr>
        <w:t xml:space="preserve">1 [0.9%]). Overall, there were 151 (85.3%) subjects with a least one protocol deviation, including 65 (91.5%) subjects in the sham group and 86 (81.1%) subjects in the VTE2Q4 group. Three (3) subjects in the VTE2Q4 group were found to have </w:t>
      </w:r>
      <w:r w:rsidRPr="000526AB">
        <w:rPr>
          <w:lang w:eastAsia="ja-JP"/>
        </w:rPr>
        <w:lastRenderedPageBreak/>
        <w:t>BRVO after having received 2 to 3 injections and were discontinued from the study for a protocol violation.</w:t>
      </w:r>
    </w:p>
    <w:p w:rsidR="000526AB" w:rsidRPr="000526AB" w:rsidRDefault="000526AB" w:rsidP="007B42DC">
      <w:pPr>
        <w:rPr>
          <w:lang w:eastAsia="ja-JP"/>
        </w:rPr>
      </w:pPr>
      <w:r w:rsidRPr="000526AB">
        <w:rPr>
          <w:lang w:eastAsia="ja-JP"/>
        </w:rPr>
        <w:t xml:space="preserve">In the </w:t>
      </w:r>
      <w:r w:rsidR="009941E9">
        <w:rPr>
          <w:lang w:eastAsia="ja-JP"/>
        </w:rPr>
        <w:t>W</w:t>
      </w:r>
      <w:r w:rsidRPr="000526AB">
        <w:rPr>
          <w:lang w:eastAsia="ja-JP"/>
        </w:rPr>
        <w:t>eek</w:t>
      </w:r>
      <w:r w:rsidR="009941E9">
        <w:rPr>
          <w:lang w:eastAsia="ja-JP"/>
        </w:rPr>
        <w:t xml:space="preserve"> </w:t>
      </w:r>
      <w:r w:rsidRPr="000526AB">
        <w:rPr>
          <w:lang w:eastAsia="ja-JP"/>
        </w:rPr>
        <w:t>52 analysis there were 57 (32.2%) subjects with a major protocol deviation, including 45 (42.5%) subjects in the VTE2Q4+PRN group and 12 (16.9%) subjects in the sham group. The most notable difference between the two treatment groups was the higher proportion of subjects with major protocol deviations due to treatment deviations in the VTE2Q4 group compared with the sham group (32 [30.2%]</w:t>
      </w:r>
      <w:r w:rsidR="0091044A">
        <w:rPr>
          <w:lang w:eastAsia="ja-JP"/>
        </w:rPr>
        <w:t xml:space="preserve"> versus </w:t>
      </w:r>
      <w:r w:rsidRPr="000526AB">
        <w:rPr>
          <w:lang w:eastAsia="ja-JP"/>
        </w:rPr>
        <w:t xml:space="preserve">2 [2.8%]). In the </w:t>
      </w:r>
      <w:r w:rsidR="009941E9">
        <w:rPr>
          <w:lang w:eastAsia="ja-JP"/>
        </w:rPr>
        <w:t>W</w:t>
      </w:r>
      <w:r w:rsidRPr="000526AB">
        <w:rPr>
          <w:lang w:eastAsia="ja-JP"/>
        </w:rPr>
        <w:t>eek</w:t>
      </w:r>
      <w:r w:rsidR="009941E9">
        <w:rPr>
          <w:lang w:eastAsia="ja-JP"/>
        </w:rPr>
        <w:t xml:space="preserve"> </w:t>
      </w:r>
      <w:r w:rsidRPr="000526AB">
        <w:rPr>
          <w:lang w:eastAsia="ja-JP"/>
        </w:rPr>
        <w:t>76 analysis there were 71 (40.1%) subjects with major protocol deviations including 50 (47.2%) subjects in the VTE2Q4+PRN group and 21 (29.6%) subjects in the sham+VTE PRN group. The major difference between the two treatment groups was the notably higher proportion of subjects with major protocol deviations due to treatment deviations in the VTE2Q4+PRN group compared with the sham+VTE PRN group (39[36.8%]</w:t>
      </w:r>
      <w:r w:rsidR="0091044A">
        <w:rPr>
          <w:lang w:eastAsia="ja-JP"/>
        </w:rPr>
        <w:t xml:space="preserve"> versus </w:t>
      </w:r>
      <w:r w:rsidRPr="000526AB">
        <w:rPr>
          <w:lang w:eastAsia="ja-JP"/>
        </w:rPr>
        <w:t xml:space="preserve">11 [15.5%]) (see Table </w:t>
      </w:r>
      <w:r w:rsidR="009941E9">
        <w:rPr>
          <w:lang w:eastAsia="ja-JP"/>
        </w:rPr>
        <w:t>5</w:t>
      </w:r>
      <w:r w:rsidRPr="000526AB">
        <w:rPr>
          <w:lang w:eastAsia="ja-JP"/>
        </w:rPr>
        <w:t xml:space="preserve">, below). Three (3) subjects were prematurely unmasked during the 76 weeks of the study (2 between weeks 24 and 52, </w:t>
      </w:r>
      <w:r w:rsidR="007B42DC">
        <w:rPr>
          <w:lang w:eastAsia="ja-JP"/>
        </w:rPr>
        <w:t>and 1 between weeks 52 and 76).</w:t>
      </w:r>
    </w:p>
    <w:p w:rsidR="000526AB" w:rsidRPr="000526AB" w:rsidRDefault="000526AB" w:rsidP="007B42DC">
      <w:pPr>
        <w:pStyle w:val="TableTitle"/>
        <w:rPr>
          <w:lang w:eastAsia="ja-JP"/>
        </w:rPr>
      </w:pPr>
      <w:bookmarkStart w:id="84" w:name="_Toc221767058"/>
      <w:r w:rsidRPr="000526AB">
        <w:rPr>
          <w:lang w:eastAsia="ja-JP"/>
        </w:rPr>
        <w:t>Table</w:t>
      </w:r>
      <w:r w:rsidR="009941E9">
        <w:rPr>
          <w:lang w:eastAsia="ja-JP"/>
        </w:rPr>
        <w:t xml:space="preserve"> 5</w:t>
      </w:r>
      <w:r w:rsidRPr="000526AB">
        <w:rPr>
          <w:lang w:eastAsia="ja-JP"/>
        </w:rPr>
        <w:t xml:space="preserve">: GALILEO – Week-76 protocol deviations from baseline; all </w:t>
      </w:r>
      <w:r w:rsidR="00300BDB">
        <w:rPr>
          <w:lang w:eastAsia="ja-JP"/>
        </w:rPr>
        <w:t>randomised</w:t>
      </w:r>
      <w:r w:rsidRPr="000526AB">
        <w:rPr>
          <w:lang w:eastAsia="ja-JP"/>
        </w:rPr>
        <w:t xml:space="preserve"> subjects.</w:t>
      </w:r>
      <w:bookmarkEnd w:id="84"/>
    </w:p>
    <w:p w:rsidR="000526AB" w:rsidRPr="000526AB" w:rsidRDefault="000526AB" w:rsidP="007B42DC">
      <w:pPr>
        <w:rPr>
          <w:lang w:eastAsia="ja-JP"/>
        </w:rPr>
      </w:pPr>
      <w:r w:rsidRPr="000526AB">
        <w:rPr>
          <w:noProof/>
          <w:lang w:eastAsia="en-AU"/>
        </w:rPr>
        <w:drawing>
          <wp:inline distT="0" distB="0" distL="0" distR="0" wp14:anchorId="455CA42A" wp14:editId="0E12B428">
            <wp:extent cx="4582160" cy="1564640"/>
            <wp:effectExtent l="19050" t="0" r="8890" b="0"/>
            <wp:docPr id="22" name="Picture 3" descr="Table 5: GALILEO – Week-76 protocol deviations from baseline; all randomis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582160" cy="1564640"/>
                    </a:xfrm>
                    <a:prstGeom prst="rect">
                      <a:avLst/>
                    </a:prstGeom>
                    <a:noFill/>
                    <a:ln w="9525">
                      <a:noFill/>
                      <a:miter lim="800000"/>
                      <a:headEnd/>
                      <a:tailEnd/>
                    </a:ln>
                  </pic:spPr>
                </pic:pic>
              </a:graphicData>
            </a:graphic>
          </wp:inline>
        </w:drawing>
      </w:r>
      <w:r w:rsidRPr="000526AB">
        <w:rPr>
          <w:lang w:eastAsia="ja-JP"/>
        </w:rPr>
        <w:t xml:space="preserve"> </w:t>
      </w:r>
    </w:p>
    <w:p w:rsidR="000526AB" w:rsidRPr="000526AB" w:rsidRDefault="000526AB" w:rsidP="007B42DC">
      <w:pPr>
        <w:pStyle w:val="Heading5"/>
      </w:pPr>
      <w:bookmarkStart w:id="85" w:name="_Toc221697279"/>
      <w:r w:rsidRPr="000526AB">
        <w:t>Baseline data</w:t>
      </w:r>
      <w:bookmarkEnd w:id="85"/>
    </w:p>
    <w:p w:rsidR="000526AB" w:rsidRPr="000526AB" w:rsidRDefault="000526AB" w:rsidP="00300308">
      <w:pPr>
        <w:pStyle w:val="Heading6"/>
        <w:rPr>
          <w:lang w:eastAsia="ja-JP"/>
        </w:rPr>
      </w:pPr>
      <w:r w:rsidRPr="00300308">
        <w:t>COPERNICUS</w:t>
      </w:r>
    </w:p>
    <w:p w:rsidR="000526AB" w:rsidRPr="000526AB" w:rsidRDefault="000526AB" w:rsidP="00300308">
      <w:pPr>
        <w:rPr>
          <w:lang w:eastAsia="ja-JP"/>
        </w:rPr>
      </w:pPr>
      <w:r w:rsidRPr="000526AB">
        <w:rPr>
          <w:b/>
          <w:lang w:eastAsia="ja-JP"/>
        </w:rPr>
        <w:t xml:space="preserve">Baseline demographics: </w:t>
      </w:r>
      <w:r w:rsidRPr="000526AB">
        <w:rPr>
          <w:lang w:eastAsia="ja-JP"/>
        </w:rPr>
        <w:t>In the FAS, demographics and baseline characteristics were generally well balanced between the two treatment groups. Just over half of the subjects were male (107/187; 57%) and the majority of the total population were white (147/187; 78.6%). The total population ranged in age from 22 to 89 years, with a mean (SD) of 66.3 (13.9) years. Baseline mean (SD) weight was 81.7 (19.6) kg, with an overall mean (SD) BMI of 28.7 (6.0) kg/m</w:t>
      </w:r>
      <w:r w:rsidRPr="000526AB">
        <w:rPr>
          <w:vertAlign w:val="superscript"/>
          <w:lang w:eastAsia="ja-JP"/>
        </w:rPr>
        <w:t xml:space="preserve">2 </w:t>
      </w:r>
      <w:r w:rsidRPr="000526AB">
        <w:rPr>
          <w:lang w:eastAsia="ja-JP"/>
        </w:rPr>
        <w:t>and mean (SD) height was 168.5 (10.7) cm. Most subjects took medication prior to the study (180/187, 96.3%).</w:t>
      </w:r>
    </w:p>
    <w:p w:rsidR="000526AB" w:rsidRPr="000526AB" w:rsidRDefault="000526AB" w:rsidP="00A723E5">
      <w:pPr>
        <w:rPr>
          <w:lang w:eastAsia="ja-JP"/>
        </w:rPr>
      </w:pPr>
      <w:r w:rsidRPr="000526AB">
        <w:rPr>
          <w:b/>
          <w:lang w:eastAsia="ja-JP"/>
        </w:rPr>
        <w:t>Baseline disease characteristics (study eye)</w:t>
      </w:r>
      <w:r w:rsidRPr="000526AB">
        <w:rPr>
          <w:lang w:eastAsia="ja-JP"/>
        </w:rPr>
        <w:t xml:space="preserve"> In the FAS, baseline disease characteristics in the study eye were well balanced between the two treatment groups. In the majority of subjects (75.4%) baseline BCVA in the study eye was &gt; 20/200 (letters </w:t>
      </w:r>
      <w:r w:rsidR="009941E9">
        <w:rPr>
          <w:lang w:eastAsia="ja-JP"/>
        </w:rPr>
        <w:t>≥</w:t>
      </w:r>
      <w:r w:rsidRPr="000526AB">
        <w:rPr>
          <w:lang w:eastAsia="ja-JP"/>
        </w:rPr>
        <w:t xml:space="preserve"> 35). In most subjects (67.9%) the retinal status was considered to be perfused. In the total FAS (n=187), mean (SD) visual acuity using the ETDRS was 50.0 (14.1) letters (range: 20, 73 letters), retinal thickness was 665.8 (239.8) </w:t>
      </w:r>
      <w:r w:rsidR="009941E9">
        <w:rPr>
          <w:lang w:eastAsia="ja-JP"/>
        </w:rPr>
        <w:t>µ</w:t>
      </w:r>
      <w:r w:rsidRPr="000526AB">
        <w:rPr>
          <w:lang w:eastAsia="ja-JP"/>
        </w:rPr>
        <w:t xml:space="preserve">m (range: 142, 1366 </w:t>
      </w:r>
      <w:r w:rsidR="009941E9">
        <w:rPr>
          <w:lang w:eastAsia="ja-JP"/>
        </w:rPr>
        <w:t>µ</w:t>
      </w:r>
      <w:r w:rsidRPr="000526AB">
        <w:rPr>
          <w:lang w:eastAsia="ja-JP"/>
        </w:rPr>
        <w:t xml:space="preserve">m), intraocular pressure (IOP) was 15.1 (3.1) mmHg (range: 7, 22 mmHg), and time since CRVO diagnosis was 2.4 (2.8) </w:t>
      </w:r>
      <w:r w:rsidR="00A723E5">
        <w:rPr>
          <w:lang w:eastAsia="ja-JP"/>
        </w:rPr>
        <w:t>months (range: 0, 18.2 months).</w:t>
      </w:r>
    </w:p>
    <w:p w:rsidR="000526AB" w:rsidRPr="000526AB" w:rsidRDefault="000526AB" w:rsidP="00A723E5">
      <w:pPr>
        <w:rPr>
          <w:lang w:eastAsia="ja-JP"/>
        </w:rPr>
      </w:pPr>
      <w:r w:rsidRPr="000526AB">
        <w:rPr>
          <w:b/>
          <w:lang w:eastAsia="ja-JP"/>
        </w:rPr>
        <w:t>Baseline NEI VFQ scores:</w:t>
      </w:r>
      <w:r w:rsidRPr="000526AB">
        <w:rPr>
          <w:lang w:eastAsia="ja-JP"/>
        </w:rPr>
        <w:t xml:space="preserve"> The NEI VFQ total score and subscores were similar for the two treatment groups as w</w:t>
      </w:r>
      <w:r w:rsidR="00A723E5">
        <w:rPr>
          <w:lang w:eastAsia="ja-JP"/>
        </w:rPr>
        <w:t>as the vision dependency score.</w:t>
      </w:r>
    </w:p>
    <w:p w:rsidR="000526AB" w:rsidRPr="000526AB" w:rsidRDefault="000526AB" w:rsidP="00A723E5">
      <w:pPr>
        <w:rPr>
          <w:lang w:eastAsia="ja-JP"/>
        </w:rPr>
      </w:pPr>
      <w:r w:rsidRPr="000526AB">
        <w:rPr>
          <w:b/>
          <w:lang w:eastAsia="ja-JP"/>
        </w:rPr>
        <w:t>Vital signs:</w:t>
      </w:r>
      <w:r w:rsidRPr="000526AB">
        <w:rPr>
          <w:lang w:eastAsia="ja-JP"/>
        </w:rPr>
        <w:t xml:space="preserve"> The mean baseline systolic and diastolic blood pressure, pulse rate and body temperature were all comparable between the two treatment groups and within normal ranges.</w:t>
      </w:r>
    </w:p>
    <w:p w:rsidR="000526AB" w:rsidRPr="000526AB" w:rsidRDefault="000526AB" w:rsidP="00A723E5">
      <w:pPr>
        <w:rPr>
          <w:lang w:eastAsia="ja-JP"/>
        </w:rPr>
      </w:pPr>
      <w:r w:rsidRPr="000526AB">
        <w:rPr>
          <w:b/>
          <w:lang w:eastAsia="ja-JP"/>
        </w:rPr>
        <w:t>Baseline coagulation factors</w:t>
      </w:r>
      <w:r w:rsidRPr="000526AB">
        <w:rPr>
          <w:lang w:eastAsia="ja-JP"/>
        </w:rPr>
        <w:t>: The mean baseline coagulation factors (APPT, INR, PT) were comparable between the two treatment groups and within normal ranges.</w:t>
      </w:r>
    </w:p>
    <w:p w:rsidR="000526AB" w:rsidRPr="000526AB" w:rsidRDefault="00D74B64" w:rsidP="00A723E5">
      <w:pPr>
        <w:rPr>
          <w:lang w:eastAsia="ja-JP"/>
        </w:rPr>
      </w:pPr>
      <w:r>
        <w:rPr>
          <w:b/>
          <w:lang w:eastAsia="ja-JP"/>
        </w:rPr>
        <w:lastRenderedPageBreak/>
        <w:t xml:space="preserve">Non-ocular </w:t>
      </w:r>
      <w:r w:rsidR="000526AB" w:rsidRPr="000526AB">
        <w:rPr>
          <w:b/>
          <w:lang w:eastAsia="ja-JP"/>
        </w:rPr>
        <w:t>and ocular medical/surgical history:</w:t>
      </w:r>
      <w:r w:rsidR="000526AB" w:rsidRPr="000526AB">
        <w:rPr>
          <w:lang w:eastAsia="ja-JP"/>
        </w:rPr>
        <w:t xml:space="preserve"> In the safety analysis set (SAF), all subjects in both treatment groups had a history of at least one medical or surgical event at baseline. The most commonly reported medical or surgical history findings at baseline in subjects in the SAF (n=188) consisted of eye disorders (100%), vascular (75.0%), surgical and medical procedures (69.1%), and metabolism and nutrition disorders (55.9%). The disorders with a </w:t>
      </w:r>
      <w:r w:rsidR="009941E9">
        <w:rPr>
          <w:lang w:eastAsia="ja-JP"/>
        </w:rPr>
        <w:t>≥</w:t>
      </w:r>
      <w:r w:rsidR="000526AB" w:rsidRPr="000526AB">
        <w:rPr>
          <w:lang w:eastAsia="ja-JP"/>
        </w:rPr>
        <w:t xml:space="preserve"> 5% difference between the two treatment groups (sham [n=74]</w:t>
      </w:r>
      <w:r w:rsidR="0091044A">
        <w:rPr>
          <w:lang w:eastAsia="ja-JP"/>
        </w:rPr>
        <w:t xml:space="preserve"> versus </w:t>
      </w:r>
      <w:r w:rsidR="000526AB" w:rsidRPr="000526AB">
        <w:rPr>
          <w:lang w:eastAsia="ja-JP"/>
        </w:rPr>
        <w:t xml:space="preserve">VTE2Q4 [n=114]) and occurring in </w:t>
      </w:r>
      <w:r w:rsidR="009941E9">
        <w:rPr>
          <w:lang w:eastAsia="ja-JP"/>
        </w:rPr>
        <w:t>≥</w:t>
      </w:r>
      <w:r w:rsidR="000526AB" w:rsidRPr="000526AB">
        <w:rPr>
          <w:lang w:eastAsia="ja-JP"/>
        </w:rPr>
        <w:t xml:space="preserve"> 10% of subjects in either treatment group were: vascular disorders (71.6%</w:t>
      </w:r>
      <w:r w:rsidR="0091044A">
        <w:rPr>
          <w:lang w:eastAsia="ja-JP"/>
        </w:rPr>
        <w:t xml:space="preserve"> versus </w:t>
      </w:r>
      <w:r w:rsidR="000526AB" w:rsidRPr="000526AB">
        <w:rPr>
          <w:lang w:eastAsia="ja-JP"/>
        </w:rPr>
        <w:t>77.2%); surgical and medical procedures (63.5%</w:t>
      </w:r>
      <w:r w:rsidR="0091044A">
        <w:rPr>
          <w:lang w:eastAsia="ja-JP"/>
        </w:rPr>
        <w:t xml:space="preserve"> versus </w:t>
      </w:r>
      <w:r w:rsidR="000526AB" w:rsidRPr="000526AB">
        <w:rPr>
          <w:lang w:eastAsia="ja-JP"/>
        </w:rPr>
        <w:t>72.8%); immune system disorders (21.6%</w:t>
      </w:r>
      <w:r w:rsidR="0091044A">
        <w:rPr>
          <w:lang w:eastAsia="ja-JP"/>
        </w:rPr>
        <w:t xml:space="preserve"> versus </w:t>
      </w:r>
      <w:r w:rsidR="000526AB" w:rsidRPr="000526AB">
        <w:rPr>
          <w:lang w:eastAsia="ja-JP"/>
        </w:rPr>
        <w:t>33.3%); cardiac disorders (31.3%</w:t>
      </w:r>
      <w:r w:rsidR="0091044A">
        <w:rPr>
          <w:lang w:eastAsia="ja-JP"/>
        </w:rPr>
        <w:t xml:space="preserve"> versus </w:t>
      </w:r>
      <w:r w:rsidR="000526AB" w:rsidRPr="000526AB">
        <w:rPr>
          <w:lang w:eastAsia="ja-JP"/>
        </w:rPr>
        <w:t>24.6%); respiratory, thoracic and mediastinal disorders (21.6%</w:t>
      </w:r>
      <w:r w:rsidR="0091044A">
        <w:rPr>
          <w:lang w:eastAsia="ja-JP"/>
        </w:rPr>
        <w:t xml:space="preserve"> versus </w:t>
      </w:r>
      <w:r w:rsidR="000526AB" w:rsidRPr="000526AB">
        <w:rPr>
          <w:lang w:eastAsia="ja-JP"/>
        </w:rPr>
        <w:t>28.9%); reproductive system and breast disorders (12.2%</w:t>
      </w:r>
      <w:r w:rsidR="0091044A">
        <w:rPr>
          <w:lang w:eastAsia="ja-JP"/>
        </w:rPr>
        <w:t xml:space="preserve"> versus </w:t>
      </w:r>
      <w:r w:rsidR="000526AB" w:rsidRPr="000526AB">
        <w:rPr>
          <w:lang w:eastAsia="ja-JP"/>
        </w:rPr>
        <w:t>25.4%); skin and subcutaneous tissue disorders (8.1%</w:t>
      </w:r>
      <w:r w:rsidR="0091044A">
        <w:rPr>
          <w:lang w:eastAsia="ja-JP"/>
        </w:rPr>
        <w:t xml:space="preserve"> versus </w:t>
      </w:r>
      <w:r w:rsidR="00A723E5">
        <w:rPr>
          <w:lang w:eastAsia="ja-JP"/>
        </w:rPr>
        <w:t>14.0%).</w:t>
      </w:r>
    </w:p>
    <w:p w:rsidR="000526AB" w:rsidRPr="000526AB" w:rsidRDefault="000526AB" w:rsidP="00A723E5">
      <w:pPr>
        <w:rPr>
          <w:lang w:eastAsia="ja-JP"/>
        </w:rPr>
      </w:pPr>
      <w:r w:rsidRPr="000526AB">
        <w:rPr>
          <w:b/>
          <w:lang w:eastAsia="ja-JP"/>
        </w:rPr>
        <w:t>Ocular (study eye) medical/surgical history:</w:t>
      </w:r>
      <w:r w:rsidRPr="000526AB">
        <w:rPr>
          <w:lang w:eastAsia="ja-JP"/>
        </w:rPr>
        <w:t xml:space="preserve"> The most commonly reported history of ocular disorders in the study eye (SAF) occurring in </w:t>
      </w:r>
      <w:r w:rsidR="009941E9">
        <w:rPr>
          <w:lang w:eastAsia="ja-JP"/>
        </w:rPr>
        <w:t>≥</w:t>
      </w:r>
      <w:r w:rsidRPr="000526AB">
        <w:rPr>
          <w:lang w:eastAsia="ja-JP"/>
        </w:rPr>
        <w:t xml:space="preserve"> 10% of subjects in at least one of the treatment groups in decreasing order of frequency in the sham group were (sham [n=74]</w:t>
      </w:r>
      <w:r w:rsidR="0091044A">
        <w:rPr>
          <w:lang w:eastAsia="ja-JP"/>
        </w:rPr>
        <w:t xml:space="preserve"> versus </w:t>
      </w:r>
      <w:r w:rsidRPr="000526AB">
        <w:rPr>
          <w:lang w:eastAsia="ja-JP"/>
        </w:rPr>
        <w:t>VTE2Q4 [n=114]): retinal vein occlusion (100%</w:t>
      </w:r>
      <w:r w:rsidR="0091044A">
        <w:rPr>
          <w:lang w:eastAsia="ja-JP"/>
        </w:rPr>
        <w:t xml:space="preserve"> versus </w:t>
      </w:r>
      <w:r w:rsidRPr="000526AB">
        <w:rPr>
          <w:lang w:eastAsia="ja-JP"/>
        </w:rPr>
        <w:t>100%); macular oedema (91.9%</w:t>
      </w:r>
      <w:r w:rsidR="0091044A">
        <w:rPr>
          <w:lang w:eastAsia="ja-JP"/>
        </w:rPr>
        <w:t xml:space="preserve"> versus </w:t>
      </w:r>
      <w:r w:rsidRPr="000526AB">
        <w:rPr>
          <w:lang w:eastAsia="ja-JP"/>
        </w:rPr>
        <w:t>95.6%); cataract (41.9%</w:t>
      </w:r>
      <w:r w:rsidR="0091044A">
        <w:rPr>
          <w:lang w:eastAsia="ja-JP"/>
        </w:rPr>
        <w:t xml:space="preserve"> versus </w:t>
      </w:r>
      <w:r w:rsidRPr="000526AB">
        <w:rPr>
          <w:lang w:eastAsia="ja-JP"/>
        </w:rPr>
        <w:t>56.1%); nuclear cataract (23.0%</w:t>
      </w:r>
      <w:r w:rsidR="0091044A">
        <w:rPr>
          <w:lang w:eastAsia="ja-JP"/>
        </w:rPr>
        <w:t xml:space="preserve"> versus </w:t>
      </w:r>
      <w:r w:rsidRPr="000526AB">
        <w:rPr>
          <w:lang w:eastAsia="ja-JP"/>
        </w:rPr>
        <w:t>8.8%); retinal haemorrhage (24.3%</w:t>
      </w:r>
      <w:r w:rsidR="0091044A">
        <w:rPr>
          <w:lang w:eastAsia="ja-JP"/>
        </w:rPr>
        <w:t xml:space="preserve"> versus </w:t>
      </w:r>
      <w:r w:rsidRPr="000526AB">
        <w:rPr>
          <w:lang w:eastAsia="ja-JP"/>
        </w:rPr>
        <w:t>23.7%); cataract operation (21.8%</w:t>
      </w:r>
      <w:r w:rsidR="0091044A">
        <w:rPr>
          <w:lang w:eastAsia="ja-JP"/>
        </w:rPr>
        <w:t xml:space="preserve"> versus </w:t>
      </w:r>
      <w:r w:rsidRPr="000526AB">
        <w:rPr>
          <w:lang w:eastAsia="ja-JP"/>
        </w:rPr>
        <w:t>17.5%); glaucoma (16.2%</w:t>
      </w:r>
      <w:r w:rsidR="0091044A">
        <w:rPr>
          <w:lang w:eastAsia="ja-JP"/>
        </w:rPr>
        <w:t xml:space="preserve"> versus </w:t>
      </w:r>
      <w:r w:rsidRPr="000526AB">
        <w:rPr>
          <w:lang w:eastAsia="ja-JP"/>
        </w:rPr>
        <w:t>7.0%); retinal vascular disorder (12.2%</w:t>
      </w:r>
      <w:r w:rsidR="0091044A">
        <w:rPr>
          <w:lang w:eastAsia="ja-JP"/>
        </w:rPr>
        <w:t xml:space="preserve"> versus </w:t>
      </w:r>
      <w:r w:rsidRPr="000526AB">
        <w:rPr>
          <w:lang w:eastAsia="ja-JP"/>
        </w:rPr>
        <w:t>7.9%); vitreous detachment (13.5%</w:t>
      </w:r>
      <w:r w:rsidR="0091044A">
        <w:rPr>
          <w:lang w:eastAsia="ja-JP"/>
        </w:rPr>
        <w:t xml:space="preserve"> versus </w:t>
      </w:r>
      <w:r w:rsidRPr="000526AB">
        <w:rPr>
          <w:lang w:eastAsia="ja-JP"/>
        </w:rPr>
        <w:t>22.8%); papilloedema (10.8%</w:t>
      </w:r>
      <w:r w:rsidR="0091044A">
        <w:rPr>
          <w:lang w:eastAsia="ja-JP"/>
        </w:rPr>
        <w:t xml:space="preserve"> versus </w:t>
      </w:r>
      <w:r w:rsidRPr="000526AB">
        <w:rPr>
          <w:lang w:eastAsia="ja-JP"/>
        </w:rPr>
        <w:t>7.9%); and intraocular lens implant (6.8%</w:t>
      </w:r>
      <w:r w:rsidR="0091044A">
        <w:rPr>
          <w:lang w:eastAsia="ja-JP"/>
        </w:rPr>
        <w:t xml:space="preserve"> versus </w:t>
      </w:r>
      <w:r w:rsidRPr="000526AB">
        <w:rPr>
          <w:lang w:eastAsia="ja-JP"/>
        </w:rPr>
        <w:t>10.5%).</w:t>
      </w:r>
    </w:p>
    <w:p w:rsidR="000526AB" w:rsidRPr="000526AB" w:rsidRDefault="000526AB" w:rsidP="00A723E5">
      <w:pPr>
        <w:rPr>
          <w:lang w:eastAsia="ja-JP"/>
        </w:rPr>
      </w:pPr>
      <w:r w:rsidRPr="000526AB">
        <w:rPr>
          <w:b/>
          <w:lang w:eastAsia="ja-JP"/>
        </w:rPr>
        <w:t>Ocular (fellow eye) medical/surgical history:</w:t>
      </w:r>
      <w:r w:rsidRPr="000526AB">
        <w:rPr>
          <w:lang w:eastAsia="ja-JP"/>
        </w:rPr>
        <w:t xml:space="preserve"> The most commonly reported history of ocular disorders in the fellow eye (SAF) occurring in </w:t>
      </w:r>
      <w:r w:rsidR="009941E9">
        <w:rPr>
          <w:lang w:eastAsia="ja-JP"/>
        </w:rPr>
        <w:t>≥</w:t>
      </w:r>
      <w:r w:rsidRPr="000526AB">
        <w:rPr>
          <w:lang w:eastAsia="ja-JP"/>
        </w:rPr>
        <w:t xml:space="preserve"> 10% of subjects in at least one of the treatment groups in decreasing order of frequency in the sham group were (sham [n=74]</w:t>
      </w:r>
      <w:r w:rsidR="0091044A">
        <w:rPr>
          <w:lang w:eastAsia="ja-JP"/>
        </w:rPr>
        <w:t xml:space="preserve"> versus </w:t>
      </w:r>
      <w:r w:rsidRPr="000526AB">
        <w:rPr>
          <w:lang w:eastAsia="ja-JP"/>
        </w:rPr>
        <w:t>VTE2Q4 [n=114]): cataract (39.2%</w:t>
      </w:r>
      <w:r w:rsidR="0091044A">
        <w:rPr>
          <w:lang w:eastAsia="ja-JP"/>
        </w:rPr>
        <w:t xml:space="preserve"> versus </w:t>
      </w:r>
      <w:r w:rsidRPr="000526AB">
        <w:rPr>
          <w:lang w:eastAsia="ja-JP"/>
        </w:rPr>
        <w:t>55.3%); cataract nuclear (21.6%</w:t>
      </w:r>
      <w:r w:rsidR="0091044A">
        <w:rPr>
          <w:lang w:eastAsia="ja-JP"/>
        </w:rPr>
        <w:t xml:space="preserve"> versus </w:t>
      </w:r>
      <w:r w:rsidRPr="000526AB">
        <w:rPr>
          <w:lang w:eastAsia="ja-JP"/>
        </w:rPr>
        <w:t>7.9%); vitreous detachment (17.6%</w:t>
      </w:r>
      <w:r w:rsidR="0091044A">
        <w:rPr>
          <w:lang w:eastAsia="ja-JP"/>
        </w:rPr>
        <w:t xml:space="preserve"> versus </w:t>
      </w:r>
      <w:r w:rsidRPr="000526AB">
        <w:rPr>
          <w:lang w:eastAsia="ja-JP"/>
        </w:rPr>
        <w:t>20.2%); cataract operation (16.2%</w:t>
      </w:r>
      <w:r w:rsidR="0091044A">
        <w:rPr>
          <w:lang w:eastAsia="ja-JP"/>
        </w:rPr>
        <w:t xml:space="preserve"> versus </w:t>
      </w:r>
      <w:r w:rsidRPr="000526AB">
        <w:rPr>
          <w:lang w:eastAsia="ja-JP"/>
        </w:rPr>
        <w:t>19.3%); and intraocular lens implant (6.8%</w:t>
      </w:r>
      <w:r w:rsidR="0091044A">
        <w:rPr>
          <w:lang w:eastAsia="ja-JP"/>
        </w:rPr>
        <w:t xml:space="preserve"> versus </w:t>
      </w:r>
      <w:r w:rsidR="00A723E5">
        <w:rPr>
          <w:lang w:eastAsia="ja-JP"/>
        </w:rPr>
        <w:t>11.4%).</w:t>
      </w:r>
    </w:p>
    <w:p w:rsidR="000526AB" w:rsidRPr="000526AB" w:rsidRDefault="00D74B64" w:rsidP="00A723E5">
      <w:pPr>
        <w:rPr>
          <w:lang w:eastAsia="ja-JP"/>
        </w:rPr>
      </w:pPr>
      <w:r>
        <w:rPr>
          <w:b/>
          <w:lang w:eastAsia="ja-JP"/>
        </w:rPr>
        <w:t xml:space="preserve">Non-ocular </w:t>
      </w:r>
      <w:r w:rsidR="000526AB" w:rsidRPr="000526AB">
        <w:rPr>
          <w:b/>
          <w:lang w:eastAsia="ja-JP"/>
        </w:rPr>
        <w:t>medical/surgical history:</w:t>
      </w:r>
      <w:r w:rsidR="000526AB" w:rsidRPr="000526AB">
        <w:rPr>
          <w:lang w:eastAsia="ja-JP"/>
        </w:rPr>
        <w:t xml:space="preserve"> In the total population (SAF), the most commonly reported history of </w:t>
      </w:r>
      <w:r>
        <w:rPr>
          <w:lang w:eastAsia="ja-JP"/>
        </w:rPr>
        <w:t xml:space="preserve">non-ocular </w:t>
      </w:r>
      <w:r w:rsidR="000526AB" w:rsidRPr="000526AB">
        <w:rPr>
          <w:lang w:eastAsia="ja-JP"/>
        </w:rPr>
        <w:t xml:space="preserve">disorders occurring in </w:t>
      </w:r>
      <w:r w:rsidR="009941E9">
        <w:rPr>
          <w:lang w:eastAsia="ja-JP"/>
        </w:rPr>
        <w:t>≥</w:t>
      </w:r>
      <w:r w:rsidR="000526AB" w:rsidRPr="000526AB">
        <w:rPr>
          <w:lang w:eastAsia="ja-JP"/>
        </w:rPr>
        <w:t xml:space="preserve"> 10% of subjects (n=188) in decreasing order of frequency were: hypertension (70.7%); hypercholesterolemia (27.7%); drug hypersensitivity (19.1%); gastroesophaga</w:t>
      </w:r>
      <w:r w:rsidR="009941E9">
        <w:rPr>
          <w:lang w:eastAsia="ja-JP"/>
        </w:rPr>
        <w:t>e</w:t>
      </w:r>
      <w:r w:rsidR="000526AB" w:rsidRPr="000526AB">
        <w:rPr>
          <w:lang w:eastAsia="ja-JP"/>
        </w:rPr>
        <w:t>l reflux disease (17.6%); depression (17.0%); hysterectomy (16.0%); hypothyroidism (14.4%); osteoarthritis (12.2%); hyperlipidaemia (12.2%); diabetes mellitus type 2 (11.2%); arthritis (10.6%); and seasonal allergy (10.1%).</w:t>
      </w:r>
    </w:p>
    <w:p w:rsidR="000526AB" w:rsidRPr="000526AB" w:rsidRDefault="000526AB" w:rsidP="00A723E5">
      <w:pPr>
        <w:rPr>
          <w:lang w:eastAsia="ja-JP"/>
        </w:rPr>
      </w:pPr>
      <w:r w:rsidRPr="000526AB">
        <w:rPr>
          <w:b/>
          <w:lang w:eastAsia="ja-JP"/>
        </w:rPr>
        <w:t>Capillary perfusion status:</w:t>
      </w:r>
      <w:r w:rsidRPr="000526AB">
        <w:rPr>
          <w:lang w:eastAsia="ja-JP"/>
        </w:rPr>
        <w:t xml:space="preserve"> In the FAS, baseline capillary perfusion status in subjects in the total population was: perfused (&lt; 10 disc areas [DA] of capillary non-perfusion), n=127 (67.9%); non-perfused (</w:t>
      </w:r>
      <w:r w:rsidR="009941E9">
        <w:rPr>
          <w:lang w:eastAsia="ja-JP"/>
        </w:rPr>
        <w:t>≥</w:t>
      </w:r>
      <w:r w:rsidRPr="000526AB">
        <w:rPr>
          <w:lang w:eastAsia="ja-JP"/>
        </w:rPr>
        <w:t xml:space="preserve"> 10 DA of capillary non-perfusion), n=29 (15.5%); indeterminate, n=31 (16.6%); and missing, n=0 (0%). There were no noteworthy differences in baseline capillary status between the two treatme</w:t>
      </w:r>
      <w:r w:rsidR="00A723E5">
        <w:rPr>
          <w:lang w:eastAsia="ja-JP"/>
        </w:rPr>
        <w:t>nt groups.</w:t>
      </w:r>
    </w:p>
    <w:p w:rsidR="000526AB" w:rsidRPr="000526AB" w:rsidRDefault="000526AB" w:rsidP="00A723E5">
      <w:pPr>
        <w:rPr>
          <w:lang w:eastAsia="ja-JP"/>
        </w:rPr>
      </w:pPr>
      <w:r w:rsidRPr="000526AB">
        <w:rPr>
          <w:b/>
          <w:lang w:eastAsia="ja-JP"/>
        </w:rPr>
        <w:t>Prior medications (SAF):</w:t>
      </w:r>
      <w:r w:rsidRPr="000526AB">
        <w:rPr>
          <w:lang w:eastAsia="ja-JP"/>
        </w:rPr>
        <w:t xml:space="preserve"> Overall, 97.3% (72/74) of subjects in the sham group had taken medications prior to VTE compared with 95.6% (109/114) of subjects in the VTE2Q4 group. The most commonly used prior therapies (</w:t>
      </w:r>
      <w:r w:rsidR="009941E9">
        <w:rPr>
          <w:lang w:eastAsia="ja-JP"/>
        </w:rPr>
        <w:t>≥</w:t>
      </w:r>
      <w:r w:rsidRPr="000526AB">
        <w:rPr>
          <w:lang w:eastAsia="ja-JP"/>
        </w:rPr>
        <w:t xml:space="preserve"> 40% in at least one of the treatment groups) in decreasing order of frequency in the sham group (v</w:t>
      </w:r>
      <w:r w:rsidR="009941E9">
        <w:rPr>
          <w:lang w:eastAsia="ja-JP"/>
        </w:rPr>
        <w:t>ersu</w:t>
      </w:r>
      <w:r w:rsidRPr="000526AB">
        <w:rPr>
          <w:lang w:eastAsia="ja-JP"/>
        </w:rPr>
        <w:t>s VTE2Q4) were: ophthalmologicals (64.9%</w:t>
      </w:r>
      <w:r w:rsidR="0091044A">
        <w:rPr>
          <w:lang w:eastAsia="ja-JP"/>
        </w:rPr>
        <w:t xml:space="preserve"> versus </w:t>
      </w:r>
      <w:r w:rsidRPr="000526AB">
        <w:rPr>
          <w:lang w:eastAsia="ja-JP"/>
        </w:rPr>
        <w:t>60.5%); cardiac (51.4%</w:t>
      </w:r>
      <w:r w:rsidR="0091044A">
        <w:rPr>
          <w:lang w:eastAsia="ja-JP"/>
        </w:rPr>
        <w:t xml:space="preserve"> versus </w:t>
      </w:r>
      <w:r w:rsidRPr="000526AB">
        <w:rPr>
          <w:lang w:eastAsia="ja-JP"/>
        </w:rPr>
        <w:t>50.9%); stomatological preparations (45.9%</w:t>
      </w:r>
      <w:r w:rsidR="0091044A">
        <w:rPr>
          <w:lang w:eastAsia="ja-JP"/>
        </w:rPr>
        <w:t xml:space="preserve"> versus </w:t>
      </w:r>
      <w:r w:rsidRPr="000526AB">
        <w:rPr>
          <w:lang w:eastAsia="ja-JP"/>
        </w:rPr>
        <w:t>36.8%); serum lipid reducing agents (43.2%</w:t>
      </w:r>
      <w:r w:rsidR="0091044A">
        <w:rPr>
          <w:lang w:eastAsia="ja-JP"/>
        </w:rPr>
        <w:t xml:space="preserve"> versus </w:t>
      </w:r>
      <w:r w:rsidRPr="000526AB">
        <w:rPr>
          <w:lang w:eastAsia="ja-JP"/>
        </w:rPr>
        <w:t>46.5%); and agents acting on the renin-angiotensin system (33.8%</w:t>
      </w:r>
      <w:r w:rsidR="0091044A">
        <w:rPr>
          <w:lang w:eastAsia="ja-JP"/>
        </w:rPr>
        <w:t xml:space="preserve"> versus </w:t>
      </w:r>
      <w:r w:rsidRPr="000526AB">
        <w:rPr>
          <w:lang w:eastAsia="ja-JP"/>
        </w:rPr>
        <w:t xml:space="preserve">45.6%). Prior therapies taken in </w:t>
      </w:r>
      <w:r w:rsidR="009941E9">
        <w:rPr>
          <w:lang w:eastAsia="ja-JP"/>
        </w:rPr>
        <w:t>≤</w:t>
      </w:r>
      <w:r w:rsidRPr="000526AB">
        <w:rPr>
          <w:lang w:eastAsia="ja-JP"/>
        </w:rPr>
        <w:t xml:space="preserve"> 40% of subjects in either treatment group, but with a </w:t>
      </w:r>
      <w:r w:rsidR="009941E9">
        <w:rPr>
          <w:lang w:eastAsia="ja-JP"/>
        </w:rPr>
        <w:t>≥</w:t>
      </w:r>
      <w:r w:rsidRPr="000526AB">
        <w:rPr>
          <w:lang w:eastAsia="ja-JP"/>
        </w:rPr>
        <w:t xml:space="preserve"> 5% difference between the two treatment groups (sham</w:t>
      </w:r>
      <w:r w:rsidR="0091044A">
        <w:rPr>
          <w:lang w:eastAsia="ja-JP"/>
        </w:rPr>
        <w:t xml:space="preserve"> versus </w:t>
      </w:r>
      <w:r w:rsidRPr="000526AB">
        <w:rPr>
          <w:lang w:eastAsia="ja-JP"/>
        </w:rPr>
        <w:t xml:space="preserve">VTEQ24) and occurring in </w:t>
      </w:r>
      <w:r w:rsidR="009941E9">
        <w:rPr>
          <w:lang w:eastAsia="ja-JP"/>
        </w:rPr>
        <w:t>≥</w:t>
      </w:r>
      <w:r w:rsidRPr="000526AB">
        <w:rPr>
          <w:lang w:eastAsia="ja-JP"/>
        </w:rPr>
        <w:t xml:space="preserve"> 10% of subjects in at least one of the two treatment groups were: vitamins (36.5%</w:t>
      </w:r>
      <w:r w:rsidR="0091044A">
        <w:rPr>
          <w:lang w:eastAsia="ja-JP"/>
        </w:rPr>
        <w:t xml:space="preserve"> versus </w:t>
      </w:r>
      <w:r w:rsidRPr="000526AB">
        <w:rPr>
          <w:lang w:eastAsia="ja-JP"/>
        </w:rPr>
        <w:t>20.1%); calcium channel blockers (23.0%</w:t>
      </w:r>
      <w:r w:rsidR="0091044A">
        <w:rPr>
          <w:lang w:eastAsia="ja-JP"/>
        </w:rPr>
        <w:t xml:space="preserve"> versus </w:t>
      </w:r>
      <w:r w:rsidRPr="000526AB">
        <w:rPr>
          <w:lang w:eastAsia="ja-JP"/>
        </w:rPr>
        <w:t xml:space="preserve">17.5%); </w:t>
      </w:r>
      <w:r w:rsidR="009941E9">
        <w:rPr>
          <w:lang w:eastAsia="ja-JP"/>
        </w:rPr>
        <w:t>gastrointestinal (</w:t>
      </w:r>
      <w:r w:rsidRPr="000526AB">
        <w:rPr>
          <w:lang w:eastAsia="ja-JP"/>
        </w:rPr>
        <w:t>GIT</w:t>
      </w:r>
      <w:r w:rsidR="009941E9">
        <w:rPr>
          <w:lang w:eastAsia="ja-JP"/>
        </w:rPr>
        <w:t>)</w:t>
      </w:r>
      <w:r w:rsidRPr="000526AB">
        <w:rPr>
          <w:lang w:eastAsia="ja-JP"/>
        </w:rPr>
        <w:t xml:space="preserve"> drugs for acid related disorders (27.0%</w:t>
      </w:r>
      <w:r w:rsidR="0091044A">
        <w:rPr>
          <w:lang w:eastAsia="ja-JP"/>
        </w:rPr>
        <w:t xml:space="preserve"> versus </w:t>
      </w:r>
      <w:r w:rsidRPr="000526AB">
        <w:rPr>
          <w:lang w:eastAsia="ja-JP"/>
        </w:rPr>
        <w:t>20.2%); drugs used in diabetes (17.6%</w:t>
      </w:r>
      <w:r w:rsidR="0091044A">
        <w:rPr>
          <w:lang w:eastAsia="ja-JP"/>
        </w:rPr>
        <w:t xml:space="preserve"> versus </w:t>
      </w:r>
      <w:r w:rsidRPr="000526AB">
        <w:rPr>
          <w:lang w:eastAsia="ja-JP"/>
        </w:rPr>
        <w:t>23.7%); analgesics (14.9%</w:t>
      </w:r>
      <w:r w:rsidR="0091044A">
        <w:rPr>
          <w:lang w:eastAsia="ja-JP"/>
        </w:rPr>
        <w:t xml:space="preserve"> versus </w:t>
      </w:r>
      <w:r w:rsidRPr="000526AB">
        <w:rPr>
          <w:lang w:eastAsia="ja-JP"/>
        </w:rPr>
        <w:t>20.2%); anti-inflammatory and anti-rheumatic products (13.5%</w:t>
      </w:r>
      <w:r w:rsidR="0091044A">
        <w:rPr>
          <w:lang w:eastAsia="ja-JP"/>
        </w:rPr>
        <w:t xml:space="preserve"> versus </w:t>
      </w:r>
      <w:r w:rsidRPr="000526AB">
        <w:rPr>
          <w:lang w:eastAsia="ja-JP"/>
        </w:rPr>
        <w:t>7.9%); antiepileptics (12.2%</w:t>
      </w:r>
      <w:r w:rsidR="0091044A">
        <w:rPr>
          <w:lang w:eastAsia="ja-JP"/>
        </w:rPr>
        <w:t xml:space="preserve"> versus </w:t>
      </w:r>
      <w:r w:rsidRPr="000526AB">
        <w:rPr>
          <w:lang w:eastAsia="ja-JP"/>
        </w:rPr>
        <w:t>3.5%); and psychoanalpetics (10.8%</w:t>
      </w:r>
      <w:r w:rsidR="0091044A">
        <w:rPr>
          <w:lang w:eastAsia="ja-JP"/>
        </w:rPr>
        <w:t xml:space="preserve"> versus </w:t>
      </w:r>
      <w:r w:rsidR="00A723E5">
        <w:rPr>
          <w:lang w:eastAsia="ja-JP"/>
        </w:rPr>
        <w:t>20.2%).</w:t>
      </w:r>
    </w:p>
    <w:p w:rsidR="000526AB" w:rsidRPr="000526AB" w:rsidRDefault="000526AB" w:rsidP="00A723E5">
      <w:pPr>
        <w:rPr>
          <w:lang w:eastAsia="ja-JP"/>
        </w:rPr>
      </w:pPr>
      <w:r w:rsidRPr="000526AB">
        <w:rPr>
          <w:b/>
          <w:lang w:eastAsia="ja-JP"/>
        </w:rPr>
        <w:lastRenderedPageBreak/>
        <w:t>Concomitant medications up to</w:t>
      </w:r>
      <w:r w:rsidR="00300BDB">
        <w:rPr>
          <w:b/>
          <w:lang w:eastAsia="ja-JP"/>
        </w:rPr>
        <w:t xml:space="preserve"> Week 2</w:t>
      </w:r>
      <w:r w:rsidRPr="000526AB">
        <w:rPr>
          <w:b/>
          <w:lang w:eastAsia="ja-JP"/>
        </w:rPr>
        <w:t xml:space="preserve">4 (SAF): </w:t>
      </w:r>
      <w:r w:rsidRPr="000526AB">
        <w:rPr>
          <w:lang w:eastAsia="ja-JP"/>
        </w:rPr>
        <w:t>Overall, 100% of subjects in both treatment groups took concomitant medications up to</w:t>
      </w:r>
      <w:r w:rsidR="00300BDB">
        <w:rPr>
          <w:lang w:eastAsia="ja-JP"/>
        </w:rPr>
        <w:t xml:space="preserve"> Week 2</w:t>
      </w:r>
      <w:r w:rsidRPr="000526AB">
        <w:rPr>
          <w:lang w:eastAsia="ja-JP"/>
        </w:rPr>
        <w:t xml:space="preserve">4. Concomitant medications taken by </w:t>
      </w:r>
      <w:r w:rsidR="009941E9">
        <w:rPr>
          <w:lang w:eastAsia="ja-JP"/>
        </w:rPr>
        <w:t>≥</w:t>
      </w:r>
      <w:r w:rsidRPr="000526AB">
        <w:rPr>
          <w:lang w:eastAsia="ja-JP"/>
        </w:rPr>
        <w:t xml:space="preserve"> 40% of subjects in either treatment group (sham [n=74]</w:t>
      </w:r>
      <w:r w:rsidR="0091044A">
        <w:rPr>
          <w:lang w:eastAsia="ja-JP"/>
        </w:rPr>
        <w:t xml:space="preserve"> versus </w:t>
      </w:r>
      <w:r w:rsidRPr="000526AB">
        <w:rPr>
          <w:lang w:eastAsia="ja-JP"/>
        </w:rPr>
        <w:t>VTE2Q4 [n=114]) in decreasing order of frequency in the sham group were: ophthalmologicals (100%</w:t>
      </w:r>
      <w:r w:rsidR="0091044A">
        <w:rPr>
          <w:lang w:eastAsia="ja-JP"/>
        </w:rPr>
        <w:t xml:space="preserve"> versus </w:t>
      </w:r>
      <w:r w:rsidRPr="000526AB">
        <w:rPr>
          <w:lang w:eastAsia="ja-JP"/>
        </w:rPr>
        <w:t>99.1%); antiseptics and disinfectants (93.2%</w:t>
      </w:r>
      <w:r w:rsidR="0091044A">
        <w:rPr>
          <w:lang w:eastAsia="ja-JP"/>
        </w:rPr>
        <w:t xml:space="preserve"> versus </w:t>
      </w:r>
      <w:r w:rsidRPr="000526AB">
        <w:rPr>
          <w:lang w:eastAsia="ja-JP"/>
        </w:rPr>
        <w:t>90.4%); systemic antibacterials (91.9%</w:t>
      </w:r>
      <w:r w:rsidR="0091044A">
        <w:rPr>
          <w:lang w:eastAsia="ja-JP"/>
        </w:rPr>
        <w:t xml:space="preserve"> versus </w:t>
      </w:r>
      <w:r w:rsidRPr="000526AB">
        <w:rPr>
          <w:lang w:eastAsia="ja-JP"/>
        </w:rPr>
        <w:t>98.2%); cardiac (90.5%</w:t>
      </w:r>
      <w:r w:rsidR="0091044A">
        <w:rPr>
          <w:lang w:eastAsia="ja-JP"/>
        </w:rPr>
        <w:t xml:space="preserve"> versus </w:t>
      </w:r>
      <w:r w:rsidRPr="000526AB">
        <w:rPr>
          <w:lang w:eastAsia="ja-JP"/>
        </w:rPr>
        <w:t>86.0%); stomatological preparations (50.0%</w:t>
      </w:r>
      <w:r w:rsidR="0091044A">
        <w:rPr>
          <w:lang w:eastAsia="ja-JP"/>
        </w:rPr>
        <w:t xml:space="preserve"> versus </w:t>
      </w:r>
      <w:r w:rsidRPr="000526AB">
        <w:rPr>
          <w:lang w:eastAsia="ja-JP"/>
        </w:rPr>
        <w:t>42.1%); serum lipid reducing agents (44.6%</w:t>
      </w:r>
      <w:r w:rsidR="0091044A">
        <w:rPr>
          <w:lang w:eastAsia="ja-JP"/>
        </w:rPr>
        <w:t xml:space="preserve"> versus </w:t>
      </w:r>
      <w:r w:rsidRPr="000526AB">
        <w:rPr>
          <w:lang w:eastAsia="ja-JP"/>
        </w:rPr>
        <w:t>48.2%); agents acting on the renin-angiotensin system (39.2%</w:t>
      </w:r>
      <w:r w:rsidR="0091044A">
        <w:rPr>
          <w:lang w:eastAsia="ja-JP"/>
        </w:rPr>
        <w:t xml:space="preserve"> versus </w:t>
      </w:r>
      <w:r w:rsidRPr="000526AB">
        <w:rPr>
          <w:lang w:eastAsia="ja-JP"/>
        </w:rPr>
        <w:t>48.2%); and beta-blocking agents (39.2%</w:t>
      </w:r>
      <w:r w:rsidR="0091044A">
        <w:rPr>
          <w:lang w:eastAsia="ja-JP"/>
        </w:rPr>
        <w:t xml:space="preserve"> versus </w:t>
      </w:r>
      <w:r w:rsidRPr="000526AB">
        <w:rPr>
          <w:lang w:eastAsia="ja-JP"/>
        </w:rPr>
        <w:t>4</w:t>
      </w:r>
      <w:r w:rsidR="00A723E5">
        <w:rPr>
          <w:lang w:eastAsia="ja-JP"/>
        </w:rPr>
        <w:t>0.4%).</w:t>
      </w:r>
    </w:p>
    <w:p w:rsidR="000526AB" w:rsidRPr="000526AB" w:rsidRDefault="000526AB" w:rsidP="00300308">
      <w:pPr>
        <w:pStyle w:val="Heading6"/>
        <w:rPr>
          <w:lang w:eastAsia="ja-JP"/>
        </w:rPr>
      </w:pPr>
      <w:r w:rsidRPr="00300308">
        <w:t>GALILEO</w:t>
      </w:r>
    </w:p>
    <w:p w:rsidR="00A723E5" w:rsidRDefault="000526AB" w:rsidP="00A723E5">
      <w:pPr>
        <w:rPr>
          <w:lang w:eastAsia="ja-JP"/>
        </w:rPr>
      </w:pPr>
      <w:r w:rsidRPr="000526AB">
        <w:rPr>
          <w:b/>
          <w:lang w:eastAsia="ja-JP"/>
        </w:rPr>
        <w:t xml:space="preserve">Baseline demographics: </w:t>
      </w:r>
      <w:r w:rsidRPr="000526AB">
        <w:rPr>
          <w:lang w:eastAsia="ja-JP"/>
        </w:rPr>
        <w:t>In the FAS, demographic characteristics were well balanced between the two treatment groups. Slightly more than half of the subjects were male (95/171; 55.6%), and mos</w:t>
      </w:r>
      <w:r w:rsidR="00706C51">
        <w:rPr>
          <w:lang w:eastAsia="ja-JP"/>
        </w:rPr>
        <w:t>t of the total population were W</w:t>
      </w:r>
      <w:r w:rsidRPr="000526AB">
        <w:rPr>
          <w:lang w:eastAsia="ja-JP"/>
        </w:rPr>
        <w:t>hite (123/171; 71.9%). The total population ranged in age from 29 to 88 years, with a mean (SD) of 61.5 (12.9) years, mean (SD) weight of 74.6 (15.1) kg, mean (SD height of 168.1 (10.2) cm, and mean (SD) BMI of 26.3 (4.2) kg/m</w:t>
      </w:r>
      <w:r w:rsidRPr="000526AB">
        <w:rPr>
          <w:vertAlign w:val="superscript"/>
          <w:lang w:eastAsia="ja-JP"/>
        </w:rPr>
        <w:t>2</w:t>
      </w:r>
      <w:r w:rsidR="00A723E5">
        <w:rPr>
          <w:lang w:eastAsia="ja-JP"/>
        </w:rPr>
        <w:t>.</w:t>
      </w:r>
    </w:p>
    <w:p w:rsidR="000526AB" w:rsidRPr="000526AB" w:rsidRDefault="000526AB" w:rsidP="00A723E5">
      <w:pPr>
        <w:rPr>
          <w:lang w:eastAsia="ja-JP"/>
        </w:rPr>
      </w:pPr>
      <w:r w:rsidRPr="000526AB">
        <w:rPr>
          <w:b/>
          <w:lang w:eastAsia="ja-JP"/>
        </w:rPr>
        <w:t xml:space="preserve">Baseline disease characteristics (study eye): </w:t>
      </w:r>
      <w:r w:rsidRPr="000526AB">
        <w:rPr>
          <w:lang w:eastAsia="ja-JP"/>
        </w:rPr>
        <w:t>In the FAS, baseline BCVA letter scores were well balanced between the two treatment groups, with the majority of subjects in the sham and VTE2Q4 groups having a BCVA of &gt; 20/200 (</w:t>
      </w:r>
      <w:r w:rsidR="00706C51">
        <w:rPr>
          <w:lang w:eastAsia="ja-JP"/>
        </w:rPr>
        <w:t>≥</w:t>
      </w:r>
      <w:r w:rsidRPr="000526AB">
        <w:rPr>
          <w:lang w:eastAsia="ja-JP"/>
        </w:rPr>
        <w:t xml:space="preserve"> 35 letters) (82.4%</w:t>
      </w:r>
      <w:r w:rsidR="0091044A">
        <w:rPr>
          <w:lang w:eastAsia="ja-JP"/>
        </w:rPr>
        <w:t xml:space="preserve"> versus </w:t>
      </w:r>
      <w:r w:rsidRPr="000526AB">
        <w:rPr>
          <w:lang w:eastAsia="ja-JP"/>
        </w:rPr>
        <w:t>83.5%, respectively), and similar mean (SD) visual acuity (letters) (50.9 [14.4]</w:t>
      </w:r>
      <w:r w:rsidR="0091044A">
        <w:rPr>
          <w:lang w:eastAsia="ja-JP"/>
        </w:rPr>
        <w:t xml:space="preserve"> versus </w:t>
      </w:r>
      <w:r w:rsidRPr="000526AB">
        <w:rPr>
          <w:lang w:eastAsia="ja-JP"/>
        </w:rPr>
        <w:t>53.6 [15.8], respectively). There was an imbalance between the two treatment groups in baseline retinal perfusion status, with a higher proportion of subjects in the VTE2Q4 group considered to be perfused compared with the sham group (86.4%</w:t>
      </w:r>
      <w:r w:rsidR="0091044A">
        <w:rPr>
          <w:lang w:eastAsia="ja-JP"/>
        </w:rPr>
        <w:t xml:space="preserve"> versus </w:t>
      </w:r>
      <w:r w:rsidRPr="000526AB">
        <w:rPr>
          <w:lang w:eastAsia="ja-JP"/>
        </w:rPr>
        <w:t xml:space="preserve">79.4%, respectively). Baseline mean </w:t>
      </w:r>
      <w:r w:rsidR="00706C51">
        <w:rPr>
          <w:lang w:eastAsia="ja-JP"/>
        </w:rPr>
        <w:t>intra ocular pressure (</w:t>
      </w:r>
      <w:r w:rsidRPr="000526AB">
        <w:rPr>
          <w:lang w:eastAsia="ja-JP"/>
        </w:rPr>
        <w:t>IOP</w:t>
      </w:r>
      <w:r w:rsidR="00706C51">
        <w:rPr>
          <w:lang w:eastAsia="ja-JP"/>
        </w:rPr>
        <w:t>)</w:t>
      </w:r>
      <w:r w:rsidRPr="000526AB">
        <w:rPr>
          <w:lang w:eastAsia="ja-JP"/>
        </w:rPr>
        <w:t xml:space="preserve"> was similar in the two treatment groups and within the normal range. Time since CRVO diagnosis was &lt; 2 months in 51.5% of subjects in the sham gro</w:t>
      </w:r>
      <w:r w:rsidR="00A723E5">
        <w:rPr>
          <w:lang w:eastAsia="ja-JP"/>
        </w:rPr>
        <w:t>up and 53.4% in the VTE2Q4 arm.</w:t>
      </w:r>
    </w:p>
    <w:p w:rsidR="000526AB" w:rsidRPr="000526AB" w:rsidRDefault="000526AB" w:rsidP="00A723E5">
      <w:pPr>
        <w:rPr>
          <w:lang w:eastAsia="ja-JP"/>
        </w:rPr>
      </w:pPr>
      <w:r w:rsidRPr="000526AB">
        <w:rPr>
          <w:b/>
          <w:lang w:eastAsia="ja-JP"/>
        </w:rPr>
        <w:t xml:space="preserve">Baseline NEI VFQ and ED-50 scores: </w:t>
      </w:r>
      <w:r w:rsidRPr="000526AB">
        <w:rPr>
          <w:lang w:eastAsia="ja-JP"/>
        </w:rPr>
        <w:t>Baseline NEI VFQ-25 scores and sub-group scores in subjects in the FAS were similar for the two treatment groups, as was the b</w:t>
      </w:r>
      <w:r w:rsidR="00A723E5">
        <w:rPr>
          <w:lang w:eastAsia="ja-JP"/>
        </w:rPr>
        <w:t>aseline EQ-5D score.</w:t>
      </w:r>
    </w:p>
    <w:p w:rsidR="000526AB" w:rsidRPr="000526AB" w:rsidRDefault="000526AB" w:rsidP="00A723E5">
      <w:pPr>
        <w:rPr>
          <w:lang w:eastAsia="ja-JP"/>
        </w:rPr>
      </w:pPr>
      <w:r w:rsidRPr="000526AB">
        <w:rPr>
          <w:b/>
          <w:lang w:eastAsia="ja-JP"/>
        </w:rPr>
        <w:t>Vital signs:</w:t>
      </w:r>
      <w:r w:rsidRPr="000526AB">
        <w:rPr>
          <w:lang w:eastAsia="ja-JP"/>
        </w:rPr>
        <w:t xml:space="preserve"> Mean baseline systolic and diastolic blood pressure, pulse rate and body temperature were all comparable in the two treatment groups </w:t>
      </w:r>
      <w:r w:rsidR="00A723E5">
        <w:rPr>
          <w:lang w:eastAsia="ja-JP"/>
        </w:rPr>
        <w:t>(SAF) and within normal ranges.</w:t>
      </w:r>
    </w:p>
    <w:p w:rsidR="000526AB" w:rsidRPr="000526AB" w:rsidRDefault="00D74B64" w:rsidP="00A723E5">
      <w:pPr>
        <w:rPr>
          <w:lang w:eastAsia="ja-JP"/>
        </w:rPr>
      </w:pPr>
      <w:r>
        <w:rPr>
          <w:b/>
          <w:lang w:eastAsia="ja-JP"/>
        </w:rPr>
        <w:t xml:space="preserve">Non-ocular </w:t>
      </w:r>
      <w:r w:rsidR="000526AB" w:rsidRPr="000526AB">
        <w:rPr>
          <w:b/>
          <w:lang w:eastAsia="ja-JP"/>
        </w:rPr>
        <w:t>and ocular medical/surgical history:</w:t>
      </w:r>
      <w:r w:rsidR="000526AB" w:rsidRPr="000526AB">
        <w:rPr>
          <w:lang w:eastAsia="ja-JP"/>
        </w:rPr>
        <w:t xml:space="preserve"> In the SAF, all subjects (n=172) in both treatment groups had a history of at least one medical or surgical condition/event at baseline. In the total population, the most commonly reported conditions were eye disorders (100%), vascular disorders (60.5%), surgical and medical procedures (51.2%) and metabolism and nutrition disorders (40.7%). The disorders with a </w:t>
      </w:r>
      <w:r w:rsidR="00706C51">
        <w:rPr>
          <w:lang w:eastAsia="ja-JP"/>
        </w:rPr>
        <w:t>≥</w:t>
      </w:r>
      <w:r w:rsidR="000526AB" w:rsidRPr="000526AB">
        <w:rPr>
          <w:lang w:eastAsia="ja-JP"/>
        </w:rPr>
        <w:t xml:space="preserve"> 5% difference between the two treatment groups (sham [n=68]</w:t>
      </w:r>
      <w:r w:rsidR="0091044A">
        <w:rPr>
          <w:lang w:eastAsia="ja-JP"/>
        </w:rPr>
        <w:t xml:space="preserve"> versus </w:t>
      </w:r>
      <w:r w:rsidR="000526AB" w:rsidRPr="000526AB">
        <w:rPr>
          <w:lang w:eastAsia="ja-JP"/>
        </w:rPr>
        <w:t xml:space="preserve">VTE2Q4 [n=104]) and occurring in </w:t>
      </w:r>
      <w:r w:rsidR="00706C51">
        <w:rPr>
          <w:lang w:eastAsia="ja-JP"/>
        </w:rPr>
        <w:t xml:space="preserve">≥ </w:t>
      </w:r>
      <w:r w:rsidR="000526AB" w:rsidRPr="000526AB">
        <w:rPr>
          <w:lang w:eastAsia="ja-JP"/>
        </w:rPr>
        <w:t>10% of subjects in either treatment group were: vascular disorders (66.2%</w:t>
      </w:r>
      <w:r w:rsidR="0091044A">
        <w:rPr>
          <w:lang w:eastAsia="ja-JP"/>
        </w:rPr>
        <w:t xml:space="preserve"> versus </w:t>
      </w:r>
      <w:r w:rsidR="000526AB" w:rsidRPr="000526AB">
        <w:rPr>
          <w:lang w:eastAsia="ja-JP"/>
        </w:rPr>
        <w:t>56.7%); cardiac disorders (32.4%</w:t>
      </w:r>
      <w:r w:rsidR="0091044A">
        <w:rPr>
          <w:lang w:eastAsia="ja-JP"/>
        </w:rPr>
        <w:t xml:space="preserve"> versus </w:t>
      </w:r>
      <w:r w:rsidR="000526AB" w:rsidRPr="000526AB">
        <w:rPr>
          <w:lang w:eastAsia="ja-JP"/>
        </w:rPr>
        <w:t>23.1%); nervous system disorders (25.0%</w:t>
      </w:r>
      <w:r w:rsidR="0091044A">
        <w:rPr>
          <w:lang w:eastAsia="ja-JP"/>
        </w:rPr>
        <w:t xml:space="preserve"> versus </w:t>
      </w:r>
      <w:r w:rsidR="000526AB" w:rsidRPr="000526AB">
        <w:rPr>
          <w:lang w:eastAsia="ja-JP"/>
        </w:rPr>
        <w:t>18.3%); infections and infestations (20.6%</w:t>
      </w:r>
      <w:r w:rsidR="0091044A">
        <w:rPr>
          <w:lang w:eastAsia="ja-JP"/>
        </w:rPr>
        <w:t xml:space="preserve"> versus </w:t>
      </w:r>
      <w:r w:rsidR="000526AB" w:rsidRPr="000526AB">
        <w:rPr>
          <w:lang w:eastAsia="ja-JP"/>
        </w:rPr>
        <w:t>7.7%); reproductive system and breast disorders (17.6%</w:t>
      </w:r>
      <w:r w:rsidR="0091044A">
        <w:rPr>
          <w:lang w:eastAsia="ja-JP"/>
        </w:rPr>
        <w:t xml:space="preserve"> versus </w:t>
      </w:r>
      <w:r w:rsidR="000526AB" w:rsidRPr="000526AB">
        <w:rPr>
          <w:lang w:eastAsia="ja-JP"/>
        </w:rPr>
        <w:t>6.7%); neoplasms benign, malignant and unspecified (7.4%</w:t>
      </w:r>
      <w:r w:rsidR="0091044A">
        <w:rPr>
          <w:lang w:eastAsia="ja-JP"/>
        </w:rPr>
        <w:t xml:space="preserve"> versus </w:t>
      </w:r>
      <w:r w:rsidR="000526AB" w:rsidRPr="000526AB">
        <w:rPr>
          <w:lang w:eastAsia="ja-JP"/>
        </w:rPr>
        <w:t>12.5%); hepatobiliary disorders (4.4%</w:t>
      </w:r>
      <w:r w:rsidR="0091044A">
        <w:rPr>
          <w:lang w:eastAsia="ja-JP"/>
        </w:rPr>
        <w:t xml:space="preserve"> versus </w:t>
      </w:r>
      <w:r w:rsidR="000526AB" w:rsidRPr="000526AB">
        <w:rPr>
          <w:lang w:eastAsia="ja-JP"/>
        </w:rPr>
        <w:t>10.6%); and congenital, familial and general disorders (4.4%</w:t>
      </w:r>
      <w:r w:rsidR="0091044A">
        <w:rPr>
          <w:lang w:eastAsia="ja-JP"/>
        </w:rPr>
        <w:t xml:space="preserve"> versus </w:t>
      </w:r>
      <w:r w:rsidR="00A723E5">
        <w:rPr>
          <w:lang w:eastAsia="ja-JP"/>
        </w:rPr>
        <w:t>10.6%).</w:t>
      </w:r>
    </w:p>
    <w:p w:rsidR="000526AB" w:rsidRPr="000526AB" w:rsidRDefault="000526AB" w:rsidP="00A723E5">
      <w:pPr>
        <w:rPr>
          <w:lang w:eastAsia="ja-JP"/>
        </w:rPr>
      </w:pPr>
      <w:r w:rsidRPr="000526AB">
        <w:rPr>
          <w:b/>
          <w:lang w:eastAsia="ja-JP"/>
        </w:rPr>
        <w:t xml:space="preserve">Ocular medical/surgical history (study eye): </w:t>
      </w:r>
      <w:r w:rsidRPr="000526AB">
        <w:rPr>
          <w:lang w:eastAsia="ja-JP"/>
        </w:rPr>
        <w:t xml:space="preserve">In the total SAF population (n=172), the most commonly reported conditions were retinal vein occlusion (98.8%) and macular oedema (61.0%). The conditions with a </w:t>
      </w:r>
      <w:r w:rsidR="00706C51">
        <w:rPr>
          <w:lang w:eastAsia="ja-JP"/>
        </w:rPr>
        <w:t>≥</w:t>
      </w:r>
      <w:r w:rsidRPr="000526AB">
        <w:rPr>
          <w:lang w:eastAsia="ja-JP"/>
        </w:rPr>
        <w:t xml:space="preserve"> 5% difference between the two treatment groups (sham [n=68]</w:t>
      </w:r>
      <w:r w:rsidR="0091044A">
        <w:rPr>
          <w:lang w:eastAsia="ja-JP"/>
        </w:rPr>
        <w:t xml:space="preserve"> versus </w:t>
      </w:r>
      <w:r w:rsidRPr="000526AB">
        <w:rPr>
          <w:lang w:eastAsia="ja-JP"/>
        </w:rPr>
        <w:t xml:space="preserve">VTE2Q4 [n=104]) and occurring in </w:t>
      </w:r>
      <w:r w:rsidR="00706C51">
        <w:rPr>
          <w:lang w:eastAsia="ja-JP"/>
        </w:rPr>
        <w:t>≥</w:t>
      </w:r>
      <w:r w:rsidRPr="000526AB">
        <w:rPr>
          <w:lang w:eastAsia="ja-JP"/>
        </w:rPr>
        <w:t xml:space="preserve"> 10% of subjects in either treatment group were: macular oedema (67.6%</w:t>
      </w:r>
      <w:r w:rsidR="0091044A">
        <w:rPr>
          <w:lang w:eastAsia="ja-JP"/>
        </w:rPr>
        <w:t xml:space="preserve"> versus </w:t>
      </w:r>
      <w:r w:rsidRPr="000526AB">
        <w:rPr>
          <w:lang w:eastAsia="ja-JP"/>
        </w:rPr>
        <w:t>56.7%); retinal haemorrhage (39.7%</w:t>
      </w:r>
      <w:r w:rsidR="0091044A">
        <w:rPr>
          <w:lang w:eastAsia="ja-JP"/>
        </w:rPr>
        <w:t xml:space="preserve"> versus </w:t>
      </w:r>
      <w:r w:rsidRPr="000526AB">
        <w:rPr>
          <w:lang w:eastAsia="ja-JP"/>
        </w:rPr>
        <w:t>28.8%); and papilloedema (23.5%</w:t>
      </w:r>
      <w:r w:rsidR="0091044A">
        <w:rPr>
          <w:lang w:eastAsia="ja-JP"/>
        </w:rPr>
        <w:t xml:space="preserve"> versus </w:t>
      </w:r>
      <w:r w:rsidR="00A723E5">
        <w:rPr>
          <w:lang w:eastAsia="ja-JP"/>
        </w:rPr>
        <w:t>17.3%).</w:t>
      </w:r>
    </w:p>
    <w:p w:rsidR="000526AB" w:rsidRPr="000526AB" w:rsidRDefault="000526AB" w:rsidP="00A723E5">
      <w:pPr>
        <w:rPr>
          <w:lang w:eastAsia="ja-JP"/>
        </w:rPr>
      </w:pPr>
      <w:r w:rsidRPr="000526AB">
        <w:rPr>
          <w:b/>
          <w:lang w:eastAsia="ja-JP"/>
        </w:rPr>
        <w:t xml:space="preserve">Ocular medical/surgical history (fellow eye): </w:t>
      </w:r>
      <w:r w:rsidRPr="000526AB">
        <w:rPr>
          <w:lang w:eastAsia="ja-JP"/>
        </w:rPr>
        <w:t xml:space="preserve">In the total SAF population (n=172), 70.6% (48/68) of subjects in the sham group had a medical/surgical history of ocular conditions in the fellow eye compared with 61.5% (64/105) of subjects in the VTE2Q4 group (n=104). Conditions in the fellow eye occurring in </w:t>
      </w:r>
      <w:r w:rsidR="00706C51">
        <w:rPr>
          <w:lang w:eastAsia="ja-JP"/>
        </w:rPr>
        <w:t>≥</w:t>
      </w:r>
      <w:r w:rsidRPr="000526AB">
        <w:rPr>
          <w:lang w:eastAsia="ja-JP"/>
        </w:rPr>
        <w:t xml:space="preserve"> 10% of subjects in either treatment group (sham</w:t>
      </w:r>
      <w:r w:rsidR="0091044A">
        <w:rPr>
          <w:lang w:eastAsia="ja-JP"/>
        </w:rPr>
        <w:t xml:space="preserve"> versus </w:t>
      </w:r>
      <w:r w:rsidRPr="000526AB">
        <w:rPr>
          <w:lang w:eastAsia="ja-JP"/>
        </w:rPr>
        <w:t>VTE2Q4) were cataract (30.9%</w:t>
      </w:r>
      <w:r w:rsidR="0091044A">
        <w:rPr>
          <w:lang w:eastAsia="ja-JP"/>
        </w:rPr>
        <w:t xml:space="preserve"> versus </w:t>
      </w:r>
      <w:r w:rsidRPr="000526AB">
        <w:rPr>
          <w:lang w:eastAsia="ja-JP"/>
        </w:rPr>
        <w:t>33.7%), and cataract operation (10.3%</w:t>
      </w:r>
      <w:r w:rsidR="0091044A">
        <w:rPr>
          <w:lang w:eastAsia="ja-JP"/>
        </w:rPr>
        <w:t xml:space="preserve"> versus </w:t>
      </w:r>
      <w:r w:rsidR="00A723E5">
        <w:rPr>
          <w:lang w:eastAsia="ja-JP"/>
        </w:rPr>
        <w:t>6.7%).</w:t>
      </w:r>
    </w:p>
    <w:p w:rsidR="000526AB" w:rsidRPr="000526AB" w:rsidRDefault="000526AB" w:rsidP="00A723E5">
      <w:pPr>
        <w:rPr>
          <w:lang w:eastAsia="ja-JP"/>
        </w:rPr>
      </w:pPr>
      <w:r w:rsidRPr="000526AB">
        <w:rPr>
          <w:b/>
          <w:lang w:eastAsia="ja-JP"/>
        </w:rPr>
        <w:lastRenderedPageBreak/>
        <w:t>Prior medications</w:t>
      </w:r>
      <w:r w:rsidRPr="000526AB">
        <w:rPr>
          <w:lang w:eastAsia="ja-JP"/>
        </w:rPr>
        <w:t xml:space="preserve">: In the SAF population (n=172), 29.4% (20/68) of subjects in the sham group had taken at least one medication prior to the start of study drug treatment compared with 31.7% (33/104) in the VTE2Q4 group. Medications taken by </w:t>
      </w:r>
      <w:r w:rsidR="00706C51">
        <w:rPr>
          <w:lang w:eastAsia="ja-JP"/>
        </w:rPr>
        <w:t>≥</w:t>
      </w:r>
      <w:r w:rsidRPr="000526AB">
        <w:rPr>
          <w:lang w:eastAsia="ja-JP"/>
        </w:rPr>
        <w:t xml:space="preserve"> 10% of subjects in either treatment group (sham</w:t>
      </w:r>
      <w:r w:rsidR="0091044A">
        <w:rPr>
          <w:lang w:eastAsia="ja-JP"/>
        </w:rPr>
        <w:t xml:space="preserve"> versus </w:t>
      </w:r>
      <w:r w:rsidRPr="000526AB">
        <w:rPr>
          <w:lang w:eastAsia="ja-JP"/>
        </w:rPr>
        <w:t>VTE2Q4) were: ophthalmologicals (16.2%</w:t>
      </w:r>
      <w:r w:rsidR="0091044A">
        <w:rPr>
          <w:lang w:eastAsia="ja-JP"/>
        </w:rPr>
        <w:t xml:space="preserve"> versus </w:t>
      </w:r>
      <w:r w:rsidRPr="000526AB">
        <w:rPr>
          <w:lang w:eastAsia="ja-JP"/>
        </w:rPr>
        <w:t>16.3%); blood substitutes and perfusion solutions (13.2%</w:t>
      </w:r>
      <w:r w:rsidR="0091044A">
        <w:rPr>
          <w:lang w:eastAsia="ja-JP"/>
        </w:rPr>
        <w:t xml:space="preserve"> versus </w:t>
      </w:r>
      <w:r w:rsidRPr="000526AB">
        <w:rPr>
          <w:lang w:eastAsia="ja-JP"/>
        </w:rPr>
        <w:t>9.6%); and peripheral vasodilators (10.3%</w:t>
      </w:r>
      <w:r w:rsidR="0091044A">
        <w:rPr>
          <w:lang w:eastAsia="ja-JP"/>
        </w:rPr>
        <w:t xml:space="preserve"> versus </w:t>
      </w:r>
      <w:r w:rsidRPr="000526AB">
        <w:rPr>
          <w:lang w:eastAsia="ja-JP"/>
        </w:rPr>
        <w:t>14.4%). In general, the use of prior medications w</w:t>
      </w:r>
      <w:r w:rsidR="00706C51">
        <w:rPr>
          <w:lang w:eastAsia="ja-JP"/>
        </w:rPr>
        <w:t>as</w:t>
      </w:r>
      <w:r w:rsidRPr="000526AB">
        <w:rPr>
          <w:lang w:eastAsia="ja-JP"/>
        </w:rPr>
        <w:t xml:space="preserve"> similar be</w:t>
      </w:r>
      <w:r w:rsidR="00A723E5">
        <w:rPr>
          <w:lang w:eastAsia="ja-JP"/>
        </w:rPr>
        <w:t>tween the two treatment groups.</w:t>
      </w:r>
    </w:p>
    <w:p w:rsidR="000526AB" w:rsidRPr="000526AB" w:rsidRDefault="000526AB" w:rsidP="00A723E5">
      <w:pPr>
        <w:rPr>
          <w:lang w:eastAsia="ja-JP"/>
        </w:rPr>
      </w:pPr>
      <w:r w:rsidRPr="000526AB">
        <w:rPr>
          <w:b/>
          <w:lang w:eastAsia="ja-JP"/>
        </w:rPr>
        <w:t>New concomitant medication up to</w:t>
      </w:r>
      <w:r w:rsidR="00300BDB">
        <w:rPr>
          <w:b/>
          <w:lang w:eastAsia="ja-JP"/>
        </w:rPr>
        <w:t xml:space="preserve"> Week 2</w:t>
      </w:r>
      <w:r w:rsidRPr="000526AB">
        <w:rPr>
          <w:b/>
          <w:lang w:eastAsia="ja-JP"/>
        </w:rPr>
        <w:t>4:</w:t>
      </w:r>
      <w:r w:rsidRPr="000526AB">
        <w:rPr>
          <w:lang w:eastAsia="ja-JP"/>
        </w:rPr>
        <w:t xml:space="preserve"> In the SAF population (n=172), all subjects in the sham group (n=68) and the VTE2Q4 group (n=104) took at least one new concomitant medication up to</w:t>
      </w:r>
      <w:r w:rsidR="00300BDB">
        <w:rPr>
          <w:lang w:eastAsia="ja-JP"/>
        </w:rPr>
        <w:t xml:space="preserve"> Week 2</w:t>
      </w:r>
      <w:r w:rsidRPr="000526AB">
        <w:rPr>
          <w:lang w:eastAsia="ja-JP"/>
        </w:rPr>
        <w:t xml:space="preserve">4. The new concomitant medications taken by </w:t>
      </w:r>
      <w:r w:rsidR="00706C51">
        <w:rPr>
          <w:lang w:eastAsia="ja-JP"/>
        </w:rPr>
        <w:t xml:space="preserve">≥ </w:t>
      </w:r>
      <w:r w:rsidRPr="000526AB">
        <w:rPr>
          <w:lang w:eastAsia="ja-JP"/>
        </w:rPr>
        <w:t>10% of subjects in both treatment groups (sham</w:t>
      </w:r>
      <w:r w:rsidR="0091044A">
        <w:rPr>
          <w:lang w:eastAsia="ja-JP"/>
        </w:rPr>
        <w:t xml:space="preserve"> versus </w:t>
      </w:r>
      <w:r w:rsidRPr="000526AB">
        <w:rPr>
          <w:lang w:eastAsia="ja-JP"/>
        </w:rPr>
        <w:t>VTEQ4) were: ophthalmologicals (98.5%</w:t>
      </w:r>
      <w:r w:rsidR="0091044A">
        <w:rPr>
          <w:lang w:eastAsia="ja-JP"/>
        </w:rPr>
        <w:t xml:space="preserve"> versus </w:t>
      </w:r>
      <w:r w:rsidRPr="000526AB">
        <w:rPr>
          <w:lang w:eastAsia="ja-JP"/>
        </w:rPr>
        <w:t>99.0%); antibacterials for systemic use (76.5%</w:t>
      </w:r>
      <w:r w:rsidR="0091044A">
        <w:rPr>
          <w:lang w:eastAsia="ja-JP"/>
        </w:rPr>
        <w:t xml:space="preserve"> versus </w:t>
      </w:r>
      <w:r w:rsidRPr="000526AB">
        <w:rPr>
          <w:lang w:eastAsia="ja-JP"/>
        </w:rPr>
        <w:t>71.2%); throat preparations (75.0%</w:t>
      </w:r>
      <w:r w:rsidR="0091044A">
        <w:rPr>
          <w:lang w:eastAsia="ja-JP"/>
        </w:rPr>
        <w:t xml:space="preserve"> versus </w:t>
      </w:r>
      <w:r w:rsidRPr="000526AB">
        <w:rPr>
          <w:lang w:eastAsia="ja-JP"/>
        </w:rPr>
        <w:t>78.8%); antipuritics (66.2%</w:t>
      </w:r>
      <w:r w:rsidR="0091044A">
        <w:rPr>
          <w:lang w:eastAsia="ja-JP"/>
        </w:rPr>
        <w:t xml:space="preserve"> versus </w:t>
      </w:r>
      <w:r w:rsidRPr="000526AB">
        <w:rPr>
          <w:lang w:eastAsia="ja-JP"/>
        </w:rPr>
        <w:t>53.8%); stomatological preparations (63.2%</w:t>
      </w:r>
      <w:r w:rsidR="0091044A">
        <w:rPr>
          <w:lang w:eastAsia="ja-JP"/>
        </w:rPr>
        <w:t xml:space="preserve"> versus </w:t>
      </w:r>
      <w:r w:rsidRPr="000526AB">
        <w:rPr>
          <w:lang w:eastAsia="ja-JP"/>
        </w:rPr>
        <w:t>67.3%); gynaecological anti-infectives/disinfectants (57.4%</w:t>
      </w:r>
      <w:r w:rsidR="0091044A">
        <w:rPr>
          <w:lang w:eastAsia="ja-JP"/>
        </w:rPr>
        <w:t xml:space="preserve"> versus </w:t>
      </w:r>
      <w:r w:rsidRPr="000526AB">
        <w:rPr>
          <w:lang w:eastAsia="ja-JP"/>
        </w:rPr>
        <w:t>65.4%); antiseptics/disinfectants (55.9%</w:t>
      </w:r>
      <w:r w:rsidR="0091044A">
        <w:rPr>
          <w:lang w:eastAsia="ja-JP"/>
        </w:rPr>
        <w:t xml:space="preserve"> versus </w:t>
      </w:r>
      <w:r w:rsidRPr="000526AB">
        <w:rPr>
          <w:lang w:eastAsia="ja-JP"/>
        </w:rPr>
        <w:t>64.4%); medicated dressings (55.9%</w:t>
      </w:r>
      <w:r w:rsidR="0091044A">
        <w:rPr>
          <w:lang w:eastAsia="ja-JP"/>
        </w:rPr>
        <w:t xml:space="preserve"> versus </w:t>
      </w:r>
      <w:r w:rsidRPr="000526AB">
        <w:rPr>
          <w:lang w:eastAsia="ja-JP"/>
        </w:rPr>
        <w:t>64.4%); vasoprotectives (51.5%</w:t>
      </w:r>
      <w:r w:rsidR="0091044A">
        <w:rPr>
          <w:lang w:eastAsia="ja-JP"/>
        </w:rPr>
        <w:t xml:space="preserve"> versus </w:t>
      </w:r>
      <w:r w:rsidRPr="000526AB">
        <w:rPr>
          <w:lang w:eastAsia="ja-JP"/>
        </w:rPr>
        <w:t>44.2%); anaesthetics (48.5%</w:t>
      </w:r>
      <w:r w:rsidR="0091044A">
        <w:rPr>
          <w:lang w:eastAsia="ja-JP"/>
        </w:rPr>
        <w:t xml:space="preserve"> versus </w:t>
      </w:r>
      <w:r w:rsidRPr="000526AB">
        <w:rPr>
          <w:lang w:eastAsia="ja-JP"/>
        </w:rPr>
        <w:t>37.5%); otologicals (38.2%</w:t>
      </w:r>
      <w:r w:rsidR="0091044A">
        <w:rPr>
          <w:lang w:eastAsia="ja-JP"/>
        </w:rPr>
        <w:t xml:space="preserve"> versus </w:t>
      </w:r>
      <w:r w:rsidRPr="000526AB">
        <w:rPr>
          <w:lang w:eastAsia="ja-JP"/>
        </w:rPr>
        <w:t>36.5%); cardiac (32.4%</w:t>
      </w:r>
      <w:r w:rsidR="0091044A">
        <w:rPr>
          <w:lang w:eastAsia="ja-JP"/>
        </w:rPr>
        <w:t xml:space="preserve"> versus </w:t>
      </w:r>
      <w:r w:rsidRPr="000526AB">
        <w:rPr>
          <w:lang w:eastAsia="ja-JP"/>
        </w:rPr>
        <w:t>31.7%); analgesics (23.5%</w:t>
      </w:r>
      <w:r w:rsidR="0091044A">
        <w:rPr>
          <w:lang w:eastAsia="ja-JP"/>
        </w:rPr>
        <w:t xml:space="preserve"> versus </w:t>
      </w:r>
      <w:r w:rsidRPr="000526AB">
        <w:rPr>
          <w:lang w:eastAsia="ja-JP"/>
        </w:rPr>
        <w:t>17.3%); nasal preparations (23.5%</w:t>
      </w:r>
      <w:r w:rsidR="0091044A">
        <w:rPr>
          <w:lang w:eastAsia="ja-JP"/>
        </w:rPr>
        <w:t xml:space="preserve"> versus </w:t>
      </w:r>
      <w:r w:rsidRPr="000526AB">
        <w:rPr>
          <w:lang w:eastAsia="ja-JP"/>
        </w:rPr>
        <w:t>13.5%); ophthalmological/otological preparations (16.2%</w:t>
      </w:r>
      <w:r w:rsidR="0091044A">
        <w:rPr>
          <w:lang w:eastAsia="ja-JP"/>
        </w:rPr>
        <w:t xml:space="preserve"> versus </w:t>
      </w:r>
      <w:r w:rsidRPr="000526AB">
        <w:rPr>
          <w:lang w:eastAsia="ja-JP"/>
        </w:rPr>
        <w:t>14.4%); and antibiotics and chemotherapies for dermatological use (13.2%</w:t>
      </w:r>
      <w:r w:rsidR="0091044A">
        <w:rPr>
          <w:lang w:eastAsia="ja-JP"/>
        </w:rPr>
        <w:t xml:space="preserve"> versus </w:t>
      </w:r>
      <w:r w:rsidR="00A723E5">
        <w:rPr>
          <w:lang w:eastAsia="ja-JP"/>
        </w:rPr>
        <w:t>11.5%).</w:t>
      </w:r>
    </w:p>
    <w:p w:rsidR="000526AB" w:rsidRPr="000526AB" w:rsidRDefault="000526AB" w:rsidP="00300308">
      <w:pPr>
        <w:pStyle w:val="Heading3"/>
      </w:pPr>
      <w:bookmarkStart w:id="86" w:name="_Toc221697280"/>
      <w:bookmarkStart w:id="87" w:name="_Toc396651353"/>
      <w:r w:rsidRPr="000526AB">
        <w:t>Results for efficacy endpoints-</w:t>
      </w:r>
      <w:r w:rsidR="00706C51" w:rsidRPr="00300308">
        <w:t>W</w:t>
      </w:r>
      <w:r w:rsidRPr="00300308">
        <w:t>eek</w:t>
      </w:r>
      <w:r w:rsidRPr="000526AB">
        <w:t>-24</w:t>
      </w:r>
      <w:bookmarkEnd w:id="86"/>
      <w:bookmarkEnd w:id="87"/>
    </w:p>
    <w:p w:rsidR="000526AB" w:rsidRPr="000526AB" w:rsidRDefault="000526AB" w:rsidP="00300308">
      <w:pPr>
        <w:pStyle w:val="Heading4"/>
      </w:pPr>
      <w:r w:rsidRPr="000526AB">
        <w:t xml:space="preserve">Primary efficacy endpoint </w:t>
      </w:r>
      <w:r w:rsidRPr="00300308">
        <w:t>analysis</w:t>
      </w:r>
      <w:r w:rsidRPr="000526AB">
        <w:t xml:space="preserve"> -</w:t>
      </w:r>
      <w:r w:rsidR="00805A16">
        <w:t>W</w:t>
      </w:r>
      <w:r w:rsidRPr="000526AB">
        <w:t>eek-24</w:t>
      </w:r>
    </w:p>
    <w:p w:rsidR="000526AB" w:rsidRPr="000526AB" w:rsidRDefault="000526AB" w:rsidP="00A723E5">
      <w:pPr>
        <w:rPr>
          <w:lang w:eastAsia="ja-JP"/>
        </w:rPr>
      </w:pPr>
      <w:r w:rsidRPr="000526AB">
        <w:rPr>
          <w:lang w:eastAsia="ja-JP"/>
        </w:rPr>
        <w:t xml:space="preserve">The proportion of subjects (FAS) gaining </w:t>
      </w:r>
      <w:r w:rsidR="00706C51">
        <w:rPr>
          <w:lang w:eastAsia="ja-JP"/>
        </w:rPr>
        <w:t>≥</w:t>
      </w:r>
      <w:r w:rsidRPr="000526AB">
        <w:rPr>
          <w:lang w:eastAsia="ja-JP"/>
        </w:rPr>
        <w:t xml:space="preserve"> 15 letters in BCVA from baseline to</w:t>
      </w:r>
      <w:r w:rsidR="00300BDB">
        <w:rPr>
          <w:lang w:eastAsia="ja-JP"/>
        </w:rPr>
        <w:t xml:space="preserve"> Week 2</w:t>
      </w:r>
      <w:r w:rsidRPr="000526AB">
        <w:rPr>
          <w:lang w:eastAsia="ja-JP"/>
        </w:rPr>
        <w:t>4 in bo</w:t>
      </w:r>
      <w:r w:rsidR="00706C51">
        <w:rPr>
          <w:lang w:eastAsia="ja-JP"/>
        </w:rPr>
        <w:t>th studies are summaris</w:t>
      </w:r>
      <w:r w:rsidRPr="000526AB">
        <w:rPr>
          <w:lang w:eastAsia="ja-JP"/>
        </w:rPr>
        <w:t xml:space="preserve">ed below in Table </w:t>
      </w:r>
      <w:r w:rsidR="00706C51">
        <w:rPr>
          <w:lang w:eastAsia="ja-JP"/>
        </w:rPr>
        <w:t>6</w:t>
      </w:r>
      <w:r w:rsidR="00A723E5">
        <w:rPr>
          <w:lang w:eastAsia="ja-JP"/>
        </w:rPr>
        <w:t>.</w:t>
      </w:r>
    </w:p>
    <w:p w:rsidR="000526AB" w:rsidRPr="000526AB" w:rsidRDefault="000526AB" w:rsidP="00A723E5">
      <w:pPr>
        <w:pStyle w:val="TableTitle"/>
        <w:rPr>
          <w:lang w:eastAsia="ja-JP"/>
        </w:rPr>
      </w:pPr>
      <w:bookmarkStart w:id="88" w:name="_Toc221767059"/>
      <w:r w:rsidRPr="000526AB">
        <w:rPr>
          <w:lang w:eastAsia="ja-JP"/>
        </w:rPr>
        <w:t>Table</w:t>
      </w:r>
      <w:r w:rsidR="00706C51">
        <w:rPr>
          <w:lang w:eastAsia="ja-JP"/>
        </w:rPr>
        <w:t xml:space="preserve"> 6</w:t>
      </w:r>
      <w:r w:rsidRPr="000526AB">
        <w:rPr>
          <w:lang w:eastAsia="ja-JP"/>
        </w:rPr>
        <w:t xml:space="preserve">: COPERNICUS and GALILEO, results for the primary efficacy analysis of proportion of subjects gaining </w:t>
      </w:r>
      <w:r w:rsidR="00706C51">
        <w:rPr>
          <w:lang w:eastAsia="ja-JP"/>
        </w:rPr>
        <w:t>≥</w:t>
      </w:r>
      <w:r w:rsidRPr="000526AB">
        <w:rPr>
          <w:lang w:eastAsia="ja-JP"/>
        </w:rPr>
        <w:t xml:space="preserve"> 15 letters in BCVA from baseline to</w:t>
      </w:r>
      <w:r w:rsidR="00300BDB">
        <w:rPr>
          <w:lang w:eastAsia="ja-JP"/>
        </w:rPr>
        <w:t xml:space="preserve"> Week 2</w:t>
      </w:r>
      <w:r w:rsidRPr="000526AB">
        <w:rPr>
          <w:lang w:eastAsia="ja-JP"/>
        </w:rPr>
        <w:t>4; FAS.</w:t>
      </w:r>
      <w:bookmarkEnd w:id="88"/>
    </w:p>
    <w:tbl>
      <w:tblPr>
        <w:tblStyle w:val="TableTGAblue"/>
        <w:tblW w:w="0" w:type="auto"/>
        <w:tblLayout w:type="fixed"/>
        <w:tblLook w:val="00A0" w:firstRow="1" w:lastRow="0" w:firstColumn="1" w:lastColumn="0" w:noHBand="0" w:noVBand="0"/>
      </w:tblPr>
      <w:tblGrid>
        <w:gridCol w:w="2694"/>
        <w:gridCol w:w="1417"/>
        <w:gridCol w:w="1559"/>
        <w:gridCol w:w="1701"/>
        <w:gridCol w:w="1418"/>
      </w:tblGrid>
      <w:tr w:rsidR="000526AB" w:rsidRPr="000526AB" w:rsidTr="00A723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rsidR="000526AB" w:rsidRPr="00706C51" w:rsidRDefault="000526AB" w:rsidP="00300308">
            <w:pPr>
              <w:keepNext/>
              <w:rPr>
                <w:lang w:eastAsia="ja-JP"/>
              </w:rPr>
            </w:pPr>
          </w:p>
        </w:tc>
        <w:tc>
          <w:tcPr>
            <w:tcW w:w="2976" w:type="dxa"/>
            <w:gridSpan w:val="2"/>
          </w:tcPr>
          <w:p w:rsidR="000526AB" w:rsidRPr="00706C51" w:rsidRDefault="000526AB" w:rsidP="00A723E5">
            <w:pPr>
              <w:cnfStyle w:val="100000000000" w:firstRow="1" w:lastRow="0" w:firstColumn="0" w:lastColumn="0" w:oddVBand="0" w:evenVBand="0" w:oddHBand="0" w:evenHBand="0" w:firstRowFirstColumn="0" w:firstRowLastColumn="0" w:lastRowFirstColumn="0" w:lastRowLastColumn="0"/>
              <w:rPr>
                <w:lang w:eastAsia="ja-JP"/>
              </w:rPr>
            </w:pPr>
            <w:r w:rsidRPr="00706C51">
              <w:rPr>
                <w:lang w:eastAsia="ja-JP"/>
              </w:rPr>
              <w:t xml:space="preserve">COPERNICUS </w:t>
            </w:r>
            <w:r w:rsidRPr="00706C51">
              <w:rPr>
                <w:vertAlign w:val="superscript"/>
                <w:lang w:eastAsia="ja-JP"/>
              </w:rPr>
              <w:t>1</w:t>
            </w:r>
          </w:p>
        </w:tc>
        <w:tc>
          <w:tcPr>
            <w:tcW w:w="3119" w:type="dxa"/>
            <w:gridSpan w:val="2"/>
          </w:tcPr>
          <w:p w:rsidR="000526AB" w:rsidRPr="00706C51" w:rsidRDefault="000526AB" w:rsidP="00A723E5">
            <w:pPr>
              <w:cnfStyle w:val="100000000000" w:firstRow="1" w:lastRow="0" w:firstColumn="0" w:lastColumn="0" w:oddVBand="0" w:evenVBand="0" w:oddHBand="0" w:evenHBand="0" w:firstRowFirstColumn="0" w:firstRowLastColumn="0" w:lastRowFirstColumn="0" w:lastRowLastColumn="0"/>
              <w:rPr>
                <w:lang w:eastAsia="ja-JP"/>
              </w:rPr>
            </w:pPr>
            <w:r w:rsidRPr="00706C51">
              <w:rPr>
                <w:lang w:eastAsia="ja-JP"/>
              </w:rPr>
              <w:t xml:space="preserve">GALILEO </w:t>
            </w:r>
            <w:r w:rsidR="00300308">
              <w:rPr>
                <w:vertAlign w:val="superscript"/>
                <w:lang w:eastAsia="ja-JP"/>
              </w:rPr>
              <w:t>2</w:t>
            </w:r>
          </w:p>
        </w:tc>
      </w:tr>
      <w:tr w:rsidR="000526AB" w:rsidRPr="000526AB" w:rsidTr="00A723E5">
        <w:tc>
          <w:tcPr>
            <w:cnfStyle w:val="001000000000" w:firstRow="0" w:lastRow="0" w:firstColumn="1" w:lastColumn="0" w:oddVBand="0" w:evenVBand="0" w:oddHBand="0" w:evenHBand="0" w:firstRowFirstColumn="0" w:firstRowLastColumn="0" w:lastRowFirstColumn="0" w:lastRowLastColumn="0"/>
            <w:tcW w:w="2694" w:type="dxa"/>
          </w:tcPr>
          <w:p w:rsidR="000526AB" w:rsidRPr="00706C51" w:rsidRDefault="000526AB" w:rsidP="00300308">
            <w:pPr>
              <w:keepNext/>
              <w:rPr>
                <w:lang w:eastAsia="ja-JP"/>
              </w:rPr>
            </w:pPr>
          </w:p>
        </w:tc>
        <w:tc>
          <w:tcPr>
            <w:tcW w:w="1417" w:type="dxa"/>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Sham (n=73)</w:t>
            </w:r>
          </w:p>
        </w:tc>
        <w:tc>
          <w:tcPr>
            <w:tcW w:w="1559" w:type="dxa"/>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VTE2Q4 (n=114</w:t>
            </w:r>
          </w:p>
        </w:tc>
        <w:tc>
          <w:tcPr>
            <w:tcW w:w="1701" w:type="dxa"/>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Sham (n=68)</w:t>
            </w:r>
          </w:p>
        </w:tc>
        <w:tc>
          <w:tcPr>
            <w:tcW w:w="1418" w:type="dxa"/>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VTE2Q4 (n=103)</w:t>
            </w:r>
          </w:p>
        </w:tc>
      </w:tr>
      <w:tr w:rsidR="000526AB" w:rsidRPr="000526AB" w:rsidTr="00A723E5">
        <w:tc>
          <w:tcPr>
            <w:cnfStyle w:val="001000000000" w:firstRow="0" w:lastRow="0" w:firstColumn="1" w:lastColumn="0" w:oddVBand="0" w:evenVBand="0" w:oddHBand="0" w:evenHBand="0" w:firstRowFirstColumn="0" w:firstRowLastColumn="0" w:lastRowFirstColumn="0" w:lastRowLastColumn="0"/>
            <w:tcW w:w="2694" w:type="dxa"/>
          </w:tcPr>
          <w:p w:rsidR="000526AB" w:rsidRPr="00706C51" w:rsidRDefault="000526AB" w:rsidP="00A723E5">
            <w:pPr>
              <w:rPr>
                <w:lang w:eastAsia="ja-JP"/>
              </w:rPr>
            </w:pPr>
            <w:r w:rsidRPr="00706C51">
              <w:rPr>
                <w:lang w:eastAsia="ja-JP"/>
              </w:rPr>
              <w:t>Number (%) who gained ≥</w:t>
            </w:r>
            <w:r w:rsidR="00D74B64">
              <w:rPr>
                <w:lang w:eastAsia="ja-JP"/>
              </w:rPr>
              <w:t> </w:t>
            </w:r>
            <w:r w:rsidRPr="00706C51">
              <w:rPr>
                <w:lang w:eastAsia="ja-JP"/>
              </w:rPr>
              <w:t>15 letters in BCVA</w:t>
            </w:r>
          </w:p>
        </w:tc>
        <w:tc>
          <w:tcPr>
            <w:tcW w:w="1417" w:type="dxa"/>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9 (12.3%)</w:t>
            </w:r>
          </w:p>
        </w:tc>
        <w:tc>
          <w:tcPr>
            <w:tcW w:w="1559" w:type="dxa"/>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64 (56.1%)</w:t>
            </w:r>
          </w:p>
        </w:tc>
        <w:tc>
          <w:tcPr>
            <w:tcW w:w="1701" w:type="dxa"/>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15 (22.1%)</w:t>
            </w:r>
          </w:p>
        </w:tc>
        <w:tc>
          <w:tcPr>
            <w:tcW w:w="1418" w:type="dxa"/>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62 (60.2%)</w:t>
            </w:r>
          </w:p>
        </w:tc>
      </w:tr>
      <w:tr w:rsidR="000526AB" w:rsidRPr="000526AB" w:rsidTr="00A723E5">
        <w:tc>
          <w:tcPr>
            <w:cnfStyle w:val="001000000000" w:firstRow="0" w:lastRow="0" w:firstColumn="1" w:lastColumn="0" w:oddVBand="0" w:evenVBand="0" w:oddHBand="0" w:evenHBand="0" w:firstRowFirstColumn="0" w:firstRowLastColumn="0" w:lastRowFirstColumn="0" w:lastRowLastColumn="0"/>
            <w:tcW w:w="2694" w:type="dxa"/>
          </w:tcPr>
          <w:p w:rsidR="000526AB" w:rsidRPr="00706C51" w:rsidRDefault="000526AB" w:rsidP="00A723E5">
            <w:pPr>
              <w:rPr>
                <w:lang w:eastAsia="ja-JP"/>
              </w:rPr>
            </w:pPr>
            <w:r w:rsidRPr="00706C51">
              <w:rPr>
                <w:lang w:eastAsia="ja-JP"/>
              </w:rPr>
              <w:t xml:space="preserve">Difference </w:t>
            </w:r>
            <w:r w:rsidRPr="00706C51">
              <w:rPr>
                <w:vertAlign w:val="superscript"/>
                <w:lang w:eastAsia="ja-JP"/>
              </w:rPr>
              <w:t xml:space="preserve">3 </w:t>
            </w:r>
            <w:r w:rsidRPr="00706C51">
              <w:rPr>
                <w:lang w:eastAsia="ja-JP"/>
              </w:rPr>
              <w:t>(%)</w:t>
            </w:r>
          </w:p>
        </w:tc>
        <w:tc>
          <w:tcPr>
            <w:tcW w:w="2976" w:type="dxa"/>
            <w:gridSpan w:val="2"/>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43.8%</w:t>
            </w:r>
          </w:p>
        </w:tc>
        <w:tc>
          <w:tcPr>
            <w:tcW w:w="3119" w:type="dxa"/>
            <w:gridSpan w:val="2"/>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38.1%</w:t>
            </w:r>
          </w:p>
        </w:tc>
      </w:tr>
      <w:tr w:rsidR="000526AB" w:rsidRPr="000526AB" w:rsidTr="00A723E5">
        <w:tc>
          <w:tcPr>
            <w:cnfStyle w:val="001000000000" w:firstRow="0" w:lastRow="0" w:firstColumn="1" w:lastColumn="0" w:oddVBand="0" w:evenVBand="0" w:oddHBand="0" w:evenHBand="0" w:firstRowFirstColumn="0" w:firstRowLastColumn="0" w:lastRowFirstColumn="0" w:lastRowLastColumn="0"/>
            <w:tcW w:w="2694" w:type="dxa"/>
          </w:tcPr>
          <w:p w:rsidR="000526AB" w:rsidRPr="00706C51" w:rsidRDefault="000526AB" w:rsidP="00A723E5">
            <w:pPr>
              <w:rPr>
                <w:lang w:eastAsia="ja-JP"/>
              </w:rPr>
            </w:pPr>
            <w:r w:rsidRPr="00706C51">
              <w:rPr>
                <w:lang w:eastAsia="ja-JP"/>
              </w:rPr>
              <w:t xml:space="preserve">CMH adjusted difference </w:t>
            </w:r>
            <w:r w:rsidRPr="00706C51">
              <w:rPr>
                <w:vertAlign w:val="superscript"/>
                <w:lang w:eastAsia="ja-JP"/>
              </w:rPr>
              <w:t>3,4</w:t>
            </w:r>
            <w:r w:rsidRPr="00706C51">
              <w:rPr>
                <w:lang w:eastAsia="ja-JP"/>
              </w:rPr>
              <w:t xml:space="preserve"> (%) (95% CI)</w:t>
            </w:r>
          </w:p>
        </w:tc>
        <w:tc>
          <w:tcPr>
            <w:tcW w:w="2976" w:type="dxa"/>
            <w:gridSpan w:val="2"/>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44.8% (95% CI: 33.0, 56.6)</w:t>
            </w:r>
          </w:p>
        </w:tc>
        <w:tc>
          <w:tcPr>
            <w:tcW w:w="3119" w:type="dxa"/>
            <w:gridSpan w:val="2"/>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38.3% (95% CI: 24.4, 52.1)</w:t>
            </w:r>
          </w:p>
        </w:tc>
      </w:tr>
      <w:tr w:rsidR="000526AB" w:rsidRPr="000526AB" w:rsidTr="00A723E5">
        <w:tc>
          <w:tcPr>
            <w:cnfStyle w:val="001000000000" w:firstRow="0" w:lastRow="0" w:firstColumn="1" w:lastColumn="0" w:oddVBand="0" w:evenVBand="0" w:oddHBand="0" w:evenHBand="0" w:firstRowFirstColumn="0" w:firstRowLastColumn="0" w:lastRowFirstColumn="0" w:lastRowLastColumn="0"/>
            <w:tcW w:w="2694" w:type="dxa"/>
          </w:tcPr>
          <w:p w:rsidR="000526AB" w:rsidRPr="00706C51" w:rsidRDefault="000526AB" w:rsidP="00A723E5">
            <w:pPr>
              <w:rPr>
                <w:lang w:eastAsia="ja-JP"/>
              </w:rPr>
            </w:pPr>
            <w:r w:rsidRPr="00706C51">
              <w:rPr>
                <w:lang w:eastAsia="ja-JP"/>
              </w:rPr>
              <w:t xml:space="preserve">p-value </w:t>
            </w:r>
            <w:r w:rsidRPr="00706C51">
              <w:rPr>
                <w:vertAlign w:val="superscript"/>
                <w:lang w:eastAsia="ja-JP"/>
              </w:rPr>
              <w:t>5</w:t>
            </w:r>
          </w:p>
        </w:tc>
        <w:tc>
          <w:tcPr>
            <w:tcW w:w="2976" w:type="dxa"/>
            <w:gridSpan w:val="2"/>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p &lt; 0.0001</w:t>
            </w:r>
          </w:p>
        </w:tc>
        <w:tc>
          <w:tcPr>
            <w:tcW w:w="3119" w:type="dxa"/>
            <w:gridSpan w:val="2"/>
          </w:tcPr>
          <w:p w:rsidR="000526AB" w:rsidRPr="00706C51" w:rsidRDefault="000526AB" w:rsidP="00A723E5">
            <w:pPr>
              <w:cnfStyle w:val="000000000000" w:firstRow="0" w:lastRow="0" w:firstColumn="0" w:lastColumn="0" w:oddVBand="0" w:evenVBand="0" w:oddHBand="0" w:evenHBand="0" w:firstRowFirstColumn="0" w:firstRowLastColumn="0" w:lastRowFirstColumn="0" w:lastRowLastColumn="0"/>
              <w:rPr>
                <w:lang w:eastAsia="ja-JP"/>
              </w:rPr>
            </w:pPr>
            <w:r w:rsidRPr="00706C51">
              <w:rPr>
                <w:lang w:eastAsia="ja-JP"/>
              </w:rPr>
              <w:t>P &lt; 0.0001</w:t>
            </w:r>
          </w:p>
        </w:tc>
      </w:tr>
    </w:tbl>
    <w:p w:rsidR="00300308" w:rsidRDefault="000526AB" w:rsidP="00300308">
      <w:pPr>
        <w:pStyle w:val="TableDescription"/>
      </w:pPr>
      <w:r w:rsidRPr="00300308">
        <w:rPr>
          <w:vertAlign w:val="superscript"/>
        </w:rPr>
        <w:t>1</w:t>
      </w:r>
      <w:r w:rsidR="00300308">
        <w:rPr>
          <w:vertAlign w:val="superscript"/>
        </w:rPr>
        <w:t xml:space="preserve"> </w:t>
      </w:r>
      <w:r w:rsidRPr="00300308">
        <w:t>COPERNICUS, subjects who discontinued before</w:t>
      </w:r>
      <w:r w:rsidR="00300BDB" w:rsidRPr="00300308">
        <w:t xml:space="preserve"> Week 2</w:t>
      </w:r>
      <w:r w:rsidRPr="00300308">
        <w:t>4 with fewer than 5 treatments were considered to be non-responders, otherwise missing values wer</w:t>
      </w:r>
      <w:r w:rsidR="00300308">
        <w:t>e imputed using LOCF analysis.</w:t>
      </w:r>
    </w:p>
    <w:p w:rsidR="00300308" w:rsidRDefault="000526AB" w:rsidP="00300308">
      <w:pPr>
        <w:pStyle w:val="TableDescription"/>
      </w:pPr>
      <w:r w:rsidRPr="00300308">
        <w:rPr>
          <w:vertAlign w:val="superscript"/>
        </w:rPr>
        <w:t>2</w:t>
      </w:r>
      <w:r w:rsidR="00300308">
        <w:t xml:space="preserve"> </w:t>
      </w:r>
      <w:r w:rsidRPr="00300308">
        <w:t>GALILEO, subjects who discontinued prior to</w:t>
      </w:r>
      <w:r w:rsidR="00300BDB" w:rsidRPr="00300308">
        <w:t xml:space="preserve"> Week 2</w:t>
      </w:r>
      <w:r w:rsidRPr="00300308">
        <w:t>4 were consi</w:t>
      </w:r>
      <w:r w:rsidR="00300308">
        <w:t>dered to be treatment failures.</w:t>
      </w:r>
    </w:p>
    <w:p w:rsidR="00300308" w:rsidRDefault="000526AB" w:rsidP="00300308">
      <w:pPr>
        <w:pStyle w:val="TableDescription"/>
      </w:pPr>
      <w:r w:rsidRPr="00300308">
        <w:rPr>
          <w:vertAlign w:val="superscript"/>
        </w:rPr>
        <w:t>3</w:t>
      </w:r>
      <w:r w:rsidR="00300308">
        <w:t xml:space="preserve"> </w:t>
      </w:r>
      <w:r w:rsidRPr="00300308">
        <w:t>Difference is VTE2Q4 minus sham</w:t>
      </w:r>
      <w:r w:rsidR="00706C51" w:rsidRPr="00300308">
        <w:t>.</w:t>
      </w:r>
    </w:p>
    <w:p w:rsidR="00300308" w:rsidRDefault="000526AB" w:rsidP="00300308">
      <w:pPr>
        <w:pStyle w:val="TableDescription"/>
      </w:pPr>
      <w:r w:rsidRPr="00300308">
        <w:rPr>
          <w:vertAlign w:val="superscript"/>
        </w:rPr>
        <w:t>4</w:t>
      </w:r>
      <w:r w:rsidR="00300308">
        <w:t xml:space="preserve"> </w:t>
      </w:r>
      <w:r w:rsidRPr="00300308">
        <w:t>Point estimate and CI are calculated using CMH weights adjusted for region (North America</w:t>
      </w:r>
      <w:r w:rsidR="0091044A" w:rsidRPr="00300308">
        <w:t xml:space="preserve"> versus </w:t>
      </w:r>
      <w:r w:rsidRPr="00300308">
        <w:t>Rest of World [COPERNICUS]; Europe v</w:t>
      </w:r>
      <w:r w:rsidR="00706C51" w:rsidRPr="00300308">
        <w:t>ersu</w:t>
      </w:r>
      <w:r w:rsidRPr="00300308">
        <w:t>s Asia/Pacific [GALILEO]) and baseline BCVA category (&gt; 20/200</w:t>
      </w:r>
      <w:r w:rsidR="0091044A" w:rsidRPr="00300308">
        <w:t xml:space="preserve"> versus </w:t>
      </w:r>
      <w:r w:rsidRPr="00300308">
        <w:t>≤ 20/200 [both studies])</w:t>
      </w:r>
      <w:r w:rsidR="00300308">
        <w:t>.</w:t>
      </w:r>
    </w:p>
    <w:p w:rsidR="000526AB" w:rsidRPr="00300308" w:rsidRDefault="000526AB" w:rsidP="00300308">
      <w:pPr>
        <w:pStyle w:val="TableDescription"/>
      </w:pPr>
      <w:r w:rsidRPr="00300308">
        <w:rPr>
          <w:vertAlign w:val="superscript"/>
        </w:rPr>
        <w:t>5</w:t>
      </w:r>
      <w:r w:rsidR="00300308">
        <w:t xml:space="preserve"> </w:t>
      </w:r>
      <w:r w:rsidRPr="00300308">
        <w:t>p-value is calculated using 2-sided CMH-test adjusted by reg</w:t>
      </w:r>
      <w:r w:rsidR="00A723E5" w:rsidRPr="00300308">
        <w:t>ion and baseline BCVA category.</w:t>
      </w:r>
    </w:p>
    <w:p w:rsidR="000526AB" w:rsidRPr="000526AB" w:rsidRDefault="000526AB" w:rsidP="00300308">
      <w:pPr>
        <w:rPr>
          <w:lang w:eastAsia="ja-JP"/>
        </w:rPr>
      </w:pPr>
      <w:r w:rsidRPr="000526AB">
        <w:rPr>
          <w:lang w:eastAsia="ja-JP"/>
        </w:rPr>
        <w:lastRenderedPageBreak/>
        <w:t>In both COPERNICUS and GALILEO, the primary endpoint analysis in the PPS was consistent with the primary endpoint analysis in the FAS and supported the statistical and clinical superiority of VTE2Q4 compared with sham.</w:t>
      </w:r>
    </w:p>
    <w:p w:rsidR="000526AB" w:rsidRPr="000526AB" w:rsidRDefault="000526AB" w:rsidP="00A723E5">
      <w:pPr>
        <w:rPr>
          <w:lang w:eastAsia="ja-JP"/>
        </w:rPr>
      </w:pPr>
      <w:r w:rsidRPr="000526AB">
        <w:rPr>
          <w:lang w:eastAsia="ja-JP"/>
        </w:rPr>
        <w:t>In COPERNICUS, the sensitivity analyses of the proportion of subjects who gained at least 15 letters in BCVA at</w:t>
      </w:r>
      <w:r w:rsidR="00300BDB">
        <w:rPr>
          <w:lang w:eastAsia="ja-JP"/>
        </w:rPr>
        <w:t xml:space="preserve"> Week 2</w:t>
      </w:r>
      <w:r w:rsidRPr="000526AB">
        <w:rPr>
          <w:lang w:eastAsia="ja-JP"/>
        </w:rPr>
        <w:t xml:space="preserve">4 in the FAS and PPS using LOCF, observed values, and evaluating subjects with &lt; 5 injections as failures </w:t>
      </w:r>
      <w:r w:rsidR="00706C51">
        <w:rPr>
          <w:lang w:eastAsia="ja-JP"/>
        </w:rPr>
        <w:t>were summaris</w:t>
      </w:r>
      <w:r w:rsidRPr="000526AB">
        <w:rPr>
          <w:lang w:eastAsia="ja-JP"/>
        </w:rPr>
        <w:t xml:space="preserve">ed in </w:t>
      </w:r>
      <w:r w:rsidR="00706C51">
        <w:rPr>
          <w:lang w:eastAsia="ja-JP"/>
        </w:rPr>
        <w:t>three tables</w:t>
      </w:r>
      <w:r w:rsidRPr="000526AB">
        <w:rPr>
          <w:lang w:eastAsia="ja-JP"/>
        </w:rPr>
        <w:t>. The results for the sensitivity analyses (FAS, PPS) were similar to the corresponding results in the primary analyses (FAS, PPS). In GALILEO, the sensitivity analyses of the proportion of subjects who gained at least 15 letters in BCVA at</w:t>
      </w:r>
      <w:r w:rsidR="00300BDB">
        <w:rPr>
          <w:lang w:eastAsia="ja-JP"/>
        </w:rPr>
        <w:t xml:space="preserve"> Week 2</w:t>
      </w:r>
      <w:r w:rsidRPr="000526AB">
        <w:rPr>
          <w:lang w:eastAsia="ja-JP"/>
        </w:rPr>
        <w:t xml:space="preserve">4 in the FAS and PPS using LOCF, observed values, and evaluating subjects with &lt; 5 injections as failures </w:t>
      </w:r>
      <w:r w:rsidR="00706C51">
        <w:rPr>
          <w:lang w:eastAsia="ja-JP"/>
        </w:rPr>
        <w:t>were summarised in a table</w:t>
      </w:r>
      <w:r w:rsidRPr="000526AB">
        <w:rPr>
          <w:lang w:eastAsia="ja-JP"/>
        </w:rPr>
        <w:t>. The results for the sensitivity analyses (FAS, PPS) were similar to the corresponding results in the primary analyses (FAS, PPS).</w:t>
      </w:r>
    </w:p>
    <w:p w:rsidR="000526AB" w:rsidRPr="000526AB" w:rsidRDefault="000526AB" w:rsidP="00A723E5">
      <w:pPr>
        <w:rPr>
          <w:lang w:eastAsia="ja-JP"/>
        </w:rPr>
      </w:pPr>
      <w:r w:rsidRPr="000526AB">
        <w:rPr>
          <w:lang w:eastAsia="ja-JP"/>
        </w:rPr>
        <w:t>In COPERNICUS, the sub-group analyses of the primary efficacy endpoint in the FAS were generally consistent with the analysis in the overall population. However, 7 of the sub-groups are considered to have too few subjects to allow for any meaningful efficacy comparisons to be undertaken: race (any non-</w:t>
      </w:r>
      <w:r w:rsidR="00805A16">
        <w:rPr>
          <w:lang w:eastAsia="ja-JP"/>
        </w:rPr>
        <w:t>W</w:t>
      </w:r>
      <w:r w:rsidRPr="000526AB">
        <w:rPr>
          <w:lang w:eastAsia="ja-JP"/>
        </w:rPr>
        <w:t>hite sub-group); ethnicity (Hispanic or Latino): geographic region (Rest of World); renal function (moderate and severe impairment); history of hepatic impairment; baseline perfusion status (non-perfused); and baseline BCVA (</w:t>
      </w:r>
      <w:r w:rsidR="00805A16">
        <w:rPr>
          <w:lang w:eastAsia="ja-JP"/>
        </w:rPr>
        <w:t>≤</w:t>
      </w:r>
      <w:r w:rsidRPr="000526AB">
        <w:rPr>
          <w:lang w:eastAsia="ja-JP"/>
        </w:rPr>
        <w:t xml:space="preserve"> 20/200). The sub-group analyses were also undertaken in the PPS and these were consistent with those in the sub-group analyses undertaken in the FAS. In GALILEO, the sub-group analyses of the primary efficacy endpoint in the FAS were generally consistent with the analysis in the overall population. However, the sub-groups with too few subjects to allow meaningful efficacy analyses to be undertaken were similar to those in COPERNICUS. The sub-group analyses were also undertaken in the PPS and these were consistent with those in the sub-group </w:t>
      </w:r>
      <w:r w:rsidR="00A723E5">
        <w:rPr>
          <w:lang w:eastAsia="ja-JP"/>
        </w:rPr>
        <w:t>analyses undertaken in the FAS.</w:t>
      </w:r>
    </w:p>
    <w:p w:rsidR="000526AB" w:rsidRPr="000526AB" w:rsidRDefault="000526AB" w:rsidP="00A723E5">
      <w:pPr>
        <w:rPr>
          <w:lang w:eastAsia="ja-JP"/>
        </w:rPr>
      </w:pPr>
      <w:r w:rsidRPr="000526AB">
        <w:rPr>
          <w:lang w:eastAsia="ja-JP"/>
        </w:rPr>
        <w:t>In COPERNICUS, logistic regression modelling for the probability of gaining at least 15 letters in BCVA by</w:t>
      </w:r>
      <w:r w:rsidR="00300BDB">
        <w:rPr>
          <w:lang w:eastAsia="ja-JP"/>
        </w:rPr>
        <w:t xml:space="preserve"> Week 2</w:t>
      </w:r>
      <w:r w:rsidRPr="000526AB">
        <w:rPr>
          <w:lang w:eastAsia="ja-JP"/>
        </w:rPr>
        <w:t>4 considering treatment, region, baseline BCVA and baseline perfusion status as fixed factors resulted in an OR estimate of 10.918 ([95% CI: 4.792, 24.872]; p&lt; 0.0001) for VTE2Q4 versus sham. This</w:t>
      </w:r>
      <w:r w:rsidR="00805A16">
        <w:rPr>
          <w:lang w:eastAsia="ja-JP"/>
        </w:rPr>
        <w:t xml:space="preserve"> OR indicates an approximate 11 </w:t>
      </w:r>
      <w:r w:rsidRPr="000526AB">
        <w:rPr>
          <w:lang w:eastAsia="ja-JP"/>
        </w:rPr>
        <w:t>fold increase in the odds of gaining at least 15 letters with VTE2Q4 compared with sham. The ORs for gaining at least 15 letters in BCVA by</w:t>
      </w:r>
      <w:r w:rsidR="00300BDB">
        <w:rPr>
          <w:lang w:eastAsia="ja-JP"/>
        </w:rPr>
        <w:t xml:space="preserve"> Week 2</w:t>
      </w:r>
      <w:r w:rsidRPr="000526AB">
        <w:rPr>
          <w:lang w:eastAsia="ja-JP"/>
        </w:rPr>
        <w:t>4 showed no statistically significant difference in subjects stratified by region (Rest of World</w:t>
      </w:r>
      <w:r w:rsidR="0091044A">
        <w:rPr>
          <w:lang w:eastAsia="ja-JP"/>
        </w:rPr>
        <w:t xml:space="preserve"> versus </w:t>
      </w:r>
      <w:r w:rsidRPr="000526AB">
        <w:rPr>
          <w:lang w:eastAsia="ja-JP"/>
        </w:rPr>
        <w:t>North America), baseline BCVA (&gt; 20/200</w:t>
      </w:r>
      <w:r w:rsidR="0091044A">
        <w:rPr>
          <w:lang w:eastAsia="ja-JP"/>
        </w:rPr>
        <w:t xml:space="preserve"> versus </w:t>
      </w:r>
      <w:r w:rsidR="00805A16">
        <w:rPr>
          <w:lang w:eastAsia="ja-JP"/>
        </w:rPr>
        <w:t xml:space="preserve">≤ </w:t>
      </w:r>
      <w:r w:rsidRPr="000526AB">
        <w:rPr>
          <w:lang w:eastAsia="ja-JP"/>
        </w:rPr>
        <w:t>20/200), or perfusion status (perfused</w:t>
      </w:r>
      <w:r w:rsidR="0091044A">
        <w:rPr>
          <w:lang w:eastAsia="ja-JP"/>
        </w:rPr>
        <w:t xml:space="preserve"> versus </w:t>
      </w:r>
      <w:r w:rsidRPr="000526AB">
        <w:rPr>
          <w:lang w:eastAsia="ja-JP"/>
        </w:rPr>
        <w:t>non-perfused). In GALILEO, logistic regression modelling in the FAS for the probability of gaining at least 15 letters in BCVA by</w:t>
      </w:r>
      <w:r w:rsidR="00300BDB">
        <w:rPr>
          <w:lang w:eastAsia="ja-JP"/>
        </w:rPr>
        <w:t xml:space="preserve"> Week 2</w:t>
      </w:r>
      <w:r w:rsidRPr="000526AB">
        <w:rPr>
          <w:lang w:eastAsia="ja-JP"/>
        </w:rPr>
        <w:t xml:space="preserve">4 considering treatment, region, and baseline BCVA category as fixed factors resulted in an odds ratio (OR) estimate of 5.38 ([95% CI: 2.68, 10.80]; p </w:t>
      </w:r>
      <w:r w:rsidRPr="000526AB">
        <w:rPr>
          <w:lang w:eastAsia="ja-JP"/>
        </w:rPr>
        <w:sym w:font="Symbol" w:char="F03C"/>
      </w:r>
      <w:r w:rsidRPr="000526AB">
        <w:rPr>
          <w:lang w:eastAsia="ja-JP"/>
        </w:rPr>
        <w:t xml:space="preserve"> 0.0001) for VTE2Q4 versus sham. This OR indicates an approximate 5</w:t>
      </w:r>
      <w:r w:rsidR="00805A16">
        <w:rPr>
          <w:lang w:eastAsia="ja-JP"/>
        </w:rPr>
        <w:t xml:space="preserve"> </w:t>
      </w:r>
      <w:r w:rsidRPr="000526AB">
        <w:rPr>
          <w:lang w:eastAsia="ja-JP"/>
        </w:rPr>
        <w:t>fold increase in the odds of gaining at least 15 letters with VTE2Q4 compared with sham. The ORs for gaining at least 15 letters in BCVA by</w:t>
      </w:r>
      <w:r w:rsidR="00300BDB">
        <w:rPr>
          <w:lang w:eastAsia="ja-JP"/>
        </w:rPr>
        <w:t xml:space="preserve"> Week 2</w:t>
      </w:r>
      <w:r w:rsidRPr="000526AB">
        <w:rPr>
          <w:lang w:eastAsia="ja-JP"/>
        </w:rPr>
        <w:t>4 showed no statistically significant difference in subjects stratified by region (Europe</w:t>
      </w:r>
      <w:r w:rsidR="0091044A">
        <w:rPr>
          <w:lang w:eastAsia="ja-JP"/>
        </w:rPr>
        <w:t xml:space="preserve"> versus </w:t>
      </w:r>
      <w:r w:rsidRPr="000526AB">
        <w:rPr>
          <w:lang w:eastAsia="ja-JP"/>
        </w:rPr>
        <w:t>Asia/Pacific) or by baseline BCVA (&gt; 20/200</w:t>
      </w:r>
      <w:r w:rsidR="0091044A">
        <w:rPr>
          <w:lang w:eastAsia="ja-JP"/>
        </w:rPr>
        <w:t xml:space="preserve"> versus </w:t>
      </w:r>
      <w:r w:rsidR="00805A16">
        <w:rPr>
          <w:lang w:eastAsia="ja-JP"/>
        </w:rPr>
        <w:t>≤</w:t>
      </w:r>
      <w:r w:rsidRPr="000526AB">
        <w:rPr>
          <w:lang w:eastAsia="ja-JP"/>
        </w:rPr>
        <w:t xml:space="preserve"> 20/200). The analysis in the PPS was c</w:t>
      </w:r>
      <w:r w:rsidR="00A723E5">
        <w:rPr>
          <w:lang w:eastAsia="ja-JP"/>
        </w:rPr>
        <w:t>onsistent with that in the FAS.</w:t>
      </w:r>
    </w:p>
    <w:p w:rsidR="000526AB" w:rsidRPr="00805A16" w:rsidRDefault="000526AB" w:rsidP="00300308">
      <w:r w:rsidRPr="000526AB">
        <w:rPr>
          <w:b/>
        </w:rPr>
        <w:t>C</w:t>
      </w:r>
      <w:r w:rsidRPr="00805A16">
        <w:rPr>
          <w:b/>
        </w:rPr>
        <w:t xml:space="preserve">omment: </w:t>
      </w:r>
      <w:r w:rsidRPr="00805A16">
        <w:t>In both studies, the primary endpoint (FAS) of the proportion of subjects gaining ≥ 15 letters improvement in BCVA from baseline to</w:t>
      </w:r>
      <w:r w:rsidR="00300BDB" w:rsidRPr="00805A16">
        <w:t xml:space="preserve"> Week 2</w:t>
      </w:r>
      <w:r w:rsidRPr="00805A16">
        <w:t>4 was statistically significantly greater in the VTE2Q4 group than in the sham group. In both studies, the difference between treatment groups was &gt; 25% (i.e., the difference on which the sample size was based assuming a proportion of 15% in the sham group and 40% in the VTE2Q4 group). Consequently, it is considered that the difference between the two treatment groups in both studies is clinically as well as statistically significant. In both studies, the primary efficacy analysis in the FAS was supported by the analysis in the PPS and the sensitivity analyses. The sub-group analyses in the FAS and PP generally supported the primary efficacy analysis. In both studies, the OR for the probability of gaining at least 15 letters in BCVA derived from logistic regression modelling supported the superiorit</w:t>
      </w:r>
      <w:r w:rsidR="00300308">
        <w:t>y of VTE2Q4 compared with sham.</w:t>
      </w:r>
    </w:p>
    <w:p w:rsidR="000526AB" w:rsidRPr="000526AB" w:rsidRDefault="000526AB" w:rsidP="007D7630">
      <w:pPr>
        <w:pStyle w:val="Heading4"/>
      </w:pPr>
      <w:r w:rsidRPr="000526AB">
        <w:lastRenderedPageBreak/>
        <w:t xml:space="preserve">Secondary efficacy </w:t>
      </w:r>
      <w:r w:rsidRPr="007D7630">
        <w:t>endpoints</w:t>
      </w:r>
      <w:r w:rsidRPr="000526AB">
        <w:t xml:space="preserve"> –</w:t>
      </w:r>
      <w:r w:rsidR="00300BDB">
        <w:t xml:space="preserve"> Week 2</w:t>
      </w:r>
      <w:r w:rsidRPr="000526AB">
        <w:t>4</w:t>
      </w:r>
    </w:p>
    <w:p w:rsidR="000526AB" w:rsidRPr="000526AB" w:rsidRDefault="000526AB" w:rsidP="00A723E5">
      <w:pPr>
        <w:rPr>
          <w:lang w:eastAsia="ja-JP"/>
        </w:rPr>
      </w:pPr>
      <w:r w:rsidRPr="000526AB">
        <w:rPr>
          <w:lang w:eastAsia="ja-JP"/>
        </w:rPr>
        <w:t>The results for the secondar</w:t>
      </w:r>
      <w:r w:rsidR="00805A16">
        <w:rPr>
          <w:lang w:eastAsia="ja-JP"/>
        </w:rPr>
        <w:t>y endpoint analyses are summarised below in Table 7</w:t>
      </w:r>
      <w:r w:rsidR="00A723E5">
        <w:rPr>
          <w:lang w:eastAsia="ja-JP"/>
        </w:rPr>
        <w:t>.</w:t>
      </w:r>
    </w:p>
    <w:p w:rsidR="000526AB" w:rsidRPr="000526AB" w:rsidRDefault="000526AB" w:rsidP="00A723E5">
      <w:pPr>
        <w:pStyle w:val="TableTitle"/>
        <w:rPr>
          <w:lang w:eastAsia="ja-JP"/>
        </w:rPr>
      </w:pPr>
      <w:bookmarkStart w:id="89" w:name="_Toc221767060"/>
      <w:r w:rsidRPr="000526AB">
        <w:rPr>
          <w:lang w:eastAsia="ja-JP"/>
        </w:rPr>
        <w:t>Table</w:t>
      </w:r>
      <w:r w:rsidR="00805A16">
        <w:rPr>
          <w:lang w:eastAsia="ja-JP"/>
        </w:rPr>
        <w:t xml:space="preserve"> 7</w:t>
      </w:r>
      <w:r w:rsidRPr="000526AB">
        <w:rPr>
          <w:lang w:eastAsia="ja-JP"/>
        </w:rPr>
        <w:t>: CAPRICORN and GALILEO, overview of secondary efficacy endpoint results; order of testing in FAS.</w:t>
      </w:r>
      <w:bookmarkEnd w:id="89"/>
    </w:p>
    <w:tbl>
      <w:tblPr>
        <w:tblStyle w:val="TableTGAblue"/>
        <w:tblW w:w="9322" w:type="dxa"/>
        <w:tblLayout w:type="fixed"/>
        <w:tblLook w:val="00A0" w:firstRow="1" w:lastRow="0" w:firstColumn="1" w:lastColumn="0" w:noHBand="0" w:noVBand="0"/>
      </w:tblPr>
      <w:tblGrid>
        <w:gridCol w:w="959"/>
        <w:gridCol w:w="2126"/>
        <w:gridCol w:w="1559"/>
        <w:gridCol w:w="1418"/>
        <w:gridCol w:w="1843"/>
        <w:gridCol w:w="1417"/>
      </w:tblGrid>
      <w:tr w:rsidR="000526AB" w:rsidRPr="000526AB" w:rsidTr="00565C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tcPr>
          <w:p w:rsidR="000526AB" w:rsidRPr="007D7630" w:rsidRDefault="007D7630" w:rsidP="00A723E5">
            <w:pPr>
              <w:ind w:left="0"/>
              <w:rPr>
                <w:sz w:val="20"/>
                <w:szCs w:val="20"/>
                <w:lang w:eastAsia="ja-JP"/>
              </w:rPr>
            </w:pPr>
            <w:r>
              <w:rPr>
                <w:sz w:val="20"/>
                <w:szCs w:val="20"/>
                <w:lang w:eastAsia="ja-JP"/>
              </w:rPr>
              <w:t>Order</w:t>
            </w:r>
          </w:p>
        </w:tc>
        <w:tc>
          <w:tcPr>
            <w:tcW w:w="2126" w:type="dxa"/>
          </w:tcPr>
          <w:p w:rsidR="000526AB" w:rsidRPr="007D7630" w:rsidRDefault="007D7630" w:rsidP="00A723E5">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Pr>
                <w:sz w:val="20"/>
                <w:szCs w:val="20"/>
                <w:lang w:eastAsia="ja-JP"/>
              </w:rPr>
              <w:t>Secondary Endpoint</w:t>
            </w:r>
          </w:p>
        </w:tc>
        <w:tc>
          <w:tcPr>
            <w:tcW w:w="2977" w:type="dxa"/>
            <w:gridSpan w:val="2"/>
          </w:tcPr>
          <w:p w:rsidR="000526AB" w:rsidRPr="007D7630" w:rsidRDefault="000526AB" w:rsidP="00A723E5">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COPERNICUS</w:t>
            </w:r>
          </w:p>
        </w:tc>
        <w:tc>
          <w:tcPr>
            <w:tcW w:w="3260" w:type="dxa"/>
            <w:gridSpan w:val="2"/>
          </w:tcPr>
          <w:p w:rsidR="000526AB" w:rsidRPr="007D7630" w:rsidRDefault="000526AB" w:rsidP="00A723E5">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GALILEO</w:t>
            </w:r>
          </w:p>
        </w:tc>
      </w:tr>
      <w:tr w:rsidR="000526AB" w:rsidRPr="000526AB" w:rsidTr="00565CF9">
        <w:tc>
          <w:tcPr>
            <w:cnfStyle w:val="001000000000" w:firstRow="0" w:lastRow="0" w:firstColumn="1" w:lastColumn="0" w:oddVBand="0" w:evenVBand="0" w:oddHBand="0" w:evenHBand="0" w:firstRowFirstColumn="0" w:firstRowLastColumn="0" w:lastRowFirstColumn="0" w:lastRowLastColumn="0"/>
            <w:tcW w:w="959" w:type="dxa"/>
          </w:tcPr>
          <w:p w:rsidR="000526AB" w:rsidRPr="007D7630" w:rsidRDefault="000526AB" w:rsidP="00A723E5">
            <w:pPr>
              <w:ind w:left="0"/>
              <w:rPr>
                <w:sz w:val="20"/>
                <w:szCs w:val="20"/>
                <w:lang w:eastAsia="ja-JP"/>
              </w:rPr>
            </w:pPr>
            <w:r w:rsidRPr="007D7630">
              <w:rPr>
                <w:sz w:val="20"/>
                <w:szCs w:val="20"/>
                <w:lang w:eastAsia="ja-JP"/>
              </w:rPr>
              <w:t>1 [a]</w:t>
            </w:r>
          </w:p>
        </w:tc>
        <w:tc>
          <w:tcPr>
            <w:tcW w:w="2126" w:type="dxa"/>
          </w:tcPr>
          <w:p w:rsidR="000526AB" w:rsidRPr="007D7630" w:rsidRDefault="000526AB" w:rsidP="007D7630">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1. Change in BCVA letter score from baseline to</w:t>
            </w:r>
            <w:r w:rsidR="00300BDB" w:rsidRPr="007D7630">
              <w:rPr>
                <w:sz w:val="20"/>
                <w:szCs w:val="20"/>
                <w:lang w:eastAsia="ja-JP"/>
              </w:rPr>
              <w:t xml:space="preserve"> Week 2</w:t>
            </w:r>
            <w:r w:rsidR="007D7630">
              <w:rPr>
                <w:sz w:val="20"/>
                <w:szCs w:val="20"/>
                <w:lang w:eastAsia="ja-JP"/>
              </w:rPr>
              <w:t>4.</w:t>
            </w:r>
          </w:p>
        </w:tc>
        <w:tc>
          <w:tcPr>
            <w:tcW w:w="1559" w:type="dxa"/>
          </w:tcPr>
          <w:p w:rsidR="000526AB" w:rsidRPr="007D7630" w:rsidRDefault="000526AB" w:rsidP="007D7630">
            <w:pPr>
              <w:tabs>
                <w:tab w:val="left" w:pos="1202"/>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21.70 letters</w:t>
            </w:r>
            <w:r w:rsidR="00A723E5" w:rsidRPr="007D7630">
              <w:rPr>
                <w:sz w:val="20"/>
                <w:szCs w:val="20"/>
                <w:lang w:eastAsia="ja-JP"/>
              </w:rPr>
              <w:t xml:space="preserve"> </w:t>
            </w:r>
            <w:r w:rsidRPr="007D7630">
              <w:rPr>
                <w:sz w:val="20"/>
                <w:szCs w:val="20"/>
                <w:lang w:eastAsia="ja-JP"/>
              </w:rPr>
              <w:t>95% CI: 17.36, 26.04</w:t>
            </w:r>
          </w:p>
        </w:tc>
        <w:tc>
          <w:tcPr>
            <w:tcW w:w="1418" w:type="dxa"/>
          </w:tcPr>
          <w:p w:rsidR="000526AB" w:rsidRPr="007D7630" w:rsidRDefault="000526AB" w:rsidP="007D7630">
            <w:pPr>
              <w:ind w:left="0" w:righ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p &lt; 0.0001</w:t>
            </w:r>
            <w:r w:rsidR="00A723E5" w:rsidRPr="007D7630">
              <w:rPr>
                <w:sz w:val="20"/>
                <w:szCs w:val="20"/>
                <w:lang w:eastAsia="ja-JP"/>
              </w:rPr>
              <w:t xml:space="preserve"> </w:t>
            </w:r>
            <w:r w:rsidRPr="007D7630">
              <w:rPr>
                <w:sz w:val="20"/>
                <w:szCs w:val="20"/>
                <w:lang w:eastAsia="ja-JP"/>
              </w:rPr>
              <w:t>Favours VTE2Q4</w:t>
            </w:r>
          </w:p>
        </w:tc>
        <w:tc>
          <w:tcPr>
            <w:tcW w:w="1843" w:type="dxa"/>
          </w:tcPr>
          <w:p w:rsidR="000526AB" w:rsidRPr="007D7630" w:rsidRDefault="000526AB" w:rsidP="007D7630">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14.7 letters</w:t>
            </w:r>
            <w:r w:rsidR="00A723E5" w:rsidRPr="007D7630">
              <w:rPr>
                <w:sz w:val="20"/>
                <w:szCs w:val="20"/>
                <w:lang w:eastAsia="ja-JP"/>
              </w:rPr>
              <w:t xml:space="preserve"> </w:t>
            </w:r>
            <w:r w:rsidRPr="007D7630">
              <w:rPr>
                <w:sz w:val="20"/>
                <w:szCs w:val="20"/>
                <w:lang w:eastAsia="ja-JP"/>
              </w:rPr>
              <w:t xml:space="preserve">95% CI:10.8, 18.7 </w:t>
            </w:r>
          </w:p>
        </w:tc>
        <w:tc>
          <w:tcPr>
            <w:tcW w:w="1417" w:type="dxa"/>
          </w:tcPr>
          <w:p w:rsidR="000526AB" w:rsidRPr="007D7630" w:rsidRDefault="000526AB" w:rsidP="007D7630">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p &lt; 0.0001</w:t>
            </w:r>
            <w:r w:rsidR="00A723E5" w:rsidRPr="007D7630">
              <w:rPr>
                <w:sz w:val="20"/>
                <w:szCs w:val="20"/>
                <w:lang w:eastAsia="ja-JP"/>
              </w:rPr>
              <w:t xml:space="preserve"> </w:t>
            </w:r>
            <w:r w:rsidRPr="007D7630">
              <w:rPr>
                <w:sz w:val="20"/>
                <w:szCs w:val="20"/>
                <w:lang w:eastAsia="ja-JP"/>
              </w:rPr>
              <w:t>Favours VTE2Q4</w:t>
            </w:r>
          </w:p>
        </w:tc>
      </w:tr>
      <w:tr w:rsidR="000526AB" w:rsidRPr="000526AB" w:rsidTr="00565CF9">
        <w:tc>
          <w:tcPr>
            <w:cnfStyle w:val="001000000000" w:firstRow="0" w:lastRow="0" w:firstColumn="1" w:lastColumn="0" w:oddVBand="0" w:evenVBand="0" w:oddHBand="0" w:evenHBand="0" w:firstRowFirstColumn="0" w:firstRowLastColumn="0" w:lastRowFirstColumn="0" w:lastRowLastColumn="0"/>
            <w:tcW w:w="959" w:type="dxa"/>
          </w:tcPr>
          <w:p w:rsidR="000526AB" w:rsidRPr="007D7630" w:rsidRDefault="000526AB" w:rsidP="00A723E5">
            <w:pPr>
              <w:ind w:left="0"/>
              <w:rPr>
                <w:sz w:val="20"/>
                <w:szCs w:val="20"/>
                <w:lang w:eastAsia="ja-JP"/>
              </w:rPr>
            </w:pPr>
            <w:r w:rsidRPr="007D7630">
              <w:rPr>
                <w:sz w:val="20"/>
                <w:szCs w:val="20"/>
                <w:lang w:eastAsia="ja-JP"/>
              </w:rPr>
              <w:t>2 [a]</w:t>
            </w:r>
          </w:p>
        </w:tc>
        <w:tc>
          <w:tcPr>
            <w:tcW w:w="2126"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2. Change in CRT from baseline to</w:t>
            </w:r>
            <w:r w:rsidR="00300BDB" w:rsidRPr="007D7630">
              <w:rPr>
                <w:sz w:val="20"/>
                <w:szCs w:val="20"/>
                <w:lang w:eastAsia="ja-JP"/>
              </w:rPr>
              <w:t xml:space="preserve"> Week 2</w:t>
            </w:r>
            <w:r w:rsidR="007D7630">
              <w:rPr>
                <w:sz w:val="20"/>
                <w:szCs w:val="20"/>
                <w:lang w:eastAsia="ja-JP"/>
              </w:rPr>
              <w:t>4.</w:t>
            </w:r>
          </w:p>
        </w:tc>
        <w:tc>
          <w:tcPr>
            <w:tcW w:w="1559"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-311.9 µm 95% CI: -389.4, -234.4</w:t>
            </w:r>
          </w:p>
        </w:tc>
        <w:tc>
          <w:tcPr>
            <w:tcW w:w="1418"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p &lt; 0.0001</w:t>
            </w:r>
            <w:r w:rsidR="00A723E5" w:rsidRPr="007D7630">
              <w:rPr>
                <w:sz w:val="20"/>
                <w:szCs w:val="20"/>
                <w:lang w:eastAsia="ja-JP"/>
              </w:rPr>
              <w:t xml:space="preserve"> </w:t>
            </w:r>
            <w:r w:rsidRPr="007D7630">
              <w:rPr>
                <w:sz w:val="20"/>
                <w:szCs w:val="20"/>
                <w:lang w:eastAsia="ja-JP"/>
              </w:rPr>
              <w:t>Favours VTE2Q4</w:t>
            </w:r>
          </w:p>
        </w:tc>
        <w:tc>
          <w:tcPr>
            <w:tcW w:w="1843"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-239.43 µm</w:t>
            </w:r>
            <w:r w:rsidR="00A723E5" w:rsidRPr="007D7630">
              <w:rPr>
                <w:sz w:val="20"/>
                <w:szCs w:val="20"/>
                <w:lang w:eastAsia="ja-JP"/>
              </w:rPr>
              <w:t xml:space="preserve"> </w:t>
            </w:r>
            <w:r w:rsidRPr="007D7630">
              <w:rPr>
                <w:sz w:val="20"/>
                <w:szCs w:val="20"/>
                <w:lang w:eastAsia="ja-JP"/>
              </w:rPr>
              <w:t>95% CI:</w:t>
            </w:r>
            <w:r w:rsidR="00F158EC" w:rsidRPr="007D7630">
              <w:rPr>
                <w:sz w:val="20"/>
                <w:szCs w:val="20"/>
                <w:lang w:eastAsia="ja-JP"/>
              </w:rPr>
              <w:t xml:space="preserve"> </w:t>
            </w:r>
            <w:r w:rsidR="00F158EC" w:rsidRPr="007D7630">
              <w:rPr>
                <w:sz w:val="20"/>
                <w:szCs w:val="20"/>
                <w:lang w:eastAsia="ja-JP"/>
              </w:rPr>
              <w:noBreakHyphen/>
            </w:r>
            <w:r w:rsidRPr="007D7630">
              <w:rPr>
                <w:sz w:val="20"/>
                <w:szCs w:val="20"/>
                <w:lang w:eastAsia="ja-JP"/>
              </w:rPr>
              <w:t xml:space="preserve">286.31, </w:t>
            </w:r>
            <w:r w:rsidR="00F158EC" w:rsidRPr="007D7630">
              <w:rPr>
                <w:sz w:val="20"/>
                <w:szCs w:val="20"/>
                <w:lang w:eastAsia="ja-JP"/>
              </w:rPr>
              <w:noBreakHyphen/>
            </w:r>
            <w:r w:rsidRPr="007D7630">
              <w:rPr>
                <w:sz w:val="20"/>
                <w:szCs w:val="20"/>
                <w:lang w:eastAsia="ja-JP"/>
              </w:rPr>
              <w:t>192.53</w:t>
            </w:r>
          </w:p>
        </w:tc>
        <w:tc>
          <w:tcPr>
            <w:tcW w:w="1417"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p &lt; 0.0001</w:t>
            </w:r>
            <w:r w:rsidR="00A723E5" w:rsidRPr="007D7630">
              <w:rPr>
                <w:sz w:val="20"/>
                <w:szCs w:val="20"/>
                <w:lang w:eastAsia="ja-JP"/>
              </w:rPr>
              <w:t xml:space="preserve"> </w:t>
            </w:r>
            <w:r w:rsidRPr="007D7630">
              <w:rPr>
                <w:sz w:val="20"/>
                <w:szCs w:val="20"/>
                <w:lang w:eastAsia="ja-JP"/>
              </w:rPr>
              <w:t>Favours VTE2Q4</w:t>
            </w:r>
          </w:p>
        </w:tc>
      </w:tr>
      <w:tr w:rsidR="000526AB" w:rsidRPr="000526AB" w:rsidTr="00565CF9">
        <w:tc>
          <w:tcPr>
            <w:cnfStyle w:val="001000000000" w:firstRow="0" w:lastRow="0" w:firstColumn="1" w:lastColumn="0" w:oddVBand="0" w:evenVBand="0" w:oddHBand="0" w:evenHBand="0" w:firstRowFirstColumn="0" w:firstRowLastColumn="0" w:lastRowFirstColumn="0" w:lastRowLastColumn="0"/>
            <w:tcW w:w="959" w:type="dxa"/>
          </w:tcPr>
          <w:p w:rsidR="000526AB" w:rsidRPr="007D7630" w:rsidRDefault="000526AB" w:rsidP="00A723E5">
            <w:pPr>
              <w:ind w:left="0"/>
              <w:rPr>
                <w:sz w:val="20"/>
                <w:szCs w:val="20"/>
                <w:lang w:eastAsia="ja-JP"/>
              </w:rPr>
            </w:pPr>
            <w:r w:rsidRPr="007D7630">
              <w:rPr>
                <w:sz w:val="20"/>
                <w:szCs w:val="20"/>
                <w:lang w:eastAsia="ja-JP"/>
              </w:rPr>
              <w:t>3 [b]</w:t>
            </w:r>
          </w:p>
        </w:tc>
        <w:tc>
          <w:tcPr>
            <w:tcW w:w="2126"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3. Proportion of subjects progressing to</w:t>
            </w:r>
            <w:r w:rsidR="00301349" w:rsidRPr="007D7630">
              <w:rPr>
                <w:sz w:val="20"/>
                <w:szCs w:val="20"/>
                <w:lang w:eastAsia="ja-JP"/>
              </w:rPr>
              <w:t xml:space="preserve"> </w:t>
            </w:r>
            <w:r w:rsidR="00ED3DEB" w:rsidRPr="007D7630">
              <w:rPr>
                <w:sz w:val="20"/>
                <w:szCs w:val="20"/>
                <w:lang w:eastAsia="ja-JP"/>
              </w:rPr>
              <w:t>neovascularisation</w:t>
            </w:r>
            <w:r w:rsidRPr="007D7630">
              <w:rPr>
                <w:sz w:val="20"/>
                <w:szCs w:val="20"/>
                <w:lang w:eastAsia="ja-JP"/>
              </w:rPr>
              <w:t xml:space="preserve"> by</w:t>
            </w:r>
            <w:r w:rsidR="00300BDB" w:rsidRPr="007D7630">
              <w:rPr>
                <w:sz w:val="20"/>
                <w:szCs w:val="20"/>
                <w:lang w:eastAsia="ja-JP"/>
              </w:rPr>
              <w:t xml:space="preserve"> Week 2</w:t>
            </w:r>
            <w:r w:rsidR="00565CF9">
              <w:rPr>
                <w:sz w:val="20"/>
                <w:szCs w:val="20"/>
                <w:lang w:eastAsia="ja-JP"/>
              </w:rPr>
              <w:t>4.</w:t>
            </w:r>
          </w:p>
        </w:tc>
        <w:tc>
          <w:tcPr>
            <w:tcW w:w="1559"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-6.8%</w:t>
            </w:r>
            <w:r w:rsidR="00A723E5" w:rsidRPr="007D7630">
              <w:rPr>
                <w:sz w:val="20"/>
                <w:szCs w:val="20"/>
                <w:lang w:eastAsia="ja-JP"/>
              </w:rPr>
              <w:t xml:space="preserve"> </w:t>
            </w:r>
            <w:r w:rsidRPr="007D7630">
              <w:rPr>
                <w:sz w:val="20"/>
                <w:szCs w:val="20"/>
                <w:lang w:eastAsia="ja-JP"/>
              </w:rPr>
              <w:t>95% CI: -12.4, -1.2</w:t>
            </w:r>
          </w:p>
        </w:tc>
        <w:tc>
          <w:tcPr>
            <w:tcW w:w="1418"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p = 0.0059</w:t>
            </w:r>
            <w:r w:rsidR="00A723E5" w:rsidRPr="007D7630">
              <w:rPr>
                <w:sz w:val="20"/>
                <w:szCs w:val="20"/>
                <w:lang w:eastAsia="ja-JP"/>
              </w:rPr>
              <w:t xml:space="preserve"> </w:t>
            </w:r>
            <w:r w:rsidRPr="007D7630">
              <w:rPr>
                <w:sz w:val="20"/>
                <w:szCs w:val="20"/>
                <w:lang w:eastAsia="ja-JP"/>
              </w:rPr>
              <w:t>Favours VTE2Q4</w:t>
            </w:r>
          </w:p>
        </w:tc>
        <w:tc>
          <w:tcPr>
            <w:tcW w:w="1843"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-1.5%</w:t>
            </w:r>
            <w:r w:rsidR="00A723E5" w:rsidRPr="007D7630">
              <w:rPr>
                <w:sz w:val="20"/>
                <w:szCs w:val="20"/>
                <w:lang w:eastAsia="ja-JP"/>
              </w:rPr>
              <w:br/>
            </w:r>
            <w:r w:rsidRPr="007D7630">
              <w:rPr>
                <w:sz w:val="20"/>
                <w:szCs w:val="20"/>
                <w:lang w:eastAsia="ja-JP"/>
              </w:rPr>
              <w:t>95% CI: -7.4, 4.4</w:t>
            </w:r>
          </w:p>
        </w:tc>
        <w:tc>
          <w:tcPr>
            <w:tcW w:w="1417"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p = 0.5947</w:t>
            </w:r>
            <w:r w:rsidR="00A723E5" w:rsidRPr="007D7630">
              <w:rPr>
                <w:sz w:val="20"/>
                <w:szCs w:val="20"/>
                <w:lang w:eastAsia="ja-JP"/>
              </w:rPr>
              <w:t xml:space="preserve"> </w:t>
            </w:r>
            <w:r w:rsidRPr="007D7630">
              <w:rPr>
                <w:sz w:val="20"/>
                <w:szCs w:val="20"/>
                <w:lang w:eastAsia="ja-JP"/>
              </w:rPr>
              <w:t xml:space="preserve">Not significant </w:t>
            </w:r>
          </w:p>
        </w:tc>
      </w:tr>
      <w:tr w:rsidR="000526AB" w:rsidRPr="000526AB" w:rsidTr="00565CF9">
        <w:tc>
          <w:tcPr>
            <w:cnfStyle w:val="001000000000" w:firstRow="0" w:lastRow="0" w:firstColumn="1" w:lastColumn="0" w:oddVBand="0" w:evenVBand="0" w:oddHBand="0" w:evenHBand="0" w:firstRowFirstColumn="0" w:firstRowLastColumn="0" w:lastRowFirstColumn="0" w:lastRowLastColumn="0"/>
            <w:tcW w:w="959" w:type="dxa"/>
          </w:tcPr>
          <w:p w:rsidR="000526AB" w:rsidRPr="007D7630" w:rsidRDefault="000526AB" w:rsidP="00A723E5">
            <w:pPr>
              <w:ind w:left="0"/>
              <w:rPr>
                <w:sz w:val="20"/>
                <w:szCs w:val="20"/>
                <w:lang w:eastAsia="ja-JP"/>
              </w:rPr>
            </w:pPr>
            <w:r w:rsidRPr="007D7630">
              <w:rPr>
                <w:sz w:val="20"/>
                <w:szCs w:val="20"/>
                <w:lang w:eastAsia="ja-JP"/>
              </w:rPr>
              <w:t xml:space="preserve">4 [a] </w:t>
            </w:r>
          </w:p>
        </w:tc>
        <w:tc>
          <w:tcPr>
            <w:tcW w:w="2126"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4. Change in NEI VFQ total score from baseline to</w:t>
            </w:r>
            <w:r w:rsidR="00300BDB" w:rsidRPr="007D7630">
              <w:rPr>
                <w:sz w:val="20"/>
                <w:szCs w:val="20"/>
                <w:lang w:eastAsia="ja-JP"/>
              </w:rPr>
              <w:t xml:space="preserve"> Week 2</w:t>
            </w:r>
            <w:r w:rsidR="00565CF9">
              <w:rPr>
                <w:sz w:val="20"/>
                <w:szCs w:val="20"/>
                <w:lang w:eastAsia="ja-JP"/>
              </w:rPr>
              <w:t>4.</w:t>
            </w:r>
          </w:p>
        </w:tc>
        <w:tc>
          <w:tcPr>
            <w:tcW w:w="1559"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6.62</w:t>
            </w:r>
            <w:r w:rsidR="00A723E5" w:rsidRPr="007D7630">
              <w:rPr>
                <w:sz w:val="20"/>
                <w:szCs w:val="20"/>
                <w:lang w:eastAsia="ja-JP"/>
              </w:rPr>
              <w:t xml:space="preserve"> </w:t>
            </w:r>
            <w:r w:rsidR="00A723E5" w:rsidRPr="007D7630">
              <w:rPr>
                <w:sz w:val="20"/>
                <w:szCs w:val="20"/>
                <w:lang w:eastAsia="ja-JP"/>
              </w:rPr>
              <w:br/>
            </w:r>
            <w:r w:rsidRPr="007D7630">
              <w:rPr>
                <w:sz w:val="20"/>
                <w:szCs w:val="20"/>
                <w:lang w:eastAsia="ja-JP"/>
              </w:rPr>
              <w:t>95% CI: 2.61, 9.91</w:t>
            </w:r>
          </w:p>
        </w:tc>
        <w:tc>
          <w:tcPr>
            <w:tcW w:w="1418"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p = 0.0009</w:t>
            </w:r>
            <w:r w:rsidR="00A723E5" w:rsidRPr="007D7630">
              <w:rPr>
                <w:sz w:val="20"/>
                <w:szCs w:val="20"/>
                <w:lang w:eastAsia="ja-JP"/>
              </w:rPr>
              <w:t xml:space="preserve"> </w:t>
            </w:r>
            <w:r w:rsidRPr="007D7630">
              <w:rPr>
                <w:sz w:val="20"/>
                <w:szCs w:val="20"/>
                <w:lang w:eastAsia="ja-JP"/>
              </w:rPr>
              <w:t>Favours VTE2Q4</w:t>
            </w:r>
          </w:p>
        </w:tc>
        <w:tc>
          <w:tcPr>
            <w:tcW w:w="1843"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 xml:space="preserve">4.2 </w:t>
            </w:r>
            <w:r w:rsidR="00A723E5" w:rsidRPr="007D7630">
              <w:rPr>
                <w:sz w:val="20"/>
                <w:szCs w:val="20"/>
                <w:lang w:eastAsia="ja-JP"/>
              </w:rPr>
              <w:br/>
            </w:r>
            <w:r w:rsidRPr="007D7630">
              <w:rPr>
                <w:sz w:val="20"/>
                <w:szCs w:val="20"/>
                <w:lang w:eastAsia="ja-JP"/>
              </w:rPr>
              <w:t>95% CI: 1.7, 6.8</w:t>
            </w:r>
          </w:p>
        </w:tc>
        <w:tc>
          <w:tcPr>
            <w:tcW w:w="1417" w:type="dxa"/>
          </w:tcPr>
          <w:p w:rsidR="000526AB" w:rsidRPr="007D7630" w:rsidRDefault="007D7630"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Pr>
                <w:sz w:val="20"/>
                <w:szCs w:val="20"/>
                <w:lang w:eastAsia="ja-JP"/>
              </w:rPr>
              <w:t>p = 0.0013 Nominal</w:t>
            </w:r>
          </w:p>
        </w:tc>
      </w:tr>
      <w:tr w:rsidR="000526AB" w:rsidRPr="000526AB" w:rsidTr="00565CF9">
        <w:tc>
          <w:tcPr>
            <w:cnfStyle w:val="001000000000" w:firstRow="0" w:lastRow="0" w:firstColumn="1" w:lastColumn="0" w:oddVBand="0" w:evenVBand="0" w:oddHBand="0" w:evenHBand="0" w:firstRowFirstColumn="0" w:firstRowLastColumn="0" w:lastRowFirstColumn="0" w:lastRowLastColumn="0"/>
            <w:tcW w:w="959" w:type="dxa"/>
          </w:tcPr>
          <w:p w:rsidR="000526AB" w:rsidRPr="007D7630" w:rsidRDefault="000526AB" w:rsidP="00A723E5">
            <w:pPr>
              <w:ind w:left="0"/>
              <w:rPr>
                <w:sz w:val="20"/>
                <w:szCs w:val="20"/>
                <w:lang w:eastAsia="ja-JP"/>
              </w:rPr>
            </w:pPr>
            <w:r w:rsidRPr="007D7630">
              <w:rPr>
                <w:sz w:val="20"/>
                <w:szCs w:val="20"/>
                <w:lang w:eastAsia="ja-JP"/>
              </w:rPr>
              <w:t>5 [a]</w:t>
            </w:r>
          </w:p>
        </w:tc>
        <w:tc>
          <w:tcPr>
            <w:tcW w:w="2126"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5. Change in EQ-5D score from baseline to</w:t>
            </w:r>
            <w:r w:rsidR="00300BDB" w:rsidRPr="007D7630">
              <w:rPr>
                <w:sz w:val="20"/>
                <w:szCs w:val="20"/>
                <w:lang w:eastAsia="ja-JP"/>
              </w:rPr>
              <w:t xml:space="preserve"> Week 2</w:t>
            </w:r>
            <w:r w:rsidRPr="007D7630">
              <w:rPr>
                <w:sz w:val="20"/>
                <w:szCs w:val="20"/>
                <w:lang w:eastAsia="ja-JP"/>
              </w:rPr>
              <w:t>4.</w:t>
            </w:r>
          </w:p>
        </w:tc>
        <w:tc>
          <w:tcPr>
            <w:tcW w:w="2977" w:type="dxa"/>
            <w:gridSpan w:val="2"/>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Not a s</w:t>
            </w:r>
            <w:r w:rsidR="00565CF9">
              <w:rPr>
                <w:sz w:val="20"/>
                <w:szCs w:val="20"/>
                <w:lang w:eastAsia="ja-JP"/>
              </w:rPr>
              <w:t>econdary endpoint in COPERNICUS</w:t>
            </w:r>
          </w:p>
        </w:tc>
        <w:tc>
          <w:tcPr>
            <w:tcW w:w="1843"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0.044</w:t>
            </w:r>
            <w:r w:rsidR="00A723E5" w:rsidRPr="007D7630">
              <w:rPr>
                <w:sz w:val="20"/>
                <w:szCs w:val="20"/>
                <w:lang w:eastAsia="ja-JP"/>
              </w:rPr>
              <w:t xml:space="preserve"> </w:t>
            </w:r>
            <w:r w:rsidR="00A723E5" w:rsidRPr="007D7630">
              <w:rPr>
                <w:sz w:val="20"/>
                <w:szCs w:val="20"/>
                <w:lang w:eastAsia="ja-JP"/>
              </w:rPr>
              <w:br/>
            </w:r>
            <w:r w:rsidRPr="007D7630">
              <w:rPr>
                <w:sz w:val="20"/>
                <w:szCs w:val="20"/>
                <w:lang w:eastAsia="ja-JP"/>
              </w:rPr>
              <w:t xml:space="preserve">95% CI: </w:t>
            </w:r>
            <w:r w:rsidR="00F158EC" w:rsidRPr="007D7630">
              <w:rPr>
                <w:sz w:val="20"/>
                <w:szCs w:val="20"/>
                <w:lang w:eastAsia="ja-JP"/>
              </w:rPr>
              <w:noBreakHyphen/>
            </w:r>
            <w:r w:rsidRPr="007D7630">
              <w:rPr>
                <w:sz w:val="20"/>
                <w:szCs w:val="20"/>
                <w:lang w:eastAsia="ja-JP"/>
              </w:rPr>
              <w:t>0.002, 0.090</w:t>
            </w:r>
          </w:p>
        </w:tc>
        <w:tc>
          <w:tcPr>
            <w:tcW w:w="1417" w:type="dxa"/>
          </w:tcPr>
          <w:p w:rsidR="000526AB" w:rsidRPr="007D7630" w:rsidRDefault="000526AB" w:rsidP="00A723E5">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7630">
              <w:rPr>
                <w:sz w:val="20"/>
                <w:szCs w:val="20"/>
                <w:lang w:eastAsia="ja-JP"/>
              </w:rPr>
              <w:t>p = 0.0627</w:t>
            </w:r>
            <w:r w:rsidR="00A723E5" w:rsidRPr="007D7630">
              <w:rPr>
                <w:sz w:val="20"/>
                <w:szCs w:val="20"/>
                <w:lang w:eastAsia="ja-JP"/>
              </w:rPr>
              <w:t xml:space="preserve"> </w:t>
            </w:r>
            <w:r w:rsidR="00565CF9">
              <w:rPr>
                <w:sz w:val="20"/>
                <w:szCs w:val="20"/>
                <w:lang w:eastAsia="ja-JP"/>
              </w:rPr>
              <w:t>Nominal</w:t>
            </w:r>
          </w:p>
        </w:tc>
      </w:tr>
    </w:tbl>
    <w:p w:rsidR="000526AB" w:rsidRPr="00F158EC" w:rsidRDefault="000526AB" w:rsidP="00565CF9">
      <w:pPr>
        <w:pStyle w:val="TableDescription"/>
      </w:pPr>
      <w:r w:rsidRPr="00F158EC">
        <w:t>[a]Difference and 95% CI for the treatment difference (VTE2Q4 minus sham) of the LS mean changes using an ANCOVA model with treatment group, region, and baseline BCVA as fixed factors. [b]</w:t>
      </w:r>
      <w:r w:rsidR="00301349">
        <w:t xml:space="preserve"> </w:t>
      </w:r>
      <w:r w:rsidRPr="00F158EC">
        <w:t>CMH test controlling for region an</w:t>
      </w:r>
      <w:r w:rsidR="00A723E5">
        <w:t xml:space="preserve">d baseline </w:t>
      </w:r>
      <w:r w:rsidR="00A723E5" w:rsidRPr="00565CF9">
        <w:t>BCVA</w:t>
      </w:r>
      <w:r w:rsidR="00A723E5">
        <w:t xml:space="preserve"> for each study.</w:t>
      </w:r>
    </w:p>
    <w:p w:rsidR="000526AB" w:rsidRPr="00BA4C5B" w:rsidRDefault="000526AB" w:rsidP="00565CF9">
      <w:r w:rsidRPr="00A723E5">
        <w:rPr>
          <w:b/>
        </w:rPr>
        <w:t>Comment:</w:t>
      </w:r>
      <w:r w:rsidRPr="00BA4C5B">
        <w:t xml:space="preserve"> In COPERNICUS, the hierarchical testing procedure demonstrated that VTE2Q4 was statistically significantly superior to sham for all four secondary efficacy endpoints. In GALILEO, the hierarchical testing procedure was stopped after the difference between VTE2Q4 and sham for the proportion of subjects progressing to </w:t>
      </w:r>
      <w:r w:rsidR="00ED3DEB" w:rsidRPr="00BA4C5B">
        <w:t>neovascularisation</w:t>
      </w:r>
      <w:r w:rsidRPr="00BA4C5B">
        <w:t xml:space="preserve"> by</w:t>
      </w:r>
      <w:r w:rsidR="00300BDB" w:rsidRPr="00BA4C5B">
        <w:t xml:space="preserve"> Week 2</w:t>
      </w:r>
      <w:r w:rsidRPr="00BA4C5B">
        <w:t>4 was found to be not statistically significant (test #3). Consequently, the p values for the two subsequent secondary efficacy endpoint pair-wise comparisons (tests #4 and #5) were no</w:t>
      </w:r>
      <w:r w:rsidR="00A723E5">
        <w:t>minal rather than confirmatory.</w:t>
      </w:r>
    </w:p>
    <w:p w:rsidR="000526AB" w:rsidRPr="000526AB" w:rsidRDefault="00BA4C5B" w:rsidP="00A723E5">
      <w:pPr>
        <w:pStyle w:val="Heading4"/>
      </w:pPr>
      <w:r>
        <w:t>Tertiary efficacy endpoints – W</w:t>
      </w:r>
      <w:r w:rsidR="000526AB" w:rsidRPr="000526AB">
        <w:t>eek-24</w:t>
      </w:r>
    </w:p>
    <w:p w:rsidR="000526AB" w:rsidRPr="000526AB" w:rsidRDefault="000526AB" w:rsidP="003357A3">
      <w:pPr>
        <w:pStyle w:val="Heading6"/>
        <w:rPr>
          <w:lang w:eastAsia="ja-JP"/>
        </w:rPr>
      </w:pPr>
      <w:r w:rsidRPr="003357A3">
        <w:t>COPERNICUS</w:t>
      </w:r>
    </w:p>
    <w:p w:rsidR="000526AB" w:rsidRPr="000526AB" w:rsidRDefault="000526AB" w:rsidP="00A723E5">
      <w:pPr>
        <w:rPr>
          <w:lang w:eastAsia="ja-JP"/>
        </w:rPr>
      </w:pPr>
      <w:r w:rsidRPr="000526AB">
        <w:rPr>
          <w:lang w:eastAsia="ja-JP"/>
        </w:rPr>
        <w:t xml:space="preserve">There was no statistical significant difference between the two treatment groups in LS mean change from baseline to </w:t>
      </w:r>
      <w:r w:rsidR="00BA4C5B">
        <w:rPr>
          <w:lang w:eastAsia="ja-JP"/>
        </w:rPr>
        <w:t>W</w:t>
      </w:r>
      <w:r w:rsidRPr="000526AB">
        <w:rPr>
          <w:lang w:eastAsia="ja-JP"/>
        </w:rPr>
        <w:t>eek-24 in the NEI VFQ-25 near activities score, with the LS mean change being 3.58 points in the sham group (n=73) and 9.89 points in the VTE2Q4 group (n=114) and the difference, adjusted by region and baseline BCVA, being 6.31 points (95% CI:. -0.55, 13.16); p=0.0711 (nominal). Near activities were defined as difficulty reading ordinary print in newspapers, performing work or hobbies requiring near vision or findin</w:t>
      </w:r>
      <w:r w:rsidR="00A723E5">
        <w:rPr>
          <w:lang w:eastAsia="ja-JP"/>
        </w:rPr>
        <w:t>g something on a crowded shelf.</w:t>
      </w:r>
    </w:p>
    <w:p w:rsidR="000526AB" w:rsidRPr="000526AB" w:rsidRDefault="000526AB" w:rsidP="00A723E5">
      <w:pPr>
        <w:rPr>
          <w:lang w:eastAsia="ja-JP"/>
        </w:rPr>
      </w:pPr>
      <w:r w:rsidRPr="000526AB">
        <w:rPr>
          <w:lang w:eastAsia="ja-JP"/>
        </w:rPr>
        <w:t xml:space="preserve">There was a statistically significant greater improvement in distance activities measured by the NEI VFQ-25 distance activities score. The LS mean change from baseline was 8.06 points in the </w:t>
      </w:r>
      <w:r w:rsidRPr="000526AB">
        <w:rPr>
          <w:lang w:eastAsia="ja-JP"/>
        </w:rPr>
        <w:lastRenderedPageBreak/>
        <w:t xml:space="preserve">VTE2Q4 group (n=73 and 1.57 points in the sham group (n=114) and the difference, adjusted by region and baseline BCVA, was 6.49 points (95% CI: 0.56, 12.42); p=0.0321 (nominal). Distance activities are defined as reading street signs or names on stores, and going down </w:t>
      </w:r>
      <w:r w:rsidR="00A723E5">
        <w:rPr>
          <w:lang w:eastAsia="ja-JP"/>
        </w:rPr>
        <w:t>stairs, steps, or curbs.</w:t>
      </w:r>
    </w:p>
    <w:p w:rsidR="000526AB" w:rsidRPr="000526AB" w:rsidRDefault="000526AB" w:rsidP="00A723E5">
      <w:pPr>
        <w:rPr>
          <w:lang w:eastAsia="ja-JP"/>
        </w:rPr>
      </w:pPr>
      <w:r w:rsidRPr="000526AB">
        <w:rPr>
          <w:lang w:eastAsia="ja-JP"/>
        </w:rPr>
        <w:t xml:space="preserve">There was no statistical significant difference between the two treatment groups in LS mean change from baseline to week-24 in the NEI VFQ-25 vision dependency score, with the LS mean change being 3.77 points in the sham group (n=73) and 9.62 points in the VTE2Q4 group (n=114) and the difference, adjusted by region and baseline BCVA, being 5.84 points (95% CI:. -0.76, 12.45); p=0.0825 (nominal). Vision dependency is defined as the need to stay at home, reliance on others, and need </w:t>
      </w:r>
      <w:r w:rsidR="00A723E5">
        <w:rPr>
          <w:lang w:eastAsia="ja-JP"/>
        </w:rPr>
        <w:t>of help.</w:t>
      </w:r>
    </w:p>
    <w:p w:rsidR="000526AB" w:rsidRPr="000526AB" w:rsidRDefault="000526AB" w:rsidP="003357A3">
      <w:pPr>
        <w:pStyle w:val="Heading6"/>
        <w:rPr>
          <w:lang w:eastAsia="ja-JP"/>
        </w:rPr>
      </w:pPr>
      <w:r w:rsidRPr="003357A3">
        <w:t>GALILEO</w:t>
      </w:r>
    </w:p>
    <w:p w:rsidR="000526AB" w:rsidRPr="000526AB" w:rsidRDefault="000526AB" w:rsidP="00A723E5">
      <w:pPr>
        <w:rPr>
          <w:lang w:eastAsia="ja-JP"/>
        </w:rPr>
      </w:pPr>
      <w:r w:rsidRPr="000526AB">
        <w:rPr>
          <w:lang w:eastAsia="ja-JP"/>
        </w:rPr>
        <w:t xml:space="preserve">The LS mean change from baseline to </w:t>
      </w:r>
      <w:r w:rsidR="00BA4C5B">
        <w:rPr>
          <w:lang w:eastAsia="ja-JP"/>
        </w:rPr>
        <w:t>W</w:t>
      </w:r>
      <w:r w:rsidRPr="000526AB">
        <w:rPr>
          <w:lang w:eastAsia="ja-JP"/>
        </w:rPr>
        <w:t>eek</w:t>
      </w:r>
      <w:r w:rsidR="00BA4C5B">
        <w:rPr>
          <w:lang w:eastAsia="ja-JP"/>
        </w:rPr>
        <w:t xml:space="preserve"> </w:t>
      </w:r>
      <w:r w:rsidRPr="000526AB">
        <w:rPr>
          <w:lang w:eastAsia="ja-JP"/>
        </w:rPr>
        <w:t xml:space="preserve">24 (FAS/LOCF) in the NEI VFQ-25 near activities subscore was 6.8 points in the VTE2Q4 group (n=96) and -1.8 points in the sham group (n=65), adjusted mean difference = 8.6 points (95% CI: 4.0, </w:t>
      </w:r>
      <w:r w:rsidR="00A723E5">
        <w:rPr>
          <w:lang w:eastAsia="ja-JP"/>
        </w:rPr>
        <w:t>13.2), p=0.0003 (nominal).</w:t>
      </w:r>
    </w:p>
    <w:p w:rsidR="000526AB" w:rsidRPr="000526AB" w:rsidRDefault="000526AB" w:rsidP="00A723E5">
      <w:pPr>
        <w:rPr>
          <w:lang w:eastAsia="ja-JP"/>
        </w:rPr>
      </w:pPr>
      <w:r w:rsidRPr="000526AB">
        <w:rPr>
          <w:lang w:eastAsia="ja-JP"/>
        </w:rPr>
        <w:t xml:space="preserve">The LS mean change from baseline to </w:t>
      </w:r>
      <w:r w:rsidR="00BA4C5B">
        <w:rPr>
          <w:lang w:eastAsia="ja-JP"/>
        </w:rPr>
        <w:t>W</w:t>
      </w:r>
      <w:r w:rsidRPr="000526AB">
        <w:rPr>
          <w:lang w:eastAsia="ja-JP"/>
        </w:rPr>
        <w:t>eek</w:t>
      </w:r>
      <w:r w:rsidR="00BA4C5B">
        <w:rPr>
          <w:lang w:eastAsia="ja-JP"/>
        </w:rPr>
        <w:t xml:space="preserve"> </w:t>
      </w:r>
      <w:r w:rsidRPr="000526AB">
        <w:rPr>
          <w:lang w:eastAsia="ja-JP"/>
        </w:rPr>
        <w:t>24 (FAS/LOCF) in the NEI VFQ-25 distance activities subscore was 2.7 points in the VTE2Q4 group (n=96) and -0.7 in the sham group (n=65) adjusted mean difference = 3.5 points (95% CI: -0.</w:t>
      </w:r>
      <w:r w:rsidR="00A723E5">
        <w:rPr>
          <w:lang w:eastAsia="ja-JP"/>
        </w:rPr>
        <w:t>3, 7.2), p=0.0689 (nominal).</w:t>
      </w:r>
    </w:p>
    <w:p w:rsidR="000526AB" w:rsidRPr="000526AB" w:rsidRDefault="000526AB" w:rsidP="00A723E5">
      <w:pPr>
        <w:rPr>
          <w:lang w:eastAsia="ja-JP"/>
        </w:rPr>
      </w:pPr>
      <w:r w:rsidRPr="000526AB">
        <w:rPr>
          <w:lang w:eastAsia="ja-JP"/>
        </w:rPr>
        <w:t xml:space="preserve">The LS mean change from baseline to </w:t>
      </w:r>
      <w:r w:rsidR="00BA4C5B">
        <w:rPr>
          <w:lang w:eastAsia="ja-JP"/>
        </w:rPr>
        <w:t>W</w:t>
      </w:r>
      <w:r w:rsidRPr="000526AB">
        <w:rPr>
          <w:lang w:eastAsia="ja-JP"/>
        </w:rPr>
        <w:t>eek</w:t>
      </w:r>
      <w:r w:rsidR="00BA4C5B">
        <w:rPr>
          <w:lang w:eastAsia="ja-JP"/>
        </w:rPr>
        <w:t xml:space="preserve"> </w:t>
      </w:r>
      <w:r w:rsidRPr="000526AB">
        <w:rPr>
          <w:lang w:eastAsia="ja-JP"/>
        </w:rPr>
        <w:t>24 (FAS/LOCF) in the NEI VFQ-25 dependency subscore was 1.5 points in the VTE2Q4 group (n=96) and -0.7 in the sham group (n=65) adjusted mean difference = 2.1 points (95% CI: -1.6, 5.8)</w:t>
      </w:r>
      <w:r w:rsidR="00A723E5">
        <w:rPr>
          <w:lang w:eastAsia="ja-JP"/>
        </w:rPr>
        <w:t>, p=0.2552 (nominal).</w:t>
      </w:r>
    </w:p>
    <w:p w:rsidR="000526AB" w:rsidRPr="000526AB" w:rsidRDefault="000526AB" w:rsidP="00A723E5">
      <w:pPr>
        <w:pStyle w:val="Heading4"/>
      </w:pPr>
      <w:r w:rsidRPr="000526AB">
        <w:t xml:space="preserve">Integrated analysis – </w:t>
      </w:r>
      <w:r w:rsidR="005F0F80">
        <w:t>W</w:t>
      </w:r>
      <w:r w:rsidR="00A723E5">
        <w:t>eek-24</w:t>
      </w:r>
    </w:p>
    <w:p w:rsidR="000526AB" w:rsidRPr="000526AB" w:rsidRDefault="000526AB" w:rsidP="00A723E5">
      <w:pPr>
        <w:rPr>
          <w:lang w:eastAsia="ja-JP"/>
        </w:rPr>
      </w:pPr>
      <w:r w:rsidRPr="000526AB">
        <w:rPr>
          <w:lang w:eastAsia="ja-JP"/>
        </w:rPr>
        <w:t xml:space="preserve">The submission included a non-confirmatory, </w:t>
      </w:r>
      <w:r w:rsidRPr="005F0F80">
        <w:rPr>
          <w:lang w:eastAsia="ja-JP"/>
        </w:rPr>
        <w:t xml:space="preserve">post-hoc, </w:t>
      </w:r>
      <w:r w:rsidRPr="000526AB">
        <w:rPr>
          <w:lang w:eastAsia="ja-JP"/>
        </w:rPr>
        <w:t>24</w:t>
      </w:r>
      <w:r w:rsidR="005F0F80">
        <w:rPr>
          <w:lang w:eastAsia="ja-JP"/>
        </w:rPr>
        <w:t xml:space="preserve"> </w:t>
      </w:r>
      <w:r w:rsidRPr="000526AB">
        <w:rPr>
          <w:lang w:eastAsia="ja-JP"/>
        </w:rPr>
        <w:t xml:space="preserve">week integrated efficacy analysis of the primary, secondary and tertiary efficacy endpoints in the FAS using data from COPERNICUS and GALILEO. Overall, the results for the primary and secondary </w:t>
      </w:r>
      <w:r w:rsidR="005F0F80">
        <w:rPr>
          <w:lang w:eastAsia="ja-JP"/>
        </w:rPr>
        <w:t>W</w:t>
      </w:r>
      <w:r w:rsidRPr="000526AB">
        <w:rPr>
          <w:lang w:eastAsia="ja-JP"/>
        </w:rPr>
        <w:t>eek</w:t>
      </w:r>
      <w:r w:rsidR="005F0F80">
        <w:rPr>
          <w:lang w:eastAsia="ja-JP"/>
        </w:rPr>
        <w:t xml:space="preserve"> </w:t>
      </w:r>
      <w:r w:rsidRPr="000526AB">
        <w:rPr>
          <w:lang w:eastAsia="ja-JP"/>
        </w:rPr>
        <w:t>24 efficacy endpoints in the non-confirmatory integrated efficacy analysis were consistent with the results from the anal</w:t>
      </w:r>
      <w:r w:rsidR="00A723E5">
        <w:rPr>
          <w:lang w:eastAsia="ja-JP"/>
        </w:rPr>
        <w:t>yses in COPERNICUS and GALILEO.</w:t>
      </w:r>
    </w:p>
    <w:p w:rsidR="000526AB" w:rsidRPr="000526AB" w:rsidRDefault="000526AB" w:rsidP="001006D2">
      <w:pPr>
        <w:pStyle w:val="Heading4"/>
      </w:pPr>
      <w:bookmarkStart w:id="90" w:name="_Toc221697281"/>
      <w:r w:rsidRPr="000526AB">
        <w:t xml:space="preserve">Results for tertiary </w:t>
      </w:r>
      <w:r w:rsidRPr="001006D2">
        <w:t>efficacy</w:t>
      </w:r>
      <w:r w:rsidRPr="000526AB">
        <w:t xml:space="preserve"> endpoints at </w:t>
      </w:r>
      <w:r w:rsidR="005F0F80">
        <w:t>W</w:t>
      </w:r>
      <w:r w:rsidRPr="000526AB">
        <w:t>eek-52</w:t>
      </w:r>
      <w:bookmarkEnd w:id="90"/>
    </w:p>
    <w:p w:rsidR="000526AB" w:rsidRPr="000526AB" w:rsidRDefault="000526AB" w:rsidP="00A723E5">
      <w:pPr>
        <w:rPr>
          <w:lang w:eastAsia="ja-JP"/>
        </w:rPr>
      </w:pPr>
      <w:r w:rsidRPr="000526AB">
        <w:rPr>
          <w:lang w:eastAsia="ja-JP"/>
        </w:rPr>
        <w:t>Overall there were 3 tertiary efficacy endpoints in both studies comparing the proportion of subjects who gained 15 or more letters in the ETDRs letter score at 52 weeks in the two treatment groups, and 8 (COPERNICUS) and 9 (GALILEO) tertiary efficacy endpoints comparing a range of other efficacy endpoints between the two treatment groups. Nominal statistical significance favouring greater efficacy in the VTE2Q4+PRN group than in the sham group was observed in 8 of 11 endpoints in GALILEO, while in COPERNICUS nominal statistical significance favouring greater efficacy in the VTE2Q4+PRN group than in the sham+VTE PRN group was</w:t>
      </w:r>
      <w:r w:rsidR="00A723E5">
        <w:rPr>
          <w:lang w:eastAsia="ja-JP"/>
        </w:rPr>
        <w:t xml:space="preserve"> observed in 5 of 10 endpoints.</w:t>
      </w:r>
    </w:p>
    <w:p w:rsidR="000526AB" w:rsidRPr="000526AB" w:rsidRDefault="000526AB" w:rsidP="00A723E5">
      <w:pPr>
        <w:pStyle w:val="Heading5"/>
        <w:rPr>
          <w:lang w:eastAsia="ja-JP"/>
        </w:rPr>
      </w:pPr>
      <w:bookmarkStart w:id="91" w:name="_Toc221697282"/>
      <w:r w:rsidRPr="000526AB">
        <w:rPr>
          <w:lang w:eastAsia="ja-JP"/>
        </w:rPr>
        <w:t>Results for tertiary (exploratory) efficacy endpoints at weeks 76 and 100</w:t>
      </w:r>
      <w:bookmarkEnd w:id="91"/>
    </w:p>
    <w:p w:rsidR="000526AB" w:rsidRPr="000526AB" w:rsidRDefault="000526AB" w:rsidP="00A723E5">
      <w:pPr>
        <w:rPr>
          <w:lang w:eastAsia="ja-JP"/>
        </w:rPr>
      </w:pPr>
      <w:r w:rsidRPr="000526AB">
        <w:rPr>
          <w:lang w:eastAsia="ja-JP"/>
        </w:rPr>
        <w:t xml:space="preserve">The nominal p-value was &lt; 5% in favour of VTE2Q4+PRN for 2 of the 6 </w:t>
      </w:r>
      <w:r w:rsidR="005F0F80" w:rsidRPr="000526AB">
        <w:rPr>
          <w:lang w:eastAsia="ja-JP"/>
        </w:rPr>
        <w:t>tertiary efficacy endpoint analyses at</w:t>
      </w:r>
      <w:r w:rsidR="005F0F80">
        <w:rPr>
          <w:lang w:eastAsia="ja-JP"/>
        </w:rPr>
        <w:t xml:space="preserve"> Week 1</w:t>
      </w:r>
      <w:r w:rsidR="005F0F80" w:rsidRPr="000526AB">
        <w:rPr>
          <w:lang w:eastAsia="ja-JP"/>
        </w:rPr>
        <w:t>00 (COPERNICUS)</w:t>
      </w:r>
      <w:r w:rsidRPr="000526AB">
        <w:rPr>
          <w:lang w:eastAsia="ja-JP"/>
        </w:rPr>
        <w:t>. The nominal p-value was &lt; 5% in favour of VTE2Q4+PRN for 4 of the 9</w:t>
      </w:r>
      <w:r w:rsidR="005F0F80">
        <w:rPr>
          <w:lang w:eastAsia="ja-JP"/>
        </w:rPr>
        <w:t xml:space="preserve"> tertiary efficacy endpoints</w:t>
      </w:r>
      <w:r w:rsidR="005F0F80" w:rsidRPr="000526AB">
        <w:rPr>
          <w:lang w:eastAsia="ja-JP"/>
        </w:rPr>
        <w:t xml:space="preserve"> at</w:t>
      </w:r>
      <w:r w:rsidR="005F0F80">
        <w:rPr>
          <w:lang w:eastAsia="ja-JP"/>
        </w:rPr>
        <w:t xml:space="preserve"> Week 7</w:t>
      </w:r>
      <w:r w:rsidR="005F0F80" w:rsidRPr="000526AB">
        <w:rPr>
          <w:lang w:eastAsia="ja-JP"/>
        </w:rPr>
        <w:t>6 (GALILEO)</w:t>
      </w:r>
      <w:r w:rsidRPr="000526AB">
        <w:rPr>
          <w:lang w:eastAsia="ja-JP"/>
        </w:rPr>
        <w:t>. The mean changes from baseline in BCVA by visit through to</w:t>
      </w:r>
      <w:r w:rsidR="00300BDB">
        <w:rPr>
          <w:lang w:eastAsia="ja-JP"/>
        </w:rPr>
        <w:t xml:space="preserve"> Week 7</w:t>
      </w:r>
      <w:r w:rsidRPr="000526AB">
        <w:rPr>
          <w:lang w:eastAsia="ja-JP"/>
        </w:rPr>
        <w:t>6 (GALILEO) and</w:t>
      </w:r>
      <w:r w:rsidR="00300BDB">
        <w:rPr>
          <w:lang w:eastAsia="ja-JP"/>
        </w:rPr>
        <w:t xml:space="preserve"> Week 1</w:t>
      </w:r>
      <w:r w:rsidRPr="000526AB">
        <w:rPr>
          <w:lang w:eastAsia="ja-JP"/>
        </w:rPr>
        <w:t xml:space="preserve">00 (COPERNICUS) in the FAS (LOCF) </w:t>
      </w:r>
      <w:r w:rsidR="005F0F80">
        <w:rPr>
          <w:lang w:eastAsia="ja-JP"/>
        </w:rPr>
        <w:t>were provided</w:t>
      </w:r>
      <w:r w:rsidR="00A723E5">
        <w:rPr>
          <w:lang w:eastAsia="ja-JP"/>
        </w:rPr>
        <w:t>.</w:t>
      </w:r>
    </w:p>
    <w:p w:rsidR="000526AB" w:rsidRPr="000526AB" w:rsidRDefault="000526AB" w:rsidP="00A723E5">
      <w:pPr>
        <w:pStyle w:val="Heading4"/>
      </w:pPr>
      <w:bookmarkStart w:id="92" w:name="_Toc221697283"/>
      <w:r w:rsidRPr="000526AB">
        <w:t>Sponsor’s justification for proposed dosing regimen – integrated analysis</w:t>
      </w:r>
      <w:bookmarkEnd w:id="92"/>
    </w:p>
    <w:p w:rsidR="000526AB" w:rsidRPr="000526AB" w:rsidRDefault="000526AB" w:rsidP="001006D2">
      <w:pPr>
        <w:pStyle w:val="Heading5"/>
        <w:rPr>
          <w:lang w:eastAsia="ja-JP"/>
        </w:rPr>
      </w:pPr>
      <w:bookmarkStart w:id="93" w:name="_Toc221435411"/>
      <w:bookmarkStart w:id="94" w:name="_Toc221697284"/>
      <w:r w:rsidRPr="000526AB">
        <w:rPr>
          <w:lang w:eastAsia="ja-JP"/>
        </w:rPr>
        <w:t>Overview of the integrated analysis</w:t>
      </w:r>
      <w:bookmarkEnd w:id="93"/>
      <w:bookmarkEnd w:id="94"/>
    </w:p>
    <w:p w:rsidR="000526AB" w:rsidRPr="000526AB" w:rsidRDefault="00EC0261" w:rsidP="00A723E5">
      <w:pPr>
        <w:rPr>
          <w:lang w:eastAsia="ja-JP"/>
        </w:rPr>
      </w:pPr>
      <w:r>
        <w:rPr>
          <w:lang w:eastAsia="ja-JP"/>
        </w:rPr>
        <w:t>[information redacted]</w:t>
      </w:r>
      <w:r w:rsidR="00296501">
        <w:rPr>
          <w:lang w:eastAsia="ja-JP"/>
        </w:rPr>
        <w:t xml:space="preserve">The </w:t>
      </w:r>
      <w:r w:rsidR="000526AB" w:rsidRPr="000526AB">
        <w:rPr>
          <w:lang w:eastAsia="ja-JP"/>
        </w:rPr>
        <w:t>sponsor provided a “Justification for the Recommended Posology” based on an integrated analysis of the</w:t>
      </w:r>
      <w:r w:rsidR="00300BDB">
        <w:rPr>
          <w:lang w:eastAsia="ja-JP"/>
        </w:rPr>
        <w:t xml:space="preserve"> Week 5</w:t>
      </w:r>
      <w:r w:rsidR="000526AB" w:rsidRPr="000526AB">
        <w:rPr>
          <w:lang w:eastAsia="ja-JP"/>
        </w:rPr>
        <w:t xml:space="preserve">2 efficacy and safety data from COPERNICUS and GALILEO in </w:t>
      </w:r>
      <w:r w:rsidR="00A723E5">
        <w:rPr>
          <w:lang w:eastAsia="ja-JP"/>
        </w:rPr>
        <w:t>subjects treated only with VTE.</w:t>
      </w:r>
    </w:p>
    <w:p w:rsidR="000526AB" w:rsidRPr="000526AB" w:rsidRDefault="000526AB" w:rsidP="00A723E5">
      <w:pPr>
        <w:rPr>
          <w:lang w:eastAsia="ja-JP"/>
        </w:rPr>
      </w:pPr>
      <w:r w:rsidRPr="000526AB">
        <w:rPr>
          <w:lang w:eastAsia="ja-JP"/>
        </w:rPr>
        <w:lastRenderedPageBreak/>
        <w:t>All subjects in COPERNICUS were eligible to receive either VTE PRN or sham injections from</w:t>
      </w:r>
      <w:r w:rsidR="00300BDB">
        <w:rPr>
          <w:lang w:eastAsia="ja-JP"/>
        </w:rPr>
        <w:t xml:space="preserve"> Week 2</w:t>
      </w:r>
      <w:r w:rsidRPr="000526AB">
        <w:rPr>
          <w:lang w:eastAsia="ja-JP"/>
        </w:rPr>
        <w:t>4 through to</w:t>
      </w:r>
      <w:r w:rsidR="00300BDB">
        <w:rPr>
          <w:lang w:eastAsia="ja-JP"/>
        </w:rPr>
        <w:t xml:space="preserve"> Week 5</w:t>
      </w:r>
      <w:r w:rsidRPr="000526AB">
        <w:rPr>
          <w:lang w:eastAsia="ja-JP"/>
        </w:rPr>
        <w:t xml:space="preserve">2 in accordance with protocol-defined </w:t>
      </w:r>
      <w:r w:rsidR="00427821">
        <w:rPr>
          <w:lang w:eastAsia="ja-JP"/>
        </w:rPr>
        <w:t xml:space="preserve">re </w:t>
      </w:r>
      <w:r w:rsidR="00C84038">
        <w:rPr>
          <w:lang w:eastAsia="ja-JP"/>
        </w:rPr>
        <w:t>treatment</w:t>
      </w:r>
      <w:r w:rsidRPr="000526AB">
        <w:rPr>
          <w:lang w:eastAsia="ja-JP"/>
        </w:rPr>
        <w:t xml:space="preserve"> criteria. In GALILEO, only subjects who had been </w:t>
      </w:r>
      <w:r w:rsidR="00300BDB">
        <w:rPr>
          <w:lang w:eastAsia="ja-JP"/>
        </w:rPr>
        <w:t>randomised</w:t>
      </w:r>
      <w:r w:rsidRPr="000526AB">
        <w:rPr>
          <w:lang w:eastAsia="ja-JP"/>
        </w:rPr>
        <w:t xml:space="preserve"> to VTE2Q4 were eligible to receive VTE or sham injections from</w:t>
      </w:r>
      <w:r w:rsidR="00300BDB">
        <w:rPr>
          <w:lang w:eastAsia="ja-JP"/>
        </w:rPr>
        <w:t xml:space="preserve"> Week 2</w:t>
      </w:r>
      <w:r w:rsidRPr="000526AB">
        <w:rPr>
          <w:lang w:eastAsia="ja-JP"/>
        </w:rPr>
        <w:t>4 through to</w:t>
      </w:r>
      <w:r w:rsidR="00300BDB">
        <w:rPr>
          <w:lang w:eastAsia="ja-JP"/>
        </w:rPr>
        <w:t xml:space="preserve"> Week 5</w:t>
      </w:r>
      <w:r w:rsidRPr="000526AB">
        <w:rPr>
          <w:lang w:eastAsia="ja-JP"/>
        </w:rPr>
        <w:t xml:space="preserve">2, with subjects who had been </w:t>
      </w:r>
      <w:r w:rsidR="00300BDB">
        <w:rPr>
          <w:lang w:eastAsia="ja-JP"/>
        </w:rPr>
        <w:t>randomised</w:t>
      </w:r>
      <w:r w:rsidRPr="000526AB">
        <w:rPr>
          <w:lang w:eastAsia="ja-JP"/>
        </w:rPr>
        <w:t xml:space="preserve"> to sham being required to continue with sham every 4 weeks from</w:t>
      </w:r>
      <w:r w:rsidR="00300BDB">
        <w:rPr>
          <w:lang w:eastAsia="ja-JP"/>
        </w:rPr>
        <w:t xml:space="preserve"> Week 2</w:t>
      </w:r>
      <w:r w:rsidRPr="000526AB">
        <w:rPr>
          <w:lang w:eastAsia="ja-JP"/>
        </w:rPr>
        <w:t>4 through to</w:t>
      </w:r>
      <w:r w:rsidR="00300BDB">
        <w:rPr>
          <w:lang w:eastAsia="ja-JP"/>
        </w:rPr>
        <w:t xml:space="preserve"> Week 5</w:t>
      </w:r>
      <w:r w:rsidRPr="000526AB">
        <w:rPr>
          <w:lang w:eastAsia="ja-JP"/>
        </w:rPr>
        <w:t>2. Overall, 207 subjects who had been treated with VTE2Q4 completed</w:t>
      </w:r>
      <w:r w:rsidR="00300BDB">
        <w:rPr>
          <w:lang w:eastAsia="ja-JP"/>
        </w:rPr>
        <w:t xml:space="preserve"> Week 2</w:t>
      </w:r>
      <w:r w:rsidRPr="000526AB">
        <w:rPr>
          <w:lang w:eastAsia="ja-JP"/>
        </w:rPr>
        <w:t>4 of COPERNICUS/GALILEO and were eligible to enter the</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PRN treatment period. In the</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treatment period, the first VTE PRN injection could have been given at</w:t>
      </w:r>
      <w:r w:rsidR="00300BDB">
        <w:rPr>
          <w:lang w:eastAsia="ja-JP"/>
        </w:rPr>
        <w:t xml:space="preserve"> Week 2</w:t>
      </w:r>
      <w:r w:rsidRPr="000526AB">
        <w:rPr>
          <w:lang w:eastAsia="ja-JP"/>
        </w:rPr>
        <w:t xml:space="preserve">4 and the last at </w:t>
      </w:r>
      <w:r w:rsidR="005F0F80">
        <w:rPr>
          <w:lang w:eastAsia="ja-JP"/>
        </w:rPr>
        <w:t>W</w:t>
      </w:r>
      <w:r w:rsidRPr="000526AB">
        <w:rPr>
          <w:lang w:eastAsia="ja-JP"/>
        </w:rPr>
        <w:t>eek 48. Therefore, a maximum of 7 and a minimum of 0 injections could have been given in the PRN phase. The mean number of injections administered to the 207 subjects who entered the PRN phase was 2.6 (SD = 1.7), with a median of 3.0 injections and a r</w:t>
      </w:r>
      <w:r w:rsidR="00A723E5">
        <w:rPr>
          <w:lang w:eastAsia="ja-JP"/>
        </w:rPr>
        <w:t>ange of from 0 to 7 injections.</w:t>
      </w:r>
    </w:p>
    <w:p w:rsidR="000526AB" w:rsidRPr="000526AB" w:rsidRDefault="001962A6" w:rsidP="00A723E5">
      <w:pPr>
        <w:rPr>
          <w:lang w:eastAsia="ja-JP"/>
        </w:rPr>
      </w:pPr>
      <w:r>
        <w:rPr>
          <w:lang w:eastAsia="ja-JP"/>
        </w:rPr>
        <w:t>[information redacted]</w:t>
      </w:r>
    </w:p>
    <w:p w:rsidR="000526AB" w:rsidRPr="000526AB" w:rsidRDefault="000526AB" w:rsidP="00A723E5">
      <w:pPr>
        <w:rPr>
          <w:lang w:eastAsia="ja-JP"/>
        </w:rPr>
      </w:pPr>
      <w:r w:rsidRPr="000526AB">
        <w:rPr>
          <w:lang w:eastAsia="ja-JP"/>
        </w:rPr>
        <w:t xml:space="preserve">In the justification analysis, the 198 subjects initially </w:t>
      </w:r>
      <w:r w:rsidR="00300BDB">
        <w:rPr>
          <w:lang w:eastAsia="ja-JP"/>
        </w:rPr>
        <w:t>randomised</w:t>
      </w:r>
      <w:r w:rsidRPr="000526AB">
        <w:rPr>
          <w:lang w:eastAsia="ja-JP"/>
        </w:rPr>
        <w:t xml:space="preserve"> to VTE who completed the full 52 weeks of the study were divided into three sub-groups depending on the number of VTE injections received fpm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w:t>
      </w:r>
      <w:r w:rsidR="005F0F80">
        <w:rPr>
          <w:lang w:eastAsia="ja-JP"/>
        </w:rPr>
        <w:t>≤</w:t>
      </w:r>
      <w:r w:rsidRPr="000526AB">
        <w:rPr>
          <w:lang w:eastAsia="ja-JP"/>
        </w:rPr>
        <w:t xml:space="preserve"> 3 injections, 2 to 3 injections, </w:t>
      </w:r>
      <w:r w:rsidR="005F0F80">
        <w:rPr>
          <w:lang w:eastAsia="ja-JP"/>
        </w:rPr>
        <w:t>≥</w:t>
      </w:r>
      <w:r w:rsidRPr="000526AB">
        <w:rPr>
          <w:lang w:eastAsia="ja-JP"/>
        </w:rPr>
        <w:t xml:space="preserve"> 4 injections). In the proposed regimen, following the injection at</w:t>
      </w:r>
      <w:r w:rsidR="00300BDB">
        <w:rPr>
          <w:lang w:eastAsia="ja-JP"/>
        </w:rPr>
        <w:t xml:space="preserve"> Week 2</w:t>
      </w:r>
      <w:r w:rsidRPr="000526AB">
        <w:rPr>
          <w:lang w:eastAsia="ja-JP"/>
        </w:rPr>
        <w:t>0 injections would be given at 8 week intervals resulting in 3 injections being given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w:t>
      </w:r>
      <w:r w:rsidR="005F0F80">
        <w:rPr>
          <w:lang w:eastAsia="ja-JP"/>
        </w:rPr>
        <w:t xml:space="preserve">that is, </w:t>
      </w:r>
      <w:r w:rsidRPr="000526AB">
        <w:rPr>
          <w:lang w:eastAsia="ja-JP"/>
        </w:rPr>
        <w:t xml:space="preserve">injections at </w:t>
      </w:r>
      <w:r w:rsidR="005F0F80">
        <w:rPr>
          <w:lang w:eastAsia="ja-JP"/>
        </w:rPr>
        <w:t>W</w:t>
      </w:r>
      <w:r w:rsidRPr="000526AB">
        <w:rPr>
          <w:lang w:eastAsia="ja-JP"/>
        </w:rPr>
        <w:t>eeks 28, 36 and 44 with assessment at</w:t>
      </w:r>
      <w:r w:rsidR="00300BDB">
        <w:rPr>
          <w:lang w:eastAsia="ja-JP"/>
        </w:rPr>
        <w:t xml:space="preserve"> Week 5</w:t>
      </w:r>
      <w:r w:rsidRPr="000526AB">
        <w:rPr>
          <w:lang w:eastAsia="ja-JP"/>
        </w:rPr>
        <w:t xml:space="preserve">2). Therefore, a comparison of the visual acuity outcomes in the sub-group of subjects receiving </w:t>
      </w:r>
      <w:r w:rsidR="005F0F80">
        <w:rPr>
          <w:lang w:eastAsia="ja-JP"/>
        </w:rPr>
        <w:t>≤</w:t>
      </w:r>
      <w:r w:rsidRPr="000526AB">
        <w:rPr>
          <w:lang w:eastAsia="ja-JP"/>
        </w:rPr>
        <w:t xml:space="preserve"> 3 active injections with those receiving </w:t>
      </w:r>
      <w:r w:rsidR="005F0F80">
        <w:rPr>
          <w:lang w:eastAsia="ja-JP"/>
        </w:rPr>
        <w:t>≥</w:t>
      </w:r>
      <w:r w:rsidRPr="000526AB">
        <w:rPr>
          <w:lang w:eastAsia="ja-JP"/>
        </w:rPr>
        <w:t xml:space="preserve"> 4 active injections was expected to provide an indication of differences in outcomes achieved with less-frequent dosing (similar to every 8 weeks) compared with more frequent dosing (similar to every 4 weeks). However, to more closely match and evaluate a potential VTE2Q8 regimen, an additional dosing sub-group of subjects receiving 2 to 3 injections was included. In this sub-group, the mean number of active injections was 2.5 (as opposed to a mean of 1.8 injections in the subjects receiving </w:t>
      </w:r>
      <w:r w:rsidR="005F0F80">
        <w:rPr>
          <w:lang w:eastAsia="ja-JP"/>
        </w:rPr>
        <w:t>≤</w:t>
      </w:r>
      <w:r w:rsidRPr="000526AB">
        <w:rPr>
          <w:lang w:eastAsia="ja-JP"/>
        </w:rPr>
        <w:t xml:space="preserve"> 3 active injections), which is closer to the expected 3 injections that would be administered under a VTE2Q8 regimen. Overall, the baseline demographic characteristics were generally similar for the three, non-</w:t>
      </w:r>
      <w:r w:rsidR="00300BDB">
        <w:rPr>
          <w:lang w:eastAsia="ja-JP"/>
        </w:rPr>
        <w:t>randomised</w:t>
      </w:r>
      <w:r w:rsidRPr="000526AB">
        <w:rPr>
          <w:lang w:eastAsia="ja-JP"/>
        </w:rPr>
        <w:t xml:space="preserve"> </w:t>
      </w:r>
      <w:r w:rsidRPr="005F0F80">
        <w:rPr>
          <w:lang w:eastAsia="ja-JP"/>
        </w:rPr>
        <w:t xml:space="preserve">post-hoc </w:t>
      </w:r>
      <w:r w:rsidRPr="000526AB">
        <w:rPr>
          <w:lang w:eastAsia="ja-JP"/>
        </w:rPr>
        <w:t>sub-groups. The mean number of injections in the sub-groups from COPERNICUS/GALILEO</w:t>
      </w:r>
      <w:r w:rsidR="005F0F80">
        <w:rPr>
          <w:lang w:eastAsia="ja-JP"/>
        </w:rPr>
        <w:t xml:space="preserve"> are </w:t>
      </w:r>
      <w:r w:rsidR="00301349">
        <w:rPr>
          <w:lang w:eastAsia="ja-JP"/>
        </w:rPr>
        <w:t>summarised</w:t>
      </w:r>
      <w:r w:rsidR="005F0F80">
        <w:rPr>
          <w:lang w:eastAsia="ja-JP"/>
        </w:rPr>
        <w:t xml:space="preserve"> below in Table 8</w:t>
      </w:r>
      <w:r w:rsidR="00A723E5">
        <w:rPr>
          <w:lang w:eastAsia="ja-JP"/>
        </w:rPr>
        <w:t>.</w:t>
      </w:r>
    </w:p>
    <w:p w:rsidR="000526AB" w:rsidRPr="000526AB" w:rsidRDefault="000526AB" w:rsidP="00A723E5">
      <w:pPr>
        <w:pStyle w:val="TableTitle"/>
        <w:rPr>
          <w:lang w:eastAsia="ja-JP"/>
        </w:rPr>
      </w:pPr>
      <w:bookmarkStart w:id="95" w:name="_Toc221767061"/>
      <w:r w:rsidRPr="000526AB">
        <w:rPr>
          <w:lang w:eastAsia="ja-JP"/>
        </w:rPr>
        <w:t>Table</w:t>
      </w:r>
      <w:r w:rsidR="005F0F80">
        <w:rPr>
          <w:lang w:eastAsia="ja-JP"/>
        </w:rPr>
        <w:t xml:space="preserve"> 8</w:t>
      </w:r>
      <w:r w:rsidRPr="000526AB">
        <w:rPr>
          <w:lang w:eastAsia="ja-JP"/>
        </w:rPr>
        <w:t>: COPERNICUS/GALILEO – Number of active injections in PRN phase by dosing group; subjects completing</w:t>
      </w:r>
      <w:r w:rsidR="00300BDB">
        <w:rPr>
          <w:lang w:eastAsia="ja-JP"/>
        </w:rPr>
        <w:t xml:space="preserve"> Week 5</w:t>
      </w:r>
      <w:r w:rsidRPr="000526AB">
        <w:rPr>
          <w:lang w:eastAsia="ja-JP"/>
        </w:rPr>
        <w:t>2 (n=198).</w:t>
      </w:r>
      <w:bookmarkEnd w:id="95"/>
    </w:p>
    <w:p w:rsidR="000526AB" w:rsidRPr="000526AB" w:rsidRDefault="000526AB" w:rsidP="00A723E5">
      <w:pPr>
        <w:rPr>
          <w:lang w:eastAsia="ja-JP"/>
        </w:rPr>
      </w:pPr>
      <w:r w:rsidRPr="000526AB">
        <w:rPr>
          <w:noProof/>
          <w:lang w:eastAsia="en-AU"/>
        </w:rPr>
        <w:drawing>
          <wp:inline distT="0" distB="0" distL="0" distR="0" wp14:anchorId="7E960E49" wp14:editId="5DAF09B8">
            <wp:extent cx="5693410" cy="1292225"/>
            <wp:effectExtent l="19050" t="0" r="2540" b="0"/>
            <wp:docPr id="23" name="Picture 4" descr="Table 8: COPERNICUS/GALILEO – Number of active injections in PRN phase by dosing group; subjects completing Week 52 (n=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693410" cy="1292225"/>
                    </a:xfrm>
                    <a:prstGeom prst="rect">
                      <a:avLst/>
                    </a:prstGeom>
                    <a:noFill/>
                    <a:ln w="9525">
                      <a:noFill/>
                      <a:miter lim="800000"/>
                      <a:headEnd/>
                      <a:tailEnd/>
                    </a:ln>
                  </pic:spPr>
                </pic:pic>
              </a:graphicData>
            </a:graphic>
          </wp:inline>
        </w:drawing>
      </w:r>
    </w:p>
    <w:p w:rsidR="000526AB" w:rsidRPr="000526AB" w:rsidRDefault="000526AB" w:rsidP="001006D2">
      <w:pPr>
        <w:pStyle w:val="Heading4"/>
      </w:pPr>
      <w:r w:rsidRPr="000526AB">
        <w:t>Results of the integrated analysis</w:t>
      </w:r>
      <w:r w:rsidR="00300BDB">
        <w:t xml:space="preserve"> Week 2</w:t>
      </w:r>
      <w:r w:rsidRPr="000526AB">
        <w:t>4 to</w:t>
      </w:r>
      <w:r w:rsidR="00300BDB">
        <w:t xml:space="preserve"> Week 5</w:t>
      </w:r>
      <w:r w:rsidR="00A723E5">
        <w:t>2 PRN period,</w:t>
      </w:r>
    </w:p>
    <w:p w:rsidR="000526AB" w:rsidRPr="000526AB" w:rsidRDefault="000526AB" w:rsidP="001006D2">
      <w:pPr>
        <w:pStyle w:val="Heading5"/>
        <w:rPr>
          <w:lang w:eastAsia="ja-JP"/>
        </w:rPr>
      </w:pPr>
      <w:r w:rsidRPr="000526AB">
        <w:rPr>
          <w:lang w:eastAsia="ja-JP"/>
        </w:rPr>
        <w:t>Visual acuit</w:t>
      </w:r>
      <w:r w:rsidR="00A723E5">
        <w:rPr>
          <w:lang w:eastAsia="ja-JP"/>
        </w:rPr>
        <w:t>y outcomes – BCVA letter scores</w:t>
      </w:r>
    </w:p>
    <w:p w:rsidR="000526AB" w:rsidRPr="000526AB" w:rsidRDefault="000526AB" w:rsidP="00A723E5">
      <w:pPr>
        <w:rPr>
          <w:lang w:eastAsia="ja-JP"/>
        </w:rPr>
      </w:pPr>
      <w:r w:rsidRPr="000526AB">
        <w:rPr>
          <w:lang w:eastAsia="ja-JP"/>
        </w:rPr>
        <w:t xml:space="preserve">The BCVA letter scores for the three sub-groups are </w:t>
      </w:r>
      <w:r w:rsidR="00301349">
        <w:rPr>
          <w:lang w:eastAsia="ja-JP"/>
        </w:rPr>
        <w:t>summarised</w:t>
      </w:r>
      <w:r w:rsidRPr="000526AB">
        <w:rPr>
          <w:lang w:eastAsia="ja-JP"/>
        </w:rPr>
        <w:t xml:space="preserve"> below in Table </w:t>
      </w:r>
      <w:r w:rsidR="005F0F80">
        <w:rPr>
          <w:lang w:eastAsia="ja-JP"/>
        </w:rPr>
        <w:t>9</w:t>
      </w:r>
      <w:r w:rsidRPr="000526AB">
        <w:rPr>
          <w:lang w:eastAsia="ja-JP"/>
        </w:rPr>
        <w:t xml:space="preserve"> and mean changes in visual letter score from baseline over time for the three sub-groups are summari</w:t>
      </w:r>
      <w:r w:rsidR="005F0F80">
        <w:rPr>
          <w:lang w:eastAsia="ja-JP"/>
        </w:rPr>
        <w:t>s</w:t>
      </w:r>
      <w:r w:rsidRPr="000526AB">
        <w:rPr>
          <w:lang w:eastAsia="ja-JP"/>
        </w:rPr>
        <w:t>ed below in Figure 3.</w:t>
      </w:r>
    </w:p>
    <w:p w:rsidR="000526AB" w:rsidRPr="000526AB" w:rsidRDefault="000526AB" w:rsidP="00A723E5">
      <w:pPr>
        <w:pStyle w:val="TableTitle"/>
        <w:rPr>
          <w:lang w:eastAsia="ja-JP"/>
        </w:rPr>
      </w:pPr>
      <w:bookmarkStart w:id="96" w:name="_Toc221767062"/>
      <w:r w:rsidRPr="000526AB">
        <w:rPr>
          <w:lang w:eastAsia="ja-JP"/>
        </w:rPr>
        <w:lastRenderedPageBreak/>
        <w:t>Table</w:t>
      </w:r>
      <w:r w:rsidR="005F0F80">
        <w:rPr>
          <w:lang w:eastAsia="ja-JP"/>
        </w:rPr>
        <w:t xml:space="preserve"> 9</w:t>
      </w:r>
      <w:r w:rsidRPr="000526AB">
        <w:rPr>
          <w:lang w:eastAsia="ja-JP"/>
        </w:rPr>
        <w:t>: Integrated analysis – BCVA letter scores; FAS/LOCF for subjects who completed</w:t>
      </w:r>
      <w:r w:rsidR="00300BDB">
        <w:rPr>
          <w:lang w:eastAsia="ja-JP"/>
        </w:rPr>
        <w:t xml:space="preserve"> Week 5</w:t>
      </w:r>
      <w:r w:rsidRPr="000526AB">
        <w:rPr>
          <w:lang w:eastAsia="ja-JP"/>
        </w:rPr>
        <w:t>2 (n=198).</w:t>
      </w:r>
      <w:bookmarkEnd w:id="96"/>
    </w:p>
    <w:p w:rsidR="000526AB" w:rsidRPr="000526AB" w:rsidRDefault="000526AB" w:rsidP="00A723E5">
      <w:pPr>
        <w:rPr>
          <w:lang w:eastAsia="ja-JP"/>
        </w:rPr>
      </w:pPr>
      <w:r w:rsidRPr="000526AB">
        <w:rPr>
          <w:noProof/>
          <w:lang w:eastAsia="en-AU"/>
        </w:rPr>
        <w:drawing>
          <wp:inline distT="0" distB="0" distL="0" distR="0" wp14:anchorId="1F14B3C8" wp14:editId="7841D49F">
            <wp:extent cx="5151606" cy="1041400"/>
            <wp:effectExtent l="19050" t="0" r="0" b="0"/>
            <wp:docPr id="24" name="Picture 5" descr="Table 9: Integrated analysis – BCVA letter scores; FAS/LOCF for subjects who completed Week 52 (n=1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151606" cy="1041400"/>
                    </a:xfrm>
                    <a:prstGeom prst="rect">
                      <a:avLst/>
                    </a:prstGeom>
                    <a:noFill/>
                    <a:ln w="9525">
                      <a:noFill/>
                      <a:miter lim="800000"/>
                      <a:headEnd/>
                      <a:tailEnd/>
                    </a:ln>
                  </pic:spPr>
                </pic:pic>
              </a:graphicData>
            </a:graphic>
          </wp:inline>
        </w:drawing>
      </w:r>
    </w:p>
    <w:p w:rsidR="000526AB" w:rsidRPr="000526AB" w:rsidRDefault="000526AB" w:rsidP="00A723E5">
      <w:pPr>
        <w:pStyle w:val="FigureTitle"/>
        <w:rPr>
          <w:lang w:eastAsia="ja-JP"/>
        </w:rPr>
      </w:pPr>
      <w:bookmarkStart w:id="97" w:name="_Toc221697756"/>
      <w:r w:rsidRPr="000526AB">
        <w:rPr>
          <w:lang w:eastAsia="ja-JP"/>
        </w:rPr>
        <w:t xml:space="preserve">Figure </w:t>
      </w:r>
      <w:r w:rsidR="00084ED5" w:rsidRPr="000526AB">
        <w:rPr>
          <w:lang w:eastAsia="ja-JP"/>
        </w:rPr>
        <w:fldChar w:fldCharType="begin"/>
      </w:r>
      <w:r w:rsidRPr="000526AB">
        <w:rPr>
          <w:lang w:eastAsia="ja-JP"/>
        </w:rPr>
        <w:instrText xml:space="preserve"> SEQ Figure \* ARABIC </w:instrText>
      </w:r>
      <w:r w:rsidR="00084ED5" w:rsidRPr="000526AB">
        <w:rPr>
          <w:lang w:eastAsia="ja-JP"/>
        </w:rPr>
        <w:fldChar w:fldCharType="separate"/>
      </w:r>
      <w:r w:rsidR="00B84D36">
        <w:rPr>
          <w:noProof/>
          <w:lang w:eastAsia="ja-JP"/>
        </w:rPr>
        <w:t>3</w:t>
      </w:r>
      <w:r w:rsidR="00084ED5" w:rsidRPr="000526AB">
        <w:rPr>
          <w:lang w:eastAsia="ja-JP"/>
        </w:rPr>
        <w:fldChar w:fldCharType="end"/>
      </w:r>
      <w:r w:rsidRPr="000526AB">
        <w:rPr>
          <w:lang w:eastAsia="ja-JP"/>
        </w:rPr>
        <w:t>: Integrated analysis – Mean changes in BCVA letter score from baseline.</w:t>
      </w:r>
      <w:bookmarkEnd w:id="97"/>
    </w:p>
    <w:p w:rsidR="000526AB" w:rsidRPr="000526AB" w:rsidRDefault="000526AB" w:rsidP="00A723E5">
      <w:pPr>
        <w:rPr>
          <w:lang w:eastAsia="ja-JP"/>
        </w:rPr>
      </w:pPr>
      <w:r w:rsidRPr="000526AB">
        <w:rPr>
          <w:noProof/>
          <w:lang w:eastAsia="en-AU"/>
        </w:rPr>
        <w:drawing>
          <wp:inline distT="0" distB="0" distL="0" distR="0" wp14:anchorId="1086D738" wp14:editId="1FFB31C6">
            <wp:extent cx="3653790" cy="2302510"/>
            <wp:effectExtent l="19050" t="0" r="3810" b="0"/>
            <wp:docPr id="25" name="Picture 6" descr="Figure 3: Integrated analysis – Mean changes in BCVA letter scor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653790" cy="2302510"/>
                    </a:xfrm>
                    <a:prstGeom prst="rect">
                      <a:avLst/>
                    </a:prstGeom>
                    <a:noFill/>
                    <a:ln w="9525">
                      <a:noFill/>
                      <a:miter lim="800000"/>
                      <a:headEnd/>
                      <a:tailEnd/>
                    </a:ln>
                  </pic:spPr>
                </pic:pic>
              </a:graphicData>
            </a:graphic>
          </wp:inline>
        </w:drawing>
      </w:r>
    </w:p>
    <w:p w:rsidR="000526AB" w:rsidRPr="000526AB" w:rsidRDefault="000526AB" w:rsidP="001006D2">
      <w:r w:rsidRPr="005F0F80">
        <w:rPr>
          <w:b/>
        </w:rPr>
        <w:t>Comment:</w:t>
      </w:r>
      <w:r w:rsidRPr="005F0F80">
        <w:t xml:space="preserve"> All three sub-groups showed similar increases in BCVA letter scores from baseline to</w:t>
      </w:r>
      <w:r w:rsidR="00300BDB" w:rsidRPr="005F0F80">
        <w:t xml:space="preserve"> Week 5</w:t>
      </w:r>
      <w:r w:rsidRPr="005F0F80">
        <w:t>2, with the absolute mean letter score decreasing by approximately 1 letter from</w:t>
      </w:r>
      <w:r w:rsidR="00300BDB" w:rsidRPr="005F0F80">
        <w:t xml:space="preserve"> Week 2</w:t>
      </w:r>
      <w:r w:rsidRPr="005F0F80">
        <w:t>4 to</w:t>
      </w:r>
      <w:r w:rsidR="00300BDB" w:rsidRPr="005F0F80">
        <w:t xml:space="preserve"> Week 5</w:t>
      </w:r>
      <w:r w:rsidRPr="005F0F80">
        <w:t>2 in each of the sub-groups. In the three sub-groups, the mean change in BCVA letter scores maximally increased from baseline at about 16 weeks after which mean change from baseline scores remained relatively stable through to</w:t>
      </w:r>
      <w:r w:rsidR="00300BDB" w:rsidRPr="005F0F80">
        <w:t xml:space="preserve"> Week 5</w:t>
      </w:r>
      <w:r w:rsidRPr="005F0F80">
        <w:t xml:space="preserve">2. The sponsor notes that subjects receiving &gt; 3 injections in the 6-month PRN period did not achieve better visual outcomes than subjects receiving ≤ 3 injections. However, the sub-groups were not </w:t>
      </w:r>
      <w:r w:rsidR="00300BDB" w:rsidRPr="005F0F80">
        <w:t>randomised</w:t>
      </w:r>
      <w:r w:rsidRPr="005F0F80">
        <w:t xml:space="preserve"> and the number of VTE doses was determined by the investigator based on perceived subject need and state of</w:t>
      </w:r>
      <w:r w:rsidRPr="000526AB">
        <w:t xml:space="preserve"> disease activity as indicated in the pre-specified </w:t>
      </w:r>
      <w:r w:rsidR="00427821">
        <w:t xml:space="preserve">re </w:t>
      </w:r>
      <w:r w:rsidR="00C84038">
        <w:t>treatment</w:t>
      </w:r>
      <w:r w:rsidR="000B2A99">
        <w:t xml:space="preserve"> criteria.</w:t>
      </w:r>
    </w:p>
    <w:p w:rsidR="000526AB" w:rsidRPr="000526AB" w:rsidRDefault="000526AB" w:rsidP="001006D2">
      <w:pPr>
        <w:pStyle w:val="Heading5"/>
        <w:rPr>
          <w:lang w:eastAsia="ja-JP"/>
        </w:rPr>
      </w:pPr>
      <w:r w:rsidRPr="000526AB">
        <w:rPr>
          <w:lang w:eastAsia="ja-JP"/>
        </w:rPr>
        <w:t>Mean number of injections in the PRN dosing period</w:t>
      </w:r>
    </w:p>
    <w:p w:rsidR="000526AB" w:rsidRPr="000526AB" w:rsidRDefault="000526AB" w:rsidP="000B2A99">
      <w:pPr>
        <w:rPr>
          <w:lang w:eastAsia="ja-JP"/>
        </w:rPr>
      </w:pPr>
      <w:r w:rsidRPr="000526AB">
        <w:rPr>
          <w:lang w:eastAsia="ja-JP"/>
        </w:rPr>
        <w:t xml:space="preserve">In the PRN dosing period, 75 subjects received an injection with an interval of 8 weeks or more between injections (mean 1.2 [SD=1.0], median 1.0, range 0-2), and 123 subjects had least one 4 week interval between injections (mean 3.6 [SD=1.4], median 3.0, range 3-4). The results for the BCVA letter scores for these two groups are </w:t>
      </w:r>
      <w:r w:rsidR="00301349">
        <w:rPr>
          <w:lang w:eastAsia="ja-JP"/>
        </w:rPr>
        <w:t>summarised</w:t>
      </w:r>
      <w:r w:rsidRPr="000526AB">
        <w:rPr>
          <w:lang w:eastAsia="ja-JP"/>
        </w:rPr>
        <w:t xml:space="preserve"> below in Table 1</w:t>
      </w:r>
      <w:r w:rsidR="005F0F80">
        <w:rPr>
          <w:lang w:eastAsia="ja-JP"/>
        </w:rPr>
        <w:t>0</w:t>
      </w:r>
      <w:r w:rsidR="000B2A99">
        <w:rPr>
          <w:lang w:eastAsia="ja-JP"/>
        </w:rPr>
        <w:t xml:space="preserve"> and Figure 4.</w:t>
      </w:r>
    </w:p>
    <w:p w:rsidR="000526AB" w:rsidRPr="000526AB" w:rsidRDefault="000526AB" w:rsidP="000B2A99">
      <w:pPr>
        <w:pStyle w:val="TableTitle"/>
        <w:rPr>
          <w:lang w:eastAsia="ja-JP"/>
        </w:rPr>
      </w:pPr>
      <w:bookmarkStart w:id="98" w:name="_Toc221767063"/>
      <w:r w:rsidRPr="000526AB">
        <w:rPr>
          <w:lang w:eastAsia="ja-JP"/>
        </w:rPr>
        <w:t>Table</w:t>
      </w:r>
      <w:r w:rsidR="005F0F80">
        <w:rPr>
          <w:lang w:eastAsia="ja-JP"/>
        </w:rPr>
        <w:t xml:space="preserve"> 10</w:t>
      </w:r>
      <w:r w:rsidRPr="000526AB">
        <w:rPr>
          <w:lang w:eastAsia="ja-JP"/>
        </w:rPr>
        <w:t>: Integrated analysis</w:t>
      </w:r>
      <w:r w:rsidR="00301349">
        <w:rPr>
          <w:lang w:eastAsia="ja-JP"/>
        </w:rPr>
        <w:t xml:space="preserve"> </w:t>
      </w:r>
      <w:r w:rsidRPr="000526AB">
        <w:rPr>
          <w:lang w:eastAsia="ja-JP"/>
        </w:rPr>
        <w:t>BCVA letter scores; FAS/LOCF for subjects who completed</w:t>
      </w:r>
      <w:r w:rsidR="00300BDB">
        <w:rPr>
          <w:lang w:eastAsia="ja-JP"/>
        </w:rPr>
        <w:t xml:space="preserve"> Week 5</w:t>
      </w:r>
      <w:r w:rsidRPr="000526AB">
        <w:rPr>
          <w:lang w:eastAsia="ja-JP"/>
        </w:rPr>
        <w:t>2 (n=198).</w:t>
      </w:r>
      <w:bookmarkEnd w:id="98"/>
    </w:p>
    <w:p w:rsidR="000526AB" w:rsidRPr="000526AB" w:rsidRDefault="000526AB" w:rsidP="000B2A99">
      <w:pPr>
        <w:rPr>
          <w:lang w:eastAsia="ja-JP"/>
        </w:rPr>
      </w:pPr>
      <w:r w:rsidRPr="000526AB">
        <w:rPr>
          <w:noProof/>
          <w:lang w:eastAsia="en-AU"/>
        </w:rPr>
        <w:drawing>
          <wp:inline distT="0" distB="0" distL="0" distR="0" wp14:anchorId="02B135C7" wp14:editId="6368B349">
            <wp:extent cx="3968561" cy="1483200"/>
            <wp:effectExtent l="0" t="0" r="0" b="3175"/>
            <wp:docPr id="26" name="Picture 7" descr="Table 10: Integrated analysis -  BCVA letter scores; FAS/LOCF for subjects who completed Week 52 (n=1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976287" cy="1486087"/>
                    </a:xfrm>
                    <a:prstGeom prst="rect">
                      <a:avLst/>
                    </a:prstGeom>
                    <a:noFill/>
                    <a:ln w="9525">
                      <a:noFill/>
                      <a:miter lim="800000"/>
                      <a:headEnd/>
                      <a:tailEnd/>
                    </a:ln>
                  </pic:spPr>
                </pic:pic>
              </a:graphicData>
            </a:graphic>
          </wp:inline>
        </w:drawing>
      </w:r>
    </w:p>
    <w:p w:rsidR="000526AB" w:rsidRPr="000526AB" w:rsidRDefault="000526AB" w:rsidP="000B2A99">
      <w:pPr>
        <w:pStyle w:val="FigureTitle"/>
        <w:rPr>
          <w:lang w:eastAsia="ja-JP"/>
        </w:rPr>
      </w:pPr>
      <w:bookmarkStart w:id="99" w:name="_Toc221697757"/>
      <w:r w:rsidRPr="000526AB">
        <w:rPr>
          <w:lang w:eastAsia="ja-JP"/>
        </w:rPr>
        <w:lastRenderedPageBreak/>
        <w:t xml:space="preserve">Figure </w:t>
      </w:r>
      <w:r w:rsidR="00084ED5" w:rsidRPr="000526AB">
        <w:rPr>
          <w:lang w:eastAsia="ja-JP"/>
        </w:rPr>
        <w:fldChar w:fldCharType="begin"/>
      </w:r>
      <w:r w:rsidRPr="000526AB">
        <w:rPr>
          <w:lang w:eastAsia="ja-JP"/>
        </w:rPr>
        <w:instrText xml:space="preserve"> SEQ Figure \* ARABIC </w:instrText>
      </w:r>
      <w:r w:rsidR="00084ED5" w:rsidRPr="000526AB">
        <w:rPr>
          <w:lang w:eastAsia="ja-JP"/>
        </w:rPr>
        <w:fldChar w:fldCharType="separate"/>
      </w:r>
      <w:r w:rsidR="00B84D36">
        <w:rPr>
          <w:noProof/>
          <w:lang w:eastAsia="ja-JP"/>
        </w:rPr>
        <w:t>4</w:t>
      </w:r>
      <w:r w:rsidR="00084ED5" w:rsidRPr="000526AB">
        <w:rPr>
          <w:lang w:eastAsia="ja-JP"/>
        </w:rPr>
        <w:fldChar w:fldCharType="end"/>
      </w:r>
      <w:r w:rsidRPr="000526AB">
        <w:rPr>
          <w:lang w:eastAsia="ja-JP"/>
        </w:rPr>
        <w:t>: Integrated analysis - Mean changes in BCVA letter score from baseline.</w:t>
      </w:r>
      <w:bookmarkEnd w:id="99"/>
    </w:p>
    <w:p w:rsidR="000526AB" w:rsidRPr="000526AB" w:rsidRDefault="000526AB" w:rsidP="000B2A99">
      <w:pPr>
        <w:rPr>
          <w:lang w:eastAsia="ja-JP"/>
        </w:rPr>
      </w:pPr>
      <w:r w:rsidRPr="000526AB">
        <w:rPr>
          <w:noProof/>
          <w:lang w:eastAsia="en-AU"/>
        </w:rPr>
        <w:drawing>
          <wp:inline distT="0" distB="0" distL="0" distR="0" wp14:anchorId="42B2E6DE" wp14:editId="644F99FA">
            <wp:extent cx="3378200" cy="2062480"/>
            <wp:effectExtent l="19050" t="0" r="0" b="0"/>
            <wp:docPr id="27" name="Picture 8" descr="Figure 4: Integrated analysis - Mean changes in BCVA letter scor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378200" cy="2062480"/>
                    </a:xfrm>
                    <a:prstGeom prst="rect">
                      <a:avLst/>
                    </a:prstGeom>
                    <a:noFill/>
                    <a:ln w="9525">
                      <a:noFill/>
                      <a:miter lim="800000"/>
                      <a:headEnd/>
                      <a:tailEnd/>
                    </a:ln>
                  </pic:spPr>
                </pic:pic>
              </a:graphicData>
            </a:graphic>
          </wp:inline>
        </w:drawing>
      </w:r>
    </w:p>
    <w:p w:rsidR="000526AB" w:rsidRPr="005F0F80" w:rsidRDefault="000526AB" w:rsidP="001006D2">
      <w:r w:rsidRPr="005F0F80">
        <w:rPr>
          <w:b/>
        </w:rPr>
        <w:t xml:space="preserve">Comment: </w:t>
      </w:r>
      <w:r w:rsidRPr="005F0F80">
        <w:t>The results showed that there was little difference in BCVA letter scores in subjects based on the frequency of PRN dosing, with the less frequent and more frequent dosing regimens showing similar</w:t>
      </w:r>
      <w:r w:rsidR="000B2A99">
        <w:t xml:space="preserve"> improvements in visual acuity.</w:t>
      </w:r>
    </w:p>
    <w:p w:rsidR="000526AB" w:rsidRPr="000526AB" w:rsidRDefault="000526AB" w:rsidP="001006D2">
      <w:pPr>
        <w:pStyle w:val="Heading5"/>
        <w:rPr>
          <w:lang w:eastAsia="ja-JP"/>
        </w:rPr>
      </w:pPr>
      <w:r w:rsidRPr="000526AB">
        <w:rPr>
          <w:lang w:eastAsia="ja-JP"/>
        </w:rPr>
        <w:t xml:space="preserve">Comparison of change in BCVA between fixed-dose regimen (proactive) and </w:t>
      </w:r>
      <w:r w:rsidRPr="001006D2">
        <w:t>PRN</w:t>
      </w:r>
      <w:r w:rsidRPr="000526AB">
        <w:rPr>
          <w:lang w:eastAsia="ja-JP"/>
        </w:rPr>
        <w:t xml:space="preserve"> dosing regimen (reactive)</w:t>
      </w:r>
    </w:p>
    <w:p w:rsidR="000526AB" w:rsidRPr="000526AB" w:rsidRDefault="000526AB" w:rsidP="000B2A99">
      <w:pPr>
        <w:rPr>
          <w:lang w:eastAsia="ja-JP"/>
        </w:rPr>
      </w:pPr>
      <w:r w:rsidRPr="000526AB">
        <w:rPr>
          <w:lang w:eastAsia="ja-JP"/>
        </w:rPr>
        <w:t xml:space="preserve">To assess BCVA following switching subjects were divided into categories of “vision stability” defined at the last three visits in the fixed-dosing phase (i.e., weeks 16 to 24) and the last three visits in the PRN-dosing phase </w:t>
      </w:r>
      <w:r w:rsidR="00F2667C">
        <w:rPr>
          <w:lang w:eastAsia="ja-JP"/>
        </w:rPr>
        <w:t>(W</w:t>
      </w:r>
      <w:r w:rsidRPr="000526AB">
        <w:rPr>
          <w:lang w:eastAsia="ja-JP"/>
        </w:rPr>
        <w:t>eeks 44 to 52). The total population included 207 patients, and the fol</w:t>
      </w:r>
      <w:r w:rsidR="000B2A99">
        <w:rPr>
          <w:lang w:eastAsia="ja-JP"/>
        </w:rPr>
        <w:t>lowing categories were defined:</w:t>
      </w:r>
    </w:p>
    <w:p w:rsidR="000526AB" w:rsidRPr="000526AB" w:rsidRDefault="000526AB" w:rsidP="001006D2">
      <w:pPr>
        <w:ind w:left="284"/>
        <w:rPr>
          <w:lang w:eastAsia="ja-JP"/>
        </w:rPr>
      </w:pPr>
      <w:r w:rsidRPr="000526AB">
        <w:rPr>
          <w:b/>
          <w:lang w:eastAsia="ja-JP"/>
        </w:rPr>
        <w:t>Excellent</w:t>
      </w:r>
      <w:r w:rsidRPr="000526AB">
        <w:rPr>
          <w:lang w:eastAsia="ja-JP"/>
        </w:rPr>
        <w:t>: Subject demonstrated a stable gain of 15 or more letters over baseline in BCVA at the three assessed visits: 78 of 107 (72.9%) subjects who were in the “excellent” category in the fixed-dosing phase were also in the “excellent” category in the PRN phase; these subjects received a median of 2 VTE injections in the PRN phase.</w:t>
      </w:r>
    </w:p>
    <w:p w:rsidR="000526AB" w:rsidRPr="000526AB" w:rsidRDefault="000526AB" w:rsidP="001006D2">
      <w:pPr>
        <w:ind w:left="284"/>
        <w:rPr>
          <w:lang w:eastAsia="ja-JP"/>
        </w:rPr>
      </w:pPr>
      <w:r w:rsidRPr="000526AB">
        <w:rPr>
          <w:b/>
          <w:lang w:eastAsia="ja-JP"/>
        </w:rPr>
        <w:t>Good:</w:t>
      </w:r>
      <w:r w:rsidRPr="000526AB">
        <w:rPr>
          <w:lang w:eastAsia="ja-JP"/>
        </w:rPr>
        <w:t xml:space="preserve"> Subject demonstrated a stable gain of 10 or more letters over baseline at the three assessed visits with all visits not showing a 15 letter or more gain: 10 of 31 (32.2%) subjects who were in the “good” category in the fixed-dosing phase were also in the “good” category in the PRN phase; these subjects received a median of 2.5 VTE injections in the P</w:t>
      </w:r>
      <w:r w:rsidR="000B2A99">
        <w:rPr>
          <w:lang w:eastAsia="ja-JP"/>
        </w:rPr>
        <w:t>RN phase.</w:t>
      </w:r>
    </w:p>
    <w:p w:rsidR="000526AB" w:rsidRPr="000526AB" w:rsidRDefault="000526AB" w:rsidP="001006D2">
      <w:pPr>
        <w:ind w:left="284"/>
        <w:rPr>
          <w:lang w:eastAsia="ja-JP"/>
        </w:rPr>
      </w:pPr>
      <w:r w:rsidRPr="000526AB">
        <w:rPr>
          <w:b/>
          <w:lang w:eastAsia="ja-JP"/>
        </w:rPr>
        <w:t>Modest:</w:t>
      </w:r>
      <w:r w:rsidRPr="000526AB">
        <w:rPr>
          <w:lang w:eastAsia="ja-JP"/>
        </w:rPr>
        <w:t xml:space="preserve"> Subject demonstrated a stable gain of 5 or more letters at the three assessed visits with all visits not showing a 10 letter or more gain: 7 of 31 (22.6%) subjects who were in the “modest” category in the fixed-dosing phase were also in the “modest” category in the PRN phase; these subjects received a median of 2 </w:t>
      </w:r>
      <w:r w:rsidR="000B2A99">
        <w:rPr>
          <w:lang w:eastAsia="ja-JP"/>
        </w:rPr>
        <w:t>VTE injections in the PRN phase.</w:t>
      </w:r>
    </w:p>
    <w:p w:rsidR="000526AB" w:rsidRPr="000526AB" w:rsidRDefault="000526AB" w:rsidP="001006D2">
      <w:pPr>
        <w:ind w:left="284"/>
        <w:rPr>
          <w:lang w:eastAsia="ja-JP"/>
        </w:rPr>
      </w:pPr>
      <w:r w:rsidRPr="000526AB">
        <w:rPr>
          <w:b/>
          <w:lang w:eastAsia="ja-JP"/>
        </w:rPr>
        <w:t>Poor:</w:t>
      </w:r>
      <w:r w:rsidRPr="000526AB">
        <w:rPr>
          <w:lang w:eastAsia="ja-JP"/>
        </w:rPr>
        <w:t xml:space="preserve"> Subject demonstrated a stable gain of 0 or more letters over baseline at the three assessed visits with all visits not showing a 5 letter or more gain: 3 of 15 (20.0%) subjects who were in the “poor” category in the fixed-dose phase were also in the “poor” category in the PRN phase; these subjects received a median of 6 VTE injections in the PRN phase.</w:t>
      </w:r>
    </w:p>
    <w:p w:rsidR="000526AB" w:rsidRPr="000526AB" w:rsidRDefault="000526AB" w:rsidP="001006D2">
      <w:pPr>
        <w:ind w:left="284"/>
        <w:rPr>
          <w:lang w:eastAsia="ja-JP"/>
        </w:rPr>
      </w:pPr>
      <w:r w:rsidRPr="000526AB">
        <w:rPr>
          <w:b/>
          <w:lang w:eastAsia="ja-JP"/>
        </w:rPr>
        <w:t>No stable gain:</w:t>
      </w:r>
      <w:r w:rsidRPr="000526AB">
        <w:rPr>
          <w:lang w:eastAsia="ja-JP"/>
        </w:rPr>
        <w:t xml:space="preserve"> Subject had at least one visit in the three assessed visits with a gain of fewer than 0 letters: 14 of the 19 (73.7%) of the subjects who were in the “no stable gain” group in the fixed-dose phase were also in the “no stable gain” category ain the PRN phase; these subjects received a median of 3 V</w:t>
      </w:r>
      <w:r w:rsidR="000B2A99">
        <w:rPr>
          <w:lang w:eastAsia="ja-JP"/>
        </w:rPr>
        <w:t>TE injections in the PRN phase.</w:t>
      </w:r>
    </w:p>
    <w:p w:rsidR="000526AB" w:rsidRPr="000526AB" w:rsidRDefault="000526AB" w:rsidP="001006D2">
      <w:pPr>
        <w:ind w:left="284"/>
        <w:rPr>
          <w:lang w:eastAsia="ja-JP"/>
        </w:rPr>
      </w:pPr>
      <w:r w:rsidRPr="000526AB">
        <w:rPr>
          <w:b/>
          <w:lang w:eastAsia="ja-JP"/>
        </w:rPr>
        <w:t>Missing:</w:t>
      </w:r>
      <w:r w:rsidRPr="000526AB">
        <w:rPr>
          <w:lang w:eastAsia="ja-JP"/>
        </w:rPr>
        <w:t xml:space="preserve"> Subject had at least one visit in the three assessed visits with missing data and no visit with a gain of fewer than 0 letters: 1 of the 4 (25%) subjects who were in the “missing” category in the fixed-dose phase were also in the “miss</w:t>
      </w:r>
      <w:r w:rsidR="000B2A99">
        <w:rPr>
          <w:lang w:eastAsia="ja-JP"/>
        </w:rPr>
        <w:t>ing” category in the PRN phase.</w:t>
      </w:r>
    </w:p>
    <w:p w:rsidR="000526AB" w:rsidRPr="000526AB" w:rsidRDefault="000526AB" w:rsidP="000B2A99">
      <w:pPr>
        <w:rPr>
          <w:lang w:eastAsia="ja-JP"/>
        </w:rPr>
      </w:pPr>
      <w:r w:rsidRPr="000526AB">
        <w:rPr>
          <w:lang w:eastAsia="ja-JP"/>
        </w:rPr>
        <w:t>In addition, a regression analysis within individual subjects compared the slope of the change in BCVA at the end of the fixed-dosing phase (</w:t>
      </w:r>
      <w:r w:rsidR="00F2667C">
        <w:rPr>
          <w:lang w:eastAsia="ja-JP"/>
        </w:rPr>
        <w:t>W</w:t>
      </w:r>
      <w:r w:rsidRPr="000526AB">
        <w:rPr>
          <w:lang w:eastAsia="ja-JP"/>
        </w:rPr>
        <w:t xml:space="preserve">eeks 16 to 24) with the slope of the change in BCVA through the full PRN phase of the studies for the five categories of vision stability (as well </w:t>
      </w:r>
      <w:r w:rsidRPr="000526AB">
        <w:rPr>
          <w:lang w:eastAsia="ja-JP"/>
        </w:rPr>
        <w:lastRenderedPageBreak/>
        <w:t>the missing and total subjects). About 32% (41/129) of the subjects with a positive slope in the fixed-dosing phase (</w:t>
      </w:r>
      <w:r w:rsidR="00F2667C">
        <w:rPr>
          <w:lang w:eastAsia="ja-JP"/>
        </w:rPr>
        <w:t>that is,</w:t>
      </w:r>
      <w:r w:rsidRPr="000526AB">
        <w:rPr>
          <w:lang w:eastAsia="ja-JP"/>
        </w:rPr>
        <w:t xml:space="preserve"> improvement in BCVA) experienced a decline in BCVA during the PRN-dosing phase while receiving a median of 3 VTE injections. Conversely, about 68% (88/129) of subjects who demonstrated a positive slope in the fixed-dosing phase (</w:t>
      </w:r>
      <w:r w:rsidR="00F2667C">
        <w:rPr>
          <w:lang w:eastAsia="ja-JP"/>
        </w:rPr>
        <w:t>that is,</w:t>
      </w:r>
      <w:r w:rsidRPr="000526AB">
        <w:rPr>
          <w:lang w:eastAsia="ja-JP"/>
        </w:rPr>
        <w:t xml:space="preserve"> improvement in BCVA) experienced an improvement (or no change) in BCVA during the PRN-dosing phase, while receiving a median of 2 VTE injections. About 61% (43/70) of the subjects who demonstrated a negative slope in the fixed-dosing phase (</w:t>
      </w:r>
      <w:r w:rsidR="00F2667C">
        <w:rPr>
          <w:lang w:eastAsia="ja-JP"/>
        </w:rPr>
        <w:t>that is,</w:t>
      </w:r>
      <w:r w:rsidRPr="000526AB">
        <w:rPr>
          <w:lang w:eastAsia="ja-JP"/>
        </w:rPr>
        <w:t xml:space="preserve"> decline in BCVA) experienced a continued decline during the PRN-dosing phase while receiving a median of 3 VTE injections. Conversely, about 38% (27/70) of subjects who demonstrated a negative slope in the fixed-dosing phase (</w:t>
      </w:r>
      <w:r w:rsidR="00F2667C">
        <w:rPr>
          <w:lang w:eastAsia="ja-JP"/>
        </w:rPr>
        <w:t>that is,</w:t>
      </w:r>
      <w:r w:rsidRPr="000526AB">
        <w:rPr>
          <w:lang w:eastAsia="ja-JP"/>
        </w:rPr>
        <w:t xml:space="preserve"> decline in BCVA) experienced an improvement (or no change) during the PRN-dosing phase, while receivin</w:t>
      </w:r>
      <w:r w:rsidR="000B2A99">
        <w:rPr>
          <w:lang w:eastAsia="ja-JP"/>
        </w:rPr>
        <w:t>g a median of 2 VTE injections.</w:t>
      </w:r>
    </w:p>
    <w:p w:rsidR="000526AB" w:rsidRPr="00F2667C" w:rsidRDefault="000526AB" w:rsidP="001006D2">
      <w:r w:rsidRPr="00F2667C">
        <w:rPr>
          <w:b/>
        </w:rPr>
        <w:t>Comment:</w:t>
      </w:r>
      <w:r w:rsidR="00F2667C">
        <w:rPr>
          <w:b/>
        </w:rPr>
        <w:t xml:space="preserve"> </w:t>
      </w:r>
      <w:r w:rsidRPr="00F2667C">
        <w:t>The sponsor considers that, taken together, the data “would appear to confirm that it was largely possible to maintain the gains achieved in the first 6 months through to the end of the study with approximately 2 to 2.5 injections, which is close to the 3 injections that might have been given, for example, under a proactive Q8 regimen, thus again failing to identify a benefit for the as needed dosing”. However, it is considered that no clear association between improvement in BCVA and the number of injections admi</w:t>
      </w:r>
      <w:r w:rsidR="000B2A99">
        <w:t>nistered emerged from the data.</w:t>
      </w:r>
    </w:p>
    <w:p w:rsidR="000526AB" w:rsidRPr="000526AB" w:rsidRDefault="000526AB" w:rsidP="000B2A99">
      <w:pPr>
        <w:pStyle w:val="Heading5"/>
        <w:rPr>
          <w:lang w:eastAsia="ja-JP"/>
        </w:rPr>
      </w:pPr>
      <w:r w:rsidRPr="000526AB">
        <w:rPr>
          <w:lang w:eastAsia="ja-JP"/>
        </w:rPr>
        <w:t>Central retinal thickness</w:t>
      </w:r>
      <w:r w:rsidR="000B2A99">
        <w:rPr>
          <w:lang w:eastAsia="ja-JP"/>
        </w:rPr>
        <w:t xml:space="preserve"> (CRT) and retinal fluid status</w:t>
      </w:r>
    </w:p>
    <w:p w:rsidR="000526AB" w:rsidRPr="000526AB" w:rsidRDefault="000526AB" w:rsidP="000B2A99">
      <w:pPr>
        <w:rPr>
          <w:lang w:eastAsia="ja-JP"/>
        </w:rPr>
      </w:pPr>
      <w:r w:rsidRPr="000526AB">
        <w:rPr>
          <w:lang w:eastAsia="ja-JP"/>
        </w:rPr>
        <w:t>Following switching from proactive (</w:t>
      </w:r>
      <w:r w:rsidR="00F2667C">
        <w:rPr>
          <w:lang w:eastAsia="ja-JP"/>
        </w:rPr>
        <w:t>W</w:t>
      </w:r>
      <w:r w:rsidRPr="000526AB">
        <w:rPr>
          <w:lang w:eastAsia="ja-JP"/>
        </w:rPr>
        <w:t>eeks 0-24) to the reactive regimen (</w:t>
      </w:r>
      <w:r w:rsidR="00F2667C">
        <w:rPr>
          <w:lang w:eastAsia="ja-JP"/>
        </w:rPr>
        <w:t>W</w:t>
      </w:r>
      <w:r w:rsidRPr="000526AB">
        <w:rPr>
          <w:lang w:eastAsia="ja-JP"/>
        </w:rPr>
        <w:t xml:space="preserve">eeks 24-52), the mean CRT increased by approximately 35 to 40 </w:t>
      </w:r>
      <w:r w:rsidR="00F2667C">
        <w:rPr>
          <w:lang w:eastAsia="ja-JP"/>
        </w:rPr>
        <w:t>µ</w:t>
      </w:r>
      <w:r w:rsidRPr="000526AB">
        <w:rPr>
          <w:lang w:eastAsia="ja-JP"/>
        </w:rPr>
        <w:t>m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in the three injection sub-groups</w:t>
      </w:r>
      <w:r w:rsidR="00301349">
        <w:rPr>
          <w:lang w:eastAsia="ja-JP"/>
        </w:rPr>
        <w:t xml:space="preserve"> </w:t>
      </w:r>
      <w:r w:rsidRPr="000526AB">
        <w:rPr>
          <w:lang w:eastAsia="ja-JP"/>
        </w:rPr>
        <w:t>(see Table 1</w:t>
      </w:r>
      <w:r w:rsidR="00F2667C">
        <w:rPr>
          <w:lang w:eastAsia="ja-JP"/>
        </w:rPr>
        <w:t>1</w:t>
      </w:r>
      <w:r w:rsidRPr="000526AB">
        <w:rPr>
          <w:lang w:eastAsia="ja-JP"/>
        </w:rPr>
        <w:t>, below). The proportion of subjects with a dry retina at</w:t>
      </w:r>
      <w:r w:rsidR="00300BDB">
        <w:rPr>
          <w:lang w:eastAsia="ja-JP"/>
        </w:rPr>
        <w:t xml:space="preserve"> Week 2</w:t>
      </w:r>
      <w:r w:rsidRPr="000526AB">
        <w:rPr>
          <w:lang w:eastAsia="ja-JP"/>
        </w:rPr>
        <w:t>4 and</w:t>
      </w:r>
      <w:r w:rsidR="00300BDB">
        <w:rPr>
          <w:lang w:eastAsia="ja-JP"/>
        </w:rPr>
        <w:t xml:space="preserve"> Week 5</w:t>
      </w:r>
      <w:r w:rsidRPr="000526AB">
        <w:rPr>
          <w:lang w:eastAsia="ja-JP"/>
        </w:rPr>
        <w:t xml:space="preserve">2 (respectively) was 80.74% and 61.76% in the </w:t>
      </w:r>
      <w:r w:rsidR="00F2667C">
        <w:rPr>
          <w:lang w:eastAsia="ja-JP"/>
        </w:rPr>
        <w:t>≤</w:t>
      </w:r>
      <w:r w:rsidRPr="000526AB">
        <w:rPr>
          <w:lang w:eastAsia="ja-JP"/>
        </w:rPr>
        <w:t xml:space="preserve"> 3 injections sub-group, 81.4% and 63.4% in the 2 to 3 injections sub-group, and 64.4% and 57.3% in the </w:t>
      </w:r>
      <w:r w:rsidR="00F2667C">
        <w:rPr>
          <w:lang w:eastAsia="ja-JP"/>
        </w:rPr>
        <w:t>≥</w:t>
      </w:r>
      <w:r w:rsidRPr="000526AB">
        <w:rPr>
          <w:lang w:eastAsia="ja-JP"/>
        </w:rPr>
        <w:t xml:space="preserve"> 4 injections sub-group.</w:t>
      </w:r>
    </w:p>
    <w:p w:rsidR="000526AB" w:rsidRPr="000526AB" w:rsidRDefault="000526AB" w:rsidP="000B2A99">
      <w:pPr>
        <w:pStyle w:val="TableTitle"/>
        <w:rPr>
          <w:lang w:eastAsia="ja-JP"/>
        </w:rPr>
      </w:pPr>
      <w:bookmarkStart w:id="100" w:name="_Toc221767064"/>
      <w:r w:rsidRPr="000526AB">
        <w:rPr>
          <w:lang w:eastAsia="ja-JP"/>
        </w:rPr>
        <w:t>Table</w:t>
      </w:r>
      <w:r w:rsidR="00F2667C">
        <w:rPr>
          <w:lang w:eastAsia="ja-JP"/>
        </w:rPr>
        <w:t xml:space="preserve"> 11</w:t>
      </w:r>
      <w:r w:rsidRPr="000526AB">
        <w:rPr>
          <w:lang w:eastAsia="ja-JP"/>
        </w:rPr>
        <w:t>: Integrated analysis – CRT (µm) mean (SD) by injection sub-group; FAS</w:t>
      </w:r>
      <w:r w:rsidR="00300BDB">
        <w:rPr>
          <w:lang w:eastAsia="ja-JP"/>
        </w:rPr>
        <w:t xml:space="preserve"> Week 5</w:t>
      </w:r>
      <w:r w:rsidRPr="000526AB">
        <w:rPr>
          <w:lang w:eastAsia="ja-JP"/>
        </w:rPr>
        <w:t>2 completers/LOCF.</w:t>
      </w:r>
      <w:bookmarkEnd w:id="100"/>
    </w:p>
    <w:p w:rsidR="000526AB" w:rsidRPr="000526AB" w:rsidRDefault="000526AB" w:rsidP="000526AB">
      <w:pPr>
        <w:rPr>
          <w:lang w:eastAsia="ja-JP"/>
        </w:rPr>
      </w:pPr>
      <w:r w:rsidRPr="000526AB">
        <w:rPr>
          <w:noProof/>
          <w:lang w:eastAsia="en-AU"/>
        </w:rPr>
        <w:drawing>
          <wp:inline distT="0" distB="0" distL="0" distR="0" wp14:anchorId="5CD30906" wp14:editId="270E1907">
            <wp:extent cx="4786545" cy="847725"/>
            <wp:effectExtent l="19050" t="0" r="0" b="0"/>
            <wp:docPr id="28" name="Picture 9" descr="Table 11: Integrated analysis – CRT (µm) mean (SD) by injection sub-group; FAS Week 52 completers/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88022" cy="847987"/>
                    </a:xfrm>
                    <a:prstGeom prst="rect">
                      <a:avLst/>
                    </a:prstGeom>
                    <a:noFill/>
                    <a:ln w="9525">
                      <a:noFill/>
                      <a:miter lim="800000"/>
                      <a:headEnd/>
                      <a:tailEnd/>
                    </a:ln>
                  </pic:spPr>
                </pic:pic>
              </a:graphicData>
            </a:graphic>
          </wp:inline>
        </w:drawing>
      </w:r>
    </w:p>
    <w:p w:rsidR="000526AB" w:rsidRPr="000526AB" w:rsidRDefault="000526AB" w:rsidP="000B2A99">
      <w:pPr>
        <w:rPr>
          <w:lang w:eastAsia="ja-JP"/>
        </w:rPr>
      </w:pPr>
      <w:r w:rsidRPr="000526AB">
        <w:rPr>
          <w:lang w:eastAsia="ja-JP"/>
        </w:rPr>
        <w:t>The change from baseline in mean (SD) CRT at the end of the PRN dosing phase (</w:t>
      </w:r>
      <w:r w:rsidR="00F2667C">
        <w:rPr>
          <w:lang w:eastAsia="ja-JP"/>
        </w:rPr>
        <w:t>W</w:t>
      </w:r>
      <w:r w:rsidRPr="000526AB">
        <w:rPr>
          <w:lang w:eastAsia="ja-JP"/>
        </w:rPr>
        <w:t>eek 52) was notably greater in the sub-group in which subjects had received injections separated by at least one 4</w:t>
      </w:r>
      <w:r w:rsidR="00F2667C">
        <w:rPr>
          <w:lang w:eastAsia="ja-JP"/>
        </w:rPr>
        <w:t xml:space="preserve"> </w:t>
      </w:r>
      <w:r w:rsidRPr="000526AB">
        <w:rPr>
          <w:lang w:eastAsia="ja-JP"/>
        </w:rPr>
        <w:t>week interval compared with subjects who had always received injections separated by at least 8 week intervals (see Table 1</w:t>
      </w:r>
      <w:r w:rsidR="00F2667C">
        <w:rPr>
          <w:lang w:eastAsia="ja-JP"/>
        </w:rPr>
        <w:t>2</w:t>
      </w:r>
      <w:r w:rsidRPr="000526AB">
        <w:rPr>
          <w:lang w:eastAsia="ja-JP"/>
        </w:rPr>
        <w:t>, below). However, there was a similar difference between the two sub-groups as regards mean change from baseline at</w:t>
      </w:r>
      <w:r w:rsidR="00300BDB">
        <w:rPr>
          <w:lang w:eastAsia="ja-JP"/>
        </w:rPr>
        <w:t xml:space="preserve"> Week 2</w:t>
      </w:r>
      <w:r w:rsidRPr="000526AB">
        <w:rPr>
          <w:lang w:eastAsia="ja-JP"/>
        </w:rPr>
        <w:t>4 (</w:t>
      </w:r>
      <w:r w:rsidR="00F2667C">
        <w:rPr>
          <w:lang w:eastAsia="ja-JP"/>
        </w:rPr>
        <w:t>that is,</w:t>
      </w:r>
      <w:r w:rsidRPr="000526AB">
        <w:rPr>
          <w:lang w:eastAsia="ja-JP"/>
        </w:rPr>
        <w:t xml:space="preserve"> after proactive treatment) and mean change from baseline at</w:t>
      </w:r>
      <w:r w:rsidR="00300BDB">
        <w:rPr>
          <w:lang w:eastAsia="ja-JP"/>
        </w:rPr>
        <w:t xml:space="preserve"> Week 5</w:t>
      </w:r>
      <w:r w:rsidRPr="000526AB">
        <w:rPr>
          <w:lang w:eastAsia="ja-JP"/>
        </w:rPr>
        <w:t>2 (</w:t>
      </w:r>
      <w:r w:rsidR="00F2667C">
        <w:rPr>
          <w:lang w:eastAsia="ja-JP"/>
        </w:rPr>
        <w:t>that is,</w:t>
      </w:r>
      <w:r w:rsidRPr="000526AB">
        <w:rPr>
          <w:lang w:eastAsia="ja-JP"/>
        </w:rPr>
        <w:t xml:space="preserve"> after switching from proactive to reactive treatment at</w:t>
      </w:r>
      <w:r w:rsidR="00300BDB">
        <w:rPr>
          <w:lang w:eastAsia="ja-JP"/>
        </w:rPr>
        <w:t xml:space="preserve"> Week 2</w:t>
      </w:r>
      <w:r w:rsidR="000B2A99">
        <w:rPr>
          <w:lang w:eastAsia="ja-JP"/>
        </w:rPr>
        <w:t>4).</w:t>
      </w:r>
    </w:p>
    <w:p w:rsidR="000526AB" w:rsidRPr="000526AB" w:rsidRDefault="000526AB" w:rsidP="000B2A99">
      <w:pPr>
        <w:pStyle w:val="TableTitle"/>
        <w:rPr>
          <w:lang w:eastAsia="ja-JP"/>
        </w:rPr>
      </w:pPr>
      <w:bookmarkStart w:id="101" w:name="_Toc221767065"/>
      <w:r w:rsidRPr="000526AB">
        <w:rPr>
          <w:lang w:eastAsia="ja-JP"/>
        </w:rPr>
        <w:t>Table</w:t>
      </w:r>
      <w:r w:rsidR="00F2667C">
        <w:rPr>
          <w:lang w:eastAsia="ja-JP"/>
        </w:rPr>
        <w:t xml:space="preserve"> 12</w:t>
      </w:r>
      <w:r w:rsidRPr="000526AB">
        <w:rPr>
          <w:lang w:eastAsia="ja-JP"/>
        </w:rPr>
        <w:t>: Integrated analysis – CRT (microns) mean (SD) by injection interval; FAS</w:t>
      </w:r>
      <w:r w:rsidR="00300BDB">
        <w:rPr>
          <w:lang w:eastAsia="ja-JP"/>
        </w:rPr>
        <w:t xml:space="preserve"> Week 5</w:t>
      </w:r>
      <w:r w:rsidRPr="000526AB">
        <w:rPr>
          <w:lang w:eastAsia="ja-JP"/>
        </w:rPr>
        <w:t>2 completers/LOCF.</w:t>
      </w:r>
      <w:bookmarkEnd w:id="101"/>
    </w:p>
    <w:p w:rsidR="000526AB" w:rsidRPr="000526AB" w:rsidRDefault="000526AB" w:rsidP="000B2A99">
      <w:pPr>
        <w:rPr>
          <w:lang w:eastAsia="ja-JP"/>
        </w:rPr>
      </w:pPr>
      <w:r w:rsidRPr="000526AB">
        <w:rPr>
          <w:noProof/>
          <w:lang w:eastAsia="en-AU"/>
        </w:rPr>
        <w:drawing>
          <wp:inline distT="0" distB="0" distL="0" distR="0" wp14:anchorId="62E2DFF5" wp14:editId="34B69F9C">
            <wp:extent cx="4318000" cy="1472046"/>
            <wp:effectExtent l="19050" t="0" r="6350" b="0"/>
            <wp:docPr id="29" name="Picture 2" descr="Table 12: Integrated analysis – CRT (microns) mean (SD) by injection interval; FAS Week 52 completers/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321898" cy="1473375"/>
                    </a:xfrm>
                    <a:prstGeom prst="rect">
                      <a:avLst/>
                    </a:prstGeom>
                    <a:noFill/>
                    <a:ln w="9525">
                      <a:noFill/>
                      <a:miter lim="800000"/>
                      <a:headEnd/>
                      <a:tailEnd/>
                    </a:ln>
                  </pic:spPr>
                </pic:pic>
              </a:graphicData>
            </a:graphic>
          </wp:inline>
        </w:drawing>
      </w:r>
    </w:p>
    <w:p w:rsidR="000526AB" w:rsidRPr="00F2667C" w:rsidRDefault="000526AB" w:rsidP="001006D2">
      <w:r w:rsidRPr="00F2667C">
        <w:rPr>
          <w:b/>
        </w:rPr>
        <w:lastRenderedPageBreak/>
        <w:t>Comment</w:t>
      </w:r>
      <w:r w:rsidRPr="00F2667C">
        <w:t>: It is considered that meaningful interpretation of the</w:t>
      </w:r>
      <w:r w:rsidR="00300BDB" w:rsidRPr="00F2667C">
        <w:t xml:space="preserve"> Week 5</w:t>
      </w:r>
      <w:r w:rsidRPr="00F2667C">
        <w:t>2 data following PRN treatment from weeks 24 to 52 is precluded due to similar differences in mean change from baseline among the three injection groups at weeks 24 and 52, and between the two frequency</w:t>
      </w:r>
      <w:r w:rsidR="000B2A99">
        <w:t xml:space="preserve"> sub-groups at weeks 24 and 52.</w:t>
      </w:r>
    </w:p>
    <w:p w:rsidR="000526AB" w:rsidRPr="000526AB" w:rsidRDefault="000526AB" w:rsidP="001006D2">
      <w:pPr>
        <w:pStyle w:val="Heading4"/>
      </w:pPr>
      <w:r w:rsidRPr="000526AB">
        <w:t>Long-term outlook beyond 52 weeks</w:t>
      </w:r>
    </w:p>
    <w:p w:rsidR="000526AB" w:rsidRPr="000526AB" w:rsidRDefault="000526AB" w:rsidP="000B2A99">
      <w:pPr>
        <w:rPr>
          <w:lang w:eastAsia="ja-JP"/>
        </w:rPr>
      </w:pPr>
      <w:r w:rsidRPr="000526AB">
        <w:rPr>
          <w:lang w:eastAsia="ja-JP"/>
        </w:rPr>
        <w:t>The sponsor based the recommended posology on the</w:t>
      </w:r>
      <w:r w:rsidR="00300BDB">
        <w:rPr>
          <w:lang w:eastAsia="ja-JP"/>
        </w:rPr>
        <w:t xml:space="preserve"> Week 5</w:t>
      </w:r>
      <w:r w:rsidRPr="000526AB">
        <w:rPr>
          <w:lang w:eastAsia="ja-JP"/>
        </w:rPr>
        <w:t>2 results for COPERNICUS and GALILEO and commented that the additional data to 100 weeks in COPERNICUS and 76 weeks in GALILEO does not change its interpreta</w:t>
      </w:r>
      <w:r w:rsidR="000B2A99">
        <w:rPr>
          <w:lang w:eastAsia="ja-JP"/>
        </w:rPr>
        <w:t>tion of the preferred posology.</w:t>
      </w:r>
    </w:p>
    <w:p w:rsidR="00F2667C" w:rsidRPr="00F2667C" w:rsidRDefault="00DE22F3" w:rsidP="000B2A99">
      <w:pPr>
        <w:pStyle w:val="Heading4"/>
      </w:pPr>
      <w:r>
        <w:t>Comment</w:t>
      </w:r>
    </w:p>
    <w:p w:rsidR="001962A6" w:rsidRDefault="001962A6" w:rsidP="000B2A99">
      <w:pPr>
        <w:rPr>
          <w:lang w:eastAsia="ja-JP"/>
        </w:rPr>
      </w:pPr>
      <w:r>
        <w:rPr>
          <w:lang w:eastAsia="ja-JP"/>
        </w:rPr>
        <w:t>[information redacted]</w:t>
      </w:r>
    </w:p>
    <w:p w:rsidR="000526AB" w:rsidRPr="000526AB" w:rsidRDefault="000526AB" w:rsidP="000B2A99">
      <w:r w:rsidRPr="000526AB">
        <w:t>The sponsor considers that the results from the PRN phase suggests “</w:t>
      </w:r>
      <w:r w:rsidRPr="00DE22F3">
        <w:rPr>
          <w:i/>
        </w:rPr>
        <w:t>some de-stabilization of disease and return of sign (sic) and symptoms under [the] reactive dosing paradigm</w:t>
      </w:r>
      <w:r w:rsidR="000B2A99">
        <w:t>”.</w:t>
      </w:r>
    </w:p>
    <w:p w:rsidR="009E5AF9" w:rsidRDefault="000526AB" w:rsidP="000B2A99">
      <w:pPr>
        <w:rPr>
          <w:lang w:eastAsia="ja-JP"/>
        </w:rPr>
      </w:pPr>
      <w:r w:rsidRPr="000526AB">
        <w:rPr>
          <w:lang w:eastAsia="ja-JP"/>
        </w:rPr>
        <w:t>In the</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 xml:space="preserve">2 reactive PRN phase, the mean (SD) number of active injections was 2.7 (1.7) with a median of 3 injections (range: 0, 7 injections) in the 207 subjects who completed the initial </w:t>
      </w:r>
      <w:r w:rsidR="00DE22F3">
        <w:rPr>
          <w:lang w:eastAsia="ja-JP"/>
        </w:rPr>
        <w:t>W</w:t>
      </w:r>
      <w:r w:rsidRPr="000526AB">
        <w:rPr>
          <w:lang w:eastAsia="ja-JP"/>
        </w:rPr>
        <w:t xml:space="preserve">eek 0 to 24 proactive phase and entered the </w:t>
      </w:r>
      <w:r w:rsidR="00DE22F3">
        <w:rPr>
          <w:lang w:eastAsia="ja-JP"/>
        </w:rPr>
        <w:t>W</w:t>
      </w:r>
      <w:r w:rsidRPr="000526AB">
        <w:rPr>
          <w:lang w:eastAsia="ja-JP"/>
        </w:rPr>
        <w:t xml:space="preserve">eek 24 to 52 reactive PRN phase. In the 198 subjects who completed the </w:t>
      </w:r>
      <w:r w:rsidR="00DE22F3">
        <w:rPr>
          <w:lang w:eastAsia="ja-JP"/>
        </w:rPr>
        <w:t>W</w:t>
      </w:r>
      <w:r w:rsidRPr="000526AB">
        <w:rPr>
          <w:lang w:eastAsia="ja-JP"/>
        </w:rPr>
        <w:t>eek 24 to 52 reactive PRN phase, the mean (SD) time between VTE injections was 64.6 (26.9) days and the median was 60 days (range: 22, 162 days). Based on these data,</w:t>
      </w:r>
      <w:r w:rsidR="001962A6" w:rsidRPr="001962A6">
        <w:rPr>
          <w:lang w:eastAsia="ja-JP"/>
        </w:rPr>
        <w:t xml:space="preserve"> </w:t>
      </w:r>
      <w:r w:rsidR="001962A6">
        <w:rPr>
          <w:lang w:eastAsia="ja-JP"/>
        </w:rPr>
        <w:t>[information redacted]</w:t>
      </w:r>
      <w:r w:rsidRPr="000526AB">
        <w:rPr>
          <w:lang w:eastAsia="ja-JP"/>
        </w:rPr>
        <w:t xml:space="preserve"> there was no added efficacy benefit from increased PRN dosing in the</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 xml:space="preserve">2 reactive PRN phase, the sponsor recommends an initial VTE2Q4 regimen for 6 months followed by a VTE2Q8 regimen. </w:t>
      </w:r>
      <w:r w:rsidR="001962A6">
        <w:rPr>
          <w:lang w:eastAsia="ja-JP"/>
        </w:rPr>
        <w:t>[information redacted]</w:t>
      </w:r>
      <w:r w:rsidR="009E5AF9">
        <w:rPr>
          <w:lang w:eastAsia="ja-JP"/>
        </w:rPr>
        <w:t>.</w:t>
      </w:r>
    </w:p>
    <w:p w:rsidR="009E5AF9" w:rsidRPr="009E5AF9" w:rsidRDefault="000526AB" w:rsidP="000B2A99">
      <w:r w:rsidRPr="009E5AF9">
        <w:t xml:space="preserve">The sponsor considers that a fixed-dose proactive regimen removes the likelihood of under-treatment occurring with a PRN regimen due to inaccurate following of pre-specified </w:t>
      </w:r>
      <w:r w:rsidR="00427821" w:rsidRPr="009E5AF9">
        <w:t xml:space="preserve">re </w:t>
      </w:r>
      <w:r w:rsidR="00C84038" w:rsidRPr="009E5AF9">
        <w:t>treatment</w:t>
      </w:r>
      <w:r w:rsidRPr="009E5AF9">
        <w:t xml:space="preserve"> criteria, particularly over long periods of time. </w:t>
      </w:r>
      <w:r w:rsidR="001962A6" w:rsidRPr="009E5AF9">
        <w:t>[information redacted]</w:t>
      </w:r>
      <w:bookmarkStart w:id="102" w:name="_Toc221697285"/>
      <w:r w:rsidR="000B2A99">
        <w:t>.</w:t>
      </w:r>
    </w:p>
    <w:p w:rsidR="000526AB" w:rsidRPr="000526AB" w:rsidRDefault="000526AB" w:rsidP="001006D2">
      <w:pPr>
        <w:pStyle w:val="Heading3"/>
      </w:pPr>
      <w:bookmarkStart w:id="103" w:name="_Toc396651354"/>
      <w:r w:rsidRPr="000526AB">
        <w:t xml:space="preserve">Evaluator’s </w:t>
      </w:r>
      <w:r w:rsidRPr="001006D2">
        <w:t>conclusions</w:t>
      </w:r>
      <w:r w:rsidRPr="000526AB">
        <w:t xml:space="preserve"> on clinical efficacy</w:t>
      </w:r>
      <w:bookmarkEnd w:id="102"/>
      <w:bookmarkEnd w:id="103"/>
    </w:p>
    <w:p w:rsidR="000526AB" w:rsidRPr="000526AB" w:rsidRDefault="000526AB" w:rsidP="000B2A99">
      <w:pPr>
        <w:rPr>
          <w:lang w:eastAsia="ja-JP"/>
        </w:rPr>
      </w:pPr>
      <w:r w:rsidRPr="000526AB">
        <w:rPr>
          <w:lang w:eastAsia="ja-JP"/>
        </w:rPr>
        <w:t xml:space="preserve">It is considered that the submitted data have satisfactorily established the efficacy of Eylea for the treatment of CRVO secondary to macular oedema. However, there is a </w:t>
      </w:r>
      <w:r w:rsidRPr="001962A6">
        <w:rPr>
          <w:lang w:eastAsia="ja-JP"/>
        </w:rPr>
        <w:t>significant issue</w:t>
      </w:r>
      <w:r w:rsidRPr="000526AB">
        <w:rPr>
          <w:lang w:eastAsia="ja-JP"/>
        </w:rPr>
        <w:t xml:space="preserve"> relating to the most appropriate treatment regimen to be adopted after the first 6 months of VTE2Q4 treatment. In both COPERNICUS and GALILEO, subjects initially </w:t>
      </w:r>
      <w:r w:rsidR="00300BDB">
        <w:rPr>
          <w:lang w:eastAsia="ja-JP"/>
        </w:rPr>
        <w:t>randomised</w:t>
      </w:r>
      <w:r w:rsidRPr="000526AB">
        <w:rPr>
          <w:lang w:eastAsia="ja-JP"/>
        </w:rPr>
        <w:t xml:space="preserve"> to VTE2Q4 were switched to VTE PRN from</w:t>
      </w:r>
      <w:r w:rsidR="00300BDB">
        <w:rPr>
          <w:lang w:eastAsia="ja-JP"/>
        </w:rPr>
        <w:t xml:space="preserve"> Week 2</w:t>
      </w:r>
      <w:r w:rsidRPr="000526AB">
        <w:rPr>
          <w:lang w:eastAsia="ja-JP"/>
        </w:rPr>
        <w:t>4. The VTE PRN phase ran from</w:t>
      </w:r>
      <w:r w:rsidR="00300BDB">
        <w:rPr>
          <w:lang w:eastAsia="ja-JP"/>
        </w:rPr>
        <w:t xml:space="preserve"> Week 2</w:t>
      </w:r>
      <w:r w:rsidRPr="000526AB">
        <w:rPr>
          <w:lang w:eastAsia="ja-JP"/>
        </w:rPr>
        <w:t>4 to</w:t>
      </w:r>
      <w:r w:rsidR="00300BDB">
        <w:rPr>
          <w:lang w:eastAsia="ja-JP"/>
        </w:rPr>
        <w:t xml:space="preserve"> Week 1</w:t>
      </w:r>
      <w:r w:rsidRPr="000526AB">
        <w:rPr>
          <w:lang w:eastAsia="ja-JP"/>
        </w:rPr>
        <w:t>00 in COPERNICUS and from</w:t>
      </w:r>
      <w:r w:rsidR="00300BDB">
        <w:rPr>
          <w:lang w:eastAsia="ja-JP"/>
        </w:rPr>
        <w:t xml:space="preserve"> Week 2</w:t>
      </w:r>
      <w:r w:rsidRPr="000526AB">
        <w:rPr>
          <w:lang w:eastAsia="ja-JP"/>
        </w:rPr>
        <w:t>4 to</w:t>
      </w:r>
      <w:r w:rsidR="00300BDB">
        <w:rPr>
          <w:lang w:eastAsia="ja-JP"/>
        </w:rPr>
        <w:t xml:space="preserve"> Week 7</w:t>
      </w:r>
      <w:r w:rsidRPr="000526AB">
        <w:rPr>
          <w:lang w:eastAsia="ja-JP"/>
        </w:rPr>
        <w:t>6 in GALILEO. The sponsor proposes that, following the first 6 months treatment with VTE2Q4, subjects should continue treatment with VTE2Q8 rather than switching to VTE PRN. However, there are no confirmatory data supporting the proposed VTE2Q8 regimen from 6 months onwards. In both COPERNICUS and GALILEO, improvements in BCVA at</w:t>
      </w:r>
      <w:r w:rsidR="00300BDB">
        <w:rPr>
          <w:lang w:eastAsia="ja-JP"/>
        </w:rPr>
        <w:t xml:space="preserve"> Week 2</w:t>
      </w:r>
      <w:r w:rsidRPr="000526AB">
        <w:rPr>
          <w:lang w:eastAsia="ja-JP"/>
        </w:rPr>
        <w:t>4 were largely maintained through to</w:t>
      </w:r>
      <w:r w:rsidR="00300BDB">
        <w:rPr>
          <w:lang w:eastAsia="ja-JP"/>
        </w:rPr>
        <w:t xml:space="preserve"> Week 5</w:t>
      </w:r>
      <w:r w:rsidRPr="000526AB">
        <w:rPr>
          <w:lang w:eastAsia="ja-JP"/>
        </w:rPr>
        <w:t xml:space="preserve">2 following switching to VTE PRN based on monthly assessment for </w:t>
      </w:r>
      <w:r w:rsidR="00427821">
        <w:rPr>
          <w:lang w:eastAsia="ja-JP"/>
        </w:rPr>
        <w:t xml:space="preserve">re </w:t>
      </w:r>
      <w:r w:rsidR="00C84038">
        <w:rPr>
          <w:lang w:eastAsia="ja-JP"/>
        </w:rPr>
        <w:t>treatment</w:t>
      </w:r>
      <w:r w:rsidR="000B2A99">
        <w:rPr>
          <w:lang w:eastAsia="ja-JP"/>
        </w:rPr>
        <w:t>.</w:t>
      </w:r>
    </w:p>
    <w:p w:rsidR="000526AB" w:rsidRPr="000526AB" w:rsidRDefault="000526AB" w:rsidP="000B2A99">
      <w:pPr>
        <w:rPr>
          <w:lang w:eastAsia="ja-JP"/>
        </w:rPr>
      </w:pPr>
      <w:r w:rsidRPr="000526AB">
        <w:rPr>
          <w:lang w:eastAsia="ja-JP"/>
        </w:rPr>
        <w:t>In COPERNICUS, 56.1% (64/114) of subjects in the VTE2Q4 group gained 15 or more letters at</w:t>
      </w:r>
      <w:r w:rsidR="00300BDB">
        <w:rPr>
          <w:lang w:eastAsia="ja-JP"/>
        </w:rPr>
        <w:t xml:space="preserve"> Week 2</w:t>
      </w:r>
      <w:r w:rsidRPr="000526AB">
        <w:rPr>
          <w:lang w:eastAsia="ja-JP"/>
        </w:rPr>
        <w:t>4 compared with 12.3% (9/73) of subjects in the sham group, with the adjusted difference between the two groups being 44.8% (95% CI: 33.0, 56.6), p&lt;0.0001. In the primary efficacy analysis, subjects who discontinued before</w:t>
      </w:r>
      <w:r w:rsidR="00300BDB">
        <w:rPr>
          <w:lang w:eastAsia="ja-JP"/>
        </w:rPr>
        <w:t xml:space="preserve"> Week 2</w:t>
      </w:r>
      <w:r w:rsidRPr="000526AB">
        <w:rPr>
          <w:lang w:eastAsia="ja-JP"/>
        </w:rPr>
        <w:t>4 with &lt; 5 injections were assessed as failures (otherwise LOCF). Two sensitivity analyses of the primary efficacy endpoint both supported the results observed for the primary efficacy analysis. One of the sensitivity analyses assessed all subjects discontinued before</w:t>
      </w:r>
      <w:r w:rsidR="00300BDB">
        <w:rPr>
          <w:lang w:eastAsia="ja-JP"/>
        </w:rPr>
        <w:t xml:space="preserve"> Week 2</w:t>
      </w:r>
      <w:r w:rsidRPr="000526AB">
        <w:rPr>
          <w:lang w:eastAsia="ja-JP"/>
        </w:rPr>
        <w:t>4 as treatment failures and the other sensitivity analysis used the LOCF m</w:t>
      </w:r>
      <w:r w:rsidR="001006D2">
        <w:rPr>
          <w:lang w:eastAsia="ja-JP"/>
        </w:rPr>
        <w:t>ethod to impute missing values.</w:t>
      </w:r>
    </w:p>
    <w:p w:rsidR="000526AB" w:rsidRPr="000526AB" w:rsidRDefault="000526AB" w:rsidP="000B2A99">
      <w:pPr>
        <w:rPr>
          <w:lang w:eastAsia="ja-JP"/>
        </w:rPr>
      </w:pPr>
      <w:r w:rsidRPr="000526AB">
        <w:rPr>
          <w:lang w:eastAsia="ja-JP"/>
        </w:rPr>
        <w:t>In GALILEO, 60.2% (62/103) of subjects in the VTE2Q4 group gained 15 or more letters at</w:t>
      </w:r>
      <w:r w:rsidR="00300BDB">
        <w:rPr>
          <w:lang w:eastAsia="ja-JP"/>
        </w:rPr>
        <w:t xml:space="preserve"> Week 2</w:t>
      </w:r>
      <w:r w:rsidRPr="000526AB">
        <w:rPr>
          <w:lang w:eastAsia="ja-JP"/>
        </w:rPr>
        <w:t>4 compared with 22.1% (15/68) in the sham group, with the adjusted difference between the two groups being 38.3% (95% CI: 24.4, 52.1), p&lt;0.0001. In the primary efficacy analysis, subjects who discontinued before</w:t>
      </w:r>
      <w:r w:rsidR="00300BDB">
        <w:rPr>
          <w:lang w:eastAsia="ja-JP"/>
        </w:rPr>
        <w:t xml:space="preserve"> Week 2</w:t>
      </w:r>
      <w:r w:rsidRPr="000526AB">
        <w:rPr>
          <w:lang w:eastAsia="ja-JP"/>
        </w:rPr>
        <w:t xml:space="preserve">4 were all assessed as treatment failures. </w:t>
      </w:r>
      <w:r w:rsidRPr="000526AB">
        <w:rPr>
          <w:lang w:eastAsia="ja-JP"/>
        </w:rPr>
        <w:lastRenderedPageBreak/>
        <w:t>Two sensitivity analyses of the primary efficacy endpoint in GALILEO both supported the results observed for the primary efficacy analysis. One of the sensitivity analyses assessed subjects discontinued before</w:t>
      </w:r>
      <w:r w:rsidR="00300BDB">
        <w:rPr>
          <w:lang w:eastAsia="ja-JP"/>
        </w:rPr>
        <w:t xml:space="preserve"> Week 2</w:t>
      </w:r>
      <w:r w:rsidRPr="000526AB">
        <w:rPr>
          <w:lang w:eastAsia="ja-JP"/>
        </w:rPr>
        <w:t>4 with &lt; 5 injections as failures (otherwise LOCF), and the other sensitivity analysis used the LOCF m</w:t>
      </w:r>
      <w:r w:rsidR="000B2A99">
        <w:rPr>
          <w:lang w:eastAsia="ja-JP"/>
        </w:rPr>
        <w:t>ethod to impute missing values.</w:t>
      </w:r>
    </w:p>
    <w:p w:rsidR="000526AB" w:rsidRPr="000526AB" w:rsidRDefault="000526AB" w:rsidP="000B2A99">
      <w:pPr>
        <w:rPr>
          <w:lang w:eastAsia="ja-JP"/>
        </w:rPr>
      </w:pPr>
      <w:r w:rsidRPr="000526AB">
        <w:rPr>
          <w:lang w:eastAsia="ja-JP"/>
        </w:rPr>
        <w:t>In COPERNICUS, the results for all four secondary efficacy endpoints at</w:t>
      </w:r>
      <w:r w:rsidR="00300BDB">
        <w:rPr>
          <w:lang w:eastAsia="ja-JP"/>
        </w:rPr>
        <w:t xml:space="preserve"> Week 2</w:t>
      </w:r>
      <w:r w:rsidRPr="000526AB">
        <w:rPr>
          <w:lang w:eastAsia="ja-JP"/>
        </w:rPr>
        <w:t>4 (analysed in a pre-specified hierarchical manner to account for multiplicity) clinically and statistically significantly favoured VTE2Q4 compared with sham (</w:t>
      </w:r>
      <w:r w:rsidR="00DE22F3">
        <w:rPr>
          <w:lang w:eastAsia="ja-JP"/>
        </w:rPr>
        <w:t>that is,</w:t>
      </w:r>
      <w:r w:rsidRPr="000526AB">
        <w:rPr>
          <w:lang w:eastAsia="ja-JP"/>
        </w:rPr>
        <w:t xml:space="preserve"> change from baseline in BCVA score, change from baseline in CRT, progression to any </w:t>
      </w:r>
      <w:r w:rsidR="00ED3DEB">
        <w:rPr>
          <w:lang w:eastAsia="ja-JP"/>
        </w:rPr>
        <w:t>neovascularisation</w:t>
      </w:r>
      <w:r w:rsidRPr="000526AB">
        <w:rPr>
          <w:lang w:eastAsia="ja-JP"/>
        </w:rPr>
        <w:t xml:space="preserve"> and change from baseline in the NEI VFQ-25 total score). The results for the secondary efficacy analyses fully support the primary efficacy analysis showing that treatment with VTE2Q4 for 24 weeks is superior to sham.</w:t>
      </w:r>
    </w:p>
    <w:p w:rsidR="000526AB" w:rsidRPr="000526AB" w:rsidRDefault="000526AB" w:rsidP="000B2A99">
      <w:pPr>
        <w:rPr>
          <w:lang w:eastAsia="ja-JP"/>
        </w:rPr>
      </w:pPr>
      <w:r w:rsidRPr="000526AB">
        <w:rPr>
          <w:lang w:eastAsia="ja-JP"/>
        </w:rPr>
        <w:t>In GALILEO, there were five secondary efficacy endpoints at</w:t>
      </w:r>
      <w:r w:rsidR="00300BDB">
        <w:rPr>
          <w:lang w:eastAsia="ja-JP"/>
        </w:rPr>
        <w:t xml:space="preserve"> Week 2</w:t>
      </w:r>
      <w:r w:rsidRPr="000526AB">
        <w:rPr>
          <w:lang w:eastAsia="ja-JP"/>
        </w:rPr>
        <w:t>4 and clinically and statistically significant differences in favour of VTE2Q4 compared with sham were seen for the first two endpoints tested using the pre-specified hierarchical sequence (</w:t>
      </w:r>
      <w:r w:rsidR="00DE22F3">
        <w:rPr>
          <w:lang w:eastAsia="ja-JP"/>
        </w:rPr>
        <w:t>that is,</w:t>
      </w:r>
      <w:r w:rsidRPr="000526AB">
        <w:rPr>
          <w:lang w:eastAsia="ja-JP"/>
        </w:rPr>
        <w:t xml:space="preserve"> change from baseline in BCVA score and change from baseline in CRT). However, as there was no statistically significant difference between the two treatments for the third sequential secondary efficacy endpoint (progression to any </w:t>
      </w:r>
      <w:r w:rsidR="00ED3DEB">
        <w:rPr>
          <w:lang w:eastAsia="ja-JP"/>
        </w:rPr>
        <w:t>neovascularisation</w:t>
      </w:r>
      <w:r w:rsidRPr="000526AB">
        <w:rPr>
          <w:lang w:eastAsia="ja-JP"/>
        </w:rPr>
        <w:t>) hypothesis testing was stopped. Therefore, for the sequential fourth and fifth secondary efficacy endpoints, the p-values for the comparisons between the two treatment groups were nominal rather than confirmatory (</w:t>
      </w:r>
      <w:r w:rsidR="00DE22F3">
        <w:rPr>
          <w:lang w:eastAsia="ja-JP"/>
        </w:rPr>
        <w:t>that is,</w:t>
      </w:r>
      <w:r w:rsidRPr="000526AB">
        <w:rPr>
          <w:lang w:eastAsia="ja-JP"/>
        </w:rPr>
        <w:t xml:space="preserve"> changes from baseline in the NEI VFQ-25 total score [</w:t>
      </w:r>
      <w:r w:rsidR="00DE22F3">
        <w:rPr>
          <w:lang w:eastAsia="ja-JP"/>
        </w:rPr>
        <w:t>fourth</w:t>
      </w:r>
      <w:r w:rsidRPr="000526AB">
        <w:rPr>
          <w:lang w:eastAsia="ja-JP"/>
        </w:rPr>
        <w:t xml:space="preserve"> endpoint] and the EQ-5D total score [</w:t>
      </w:r>
      <w:r w:rsidR="00DE22F3">
        <w:rPr>
          <w:lang w:eastAsia="ja-JP"/>
        </w:rPr>
        <w:t>fifth</w:t>
      </w:r>
      <w:r w:rsidRPr="000526AB">
        <w:rPr>
          <w:vertAlign w:val="superscript"/>
          <w:lang w:eastAsia="ja-JP"/>
        </w:rPr>
        <w:t xml:space="preserve"> </w:t>
      </w:r>
      <w:r w:rsidRPr="000526AB">
        <w:rPr>
          <w:lang w:eastAsia="ja-JP"/>
        </w:rPr>
        <w:t>endpoint]). The results for the secondary efficacy analyses partially support the primary efficacy analysis showing that treatment with VTE2Q4 for 24 weeks is superior to sham.</w:t>
      </w:r>
    </w:p>
    <w:p w:rsidR="000526AB" w:rsidRPr="000526AB" w:rsidRDefault="000526AB" w:rsidP="000B2A99">
      <w:pPr>
        <w:rPr>
          <w:lang w:eastAsia="ja-JP"/>
        </w:rPr>
      </w:pPr>
      <w:r w:rsidRPr="000526AB">
        <w:rPr>
          <w:lang w:eastAsia="ja-JP"/>
        </w:rPr>
        <w:t>In both COPERNICUS and GALILEO, efficacy was assessed at</w:t>
      </w:r>
      <w:r w:rsidR="00300BDB">
        <w:rPr>
          <w:lang w:eastAsia="ja-JP"/>
        </w:rPr>
        <w:t xml:space="preserve"> Week 5</w:t>
      </w:r>
      <w:r w:rsidRPr="000526AB">
        <w:rPr>
          <w:lang w:eastAsia="ja-JP"/>
        </w:rPr>
        <w:t>2 following a VTE PRN phase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and efficacy was also assessed at</w:t>
      </w:r>
      <w:r w:rsidR="00300BDB">
        <w:rPr>
          <w:lang w:eastAsia="ja-JP"/>
        </w:rPr>
        <w:t xml:space="preserve"> Week 1</w:t>
      </w:r>
      <w:r w:rsidRPr="000526AB">
        <w:rPr>
          <w:lang w:eastAsia="ja-JP"/>
        </w:rPr>
        <w:t>00 in COPERNICUS following a further VTE PRN extension phase from</w:t>
      </w:r>
      <w:r w:rsidR="00300BDB">
        <w:rPr>
          <w:lang w:eastAsia="ja-JP"/>
        </w:rPr>
        <w:t xml:space="preserve"> Week 5</w:t>
      </w:r>
      <w:r w:rsidRPr="000526AB">
        <w:rPr>
          <w:lang w:eastAsia="ja-JP"/>
        </w:rPr>
        <w:t>2 to</w:t>
      </w:r>
      <w:r w:rsidR="00300BDB">
        <w:rPr>
          <w:lang w:eastAsia="ja-JP"/>
        </w:rPr>
        <w:t xml:space="preserve"> Week 1</w:t>
      </w:r>
      <w:r w:rsidRPr="000526AB">
        <w:rPr>
          <w:lang w:eastAsia="ja-JP"/>
        </w:rPr>
        <w:t>00, and at</w:t>
      </w:r>
      <w:r w:rsidR="00300BDB">
        <w:rPr>
          <w:lang w:eastAsia="ja-JP"/>
        </w:rPr>
        <w:t xml:space="preserve"> Week 7</w:t>
      </w:r>
      <w:r w:rsidRPr="000526AB">
        <w:rPr>
          <w:lang w:eastAsia="ja-JP"/>
        </w:rPr>
        <w:t>6 in GALILEO following a further PRN extension phase from</w:t>
      </w:r>
      <w:r w:rsidR="00300BDB">
        <w:rPr>
          <w:lang w:eastAsia="ja-JP"/>
        </w:rPr>
        <w:t xml:space="preserve"> Week 5</w:t>
      </w:r>
      <w:r w:rsidRPr="000526AB">
        <w:rPr>
          <w:lang w:eastAsia="ja-JP"/>
        </w:rPr>
        <w:t>2 to</w:t>
      </w:r>
      <w:r w:rsidR="00300BDB">
        <w:rPr>
          <w:lang w:eastAsia="ja-JP"/>
        </w:rPr>
        <w:t xml:space="preserve"> Week 7</w:t>
      </w:r>
      <w:r w:rsidRPr="000526AB">
        <w:rPr>
          <w:lang w:eastAsia="ja-JP"/>
        </w:rPr>
        <w:t>6. In both studies, efficacy endpoints assessed at time</w:t>
      </w:r>
      <w:r w:rsidR="00DE22F3">
        <w:rPr>
          <w:lang w:eastAsia="ja-JP"/>
        </w:rPr>
        <w:t xml:space="preserve"> </w:t>
      </w:r>
      <w:r w:rsidRPr="000526AB">
        <w:rPr>
          <w:lang w:eastAsia="ja-JP"/>
        </w:rPr>
        <w:t>points after</w:t>
      </w:r>
      <w:r w:rsidR="00300BDB">
        <w:rPr>
          <w:lang w:eastAsia="ja-JP"/>
        </w:rPr>
        <w:t xml:space="preserve"> Week 2</w:t>
      </w:r>
      <w:r w:rsidRPr="000526AB">
        <w:rPr>
          <w:lang w:eastAsia="ja-JP"/>
        </w:rPr>
        <w:t xml:space="preserve">4 were defined as tertiary efficacy endpoints and were considered to be exploratory rather than confirmatory, with all p-values for pair-wise comparisons being nominal (descriptive). No statistical adjustments were made for multiplicity of testing of tertiary efficacy </w:t>
      </w:r>
      <w:r w:rsidR="000B2A99">
        <w:rPr>
          <w:lang w:eastAsia="ja-JP"/>
        </w:rPr>
        <w:t>endpoints.</w:t>
      </w:r>
    </w:p>
    <w:p w:rsidR="000526AB" w:rsidRPr="000526AB" w:rsidRDefault="000526AB" w:rsidP="000B2A99">
      <w:pPr>
        <w:rPr>
          <w:lang w:eastAsia="ja-JP"/>
        </w:rPr>
      </w:pPr>
      <w:r w:rsidRPr="000526AB">
        <w:rPr>
          <w:lang w:eastAsia="ja-JP"/>
        </w:rPr>
        <w:t>In COPERNICUS, from</w:t>
      </w:r>
      <w:r w:rsidR="00300BDB">
        <w:rPr>
          <w:lang w:eastAsia="ja-JP"/>
        </w:rPr>
        <w:t xml:space="preserve"> Week 2</w:t>
      </w:r>
      <w:r w:rsidRPr="000526AB">
        <w:rPr>
          <w:lang w:eastAsia="ja-JP"/>
        </w:rPr>
        <w:t xml:space="preserve">4 through to </w:t>
      </w:r>
      <w:r w:rsidR="00DE22F3">
        <w:rPr>
          <w:lang w:eastAsia="ja-JP"/>
        </w:rPr>
        <w:t>W</w:t>
      </w:r>
      <w:r w:rsidRPr="000526AB">
        <w:rPr>
          <w:lang w:eastAsia="ja-JP"/>
        </w:rPr>
        <w:t xml:space="preserve">eek 48 subjects in both the VTE and sham groups were assessed monthly to receive either VTE PRN or sham according to pre-specified </w:t>
      </w:r>
      <w:r w:rsidR="00427821">
        <w:rPr>
          <w:lang w:eastAsia="ja-JP"/>
        </w:rPr>
        <w:t xml:space="preserve">re </w:t>
      </w:r>
      <w:r w:rsidR="00C84038">
        <w:rPr>
          <w:lang w:eastAsia="ja-JP"/>
        </w:rPr>
        <w:t>treatment</w:t>
      </w:r>
      <w:r w:rsidRPr="000526AB">
        <w:rPr>
          <w:lang w:eastAsia="ja-JP"/>
        </w:rPr>
        <w:t xml:space="preserve"> criteria. Starting at</w:t>
      </w:r>
      <w:r w:rsidR="00300BDB">
        <w:rPr>
          <w:lang w:eastAsia="ja-JP"/>
        </w:rPr>
        <w:t xml:space="preserve"> Week 5</w:t>
      </w:r>
      <w:r w:rsidRPr="000526AB">
        <w:rPr>
          <w:lang w:eastAsia="ja-JP"/>
        </w:rPr>
        <w:t>2, all subjects were eligible to continue in a 1</w:t>
      </w:r>
      <w:r w:rsidR="00DE22F3">
        <w:rPr>
          <w:lang w:eastAsia="ja-JP"/>
        </w:rPr>
        <w:t xml:space="preserve"> </w:t>
      </w:r>
      <w:r w:rsidRPr="000526AB">
        <w:rPr>
          <w:lang w:eastAsia="ja-JP"/>
        </w:rPr>
        <w:t>year PRN extension during which they were evaluated every quarterly to receive open</w:t>
      </w:r>
      <w:r w:rsidR="00DE22F3">
        <w:rPr>
          <w:lang w:eastAsia="ja-JP"/>
        </w:rPr>
        <w:t xml:space="preserve"> </w:t>
      </w:r>
      <w:r w:rsidRPr="000526AB">
        <w:rPr>
          <w:lang w:eastAsia="ja-JP"/>
        </w:rPr>
        <w:t xml:space="preserve">label VTE according to pre-specified </w:t>
      </w:r>
      <w:r w:rsidR="00427821">
        <w:rPr>
          <w:lang w:eastAsia="ja-JP"/>
        </w:rPr>
        <w:t xml:space="preserve">re </w:t>
      </w:r>
      <w:r w:rsidR="00C84038">
        <w:rPr>
          <w:lang w:eastAsia="ja-JP"/>
        </w:rPr>
        <w:t>treatment</w:t>
      </w:r>
      <w:r w:rsidRPr="000526AB">
        <w:rPr>
          <w:lang w:eastAsia="ja-JP"/>
        </w:rPr>
        <w:t xml:space="preserve"> criteria. However, if in the investigator’s opinion a subject required more frequent VTE dosing than quarterly in the</w:t>
      </w:r>
      <w:r w:rsidR="00300BDB">
        <w:rPr>
          <w:lang w:eastAsia="ja-JP"/>
        </w:rPr>
        <w:t xml:space="preserve"> Week 5</w:t>
      </w:r>
      <w:r w:rsidRPr="000526AB">
        <w:rPr>
          <w:lang w:eastAsia="ja-JP"/>
        </w:rPr>
        <w:t>2 to</w:t>
      </w:r>
      <w:r w:rsidR="00300BDB">
        <w:rPr>
          <w:lang w:eastAsia="ja-JP"/>
        </w:rPr>
        <w:t xml:space="preserve"> Week 1</w:t>
      </w:r>
      <w:r w:rsidRPr="000526AB">
        <w:rPr>
          <w:lang w:eastAsia="ja-JP"/>
        </w:rPr>
        <w:t xml:space="preserve">00 PRN phase then VTE injections may have been given </w:t>
      </w:r>
      <w:r w:rsidR="000B2A99">
        <w:rPr>
          <w:lang w:eastAsia="ja-JP"/>
        </w:rPr>
        <w:t>as frequently as every 4 weeks.</w:t>
      </w:r>
    </w:p>
    <w:p w:rsidR="000526AB" w:rsidRPr="000526AB" w:rsidRDefault="000526AB" w:rsidP="000B2A99">
      <w:pPr>
        <w:rPr>
          <w:lang w:eastAsia="ja-JP"/>
        </w:rPr>
      </w:pPr>
      <w:r w:rsidRPr="000526AB">
        <w:rPr>
          <w:lang w:eastAsia="ja-JP"/>
        </w:rPr>
        <w:t>In COPERNICUS, comparisons between the sham+VTE PRN and VTE2Q4+PRN treatment groups after</w:t>
      </w:r>
      <w:r w:rsidR="00300BDB">
        <w:rPr>
          <w:lang w:eastAsia="ja-JP"/>
        </w:rPr>
        <w:t xml:space="preserve"> Week 2</w:t>
      </w:r>
      <w:r w:rsidRPr="000526AB">
        <w:rPr>
          <w:lang w:eastAsia="ja-JP"/>
        </w:rPr>
        <w:t>4 are confounded by the presence of subjects treated with VTE in the sham+VTE PRN group. Of the 60 subjects in the sham treatment group who completed</w:t>
      </w:r>
      <w:r w:rsidR="00300BDB">
        <w:rPr>
          <w:lang w:eastAsia="ja-JP"/>
        </w:rPr>
        <w:t xml:space="preserve"> Week 2</w:t>
      </w:r>
      <w:r w:rsidRPr="000526AB">
        <w:rPr>
          <w:lang w:eastAsia="ja-JP"/>
        </w:rPr>
        <w:t>4 and were eligible to receive VTE after</w:t>
      </w:r>
      <w:r w:rsidR="00300BDB">
        <w:rPr>
          <w:lang w:eastAsia="ja-JP"/>
        </w:rPr>
        <w:t xml:space="preserve"> Week 2</w:t>
      </w:r>
      <w:r w:rsidRPr="000526AB">
        <w:rPr>
          <w:lang w:eastAsia="ja-JP"/>
        </w:rPr>
        <w:t>4, 57 (95%) subjects crossed-over to receive at least one VTE PRN injection through to</w:t>
      </w:r>
      <w:r w:rsidR="00300BDB">
        <w:rPr>
          <w:lang w:eastAsia="ja-JP"/>
        </w:rPr>
        <w:t xml:space="preserve"> Week 1</w:t>
      </w:r>
      <w:r w:rsidRPr="000526AB">
        <w:rPr>
          <w:lang w:eastAsia="ja-JP"/>
        </w:rPr>
        <w:t>00. The mean (SD) number of VTE injections received by subjects in the sham+VTE PRN group from baseline to</w:t>
      </w:r>
      <w:r w:rsidR="00300BDB">
        <w:rPr>
          <w:lang w:eastAsia="ja-JP"/>
        </w:rPr>
        <w:t xml:space="preserve"> Week 1</w:t>
      </w:r>
      <w:r w:rsidRPr="000526AB">
        <w:rPr>
          <w:lang w:eastAsia="ja-JP"/>
        </w:rPr>
        <w:t>00 was 6.4 (3.72), with a median of 7.0 injections and a range of 0 to 15 injections. Of the 110 subjects in the VTE2Q4 group who completed</w:t>
      </w:r>
      <w:r w:rsidR="00300BDB">
        <w:rPr>
          <w:lang w:eastAsia="ja-JP"/>
        </w:rPr>
        <w:t xml:space="preserve"> Week 2</w:t>
      </w:r>
      <w:r w:rsidRPr="000526AB">
        <w:rPr>
          <w:lang w:eastAsia="ja-JP"/>
        </w:rPr>
        <w:t>4 and were eligible to receive VTE PRN after</w:t>
      </w:r>
      <w:r w:rsidR="00300BDB">
        <w:rPr>
          <w:lang w:eastAsia="ja-JP"/>
        </w:rPr>
        <w:t xml:space="preserve"> Week 2</w:t>
      </w:r>
      <w:r w:rsidRPr="000526AB">
        <w:rPr>
          <w:lang w:eastAsia="ja-JP"/>
        </w:rPr>
        <w:t>4, 106 (96.4%) subjects received at least one VTE PRN injection through to</w:t>
      </w:r>
      <w:r w:rsidR="00300BDB">
        <w:rPr>
          <w:lang w:eastAsia="ja-JP"/>
        </w:rPr>
        <w:t xml:space="preserve"> Week 1</w:t>
      </w:r>
      <w:r w:rsidRPr="000526AB">
        <w:rPr>
          <w:lang w:eastAsia="ja-JP"/>
        </w:rPr>
        <w:t>00. The mean (SD) number of VTE injection received by subjects in the VTE2Q4+PRN group from baseline to</w:t>
      </w:r>
      <w:r w:rsidR="00300BDB">
        <w:rPr>
          <w:lang w:eastAsia="ja-JP"/>
        </w:rPr>
        <w:t xml:space="preserve"> Week 1</w:t>
      </w:r>
      <w:r w:rsidRPr="000526AB">
        <w:rPr>
          <w:lang w:eastAsia="ja-JP"/>
        </w:rPr>
        <w:t>00 was 11.8 (3.35), with a median of 11.5 injections and a range of 4 to 21 injections. In the</w:t>
      </w:r>
      <w:r w:rsidR="00300BDB">
        <w:rPr>
          <w:lang w:eastAsia="ja-JP"/>
        </w:rPr>
        <w:t xml:space="preserve"> Week 2</w:t>
      </w:r>
      <w:r w:rsidRPr="000526AB">
        <w:rPr>
          <w:lang w:eastAsia="ja-JP"/>
        </w:rPr>
        <w:t>4 to</w:t>
      </w:r>
      <w:r w:rsidR="00300BDB">
        <w:rPr>
          <w:lang w:eastAsia="ja-JP"/>
        </w:rPr>
        <w:t xml:space="preserve"> Week 1</w:t>
      </w:r>
      <w:r w:rsidRPr="000526AB">
        <w:rPr>
          <w:lang w:eastAsia="ja-JP"/>
        </w:rPr>
        <w:t>00 PRN phase, 80% (n=48) of subjects in the sham+VTE PRN group and 29.1% (n=32) of subjects in the VTE2Q4+PRN group received a VTE PRN injection at the first eligible time</w:t>
      </w:r>
      <w:r w:rsidR="00253F67">
        <w:rPr>
          <w:lang w:eastAsia="ja-JP"/>
        </w:rPr>
        <w:t xml:space="preserve"> </w:t>
      </w:r>
      <w:r w:rsidRPr="000526AB">
        <w:rPr>
          <w:lang w:eastAsia="ja-JP"/>
        </w:rPr>
        <w:t xml:space="preserve">point </w:t>
      </w:r>
      <w:r w:rsidRPr="000526AB">
        <w:rPr>
          <w:lang w:eastAsia="ja-JP"/>
        </w:rPr>
        <w:lastRenderedPageBreak/>
        <w:t>(</w:t>
      </w:r>
      <w:r w:rsidR="00253F67">
        <w:rPr>
          <w:lang w:eastAsia="ja-JP"/>
        </w:rPr>
        <w:t>that is,</w:t>
      </w:r>
      <w:r w:rsidRPr="000526AB">
        <w:rPr>
          <w:lang w:eastAsia="ja-JP"/>
        </w:rPr>
        <w:t xml:space="preserve"> at</w:t>
      </w:r>
      <w:r w:rsidR="00300BDB">
        <w:rPr>
          <w:lang w:eastAsia="ja-JP"/>
        </w:rPr>
        <w:t xml:space="preserve"> Week 2</w:t>
      </w:r>
      <w:r w:rsidRPr="000526AB">
        <w:rPr>
          <w:lang w:eastAsia="ja-JP"/>
        </w:rPr>
        <w:t>4). The mean (SD) time to first injection in the</w:t>
      </w:r>
      <w:r w:rsidR="00300BDB">
        <w:rPr>
          <w:lang w:eastAsia="ja-JP"/>
        </w:rPr>
        <w:t xml:space="preserve"> Week 2</w:t>
      </w:r>
      <w:r w:rsidRPr="000526AB">
        <w:rPr>
          <w:lang w:eastAsia="ja-JP"/>
        </w:rPr>
        <w:t>4 to</w:t>
      </w:r>
      <w:r w:rsidR="00300BDB">
        <w:rPr>
          <w:lang w:eastAsia="ja-JP"/>
        </w:rPr>
        <w:t xml:space="preserve"> Week 1</w:t>
      </w:r>
      <w:r w:rsidRPr="000526AB">
        <w:rPr>
          <w:lang w:eastAsia="ja-JP"/>
        </w:rPr>
        <w:t>00 PRN phase was shorter in the sham+VTE PRN group than in the VTE2Q4+PRN group (54.5 [98.57] days</w:t>
      </w:r>
      <w:r w:rsidR="0091044A">
        <w:rPr>
          <w:lang w:eastAsia="ja-JP"/>
        </w:rPr>
        <w:t xml:space="preserve"> versus </w:t>
      </w:r>
      <w:r w:rsidR="000B2A99">
        <w:rPr>
          <w:lang w:eastAsia="ja-JP"/>
        </w:rPr>
        <w:t>92.8 [98.78] days).</w:t>
      </w:r>
    </w:p>
    <w:p w:rsidR="000526AB" w:rsidRPr="000526AB" w:rsidRDefault="000526AB" w:rsidP="000B2A99">
      <w:pPr>
        <w:rPr>
          <w:lang w:eastAsia="ja-JP"/>
        </w:rPr>
      </w:pPr>
      <w:r w:rsidRPr="000526AB">
        <w:rPr>
          <w:lang w:eastAsia="ja-JP"/>
        </w:rPr>
        <w:t xml:space="preserve">The results (COPERNICUS) for the proportion of subjects who gained </w:t>
      </w:r>
      <w:r w:rsidR="00253F67">
        <w:rPr>
          <w:lang w:eastAsia="ja-JP"/>
        </w:rPr>
        <w:t>at least 15 letters in BCVA at W</w:t>
      </w:r>
      <w:r w:rsidRPr="000526AB">
        <w:rPr>
          <w:lang w:eastAsia="ja-JP"/>
        </w:rPr>
        <w:t>ee</w:t>
      </w:r>
      <w:r w:rsidR="00253F67">
        <w:rPr>
          <w:lang w:eastAsia="ja-JP"/>
        </w:rPr>
        <w:t>ks 24, 52 and 100 are summaris</w:t>
      </w:r>
      <w:r w:rsidRPr="000526AB">
        <w:rPr>
          <w:lang w:eastAsia="ja-JP"/>
        </w:rPr>
        <w:t>ed below in Table 1</w:t>
      </w:r>
      <w:r w:rsidR="00253F67">
        <w:rPr>
          <w:lang w:eastAsia="ja-JP"/>
        </w:rPr>
        <w:t>3</w:t>
      </w:r>
      <w:r w:rsidRPr="000526AB">
        <w:rPr>
          <w:lang w:eastAsia="ja-JP"/>
        </w:rPr>
        <w:t>. The results show that the proportion of subjects in the VTE2Q4+PRN group who gained at least 15 letters from baseline was similar at</w:t>
      </w:r>
      <w:r w:rsidR="00300BDB">
        <w:rPr>
          <w:lang w:eastAsia="ja-JP"/>
        </w:rPr>
        <w:t xml:space="preserve"> Week 2</w:t>
      </w:r>
      <w:r w:rsidRPr="000526AB">
        <w:rPr>
          <w:lang w:eastAsia="ja-JP"/>
        </w:rPr>
        <w:t>4 (56.1%) and</w:t>
      </w:r>
      <w:r w:rsidR="00300BDB">
        <w:rPr>
          <w:lang w:eastAsia="ja-JP"/>
        </w:rPr>
        <w:t xml:space="preserve"> Week 5</w:t>
      </w:r>
      <w:r w:rsidRPr="000526AB">
        <w:rPr>
          <w:lang w:eastAsia="ja-JP"/>
        </w:rPr>
        <w:t>2 (55.3%) but had fallen by 7% from</w:t>
      </w:r>
      <w:r w:rsidR="00300BDB">
        <w:rPr>
          <w:lang w:eastAsia="ja-JP"/>
        </w:rPr>
        <w:t xml:space="preserve"> Week 2</w:t>
      </w:r>
      <w:r w:rsidRPr="000526AB">
        <w:rPr>
          <w:lang w:eastAsia="ja-JP"/>
        </w:rPr>
        <w:t>4 at</w:t>
      </w:r>
      <w:r w:rsidR="00300BDB">
        <w:rPr>
          <w:lang w:eastAsia="ja-JP"/>
        </w:rPr>
        <w:t xml:space="preserve"> Week 1</w:t>
      </w:r>
      <w:r w:rsidR="000B2A99">
        <w:rPr>
          <w:lang w:eastAsia="ja-JP"/>
        </w:rPr>
        <w:t>00 (49.1%).</w:t>
      </w:r>
    </w:p>
    <w:p w:rsidR="000526AB" w:rsidRPr="000526AB" w:rsidRDefault="000526AB" w:rsidP="000B2A99">
      <w:pPr>
        <w:pStyle w:val="TableTitle"/>
        <w:rPr>
          <w:lang w:eastAsia="ja-JP"/>
        </w:rPr>
      </w:pPr>
      <w:bookmarkStart w:id="104" w:name="_Toc221767066"/>
      <w:r w:rsidRPr="000526AB">
        <w:rPr>
          <w:lang w:eastAsia="ja-JP"/>
        </w:rPr>
        <w:t>Table</w:t>
      </w:r>
      <w:r w:rsidR="00253F67">
        <w:rPr>
          <w:lang w:eastAsia="ja-JP"/>
        </w:rPr>
        <w:t xml:space="preserve"> 13</w:t>
      </w:r>
      <w:r w:rsidRPr="000526AB">
        <w:rPr>
          <w:lang w:eastAsia="ja-JP"/>
        </w:rPr>
        <w:t>: COPERNICUS – Proportion of subjects who gained at least 15 letters at Weeks 24, 52, and 100; FAS/subjects who discontinued prior to</w:t>
      </w:r>
      <w:r w:rsidR="00300BDB">
        <w:rPr>
          <w:lang w:eastAsia="ja-JP"/>
        </w:rPr>
        <w:t xml:space="preserve"> Week 2</w:t>
      </w:r>
      <w:r w:rsidRPr="000526AB">
        <w:rPr>
          <w:lang w:eastAsia="ja-JP"/>
        </w:rPr>
        <w:t>4 with &lt; 5 injections of VTE or sham were evaluated as non-responders, otherwise missing values were imputed using LOCF.</w:t>
      </w:r>
      <w:bookmarkEnd w:id="104"/>
    </w:p>
    <w:p w:rsidR="000526AB" w:rsidRPr="000526AB" w:rsidRDefault="000526AB" w:rsidP="000B2A99">
      <w:pPr>
        <w:rPr>
          <w:lang w:eastAsia="ja-JP"/>
        </w:rPr>
      </w:pPr>
      <w:r w:rsidRPr="000526AB">
        <w:rPr>
          <w:noProof/>
          <w:lang w:eastAsia="en-AU"/>
        </w:rPr>
        <w:drawing>
          <wp:inline distT="0" distB="0" distL="0" distR="0" wp14:anchorId="5D15E2D6" wp14:editId="2BAC0A4E">
            <wp:extent cx="4683760" cy="2214880"/>
            <wp:effectExtent l="19050" t="0" r="2540" b="0"/>
            <wp:docPr id="30" name="Picture 1" descr="Table 13: COPERNICUS – Proportion of subjects who gained at least 15 letters at Weeks 24, 52, and 100; FAS/subjects who discontinued prior to Week 24 with &lt; 5 injections of VTE or sham were evaluated as non-responders, otherwise missing values were imputed using 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683760" cy="2214880"/>
                    </a:xfrm>
                    <a:prstGeom prst="rect">
                      <a:avLst/>
                    </a:prstGeom>
                    <a:noFill/>
                    <a:ln w="9525">
                      <a:noFill/>
                      <a:miter lim="800000"/>
                      <a:headEnd/>
                      <a:tailEnd/>
                    </a:ln>
                  </pic:spPr>
                </pic:pic>
              </a:graphicData>
            </a:graphic>
          </wp:inline>
        </w:drawing>
      </w:r>
    </w:p>
    <w:p w:rsidR="001006D2" w:rsidRDefault="000526AB" w:rsidP="000B2A99">
      <w:pPr>
        <w:pStyle w:val="TableDescription"/>
      </w:pPr>
      <w:r w:rsidRPr="000526AB">
        <w:rPr>
          <w:lang w:eastAsia="ja-JP"/>
        </w:rPr>
        <w:t xml:space="preserve">[1] = Adjusted difference (VEGF Trap-Eye 2Q4+PRN minus Sham+PRN) and associated 95% CI were calculated </w:t>
      </w:r>
      <w:r w:rsidRPr="001006D2">
        <w:t>using the CMH weighting scheme adjusted by regions (North America</w:t>
      </w:r>
      <w:r w:rsidR="0091044A" w:rsidRPr="001006D2">
        <w:t xml:space="preserve"> versus </w:t>
      </w:r>
      <w:r w:rsidRPr="001006D2">
        <w:t xml:space="preserve">Rest of World) and baseline BCVA (BCVA </w:t>
      </w:r>
      <w:r w:rsidRPr="001006D2">
        <w:sym w:font="Symbol" w:char="F03E"/>
      </w:r>
      <w:r w:rsidRPr="001006D2">
        <w:t>20/200 and BCVA ≤20/200).</w:t>
      </w:r>
    </w:p>
    <w:p w:rsidR="000526AB" w:rsidRPr="000526AB" w:rsidRDefault="000526AB" w:rsidP="000B2A99">
      <w:pPr>
        <w:pStyle w:val="TableDescription"/>
        <w:rPr>
          <w:lang w:eastAsia="ja-JP"/>
        </w:rPr>
      </w:pPr>
      <w:r w:rsidRPr="001006D2">
        <w:t>[2] = P-value was calculated using 2-sided CMH test adjusted by regions (North America</w:t>
      </w:r>
      <w:r w:rsidR="0091044A" w:rsidRPr="001006D2">
        <w:t xml:space="preserve"> versus </w:t>
      </w:r>
      <w:r w:rsidRPr="001006D2">
        <w:t xml:space="preserve">Rest of World) and baseline BCVA (BCVA </w:t>
      </w:r>
      <w:r w:rsidRPr="001006D2">
        <w:sym w:font="Symbol" w:char="F03E"/>
      </w:r>
      <w:r w:rsidRPr="001006D2">
        <w:t>20/200 and BCVA ≤20/200). The</w:t>
      </w:r>
      <w:r w:rsidR="00300BDB" w:rsidRPr="001006D2">
        <w:t xml:space="preserve"> Week 2</w:t>
      </w:r>
      <w:r w:rsidRPr="001006D2">
        <w:t>4 result was the primary efficacy endpoint, while the</w:t>
      </w:r>
      <w:r w:rsidR="00300BDB" w:rsidRPr="001006D2">
        <w:t xml:space="preserve"> Week 5</w:t>
      </w:r>
      <w:r w:rsidRPr="001006D2">
        <w:t>2 and 100</w:t>
      </w:r>
      <w:r w:rsidR="00301349" w:rsidRPr="001006D2">
        <w:t xml:space="preserve"> </w:t>
      </w:r>
      <w:r w:rsidRPr="001006D2">
        <w:t>results were</w:t>
      </w:r>
      <w:r w:rsidRPr="000526AB">
        <w:rPr>
          <w:lang w:eastAsia="ja-JP"/>
        </w:rPr>
        <w:t xml:space="preserve"> tertiary efficacy endpoints and p-values at these two time-points were provided for descriptive (exploratory) purposes only.</w:t>
      </w:r>
    </w:p>
    <w:p w:rsidR="000526AB" w:rsidRPr="000526AB" w:rsidRDefault="000526AB" w:rsidP="000B2A99">
      <w:pPr>
        <w:rPr>
          <w:lang w:eastAsia="ja-JP"/>
        </w:rPr>
      </w:pPr>
      <w:r w:rsidRPr="000526AB">
        <w:rPr>
          <w:lang w:eastAsia="ja-JP"/>
        </w:rPr>
        <w:t xml:space="preserve">The results (COPERNICUS) for the BCVA as measured by the ETDRS letter score at </w:t>
      </w:r>
      <w:r w:rsidR="00253F67">
        <w:rPr>
          <w:lang w:eastAsia="ja-JP"/>
        </w:rPr>
        <w:t>W</w:t>
      </w:r>
      <w:r w:rsidRPr="000526AB">
        <w:rPr>
          <w:lang w:eastAsia="ja-JP"/>
        </w:rPr>
        <w:t>eeks 24, 52 and 100 are summari</w:t>
      </w:r>
      <w:r w:rsidR="00253F67">
        <w:rPr>
          <w:lang w:eastAsia="ja-JP"/>
        </w:rPr>
        <w:t>s</w:t>
      </w:r>
      <w:r w:rsidRPr="000526AB">
        <w:rPr>
          <w:lang w:eastAsia="ja-JP"/>
        </w:rPr>
        <w:t>ed below in Table 1</w:t>
      </w:r>
      <w:r w:rsidR="00253F67">
        <w:rPr>
          <w:lang w:eastAsia="ja-JP"/>
        </w:rPr>
        <w:t>4</w:t>
      </w:r>
      <w:r w:rsidRPr="000526AB">
        <w:rPr>
          <w:lang w:eastAsia="ja-JP"/>
        </w:rPr>
        <w:t>. The results show that subjects in the VTE2Q4+PRN group had a mean improvement from baseline to</w:t>
      </w:r>
      <w:r w:rsidR="00300BDB">
        <w:rPr>
          <w:lang w:eastAsia="ja-JP"/>
        </w:rPr>
        <w:t xml:space="preserve"> Week 2</w:t>
      </w:r>
      <w:r w:rsidRPr="000526AB">
        <w:rPr>
          <w:lang w:eastAsia="ja-JP"/>
        </w:rPr>
        <w:t>4 of 17.3 letters (3.5 lines). At</w:t>
      </w:r>
      <w:r w:rsidR="00300BDB">
        <w:rPr>
          <w:lang w:eastAsia="ja-JP"/>
        </w:rPr>
        <w:t xml:space="preserve"> Week 5</w:t>
      </w:r>
      <w:r w:rsidRPr="000526AB">
        <w:rPr>
          <w:lang w:eastAsia="ja-JP"/>
        </w:rPr>
        <w:t>2, the mean BCVA letter score had fallen by 1.2 letters from</w:t>
      </w:r>
      <w:r w:rsidR="00300BDB">
        <w:rPr>
          <w:lang w:eastAsia="ja-JP"/>
        </w:rPr>
        <w:t xml:space="preserve"> Week 2</w:t>
      </w:r>
      <w:r w:rsidRPr="000526AB">
        <w:rPr>
          <w:lang w:eastAsia="ja-JP"/>
        </w:rPr>
        <w:t>4 (</w:t>
      </w:r>
      <w:r w:rsidR="00253F67">
        <w:rPr>
          <w:lang w:eastAsia="ja-JP"/>
        </w:rPr>
        <w:t>that is,</w:t>
      </w:r>
      <w:r w:rsidRPr="000526AB">
        <w:rPr>
          <w:lang w:eastAsia="ja-JP"/>
        </w:rPr>
        <w:t xml:space="preserve"> from 68.0 [</w:t>
      </w:r>
      <w:r w:rsidR="00253F67">
        <w:rPr>
          <w:lang w:eastAsia="ja-JP"/>
        </w:rPr>
        <w:t>W</w:t>
      </w:r>
      <w:r w:rsidRPr="000526AB">
        <w:rPr>
          <w:lang w:eastAsia="ja-JP"/>
        </w:rPr>
        <w:t>eek 24] to 66.8 [</w:t>
      </w:r>
      <w:r w:rsidR="00253F67">
        <w:rPr>
          <w:lang w:eastAsia="ja-JP"/>
        </w:rPr>
        <w:t>W</w:t>
      </w:r>
      <w:r w:rsidRPr="000526AB">
        <w:rPr>
          <w:lang w:eastAsia="ja-JP"/>
        </w:rPr>
        <w:t>eek 52]), and at</w:t>
      </w:r>
      <w:r w:rsidR="00300BDB">
        <w:rPr>
          <w:lang w:eastAsia="ja-JP"/>
        </w:rPr>
        <w:t xml:space="preserve"> Week 1</w:t>
      </w:r>
      <w:r w:rsidRPr="000526AB">
        <w:rPr>
          <w:lang w:eastAsia="ja-JP"/>
        </w:rPr>
        <w:t>00 the mean BCVA letter score had fallen further from</w:t>
      </w:r>
      <w:r w:rsidR="00300BDB">
        <w:rPr>
          <w:lang w:eastAsia="ja-JP"/>
        </w:rPr>
        <w:t xml:space="preserve"> Week 2</w:t>
      </w:r>
      <w:r w:rsidRPr="000526AB">
        <w:rPr>
          <w:lang w:eastAsia="ja-JP"/>
        </w:rPr>
        <w:t>4 by 4.3 letters (</w:t>
      </w:r>
      <w:r w:rsidR="00253F67">
        <w:rPr>
          <w:lang w:eastAsia="ja-JP"/>
        </w:rPr>
        <w:t>that is,</w:t>
      </w:r>
      <w:r w:rsidRPr="000526AB">
        <w:rPr>
          <w:lang w:eastAsia="ja-JP"/>
        </w:rPr>
        <w:t xml:space="preserve"> from 68.0 [</w:t>
      </w:r>
      <w:r w:rsidR="00253F67">
        <w:rPr>
          <w:lang w:eastAsia="ja-JP"/>
        </w:rPr>
        <w:t>W</w:t>
      </w:r>
      <w:r w:rsidRPr="000526AB">
        <w:rPr>
          <w:lang w:eastAsia="ja-JP"/>
        </w:rPr>
        <w:t>eek 24] to 63.6 [</w:t>
      </w:r>
      <w:r w:rsidR="00253F67">
        <w:rPr>
          <w:lang w:eastAsia="ja-JP"/>
        </w:rPr>
        <w:t>W</w:t>
      </w:r>
      <w:r w:rsidR="000B2A99">
        <w:rPr>
          <w:lang w:eastAsia="ja-JP"/>
        </w:rPr>
        <w:t>eek 100]).</w:t>
      </w:r>
    </w:p>
    <w:p w:rsidR="000526AB" w:rsidRPr="000526AB" w:rsidRDefault="000526AB" w:rsidP="000B2A99">
      <w:pPr>
        <w:pStyle w:val="TableTitle"/>
        <w:rPr>
          <w:lang w:eastAsia="ja-JP"/>
        </w:rPr>
      </w:pPr>
      <w:bookmarkStart w:id="105" w:name="_Toc221767067"/>
      <w:r w:rsidRPr="000526AB">
        <w:rPr>
          <w:lang w:eastAsia="ja-JP"/>
        </w:rPr>
        <w:lastRenderedPageBreak/>
        <w:t>Table</w:t>
      </w:r>
      <w:r w:rsidR="00253F67">
        <w:rPr>
          <w:lang w:eastAsia="ja-JP"/>
        </w:rPr>
        <w:t xml:space="preserve"> 14</w:t>
      </w:r>
      <w:r w:rsidRPr="000526AB">
        <w:rPr>
          <w:lang w:eastAsia="ja-JP"/>
        </w:rPr>
        <w:t>: COPERNICUS – Change from baseline to Weeks 24, 52, and 100 in BCVA score using ETDRS; FAS/LOCF.</w:t>
      </w:r>
      <w:bookmarkEnd w:id="105"/>
    </w:p>
    <w:p w:rsidR="000526AB" w:rsidRPr="000526AB" w:rsidRDefault="000526AB" w:rsidP="000B2A99">
      <w:pPr>
        <w:rPr>
          <w:lang w:eastAsia="ja-JP"/>
        </w:rPr>
      </w:pPr>
      <w:r w:rsidRPr="000526AB">
        <w:rPr>
          <w:noProof/>
          <w:lang w:eastAsia="en-AU"/>
        </w:rPr>
        <w:drawing>
          <wp:inline distT="0" distB="0" distL="0" distR="0" wp14:anchorId="02140EA8" wp14:editId="5682FEF9">
            <wp:extent cx="4663440" cy="2082800"/>
            <wp:effectExtent l="19050" t="0" r="3810" b="0"/>
            <wp:docPr id="31" name="Picture 2" descr="Table 14: COPERNICUS – Change from baseline to Weeks 24, 52, and 100 in BCVA score using ETDRS; FAS/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663440" cy="2082800"/>
                    </a:xfrm>
                    <a:prstGeom prst="rect">
                      <a:avLst/>
                    </a:prstGeom>
                    <a:noFill/>
                    <a:ln w="9525">
                      <a:noFill/>
                      <a:miter lim="800000"/>
                      <a:headEnd/>
                      <a:tailEnd/>
                    </a:ln>
                  </pic:spPr>
                </pic:pic>
              </a:graphicData>
            </a:graphic>
          </wp:inline>
        </w:drawing>
      </w:r>
    </w:p>
    <w:p w:rsidR="001006D2" w:rsidRDefault="000526AB" w:rsidP="000B2A99">
      <w:pPr>
        <w:pStyle w:val="TableDescription"/>
        <w:rPr>
          <w:lang w:eastAsia="ja-JP"/>
        </w:rPr>
      </w:pPr>
      <w:r w:rsidRPr="000526AB">
        <w:rPr>
          <w:lang w:eastAsia="ja-JP"/>
        </w:rPr>
        <w:t>[1] = Point estimate and 95% CI are based on treatment difference (VEGF Trap-Eye 2Q4+PRN minus Sham+PRN) of LS mean changes using an ANCOVA model with treatment group, region and baseline BCVA (&gt; 20/200 and ≤ 20/200) as fixed factors.</w:t>
      </w:r>
    </w:p>
    <w:p w:rsidR="000526AB" w:rsidRPr="000526AB" w:rsidRDefault="000526AB" w:rsidP="000B2A99">
      <w:pPr>
        <w:pStyle w:val="TableDescription"/>
        <w:rPr>
          <w:lang w:eastAsia="ja-JP"/>
        </w:rPr>
      </w:pPr>
      <w:r w:rsidRPr="000526AB">
        <w:rPr>
          <w:lang w:eastAsia="ja-JP"/>
        </w:rPr>
        <w:t>[2] = P-value is based on treatment difference (VEGF Trap-Eye 2Q4+PRN minus Sham+PRN) of the LS mean changes using an ANCOVA model with treatment group, region and baseline BCVA (&gt; 20/200 and ≤ 20/200) as fixed factors. The</w:t>
      </w:r>
      <w:r w:rsidR="00300BDB">
        <w:rPr>
          <w:lang w:eastAsia="ja-JP"/>
        </w:rPr>
        <w:t xml:space="preserve"> Week 2</w:t>
      </w:r>
      <w:r w:rsidRPr="000526AB">
        <w:rPr>
          <w:lang w:eastAsia="ja-JP"/>
        </w:rPr>
        <w:t>4 result was for a pre-specified secondary efficacy endpoint, while the</w:t>
      </w:r>
      <w:r w:rsidR="00300BDB">
        <w:rPr>
          <w:lang w:eastAsia="ja-JP"/>
        </w:rPr>
        <w:t xml:space="preserve"> Week 5</w:t>
      </w:r>
      <w:r w:rsidRPr="000526AB">
        <w:rPr>
          <w:lang w:eastAsia="ja-JP"/>
        </w:rPr>
        <w:t>2 and 100 results were for tertiary efficacy endpoints and the p-values were provided for descriptive (explorator</w:t>
      </w:r>
      <w:r w:rsidR="001006D2">
        <w:rPr>
          <w:lang w:eastAsia="ja-JP"/>
        </w:rPr>
        <w:t>y) purposes only.</w:t>
      </w:r>
    </w:p>
    <w:p w:rsidR="000526AB" w:rsidRPr="000526AB" w:rsidRDefault="000526AB" w:rsidP="000B2A99">
      <w:pPr>
        <w:rPr>
          <w:lang w:eastAsia="ja-JP"/>
        </w:rPr>
      </w:pPr>
      <w:r w:rsidRPr="000526AB">
        <w:rPr>
          <w:lang w:eastAsia="ja-JP"/>
        </w:rPr>
        <w:t xml:space="preserve">The results (COPERNICUS) for the change in CRT from baseline as measured by OCT at weeks 24, 52, and 100 are </w:t>
      </w:r>
      <w:r w:rsidR="00301349">
        <w:rPr>
          <w:lang w:eastAsia="ja-JP"/>
        </w:rPr>
        <w:t>summarised</w:t>
      </w:r>
      <w:r w:rsidRPr="000526AB">
        <w:rPr>
          <w:lang w:eastAsia="ja-JP"/>
        </w:rPr>
        <w:t xml:space="preserve"> below in Table 1</w:t>
      </w:r>
      <w:r w:rsidR="00253F67">
        <w:rPr>
          <w:lang w:eastAsia="ja-JP"/>
        </w:rPr>
        <w:t>5</w:t>
      </w:r>
      <w:r w:rsidRPr="000526AB">
        <w:rPr>
          <w:lang w:eastAsia="ja-JP"/>
        </w:rPr>
        <w:t>. The results show that maximum reduction in the mean CRT from baseline in subjects in the VTE2Q4+PRN group occurred at</w:t>
      </w:r>
      <w:r w:rsidR="00300BDB">
        <w:rPr>
          <w:lang w:eastAsia="ja-JP"/>
        </w:rPr>
        <w:t xml:space="preserve"> Week 2</w:t>
      </w:r>
      <w:r w:rsidRPr="000526AB">
        <w:rPr>
          <w:lang w:eastAsia="ja-JP"/>
        </w:rPr>
        <w:t>4 with mean values at</w:t>
      </w:r>
      <w:r w:rsidR="00300BDB">
        <w:rPr>
          <w:lang w:eastAsia="ja-JP"/>
        </w:rPr>
        <w:t xml:space="preserve"> Week 5</w:t>
      </w:r>
      <w:r w:rsidRPr="000526AB">
        <w:rPr>
          <w:lang w:eastAsia="ja-JP"/>
        </w:rPr>
        <w:t>2 and</w:t>
      </w:r>
      <w:r w:rsidR="00300BDB">
        <w:rPr>
          <w:lang w:eastAsia="ja-JP"/>
        </w:rPr>
        <w:t xml:space="preserve"> Week 1</w:t>
      </w:r>
      <w:r w:rsidRPr="000526AB">
        <w:rPr>
          <w:lang w:eastAsia="ja-JP"/>
        </w:rPr>
        <w:t xml:space="preserve">00 increasing by 44 </w:t>
      </w:r>
      <w:r w:rsidR="00253F67">
        <w:rPr>
          <w:lang w:eastAsia="ja-JP"/>
        </w:rPr>
        <w:t>µ</w:t>
      </w:r>
      <w:r w:rsidRPr="000526AB">
        <w:rPr>
          <w:lang w:eastAsia="ja-JP"/>
        </w:rPr>
        <w:t xml:space="preserve">m and 67 </w:t>
      </w:r>
      <w:r w:rsidR="00253F67">
        <w:rPr>
          <w:lang w:eastAsia="ja-JP"/>
        </w:rPr>
        <w:t>µ</w:t>
      </w:r>
      <w:r w:rsidRPr="000526AB">
        <w:rPr>
          <w:lang w:eastAsia="ja-JP"/>
        </w:rPr>
        <w:t>m, respectively, from</w:t>
      </w:r>
      <w:r w:rsidR="00300BDB">
        <w:rPr>
          <w:lang w:eastAsia="ja-JP"/>
        </w:rPr>
        <w:t xml:space="preserve"> Week 2</w:t>
      </w:r>
      <w:r w:rsidR="001006D2">
        <w:rPr>
          <w:lang w:eastAsia="ja-JP"/>
        </w:rPr>
        <w:t>4.</w:t>
      </w:r>
    </w:p>
    <w:p w:rsidR="000526AB" w:rsidRPr="000526AB" w:rsidRDefault="000526AB" w:rsidP="000B2A99">
      <w:pPr>
        <w:pStyle w:val="TableTitle"/>
        <w:rPr>
          <w:lang w:eastAsia="ja-JP"/>
        </w:rPr>
      </w:pPr>
      <w:bookmarkStart w:id="106" w:name="_Toc221767068"/>
      <w:r w:rsidRPr="000526AB">
        <w:rPr>
          <w:lang w:eastAsia="ja-JP"/>
        </w:rPr>
        <w:t>Table</w:t>
      </w:r>
      <w:r w:rsidR="00253F67">
        <w:rPr>
          <w:lang w:eastAsia="ja-JP"/>
        </w:rPr>
        <w:t>15</w:t>
      </w:r>
      <w:r w:rsidRPr="000526AB">
        <w:rPr>
          <w:lang w:eastAsia="ja-JP"/>
        </w:rPr>
        <w:t>: COPERNICUS – Change from baseline to Weeks 24, 52 and 100 in CRT (</w:t>
      </w:r>
      <w:r w:rsidR="00253F67">
        <w:rPr>
          <w:lang w:eastAsia="ja-JP"/>
        </w:rPr>
        <w:t>µ</w:t>
      </w:r>
      <w:r w:rsidRPr="000526AB">
        <w:rPr>
          <w:lang w:eastAsia="ja-JP"/>
        </w:rPr>
        <w:t>m); FAS/LOCF</w:t>
      </w:r>
      <w:bookmarkEnd w:id="106"/>
    </w:p>
    <w:p w:rsidR="000526AB" w:rsidRPr="000526AB" w:rsidRDefault="000526AB" w:rsidP="000B2A99">
      <w:pPr>
        <w:rPr>
          <w:lang w:eastAsia="ja-JP"/>
        </w:rPr>
      </w:pPr>
      <w:r w:rsidRPr="000526AB">
        <w:rPr>
          <w:noProof/>
          <w:lang w:eastAsia="en-AU"/>
        </w:rPr>
        <w:drawing>
          <wp:inline distT="0" distB="0" distL="0" distR="0" wp14:anchorId="7A7C7C49" wp14:editId="14B8E798">
            <wp:extent cx="4683760" cy="2072640"/>
            <wp:effectExtent l="19050" t="0" r="0" b="0"/>
            <wp:docPr id="32" name="Picture 3" descr="Table15: COPERNICUS – Change from baseline to Weeks 24, 52, and 100 in CRT (µm); FAS/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683760" cy="2072640"/>
                    </a:xfrm>
                    <a:prstGeom prst="rect">
                      <a:avLst/>
                    </a:prstGeom>
                    <a:noFill/>
                    <a:ln w="9525">
                      <a:noFill/>
                      <a:miter lim="800000"/>
                      <a:headEnd/>
                      <a:tailEnd/>
                    </a:ln>
                  </pic:spPr>
                </pic:pic>
              </a:graphicData>
            </a:graphic>
          </wp:inline>
        </w:drawing>
      </w:r>
    </w:p>
    <w:p w:rsidR="000526AB" w:rsidRPr="000526AB" w:rsidRDefault="000526AB" w:rsidP="001006D2">
      <w:pPr>
        <w:pStyle w:val="TableDescription"/>
        <w:rPr>
          <w:lang w:eastAsia="ja-JP"/>
        </w:rPr>
      </w:pPr>
      <w:r w:rsidRPr="000526AB">
        <w:rPr>
          <w:lang w:eastAsia="ja-JP"/>
        </w:rPr>
        <w:t>[1] and [2] information is consistent with that above for Table 1</w:t>
      </w:r>
      <w:r w:rsidR="005B6DC7">
        <w:rPr>
          <w:lang w:eastAsia="ja-JP"/>
        </w:rPr>
        <w:t>4</w:t>
      </w:r>
      <w:r w:rsidR="000B2A99">
        <w:rPr>
          <w:lang w:eastAsia="ja-JP"/>
        </w:rPr>
        <w:t>.</w:t>
      </w:r>
    </w:p>
    <w:p w:rsidR="000526AB" w:rsidRPr="000526AB" w:rsidRDefault="000526AB" w:rsidP="000B2A99">
      <w:pPr>
        <w:rPr>
          <w:lang w:eastAsia="ja-JP"/>
        </w:rPr>
      </w:pPr>
      <w:r w:rsidRPr="000526AB">
        <w:rPr>
          <w:lang w:eastAsia="ja-JP"/>
        </w:rPr>
        <w:t xml:space="preserve">In COPERNICUS, the proportion of subjects who developed any </w:t>
      </w:r>
      <w:r w:rsidR="00ED3DEB">
        <w:rPr>
          <w:lang w:eastAsia="ja-JP"/>
        </w:rPr>
        <w:t>neovascularisation</w:t>
      </w:r>
      <w:r w:rsidRPr="000526AB">
        <w:rPr>
          <w:lang w:eastAsia="ja-JP"/>
        </w:rPr>
        <w:t xml:space="preserve"> from baseline to</w:t>
      </w:r>
      <w:r w:rsidR="00300BDB">
        <w:rPr>
          <w:lang w:eastAsia="ja-JP"/>
        </w:rPr>
        <w:t xml:space="preserve"> Week 1</w:t>
      </w:r>
      <w:r w:rsidRPr="000526AB">
        <w:rPr>
          <w:lang w:eastAsia="ja-JP"/>
        </w:rPr>
        <w:t>00 was greater in the sham+VTE PRN group (11.0% [8/73]) than in the VTEQ24+PRN group (5.3% [6/114]), but the difference between the two treatment groups was not statistically significant (p=0.1810). Pan-retinal photocoagulation was performed in 4 (5.5%) subjects in the sham+VTE PRN group and no s</w:t>
      </w:r>
      <w:r w:rsidR="000B2A99">
        <w:rPr>
          <w:lang w:eastAsia="ja-JP"/>
        </w:rPr>
        <w:t>ubjects in the VTE2Q4+PRN group.</w:t>
      </w:r>
    </w:p>
    <w:p w:rsidR="000526AB" w:rsidRPr="000526AB" w:rsidRDefault="000526AB" w:rsidP="000B2A99">
      <w:pPr>
        <w:rPr>
          <w:lang w:eastAsia="ja-JP"/>
        </w:rPr>
      </w:pPr>
      <w:r w:rsidRPr="000526AB">
        <w:rPr>
          <w:lang w:val="en-US" w:eastAsia="ja-JP"/>
        </w:rPr>
        <w:t>In GALILEO, from</w:t>
      </w:r>
      <w:r w:rsidR="00300BDB">
        <w:rPr>
          <w:lang w:val="en-US" w:eastAsia="ja-JP"/>
        </w:rPr>
        <w:t xml:space="preserve"> Week 2</w:t>
      </w:r>
      <w:r w:rsidRPr="000526AB">
        <w:rPr>
          <w:lang w:val="en-US" w:eastAsia="ja-JP"/>
        </w:rPr>
        <w:t xml:space="preserve">4 to </w:t>
      </w:r>
      <w:r w:rsidR="005B6DC7">
        <w:rPr>
          <w:lang w:val="en-US" w:eastAsia="ja-JP"/>
        </w:rPr>
        <w:t>W</w:t>
      </w:r>
      <w:r w:rsidRPr="000526AB">
        <w:rPr>
          <w:lang w:val="en-US" w:eastAsia="ja-JP"/>
        </w:rPr>
        <w:t xml:space="preserve">eek 48 subjects </w:t>
      </w:r>
      <w:r w:rsidRPr="000526AB">
        <w:rPr>
          <w:lang w:eastAsia="ja-JP"/>
        </w:rPr>
        <w:t xml:space="preserve">in the VTE2Q4+PRN group received either VTE or sham PRN injections monthly depending on pre-specified </w:t>
      </w:r>
      <w:r w:rsidR="00427821">
        <w:rPr>
          <w:lang w:eastAsia="ja-JP"/>
        </w:rPr>
        <w:t xml:space="preserve">re </w:t>
      </w:r>
      <w:r w:rsidR="00C84038">
        <w:rPr>
          <w:lang w:eastAsia="ja-JP"/>
        </w:rPr>
        <w:t>treatment</w:t>
      </w:r>
      <w:r w:rsidRPr="000526AB">
        <w:rPr>
          <w:lang w:eastAsia="ja-JP"/>
        </w:rPr>
        <w:t xml:space="preserve"> criteria, while subjects in the sham group continued with monthly sham injections (</w:t>
      </w:r>
      <w:r w:rsidR="005B6DC7">
        <w:rPr>
          <w:lang w:eastAsia="ja-JP"/>
        </w:rPr>
        <w:t>that is,</w:t>
      </w:r>
      <w:r w:rsidRPr="000526AB">
        <w:rPr>
          <w:lang w:eastAsia="ja-JP"/>
        </w:rPr>
        <w:t xml:space="preserve"> no switching to VTE). Beginning at</w:t>
      </w:r>
      <w:r w:rsidR="00300BDB">
        <w:rPr>
          <w:lang w:eastAsia="ja-JP"/>
        </w:rPr>
        <w:t xml:space="preserve"> Week 5</w:t>
      </w:r>
      <w:r w:rsidRPr="000526AB">
        <w:rPr>
          <w:lang w:eastAsia="ja-JP"/>
        </w:rPr>
        <w:t xml:space="preserve">2, all subjects were eligible to receive VTE PRN injections based on </w:t>
      </w:r>
      <w:r w:rsidRPr="000526AB">
        <w:rPr>
          <w:lang w:eastAsia="ja-JP"/>
        </w:rPr>
        <w:lastRenderedPageBreak/>
        <w:t xml:space="preserve">the pre-specified </w:t>
      </w:r>
      <w:r w:rsidR="00427821">
        <w:rPr>
          <w:lang w:eastAsia="ja-JP"/>
        </w:rPr>
        <w:t xml:space="preserve">re </w:t>
      </w:r>
      <w:r w:rsidR="00C84038">
        <w:rPr>
          <w:lang w:eastAsia="ja-JP"/>
        </w:rPr>
        <w:t>treatment</w:t>
      </w:r>
      <w:r w:rsidRPr="000526AB">
        <w:rPr>
          <w:lang w:eastAsia="ja-JP"/>
        </w:rPr>
        <w:t xml:space="preserve"> criteria (in order to maintain masking, sham injections were given if the </w:t>
      </w:r>
      <w:r w:rsidR="00427821">
        <w:rPr>
          <w:lang w:eastAsia="ja-JP"/>
        </w:rPr>
        <w:t xml:space="preserve">re </w:t>
      </w:r>
      <w:r w:rsidR="00C84038">
        <w:rPr>
          <w:lang w:eastAsia="ja-JP"/>
        </w:rPr>
        <w:t>treatment</w:t>
      </w:r>
      <w:r w:rsidRPr="000526AB">
        <w:rPr>
          <w:lang w:eastAsia="ja-JP"/>
        </w:rPr>
        <w:t xml:space="preserve"> criteria were not met) and were evaluated every 8 weeks (</w:t>
      </w:r>
      <w:r w:rsidR="005B6DC7">
        <w:rPr>
          <w:lang w:eastAsia="ja-JP"/>
        </w:rPr>
        <w:t>W</w:t>
      </w:r>
      <w:r w:rsidRPr="000526AB">
        <w:rPr>
          <w:lang w:eastAsia="ja-JP"/>
        </w:rPr>
        <w:t xml:space="preserve">eek 60 and </w:t>
      </w:r>
      <w:r w:rsidR="005B6DC7">
        <w:rPr>
          <w:lang w:eastAsia="ja-JP"/>
        </w:rPr>
        <w:t>W</w:t>
      </w:r>
      <w:r w:rsidRPr="000526AB">
        <w:rPr>
          <w:lang w:eastAsia="ja-JP"/>
        </w:rPr>
        <w:t>eek 68).</w:t>
      </w:r>
    </w:p>
    <w:p w:rsidR="000526AB" w:rsidRPr="000526AB" w:rsidRDefault="000526AB" w:rsidP="000B2A99">
      <w:pPr>
        <w:rPr>
          <w:lang w:eastAsia="ja-JP"/>
        </w:rPr>
      </w:pPr>
      <w:r w:rsidRPr="000526AB">
        <w:rPr>
          <w:lang w:eastAsia="ja-JP"/>
        </w:rPr>
        <w:t>In GALILEO, over the 76 weeks of treatment the total mean (SD) exposure to VTE was 18.3 (6.4) mg in the VTE2Q4+PRN group (n=104), with a median of 19.0 mg and a range of 2 to 30 mg, and 2.5 (2.3) mg in the sham+VTE PRN group (n=68), with a median of 2.0 mg and a range of 0 to 6 mg. The comparison between the two treatment groups at</w:t>
      </w:r>
      <w:r w:rsidR="00300BDB">
        <w:rPr>
          <w:lang w:eastAsia="ja-JP"/>
        </w:rPr>
        <w:t xml:space="preserve"> Week 5</w:t>
      </w:r>
      <w:r w:rsidRPr="000526AB">
        <w:rPr>
          <w:lang w:eastAsia="ja-JP"/>
        </w:rPr>
        <w:t>2 involved subjects who had been treate</w:t>
      </w:r>
      <w:r w:rsidR="005B6DC7">
        <w:rPr>
          <w:lang w:eastAsia="ja-JP"/>
        </w:rPr>
        <w:t>d with VTE2Q4+PRN or sham from W</w:t>
      </w:r>
      <w:r w:rsidRPr="000526AB">
        <w:rPr>
          <w:lang w:eastAsia="ja-JP"/>
        </w:rPr>
        <w:t>eek 0, and was not potentially confounded by subjects in the sham group who had crossed-over to VTE PRN. However, the comparison between the two treatment groups at</w:t>
      </w:r>
      <w:r w:rsidR="00300BDB">
        <w:rPr>
          <w:lang w:eastAsia="ja-JP"/>
        </w:rPr>
        <w:t xml:space="preserve"> Week 7</w:t>
      </w:r>
      <w:r w:rsidRPr="000526AB">
        <w:rPr>
          <w:lang w:eastAsia="ja-JP"/>
        </w:rPr>
        <w:t>6 was confounded by the presence of subjects in the sham group who had crossed-over to VTE injections at some point from</w:t>
      </w:r>
      <w:r w:rsidR="00300BDB">
        <w:rPr>
          <w:lang w:eastAsia="ja-JP"/>
        </w:rPr>
        <w:t xml:space="preserve"> Week 5</w:t>
      </w:r>
      <w:r w:rsidR="005B6DC7">
        <w:rPr>
          <w:lang w:eastAsia="ja-JP"/>
        </w:rPr>
        <w:t>2 to W</w:t>
      </w:r>
      <w:r w:rsidR="000B2A99">
        <w:rPr>
          <w:lang w:eastAsia="ja-JP"/>
        </w:rPr>
        <w:t>eek 68.</w:t>
      </w:r>
    </w:p>
    <w:p w:rsidR="000526AB" w:rsidRPr="000526AB" w:rsidRDefault="000526AB" w:rsidP="000B2A99">
      <w:pPr>
        <w:rPr>
          <w:lang w:eastAsia="ja-JP"/>
        </w:rPr>
      </w:pPr>
      <w:r w:rsidRPr="000526AB">
        <w:rPr>
          <w:lang w:eastAsia="ja-JP"/>
        </w:rPr>
        <w:t>The results (GALILEO) for the proportion of subjects who gained at least 15 letters from baseline at</w:t>
      </w:r>
      <w:r w:rsidR="00300BDB">
        <w:rPr>
          <w:lang w:eastAsia="ja-JP"/>
        </w:rPr>
        <w:t xml:space="preserve"> Week 2</w:t>
      </w:r>
      <w:r w:rsidR="005B6DC7">
        <w:rPr>
          <w:lang w:eastAsia="ja-JP"/>
        </w:rPr>
        <w:t>4, 52 or 76 are summarised below in Table 16</w:t>
      </w:r>
      <w:r w:rsidRPr="000526AB">
        <w:rPr>
          <w:lang w:eastAsia="ja-JP"/>
        </w:rPr>
        <w:t>. The results show a reduction in the proportion of subjects who achieved a gain of at least 15 letters from baseline at</w:t>
      </w:r>
      <w:r w:rsidR="00300BDB">
        <w:rPr>
          <w:lang w:eastAsia="ja-JP"/>
        </w:rPr>
        <w:t xml:space="preserve"> Week 5</w:t>
      </w:r>
      <w:r w:rsidRPr="000526AB">
        <w:rPr>
          <w:lang w:eastAsia="ja-JP"/>
        </w:rPr>
        <w:t>2 (58.3%) and</w:t>
      </w:r>
      <w:r w:rsidR="00300BDB">
        <w:rPr>
          <w:lang w:eastAsia="ja-JP"/>
        </w:rPr>
        <w:t xml:space="preserve"> Week 7</w:t>
      </w:r>
      <w:r w:rsidRPr="000526AB">
        <w:rPr>
          <w:lang w:eastAsia="ja-JP"/>
        </w:rPr>
        <w:t>6 (55.3%) compared with</w:t>
      </w:r>
      <w:r w:rsidR="00300BDB">
        <w:rPr>
          <w:lang w:eastAsia="ja-JP"/>
        </w:rPr>
        <w:t xml:space="preserve"> Week 2</w:t>
      </w:r>
      <w:r w:rsidRPr="000526AB">
        <w:rPr>
          <w:lang w:eastAsia="ja-JP"/>
        </w:rPr>
        <w:t>4 (60.2%).</w:t>
      </w:r>
    </w:p>
    <w:p w:rsidR="000526AB" w:rsidRPr="000526AB" w:rsidRDefault="000526AB" w:rsidP="000B2A99">
      <w:pPr>
        <w:pStyle w:val="TableTitle"/>
        <w:rPr>
          <w:lang w:val="en-US" w:eastAsia="ja-JP"/>
        </w:rPr>
      </w:pPr>
      <w:bookmarkStart w:id="107" w:name="_Toc221767069"/>
      <w:r w:rsidRPr="000526AB">
        <w:rPr>
          <w:lang w:eastAsia="ja-JP"/>
        </w:rPr>
        <w:t xml:space="preserve">Table </w:t>
      </w:r>
      <w:r w:rsidR="005B6DC7">
        <w:rPr>
          <w:lang w:eastAsia="ja-JP"/>
        </w:rPr>
        <w:t>16</w:t>
      </w:r>
      <w:r w:rsidRPr="000526AB">
        <w:rPr>
          <w:lang w:eastAsia="ja-JP"/>
        </w:rPr>
        <w:t xml:space="preserve">: </w:t>
      </w:r>
      <w:r w:rsidRPr="000526AB">
        <w:rPr>
          <w:lang w:val="en-US" w:eastAsia="ja-JP"/>
        </w:rPr>
        <w:t xml:space="preserve">GALILEO - </w:t>
      </w:r>
      <w:r w:rsidRPr="000526AB">
        <w:rPr>
          <w:lang w:eastAsia="ja-JP"/>
        </w:rPr>
        <w:t>Proportion of subjects who gained at least 15 letters at Weeks 24, 52, and 76; FAS/discontinued subjects before</w:t>
      </w:r>
      <w:r w:rsidR="00300BDB">
        <w:rPr>
          <w:lang w:eastAsia="ja-JP"/>
        </w:rPr>
        <w:t xml:space="preserve"> Week 2</w:t>
      </w:r>
      <w:r w:rsidRPr="000526AB">
        <w:rPr>
          <w:lang w:eastAsia="ja-JP"/>
        </w:rPr>
        <w:t>4 judged as treatment failures.</w:t>
      </w:r>
      <w:bookmarkEnd w:id="107"/>
    </w:p>
    <w:p w:rsidR="000526AB" w:rsidRPr="000526AB" w:rsidRDefault="000526AB" w:rsidP="000B2A99">
      <w:pPr>
        <w:rPr>
          <w:lang w:val="en-US" w:eastAsia="ja-JP"/>
        </w:rPr>
      </w:pPr>
      <w:r w:rsidRPr="000526AB">
        <w:rPr>
          <w:noProof/>
          <w:lang w:eastAsia="en-AU"/>
        </w:rPr>
        <w:drawing>
          <wp:inline distT="0" distB="0" distL="0" distR="0" wp14:anchorId="14997B6D" wp14:editId="5F20C9D4">
            <wp:extent cx="4358640" cy="3779520"/>
            <wp:effectExtent l="19050" t="0" r="3810" b="0"/>
            <wp:docPr id="33" name="Picture 2" descr="Table 16: GALILEO - Proportion of subjects who gained at least 15 letters at Weeks 24, 52, and 76; FAS/discontinued subjects before Week 24 judged as treatment fail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358640" cy="3779520"/>
                    </a:xfrm>
                    <a:prstGeom prst="rect">
                      <a:avLst/>
                    </a:prstGeom>
                    <a:noFill/>
                    <a:ln w="9525">
                      <a:noFill/>
                      <a:miter lim="800000"/>
                      <a:headEnd/>
                      <a:tailEnd/>
                    </a:ln>
                  </pic:spPr>
                </pic:pic>
              </a:graphicData>
            </a:graphic>
          </wp:inline>
        </w:drawing>
      </w:r>
    </w:p>
    <w:p w:rsidR="000526AB" w:rsidRPr="000526AB" w:rsidRDefault="000526AB" w:rsidP="000B2A99">
      <w:pPr>
        <w:rPr>
          <w:lang w:eastAsia="ja-JP"/>
        </w:rPr>
      </w:pPr>
      <w:r w:rsidRPr="000526AB">
        <w:rPr>
          <w:lang w:eastAsia="ja-JP"/>
        </w:rPr>
        <w:t xml:space="preserve">The results (GALILEO) for the BCVA as measured by the ETDRS letter score at </w:t>
      </w:r>
      <w:r w:rsidR="005B6DC7">
        <w:rPr>
          <w:lang w:eastAsia="ja-JP"/>
        </w:rPr>
        <w:t>Weeks 24, 52, and 76 are summaris</w:t>
      </w:r>
      <w:r w:rsidRPr="000526AB">
        <w:rPr>
          <w:lang w:eastAsia="ja-JP"/>
        </w:rPr>
        <w:t>ed below in Table 1</w:t>
      </w:r>
      <w:r w:rsidR="005B6DC7">
        <w:rPr>
          <w:lang w:eastAsia="ja-JP"/>
        </w:rPr>
        <w:t>7</w:t>
      </w:r>
      <w:r w:rsidRPr="000526AB">
        <w:rPr>
          <w:lang w:eastAsia="ja-JP"/>
        </w:rPr>
        <w:t>. The results show that subjects in the VTE2Q4 group had a mean improvement from baseline to</w:t>
      </w:r>
      <w:r w:rsidR="00300BDB">
        <w:rPr>
          <w:lang w:eastAsia="ja-JP"/>
        </w:rPr>
        <w:t xml:space="preserve"> Week 2</w:t>
      </w:r>
      <w:r w:rsidRPr="000526AB">
        <w:rPr>
          <w:lang w:eastAsia="ja-JP"/>
        </w:rPr>
        <w:t>4 of 18.0 letters (3.6 lines). In the VTE2Q4+PRN group, at</w:t>
      </w:r>
      <w:r w:rsidR="00301349">
        <w:rPr>
          <w:lang w:eastAsia="ja-JP"/>
        </w:rPr>
        <w:t xml:space="preserve"> </w:t>
      </w:r>
      <w:r w:rsidR="00300BDB">
        <w:rPr>
          <w:lang w:eastAsia="ja-JP"/>
        </w:rPr>
        <w:t>Week 5</w:t>
      </w:r>
      <w:r w:rsidRPr="000526AB">
        <w:rPr>
          <w:lang w:eastAsia="ja-JP"/>
        </w:rPr>
        <w:t>2 the mean BCVA letter score had fallen by 1.2 letters from</w:t>
      </w:r>
      <w:r w:rsidR="00300BDB">
        <w:rPr>
          <w:lang w:eastAsia="ja-JP"/>
        </w:rPr>
        <w:t xml:space="preserve"> Week 2</w:t>
      </w:r>
      <w:r w:rsidRPr="000526AB">
        <w:rPr>
          <w:lang w:eastAsia="ja-JP"/>
        </w:rPr>
        <w:t>4 (</w:t>
      </w:r>
      <w:r w:rsidR="005B6DC7">
        <w:rPr>
          <w:lang w:eastAsia="ja-JP"/>
        </w:rPr>
        <w:t>that is, from 71.6 [W</w:t>
      </w:r>
      <w:r w:rsidRPr="000526AB">
        <w:rPr>
          <w:lang w:eastAsia="ja-JP"/>
        </w:rPr>
        <w:t>eek 24] to 70.4 [</w:t>
      </w:r>
      <w:r w:rsidR="005B6DC7">
        <w:rPr>
          <w:lang w:eastAsia="ja-JP"/>
        </w:rPr>
        <w:t>W</w:t>
      </w:r>
      <w:r w:rsidRPr="000526AB">
        <w:rPr>
          <w:lang w:eastAsia="ja-JP"/>
        </w:rPr>
        <w:t>eek 52]), and at</w:t>
      </w:r>
      <w:r w:rsidR="00300BDB">
        <w:rPr>
          <w:lang w:eastAsia="ja-JP"/>
        </w:rPr>
        <w:t xml:space="preserve"> Week 7</w:t>
      </w:r>
      <w:r w:rsidRPr="000526AB">
        <w:rPr>
          <w:lang w:eastAsia="ja-JP"/>
        </w:rPr>
        <w:t>6 the mean BCVA letter score had fallen further from</w:t>
      </w:r>
      <w:r w:rsidR="00300BDB">
        <w:rPr>
          <w:lang w:eastAsia="ja-JP"/>
        </w:rPr>
        <w:t xml:space="preserve"> Week 2</w:t>
      </w:r>
      <w:r w:rsidRPr="000526AB">
        <w:rPr>
          <w:lang w:eastAsia="ja-JP"/>
        </w:rPr>
        <w:t>4 by 4.3 letters (</w:t>
      </w:r>
      <w:r w:rsidR="005B6DC7">
        <w:rPr>
          <w:lang w:eastAsia="ja-JP"/>
        </w:rPr>
        <w:t>that is,</w:t>
      </w:r>
      <w:r w:rsidRPr="000526AB">
        <w:rPr>
          <w:lang w:eastAsia="ja-JP"/>
        </w:rPr>
        <w:t xml:space="preserve"> from 71.6 [</w:t>
      </w:r>
      <w:r w:rsidR="005B6DC7">
        <w:rPr>
          <w:lang w:eastAsia="ja-JP"/>
        </w:rPr>
        <w:t>W</w:t>
      </w:r>
      <w:r w:rsidRPr="000526AB">
        <w:rPr>
          <w:lang w:eastAsia="ja-JP"/>
        </w:rPr>
        <w:t>eek 24] to 67.3 [</w:t>
      </w:r>
      <w:r w:rsidR="005B6DC7">
        <w:rPr>
          <w:lang w:eastAsia="ja-JP"/>
        </w:rPr>
        <w:t>W</w:t>
      </w:r>
      <w:r w:rsidR="000B2A99">
        <w:rPr>
          <w:lang w:eastAsia="ja-JP"/>
        </w:rPr>
        <w:t>eek 76]).</w:t>
      </w:r>
    </w:p>
    <w:p w:rsidR="000526AB" w:rsidRPr="000526AB" w:rsidRDefault="000526AB" w:rsidP="000B2A99">
      <w:pPr>
        <w:pStyle w:val="TableTitle"/>
        <w:rPr>
          <w:lang w:eastAsia="ja-JP"/>
        </w:rPr>
      </w:pPr>
      <w:bookmarkStart w:id="108" w:name="_Toc221767070"/>
      <w:r w:rsidRPr="000526AB">
        <w:rPr>
          <w:lang w:eastAsia="ja-JP"/>
        </w:rPr>
        <w:lastRenderedPageBreak/>
        <w:t>Table</w:t>
      </w:r>
      <w:r w:rsidR="005B6DC7">
        <w:rPr>
          <w:lang w:eastAsia="ja-JP"/>
        </w:rPr>
        <w:t xml:space="preserve"> 17</w:t>
      </w:r>
      <w:r w:rsidRPr="000526AB">
        <w:rPr>
          <w:lang w:eastAsia="ja-JP"/>
        </w:rPr>
        <w:t xml:space="preserve">: </w:t>
      </w:r>
      <w:r w:rsidRPr="000526AB">
        <w:rPr>
          <w:lang w:val="en-US" w:eastAsia="ja-JP"/>
        </w:rPr>
        <w:t xml:space="preserve">GALILEO – </w:t>
      </w:r>
      <w:r w:rsidRPr="000526AB">
        <w:rPr>
          <w:lang w:eastAsia="ja-JP"/>
        </w:rPr>
        <w:t>Change from baseline in ETDRS letter score at Weeks 24, 52, and 76; FAS/LOCF.</w:t>
      </w:r>
      <w:bookmarkEnd w:id="108"/>
    </w:p>
    <w:p w:rsidR="000526AB" w:rsidRPr="000526AB" w:rsidRDefault="000526AB" w:rsidP="000B2A99">
      <w:pPr>
        <w:rPr>
          <w:lang w:val="en-US" w:eastAsia="ja-JP"/>
        </w:rPr>
      </w:pPr>
      <w:r w:rsidRPr="000526AB">
        <w:rPr>
          <w:noProof/>
          <w:lang w:eastAsia="en-AU"/>
        </w:rPr>
        <w:drawing>
          <wp:inline distT="0" distB="0" distL="0" distR="0" wp14:anchorId="07EBC3ED" wp14:editId="7AC822E0">
            <wp:extent cx="4846320" cy="2814320"/>
            <wp:effectExtent l="19050" t="0" r="0" b="0"/>
            <wp:docPr id="35" name="Picture 2" descr="Table 17: GALILEO – Change from baseline in ETDRS letter score at Weeks 24, 52, and 76; FAS/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846320" cy="2814320"/>
                    </a:xfrm>
                    <a:prstGeom prst="rect">
                      <a:avLst/>
                    </a:prstGeom>
                    <a:noFill/>
                    <a:ln w="9525">
                      <a:noFill/>
                      <a:miter lim="800000"/>
                      <a:headEnd/>
                      <a:tailEnd/>
                    </a:ln>
                  </pic:spPr>
                </pic:pic>
              </a:graphicData>
            </a:graphic>
          </wp:inline>
        </w:drawing>
      </w:r>
    </w:p>
    <w:p w:rsidR="000526AB" w:rsidRPr="000526AB" w:rsidRDefault="000526AB" w:rsidP="000B2A99">
      <w:pPr>
        <w:rPr>
          <w:lang w:val="en-US" w:eastAsia="ja-JP"/>
        </w:rPr>
      </w:pPr>
      <w:r w:rsidRPr="000526AB">
        <w:rPr>
          <w:lang w:eastAsia="ja-JP"/>
        </w:rPr>
        <w:t xml:space="preserve">The results (GALILEO) for the change in CRT from baseline as measured by OCT at </w:t>
      </w:r>
      <w:r w:rsidR="005B6DC7">
        <w:rPr>
          <w:lang w:eastAsia="ja-JP"/>
        </w:rPr>
        <w:t>W</w:t>
      </w:r>
      <w:r w:rsidRPr="000526AB">
        <w:rPr>
          <w:lang w:eastAsia="ja-JP"/>
        </w:rPr>
        <w:t>eeks 24, 52</w:t>
      </w:r>
      <w:r w:rsidR="005B6DC7">
        <w:rPr>
          <w:lang w:eastAsia="ja-JP"/>
        </w:rPr>
        <w:t xml:space="preserve"> and 76 are summaris</w:t>
      </w:r>
      <w:r w:rsidRPr="000526AB">
        <w:rPr>
          <w:lang w:eastAsia="ja-JP"/>
        </w:rPr>
        <w:t>ed below in Table 1</w:t>
      </w:r>
      <w:r w:rsidR="005B6DC7">
        <w:rPr>
          <w:lang w:eastAsia="ja-JP"/>
        </w:rPr>
        <w:t>8</w:t>
      </w:r>
      <w:r w:rsidRPr="000526AB">
        <w:rPr>
          <w:lang w:eastAsia="ja-JP"/>
        </w:rPr>
        <w:t>. Similar to the BCVA endpoints, the results show that maximum reduction in the mean CRT from baseline in subjects in the VTE2Q4+PRN group occurred at</w:t>
      </w:r>
      <w:r w:rsidR="00300BDB">
        <w:rPr>
          <w:lang w:eastAsia="ja-JP"/>
        </w:rPr>
        <w:t xml:space="preserve"> Week 2</w:t>
      </w:r>
      <w:r w:rsidRPr="000526AB">
        <w:rPr>
          <w:lang w:eastAsia="ja-JP"/>
        </w:rPr>
        <w:t xml:space="preserve">4 (-448.58 </w:t>
      </w:r>
      <w:r w:rsidR="005B6DC7">
        <w:rPr>
          <w:lang w:eastAsia="ja-JP"/>
        </w:rPr>
        <w:t>µ</w:t>
      </w:r>
      <w:r w:rsidRPr="000526AB">
        <w:rPr>
          <w:lang w:eastAsia="ja-JP"/>
        </w:rPr>
        <w:t>m), with mean values at</w:t>
      </w:r>
      <w:r w:rsidR="00300BDB">
        <w:rPr>
          <w:lang w:eastAsia="ja-JP"/>
        </w:rPr>
        <w:t xml:space="preserve"> Week 5</w:t>
      </w:r>
      <w:r w:rsidRPr="000526AB">
        <w:rPr>
          <w:lang w:eastAsia="ja-JP"/>
        </w:rPr>
        <w:t>2 and</w:t>
      </w:r>
      <w:r w:rsidR="00300BDB">
        <w:rPr>
          <w:lang w:eastAsia="ja-JP"/>
        </w:rPr>
        <w:t xml:space="preserve"> Week 7</w:t>
      </w:r>
      <w:r w:rsidRPr="000526AB">
        <w:rPr>
          <w:lang w:eastAsia="ja-JP"/>
        </w:rPr>
        <w:t xml:space="preserve">6 being -423.53 </w:t>
      </w:r>
      <w:r w:rsidR="005B6DC7">
        <w:rPr>
          <w:lang w:eastAsia="ja-JP"/>
        </w:rPr>
        <w:t>µ</w:t>
      </w:r>
      <w:r w:rsidRPr="000526AB">
        <w:rPr>
          <w:lang w:eastAsia="ja-JP"/>
        </w:rPr>
        <w:t xml:space="preserve">m and -389.35 </w:t>
      </w:r>
      <w:r w:rsidR="005B6DC7">
        <w:rPr>
          <w:lang w:eastAsia="ja-JP"/>
        </w:rPr>
        <w:t>µ</w:t>
      </w:r>
      <w:r w:rsidRPr="000526AB">
        <w:rPr>
          <w:lang w:eastAsia="ja-JP"/>
        </w:rPr>
        <w:t>m (</w:t>
      </w:r>
      <w:r w:rsidR="005B6DC7">
        <w:rPr>
          <w:lang w:eastAsia="ja-JP"/>
        </w:rPr>
        <w:t>that is, CRT increased at W</w:t>
      </w:r>
      <w:r w:rsidRPr="000526AB">
        <w:rPr>
          <w:lang w:eastAsia="ja-JP"/>
        </w:rPr>
        <w:t>eeks 52 and 76 compared with</w:t>
      </w:r>
      <w:r w:rsidR="00300BDB">
        <w:rPr>
          <w:lang w:eastAsia="ja-JP"/>
        </w:rPr>
        <w:t xml:space="preserve"> Week 2</w:t>
      </w:r>
      <w:r w:rsidR="000B2A99">
        <w:rPr>
          <w:lang w:eastAsia="ja-JP"/>
        </w:rPr>
        <w:t>4).</w:t>
      </w:r>
    </w:p>
    <w:p w:rsidR="000526AB" w:rsidRPr="000526AB" w:rsidRDefault="000526AB" w:rsidP="000B2A99">
      <w:pPr>
        <w:pStyle w:val="TableTitle"/>
        <w:rPr>
          <w:lang w:val="en-US" w:eastAsia="ja-JP"/>
        </w:rPr>
      </w:pPr>
      <w:bookmarkStart w:id="109" w:name="_Toc221767071"/>
      <w:r w:rsidRPr="000526AB">
        <w:rPr>
          <w:lang w:eastAsia="ja-JP"/>
        </w:rPr>
        <w:t>Table</w:t>
      </w:r>
      <w:r w:rsidR="005B6DC7">
        <w:rPr>
          <w:lang w:eastAsia="ja-JP"/>
        </w:rPr>
        <w:t xml:space="preserve"> 18</w:t>
      </w:r>
      <w:r w:rsidRPr="000526AB">
        <w:rPr>
          <w:lang w:eastAsia="ja-JP"/>
        </w:rPr>
        <w:t xml:space="preserve">: </w:t>
      </w:r>
      <w:r w:rsidRPr="000526AB">
        <w:rPr>
          <w:lang w:val="en-US" w:eastAsia="ja-JP"/>
        </w:rPr>
        <w:t>GALILEO – Change from baseline in CRT at Weeks 24, 52 and 76; FAS/LOCF.</w:t>
      </w:r>
      <w:bookmarkEnd w:id="109"/>
    </w:p>
    <w:p w:rsidR="000526AB" w:rsidRPr="000526AB" w:rsidRDefault="000526AB" w:rsidP="000B2A99">
      <w:pPr>
        <w:rPr>
          <w:lang w:val="en-US" w:eastAsia="ja-JP"/>
        </w:rPr>
      </w:pPr>
      <w:r w:rsidRPr="000526AB">
        <w:rPr>
          <w:noProof/>
          <w:lang w:eastAsia="en-AU"/>
        </w:rPr>
        <w:drawing>
          <wp:inline distT="0" distB="0" distL="0" distR="0" wp14:anchorId="6AEEEC06" wp14:editId="6AE19DBC">
            <wp:extent cx="5643380" cy="2145890"/>
            <wp:effectExtent l="19050" t="0" r="0" b="0"/>
            <wp:docPr id="36" name="Picture 3" descr="Table 18: GALILEO – Change from baseline in CRT at Weeks 24, 52 and 76; FAS/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645859" cy="2146833"/>
                    </a:xfrm>
                    <a:prstGeom prst="rect">
                      <a:avLst/>
                    </a:prstGeom>
                    <a:noFill/>
                    <a:ln w="9525">
                      <a:noFill/>
                      <a:miter lim="800000"/>
                      <a:headEnd/>
                      <a:tailEnd/>
                    </a:ln>
                  </pic:spPr>
                </pic:pic>
              </a:graphicData>
            </a:graphic>
          </wp:inline>
        </w:drawing>
      </w:r>
    </w:p>
    <w:p w:rsidR="000526AB" w:rsidRPr="000526AB" w:rsidRDefault="000526AB" w:rsidP="000B2A99">
      <w:pPr>
        <w:rPr>
          <w:lang w:eastAsia="ja-JP"/>
        </w:rPr>
      </w:pPr>
      <w:r w:rsidRPr="000526AB">
        <w:rPr>
          <w:lang w:eastAsia="ja-JP"/>
        </w:rPr>
        <w:t xml:space="preserve">In GALILEO, 7.8% (8/103) of subjects in the VTE2Q4+PRN group and 8.8% (6/68) of subjects in the sham+VTE PRN group developed </w:t>
      </w:r>
      <w:r w:rsidR="00ED3DEB">
        <w:rPr>
          <w:lang w:eastAsia="ja-JP"/>
        </w:rPr>
        <w:t>neovascularisation</w:t>
      </w:r>
      <w:r w:rsidRPr="000526AB">
        <w:rPr>
          <w:lang w:eastAsia="ja-JP"/>
        </w:rPr>
        <w:t xml:space="preserve"> during the 76 weeks of the study; p=0.8887. Pan-retinal photocoagulation was performed in 1.9% (2/103) of subjects in the VTE2Q4+PRN group and 4.4% (3/68) of subj</w:t>
      </w:r>
      <w:r w:rsidR="000B2A99">
        <w:rPr>
          <w:lang w:eastAsia="ja-JP"/>
        </w:rPr>
        <w:t>ects in the sham+VTE PRN group.</w:t>
      </w:r>
    </w:p>
    <w:p w:rsidR="000526AB" w:rsidRPr="000526AB" w:rsidRDefault="000526AB" w:rsidP="000B2A99">
      <w:pPr>
        <w:rPr>
          <w:lang w:eastAsia="ja-JP"/>
        </w:rPr>
      </w:pPr>
      <w:r w:rsidRPr="000526AB">
        <w:rPr>
          <w:lang w:eastAsia="ja-JP"/>
        </w:rPr>
        <w:t>Overall, in COPERNICUS the BCVA results at</w:t>
      </w:r>
      <w:r w:rsidR="00300BDB">
        <w:rPr>
          <w:lang w:eastAsia="ja-JP"/>
        </w:rPr>
        <w:t xml:space="preserve"> Week 5</w:t>
      </w:r>
      <w:r w:rsidRPr="000526AB">
        <w:rPr>
          <w:lang w:eastAsia="ja-JP"/>
        </w:rPr>
        <w:t>2 and</w:t>
      </w:r>
      <w:r w:rsidR="00300BDB">
        <w:rPr>
          <w:lang w:eastAsia="ja-JP"/>
        </w:rPr>
        <w:t xml:space="preserve"> Week 1</w:t>
      </w:r>
      <w:r w:rsidRPr="000526AB">
        <w:rPr>
          <w:lang w:eastAsia="ja-JP"/>
        </w:rPr>
        <w:t>00 indicate that the gains in BCVA achieved at</w:t>
      </w:r>
      <w:r w:rsidR="00300BDB">
        <w:rPr>
          <w:lang w:eastAsia="ja-JP"/>
        </w:rPr>
        <w:t xml:space="preserve"> Week 2</w:t>
      </w:r>
      <w:r w:rsidRPr="000526AB">
        <w:rPr>
          <w:lang w:eastAsia="ja-JP"/>
        </w:rPr>
        <w:t>4 were maintained to greater extent at</w:t>
      </w:r>
      <w:r w:rsidR="00300BDB">
        <w:rPr>
          <w:lang w:eastAsia="ja-JP"/>
        </w:rPr>
        <w:t xml:space="preserve"> Week 5</w:t>
      </w:r>
      <w:r w:rsidRPr="000526AB">
        <w:rPr>
          <w:lang w:eastAsia="ja-JP"/>
        </w:rPr>
        <w:t>2 than at</w:t>
      </w:r>
      <w:r w:rsidR="00300BDB">
        <w:rPr>
          <w:lang w:eastAsia="ja-JP"/>
        </w:rPr>
        <w:t xml:space="preserve"> Week 1</w:t>
      </w:r>
      <w:r w:rsidRPr="000526AB">
        <w:rPr>
          <w:lang w:eastAsia="ja-JP"/>
        </w:rPr>
        <w:t>00. These results suggest that more frequent routine monitoring in the</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period (</w:t>
      </w:r>
      <w:r w:rsidR="005B6DC7">
        <w:rPr>
          <w:lang w:eastAsia="ja-JP"/>
        </w:rPr>
        <w:t>that is,</w:t>
      </w:r>
      <w:r w:rsidRPr="000526AB">
        <w:rPr>
          <w:lang w:eastAsia="ja-JP"/>
        </w:rPr>
        <w:t xml:space="preserve"> every 4 weeks) than in the</w:t>
      </w:r>
      <w:r w:rsidR="00300BDB">
        <w:rPr>
          <w:lang w:eastAsia="ja-JP"/>
        </w:rPr>
        <w:t xml:space="preserve"> Week 5</w:t>
      </w:r>
      <w:r w:rsidRPr="000526AB">
        <w:rPr>
          <w:lang w:eastAsia="ja-JP"/>
        </w:rPr>
        <w:t>2 to</w:t>
      </w:r>
      <w:r w:rsidR="00300BDB">
        <w:rPr>
          <w:lang w:eastAsia="ja-JP"/>
        </w:rPr>
        <w:t xml:space="preserve"> Week 1</w:t>
      </w:r>
      <w:r w:rsidRPr="000526AB">
        <w:rPr>
          <w:lang w:eastAsia="ja-JP"/>
        </w:rPr>
        <w:t>00 period (</w:t>
      </w:r>
      <w:r w:rsidR="00D46FFA">
        <w:rPr>
          <w:lang w:eastAsia="ja-JP"/>
        </w:rPr>
        <w:t>that is,</w:t>
      </w:r>
      <w:r w:rsidRPr="000526AB">
        <w:rPr>
          <w:lang w:eastAsia="ja-JP"/>
        </w:rPr>
        <w:t xml:space="preserve"> every 12 weeks) is associated with better outcomes. In the</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period, 91.9% (100/110) of subjects in the VTE2Q4+PRN group received at least one VTE PRN injection and 29.1% (32/110) of the subjects received a VTE PRN injection at the first eligible PRN injection time-point at</w:t>
      </w:r>
      <w:r w:rsidR="00300BDB">
        <w:rPr>
          <w:lang w:eastAsia="ja-JP"/>
        </w:rPr>
        <w:t xml:space="preserve"> Week 2</w:t>
      </w:r>
      <w:r w:rsidRPr="000526AB">
        <w:rPr>
          <w:lang w:eastAsia="ja-JP"/>
        </w:rPr>
        <w:t xml:space="preserve">4. The mean (SD) number of VTE PRN injections in the VTE2Q4+PRN group </w:t>
      </w:r>
      <w:r w:rsidRPr="000526AB">
        <w:rPr>
          <w:lang w:eastAsia="ja-JP"/>
        </w:rPr>
        <w:lastRenderedPageBreak/>
        <w:t>(n=110) was 2.7 (1.7), with a median of 3.0 injections and a range of 0 to 7 injections. The first injection in the</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PRN extension phase could be given and</w:t>
      </w:r>
      <w:r w:rsidR="00300BDB">
        <w:rPr>
          <w:lang w:eastAsia="ja-JP"/>
        </w:rPr>
        <w:t xml:space="preserve"> Week 2</w:t>
      </w:r>
      <w:r w:rsidR="00D46FFA">
        <w:rPr>
          <w:lang w:eastAsia="ja-JP"/>
        </w:rPr>
        <w:t>4 and the last at W</w:t>
      </w:r>
      <w:r w:rsidRPr="000526AB">
        <w:rPr>
          <w:lang w:eastAsia="ja-JP"/>
        </w:rPr>
        <w:t>eek 48. Therefore, over the 24 week period in which VTE PRN injections could be administered, approximately 3 injections were given resulting, on average, 1 injec</w:t>
      </w:r>
      <w:r w:rsidR="000B2A99">
        <w:rPr>
          <w:lang w:eastAsia="ja-JP"/>
        </w:rPr>
        <w:t>tion being given every 8 weeks.</w:t>
      </w:r>
    </w:p>
    <w:p w:rsidR="000526AB" w:rsidRPr="000526AB" w:rsidRDefault="000526AB" w:rsidP="000B2A99">
      <w:pPr>
        <w:rPr>
          <w:lang w:eastAsia="ja-JP"/>
        </w:rPr>
      </w:pPr>
      <w:r w:rsidRPr="000526AB">
        <w:rPr>
          <w:lang w:eastAsia="ja-JP"/>
        </w:rPr>
        <w:t>Overall, in GALILEO the BCVA indicate that the gains achieved at</w:t>
      </w:r>
      <w:r w:rsidR="00300BDB">
        <w:rPr>
          <w:lang w:eastAsia="ja-JP"/>
        </w:rPr>
        <w:t xml:space="preserve"> Week 2</w:t>
      </w:r>
      <w:r w:rsidRPr="000526AB">
        <w:rPr>
          <w:lang w:eastAsia="ja-JP"/>
        </w:rPr>
        <w:t>4 were maintained to greater extent at</w:t>
      </w:r>
      <w:r w:rsidR="00300BDB">
        <w:rPr>
          <w:lang w:eastAsia="ja-JP"/>
        </w:rPr>
        <w:t xml:space="preserve"> Week 5</w:t>
      </w:r>
      <w:r w:rsidRPr="000526AB">
        <w:rPr>
          <w:lang w:eastAsia="ja-JP"/>
        </w:rPr>
        <w:t>2 than at</w:t>
      </w:r>
      <w:r w:rsidR="00300BDB">
        <w:rPr>
          <w:lang w:eastAsia="ja-JP"/>
        </w:rPr>
        <w:t xml:space="preserve"> Week 7</w:t>
      </w:r>
      <w:r w:rsidRPr="000526AB">
        <w:rPr>
          <w:lang w:eastAsia="ja-JP"/>
        </w:rPr>
        <w:t>6. These results suggest that more frequent routine monitoring in the</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period (</w:t>
      </w:r>
      <w:r w:rsidR="00D46FFA">
        <w:rPr>
          <w:lang w:eastAsia="ja-JP"/>
        </w:rPr>
        <w:t>that is,</w:t>
      </w:r>
      <w:r w:rsidRPr="000526AB">
        <w:rPr>
          <w:lang w:eastAsia="ja-JP"/>
        </w:rPr>
        <w:t xml:space="preserve"> every 4 weeks) than in the</w:t>
      </w:r>
      <w:r w:rsidR="00300BDB">
        <w:rPr>
          <w:lang w:eastAsia="ja-JP"/>
        </w:rPr>
        <w:t xml:space="preserve"> Week 5</w:t>
      </w:r>
      <w:r w:rsidRPr="000526AB">
        <w:rPr>
          <w:lang w:eastAsia="ja-JP"/>
        </w:rPr>
        <w:t>2 to</w:t>
      </w:r>
      <w:r w:rsidR="00300BDB">
        <w:rPr>
          <w:lang w:eastAsia="ja-JP"/>
        </w:rPr>
        <w:t xml:space="preserve"> Week 7</w:t>
      </w:r>
      <w:r w:rsidRPr="000526AB">
        <w:rPr>
          <w:lang w:eastAsia="ja-JP"/>
        </w:rPr>
        <w:t>6 period (</w:t>
      </w:r>
      <w:r w:rsidR="00D46FFA">
        <w:rPr>
          <w:lang w:eastAsia="ja-JP"/>
        </w:rPr>
        <w:t>that is,</w:t>
      </w:r>
      <w:r w:rsidRPr="000526AB">
        <w:rPr>
          <w:lang w:eastAsia="ja-JP"/>
        </w:rPr>
        <w:t xml:space="preserve"> every 8 weeks) is associated with better outcomes. In the</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period, the mean (SD) number of VTE PRN injections administered to subjects in the VTE2Q4+PRN group (n=97) was 2.5 (1.7) with a median of 3.0 injections and a range of 0 to 6 injections. The first injection in the</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extension phase could be given and</w:t>
      </w:r>
      <w:r w:rsidR="00300BDB">
        <w:rPr>
          <w:lang w:eastAsia="ja-JP"/>
        </w:rPr>
        <w:t xml:space="preserve"> Week 2</w:t>
      </w:r>
      <w:r w:rsidRPr="000526AB">
        <w:rPr>
          <w:lang w:eastAsia="ja-JP"/>
        </w:rPr>
        <w:t xml:space="preserve">4 and the last at </w:t>
      </w:r>
      <w:r w:rsidR="00D46FFA">
        <w:rPr>
          <w:lang w:eastAsia="ja-JP"/>
        </w:rPr>
        <w:t>W</w:t>
      </w:r>
      <w:r w:rsidRPr="000526AB">
        <w:rPr>
          <w:lang w:eastAsia="ja-JP"/>
        </w:rPr>
        <w:t xml:space="preserve">eek 48. Therefore, over the 24 week period in which VTE PRN injections could be administered, approximately 3 injections were given resulting, on average, </w:t>
      </w:r>
      <w:r w:rsidR="00D46FFA">
        <w:rPr>
          <w:lang w:eastAsia="ja-JP"/>
        </w:rPr>
        <w:t>in one</w:t>
      </w:r>
      <w:r w:rsidRPr="000526AB">
        <w:rPr>
          <w:lang w:eastAsia="ja-JP"/>
        </w:rPr>
        <w:t xml:space="preserve"> injec</w:t>
      </w:r>
      <w:r w:rsidR="000B2A99">
        <w:rPr>
          <w:lang w:eastAsia="ja-JP"/>
        </w:rPr>
        <w:t>tion being given every 8 weeks.</w:t>
      </w:r>
    </w:p>
    <w:p w:rsidR="000526AB" w:rsidRPr="000526AB" w:rsidRDefault="000526AB" w:rsidP="000B2A99">
      <w:pPr>
        <w:rPr>
          <w:lang w:eastAsia="ja-JP"/>
        </w:rPr>
      </w:pPr>
      <w:r w:rsidRPr="000526AB">
        <w:rPr>
          <w:lang w:eastAsia="ja-JP"/>
        </w:rPr>
        <w:t>In both COPERNICUS and GALILEO, improvements in BCVA achieved at</w:t>
      </w:r>
      <w:r w:rsidR="00300BDB">
        <w:rPr>
          <w:lang w:eastAsia="ja-JP"/>
        </w:rPr>
        <w:t xml:space="preserve"> Week 2</w:t>
      </w:r>
      <w:r w:rsidRPr="000526AB">
        <w:rPr>
          <w:lang w:eastAsia="ja-JP"/>
        </w:rPr>
        <w:t>4 following VTE2Q4 were largely maintained through to</w:t>
      </w:r>
      <w:r w:rsidR="00300BDB">
        <w:rPr>
          <w:lang w:eastAsia="ja-JP"/>
        </w:rPr>
        <w:t xml:space="preserve"> Week 5</w:t>
      </w:r>
      <w:r w:rsidRPr="000526AB">
        <w:rPr>
          <w:lang w:eastAsia="ja-JP"/>
        </w:rPr>
        <w:t xml:space="preserve">2 following monthly monitoring and </w:t>
      </w:r>
      <w:r w:rsidR="00427821">
        <w:rPr>
          <w:lang w:eastAsia="ja-JP"/>
        </w:rPr>
        <w:t xml:space="preserve">re </w:t>
      </w:r>
      <w:r w:rsidR="00C84038">
        <w:rPr>
          <w:lang w:eastAsia="ja-JP"/>
        </w:rPr>
        <w:t>treatment</w:t>
      </w:r>
      <w:r w:rsidRPr="000526AB">
        <w:rPr>
          <w:lang w:eastAsia="ja-JP"/>
        </w:rPr>
        <w:t xml:space="preserve"> with VTE PRN according to pre-specified </w:t>
      </w:r>
      <w:r w:rsidR="00427821">
        <w:rPr>
          <w:lang w:eastAsia="ja-JP"/>
        </w:rPr>
        <w:t xml:space="preserve">re </w:t>
      </w:r>
      <w:r w:rsidR="00C84038">
        <w:rPr>
          <w:lang w:eastAsia="ja-JP"/>
        </w:rPr>
        <w:t>treatment</w:t>
      </w:r>
      <w:r w:rsidRPr="000526AB">
        <w:rPr>
          <w:lang w:eastAsia="ja-JP"/>
        </w:rPr>
        <w:t xml:space="preserve"> criteria. In both COPERNICUS and GALILEO, the proportion of subjects who had gained at least 15 letters in the ETDRS from baseline was lower at</w:t>
      </w:r>
      <w:r w:rsidR="00300BDB">
        <w:rPr>
          <w:lang w:eastAsia="ja-JP"/>
        </w:rPr>
        <w:t xml:space="preserve"> Week 5</w:t>
      </w:r>
      <w:r w:rsidRPr="000526AB">
        <w:rPr>
          <w:lang w:eastAsia="ja-JP"/>
        </w:rPr>
        <w:t>2 than at</w:t>
      </w:r>
      <w:r w:rsidR="00300BDB">
        <w:rPr>
          <w:lang w:eastAsia="ja-JP"/>
        </w:rPr>
        <w:t xml:space="preserve"> Week 2</w:t>
      </w:r>
      <w:r w:rsidRPr="000526AB">
        <w:rPr>
          <w:lang w:eastAsia="ja-JP"/>
        </w:rPr>
        <w:t>4 by 0.8% and 1.9%, respectively, while in both studies the mean BCVA was 1.2 letters lower at</w:t>
      </w:r>
      <w:r w:rsidR="00300BDB">
        <w:rPr>
          <w:lang w:eastAsia="ja-JP"/>
        </w:rPr>
        <w:t xml:space="preserve"> Week 5</w:t>
      </w:r>
      <w:r w:rsidRPr="000526AB">
        <w:rPr>
          <w:lang w:eastAsia="ja-JP"/>
        </w:rPr>
        <w:t>2 than at</w:t>
      </w:r>
      <w:r w:rsidR="00300BDB">
        <w:rPr>
          <w:lang w:eastAsia="ja-JP"/>
        </w:rPr>
        <w:t xml:space="preserve"> Week 2</w:t>
      </w:r>
      <w:r w:rsidRPr="000526AB">
        <w:rPr>
          <w:lang w:eastAsia="ja-JP"/>
        </w:rPr>
        <w:t>4. In both COPERNICUS and GALILEO, the mean CRT increased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 xml:space="preserve">2 by approximately 43 </w:t>
      </w:r>
      <w:r w:rsidR="00D46FFA">
        <w:rPr>
          <w:lang w:eastAsia="ja-JP"/>
        </w:rPr>
        <w:t>µ</w:t>
      </w:r>
      <w:r w:rsidRPr="000526AB">
        <w:rPr>
          <w:lang w:eastAsia="ja-JP"/>
        </w:rPr>
        <w:t xml:space="preserve">m and 25 </w:t>
      </w:r>
      <w:r w:rsidR="00D46FFA">
        <w:rPr>
          <w:lang w:eastAsia="ja-JP"/>
        </w:rPr>
        <w:t>µ</w:t>
      </w:r>
      <w:r w:rsidRPr="000526AB">
        <w:rPr>
          <w:lang w:eastAsia="ja-JP"/>
        </w:rPr>
        <w:t>m, respectively, but the increases in thickness did not appea</w:t>
      </w:r>
      <w:r w:rsidR="001006D2">
        <w:rPr>
          <w:lang w:eastAsia="ja-JP"/>
        </w:rPr>
        <w:t>r to significantly reduce BCVA.</w:t>
      </w:r>
    </w:p>
    <w:p w:rsidR="001962A6" w:rsidRDefault="001962A6" w:rsidP="000B2A99">
      <w:pPr>
        <w:rPr>
          <w:lang w:eastAsia="ja-JP"/>
        </w:rPr>
      </w:pPr>
      <w:r>
        <w:rPr>
          <w:lang w:eastAsia="ja-JP"/>
        </w:rPr>
        <w:t>[information redacted]</w:t>
      </w:r>
    </w:p>
    <w:p w:rsidR="00C22678" w:rsidRDefault="00C22678" w:rsidP="001006D2">
      <w:pPr>
        <w:pStyle w:val="Heading2"/>
      </w:pPr>
      <w:bookmarkStart w:id="110" w:name="_Toc396651355"/>
      <w:r w:rsidRPr="001006D2">
        <w:t>Clinical</w:t>
      </w:r>
      <w:r>
        <w:t xml:space="preserve"> safety</w:t>
      </w:r>
      <w:bookmarkEnd w:id="110"/>
    </w:p>
    <w:p w:rsidR="000526AB" w:rsidRPr="000526AB" w:rsidRDefault="000526AB" w:rsidP="001006D2">
      <w:pPr>
        <w:pStyle w:val="Heading3"/>
      </w:pPr>
      <w:bookmarkStart w:id="111" w:name="_Toc272414659"/>
      <w:bookmarkStart w:id="112" w:name="_Toc290846284"/>
      <w:bookmarkStart w:id="113" w:name="_Toc221697287"/>
      <w:bookmarkStart w:id="114" w:name="_Toc396651356"/>
      <w:r w:rsidRPr="000526AB">
        <w:t xml:space="preserve">Studies providing evaluable </w:t>
      </w:r>
      <w:r w:rsidRPr="001006D2">
        <w:t>safety</w:t>
      </w:r>
      <w:r w:rsidRPr="000526AB">
        <w:t xml:space="preserve"> data</w:t>
      </w:r>
      <w:bookmarkEnd w:id="111"/>
      <w:bookmarkEnd w:id="112"/>
      <w:bookmarkEnd w:id="113"/>
      <w:bookmarkEnd w:id="114"/>
    </w:p>
    <w:p w:rsidR="000526AB" w:rsidRPr="000526AB" w:rsidRDefault="000526AB" w:rsidP="0039029E">
      <w:pPr>
        <w:rPr>
          <w:lang w:eastAsia="ja-JP"/>
        </w:rPr>
      </w:pPr>
      <w:bookmarkStart w:id="115" w:name="_Ref268776745"/>
      <w:r w:rsidRPr="000526AB">
        <w:rPr>
          <w:lang w:eastAsia="ja-JP"/>
        </w:rPr>
        <w:t xml:space="preserve">The relevant data supporting the safety of Eylea (VTE) for the treatment of CRVO were provided in two, completed, pivotal, Phase </w:t>
      </w:r>
      <w:r w:rsidR="00D46FFA">
        <w:rPr>
          <w:lang w:eastAsia="ja-JP"/>
        </w:rPr>
        <w:t>III studies (COPERNICUS [W</w:t>
      </w:r>
      <w:r w:rsidRPr="000526AB">
        <w:rPr>
          <w:lang w:eastAsia="ja-JP"/>
        </w:rPr>
        <w:t>eek 0 to</w:t>
      </w:r>
      <w:r w:rsidR="00300BDB">
        <w:rPr>
          <w:lang w:eastAsia="ja-JP"/>
        </w:rPr>
        <w:t xml:space="preserve"> Week 1</w:t>
      </w:r>
      <w:r w:rsidRPr="000526AB">
        <w:rPr>
          <w:lang w:eastAsia="ja-JP"/>
        </w:rPr>
        <w:t>00] and GALILEO [</w:t>
      </w:r>
      <w:r w:rsidR="00D46FFA">
        <w:rPr>
          <w:lang w:eastAsia="ja-JP"/>
        </w:rPr>
        <w:t>W</w:t>
      </w:r>
      <w:r w:rsidRPr="000526AB">
        <w:rPr>
          <w:lang w:eastAsia="ja-JP"/>
        </w:rPr>
        <w:t>eek 0 to</w:t>
      </w:r>
      <w:r w:rsidR="00300BDB">
        <w:rPr>
          <w:lang w:eastAsia="ja-JP"/>
        </w:rPr>
        <w:t xml:space="preserve"> Week 7</w:t>
      </w:r>
      <w:r w:rsidRPr="000526AB">
        <w:rPr>
          <w:lang w:eastAsia="ja-JP"/>
        </w:rPr>
        <w:t>6). In addition to the safety data provided in the two individual study reports, the submission also included an integrated summary of the safety data from both studies from baseline through to</w:t>
      </w:r>
      <w:r w:rsidR="00300BDB">
        <w:rPr>
          <w:lang w:eastAsia="ja-JP"/>
        </w:rPr>
        <w:t xml:space="preserve"> Week 5</w:t>
      </w:r>
      <w:r w:rsidRPr="000526AB">
        <w:rPr>
          <w:lang w:eastAsia="ja-JP"/>
        </w:rPr>
        <w:t>2 in three cuts (</w:t>
      </w:r>
      <w:r w:rsidR="00D46FFA">
        <w:rPr>
          <w:lang w:eastAsia="ja-JP"/>
        </w:rPr>
        <w:t>W</w:t>
      </w:r>
      <w:r w:rsidRPr="000526AB">
        <w:rPr>
          <w:lang w:eastAsia="ja-JP"/>
        </w:rPr>
        <w:t xml:space="preserve">eeks 0 to 24; </w:t>
      </w:r>
      <w:r w:rsidR="00D46FFA">
        <w:rPr>
          <w:lang w:eastAsia="ja-JP"/>
        </w:rPr>
        <w:t>W</w:t>
      </w:r>
      <w:r w:rsidRPr="000526AB">
        <w:rPr>
          <w:lang w:eastAsia="ja-JP"/>
        </w:rPr>
        <w:t xml:space="preserve">eeks 24 to 52; and </w:t>
      </w:r>
      <w:r w:rsidR="00D46FFA">
        <w:rPr>
          <w:lang w:eastAsia="ja-JP"/>
        </w:rPr>
        <w:t>W</w:t>
      </w:r>
      <w:r w:rsidRPr="000526AB">
        <w:rPr>
          <w:lang w:eastAsia="ja-JP"/>
        </w:rPr>
        <w:t>eeks 0 to 52). The date of the first visit for the first subject in either study was 08 Jul</w:t>
      </w:r>
      <w:r w:rsidR="00D46FFA">
        <w:rPr>
          <w:lang w:eastAsia="ja-JP"/>
        </w:rPr>
        <w:t>y</w:t>
      </w:r>
      <w:r w:rsidRPr="000526AB">
        <w:rPr>
          <w:lang w:eastAsia="ja-JP"/>
        </w:rPr>
        <w:t xml:space="preserve"> 2009, and the date of the last</w:t>
      </w:r>
      <w:r w:rsidR="00300BDB">
        <w:rPr>
          <w:lang w:eastAsia="ja-JP"/>
        </w:rPr>
        <w:t xml:space="preserve"> Week 5</w:t>
      </w:r>
      <w:r w:rsidRPr="000526AB">
        <w:rPr>
          <w:lang w:eastAsia="ja-JP"/>
        </w:rPr>
        <w:t xml:space="preserve">2 visit for the last subject in either study was 13 May 2011. The integrated summary of the safety data has been evaluated as have the </w:t>
      </w:r>
      <w:r w:rsidR="00D46FFA">
        <w:rPr>
          <w:lang w:eastAsia="ja-JP"/>
        </w:rPr>
        <w:t>W</w:t>
      </w:r>
      <w:r w:rsidRPr="000526AB">
        <w:rPr>
          <w:lang w:eastAsia="ja-JP"/>
        </w:rPr>
        <w:t>eek 0 to</w:t>
      </w:r>
      <w:r w:rsidR="00300BDB">
        <w:rPr>
          <w:lang w:eastAsia="ja-JP"/>
        </w:rPr>
        <w:t xml:space="preserve"> Week 7</w:t>
      </w:r>
      <w:r w:rsidRPr="000526AB">
        <w:rPr>
          <w:lang w:eastAsia="ja-JP"/>
        </w:rPr>
        <w:t xml:space="preserve">6 safety data from GALILEO, and the </w:t>
      </w:r>
      <w:r w:rsidR="00D46FFA">
        <w:rPr>
          <w:lang w:eastAsia="ja-JP"/>
        </w:rPr>
        <w:t>W</w:t>
      </w:r>
      <w:r w:rsidRPr="000526AB">
        <w:rPr>
          <w:lang w:eastAsia="ja-JP"/>
        </w:rPr>
        <w:t>eek 0 to</w:t>
      </w:r>
      <w:r w:rsidR="00300BDB">
        <w:rPr>
          <w:lang w:eastAsia="ja-JP"/>
        </w:rPr>
        <w:t xml:space="preserve"> Week 1</w:t>
      </w:r>
      <w:r w:rsidRPr="000526AB">
        <w:rPr>
          <w:lang w:eastAsia="ja-JP"/>
        </w:rPr>
        <w:t xml:space="preserve">00 safety data from COPERNICUS. The safety data referred to in the CER relate to the relevant safety analyses sets </w:t>
      </w:r>
      <w:r w:rsidR="000B2A99">
        <w:rPr>
          <w:lang w:eastAsia="ja-JP"/>
        </w:rPr>
        <w:t>(SAFs) unless otherwise stated.</w:t>
      </w:r>
    </w:p>
    <w:p w:rsidR="000526AB" w:rsidRPr="000526AB" w:rsidRDefault="000526AB" w:rsidP="000B2A99">
      <w:pPr>
        <w:rPr>
          <w:lang w:eastAsia="ja-JP"/>
        </w:rPr>
      </w:pPr>
      <w:r w:rsidRPr="000526AB">
        <w:rPr>
          <w:lang w:eastAsia="ja-JP"/>
        </w:rPr>
        <w:t xml:space="preserve">In both COPERNICUS and GALILEO, safety assessments included ophthalmic examinations, recording and evaluation of clinical </w:t>
      </w:r>
      <w:r w:rsidR="00D46FFA">
        <w:rPr>
          <w:lang w:eastAsia="ja-JP"/>
        </w:rPr>
        <w:t>adverse events (</w:t>
      </w:r>
      <w:r w:rsidRPr="000526AB">
        <w:rPr>
          <w:lang w:eastAsia="ja-JP"/>
        </w:rPr>
        <w:t>AEs</w:t>
      </w:r>
      <w:r w:rsidR="00D46FFA">
        <w:rPr>
          <w:lang w:eastAsia="ja-JP"/>
        </w:rPr>
        <w:t>)</w:t>
      </w:r>
      <w:r w:rsidRPr="000526AB">
        <w:rPr>
          <w:lang w:eastAsia="ja-JP"/>
        </w:rPr>
        <w:t xml:space="preserve">, safety laboratory measurements, vital signs and immunogenicity. AE information was collected at each study visit throughout the study, regardless of whether the event was attributed to study treatment or procedures. AEs were collected up to 30 days after the last dose of the study drug or the early termination visit, whichever was the later. Standard </w:t>
      </w:r>
      <w:r w:rsidR="00D46FFA" w:rsidRPr="00D46FFA">
        <w:rPr>
          <w:lang w:eastAsia="ja-JP"/>
        </w:rPr>
        <w:t>International Conference on Harmonisation of Technical Requirements for Registration of Pharmaceuticals for Human Use (</w:t>
      </w:r>
      <w:r w:rsidR="00D46FFA" w:rsidRPr="00D46FFA">
        <w:rPr>
          <w:bCs/>
          <w:lang w:eastAsia="ja-JP"/>
        </w:rPr>
        <w:t>ICH</w:t>
      </w:r>
      <w:r w:rsidR="00D46FFA" w:rsidRPr="00D46FFA">
        <w:rPr>
          <w:lang w:eastAsia="ja-JP"/>
        </w:rPr>
        <w:t>)</w:t>
      </w:r>
      <w:r w:rsidR="00D46FFA">
        <w:rPr>
          <w:lang w:eastAsia="ja-JP"/>
        </w:rPr>
        <w:t xml:space="preserve"> </w:t>
      </w:r>
      <w:r w:rsidRPr="000526AB">
        <w:rPr>
          <w:lang w:eastAsia="ja-JP"/>
        </w:rPr>
        <w:t xml:space="preserve">definitions were used for AEs and </w:t>
      </w:r>
      <w:r w:rsidR="00D46FFA">
        <w:rPr>
          <w:lang w:eastAsia="ja-JP"/>
        </w:rPr>
        <w:t>serious AEs (</w:t>
      </w:r>
      <w:r w:rsidRPr="000526AB">
        <w:rPr>
          <w:lang w:eastAsia="ja-JP"/>
        </w:rPr>
        <w:t>SAEs</w:t>
      </w:r>
      <w:r w:rsidR="00D46FFA">
        <w:rPr>
          <w:lang w:eastAsia="ja-JP"/>
        </w:rPr>
        <w:t>)</w:t>
      </w:r>
      <w:r w:rsidRPr="000526AB">
        <w:rPr>
          <w:lang w:eastAsia="ja-JP"/>
        </w:rPr>
        <w:t>. In addition to standard AE and SAE reporting criteria, the studies also included satisfactory criteria for reporting serious (sight-threatening) ocular adverse events. Assessment of the causal relationship between an AE and the administration of treatment was made by the relevant investigator (</w:t>
      </w:r>
      <w:r w:rsidR="00D46FFA">
        <w:rPr>
          <w:lang w:eastAsia="ja-JP"/>
        </w:rPr>
        <w:t>that is,</w:t>
      </w:r>
      <w:r w:rsidRPr="000526AB">
        <w:rPr>
          <w:lang w:eastAsia="ja-JP"/>
        </w:rPr>
        <w:t xml:space="preserve"> reasonable causal relationship, yes or </w:t>
      </w:r>
      <w:r w:rsidRPr="000526AB">
        <w:rPr>
          <w:lang w:eastAsia="ja-JP"/>
        </w:rPr>
        <w:lastRenderedPageBreak/>
        <w:t xml:space="preserve">no). The studies included reporting of pre-specified treatment-emergent ocular and </w:t>
      </w:r>
      <w:r w:rsidR="00D74B64">
        <w:rPr>
          <w:lang w:eastAsia="ja-JP"/>
        </w:rPr>
        <w:t xml:space="preserve">non-ocular </w:t>
      </w:r>
      <w:r w:rsidR="000B2A99">
        <w:rPr>
          <w:lang w:eastAsia="ja-JP"/>
        </w:rPr>
        <w:t>AEs of special interest.</w:t>
      </w:r>
    </w:p>
    <w:p w:rsidR="000526AB" w:rsidRPr="000526AB" w:rsidRDefault="000526AB" w:rsidP="001006D2">
      <w:pPr>
        <w:pStyle w:val="Heading3"/>
      </w:pPr>
      <w:bookmarkStart w:id="116" w:name="_Toc221697288"/>
      <w:bookmarkStart w:id="117" w:name="_Toc396651357"/>
      <w:r w:rsidRPr="000526AB">
        <w:t xml:space="preserve">Integrated summary - </w:t>
      </w:r>
      <w:r w:rsidRPr="001006D2">
        <w:t>safety</w:t>
      </w:r>
      <w:r w:rsidRPr="000526AB">
        <w:t xml:space="preserve"> data from the</w:t>
      </w:r>
      <w:r w:rsidR="00300BDB">
        <w:t xml:space="preserve"> Week 5</w:t>
      </w:r>
      <w:r w:rsidRPr="000526AB">
        <w:t>2 integrated database</w:t>
      </w:r>
      <w:bookmarkEnd w:id="116"/>
      <w:bookmarkEnd w:id="117"/>
    </w:p>
    <w:p w:rsidR="000526AB" w:rsidRPr="000526AB" w:rsidRDefault="000526AB" w:rsidP="000B2A99">
      <w:pPr>
        <w:pStyle w:val="Heading4"/>
      </w:pPr>
      <w:bookmarkStart w:id="118" w:name="_Toc221697289"/>
      <w:r w:rsidRPr="000526AB">
        <w:t>Exposure</w:t>
      </w:r>
      <w:bookmarkEnd w:id="118"/>
    </w:p>
    <w:p w:rsidR="000526AB" w:rsidRPr="000526AB" w:rsidRDefault="000526AB" w:rsidP="000B2776">
      <w:pPr>
        <w:pStyle w:val="Heading5"/>
        <w:rPr>
          <w:lang w:eastAsia="ja-JP"/>
        </w:rPr>
      </w:pPr>
      <w:r w:rsidRPr="000526AB">
        <w:rPr>
          <w:lang w:eastAsia="ja-JP"/>
        </w:rPr>
        <w:t>Week 0 to</w:t>
      </w:r>
      <w:r w:rsidR="00300BDB">
        <w:rPr>
          <w:lang w:eastAsia="ja-JP"/>
        </w:rPr>
        <w:t xml:space="preserve"> Week 2</w:t>
      </w:r>
      <w:r w:rsidRPr="000526AB">
        <w:rPr>
          <w:lang w:eastAsia="ja-JP"/>
        </w:rPr>
        <w:t>4</w:t>
      </w:r>
    </w:p>
    <w:p w:rsidR="000526AB" w:rsidRPr="000526AB" w:rsidRDefault="000526AB" w:rsidP="0039029E">
      <w:pPr>
        <w:rPr>
          <w:lang w:eastAsia="ja-JP"/>
        </w:rPr>
      </w:pPr>
      <w:r w:rsidRPr="000526AB">
        <w:rPr>
          <w:lang w:eastAsia="ja-JP"/>
        </w:rPr>
        <w:t xml:space="preserve">In the first 24 weeks of both Phase </w:t>
      </w:r>
      <w:r w:rsidR="00D46FFA">
        <w:rPr>
          <w:lang w:eastAsia="ja-JP"/>
        </w:rPr>
        <w:t>III</w:t>
      </w:r>
      <w:r w:rsidRPr="000526AB">
        <w:rPr>
          <w:lang w:eastAsia="ja-JP"/>
        </w:rPr>
        <w:t xml:space="preserve"> studies (COPERNICUS and GALILEO), subjects were scheduled to receive sham or VTE every 4 weeks (VTE2Q4), for a total of 6 injections (VTE or sham). The mean number of injections administered was similar in the two treatment groups (5.3 [SD=1.4], combined sham</w:t>
      </w:r>
      <w:r w:rsidR="0091044A">
        <w:rPr>
          <w:lang w:eastAsia="ja-JP"/>
        </w:rPr>
        <w:t xml:space="preserve"> versus </w:t>
      </w:r>
      <w:r w:rsidRPr="000526AB">
        <w:rPr>
          <w:lang w:eastAsia="ja-JP"/>
        </w:rPr>
        <w:t>5.7 [SD=0.9], combined VTE2Q4). The proportion of subjects receiving all 6 injections was higher in the combined VTE2Q4 group (89.0% [194/218]) than in the combined sham group (76.1% [108/142]). Mean total VTE exposure for subjects in the combined VTE2Q4 group was 11.5 mg (range: 2.0 to 12.0 mg) over a mean duration of 164.</w:t>
      </w:r>
      <w:r w:rsidR="000B2A99">
        <w:rPr>
          <w:lang w:eastAsia="ja-JP"/>
        </w:rPr>
        <w:t>1 days (range: 28 to 185 days).</w:t>
      </w:r>
    </w:p>
    <w:p w:rsidR="000526AB" w:rsidRPr="000526AB" w:rsidRDefault="000526AB" w:rsidP="000B2776">
      <w:pPr>
        <w:pStyle w:val="Heading5"/>
        <w:rPr>
          <w:lang w:eastAsia="ja-JP"/>
        </w:rPr>
      </w:pPr>
      <w:r w:rsidRPr="000526AB">
        <w:rPr>
          <w:lang w:eastAsia="ja-JP"/>
        </w:rPr>
        <w:t>Week 24 to 52 and Week 0 to</w:t>
      </w:r>
      <w:r w:rsidR="00300BDB">
        <w:rPr>
          <w:lang w:eastAsia="ja-JP"/>
        </w:rPr>
        <w:t xml:space="preserve"> Week 5</w:t>
      </w:r>
      <w:r w:rsidRPr="000526AB">
        <w:rPr>
          <w:lang w:eastAsia="ja-JP"/>
        </w:rPr>
        <w:t xml:space="preserve">2 </w:t>
      </w:r>
    </w:p>
    <w:p w:rsidR="000526AB" w:rsidRPr="000526AB" w:rsidRDefault="000526AB" w:rsidP="0039029E">
      <w:pPr>
        <w:rPr>
          <w:lang w:eastAsia="ja-JP"/>
        </w:rPr>
      </w:pPr>
      <w:r w:rsidRPr="000526AB">
        <w:rPr>
          <w:lang w:eastAsia="ja-JP"/>
        </w:rPr>
        <w:t>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 xml:space="preserve">2 (last treatment administered at </w:t>
      </w:r>
      <w:r w:rsidR="00D46FFA">
        <w:rPr>
          <w:lang w:eastAsia="ja-JP"/>
        </w:rPr>
        <w:t>W</w:t>
      </w:r>
      <w:r w:rsidRPr="000526AB">
        <w:rPr>
          <w:lang w:eastAsia="ja-JP"/>
        </w:rPr>
        <w:t xml:space="preserve">eek 48), subjects in the sham+VTE PRN group (COPERNICUS) and VTE2Q4+PRN group (GALILEO + COPERNICUS) received active VTE injections PRN based on pre-specified </w:t>
      </w:r>
      <w:r w:rsidR="00427821">
        <w:rPr>
          <w:lang w:eastAsia="ja-JP"/>
        </w:rPr>
        <w:t xml:space="preserve">re </w:t>
      </w:r>
      <w:r w:rsidR="00C84038">
        <w:rPr>
          <w:lang w:eastAsia="ja-JP"/>
        </w:rPr>
        <w:t>treatment</w:t>
      </w:r>
      <w:r w:rsidRPr="000526AB">
        <w:rPr>
          <w:lang w:eastAsia="ja-JP"/>
        </w:rPr>
        <w:t xml:space="preserve"> criteria. The</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 xml:space="preserve">2 sham group consisted of subjects initially </w:t>
      </w:r>
      <w:r w:rsidR="00300BDB">
        <w:rPr>
          <w:lang w:eastAsia="ja-JP"/>
        </w:rPr>
        <w:t>randomised</w:t>
      </w:r>
      <w:r w:rsidRPr="000526AB">
        <w:rPr>
          <w:lang w:eastAsia="ja-JP"/>
        </w:rPr>
        <w:t xml:space="preserve"> to sham in GALILEO who continued with monthly sham from</w:t>
      </w:r>
      <w:r w:rsidR="00300BDB">
        <w:rPr>
          <w:lang w:eastAsia="ja-JP"/>
        </w:rPr>
        <w:t xml:space="preserve"> Week 2</w:t>
      </w:r>
      <w:r w:rsidRPr="000526AB">
        <w:rPr>
          <w:lang w:eastAsia="ja-JP"/>
        </w:rPr>
        <w:t xml:space="preserve">4. Subjects </w:t>
      </w:r>
      <w:r w:rsidR="00300BDB">
        <w:rPr>
          <w:lang w:eastAsia="ja-JP"/>
        </w:rPr>
        <w:t>randomised</w:t>
      </w:r>
      <w:r w:rsidRPr="000526AB">
        <w:rPr>
          <w:lang w:eastAsia="ja-JP"/>
        </w:rPr>
        <w:t xml:space="preserve"> to sham in GALILEO did not have the option to switch to VTE PRN prior to</w:t>
      </w:r>
      <w:r w:rsidR="00300BDB">
        <w:rPr>
          <w:lang w:eastAsia="ja-JP"/>
        </w:rPr>
        <w:t xml:space="preserve"> Week 5</w:t>
      </w:r>
      <w:r w:rsidR="002F27A1">
        <w:rPr>
          <w:lang w:eastAsia="ja-JP"/>
        </w:rPr>
        <w:t>2.</w:t>
      </w:r>
    </w:p>
    <w:p w:rsidR="000526AB" w:rsidRPr="000526AB" w:rsidRDefault="00D46FFA" w:rsidP="0039029E">
      <w:pPr>
        <w:rPr>
          <w:lang w:eastAsia="ja-JP"/>
        </w:rPr>
      </w:pPr>
      <w:r>
        <w:rPr>
          <w:lang w:eastAsia="ja-JP"/>
        </w:rPr>
        <w:t>From W</w:t>
      </w:r>
      <w:r w:rsidR="000526AB" w:rsidRPr="000526AB">
        <w:rPr>
          <w:lang w:eastAsia="ja-JP"/>
        </w:rPr>
        <w:t>eek 0 to</w:t>
      </w:r>
      <w:r w:rsidR="00300BDB">
        <w:rPr>
          <w:lang w:eastAsia="ja-JP"/>
        </w:rPr>
        <w:t xml:space="preserve"> Week 5</w:t>
      </w:r>
      <w:r w:rsidR="000526AB" w:rsidRPr="000526AB">
        <w:rPr>
          <w:lang w:eastAsia="ja-JP"/>
        </w:rPr>
        <w:t>2, the mean number of injections (VTE + sham) was similar among groups (sham 10.5; sham+VTE PRN 10.5; VTE2Q4+PRN 11.9. Over 52 weeks, subjects in the combined VTE2Q4+PRN group received on average 5 more VTE injections than subjects in the sham+VTE PRN group. Mean total exposure to VTE was 6.3 mg over a mean duration of 309 days for subjects in the sham+VTE PRN group, and 16.4 mg over a mean duration of 343 days for subjects in the combined VTE2Q4+PRNgroup.</w:t>
      </w:r>
    </w:p>
    <w:p w:rsidR="000526AB" w:rsidRPr="000526AB" w:rsidRDefault="000526AB" w:rsidP="001006D2">
      <w:pPr>
        <w:pStyle w:val="Heading4"/>
      </w:pPr>
      <w:bookmarkStart w:id="119" w:name="_Toc221697290"/>
      <w:r w:rsidRPr="000526AB">
        <w:t>Baseline demographics and ocular disease characteristics (study eye)</w:t>
      </w:r>
      <w:bookmarkEnd w:id="119"/>
    </w:p>
    <w:p w:rsidR="000526AB" w:rsidRPr="000526AB" w:rsidRDefault="000526AB" w:rsidP="0039029E">
      <w:pPr>
        <w:rPr>
          <w:lang w:eastAsia="ja-JP"/>
        </w:rPr>
      </w:pPr>
      <w:r w:rsidRPr="000526AB">
        <w:rPr>
          <w:lang w:eastAsia="ja-JP"/>
        </w:rPr>
        <w:t xml:space="preserve">The baseline demographic characteristics of the </w:t>
      </w:r>
      <w:r w:rsidR="00300BDB">
        <w:rPr>
          <w:lang w:eastAsia="ja-JP"/>
        </w:rPr>
        <w:t>randomised</w:t>
      </w:r>
      <w:r w:rsidRPr="000526AB">
        <w:rPr>
          <w:lang w:eastAsia="ja-JP"/>
        </w:rPr>
        <w:t xml:space="preserve"> and treated subjects in the integrated analysis were generally well balanced between the combined sham (n=142) and the combined VTE2Q4 (n=218) treatment groups. Overall, there were more males than females (204 [56.7%]</w:t>
      </w:r>
      <w:r w:rsidR="0091044A">
        <w:rPr>
          <w:lang w:eastAsia="ja-JP"/>
        </w:rPr>
        <w:t xml:space="preserve"> versus </w:t>
      </w:r>
      <w:r w:rsidRPr="000526AB">
        <w:rPr>
          <w:lang w:eastAsia="ja-JP"/>
        </w:rPr>
        <w:t xml:space="preserve">156 [43.3%], respectively). The mean age (all subjects) at enrollment was 64 years (range: 22, 89 years) and most subjects were </w:t>
      </w:r>
      <w:r w:rsidR="00D46FFA">
        <w:rPr>
          <w:lang w:eastAsia="ja-JP"/>
        </w:rPr>
        <w:t>W</w:t>
      </w:r>
      <w:r w:rsidRPr="000526AB">
        <w:rPr>
          <w:lang w:eastAsia="ja-JP"/>
        </w:rPr>
        <w:t>hite (272 [75.6%]). The demographic characteristics of subjects completing</w:t>
      </w:r>
      <w:r w:rsidR="00300BDB">
        <w:rPr>
          <w:lang w:eastAsia="ja-JP"/>
        </w:rPr>
        <w:t xml:space="preserve"> Week 2</w:t>
      </w:r>
      <w:r w:rsidRPr="000526AB">
        <w:rPr>
          <w:lang w:eastAsia="ja-JP"/>
        </w:rPr>
        <w:t>4 and entering the PRN treatment phas</w:t>
      </w:r>
      <w:r w:rsidR="00D46FFA">
        <w:rPr>
          <w:lang w:eastAsia="ja-JP"/>
        </w:rPr>
        <w:t>e were similar to those in the W</w:t>
      </w:r>
      <w:r w:rsidRPr="000526AB">
        <w:rPr>
          <w:lang w:eastAsia="ja-JP"/>
        </w:rPr>
        <w:t>eek 0 to</w:t>
      </w:r>
      <w:r w:rsidR="00300BDB">
        <w:rPr>
          <w:lang w:eastAsia="ja-JP"/>
        </w:rPr>
        <w:t xml:space="preserve"> Week 2</w:t>
      </w:r>
      <w:r w:rsidRPr="000526AB">
        <w:rPr>
          <w:lang w:eastAsia="ja-JP"/>
        </w:rPr>
        <w:t xml:space="preserve">4 treatment phase. Baseline ocular disease characteristics in the study eye were similar in the combined sham and combined VTE2Q4 treatment groups. In the total population, 82.5% (297/360) of subjects had baseline ETDRS letter scores of </w:t>
      </w:r>
      <w:r w:rsidR="00D46FFA">
        <w:rPr>
          <w:lang w:eastAsia="ja-JP"/>
        </w:rPr>
        <w:t>≥</w:t>
      </w:r>
      <w:r w:rsidRPr="000526AB">
        <w:rPr>
          <w:lang w:eastAsia="ja-JP"/>
        </w:rPr>
        <w:t xml:space="preserve"> 35 (&gt;20/200), with a mean (SD) baseline ETDRS letter score of 51.1 (14.9) (range: 14, 82) and a mean (SD) CRT of 666.9 (236.0) </w:t>
      </w:r>
      <w:r w:rsidR="00D46FFA">
        <w:rPr>
          <w:lang w:eastAsia="ja-JP"/>
        </w:rPr>
        <w:t>µ</w:t>
      </w:r>
      <w:r w:rsidR="002F27A1">
        <w:rPr>
          <w:lang w:eastAsia="ja-JP"/>
        </w:rPr>
        <w:t>m (range: 138, 1406).</w:t>
      </w:r>
    </w:p>
    <w:p w:rsidR="000526AB" w:rsidRPr="000526AB" w:rsidRDefault="000526AB" w:rsidP="002F27A1">
      <w:pPr>
        <w:pStyle w:val="Heading4"/>
      </w:pPr>
      <w:bookmarkStart w:id="120" w:name="_Toc221697291"/>
      <w:r w:rsidRPr="000526AB">
        <w:t>Disposition</w:t>
      </w:r>
      <w:bookmarkEnd w:id="120"/>
    </w:p>
    <w:p w:rsidR="000526AB" w:rsidRPr="000526AB" w:rsidRDefault="000526AB" w:rsidP="000B2776">
      <w:pPr>
        <w:pStyle w:val="Heading5"/>
        <w:rPr>
          <w:lang w:eastAsia="ja-JP"/>
        </w:rPr>
      </w:pPr>
      <w:r w:rsidRPr="000526AB">
        <w:rPr>
          <w:lang w:eastAsia="ja-JP"/>
        </w:rPr>
        <w:t>Week 0 to</w:t>
      </w:r>
      <w:r w:rsidR="00300BDB">
        <w:rPr>
          <w:lang w:eastAsia="ja-JP"/>
        </w:rPr>
        <w:t xml:space="preserve"> Week 2</w:t>
      </w:r>
      <w:r w:rsidR="002F27A1">
        <w:rPr>
          <w:lang w:eastAsia="ja-JP"/>
        </w:rPr>
        <w:t>4</w:t>
      </w:r>
    </w:p>
    <w:p w:rsidR="000526AB" w:rsidRPr="000526AB" w:rsidRDefault="000526AB" w:rsidP="0039029E">
      <w:pPr>
        <w:rPr>
          <w:lang w:eastAsia="ja-JP"/>
        </w:rPr>
      </w:pPr>
      <w:r w:rsidRPr="000526AB">
        <w:rPr>
          <w:lang w:eastAsia="ja-JP"/>
        </w:rPr>
        <w:t xml:space="preserve">The pooled population (n=366) in the integrated analysis included 145 subjects in the combined sham group and 221 subjects in the combined VTE2Q4 group. Of the total population, 142 (97.9%) subjects in the combined sham group and 218 (98.6%) subjects in the combined VTE2Q4 were </w:t>
      </w:r>
      <w:r w:rsidR="00300BDB">
        <w:rPr>
          <w:lang w:eastAsia="ja-JP"/>
        </w:rPr>
        <w:t>randomised</w:t>
      </w:r>
      <w:r w:rsidRPr="000526AB">
        <w:rPr>
          <w:lang w:eastAsia="ja-JP"/>
        </w:rPr>
        <w:t>, with 116 (80.0%) and 206 (93.2%) subjects, respectively, completing 24 weeks of study participation. The proportion of subjects discontinuing the study drug before</w:t>
      </w:r>
      <w:r w:rsidR="00300BDB">
        <w:rPr>
          <w:lang w:eastAsia="ja-JP"/>
        </w:rPr>
        <w:t xml:space="preserve"> Week 2</w:t>
      </w:r>
      <w:r w:rsidRPr="000526AB">
        <w:rPr>
          <w:lang w:eastAsia="ja-JP"/>
        </w:rPr>
        <w:t>4 was notably higher in the combined sham group than in the combined VTE2Q4 group (20.4% [n=29]</w:t>
      </w:r>
      <w:r w:rsidR="0091044A">
        <w:rPr>
          <w:lang w:eastAsia="ja-JP"/>
        </w:rPr>
        <w:t xml:space="preserve"> versus </w:t>
      </w:r>
      <w:r w:rsidRPr="000526AB">
        <w:rPr>
          <w:lang w:eastAsia="ja-JP"/>
        </w:rPr>
        <w:t xml:space="preserve">6.4% [n=14], respectively). The most common reason for </w:t>
      </w:r>
      <w:r w:rsidRPr="000526AB">
        <w:rPr>
          <w:lang w:eastAsia="ja-JP"/>
        </w:rPr>
        <w:lastRenderedPageBreak/>
        <w:t>discontinuation of the study drug before</w:t>
      </w:r>
      <w:r w:rsidR="00300BDB">
        <w:rPr>
          <w:lang w:eastAsia="ja-JP"/>
        </w:rPr>
        <w:t xml:space="preserve"> Week 2</w:t>
      </w:r>
      <w:r w:rsidRPr="000526AB">
        <w:rPr>
          <w:lang w:eastAsia="ja-JP"/>
        </w:rPr>
        <w:t>4 in the combined sham group was AE (6.3% [n=9], sham</w:t>
      </w:r>
      <w:r w:rsidR="0091044A">
        <w:rPr>
          <w:lang w:eastAsia="ja-JP"/>
        </w:rPr>
        <w:t xml:space="preserve"> versus </w:t>
      </w:r>
      <w:r w:rsidRPr="000526AB">
        <w:rPr>
          <w:lang w:eastAsia="ja-JP"/>
        </w:rPr>
        <w:t>1.4% [n=3], VTE2Q4), and the most common reason in the combined VTE2Q4 group was protocol violation (2.3% [n=5], VTE2Q4</w:t>
      </w:r>
      <w:r w:rsidR="0091044A">
        <w:rPr>
          <w:lang w:eastAsia="ja-JP"/>
        </w:rPr>
        <w:t xml:space="preserve"> versus </w:t>
      </w:r>
      <w:r w:rsidRPr="000526AB">
        <w:rPr>
          <w:lang w:eastAsia="ja-JP"/>
        </w:rPr>
        <w:t>2.1% [n=3], sham). There were no discontinuations of the study drug before</w:t>
      </w:r>
      <w:r w:rsidR="00300BDB">
        <w:rPr>
          <w:lang w:eastAsia="ja-JP"/>
        </w:rPr>
        <w:t xml:space="preserve"> Week 2</w:t>
      </w:r>
      <w:r w:rsidRPr="000526AB">
        <w:rPr>
          <w:lang w:eastAsia="ja-JP"/>
        </w:rPr>
        <w:t>4 due to treatment failure in the combined VTE2Q4 group, while 4 (2.8%) subjects in the combined sham group</w:t>
      </w:r>
      <w:r w:rsidR="002F27A1">
        <w:rPr>
          <w:lang w:eastAsia="ja-JP"/>
        </w:rPr>
        <w:t xml:space="preserve"> discontinued for this reason.</w:t>
      </w:r>
    </w:p>
    <w:p w:rsidR="000526AB" w:rsidRPr="000526AB" w:rsidRDefault="000526AB" w:rsidP="002F27A1">
      <w:pPr>
        <w:pStyle w:val="Heading5"/>
        <w:rPr>
          <w:lang w:eastAsia="ja-JP"/>
        </w:rPr>
      </w:pPr>
      <w:r w:rsidRPr="000526AB">
        <w:rPr>
          <w:lang w:eastAsia="ja-JP"/>
        </w:rPr>
        <w:t>Week 0 to</w:t>
      </w:r>
      <w:r w:rsidR="00300BDB">
        <w:rPr>
          <w:lang w:eastAsia="ja-JP"/>
        </w:rPr>
        <w:t xml:space="preserve"> Week 5</w:t>
      </w:r>
      <w:r w:rsidRPr="000526AB">
        <w:rPr>
          <w:lang w:eastAsia="ja-JP"/>
        </w:rPr>
        <w:t>2</w:t>
      </w:r>
    </w:p>
    <w:p w:rsidR="000526AB" w:rsidRPr="000526AB" w:rsidRDefault="000526AB" w:rsidP="0039029E">
      <w:pPr>
        <w:rPr>
          <w:lang w:eastAsia="ja-JP"/>
        </w:rPr>
      </w:pPr>
      <w:r w:rsidRPr="000526AB">
        <w:rPr>
          <w:lang w:eastAsia="ja-JP"/>
        </w:rPr>
        <w:t xml:space="preserve">The proportion of subjects who discontinued the </w:t>
      </w:r>
      <w:r w:rsidRPr="000526AB">
        <w:rPr>
          <w:b/>
          <w:lang w:eastAsia="ja-JP"/>
        </w:rPr>
        <w:t>study drug</w:t>
      </w:r>
      <w:r w:rsidRPr="000526AB">
        <w:rPr>
          <w:lang w:eastAsia="ja-JP"/>
        </w:rPr>
        <w:t xml:space="preserve"> within the first 52 weeks was notably higher in the sham (26.5%) and sham+VTE PRN (24.3%) groups than in the combined VTE2Q4+PRN (10.6%) group (see Table </w:t>
      </w:r>
      <w:r w:rsidR="003E72C1">
        <w:rPr>
          <w:lang w:eastAsia="ja-JP"/>
        </w:rPr>
        <w:t>19</w:t>
      </w:r>
      <w:r w:rsidR="002F27A1">
        <w:rPr>
          <w:lang w:eastAsia="ja-JP"/>
        </w:rPr>
        <w:t>, below).</w:t>
      </w:r>
    </w:p>
    <w:p w:rsidR="000526AB" w:rsidRPr="000526AB" w:rsidRDefault="000526AB" w:rsidP="0039029E">
      <w:pPr>
        <w:pStyle w:val="TableTitle"/>
        <w:rPr>
          <w:lang w:eastAsia="ja-JP"/>
        </w:rPr>
      </w:pPr>
      <w:bookmarkStart w:id="121" w:name="_Toc221767072"/>
      <w:r w:rsidRPr="000526AB">
        <w:rPr>
          <w:lang w:eastAsia="ja-JP"/>
        </w:rPr>
        <w:t>Table</w:t>
      </w:r>
      <w:r w:rsidR="003E72C1">
        <w:rPr>
          <w:lang w:eastAsia="ja-JP"/>
        </w:rPr>
        <w:t xml:space="preserve"> 19</w:t>
      </w:r>
      <w:r w:rsidRPr="000526AB">
        <w:rPr>
          <w:lang w:eastAsia="ja-JP"/>
        </w:rPr>
        <w:t xml:space="preserve">: Integrated Analysis – Primary reason for premature discontinuation from the study drug within the first 52 weeks; all </w:t>
      </w:r>
      <w:r w:rsidR="00300BDB">
        <w:rPr>
          <w:lang w:eastAsia="ja-JP"/>
        </w:rPr>
        <w:t>randomised</w:t>
      </w:r>
      <w:r w:rsidRPr="000526AB">
        <w:rPr>
          <w:lang w:eastAsia="ja-JP"/>
        </w:rPr>
        <w:t xml:space="preserve"> subjects.</w:t>
      </w:r>
      <w:bookmarkEnd w:id="121"/>
    </w:p>
    <w:p w:rsidR="000526AB" w:rsidRPr="000526AB" w:rsidRDefault="000526AB" w:rsidP="002F27A1">
      <w:pPr>
        <w:rPr>
          <w:lang w:eastAsia="ja-JP"/>
        </w:rPr>
      </w:pPr>
      <w:r w:rsidRPr="000526AB">
        <w:rPr>
          <w:noProof/>
          <w:lang w:eastAsia="en-AU"/>
        </w:rPr>
        <w:drawing>
          <wp:inline distT="0" distB="0" distL="0" distR="0" wp14:anchorId="6C6D235D" wp14:editId="31F2A08B">
            <wp:extent cx="4856480" cy="2082800"/>
            <wp:effectExtent l="19050" t="0" r="1270" b="0"/>
            <wp:docPr id="53" name="Picture 3" descr="Table 19: Integrated Analysis – Primary reason for premature discontinuation from the study drug within the first 52 weeks; all randomis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856480" cy="2082800"/>
                    </a:xfrm>
                    <a:prstGeom prst="rect">
                      <a:avLst/>
                    </a:prstGeom>
                    <a:noFill/>
                    <a:ln w="9525">
                      <a:noFill/>
                      <a:miter lim="800000"/>
                      <a:headEnd/>
                      <a:tailEnd/>
                    </a:ln>
                  </pic:spPr>
                </pic:pic>
              </a:graphicData>
            </a:graphic>
          </wp:inline>
        </w:drawing>
      </w:r>
    </w:p>
    <w:p w:rsidR="000526AB" w:rsidRPr="000526AB" w:rsidRDefault="000526AB" w:rsidP="003E72C1">
      <w:pPr>
        <w:pStyle w:val="Heading3"/>
      </w:pPr>
      <w:bookmarkStart w:id="122" w:name="_Toc221697292"/>
      <w:bookmarkStart w:id="123" w:name="_Toc396651358"/>
      <w:r w:rsidRPr="000526AB">
        <w:t>Adverse events</w:t>
      </w:r>
      <w:bookmarkEnd w:id="122"/>
      <w:bookmarkEnd w:id="123"/>
    </w:p>
    <w:p w:rsidR="000526AB" w:rsidRPr="000526AB" w:rsidRDefault="000526AB" w:rsidP="003E72C1">
      <w:pPr>
        <w:pStyle w:val="Heading4"/>
      </w:pPr>
      <w:bookmarkStart w:id="124" w:name="_Toc221697293"/>
      <w:r w:rsidRPr="000526AB">
        <w:t>Overall treatment emergent adverse event (TEAE) experience</w:t>
      </w:r>
      <w:bookmarkEnd w:id="124"/>
    </w:p>
    <w:p w:rsidR="000526AB" w:rsidRPr="000526AB" w:rsidRDefault="000526AB" w:rsidP="0039029E">
      <w:pPr>
        <w:pStyle w:val="Heading5"/>
        <w:rPr>
          <w:lang w:eastAsia="ja-JP"/>
        </w:rPr>
      </w:pPr>
      <w:r w:rsidRPr="000526AB">
        <w:rPr>
          <w:lang w:eastAsia="ja-JP"/>
        </w:rPr>
        <w:t>Week 0 to</w:t>
      </w:r>
      <w:r w:rsidR="00300BDB">
        <w:rPr>
          <w:lang w:eastAsia="ja-JP"/>
        </w:rPr>
        <w:t xml:space="preserve"> Week 2</w:t>
      </w:r>
      <w:r w:rsidRPr="000526AB">
        <w:rPr>
          <w:lang w:eastAsia="ja-JP"/>
        </w:rPr>
        <w:t>4</w:t>
      </w:r>
    </w:p>
    <w:p w:rsidR="000526AB" w:rsidRPr="000526AB" w:rsidRDefault="000526AB" w:rsidP="0039029E">
      <w:pPr>
        <w:rPr>
          <w:lang w:eastAsia="ja-JP"/>
        </w:rPr>
      </w:pPr>
      <w:r w:rsidRPr="000526AB">
        <w:rPr>
          <w:lang w:eastAsia="ja-JP"/>
        </w:rPr>
        <w:t>The majority of subjects in the combined sham and combined VTE2Q4 groups reported at least one TEAE (115/142 [80.9%]</w:t>
      </w:r>
      <w:r w:rsidR="0091044A">
        <w:rPr>
          <w:lang w:eastAsia="ja-JP"/>
        </w:rPr>
        <w:t xml:space="preserve"> versus </w:t>
      </w:r>
      <w:r w:rsidRPr="000526AB">
        <w:rPr>
          <w:lang w:eastAsia="ja-JP"/>
        </w:rPr>
        <w:t xml:space="preserve">166/218 [76.1%], respectively). The incidence of ocular TEAEs in the study eye was higher in the combined sham group (94 [66.2%]) than in the combined VTE2Q4 group (129 [59.2%]). The incidence of </w:t>
      </w:r>
      <w:r w:rsidR="00D74B64">
        <w:rPr>
          <w:lang w:eastAsia="ja-JP"/>
        </w:rPr>
        <w:t xml:space="preserve">non-ocular </w:t>
      </w:r>
      <w:r w:rsidRPr="000526AB">
        <w:rPr>
          <w:lang w:eastAsia="ja-JP"/>
        </w:rPr>
        <w:t>TEAEs was similar in the combined sham and combined VTE2Q4 groups (75 [52.8%]</w:t>
      </w:r>
      <w:r w:rsidR="0091044A">
        <w:rPr>
          <w:lang w:eastAsia="ja-JP"/>
        </w:rPr>
        <w:t xml:space="preserve"> versus </w:t>
      </w:r>
      <w:r w:rsidRPr="000526AB">
        <w:rPr>
          <w:lang w:eastAsia="ja-JP"/>
        </w:rPr>
        <w:t>106 [48.6%], respectively). The incidence of injection-related ocular TEAEs in the study eye was higher in the combined VTE2Q4 group than in the combined sham group (68 [31.2%]</w:t>
      </w:r>
      <w:r w:rsidR="0091044A">
        <w:rPr>
          <w:lang w:eastAsia="ja-JP"/>
        </w:rPr>
        <w:t xml:space="preserve"> versus </w:t>
      </w:r>
      <w:r w:rsidRPr="000526AB">
        <w:rPr>
          <w:lang w:eastAsia="ja-JP"/>
        </w:rPr>
        <w:t>32 [22.5%], respectively). However, the incidence of serious injection-related TEAEs was low in both the combined sham and combined VTE2Q4 groups (1 [0.7%]</w:t>
      </w:r>
      <w:r w:rsidR="0091044A">
        <w:rPr>
          <w:lang w:eastAsia="ja-JP"/>
        </w:rPr>
        <w:t xml:space="preserve"> versus </w:t>
      </w:r>
      <w:r w:rsidRPr="000526AB">
        <w:rPr>
          <w:lang w:eastAsia="ja-JP"/>
        </w:rPr>
        <w:t>2 [0.9%], respectively). No deaths occurred in the combined VTE2Q4 group. One (1) subject in the combined sham group died as a result of a TEAE (acute MI). The overall incidence of SAEs (any) was higher in the combined sham group (25 [17.6%]) than in the combined VTE2Q4 group (18 [8.3%]), as was the incidence of TEAEs (any) leading to discontinuation of study drug (10 [7.0%]</w:t>
      </w:r>
      <w:r w:rsidR="0091044A">
        <w:rPr>
          <w:lang w:eastAsia="ja-JP"/>
        </w:rPr>
        <w:t xml:space="preserve"> versus </w:t>
      </w:r>
      <w:r w:rsidR="0039029E">
        <w:rPr>
          <w:lang w:eastAsia="ja-JP"/>
        </w:rPr>
        <w:t>3 [1.4%], respectively).</w:t>
      </w:r>
    </w:p>
    <w:p w:rsidR="000526AB" w:rsidRPr="000526AB" w:rsidRDefault="001006D2" w:rsidP="0039029E">
      <w:pPr>
        <w:pStyle w:val="Heading5"/>
        <w:rPr>
          <w:lang w:eastAsia="ja-JP"/>
        </w:rPr>
      </w:pPr>
      <w:r>
        <w:rPr>
          <w:lang w:eastAsia="ja-JP"/>
        </w:rPr>
        <w:t>Week 24 to 52</w:t>
      </w:r>
    </w:p>
    <w:p w:rsidR="000526AB" w:rsidRPr="000526AB" w:rsidRDefault="000526AB" w:rsidP="0039029E">
      <w:pPr>
        <w:rPr>
          <w:lang w:eastAsia="ja-JP"/>
        </w:rPr>
      </w:pPr>
      <w:r w:rsidRPr="000526AB">
        <w:rPr>
          <w:lang w:eastAsia="ja-JP"/>
        </w:rPr>
        <w:t xml:space="preserve">The majority of subjects in all three groups reported at least one TEAE: 43/57 (75.4%), sham; 49/60 (81.7%), sham+VTE PRN; and 168/207 (81.2%), VTE2Q4+PRN. The incidence of ocular TEAEs in the study eye was higher in subjects in the VTE2Q4+PRN group (62.3%) than in both the sham+VTE PRN (55.0%) and the sham (50.9%) groups. The incidence of </w:t>
      </w:r>
      <w:r w:rsidR="00D74B64">
        <w:rPr>
          <w:lang w:eastAsia="ja-JP"/>
        </w:rPr>
        <w:t xml:space="preserve">non-ocular </w:t>
      </w:r>
      <w:r w:rsidRPr="000526AB">
        <w:rPr>
          <w:lang w:eastAsia="ja-JP"/>
        </w:rPr>
        <w:t xml:space="preserve">TEAEs was higher in subjects in the sham+VTE PRN group (66.7%) than in both the VTE2Q4+PRN (56.5%) and the sham (50.9%) groups. The incidence of injection-related ocular TEAEs in the </w:t>
      </w:r>
      <w:r w:rsidRPr="000526AB">
        <w:rPr>
          <w:lang w:eastAsia="ja-JP"/>
        </w:rPr>
        <w:lastRenderedPageBreak/>
        <w:t>study eye was higher in subjects in the sham+VTE PRN group (21.7%) than in both the VTE2Q4+PRN (17.4%) and sham (15.8%) groups. There were no injection-related SAEs in any subjects in the three treatment groups. No deaths occurred, and the incidence of SAEs (any) was similar in subjects in the treatment groups: 12.3% sham</w:t>
      </w:r>
      <w:r w:rsidR="0091044A">
        <w:rPr>
          <w:lang w:eastAsia="ja-JP"/>
        </w:rPr>
        <w:t xml:space="preserve"> versus </w:t>
      </w:r>
      <w:r w:rsidRPr="000526AB">
        <w:rPr>
          <w:lang w:eastAsia="ja-JP"/>
        </w:rPr>
        <w:t>11.7% sham+VTE PRN</w:t>
      </w:r>
      <w:r w:rsidR="0091044A">
        <w:rPr>
          <w:lang w:eastAsia="ja-JP"/>
        </w:rPr>
        <w:t xml:space="preserve"> versus </w:t>
      </w:r>
      <w:r w:rsidRPr="000526AB">
        <w:rPr>
          <w:lang w:eastAsia="ja-JP"/>
        </w:rPr>
        <w:t>12.1% VTE2Q4+PRN. The incidence of TEAEs (any) leading to discontinuation of study drug in subjects was low in the three treatment groups: 1.8% sham</w:t>
      </w:r>
      <w:r w:rsidR="0091044A">
        <w:rPr>
          <w:lang w:eastAsia="ja-JP"/>
        </w:rPr>
        <w:t xml:space="preserve"> versus </w:t>
      </w:r>
      <w:r w:rsidRPr="000526AB">
        <w:rPr>
          <w:lang w:eastAsia="ja-JP"/>
        </w:rPr>
        <w:t>0% sham+VTE PRN</w:t>
      </w:r>
      <w:r w:rsidR="0091044A">
        <w:rPr>
          <w:lang w:eastAsia="ja-JP"/>
        </w:rPr>
        <w:t xml:space="preserve"> versus </w:t>
      </w:r>
      <w:r w:rsidRPr="000526AB">
        <w:rPr>
          <w:lang w:eastAsia="ja-JP"/>
        </w:rPr>
        <w:t>1.9% VTE2Q4+PRN.</w:t>
      </w:r>
    </w:p>
    <w:p w:rsidR="000526AB" w:rsidRPr="000526AB" w:rsidRDefault="000526AB" w:rsidP="0039029E">
      <w:pPr>
        <w:pStyle w:val="Heading5"/>
        <w:rPr>
          <w:lang w:eastAsia="ja-JP"/>
        </w:rPr>
      </w:pPr>
      <w:r w:rsidRPr="000526AB">
        <w:rPr>
          <w:lang w:eastAsia="ja-JP"/>
        </w:rPr>
        <w:t>Week 0 to</w:t>
      </w:r>
      <w:r w:rsidR="00300BDB">
        <w:rPr>
          <w:lang w:eastAsia="ja-JP"/>
        </w:rPr>
        <w:t xml:space="preserve"> Week 5</w:t>
      </w:r>
      <w:r w:rsidRPr="000526AB">
        <w:rPr>
          <w:lang w:eastAsia="ja-JP"/>
        </w:rPr>
        <w:t>2</w:t>
      </w:r>
    </w:p>
    <w:p w:rsidR="000526AB" w:rsidRPr="000526AB" w:rsidRDefault="000526AB" w:rsidP="0039029E">
      <w:pPr>
        <w:rPr>
          <w:lang w:eastAsia="ja-JP"/>
        </w:rPr>
      </w:pPr>
      <w:r w:rsidRPr="000526AB">
        <w:rPr>
          <w:lang w:eastAsia="ja-JP"/>
        </w:rPr>
        <w:t xml:space="preserve">The majority of subjects in all treatment groups reported at least one TEAE: 59/68 (86.8%), sham; 68/74 (91.9%), sham+VTE PRN; 197/218 (90.4%), VTE2Q4+PRN. The incidence of ocular TEAEs in the study eye was higher in subjects in the sham+VTE PRN group (78.4%) than in both the VTE2Q4+PRN (77.1%) and sham (72.1%) groups. The incidence of injection-related ocular TEAEs in the study eye was similar in subjects in the sham (30.9%) and sham+VTE PRN (27.0%) groups and higher in the VTE2Q4+PRN group (35.8%). There was 1 (1.5%) subject with an injection related SAE in the sham group and 2 (0.9%) subjects in the VTE2Q4+PRN group. There was 1 (1.4%) death in the sham+VTE PRN group. The incidence of SAEs was higher in subjects in the sham+VTE PRN group (28.4%) than in both the sham (20.6%) and VTE2Q4+PRN (17.9%) groups. The incidence of TEAEs (any) leading to discontinuation was lower in subjects in the VTE2Q4+PRN group (2.8%) than in both the sham+VTE PRN </w:t>
      </w:r>
      <w:r w:rsidR="0039029E">
        <w:rPr>
          <w:lang w:eastAsia="ja-JP"/>
        </w:rPr>
        <w:t>(6.8%) and sham (10.3%) groups.</w:t>
      </w:r>
    </w:p>
    <w:p w:rsidR="000526AB" w:rsidRPr="000526AB" w:rsidRDefault="000526AB" w:rsidP="003E72C1">
      <w:pPr>
        <w:pStyle w:val="Heading4"/>
      </w:pPr>
      <w:bookmarkStart w:id="125" w:name="_Toc221697294"/>
      <w:r w:rsidRPr="000526AB">
        <w:t>Ocular treatment emergent adverse events in the study eye</w:t>
      </w:r>
      <w:bookmarkEnd w:id="125"/>
    </w:p>
    <w:p w:rsidR="000526AB" w:rsidRPr="000526AB" w:rsidRDefault="000526AB" w:rsidP="0039029E">
      <w:pPr>
        <w:pStyle w:val="Heading5"/>
        <w:rPr>
          <w:lang w:eastAsia="ja-JP"/>
        </w:rPr>
      </w:pPr>
      <w:r w:rsidRPr="000526AB">
        <w:rPr>
          <w:lang w:eastAsia="ja-JP"/>
        </w:rPr>
        <w:t>Week 0 to</w:t>
      </w:r>
      <w:r w:rsidR="00300BDB">
        <w:rPr>
          <w:lang w:eastAsia="ja-JP"/>
        </w:rPr>
        <w:t xml:space="preserve"> Week 2</w:t>
      </w:r>
      <w:r w:rsidRPr="000526AB">
        <w:rPr>
          <w:lang w:eastAsia="ja-JP"/>
        </w:rPr>
        <w:t>4</w:t>
      </w:r>
    </w:p>
    <w:p w:rsidR="000526AB" w:rsidRPr="000526AB" w:rsidRDefault="000526AB" w:rsidP="0039029E">
      <w:pPr>
        <w:rPr>
          <w:lang w:eastAsia="ja-JP"/>
        </w:rPr>
      </w:pPr>
      <w:r w:rsidRPr="000526AB">
        <w:rPr>
          <w:lang w:eastAsia="ja-JP"/>
        </w:rPr>
        <w:t xml:space="preserve">Ocular TEAEs reported in the study eye from </w:t>
      </w:r>
      <w:r w:rsidR="003E72C1">
        <w:rPr>
          <w:lang w:eastAsia="ja-JP"/>
        </w:rPr>
        <w:t>W</w:t>
      </w:r>
      <w:r w:rsidRPr="000526AB">
        <w:rPr>
          <w:lang w:eastAsia="ja-JP"/>
        </w:rPr>
        <w:t>eek 0 to</w:t>
      </w:r>
      <w:r w:rsidR="00300BDB">
        <w:rPr>
          <w:lang w:eastAsia="ja-JP"/>
        </w:rPr>
        <w:t xml:space="preserve"> Week 2</w:t>
      </w:r>
      <w:r w:rsidRPr="000526AB">
        <w:rPr>
          <w:lang w:eastAsia="ja-JP"/>
        </w:rPr>
        <w:t xml:space="preserve">4 in </w:t>
      </w:r>
      <w:r w:rsidR="003E72C1">
        <w:rPr>
          <w:lang w:eastAsia="ja-JP"/>
        </w:rPr>
        <w:t>≥</w:t>
      </w:r>
      <w:r w:rsidRPr="000526AB">
        <w:rPr>
          <w:lang w:eastAsia="ja-JP"/>
        </w:rPr>
        <w:t xml:space="preserve"> 3% of subjects in either the combined sham group or the combined VTE2Q4 group are </w:t>
      </w:r>
      <w:r w:rsidR="00301349">
        <w:rPr>
          <w:lang w:eastAsia="ja-JP"/>
        </w:rPr>
        <w:t>summarised</w:t>
      </w:r>
      <w:r w:rsidRPr="000526AB">
        <w:rPr>
          <w:lang w:eastAsia="ja-JP"/>
        </w:rPr>
        <w:t xml:space="preserve"> below in Table 2</w:t>
      </w:r>
      <w:r w:rsidR="003E72C1">
        <w:rPr>
          <w:lang w:eastAsia="ja-JP"/>
        </w:rPr>
        <w:t>0</w:t>
      </w:r>
      <w:r w:rsidRPr="000526AB">
        <w:rPr>
          <w:lang w:eastAsia="ja-JP"/>
        </w:rPr>
        <w:t xml:space="preserve">. The highest incidence occurred in subjects in the sham/COPERNICUS group (67.6%) followed by the sham/GALILEO group (64.7%) and the combined VTE2Q4 group (59.2%). Ocular TEAES in the study eye occurring in </w:t>
      </w:r>
      <w:r w:rsidR="003E72C1">
        <w:rPr>
          <w:lang w:eastAsia="ja-JP"/>
        </w:rPr>
        <w:t>≥</w:t>
      </w:r>
      <w:r w:rsidRPr="000526AB">
        <w:rPr>
          <w:lang w:eastAsia="ja-JP"/>
        </w:rPr>
        <w:t xml:space="preserve"> 5% of subjects in the combined VTE2Q4 group</w:t>
      </w:r>
      <w:r w:rsidR="0091044A">
        <w:rPr>
          <w:lang w:eastAsia="ja-JP"/>
        </w:rPr>
        <w:t xml:space="preserve"> versus </w:t>
      </w:r>
      <w:r w:rsidRPr="000526AB">
        <w:rPr>
          <w:lang w:eastAsia="ja-JP"/>
        </w:rPr>
        <w:t>sham/GALILEO</w:t>
      </w:r>
      <w:r w:rsidR="0091044A">
        <w:rPr>
          <w:lang w:eastAsia="ja-JP"/>
        </w:rPr>
        <w:t xml:space="preserve"> versus </w:t>
      </w:r>
      <w:r w:rsidRPr="000526AB">
        <w:rPr>
          <w:lang w:eastAsia="ja-JP"/>
        </w:rPr>
        <w:t>sham/COPERNICUS were: eye pain (12.8%</w:t>
      </w:r>
      <w:r w:rsidR="0091044A">
        <w:rPr>
          <w:lang w:eastAsia="ja-JP"/>
        </w:rPr>
        <w:t xml:space="preserve"> versus </w:t>
      </w:r>
      <w:r w:rsidRPr="000526AB">
        <w:rPr>
          <w:lang w:eastAsia="ja-JP"/>
        </w:rPr>
        <w:t>4.4%</w:t>
      </w:r>
      <w:r w:rsidR="0091044A">
        <w:rPr>
          <w:lang w:eastAsia="ja-JP"/>
        </w:rPr>
        <w:t xml:space="preserve"> versus </w:t>
      </w:r>
      <w:r w:rsidRPr="000526AB">
        <w:rPr>
          <w:lang w:eastAsia="ja-JP"/>
        </w:rPr>
        <w:t>5.4%); conjunctival haemorrhage (11.9%</w:t>
      </w:r>
      <w:r w:rsidR="0091044A">
        <w:rPr>
          <w:lang w:eastAsia="ja-JP"/>
        </w:rPr>
        <w:t xml:space="preserve"> versus </w:t>
      </w:r>
      <w:r w:rsidRPr="000526AB">
        <w:rPr>
          <w:lang w:eastAsia="ja-JP"/>
        </w:rPr>
        <w:t>4.4%</w:t>
      </w:r>
      <w:r w:rsidR="0091044A">
        <w:rPr>
          <w:lang w:eastAsia="ja-JP"/>
        </w:rPr>
        <w:t xml:space="preserve"> versus </w:t>
      </w:r>
      <w:r w:rsidRPr="000526AB">
        <w:rPr>
          <w:lang w:eastAsia="ja-JP"/>
        </w:rPr>
        <w:t>17.6%); IOP increased (7.8%</w:t>
      </w:r>
      <w:r w:rsidR="0091044A">
        <w:rPr>
          <w:lang w:eastAsia="ja-JP"/>
        </w:rPr>
        <w:t xml:space="preserve"> versus </w:t>
      </w:r>
      <w:r w:rsidRPr="000526AB">
        <w:rPr>
          <w:lang w:eastAsia="ja-JP"/>
        </w:rPr>
        <w:t>5.9%</w:t>
      </w:r>
      <w:r w:rsidR="0091044A">
        <w:rPr>
          <w:lang w:eastAsia="ja-JP"/>
        </w:rPr>
        <w:t xml:space="preserve"> versus </w:t>
      </w:r>
      <w:r w:rsidRPr="000526AB">
        <w:rPr>
          <w:lang w:eastAsia="ja-JP"/>
        </w:rPr>
        <w:t>8.1%); retinal exudates (6.9%</w:t>
      </w:r>
      <w:r w:rsidR="0091044A">
        <w:rPr>
          <w:lang w:eastAsia="ja-JP"/>
        </w:rPr>
        <w:t xml:space="preserve"> versus </w:t>
      </w:r>
      <w:r w:rsidRPr="000526AB">
        <w:rPr>
          <w:lang w:eastAsia="ja-JP"/>
        </w:rPr>
        <w:t>7.4%</w:t>
      </w:r>
      <w:r w:rsidR="0091044A">
        <w:rPr>
          <w:lang w:eastAsia="ja-JP"/>
        </w:rPr>
        <w:t xml:space="preserve"> versus </w:t>
      </w:r>
      <w:r w:rsidRPr="000526AB">
        <w:rPr>
          <w:lang w:eastAsia="ja-JP"/>
        </w:rPr>
        <w:t>0%); optic disc vascular disorder (6.0%</w:t>
      </w:r>
      <w:r w:rsidR="0091044A">
        <w:rPr>
          <w:lang w:eastAsia="ja-JP"/>
        </w:rPr>
        <w:t xml:space="preserve"> versus </w:t>
      </w:r>
      <w:r w:rsidRPr="000526AB">
        <w:rPr>
          <w:lang w:eastAsia="ja-JP"/>
        </w:rPr>
        <w:t>4.4%</w:t>
      </w:r>
      <w:r w:rsidR="0091044A">
        <w:rPr>
          <w:lang w:eastAsia="ja-JP"/>
        </w:rPr>
        <w:t xml:space="preserve"> versus </w:t>
      </w:r>
      <w:r w:rsidRPr="000526AB">
        <w:rPr>
          <w:lang w:eastAsia="ja-JP"/>
        </w:rPr>
        <w:t>1.4%); retinal vascular disorder (5.5%</w:t>
      </w:r>
      <w:r w:rsidR="0091044A">
        <w:rPr>
          <w:lang w:eastAsia="ja-JP"/>
        </w:rPr>
        <w:t xml:space="preserve"> versus </w:t>
      </w:r>
      <w:r w:rsidRPr="000526AB">
        <w:rPr>
          <w:lang w:eastAsia="ja-JP"/>
        </w:rPr>
        <w:t>8.8%</w:t>
      </w:r>
      <w:r w:rsidR="0091044A">
        <w:rPr>
          <w:lang w:eastAsia="ja-JP"/>
        </w:rPr>
        <w:t xml:space="preserve"> versus </w:t>
      </w:r>
      <w:r w:rsidRPr="000526AB">
        <w:rPr>
          <w:lang w:eastAsia="ja-JP"/>
        </w:rPr>
        <w:t>5.4%); and vitreous floaters (5.0%</w:t>
      </w:r>
      <w:r w:rsidR="0091044A">
        <w:rPr>
          <w:lang w:eastAsia="ja-JP"/>
        </w:rPr>
        <w:t xml:space="preserve"> versus </w:t>
      </w:r>
      <w:r w:rsidRPr="000526AB">
        <w:rPr>
          <w:lang w:eastAsia="ja-JP"/>
        </w:rPr>
        <w:t>0%</w:t>
      </w:r>
      <w:r w:rsidR="0091044A">
        <w:rPr>
          <w:lang w:eastAsia="ja-JP"/>
        </w:rPr>
        <w:t xml:space="preserve"> versus </w:t>
      </w:r>
      <w:r w:rsidRPr="000526AB">
        <w:rPr>
          <w:lang w:eastAsia="ja-JP"/>
        </w:rPr>
        <w:t>2.7%). Macular oedema occurred notably more commonly in the sham/GALILEO (16.2%) group than in the sham/COPERNICUS and the VTE2</w:t>
      </w:r>
      <w:r w:rsidR="0039029E">
        <w:rPr>
          <w:lang w:eastAsia="ja-JP"/>
        </w:rPr>
        <w:t>Q4 groups (1.4% in each group).</w:t>
      </w:r>
    </w:p>
    <w:p w:rsidR="000526AB" w:rsidRPr="000526AB" w:rsidRDefault="000526AB" w:rsidP="0039029E">
      <w:pPr>
        <w:rPr>
          <w:lang w:eastAsia="ja-JP"/>
        </w:rPr>
      </w:pPr>
      <w:r w:rsidRPr="000526AB">
        <w:rPr>
          <w:lang w:eastAsia="ja-JP"/>
        </w:rPr>
        <w:t>Commonly occurring ocular TEAEs in the study eye reported more frequently in subjects in the combined VTE2Q4 group than in subjects in both the sham/GALILEO and sham/COPERNICUS groups were (respectively): eye pain (12.8%</w:t>
      </w:r>
      <w:r w:rsidR="0091044A">
        <w:rPr>
          <w:lang w:eastAsia="ja-JP"/>
        </w:rPr>
        <w:t xml:space="preserve"> versus </w:t>
      </w:r>
      <w:r w:rsidRPr="000526AB">
        <w:rPr>
          <w:lang w:eastAsia="ja-JP"/>
        </w:rPr>
        <w:t>4.4%</w:t>
      </w:r>
      <w:r w:rsidR="0091044A">
        <w:rPr>
          <w:lang w:eastAsia="ja-JP"/>
        </w:rPr>
        <w:t xml:space="preserve"> versus </w:t>
      </w:r>
      <w:r w:rsidRPr="000526AB">
        <w:rPr>
          <w:lang w:eastAsia="ja-JP"/>
        </w:rPr>
        <w:t>5.4%); macular fibrosis (4.1%</w:t>
      </w:r>
      <w:r w:rsidR="0091044A">
        <w:rPr>
          <w:lang w:eastAsia="ja-JP"/>
        </w:rPr>
        <w:t xml:space="preserve"> versus </w:t>
      </w:r>
      <w:r w:rsidRPr="000526AB">
        <w:rPr>
          <w:lang w:eastAsia="ja-JP"/>
        </w:rPr>
        <w:t>1.5%</w:t>
      </w:r>
      <w:r w:rsidR="0091044A">
        <w:rPr>
          <w:lang w:eastAsia="ja-JP"/>
        </w:rPr>
        <w:t xml:space="preserve"> versus </w:t>
      </w:r>
      <w:r w:rsidRPr="000526AB">
        <w:rPr>
          <w:lang w:eastAsia="ja-JP"/>
        </w:rPr>
        <w:t>1.4%); optic disc vascular disorder (6.0%</w:t>
      </w:r>
      <w:r w:rsidR="0091044A">
        <w:rPr>
          <w:lang w:eastAsia="ja-JP"/>
        </w:rPr>
        <w:t xml:space="preserve"> versus </w:t>
      </w:r>
      <w:r w:rsidRPr="000526AB">
        <w:rPr>
          <w:lang w:eastAsia="ja-JP"/>
        </w:rPr>
        <w:t>4.4%</w:t>
      </w:r>
      <w:r w:rsidR="0091044A">
        <w:rPr>
          <w:lang w:eastAsia="ja-JP"/>
        </w:rPr>
        <w:t xml:space="preserve"> versus </w:t>
      </w:r>
      <w:r w:rsidRPr="000526AB">
        <w:rPr>
          <w:lang w:eastAsia="ja-JP"/>
        </w:rPr>
        <w:t>1.4%); and vitreous floaters (5.0%</w:t>
      </w:r>
      <w:r w:rsidR="0091044A">
        <w:rPr>
          <w:lang w:eastAsia="ja-JP"/>
        </w:rPr>
        <w:t xml:space="preserve"> versus </w:t>
      </w:r>
      <w:r w:rsidRPr="000526AB">
        <w:rPr>
          <w:lang w:eastAsia="ja-JP"/>
        </w:rPr>
        <w:t>0%</w:t>
      </w:r>
      <w:r w:rsidR="0091044A">
        <w:rPr>
          <w:lang w:eastAsia="ja-JP"/>
        </w:rPr>
        <w:t xml:space="preserve"> versus </w:t>
      </w:r>
      <w:r w:rsidRPr="000526AB">
        <w:rPr>
          <w:lang w:eastAsia="ja-JP"/>
        </w:rPr>
        <w:t>2.7%). Most TEAEs of eye pain were mild, occurred within 1 day after the first, second or third injection and resolved within 2 to 3 days. None of the TEAEs of eye pain resulted in discontinuation of the study drug.</w:t>
      </w:r>
    </w:p>
    <w:p w:rsidR="000526AB" w:rsidRPr="000526AB" w:rsidRDefault="000526AB" w:rsidP="0039029E">
      <w:pPr>
        <w:rPr>
          <w:lang w:eastAsia="ja-JP"/>
        </w:rPr>
      </w:pPr>
      <w:r w:rsidRPr="000526AB">
        <w:rPr>
          <w:lang w:eastAsia="ja-JP"/>
        </w:rPr>
        <w:t>Most ocular TEAEs in the study eye were reported with a maximum intensity of mild (combined sham, 43 [30.3%]; combined VTE2Q4, 91 [41.7%]) or moderate (combined sham, 40 [28.2%]; combined VTE2Q4, 33 [15.1%]). The incidence of severe ocular TEAEs was higher in subjects in the combined sham group (11 [7.7%]) than in the combined VTE2Q4 group (5 [2.3%]). Severe ocular TEAEs in the study eye reported by 2 or more subjects occurred in the combined sham group only and included glaucoma, macular oedema, visual acuity reduced and vitreous haemor</w:t>
      </w:r>
      <w:r w:rsidR="0039029E">
        <w:rPr>
          <w:lang w:eastAsia="ja-JP"/>
        </w:rPr>
        <w:t>rhage (2 subjects [1.4%] each).</w:t>
      </w:r>
    </w:p>
    <w:p w:rsidR="000526AB" w:rsidRPr="000526AB" w:rsidRDefault="000526AB" w:rsidP="0039029E">
      <w:pPr>
        <w:pStyle w:val="TableTitle"/>
        <w:rPr>
          <w:lang w:eastAsia="ja-JP"/>
        </w:rPr>
      </w:pPr>
      <w:bookmarkStart w:id="126" w:name="_Toc221767073"/>
      <w:r w:rsidRPr="000526AB">
        <w:rPr>
          <w:lang w:eastAsia="ja-JP"/>
        </w:rPr>
        <w:lastRenderedPageBreak/>
        <w:t>Table</w:t>
      </w:r>
      <w:r w:rsidR="003E72C1">
        <w:rPr>
          <w:lang w:eastAsia="ja-JP"/>
        </w:rPr>
        <w:t xml:space="preserve"> 20</w:t>
      </w:r>
      <w:r w:rsidRPr="000526AB">
        <w:rPr>
          <w:lang w:eastAsia="ja-JP"/>
        </w:rPr>
        <w:t>: Integrated Analysis - Week 0 to</w:t>
      </w:r>
      <w:r w:rsidR="00300BDB">
        <w:rPr>
          <w:lang w:eastAsia="ja-JP"/>
        </w:rPr>
        <w:t xml:space="preserve"> Week 2</w:t>
      </w:r>
      <w:r w:rsidRPr="000526AB">
        <w:rPr>
          <w:lang w:eastAsia="ja-JP"/>
        </w:rPr>
        <w:t xml:space="preserve">4, ocular TEAEs in the study eye (PT reported for </w:t>
      </w:r>
      <w:r w:rsidR="003E72C1">
        <w:rPr>
          <w:lang w:eastAsia="ja-JP"/>
        </w:rPr>
        <w:t>≥</w:t>
      </w:r>
      <w:r w:rsidRPr="000526AB">
        <w:rPr>
          <w:lang w:eastAsia="ja-JP"/>
        </w:rPr>
        <w:t>3% of subjects in either the combined sham or the combined VTE2Q4 group); SAF.</w:t>
      </w:r>
      <w:bookmarkEnd w:id="126"/>
    </w:p>
    <w:p w:rsidR="000526AB" w:rsidRPr="000526AB" w:rsidRDefault="000526AB" w:rsidP="000526AB">
      <w:pPr>
        <w:rPr>
          <w:lang w:eastAsia="ja-JP"/>
        </w:rPr>
      </w:pPr>
      <w:r w:rsidRPr="000526AB">
        <w:rPr>
          <w:noProof/>
          <w:lang w:eastAsia="en-AU"/>
        </w:rPr>
        <w:drawing>
          <wp:inline distT="0" distB="0" distL="0" distR="0" wp14:anchorId="4405D4C7" wp14:editId="2EC0BFCB">
            <wp:extent cx="4836160" cy="4277360"/>
            <wp:effectExtent l="19050" t="0" r="2540" b="0"/>
            <wp:docPr id="54" name="Picture 4" descr="Table 20: Integrated Analysis - Week 0 to Week 24, ocular TEAEs in the study eye (PT reported for ≥3% of subjects in either the combined sham or the combined VTE2Q4 group); S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836160" cy="4277360"/>
                    </a:xfrm>
                    <a:prstGeom prst="rect">
                      <a:avLst/>
                    </a:prstGeom>
                    <a:noFill/>
                    <a:ln w="9525">
                      <a:noFill/>
                      <a:miter lim="800000"/>
                      <a:headEnd/>
                      <a:tailEnd/>
                    </a:ln>
                  </pic:spPr>
                </pic:pic>
              </a:graphicData>
            </a:graphic>
          </wp:inline>
        </w:drawing>
      </w:r>
    </w:p>
    <w:p w:rsidR="000526AB" w:rsidRPr="000526AB" w:rsidRDefault="000526AB" w:rsidP="0039029E">
      <w:pPr>
        <w:pStyle w:val="Heading5"/>
        <w:rPr>
          <w:lang w:eastAsia="ja-JP"/>
        </w:rPr>
      </w:pPr>
      <w:r w:rsidRPr="000526AB">
        <w:rPr>
          <w:lang w:eastAsia="ja-JP"/>
        </w:rPr>
        <w:t>Week 24 to</w:t>
      </w:r>
      <w:r w:rsidR="00300BDB">
        <w:rPr>
          <w:lang w:eastAsia="ja-JP"/>
        </w:rPr>
        <w:t xml:space="preserve"> Week 5</w:t>
      </w:r>
      <w:r w:rsidR="001006D2">
        <w:rPr>
          <w:lang w:eastAsia="ja-JP"/>
        </w:rPr>
        <w:t>2</w:t>
      </w:r>
    </w:p>
    <w:p w:rsidR="000526AB" w:rsidRPr="000526AB" w:rsidRDefault="000526AB" w:rsidP="0039029E">
      <w:pPr>
        <w:rPr>
          <w:lang w:eastAsia="ja-JP"/>
        </w:rPr>
      </w:pPr>
      <w:r w:rsidRPr="000526AB">
        <w:rPr>
          <w:lang w:eastAsia="ja-JP"/>
        </w:rPr>
        <w:t>Ocular TEAEs reported in the study eye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 xml:space="preserve">2 in </w:t>
      </w:r>
      <w:r w:rsidR="003E72C1">
        <w:rPr>
          <w:lang w:eastAsia="ja-JP"/>
        </w:rPr>
        <w:t>≥</w:t>
      </w:r>
      <w:r w:rsidRPr="000526AB">
        <w:rPr>
          <w:lang w:eastAsia="ja-JP"/>
        </w:rPr>
        <w:t xml:space="preserve"> 3% of subjects in either treatment group who completed</w:t>
      </w:r>
      <w:r w:rsidR="00300BDB">
        <w:rPr>
          <w:lang w:eastAsia="ja-JP"/>
        </w:rPr>
        <w:t xml:space="preserve"> Week 2</w:t>
      </w:r>
      <w:r w:rsidRPr="000526AB">
        <w:rPr>
          <w:lang w:eastAsia="ja-JP"/>
        </w:rPr>
        <w:t>4 are summari</w:t>
      </w:r>
      <w:r w:rsidR="003E72C1">
        <w:rPr>
          <w:lang w:eastAsia="ja-JP"/>
        </w:rPr>
        <w:t>s</w:t>
      </w:r>
      <w:r w:rsidRPr="000526AB">
        <w:rPr>
          <w:lang w:eastAsia="ja-JP"/>
        </w:rPr>
        <w:t>ed below in Table 2</w:t>
      </w:r>
      <w:r w:rsidR="003E72C1">
        <w:rPr>
          <w:lang w:eastAsia="ja-JP"/>
        </w:rPr>
        <w:t>1</w:t>
      </w:r>
      <w:r w:rsidRPr="000526AB">
        <w:rPr>
          <w:lang w:eastAsia="ja-JP"/>
        </w:rPr>
        <w:t>. The highest incidence was reported in subjects in the VTE2Q4+PRN group (62.3%) followed by the sham+VTE group (55.0%) and sham (50.9%) groups. Commonly occurring ocular TEAEs in the study eye reported more frequently in subjects in the combined VTE2Q4+PRN group than in both the sham and sham+VTE PRN groups were (respectively): macular oedema (21.3%</w:t>
      </w:r>
      <w:r w:rsidR="0091044A">
        <w:rPr>
          <w:lang w:eastAsia="ja-JP"/>
        </w:rPr>
        <w:t xml:space="preserve"> versus </w:t>
      </w:r>
      <w:r w:rsidRPr="000526AB">
        <w:rPr>
          <w:lang w:eastAsia="ja-JP"/>
        </w:rPr>
        <w:t>10.5%</w:t>
      </w:r>
      <w:r w:rsidR="0091044A">
        <w:rPr>
          <w:lang w:eastAsia="ja-JP"/>
        </w:rPr>
        <w:t xml:space="preserve"> versus </w:t>
      </w:r>
      <w:r w:rsidRPr="000526AB">
        <w:rPr>
          <w:lang w:eastAsia="ja-JP"/>
        </w:rPr>
        <w:t>0%); visual acuity reduced (13.0%</w:t>
      </w:r>
      <w:r w:rsidR="0091044A">
        <w:rPr>
          <w:lang w:eastAsia="ja-JP"/>
        </w:rPr>
        <w:t xml:space="preserve"> versus </w:t>
      </w:r>
      <w:r w:rsidRPr="000526AB">
        <w:rPr>
          <w:lang w:eastAsia="ja-JP"/>
        </w:rPr>
        <w:t>1.8%</w:t>
      </w:r>
      <w:r w:rsidR="0091044A">
        <w:rPr>
          <w:lang w:eastAsia="ja-JP"/>
        </w:rPr>
        <w:t xml:space="preserve"> versus </w:t>
      </w:r>
      <w:r w:rsidRPr="000526AB">
        <w:rPr>
          <w:lang w:eastAsia="ja-JP"/>
        </w:rPr>
        <w:t>5.0%); intraocular pressure increased (10.1%</w:t>
      </w:r>
      <w:r w:rsidR="0091044A">
        <w:rPr>
          <w:lang w:eastAsia="ja-JP"/>
        </w:rPr>
        <w:t xml:space="preserve"> versus </w:t>
      </w:r>
      <w:r w:rsidRPr="000526AB">
        <w:rPr>
          <w:lang w:eastAsia="ja-JP"/>
        </w:rPr>
        <w:t>3.5%</w:t>
      </w:r>
      <w:r w:rsidR="0091044A">
        <w:rPr>
          <w:lang w:eastAsia="ja-JP"/>
        </w:rPr>
        <w:t xml:space="preserve"> versus </w:t>
      </w:r>
      <w:r w:rsidRPr="000526AB">
        <w:rPr>
          <w:lang w:eastAsia="ja-JP"/>
        </w:rPr>
        <w:t>8.3%); cystoid macular oedema (5.8%</w:t>
      </w:r>
      <w:r w:rsidR="0091044A">
        <w:rPr>
          <w:lang w:eastAsia="ja-JP"/>
        </w:rPr>
        <w:t xml:space="preserve"> versus </w:t>
      </w:r>
      <w:r w:rsidRPr="000526AB">
        <w:rPr>
          <w:lang w:eastAsia="ja-JP"/>
        </w:rPr>
        <w:t>0%</w:t>
      </w:r>
      <w:r w:rsidR="0091044A">
        <w:rPr>
          <w:lang w:eastAsia="ja-JP"/>
        </w:rPr>
        <w:t xml:space="preserve"> versus </w:t>
      </w:r>
      <w:r w:rsidRPr="000526AB">
        <w:rPr>
          <w:lang w:eastAsia="ja-JP"/>
        </w:rPr>
        <w:t>3.3%); retinal vascular disorder (5.8%</w:t>
      </w:r>
      <w:r w:rsidR="0091044A">
        <w:rPr>
          <w:lang w:eastAsia="ja-JP"/>
        </w:rPr>
        <w:t xml:space="preserve"> versus </w:t>
      </w:r>
      <w:r w:rsidRPr="000526AB">
        <w:rPr>
          <w:lang w:eastAsia="ja-JP"/>
        </w:rPr>
        <w:t>5.3%</w:t>
      </w:r>
      <w:r w:rsidR="0091044A">
        <w:rPr>
          <w:lang w:eastAsia="ja-JP"/>
        </w:rPr>
        <w:t xml:space="preserve"> versus </w:t>
      </w:r>
      <w:r w:rsidRPr="000526AB">
        <w:rPr>
          <w:lang w:eastAsia="ja-JP"/>
        </w:rPr>
        <w:t>1.7%); eye pain (5.8%</w:t>
      </w:r>
      <w:r w:rsidR="0091044A">
        <w:rPr>
          <w:lang w:eastAsia="ja-JP"/>
        </w:rPr>
        <w:t xml:space="preserve"> versus </w:t>
      </w:r>
      <w:r w:rsidRPr="000526AB">
        <w:rPr>
          <w:lang w:eastAsia="ja-JP"/>
        </w:rPr>
        <w:t>3.5%</w:t>
      </w:r>
      <w:r w:rsidR="0091044A">
        <w:rPr>
          <w:lang w:eastAsia="ja-JP"/>
        </w:rPr>
        <w:t xml:space="preserve"> versus </w:t>
      </w:r>
      <w:r w:rsidRPr="000526AB">
        <w:rPr>
          <w:lang w:eastAsia="ja-JP"/>
        </w:rPr>
        <w:t>5.0%); vitreous detachment (5.3%</w:t>
      </w:r>
      <w:r w:rsidR="0091044A">
        <w:rPr>
          <w:lang w:eastAsia="ja-JP"/>
        </w:rPr>
        <w:t xml:space="preserve"> versus </w:t>
      </w:r>
      <w:r w:rsidRPr="000526AB">
        <w:rPr>
          <w:lang w:eastAsia="ja-JP"/>
        </w:rPr>
        <w:t>0%</w:t>
      </w:r>
      <w:r w:rsidR="0091044A">
        <w:rPr>
          <w:lang w:eastAsia="ja-JP"/>
        </w:rPr>
        <w:t xml:space="preserve"> versus </w:t>
      </w:r>
      <w:r w:rsidRPr="000526AB">
        <w:rPr>
          <w:lang w:eastAsia="ja-JP"/>
        </w:rPr>
        <w:t>1.7%); eye irritation (3.9%</w:t>
      </w:r>
      <w:r w:rsidR="0091044A">
        <w:rPr>
          <w:lang w:eastAsia="ja-JP"/>
        </w:rPr>
        <w:t xml:space="preserve"> versus </w:t>
      </w:r>
      <w:r w:rsidRPr="000526AB">
        <w:rPr>
          <w:lang w:eastAsia="ja-JP"/>
        </w:rPr>
        <w:t>1.8%</w:t>
      </w:r>
      <w:r w:rsidR="0091044A">
        <w:rPr>
          <w:lang w:eastAsia="ja-JP"/>
        </w:rPr>
        <w:t xml:space="preserve"> versus </w:t>
      </w:r>
      <w:r w:rsidRPr="000526AB">
        <w:rPr>
          <w:lang w:eastAsia="ja-JP"/>
        </w:rPr>
        <w:t>3.3%); and retinal vein occlusion (3.4%</w:t>
      </w:r>
      <w:r w:rsidR="0091044A">
        <w:rPr>
          <w:lang w:eastAsia="ja-JP"/>
        </w:rPr>
        <w:t xml:space="preserve"> versus </w:t>
      </w:r>
      <w:r w:rsidRPr="000526AB">
        <w:rPr>
          <w:lang w:eastAsia="ja-JP"/>
        </w:rPr>
        <w:t>0%</w:t>
      </w:r>
      <w:r w:rsidR="0091044A">
        <w:rPr>
          <w:lang w:eastAsia="ja-JP"/>
        </w:rPr>
        <w:t xml:space="preserve"> versus </w:t>
      </w:r>
      <w:r w:rsidR="0039029E">
        <w:rPr>
          <w:lang w:eastAsia="ja-JP"/>
        </w:rPr>
        <w:t>0%).</w:t>
      </w:r>
    </w:p>
    <w:p w:rsidR="000526AB" w:rsidRPr="000526AB" w:rsidRDefault="000526AB" w:rsidP="0039029E">
      <w:pPr>
        <w:rPr>
          <w:lang w:eastAsia="ja-JP"/>
        </w:rPr>
      </w:pPr>
      <w:r w:rsidRPr="000526AB">
        <w:rPr>
          <w:lang w:eastAsia="ja-JP"/>
        </w:rPr>
        <w:t>Ocular TEAEs in the study eye were most commonly reported with a maximum intensity of mild (sham, 15 [26.3%]; sham+VTE PRN, 20 [33.3%]; VTE2Q4+PRN, 62 [30%]) or moderate (sham, 12 [21.1%]); sham+VTE PRN, 12 [20.0%]; VTE2Q4+PRN, 56 [27.1%]). Severe ocular TEAEs in the study eye reported by 2 or more subjects included glaucoma (1 subject each in the sham [1.8%] and sham+VTE PRN [1.7%] groups), eye pain (2 subjects [1.0%] in the VTE2Q4+PRN group), macular oedema (2 subjects [1.0%] in the VTE2Q4+PRN group), and visual acuity reduced (3 subjects [1.4%]) in the VTE2Q4+PRN group.</w:t>
      </w:r>
    </w:p>
    <w:p w:rsidR="000526AB" w:rsidRPr="000526AB" w:rsidRDefault="000526AB" w:rsidP="0039029E">
      <w:pPr>
        <w:pStyle w:val="TableTitle"/>
        <w:rPr>
          <w:lang w:eastAsia="ja-JP"/>
        </w:rPr>
      </w:pPr>
      <w:bookmarkStart w:id="127" w:name="_Toc221767074"/>
      <w:r w:rsidRPr="000526AB">
        <w:rPr>
          <w:lang w:eastAsia="ja-JP"/>
        </w:rPr>
        <w:lastRenderedPageBreak/>
        <w:t xml:space="preserve">Table </w:t>
      </w:r>
      <w:r w:rsidR="003E72C1">
        <w:rPr>
          <w:lang w:eastAsia="ja-JP"/>
        </w:rPr>
        <w:t>21</w:t>
      </w:r>
      <w:r w:rsidRPr="000526AB">
        <w:rPr>
          <w:lang w:eastAsia="ja-JP"/>
        </w:rPr>
        <w:t>: Integrated Analysis -</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 xml:space="preserve">2, ocular TEAEs in the study eye (PTs reported for </w:t>
      </w:r>
      <w:r w:rsidR="003E72C1">
        <w:rPr>
          <w:lang w:eastAsia="ja-JP"/>
        </w:rPr>
        <w:t>≥</w:t>
      </w:r>
      <w:r w:rsidRPr="000526AB">
        <w:rPr>
          <w:lang w:eastAsia="ja-JP"/>
        </w:rPr>
        <w:t>3% of subjects in either treatment group); subjects who completed</w:t>
      </w:r>
      <w:r w:rsidR="00300BDB">
        <w:rPr>
          <w:lang w:eastAsia="ja-JP"/>
        </w:rPr>
        <w:t xml:space="preserve"> Week 2</w:t>
      </w:r>
      <w:r w:rsidRPr="000526AB">
        <w:rPr>
          <w:lang w:eastAsia="ja-JP"/>
        </w:rPr>
        <w:t>4.</w:t>
      </w:r>
      <w:bookmarkEnd w:id="127"/>
    </w:p>
    <w:p w:rsidR="000526AB" w:rsidRPr="000526AB" w:rsidRDefault="000526AB" w:rsidP="0039029E">
      <w:pPr>
        <w:rPr>
          <w:lang w:eastAsia="ja-JP"/>
        </w:rPr>
      </w:pPr>
      <w:r w:rsidRPr="000526AB">
        <w:rPr>
          <w:noProof/>
          <w:lang w:eastAsia="en-AU"/>
        </w:rPr>
        <w:drawing>
          <wp:inline distT="0" distB="0" distL="0" distR="0" wp14:anchorId="338A9EFF" wp14:editId="680264B7">
            <wp:extent cx="4886960" cy="4673600"/>
            <wp:effectExtent l="19050" t="0" r="8890" b="0"/>
            <wp:docPr id="55" name="Picture 5" descr="Table 21: Integrated Analysis - Week 24 to Week 52, ocular TEAEs in the study eye (PTs reported for ≥3% of subjects in either treatment group); subjects who completed Week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886960" cy="4673600"/>
                    </a:xfrm>
                    <a:prstGeom prst="rect">
                      <a:avLst/>
                    </a:prstGeom>
                    <a:noFill/>
                    <a:ln w="9525">
                      <a:noFill/>
                      <a:miter lim="800000"/>
                      <a:headEnd/>
                      <a:tailEnd/>
                    </a:ln>
                  </pic:spPr>
                </pic:pic>
              </a:graphicData>
            </a:graphic>
          </wp:inline>
        </w:drawing>
      </w:r>
    </w:p>
    <w:p w:rsidR="000526AB" w:rsidRPr="000526AB" w:rsidRDefault="000526AB" w:rsidP="0039029E">
      <w:pPr>
        <w:pStyle w:val="Heading5"/>
        <w:rPr>
          <w:lang w:eastAsia="ja-JP"/>
        </w:rPr>
      </w:pPr>
      <w:r w:rsidRPr="000526AB">
        <w:rPr>
          <w:lang w:eastAsia="ja-JP"/>
        </w:rPr>
        <w:t>Week 0 to</w:t>
      </w:r>
      <w:r w:rsidR="00300BDB">
        <w:rPr>
          <w:lang w:eastAsia="ja-JP"/>
        </w:rPr>
        <w:t xml:space="preserve"> Week 5</w:t>
      </w:r>
      <w:r w:rsidR="001006D2">
        <w:rPr>
          <w:lang w:eastAsia="ja-JP"/>
        </w:rPr>
        <w:t>2</w:t>
      </w:r>
    </w:p>
    <w:p w:rsidR="000526AB" w:rsidRPr="000526AB" w:rsidRDefault="000526AB" w:rsidP="0039029E">
      <w:pPr>
        <w:rPr>
          <w:lang w:eastAsia="ja-JP"/>
        </w:rPr>
      </w:pPr>
      <w:r w:rsidRPr="000526AB">
        <w:rPr>
          <w:lang w:eastAsia="ja-JP"/>
        </w:rPr>
        <w:t xml:space="preserve">The incidence of subjects with at least one ocular TEAE in the study eye was higher in the sham+VTE group (78.4% [58/74]) than in both the combined VTE2Q4+PRN (77.1% [168/218]) and the sham (72.1% [49/68]) groups. Ocular TEAEs in the study eye occurring in </w:t>
      </w:r>
      <w:r w:rsidR="003E72C1">
        <w:rPr>
          <w:lang w:eastAsia="ja-JP"/>
        </w:rPr>
        <w:t>≥</w:t>
      </w:r>
      <w:r w:rsidRPr="000526AB">
        <w:rPr>
          <w:lang w:eastAsia="ja-JP"/>
        </w:rPr>
        <w:t xml:space="preserve"> 5% of subjects in the combined VTE2Q4 PRN group</w:t>
      </w:r>
      <w:r w:rsidR="0091044A">
        <w:rPr>
          <w:lang w:eastAsia="ja-JP"/>
        </w:rPr>
        <w:t xml:space="preserve"> versus </w:t>
      </w:r>
      <w:r w:rsidRPr="000526AB">
        <w:rPr>
          <w:lang w:eastAsia="ja-JP"/>
        </w:rPr>
        <w:t>sham</w:t>
      </w:r>
      <w:r w:rsidR="0091044A">
        <w:rPr>
          <w:lang w:eastAsia="ja-JP"/>
        </w:rPr>
        <w:t xml:space="preserve"> versus </w:t>
      </w:r>
      <w:r w:rsidRPr="000526AB">
        <w:rPr>
          <w:lang w:eastAsia="ja-JP"/>
        </w:rPr>
        <w:t>sham+VTE were: macular oedema (21.1%</w:t>
      </w:r>
      <w:r w:rsidR="0091044A">
        <w:rPr>
          <w:lang w:eastAsia="ja-JP"/>
        </w:rPr>
        <w:t xml:space="preserve"> versus </w:t>
      </w:r>
      <w:r w:rsidRPr="000526AB">
        <w:rPr>
          <w:lang w:eastAsia="ja-JP"/>
        </w:rPr>
        <w:t>22.1%</w:t>
      </w:r>
      <w:r w:rsidR="0091044A">
        <w:rPr>
          <w:lang w:eastAsia="ja-JP"/>
        </w:rPr>
        <w:t xml:space="preserve"> versus </w:t>
      </w:r>
      <w:r w:rsidRPr="000526AB">
        <w:rPr>
          <w:lang w:eastAsia="ja-JP"/>
        </w:rPr>
        <w:t>1.4%); eye pain (15.1%</w:t>
      </w:r>
      <w:r w:rsidR="0091044A">
        <w:rPr>
          <w:lang w:eastAsia="ja-JP"/>
        </w:rPr>
        <w:t xml:space="preserve"> versus </w:t>
      </w:r>
      <w:r w:rsidRPr="000526AB">
        <w:rPr>
          <w:lang w:eastAsia="ja-JP"/>
        </w:rPr>
        <w:t>5.9%</w:t>
      </w:r>
      <w:r w:rsidR="0091044A">
        <w:rPr>
          <w:lang w:eastAsia="ja-JP"/>
        </w:rPr>
        <w:t xml:space="preserve"> versus </w:t>
      </w:r>
      <w:r w:rsidRPr="000526AB">
        <w:rPr>
          <w:lang w:eastAsia="ja-JP"/>
        </w:rPr>
        <w:t>9.5%); intraocular pressure increased (14.7%</w:t>
      </w:r>
      <w:r w:rsidR="0091044A">
        <w:rPr>
          <w:lang w:eastAsia="ja-JP"/>
        </w:rPr>
        <w:t xml:space="preserve"> versus </w:t>
      </w:r>
      <w:r w:rsidRPr="000526AB">
        <w:rPr>
          <w:lang w:eastAsia="ja-JP"/>
        </w:rPr>
        <w:t>5.9%</w:t>
      </w:r>
      <w:r w:rsidR="0091044A">
        <w:rPr>
          <w:lang w:eastAsia="ja-JP"/>
        </w:rPr>
        <w:t xml:space="preserve"> versus </w:t>
      </w:r>
      <w:r w:rsidRPr="000526AB">
        <w:rPr>
          <w:lang w:eastAsia="ja-JP"/>
        </w:rPr>
        <w:t>13.5%); visual acuity reduced (14.7%</w:t>
      </w:r>
      <w:r w:rsidR="0091044A">
        <w:rPr>
          <w:lang w:eastAsia="ja-JP"/>
        </w:rPr>
        <w:t xml:space="preserve"> versus </w:t>
      </w:r>
      <w:r w:rsidRPr="000526AB">
        <w:rPr>
          <w:lang w:eastAsia="ja-JP"/>
        </w:rPr>
        <w:t>11.8%</w:t>
      </w:r>
      <w:r w:rsidR="0091044A">
        <w:rPr>
          <w:lang w:eastAsia="ja-JP"/>
        </w:rPr>
        <w:t xml:space="preserve"> versus </w:t>
      </w:r>
      <w:r w:rsidRPr="000526AB">
        <w:rPr>
          <w:lang w:eastAsia="ja-JP"/>
        </w:rPr>
        <w:t>21.6%); conjunctival haemorrhage (14.2%</w:t>
      </w:r>
      <w:r w:rsidR="0091044A">
        <w:rPr>
          <w:lang w:eastAsia="ja-JP"/>
        </w:rPr>
        <w:t xml:space="preserve"> versus </w:t>
      </w:r>
      <w:r w:rsidRPr="000526AB">
        <w:rPr>
          <w:lang w:eastAsia="ja-JP"/>
        </w:rPr>
        <w:t>4.4%</w:t>
      </w:r>
      <w:r w:rsidR="0091044A">
        <w:rPr>
          <w:lang w:eastAsia="ja-JP"/>
        </w:rPr>
        <w:t xml:space="preserve"> versus </w:t>
      </w:r>
      <w:r w:rsidRPr="000526AB">
        <w:rPr>
          <w:lang w:eastAsia="ja-JP"/>
        </w:rPr>
        <w:t>18.9%); retinal vascular disorder (9.2%</w:t>
      </w:r>
      <w:r w:rsidR="0091044A">
        <w:rPr>
          <w:lang w:eastAsia="ja-JP"/>
        </w:rPr>
        <w:t xml:space="preserve"> versus </w:t>
      </w:r>
      <w:r w:rsidRPr="000526AB">
        <w:rPr>
          <w:lang w:eastAsia="ja-JP"/>
        </w:rPr>
        <w:t>11.8%</w:t>
      </w:r>
      <w:r w:rsidR="0091044A">
        <w:rPr>
          <w:lang w:eastAsia="ja-JP"/>
        </w:rPr>
        <w:t xml:space="preserve"> versus </w:t>
      </w:r>
      <w:r w:rsidRPr="000526AB">
        <w:rPr>
          <w:lang w:eastAsia="ja-JP"/>
        </w:rPr>
        <w:t>6.8%); ocular disc vascular disorder (9.2%</w:t>
      </w:r>
      <w:r w:rsidR="0091044A">
        <w:rPr>
          <w:lang w:eastAsia="ja-JP"/>
        </w:rPr>
        <w:t xml:space="preserve"> versus </w:t>
      </w:r>
      <w:r w:rsidRPr="000526AB">
        <w:rPr>
          <w:lang w:eastAsia="ja-JP"/>
        </w:rPr>
        <w:t>8.8%</w:t>
      </w:r>
      <w:r w:rsidR="0091044A">
        <w:rPr>
          <w:lang w:eastAsia="ja-JP"/>
        </w:rPr>
        <w:t xml:space="preserve"> versus </w:t>
      </w:r>
      <w:r w:rsidRPr="000526AB">
        <w:rPr>
          <w:lang w:eastAsia="ja-JP"/>
        </w:rPr>
        <w:t>4.1%); retinal haemorrhage (8.7%</w:t>
      </w:r>
      <w:r w:rsidR="0091044A">
        <w:rPr>
          <w:lang w:eastAsia="ja-JP"/>
        </w:rPr>
        <w:t xml:space="preserve"> versus </w:t>
      </w:r>
      <w:r w:rsidRPr="000526AB">
        <w:rPr>
          <w:lang w:eastAsia="ja-JP"/>
        </w:rPr>
        <w:t>11.8%</w:t>
      </w:r>
      <w:r w:rsidR="0091044A">
        <w:rPr>
          <w:lang w:eastAsia="ja-JP"/>
        </w:rPr>
        <w:t xml:space="preserve"> versus </w:t>
      </w:r>
      <w:r w:rsidRPr="000526AB">
        <w:rPr>
          <w:lang w:eastAsia="ja-JP"/>
        </w:rPr>
        <w:t>12.2%); retinal exudates (7.8%</w:t>
      </w:r>
      <w:r w:rsidR="0091044A">
        <w:rPr>
          <w:lang w:eastAsia="ja-JP"/>
        </w:rPr>
        <w:t xml:space="preserve"> versus </w:t>
      </w:r>
      <w:r w:rsidRPr="000526AB">
        <w:rPr>
          <w:lang w:eastAsia="ja-JP"/>
        </w:rPr>
        <w:t>10.3%</w:t>
      </w:r>
      <w:r w:rsidR="0091044A">
        <w:rPr>
          <w:lang w:eastAsia="ja-JP"/>
        </w:rPr>
        <w:t xml:space="preserve"> versus </w:t>
      </w:r>
      <w:r w:rsidRPr="000526AB">
        <w:rPr>
          <w:lang w:eastAsia="ja-JP"/>
        </w:rPr>
        <w:t>5.4%); vitreous detachment (7.8%</w:t>
      </w:r>
      <w:r w:rsidR="0091044A">
        <w:rPr>
          <w:lang w:eastAsia="ja-JP"/>
        </w:rPr>
        <w:t xml:space="preserve"> versus </w:t>
      </w:r>
      <w:r w:rsidRPr="000526AB">
        <w:rPr>
          <w:lang w:eastAsia="ja-JP"/>
        </w:rPr>
        <w:t>1.5%</w:t>
      </w:r>
      <w:r w:rsidR="0091044A">
        <w:rPr>
          <w:lang w:eastAsia="ja-JP"/>
        </w:rPr>
        <w:t xml:space="preserve"> versus </w:t>
      </w:r>
      <w:r w:rsidRPr="000526AB">
        <w:rPr>
          <w:lang w:eastAsia="ja-JP"/>
        </w:rPr>
        <w:t>8.1%); macular fibrosis (7.3%</w:t>
      </w:r>
      <w:r w:rsidR="0091044A">
        <w:rPr>
          <w:lang w:eastAsia="ja-JP"/>
        </w:rPr>
        <w:t xml:space="preserve"> versus </w:t>
      </w:r>
      <w:r w:rsidRPr="000526AB">
        <w:rPr>
          <w:lang w:eastAsia="ja-JP"/>
        </w:rPr>
        <w:t>7.4%</w:t>
      </w:r>
      <w:r w:rsidR="0091044A">
        <w:rPr>
          <w:lang w:eastAsia="ja-JP"/>
        </w:rPr>
        <w:t xml:space="preserve"> versus </w:t>
      </w:r>
      <w:r w:rsidRPr="000526AB">
        <w:rPr>
          <w:lang w:eastAsia="ja-JP"/>
        </w:rPr>
        <w:t>6.8%); vitreous floaters (6.4%</w:t>
      </w:r>
      <w:r w:rsidR="0091044A">
        <w:rPr>
          <w:lang w:eastAsia="ja-JP"/>
        </w:rPr>
        <w:t xml:space="preserve"> versus </w:t>
      </w:r>
      <w:r w:rsidRPr="000526AB">
        <w:rPr>
          <w:lang w:eastAsia="ja-JP"/>
        </w:rPr>
        <w:t>0%</w:t>
      </w:r>
      <w:r w:rsidR="0091044A">
        <w:rPr>
          <w:lang w:eastAsia="ja-JP"/>
        </w:rPr>
        <w:t xml:space="preserve"> versus </w:t>
      </w:r>
      <w:r w:rsidRPr="000526AB">
        <w:rPr>
          <w:lang w:eastAsia="ja-JP"/>
        </w:rPr>
        <w:t>4.1%); cystoid macular oedema (6.0%</w:t>
      </w:r>
      <w:r w:rsidR="0091044A">
        <w:rPr>
          <w:lang w:eastAsia="ja-JP"/>
        </w:rPr>
        <w:t xml:space="preserve"> versus </w:t>
      </w:r>
      <w:r w:rsidRPr="000526AB">
        <w:rPr>
          <w:lang w:eastAsia="ja-JP"/>
        </w:rPr>
        <w:t>0%</w:t>
      </w:r>
      <w:r w:rsidR="0091044A">
        <w:rPr>
          <w:lang w:eastAsia="ja-JP"/>
        </w:rPr>
        <w:t xml:space="preserve"> versus </w:t>
      </w:r>
      <w:r w:rsidRPr="000526AB">
        <w:rPr>
          <w:lang w:eastAsia="ja-JP"/>
        </w:rPr>
        <w:t>4.1%); and ocular hyperaemia (5.5%</w:t>
      </w:r>
      <w:r w:rsidR="0091044A">
        <w:rPr>
          <w:lang w:eastAsia="ja-JP"/>
        </w:rPr>
        <w:t xml:space="preserve"> versus </w:t>
      </w:r>
      <w:r w:rsidRPr="000526AB">
        <w:rPr>
          <w:lang w:eastAsia="ja-JP"/>
        </w:rPr>
        <w:t>5.9%</w:t>
      </w:r>
      <w:r w:rsidR="0091044A">
        <w:rPr>
          <w:lang w:eastAsia="ja-JP"/>
        </w:rPr>
        <w:t xml:space="preserve"> versus </w:t>
      </w:r>
      <w:r w:rsidRPr="000526AB">
        <w:rPr>
          <w:lang w:eastAsia="ja-JP"/>
        </w:rPr>
        <w:t>0%). Most ocular TEAEs in the study eye were reported with a maximum intensity of mild (sham, 15 [22.1%]); sham+VTE PRN, 27 [36.5%]); VTE2Q4+PRN, 83 [38.1%]) or moderate (sham, 29 [42.6%]; sham+VTE PRN, 22 [29.7%]; VTE2Q4+PRN, 70</w:t>
      </w:r>
      <w:r w:rsidR="00301349">
        <w:rPr>
          <w:lang w:eastAsia="ja-JP"/>
        </w:rPr>
        <w:t xml:space="preserve"> </w:t>
      </w:r>
      <w:r w:rsidRPr="000526AB">
        <w:rPr>
          <w:lang w:eastAsia="ja-JP"/>
        </w:rPr>
        <w:t>[32.1%]).</w:t>
      </w:r>
    </w:p>
    <w:p w:rsidR="000526AB" w:rsidRPr="000526AB" w:rsidRDefault="000526AB" w:rsidP="0039029E">
      <w:pPr>
        <w:pStyle w:val="Heading4"/>
      </w:pPr>
      <w:bookmarkStart w:id="128" w:name="_Toc221697295"/>
      <w:r w:rsidRPr="000526AB">
        <w:lastRenderedPageBreak/>
        <w:t>Ocular treatment emergent adverse events in the fellow eye</w:t>
      </w:r>
      <w:bookmarkEnd w:id="128"/>
    </w:p>
    <w:p w:rsidR="000526AB" w:rsidRPr="000526AB" w:rsidRDefault="000526AB" w:rsidP="0039029E">
      <w:pPr>
        <w:pStyle w:val="Heading5"/>
        <w:rPr>
          <w:lang w:eastAsia="ja-JP"/>
        </w:rPr>
      </w:pPr>
      <w:r w:rsidRPr="000526AB">
        <w:rPr>
          <w:lang w:eastAsia="ja-JP"/>
        </w:rPr>
        <w:t>Week 0 to</w:t>
      </w:r>
      <w:r w:rsidR="00300BDB">
        <w:rPr>
          <w:lang w:eastAsia="ja-JP"/>
        </w:rPr>
        <w:t xml:space="preserve"> Week 2</w:t>
      </w:r>
      <w:r w:rsidRPr="000526AB">
        <w:rPr>
          <w:lang w:eastAsia="ja-JP"/>
        </w:rPr>
        <w:t>4</w:t>
      </w:r>
    </w:p>
    <w:p w:rsidR="000526AB" w:rsidRPr="000526AB" w:rsidRDefault="000526AB" w:rsidP="0039029E">
      <w:pPr>
        <w:rPr>
          <w:lang w:eastAsia="ja-JP"/>
        </w:rPr>
      </w:pPr>
      <w:r w:rsidRPr="000526AB">
        <w:rPr>
          <w:lang w:eastAsia="ja-JP"/>
        </w:rPr>
        <w:t>The incidence of ocular TEAEs in the fellow eye was higher in the COPERNICUS/sham group (27.0% [20/74]) than in the GALILEO/sham (14.7% [10/68]) and combined VTE2Q4 (19.7% [43/218]) groups. The incidence of ocular TEAEs in the fellow eye in the combined sham group was similar to the incidence in the combined VTE2Q4 group (21.1% [30/142]</w:t>
      </w:r>
      <w:r w:rsidR="0091044A">
        <w:rPr>
          <w:lang w:eastAsia="ja-JP"/>
        </w:rPr>
        <w:t xml:space="preserve"> versus </w:t>
      </w:r>
      <w:r w:rsidRPr="000526AB">
        <w:rPr>
          <w:lang w:eastAsia="ja-JP"/>
        </w:rPr>
        <w:t>19.7% [43/218], respectively). The most common ocular TEAEs in the fellow eye (combined sham group</w:t>
      </w:r>
      <w:r w:rsidR="0091044A">
        <w:rPr>
          <w:lang w:eastAsia="ja-JP"/>
        </w:rPr>
        <w:t xml:space="preserve"> versus </w:t>
      </w:r>
      <w:r w:rsidRPr="000526AB">
        <w:rPr>
          <w:lang w:eastAsia="ja-JP"/>
        </w:rPr>
        <w:t>combined VTE2Q4 group) were: dry eye (2.8% [n=4]</w:t>
      </w:r>
      <w:r w:rsidR="0091044A">
        <w:rPr>
          <w:lang w:eastAsia="ja-JP"/>
        </w:rPr>
        <w:t xml:space="preserve"> versus </w:t>
      </w:r>
      <w:r w:rsidRPr="000526AB">
        <w:rPr>
          <w:lang w:eastAsia="ja-JP"/>
        </w:rPr>
        <w:t>2.3% [n=5]); retinal haemorrhage (2.1% [n=3]</w:t>
      </w:r>
      <w:r w:rsidR="0091044A">
        <w:rPr>
          <w:lang w:eastAsia="ja-JP"/>
        </w:rPr>
        <w:t xml:space="preserve"> versus </w:t>
      </w:r>
      <w:r w:rsidRPr="000526AB">
        <w:rPr>
          <w:lang w:eastAsia="ja-JP"/>
        </w:rPr>
        <w:t>2.3% [n=5]); and IOP increased (2.1% [n=3]</w:t>
      </w:r>
      <w:r w:rsidR="0091044A">
        <w:rPr>
          <w:lang w:eastAsia="ja-JP"/>
        </w:rPr>
        <w:t xml:space="preserve"> versus </w:t>
      </w:r>
      <w:r w:rsidRPr="000526AB">
        <w:rPr>
          <w:lang w:eastAsia="ja-JP"/>
        </w:rPr>
        <w:t xml:space="preserve">1.8% [n=4]). None of the ocular TEAEs in the fellow eye occurred in </w:t>
      </w:r>
      <w:r w:rsidR="003E72C1">
        <w:rPr>
          <w:lang w:eastAsia="ja-JP"/>
        </w:rPr>
        <w:t>≥</w:t>
      </w:r>
      <w:r w:rsidRPr="000526AB">
        <w:rPr>
          <w:lang w:eastAsia="ja-JP"/>
        </w:rPr>
        <w:t xml:space="preserve"> 3% of subjects in the combined sham or combined VTE2Q4 groups.</w:t>
      </w:r>
    </w:p>
    <w:p w:rsidR="000526AB" w:rsidRPr="000526AB" w:rsidRDefault="000526AB" w:rsidP="0039029E">
      <w:pPr>
        <w:pStyle w:val="Heading5"/>
        <w:rPr>
          <w:lang w:eastAsia="ja-JP"/>
        </w:rPr>
      </w:pPr>
      <w:r w:rsidRPr="000526AB">
        <w:rPr>
          <w:lang w:eastAsia="ja-JP"/>
        </w:rPr>
        <w:t>Week 24 to</w:t>
      </w:r>
      <w:r w:rsidR="00300BDB">
        <w:rPr>
          <w:lang w:eastAsia="ja-JP"/>
        </w:rPr>
        <w:t xml:space="preserve"> Week 5</w:t>
      </w:r>
      <w:r w:rsidR="001006D2">
        <w:rPr>
          <w:lang w:eastAsia="ja-JP"/>
        </w:rPr>
        <w:t>2</w:t>
      </w:r>
    </w:p>
    <w:p w:rsidR="000526AB" w:rsidRPr="000526AB" w:rsidRDefault="000526AB" w:rsidP="0039029E">
      <w:pPr>
        <w:rPr>
          <w:lang w:eastAsia="ja-JP"/>
        </w:rPr>
      </w:pPr>
      <w:r w:rsidRPr="000526AB">
        <w:rPr>
          <w:lang w:eastAsia="ja-JP"/>
        </w:rPr>
        <w:t>The incidence of ocular TEAEs in the fellow eye was highest in the sham+VTE PRN group (25.0% [15/60]) followed by the combined VTE2Q4+PRN (17.4% [36/207]) and sham (8.8% [5/57]) groups. The most commonly reported TEAEs (sham</w:t>
      </w:r>
      <w:r w:rsidR="0091044A">
        <w:rPr>
          <w:lang w:eastAsia="ja-JP"/>
        </w:rPr>
        <w:t xml:space="preserve"> versus </w:t>
      </w:r>
      <w:r w:rsidRPr="000526AB">
        <w:rPr>
          <w:lang w:eastAsia="ja-JP"/>
        </w:rPr>
        <w:t>sham+VTE PRN</w:t>
      </w:r>
      <w:r w:rsidR="0091044A">
        <w:rPr>
          <w:lang w:eastAsia="ja-JP"/>
        </w:rPr>
        <w:t xml:space="preserve"> versus </w:t>
      </w:r>
      <w:r w:rsidRPr="000526AB">
        <w:rPr>
          <w:lang w:eastAsia="ja-JP"/>
        </w:rPr>
        <w:t>combined VTE2Q4+PRN) were: IOP increased (1.8%</w:t>
      </w:r>
      <w:r w:rsidR="0091044A">
        <w:rPr>
          <w:lang w:eastAsia="ja-JP"/>
        </w:rPr>
        <w:t xml:space="preserve"> versus </w:t>
      </w:r>
      <w:r w:rsidRPr="000526AB">
        <w:rPr>
          <w:lang w:eastAsia="ja-JP"/>
        </w:rPr>
        <w:t>3.3%</w:t>
      </w:r>
      <w:r w:rsidR="0091044A">
        <w:rPr>
          <w:lang w:eastAsia="ja-JP"/>
        </w:rPr>
        <w:t xml:space="preserve"> versus </w:t>
      </w:r>
      <w:r w:rsidRPr="000526AB">
        <w:rPr>
          <w:lang w:eastAsia="ja-JP"/>
        </w:rPr>
        <w:t>1.7%); and cataract (1.8%</w:t>
      </w:r>
      <w:r w:rsidR="0091044A">
        <w:rPr>
          <w:lang w:eastAsia="ja-JP"/>
        </w:rPr>
        <w:t xml:space="preserve"> versus </w:t>
      </w:r>
      <w:r w:rsidRPr="000526AB">
        <w:rPr>
          <w:lang w:eastAsia="ja-JP"/>
        </w:rPr>
        <w:t>1.7%</w:t>
      </w:r>
      <w:r w:rsidR="0091044A">
        <w:rPr>
          <w:lang w:eastAsia="ja-JP"/>
        </w:rPr>
        <w:t xml:space="preserve"> versus </w:t>
      </w:r>
      <w:r w:rsidRPr="000526AB">
        <w:rPr>
          <w:lang w:eastAsia="ja-JP"/>
        </w:rPr>
        <w:t xml:space="preserve">1.9%). Increased IOP was the only ocular TEAE in the fellow eye that occurred in </w:t>
      </w:r>
      <w:r w:rsidR="003E72C1">
        <w:rPr>
          <w:lang w:eastAsia="ja-JP"/>
        </w:rPr>
        <w:t>≥</w:t>
      </w:r>
      <w:r w:rsidRPr="000526AB">
        <w:rPr>
          <w:lang w:eastAsia="ja-JP"/>
        </w:rPr>
        <w:t xml:space="preserve"> 3% of subjects (2 subjects [3.3%], </w:t>
      </w:r>
      <w:r w:rsidR="0039029E">
        <w:rPr>
          <w:lang w:eastAsia="ja-JP"/>
        </w:rPr>
        <w:t>all in the sham+VTE PRN group).</w:t>
      </w:r>
    </w:p>
    <w:p w:rsidR="000526AB" w:rsidRPr="000526AB" w:rsidRDefault="000526AB" w:rsidP="0039029E">
      <w:pPr>
        <w:pStyle w:val="Heading5"/>
        <w:rPr>
          <w:lang w:eastAsia="ja-JP"/>
        </w:rPr>
      </w:pPr>
      <w:r w:rsidRPr="000526AB">
        <w:rPr>
          <w:lang w:eastAsia="ja-JP"/>
        </w:rPr>
        <w:t>Week 0 to</w:t>
      </w:r>
      <w:r w:rsidR="00300BDB">
        <w:rPr>
          <w:lang w:eastAsia="ja-JP"/>
        </w:rPr>
        <w:t xml:space="preserve"> Week 5</w:t>
      </w:r>
      <w:r w:rsidRPr="000526AB">
        <w:rPr>
          <w:lang w:eastAsia="ja-JP"/>
        </w:rPr>
        <w:t>2</w:t>
      </w:r>
    </w:p>
    <w:p w:rsidR="000526AB" w:rsidRPr="000526AB" w:rsidRDefault="000526AB" w:rsidP="0039029E">
      <w:pPr>
        <w:rPr>
          <w:lang w:eastAsia="ja-JP"/>
        </w:rPr>
      </w:pPr>
      <w:r w:rsidRPr="000526AB">
        <w:rPr>
          <w:lang w:eastAsia="ja-JP"/>
        </w:rPr>
        <w:t xml:space="preserve">The incidence of ocular TEAEs in the fellow eye was highest in the sham+VTE PRN group (37.8% [28/74]) followed by the combined VTE2Q4+PRN (27.5% [60/218]) and sham (19.1% [13/68]) groups. Ocular TEAES in the fellow eye reported in </w:t>
      </w:r>
      <w:r w:rsidR="003E72C1">
        <w:rPr>
          <w:lang w:eastAsia="ja-JP"/>
        </w:rPr>
        <w:t>≥</w:t>
      </w:r>
      <w:r w:rsidRPr="000526AB">
        <w:rPr>
          <w:lang w:eastAsia="ja-JP"/>
        </w:rPr>
        <w:t xml:space="preserve"> 3% of subjects (sham</w:t>
      </w:r>
      <w:r w:rsidR="0091044A">
        <w:rPr>
          <w:lang w:eastAsia="ja-JP"/>
        </w:rPr>
        <w:t xml:space="preserve"> versus </w:t>
      </w:r>
      <w:r w:rsidRPr="000526AB">
        <w:rPr>
          <w:lang w:eastAsia="ja-JP"/>
        </w:rPr>
        <w:t>sham+VTE PRN</w:t>
      </w:r>
      <w:r w:rsidR="0091044A">
        <w:rPr>
          <w:lang w:eastAsia="ja-JP"/>
        </w:rPr>
        <w:t xml:space="preserve"> versus </w:t>
      </w:r>
      <w:r w:rsidRPr="000526AB">
        <w:rPr>
          <w:lang w:eastAsia="ja-JP"/>
        </w:rPr>
        <w:t>combined VTE2Q4+PRN) were: dry eye (0%</w:t>
      </w:r>
      <w:r w:rsidR="0091044A">
        <w:rPr>
          <w:lang w:eastAsia="ja-JP"/>
        </w:rPr>
        <w:t xml:space="preserve"> versus </w:t>
      </w:r>
      <w:r w:rsidRPr="000526AB">
        <w:rPr>
          <w:lang w:eastAsia="ja-JP"/>
        </w:rPr>
        <w:t>6.8%</w:t>
      </w:r>
      <w:r w:rsidR="0091044A">
        <w:rPr>
          <w:lang w:eastAsia="ja-JP"/>
        </w:rPr>
        <w:t xml:space="preserve"> versus </w:t>
      </w:r>
      <w:r w:rsidRPr="000526AB">
        <w:rPr>
          <w:lang w:eastAsia="ja-JP"/>
        </w:rPr>
        <w:t>2.8%); retinal haemorrhage (2.9%</w:t>
      </w:r>
      <w:r w:rsidR="0091044A">
        <w:rPr>
          <w:lang w:eastAsia="ja-JP"/>
        </w:rPr>
        <w:t xml:space="preserve"> versus </w:t>
      </w:r>
      <w:r w:rsidRPr="000526AB">
        <w:rPr>
          <w:lang w:eastAsia="ja-JP"/>
        </w:rPr>
        <w:t>2.7%</w:t>
      </w:r>
      <w:r w:rsidR="0091044A">
        <w:rPr>
          <w:lang w:eastAsia="ja-JP"/>
        </w:rPr>
        <w:t xml:space="preserve"> versus </w:t>
      </w:r>
      <w:r w:rsidRPr="000526AB">
        <w:rPr>
          <w:lang w:eastAsia="ja-JP"/>
        </w:rPr>
        <w:t>3.2%); and IOP increased (1.5%</w:t>
      </w:r>
      <w:r w:rsidR="0091044A">
        <w:rPr>
          <w:lang w:eastAsia="ja-JP"/>
        </w:rPr>
        <w:t xml:space="preserve"> versus </w:t>
      </w:r>
      <w:r w:rsidRPr="000526AB">
        <w:rPr>
          <w:lang w:eastAsia="ja-JP"/>
        </w:rPr>
        <w:t>5.4%</w:t>
      </w:r>
      <w:r w:rsidR="0091044A">
        <w:rPr>
          <w:lang w:eastAsia="ja-JP"/>
        </w:rPr>
        <w:t xml:space="preserve"> versus </w:t>
      </w:r>
      <w:r w:rsidR="0039029E">
        <w:rPr>
          <w:lang w:eastAsia="ja-JP"/>
        </w:rPr>
        <w:t>3.2%).</w:t>
      </w:r>
    </w:p>
    <w:p w:rsidR="000526AB" w:rsidRPr="000526AB" w:rsidRDefault="00D74B64" w:rsidP="004C7492">
      <w:pPr>
        <w:pStyle w:val="Heading4"/>
      </w:pPr>
      <w:bookmarkStart w:id="129" w:name="_Toc221697296"/>
      <w:r>
        <w:t xml:space="preserve">Non-ocular </w:t>
      </w:r>
      <w:r w:rsidR="000526AB" w:rsidRPr="000526AB">
        <w:t>treatment emergent adverse events</w:t>
      </w:r>
      <w:bookmarkEnd w:id="129"/>
    </w:p>
    <w:p w:rsidR="000526AB" w:rsidRPr="000526AB" w:rsidRDefault="000526AB" w:rsidP="004C7492">
      <w:pPr>
        <w:pStyle w:val="Heading5"/>
        <w:rPr>
          <w:lang w:eastAsia="ja-JP"/>
        </w:rPr>
      </w:pPr>
      <w:r w:rsidRPr="000526AB">
        <w:rPr>
          <w:lang w:eastAsia="ja-JP"/>
        </w:rPr>
        <w:t>Week 0 to</w:t>
      </w:r>
      <w:r w:rsidR="00300BDB">
        <w:rPr>
          <w:lang w:eastAsia="ja-JP"/>
        </w:rPr>
        <w:t xml:space="preserve"> Week 2</w:t>
      </w:r>
      <w:r w:rsidRPr="000526AB">
        <w:rPr>
          <w:lang w:eastAsia="ja-JP"/>
        </w:rPr>
        <w:t>4</w:t>
      </w:r>
    </w:p>
    <w:p w:rsidR="000526AB" w:rsidRPr="000526AB" w:rsidRDefault="00D74B64" w:rsidP="004C7492">
      <w:pPr>
        <w:rPr>
          <w:lang w:eastAsia="ja-JP"/>
        </w:rPr>
      </w:pPr>
      <w:r>
        <w:rPr>
          <w:lang w:eastAsia="ja-JP"/>
        </w:rPr>
        <w:t xml:space="preserve">Non-ocular </w:t>
      </w:r>
      <w:r w:rsidR="000526AB" w:rsidRPr="000526AB">
        <w:rPr>
          <w:lang w:eastAsia="ja-JP"/>
        </w:rPr>
        <w:t xml:space="preserve">TEAEs reported in </w:t>
      </w:r>
      <w:r w:rsidR="003E72C1">
        <w:rPr>
          <w:lang w:eastAsia="ja-JP"/>
        </w:rPr>
        <w:t>≥</w:t>
      </w:r>
      <w:r w:rsidR="000526AB" w:rsidRPr="000526AB">
        <w:rPr>
          <w:lang w:eastAsia="ja-JP"/>
        </w:rPr>
        <w:t xml:space="preserve"> 3% of subjects in either the combined sham group </w:t>
      </w:r>
      <w:r w:rsidR="003E72C1">
        <w:rPr>
          <w:lang w:eastAsia="ja-JP"/>
        </w:rPr>
        <w:t>or the VTE2Q4 group are summaris</w:t>
      </w:r>
      <w:r w:rsidR="000526AB" w:rsidRPr="000526AB">
        <w:rPr>
          <w:lang w:eastAsia="ja-JP"/>
        </w:rPr>
        <w:t>ed below in Table 2</w:t>
      </w:r>
      <w:r w:rsidR="003E72C1">
        <w:rPr>
          <w:lang w:eastAsia="ja-JP"/>
        </w:rPr>
        <w:t>2</w:t>
      </w:r>
      <w:r w:rsidR="000526AB" w:rsidRPr="000526AB">
        <w:rPr>
          <w:lang w:eastAsia="ja-JP"/>
        </w:rPr>
        <w:t xml:space="preserve">. The proportion of subjects with at least one </w:t>
      </w:r>
      <w:r>
        <w:rPr>
          <w:lang w:eastAsia="ja-JP"/>
        </w:rPr>
        <w:t xml:space="preserve">non-ocular </w:t>
      </w:r>
      <w:r w:rsidR="000526AB" w:rsidRPr="000526AB">
        <w:rPr>
          <w:lang w:eastAsia="ja-JP"/>
        </w:rPr>
        <w:t xml:space="preserve">TEAE was higher in the sham/GALILEO group (54.4% [37/68]) than in both the sham/COPERNICUS (51.4% [38/74]) and the VTE2Q4 (48.6% [106/218]) groups. The most common </w:t>
      </w:r>
      <w:r>
        <w:rPr>
          <w:lang w:eastAsia="ja-JP"/>
        </w:rPr>
        <w:t xml:space="preserve">non-ocular </w:t>
      </w:r>
      <w:r w:rsidR="000526AB" w:rsidRPr="000526AB">
        <w:rPr>
          <w:lang w:eastAsia="ja-JP"/>
        </w:rPr>
        <w:t>TEAE in the combined sham and combined VTE2Q4 groups was nasopharyngitis (7.0%</w:t>
      </w:r>
      <w:r w:rsidR="0091044A">
        <w:rPr>
          <w:lang w:eastAsia="ja-JP"/>
        </w:rPr>
        <w:t xml:space="preserve"> versus </w:t>
      </w:r>
      <w:r w:rsidR="004C7492">
        <w:rPr>
          <w:lang w:eastAsia="ja-JP"/>
        </w:rPr>
        <w:t>6.0%, respectively).</w:t>
      </w:r>
    </w:p>
    <w:p w:rsidR="000526AB" w:rsidRPr="000526AB" w:rsidRDefault="00D74B64" w:rsidP="004C7492">
      <w:pPr>
        <w:rPr>
          <w:lang w:eastAsia="ja-JP"/>
        </w:rPr>
      </w:pPr>
      <w:r>
        <w:rPr>
          <w:lang w:eastAsia="ja-JP"/>
        </w:rPr>
        <w:t xml:space="preserve">Non-ocular </w:t>
      </w:r>
      <w:r w:rsidR="000526AB" w:rsidRPr="000526AB">
        <w:rPr>
          <w:lang w:eastAsia="ja-JP"/>
        </w:rPr>
        <w:t xml:space="preserve">TEAEs were mostly reported with a maximum intensity of mild (combined sham, 35 [24.6%]; VTE2Q4, 66 [30.3%]) or moderate (combined sham, 32 [22.5%]; VTE2Q4, 34 [15.6%]). Severe </w:t>
      </w:r>
      <w:r>
        <w:rPr>
          <w:lang w:eastAsia="ja-JP"/>
        </w:rPr>
        <w:t xml:space="preserve">non-ocular </w:t>
      </w:r>
      <w:r w:rsidR="000526AB" w:rsidRPr="000526AB">
        <w:rPr>
          <w:lang w:eastAsia="ja-JP"/>
        </w:rPr>
        <w:t xml:space="preserve">TEAEs occurred more frequently in subjects in the combined sham group (8 [5.6%]) than in the combined VTE2Q4 group (6 [2.8%]). No severe </w:t>
      </w:r>
      <w:r>
        <w:rPr>
          <w:lang w:eastAsia="ja-JP"/>
        </w:rPr>
        <w:t xml:space="preserve">non-ocular </w:t>
      </w:r>
      <w:r w:rsidR="000526AB" w:rsidRPr="000526AB">
        <w:rPr>
          <w:lang w:eastAsia="ja-JP"/>
        </w:rPr>
        <w:t>TEAEs occurred in more than 1 subject in either the combined sham or co</w:t>
      </w:r>
      <w:r w:rsidR="004C7492">
        <w:rPr>
          <w:lang w:eastAsia="ja-JP"/>
        </w:rPr>
        <w:t>mbined VTEQ24 treatment groups.</w:t>
      </w:r>
    </w:p>
    <w:p w:rsidR="000526AB" w:rsidRPr="000526AB" w:rsidRDefault="000526AB" w:rsidP="004C7492">
      <w:pPr>
        <w:pStyle w:val="TableTitle"/>
        <w:rPr>
          <w:lang w:eastAsia="ja-JP"/>
        </w:rPr>
      </w:pPr>
      <w:bookmarkStart w:id="130" w:name="_Toc221767075"/>
      <w:r w:rsidRPr="000526AB">
        <w:rPr>
          <w:lang w:eastAsia="ja-JP"/>
        </w:rPr>
        <w:lastRenderedPageBreak/>
        <w:t>Table</w:t>
      </w:r>
      <w:r w:rsidR="00014BC7">
        <w:rPr>
          <w:lang w:eastAsia="ja-JP"/>
        </w:rPr>
        <w:t xml:space="preserve"> 22</w:t>
      </w:r>
      <w:r w:rsidRPr="000526AB">
        <w:rPr>
          <w:lang w:eastAsia="ja-JP"/>
        </w:rPr>
        <w:t>: Integrated Analysis – Week 0 to</w:t>
      </w:r>
      <w:r w:rsidR="00300BDB">
        <w:rPr>
          <w:lang w:eastAsia="ja-JP"/>
        </w:rPr>
        <w:t xml:space="preserve"> Week 2</w:t>
      </w:r>
      <w:r w:rsidRPr="000526AB">
        <w:rPr>
          <w:lang w:eastAsia="ja-JP"/>
        </w:rPr>
        <w:t xml:space="preserve">4, </w:t>
      </w:r>
      <w:r w:rsidR="00D74B64">
        <w:rPr>
          <w:lang w:eastAsia="ja-JP"/>
        </w:rPr>
        <w:t xml:space="preserve">non-ocular </w:t>
      </w:r>
      <w:r w:rsidRPr="000526AB">
        <w:rPr>
          <w:lang w:eastAsia="ja-JP"/>
        </w:rPr>
        <w:t xml:space="preserve">TEAEs (PTs reported for </w:t>
      </w:r>
      <w:r w:rsidR="00014BC7">
        <w:rPr>
          <w:lang w:eastAsia="ja-JP"/>
        </w:rPr>
        <w:t>≥ </w:t>
      </w:r>
      <w:r w:rsidRPr="000526AB">
        <w:rPr>
          <w:lang w:eastAsia="ja-JP"/>
        </w:rPr>
        <w:t>3% of subjects in either the combined sham group or the VTE2Q4 group; SAF.</w:t>
      </w:r>
      <w:bookmarkEnd w:id="130"/>
    </w:p>
    <w:p w:rsidR="000526AB" w:rsidRPr="000526AB" w:rsidRDefault="000526AB" w:rsidP="004C7492">
      <w:pPr>
        <w:rPr>
          <w:lang w:eastAsia="ja-JP"/>
        </w:rPr>
      </w:pPr>
      <w:r w:rsidRPr="000526AB">
        <w:rPr>
          <w:noProof/>
          <w:lang w:eastAsia="en-AU"/>
        </w:rPr>
        <w:drawing>
          <wp:inline distT="0" distB="0" distL="0" distR="0" wp14:anchorId="3EDEB6A5" wp14:editId="01119C94">
            <wp:extent cx="4907280" cy="2915920"/>
            <wp:effectExtent l="19050" t="0" r="0" b="0"/>
            <wp:docPr id="56" name="Picture 6" descr="Table 22: Integrated Analysis – Week 0 to Week 24, non-ocular TEAEs (PTs reported for ≥ 3% of subjects in either the combined sham group or the VTE2Q4 group; S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907280" cy="2915920"/>
                    </a:xfrm>
                    <a:prstGeom prst="rect">
                      <a:avLst/>
                    </a:prstGeom>
                    <a:noFill/>
                    <a:ln w="9525">
                      <a:noFill/>
                      <a:miter lim="800000"/>
                      <a:headEnd/>
                      <a:tailEnd/>
                    </a:ln>
                  </pic:spPr>
                </pic:pic>
              </a:graphicData>
            </a:graphic>
          </wp:inline>
        </w:drawing>
      </w:r>
    </w:p>
    <w:p w:rsidR="000526AB" w:rsidRPr="000526AB" w:rsidRDefault="000526AB" w:rsidP="004C7492">
      <w:pPr>
        <w:pStyle w:val="Heading5"/>
        <w:rPr>
          <w:lang w:eastAsia="ja-JP"/>
        </w:rPr>
      </w:pPr>
      <w:r w:rsidRPr="000526AB">
        <w:rPr>
          <w:lang w:eastAsia="ja-JP"/>
        </w:rPr>
        <w:t>Week 24 to</w:t>
      </w:r>
      <w:r w:rsidR="00300BDB">
        <w:rPr>
          <w:lang w:eastAsia="ja-JP"/>
        </w:rPr>
        <w:t xml:space="preserve"> Week 5</w:t>
      </w:r>
      <w:r w:rsidRPr="000526AB">
        <w:rPr>
          <w:lang w:eastAsia="ja-JP"/>
        </w:rPr>
        <w:t>2</w:t>
      </w:r>
    </w:p>
    <w:p w:rsidR="000526AB" w:rsidRPr="000526AB" w:rsidRDefault="000526AB" w:rsidP="004C7492">
      <w:pPr>
        <w:rPr>
          <w:lang w:eastAsia="ja-JP"/>
        </w:rPr>
      </w:pPr>
      <w:r w:rsidRPr="000526AB">
        <w:rPr>
          <w:lang w:eastAsia="ja-JP"/>
        </w:rPr>
        <w:t xml:space="preserve">The proportion of subjects with at least one </w:t>
      </w:r>
      <w:r w:rsidR="00D74B64">
        <w:rPr>
          <w:lang w:eastAsia="ja-JP"/>
        </w:rPr>
        <w:t xml:space="preserve">non-ocular </w:t>
      </w:r>
      <w:r w:rsidRPr="000526AB">
        <w:rPr>
          <w:lang w:eastAsia="ja-JP"/>
        </w:rPr>
        <w:t xml:space="preserve">TEAE was higher in the sham+VTE group (66.7% [40/60]) than in both the sham (50.9% [29/57]) and VTE2Q4+PRN (56.5% [117/207]) groups. Most </w:t>
      </w:r>
      <w:r w:rsidR="00D74B64">
        <w:rPr>
          <w:lang w:eastAsia="ja-JP"/>
        </w:rPr>
        <w:t xml:space="preserve">non-ocular </w:t>
      </w:r>
      <w:r w:rsidRPr="000526AB">
        <w:rPr>
          <w:lang w:eastAsia="ja-JP"/>
        </w:rPr>
        <w:t xml:space="preserve">TEAEs were associated with the System Organ Class (SOC) “Infections and Infestations”: 18 subjects (31.6%) in the sham group; 15 subjects (25.0%) in the sham+VTE PRN group; and 50 subjects (24.2%) in the </w:t>
      </w:r>
      <w:r w:rsidR="004C7492">
        <w:rPr>
          <w:lang w:eastAsia="ja-JP"/>
        </w:rPr>
        <w:t>combined VTE2Q4+PRN group.</w:t>
      </w:r>
    </w:p>
    <w:p w:rsidR="000526AB" w:rsidRPr="000526AB" w:rsidRDefault="000526AB" w:rsidP="004C7492">
      <w:pPr>
        <w:rPr>
          <w:lang w:eastAsia="ja-JP"/>
        </w:rPr>
      </w:pPr>
      <w:r w:rsidRPr="000526AB">
        <w:rPr>
          <w:lang w:eastAsia="ja-JP"/>
        </w:rPr>
        <w:t>TEAEs in the SOC “Gastrointestinal Disorders” were reported more frequently in subjects in the sham+VTE PRN group (9 [15%]) than in the sham (5 [8.8%]) and combined VTE2Q4+PRN (17 [8.2%]) groups, and “Investigations” were reported more frequently in subjects in the sham+VTE PRN group (17 [28.3%]) than in the sham (3 [5.3%]) and combined VTE2Q4+PRN (17 [8.2%]) groups. The most commonly reported TEAEs in subjects in all treatment groups were: nasopharyngitis (sham, 11 [19.3%]; sham+VT</w:t>
      </w:r>
      <w:r w:rsidR="00014BC7">
        <w:rPr>
          <w:lang w:eastAsia="ja-JP"/>
        </w:rPr>
        <w:t xml:space="preserve">E PRN, 3 </w:t>
      </w:r>
      <w:r w:rsidRPr="000526AB">
        <w:rPr>
          <w:lang w:eastAsia="ja-JP"/>
        </w:rPr>
        <w:t>[5.0%]; and combined VTE2Q4+PRN, 14 [6.8%]); and hypertension (sham, 4 [7.0%]; sham+VTE PRN, 3 [5.0%]; and c</w:t>
      </w:r>
      <w:r w:rsidR="004C7492">
        <w:rPr>
          <w:lang w:eastAsia="ja-JP"/>
        </w:rPr>
        <w:t>ombined VTE2Q4+PRN, 11 [5.3%]).</w:t>
      </w:r>
    </w:p>
    <w:p w:rsidR="000526AB" w:rsidRPr="000526AB" w:rsidRDefault="00D74B64" w:rsidP="004C7492">
      <w:pPr>
        <w:rPr>
          <w:lang w:eastAsia="ja-JP"/>
        </w:rPr>
      </w:pPr>
      <w:r>
        <w:rPr>
          <w:lang w:eastAsia="ja-JP"/>
        </w:rPr>
        <w:t xml:space="preserve">Non-ocular </w:t>
      </w:r>
      <w:r w:rsidR="000526AB" w:rsidRPr="000526AB">
        <w:rPr>
          <w:lang w:eastAsia="ja-JP"/>
        </w:rPr>
        <w:t xml:space="preserve">TEAEs were mostly reported with a maximum intensity of mild (sham, 11/57 [19.3%]; sham+VTE PRN, 20/60 [33.3%]; combined VTE2Q4+PRN, 64/207 [30.9%]) or moderate (sham, 15/57 [26.3%]; sham+VTE PRN, 15/60 [25.0%]; combined VTE2Q4+PRN, 44/207 [21.3%]). Severe </w:t>
      </w:r>
      <w:r>
        <w:rPr>
          <w:lang w:eastAsia="ja-JP"/>
        </w:rPr>
        <w:t xml:space="preserve">non-ocular </w:t>
      </w:r>
      <w:r w:rsidR="000526AB" w:rsidRPr="000526AB">
        <w:rPr>
          <w:lang w:eastAsia="ja-JP"/>
        </w:rPr>
        <w:t>TEAEs occurred in 5.3% (3/57) of subjects in the sham group, 8.3% (5/60) of subjects in the sham+VTE PRN group and 4.3% (9/27) of subjects in the combined VTE2Q4 group. The only severe TEAE reported in more than 1 subject was syncope (2/57 [3.5%] in the sham group).</w:t>
      </w:r>
    </w:p>
    <w:p w:rsidR="000526AB" w:rsidRPr="000526AB" w:rsidRDefault="000526AB" w:rsidP="004C7492">
      <w:pPr>
        <w:pStyle w:val="Heading5"/>
        <w:rPr>
          <w:lang w:eastAsia="ja-JP"/>
        </w:rPr>
      </w:pPr>
      <w:r w:rsidRPr="000526AB">
        <w:rPr>
          <w:lang w:eastAsia="ja-JP"/>
        </w:rPr>
        <w:t>Week 0 to</w:t>
      </w:r>
      <w:r w:rsidR="00300BDB">
        <w:rPr>
          <w:lang w:eastAsia="ja-JP"/>
        </w:rPr>
        <w:t xml:space="preserve"> Week 5</w:t>
      </w:r>
      <w:r w:rsidRPr="000526AB">
        <w:rPr>
          <w:lang w:eastAsia="ja-JP"/>
        </w:rPr>
        <w:t>2</w:t>
      </w:r>
    </w:p>
    <w:p w:rsidR="000526AB" w:rsidRPr="000526AB" w:rsidRDefault="000526AB" w:rsidP="004C7492">
      <w:pPr>
        <w:rPr>
          <w:lang w:eastAsia="ja-JP"/>
        </w:rPr>
      </w:pPr>
      <w:r w:rsidRPr="000526AB">
        <w:rPr>
          <w:lang w:eastAsia="ja-JP"/>
        </w:rPr>
        <w:t xml:space="preserve">The incidence of subjects with at least one </w:t>
      </w:r>
      <w:r w:rsidR="00D74B64">
        <w:rPr>
          <w:lang w:eastAsia="ja-JP"/>
        </w:rPr>
        <w:t xml:space="preserve">non-ocular </w:t>
      </w:r>
      <w:r w:rsidRPr="000526AB">
        <w:rPr>
          <w:lang w:eastAsia="ja-JP"/>
        </w:rPr>
        <w:t xml:space="preserve">TEAE was higher in the sham+VTE PRN group (73.0% [54/74]) than in both the combined VTE2Q4+PRN (70.6% [154/218]) and sham (66.2% [45/68]) groups. Most </w:t>
      </w:r>
      <w:r w:rsidR="00D74B64">
        <w:rPr>
          <w:lang w:eastAsia="ja-JP"/>
        </w:rPr>
        <w:t xml:space="preserve">non-ocular </w:t>
      </w:r>
      <w:r w:rsidRPr="000526AB">
        <w:rPr>
          <w:lang w:eastAsia="ja-JP"/>
        </w:rPr>
        <w:t>TEAEs were associated with the SOC “Infections and Infestations”: 24 subjects (35.3%) in the sham group; 24 subjects (32.4%) in the sham+VTE PRN group; and 69 subjects (31.7%) in the combined VTE2Q4+PRN group.</w:t>
      </w:r>
    </w:p>
    <w:p w:rsidR="000526AB" w:rsidRPr="000526AB" w:rsidRDefault="000526AB" w:rsidP="004C7492">
      <w:pPr>
        <w:pStyle w:val="Heading4"/>
      </w:pPr>
      <w:bookmarkStart w:id="131" w:name="_Toc221697297"/>
      <w:r w:rsidRPr="000526AB">
        <w:lastRenderedPageBreak/>
        <w:t>Drug-related TEAES</w:t>
      </w:r>
      <w:bookmarkEnd w:id="131"/>
    </w:p>
    <w:p w:rsidR="000526AB" w:rsidRPr="000526AB" w:rsidRDefault="000526AB" w:rsidP="004D1110">
      <w:pPr>
        <w:pStyle w:val="Heading5"/>
        <w:rPr>
          <w:lang w:eastAsia="ja-JP"/>
        </w:rPr>
      </w:pPr>
      <w:r w:rsidRPr="000526AB">
        <w:rPr>
          <w:lang w:eastAsia="ja-JP"/>
        </w:rPr>
        <w:t>Drug-related ocular TEAEs in the study eye</w:t>
      </w:r>
    </w:p>
    <w:p w:rsidR="004D1110" w:rsidRPr="004D1110" w:rsidRDefault="000526AB" w:rsidP="004D1110">
      <w:pPr>
        <w:pStyle w:val="Heading6"/>
        <w:rPr>
          <w:rFonts w:eastAsia="Cambria"/>
        </w:rPr>
      </w:pPr>
      <w:r w:rsidRPr="004D1110">
        <w:rPr>
          <w:rFonts w:eastAsia="Cambria"/>
        </w:rPr>
        <w:t>Week 0 to</w:t>
      </w:r>
      <w:r w:rsidR="00300BDB" w:rsidRPr="004D1110">
        <w:rPr>
          <w:rFonts w:eastAsia="Cambria"/>
        </w:rPr>
        <w:t xml:space="preserve"> Week 2</w:t>
      </w:r>
      <w:r w:rsidR="004D1110" w:rsidRPr="004D1110">
        <w:rPr>
          <w:rFonts w:eastAsia="Cambria"/>
        </w:rPr>
        <w:t>4</w:t>
      </w:r>
    </w:p>
    <w:p w:rsidR="000526AB" w:rsidRPr="000526AB" w:rsidRDefault="000526AB" w:rsidP="004D1110">
      <w:pPr>
        <w:rPr>
          <w:lang w:eastAsia="ja-JP"/>
        </w:rPr>
      </w:pPr>
      <w:r w:rsidRPr="000526AB">
        <w:rPr>
          <w:lang w:eastAsia="ja-JP"/>
        </w:rPr>
        <w:t>The incidence of drug-related ocular TEAEs in the study eye was low in subjects in both the combined sham (4.9% [7/142]) and combined VTE2Q4 (3.7% [8/218]) groups. Only three ocular drug-related TEAEs in the study eye occurred in more than 1 subject in either treatment group: eye irritation (combined sham, 3 [2.1%]; VTE2Q4, 2 [0.9%]); endophthalmitis (combined sham, 1 [0.7%]; combined VTE2Q4, 3 [1.4%]); and IOP increased (combined sham, 6 [4.2%]; VTE2Q4, 6 [2.8%]). No other ocular drug-related TEAE occurred in more than 1 subject in either the combined sham or the combined VTE2Q4 groups.</w:t>
      </w:r>
    </w:p>
    <w:p w:rsidR="004D1110" w:rsidRPr="004D1110" w:rsidRDefault="000526AB" w:rsidP="004D1110">
      <w:pPr>
        <w:pStyle w:val="Heading6"/>
      </w:pPr>
      <w:r w:rsidRPr="004D1110">
        <w:rPr>
          <w:rFonts w:eastAsia="Cambria"/>
        </w:rPr>
        <w:t>Week 24 to</w:t>
      </w:r>
      <w:r w:rsidR="00300BDB" w:rsidRPr="004D1110">
        <w:rPr>
          <w:rFonts w:eastAsia="Cambria"/>
        </w:rPr>
        <w:t xml:space="preserve"> Week 5</w:t>
      </w:r>
      <w:r w:rsidRPr="004D1110">
        <w:rPr>
          <w:rFonts w:eastAsia="Cambria"/>
        </w:rPr>
        <w:t>2</w:t>
      </w:r>
    </w:p>
    <w:p w:rsidR="000526AB" w:rsidRPr="000526AB" w:rsidRDefault="000526AB" w:rsidP="002F0147">
      <w:pPr>
        <w:rPr>
          <w:lang w:eastAsia="ja-JP"/>
        </w:rPr>
      </w:pPr>
      <w:r w:rsidRPr="000526AB">
        <w:rPr>
          <w:lang w:eastAsia="ja-JP"/>
        </w:rPr>
        <w:t>The incidence of drug-related ocular TEAEs in the study eye in subjects who completed</w:t>
      </w:r>
      <w:r w:rsidR="00300BDB">
        <w:rPr>
          <w:lang w:eastAsia="ja-JP"/>
        </w:rPr>
        <w:t xml:space="preserve"> Week 2</w:t>
      </w:r>
      <w:r w:rsidRPr="000526AB">
        <w:rPr>
          <w:lang w:eastAsia="ja-JP"/>
        </w:rPr>
        <w:t>4 was 2.9% (6/207) in the VTE2Q4+PRN group, 1.7% (1/60) in the sham+VTE PRN group, and 0% (0/7) in the sham group. Of the 6 drug-related TEAEs in the VTE24Q+PRN group, there were 2 (1.0%) subjects with IOP increased and 1 (0.5%) subject each with cataract subcapsular, macular fibrosis, macular ischaemia, and macular fibrosis. In the sham+VTE PRN group, there was 1 subjec</w:t>
      </w:r>
      <w:r w:rsidR="004D1110">
        <w:rPr>
          <w:lang w:eastAsia="ja-JP"/>
        </w:rPr>
        <w:t>t with a drug-related cataract.</w:t>
      </w:r>
    </w:p>
    <w:p w:rsidR="004D1110" w:rsidRPr="004D1110" w:rsidRDefault="000526AB" w:rsidP="004D1110">
      <w:pPr>
        <w:pStyle w:val="Heading6"/>
      </w:pPr>
      <w:r w:rsidRPr="004D1110">
        <w:rPr>
          <w:rFonts w:eastAsia="Cambria"/>
        </w:rPr>
        <w:t>Week 0 to</w:t>
      </w:r>
      <w:r w:rsidR="00300BDB" w:rsidRPr="004D1110">
        <w:rPr>
          <w:rFonts w:eastAsia="Cambria"/>
        </w:rPr>
        <w:t xml:space="preserve"> Week 5</w:t>
      </w:r>
      <w:r w:rsidR="004D1110" w:rsidRPr="004D1110">
        <w:rPr>
          <w:rFonts w:eastAsia="Cambria"/>
        </w:rPr>
        <w:t>2</w:t>
      </w:r>
    </w:p>
    <w:p w:rsidR="000526AB" w:rsidRPr="000526AB" w:rsidRDefault="000526AB" w:rsidP="004D1110">
      <w:pPr>
        <w:rPr>
          <w:lang w:eastAsia="ja-JP"/>
        </w:rPr>
      </w:pPr>
      <w:r w:rsidRPr="000526AB">
        <w:rPr>
          <w:lang w:eastAsia="ja-JP"/>
        </w:rPr>
        <w:t>There were a total of 26 drug-related ocular TEAEs in the study eye in a total of 21 (5.8%) subjects. The incidence of drug-related ocular TEAEs in the study eye was highest in subjects in the sham group (7.4% [5/68]), followed by the VTE2Q4+PRN (6.0% [13/218]) and the sham+VTE PRN (4.1% [3/74]) groups. The most commonly reported drug-related ocular TEAE in the study eye in the total population was IOP increased (1.7% [6/360]): 5 (1.7%) subjects in the VTE2Q4+PRN group, and 1 (1.5%) subject in the sham group. The only other drug-related ocular TEAEs in the study eye occurring in a total of 2 or more subjects were eye irritation (total of 5 [1.4%] subjects: 2 [2.9%], sham, 1 [1.4%], sham+VTE PRN, 2 [0.9%],</w:t>
      </w:r>
      <w:r w:rsidR="00301349">
        <w:rPr>
          <w:lang w:eastAsia="ja-JP"/>
        </w:rPr>
        <w:t xml:space="preserve"> </w:t>
      </w:r>
      <w:r w:rsidRPr="000526AB">
        <w:rPr>
          <w:lang w:eastAsia="ja-JP"/>
        </w:rPr>
        <w:t>VTE2Q4+PRN ), and macular oedema (total of 2 subjects [0.6%]: 1 [1.4%], sham+</w:t>
      </w:r>
      <w:r w:rsidR="004D1110">
        <w:rPr>
          <w:lang w:eastAsia="ja-JP"/>
        </w:rPr>
        <w:t>VTE PRN, 1 [0.5%], VTE2Q4+PRN).</w:t>
      </w:r>
    </w:p>
    <w:p w:rsidR="000526AB" w:rsidRPr="000526AB" w:rsidRDefault="000526AB" w:rsidP="004D1110">
      <w:pPr>
        <w:pStyle w:val="Heading5"/>
        <w:rPr>
          <w:lang w:eastAsia="ja-JP"/>
        </w:rPr>
      </w:pPr>
      <w:r w:rsidRPr="000526AB">
        <w:rPr>
          <w:lang w:eastAsia="ja-JP"/>
        </w:rPr>
        <w:t>Drug-related</w:t>
      </w:r>
      <w:r w:rsidR="004D1110">
        <w:rPr>
          <w:lang w:eastAsia="ja-JP"/>
        </w:rPr>
        <w:t xml:space="preserve"> ocular TEAEs in the fellow eye</w:t>
      </w:r>
    </w:p>
    <w:p w:rsidR="004D1110" w:rsidRPr="004D1110" w:rsidRDefault="000526AB" w:rsidP="004D1110">
      <w:pPr>
        <w:pStyle w:val="Heading6"/>
      </w:pPr>
      <w:r w:rsidRPr="004D1110">
        <w:rPr>
          <w:rFonts w:eastAsia="Cambria"/>
        </w:rPr>
        <w:t>Week 0 to</w:t>
      </w:r>
      <w:r w:rsidR="00300BDB" w:rsidRPr="004D1110">
        <w:rPr>
          <w:rFonts w:eastAsia="Cambria"/>
        </w:rPr>
        <w:t xml:space="preserve"> Week 2</w:t>
      </w:r>
      <w:r w:rsidR="004D1110">
        <w:rPr>
          <w:rFonts w:eastAsia="Cambria"/>
        </w:rPr>
        <w:t>4</w:t>
      </w:r>
    </w:p>
    <w:p w:rsidR="000526AB" w:rsidRPr="000526AB" w:rsidRDefault="000526AB" w:rsidP="004D1110">
      <w:pPr>
        <w:rPr>
          <w:lang w:eastAsia="ja-JP"/>
        </w:rPr>
      </w:pPr>
      <w:r w:rsidRPr="000526AB">
        <w:rPr>
          <w:lang w:eastAsia="ja-JP"/>
        </w:rPr>
        <w:t>One (1) subject (0.7%) in the combined sham group experienced a drug-related ocular TEAE of IOP increased. No other drug-related ocular TEAEs in the fellow eye occurred in either the combined sham grou</w:t>
      </w:r>
      <w:r w:rsidR="004D1110">
        <w:rPr>
          <w:lang w:eastAsia="ja-JP"/>
        </w:rPr>
        <w:t>p or the combined VTE2Q4 group.</w:t>
      </w:r>
    </w:p>
    <w:p w:rsidR="004D1110" w:rsidRPr="004D1110" w:rsidRDefault="000526AB" w:rsidP="004D1110">
      <w:pPr>
        <w:pStyle w:val="Heading6"/>
      </w:pPr>
      <w:r w:rsidRPr="004D1110">
        <w:rPr>
          <w:rFonts w:eastAsia="Cambria"/>
        </w:rPr>
        <w:t>Week 24 to</w:t>
      </w:r>
      <w:r w:rsidR="00300BDB" w:rsidRPr="004D1110">
        <w:rPr>
          <w:rFonts w:eastAsia="Cambria"/>
        </w:rPr>
        <w:t xml:space="preserve"> Week 5</w:t>
      </w:r>
      <w:r w:rsidRPr="004D1110">
        <w:rPr>
          <w:rFonts w:eastAsia="Cambria"/>
        </w:rPr>
        <w:t>2</w:t>
      </w:r>
    </w:p>
    <w:p w:rsidR="000526AB" w:rsidRPr="000526AB" w:rsidRDefault="000526AB" w:rsidP="004D1110">
      <w:pPr>
        <w:rPr>
          <w:lang w:eastAsia="ja-JP"/>
        </w:rPr>
      </w:pPr>
      <w:r w:rsidRPr="000526AB">
        <w:rPr>
          <w:lang w:eastAsia="ja-JP"/>
        </w:rPr>
        <w:t>There were no drug-related ocular TEAEs in the fellow eye reported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in subjects who completed</w:t>
      </w:r>
      <w:r w:rsidR="00300BDB">
        <w:rPr>
          <w:lang w:eastAsia="ja-JP"/>
        </w:rPr>
        <w:t xml:space="preserve"> Week 2</w:t>
      </w:r>
      <w:r w:rsidR="004D1110">
        <w:rPr>
          <w:lang w:eastAsia="ja-JP"/>
        </w:rPr>
        <w:t>4.</w:t>
      </w:r>
    </w:p>
    <w:p w:rsidR="004D1110" w:rsidRPr="004D1110" w:rsidRDefault="000526AB" w:rsidP="004D1110">
      <w:pPr>
        <w:pStyle w:val="Heading6"/>
      </w:pPr>
      <w:r w:rsidRPr="004D1110">
        <w:rPr>
          <w:rFonts w:eastAsia="Cambria"/>
        </w:rPr>
        <w:t>Week 0 to</w:t>
      </w:r>
      <w:r w:rsidR="00300BDB" w:rsidRPr="004D1110">
        <w:rPr>
          <w:rFonts w:eastAsia="Cambria"/>
        </w:rPr>
        <w:t xml:space="preserve"> Week 5</w:t>
      </w:r>
      <w:r w:rsidR="004D1110" w:rsidRPr="004D1110">
        <w:rPr>
          <w:rFonts w:eastAsia="Cambria"/>
        </w:rPr>
        <w:t>2</w:t>
      </w:r>
    </w:p>
    <w:p w:rsidR="000526AB" w:rsidRPr="000526AB" w:rsidRDefault="000526AB" w:rsidP="004D1110">
      <w:pPr>
        <w:rPr>
          <w:lang w:eastAsia="ja-JP"/>
        </w:rPr>
      </w:pPr>
      <w:r w:rsidRPr="000526AB">
        <w:rPr>
          <w:lang w:eastAsia="ja-JP"/>
        </w:rPr>
        <w:t>One (1) subject (1.5%) in the sham group experienced a drug-related ocular TEAE of IOP increased. No other drug-related ocular TEAEs in the fellow eye occurred in an</w:t>
      </w:r>
      <w:r w:rsidR="004D1110">
        <w:rPr>
          <w:lang w:eastAsia="ja-JP"/>
        </w:rPr>
        <w:t>y treatment group.</w:t>
      </w:r>
    </w:p>
    <w:p w:rsidR="000526AB" w:rsidRPr="000526AB" w:rsidRDefault="000526AB" w:rsidP="004D1110">
      <w:pPr>
        <w:pStyle w:val="Heading5"/>
        <w:rPr>
          <w:lang w:eastAsia="ja-JP"/>
        </w:rPr>
      </w:pPr>
      <w:r w:rsidRPr="000526AB">
        <w:rPr>
          <w:lang w:eastAsia="ja-JP"/>
        </w:rPr>
        <w:t xml:space="preserve">Drug-related </w:t>
      </w:r>
      <w:r w:rsidR="00D74B64">
        <w:rPr>
          <w:lang w:eastAsia="ja-JP"/>
        </w:rPr>
        <w:t xml:space="preserve">non-ocular </w:t>
      </w:r>
      <w:r w:rsidR="007D1E07">
        <w:rPr>
          <w:lang w:eastAsia="ja-JP"/>
        </w:rPr>
        <w:t>TEAE</w:t>
      </w:r>
    </w:p>
    <w:p w:rsidR="004D1110" w:rsidRPr="004D1110" w:rsidRDefault="004D1110" w:rsidP="004D1110">
      <w:pPr>
        <w:pStyle w:val="Heading6"/>
      </w:pPr>
      <w:r w:rsidRPr="004D1110">
        <w:rPr>
          <w:rFonts w:eastAsia="Cambria"/>
        </w:rPr>
        <w:t>Week 0 to Week 2</w:t>
      </w:r>
      <w:r>
        <w:rPr>
          <w:rFonts w:eastAsia="Cambria"/>
        </w:rPr>
        <w:t>4</w:t>
      </w:r>
    </w:p>
    <w:p w:rsidR="000526AB" w:rsidRPr="000526AB" w:rsidRDefault="000526AB" w:rsidP="004D1110">
      <w:pPr>
        <w:rPr>
          <w:lang w:eastAsia="ja-JP"/>
        </w:rPr>
      </w:pPr>
      <w:r w:rsidRPr="000526AB">
        <w:rPr>
          <w:lang w:eastAsia="ja-JP"/>
        </w:rPr>
        <w:t xml:space="preserve">Drug-related </w:t>
      </w:r>
      <w:r w:rsidR="00D74B64">
        <w:rPr>
          <w:lang w:eastAsia="ja-JP"/>
        </w:rPr>
        <w:t xml:space="preserve">non-ocular </w:t>
      </w:r>
      <w:r w:rsidRPr="000526AB">
        <w:rPr>
          <w:lang w:eastAsia="ja-JP"/>
        </w:rPr>
        <w:t xml:space="preserve">TEAEs occurred in 2 (1.4%) subjects in the combined sham group (acute </w:t>
      </w:r>
      <w:r w:rsidR="002F0147">
        <w:rPr>
          <w:lang w:eastAsia="ja-JP"/>
        </w:rPr>
        <w:t>myocardial infarction(</w:t>
      </w:r>
      <w:r w:rsidRPr="000526AB">
        <w:rPr>
          <w:lang w:eastAsia="ja-JP"/>
        </w:rPr>
        <w:t>MI</w:t>
      </w:r>
      <w:r w:rsidR="002F0147">
        <w:rPr>
          <w:lang w:eastAsia="ja-JP"/>
        </w:rPr>
        <w:t>)</w:t>
      </w:r>
      <w:r w:rsidRPr="000526AB">
        <w:rPr>
          <w:lang w:eastAsia="ja-JP"/>
        </w:rPr>
        <w:t xml:space="preserve"> and renal failure, each reported by 1 subject [0.7%]), and 1 (0.5%) subject in the combined VTE2Q4 group (hepatic function abnormal). No other drug-</w:t>
      </w:r>
      <w:r w:rsidRPr="000526AB">
        <w:rPr>
          <w:lang w:eastAsia="ja-JP"/>
        </w:rPr>
        <w:lastRenderedPageBreak/>
        <w:t xml:space="preserve">related, </w:t>
      </w:r>
      <w:r w:rsidR="00D74B64">
        <w:rPr>
          <w:lang w:eastAsia="ja-JP"/>
        </w:rPr>
        <w:t xml:space="preserve">non-ocular </w:t>
      </w:r>
      <w:r w:rsidRPr="000526AB">
        <w:rPr>
          <w:lang w:eastAsia="ja-JP"/>
        </w:rPr>
        <w:t>TEAEs occurred in either the combined sham or co</w:t>
      </w:r>
      <w:r w:rsidR="004D1110">
        <w:rPr>
          <w:lang w:eastAsia="ja-JP"/>
        </w:rPr>
        <w:t>mbined VTE2Q4 treatment groups.</w:t>
      </w:r>
    </w:p>
    <w:p w:rsidR="00EE716B" w:rsidRPr="004D1110" w:rsidRDefault="00EE716B" w:rsidP="00EE716B">
      <w:pPr>
        <w:pStyle w:val="Heading6"/>
      </w:pPr>
      <w:r w:rsidRPr="004D1110">
        <w:rPr>
          <w:rFonts w:eastAsia="Cambria"/>
        </w:rPr>
        <w:t>Week 24 to Week 52</w:t>
      </w:r>
    </w:p>
    <w:p w:rsidR="000526AB" w:rsidRPr="000526AB" w:rsidRDefault="000526AB" w:rsidP="004D1110">
      <w:pPr>
        <w:rPr>
          <w:lang w:eastAsia="ja-JP"/>
        </w:rPr>
      </w:pPr>
      <w:r w:rsidRPr="000526AB">
        <w:rPr>
          <w:lang w:eastAsia="ja-JP"/>
        </w:rPr>
        <w:t xml:space="preserve">Drug-related </w:t>
      </w:r>
      <w:r w:rsidR="00D74B64">
        <w:rPr>
          <w:lang w:eastAsia="ja-JP"/>
        </w:rPr>
        <w:t xml:space="preserve">non-ocular </w:t>
      </w:r>
      <w:r w:rsidRPr="000526AB">
        <w:rPr>
          <w:lang w:eastAsia="ja-JP"/>
        </w:rPr>
        <w:t>TEAEs in subjects who completed</w:t>
      </w:r>
      <w:r w:rsidR="00300BDB">
        <w:rPr>
          <w:lang w:eastAsia="ja-JP"/>
        </w:rPr>
        <w:t xml:space="preserve"> Week 2</w:t>
      </w:r>
      <w:r w:rsidRPr="000526AB">
        <w:rPr>
          <w:lang w:eastAsia="ja-JP"/>
        </w:rPr>
        <w:t xml:space="preserve">4 were experienced by 2 subjects (1.0%) in the VTE2Q4+PRN group (hepatic function abnormal in 1 subject [0.5%] and increased urine protein/creatinine ratio in 1 subject [0.5%]). No other drug related </w:t>
      </w:r>
      <w:r w:rsidR="00D74B64">
        <w:rPr>
          <w:lang w:eastAsia="ja-JP"/>
        </w:rPr>
        <w:t xml:space="preserve">non-ocular </w:t>
      </w:r>
      <w:r w:rsidRPr="000526AB">
        <w:rPr>
          <w:lang w:eastAsia="ja-JP"/>
        </w:rPr>
        <w:t>TEAEs occurred in any treatment group.</w:t>
      </w:r>
    </w:p>
    <w:p w:rsidR="00EE716B" w:rsidRPr="004D1110" w:rsidRDefault="00EE716B" w:rsidP="00EE716B">
      <w:pPr>
        <w:pStyle w:val="Heading6"/>
      </w:pPr>
      <w:r w:rsidRPr="004D1110">
        <w:rPr>
          <w:rFonts w:eastAsia="Cambria"/>
        </w:rPr>
        <w:t>Week 0 to Week 52</w:t>
      </w:r>
    </w:p>
    <w:p w:rsidR="000526AB" w:rsidRPr="00EE716B" w:rsidRDefault="000526AB" w:rsidP="00EE716B">
      <w:pPr>
        <w:rPr>
          <w:b/>
          <w:bCs/>
          <w:i/>
          <w:color w:val="001523"/>
          <w:szCs w:val="21"/>
        </w:rPr>
      </w:pPr>
      <w:r w:rsidRPr="000526AB">
        <w:rPr>
          <w:lang w:eastAsia="ja-JP"/>
        </w:rPr>
        <w:t xml:space="preserve">Drug-related </w:t>
      </w:r>
      <w:r w:rsidR="00D74B64">
        <w:rPr>
          <w:lang w:eastAsia="ja-JP"/>
        </w:rPr>
        <w:t xml:space="preserve">non-ocular </w:t>
      </w:r>
      <w:r w:rsidRPr="000526AB">
        <w:rPr>
          <w:lang w:eastAsia="ja-JP"/>
        </w:rPr>
        <w:t>TEAEs were reported in 1 subject (1.5%) in the sham group (renal failure), 1 subject (1.4%) in the sham+VTE PRN group (acute MI; experienced prior to</w:t>
      </w:r>
      <w:r w:rsidR="00300BDB">
        <w:rPr>
          <w:lang w:eastAsia="ja-JP"/>
        </w:rPr>
        <w:t xml:space="preserve"> Week 2</w:t>
      </w:r>
      <w:r w:rsidRPr="000526AB">
        <w:rPr>
          <w:lang w:eastAsia="ja-JP"/>
        </w:rPr>
        <w:t xml:space="preserve">4), and 2 subjects (0.9%) in the VTE2Q4+PRN group (hepatic function abnormal in 1 subject [0.5%] and increased urine protein/creatinine ratio in 1 subject [0.5%]). No other drug-related, </w:t>
      </w:r>
      <w:r w:rsidR="00D74B64">
        <w:rPr>
          <w:lang w:eastAsia="ja-JP"/>
        </w:rPr>
        <w:t xml:space="preserve">non-ocular </w:t>
      </w:r>
      <w:r w:rsidRPr="000526AB">
        <w:rPr>
          <w:lang w:eastAsia="ja-JP"/>
        </w:rPr>
        <w:t>TEAEs o</w:t>
      </w:r>
      <w:r w:rsidR="00EE716B">
        <w:rPr>
          <w:lang w:eastAsia="ja-JP"/>
        </w:rPr>
        <w:t>ccurred in any treatment group.</w:t>
      </w:r>
    </w:p>
    <w:p w:rsidR="000526AB" w:rsidRPr="000526AB" w:rsidRDefault="000526AB" w:rsidP="00EE716B">
      <w:pPr>
        <w:pStyle w:val="Heading5"/>
      </w:pPr>
      <w:bookmarkStart w:id="132" w:name="_Toc221697298"/>
      <w:r w:rsidRPr="000526AB">
        <w:t>Ocular injection-related TEAEs in the study eye</w:t>
      </w:r>
      <w:bookmarkEnd w:id="132"/>
    </w:p>
    <w:p w:rsidR="007A1D29" w:rsidRPr="004D1110" w:rsidRDefault="007A1D29" w:rsidP="007A1D29">
      <w:pPr>
        <w:pStyle w:val="Heading6"/>
      </w:pPr>
      <w:r w:rsidRPr="004D1110">
        <w:rPr>
          <w:rFonts w:eastAsia="Cambria"/>
        </w:rPr>
        <w:t>Week 0 to Week 2</w:t>
      </w:r>
      <w:r>
        <w:rPr>
          <w:rFonts w:eastAsia="Cambria"/>
        </w:rPr>
        <w:t>4</w:t>
      </w:r>
    </w:p>
    <w:p w:rsidR="000526AB" w:rsidRPr="000526AB" w:rsidRDefault="000526AB" w:rsidP="000526AB">
      <w:pPr>
        <w:rPr>
          <w:lang w:eastAsia="ja-JP"/>
        </w:rPr>
      </w:pPr>
      <w:r w:rsidRPr="000526AB">
        <w:rPr>
          <w:lang w:eastAsia="ja-JP"/>
        </w:rPr>
        <w:t xml:space="preserve">Ocular injection-related TEAEs reported in </w:t>
      </w:r>
      <w:r w:rsidR="002F0147">
        <w:rPr>
          <w:lang w:eastAsia="ja-JP"/>
        </w:rPr>
        <w:t>≥</w:t>
      </w:r>
      <w:r w:rsidRPr="000526AB">
        <w:rPr>
          <w:lang w:eastAsia="ja-JP"/>
        </w:rPr>
        <w:t xml:space="preserve"> 3% of subjects in either the combined sham group or the co</w:t>
      </w:r>
      <w:r w:rsidR="002F0147">
        <w:rPr>
          <w:lang w:eastAsia="ja-JP"/>
        </w:rPr>
        <w:t>mbined VTE2Q4 group are summaris</w:t>
      </w:r>
      <w:r w:rsidRPr="000526AB">
        <w:rPr>
          <w:lang w:eastAsia="ja-JP"/>
        </w:rPr>
        <w:t>ed below in Table 2</w:t>
      </w:r>
      <w:r w:rsidR="002F0147">
        <w:rPr>
          <w:lang w:eastAsia="ja-JP"/>
        </w:rPr>
        <w:t>3</w:t>
      </w:r>
      <w:r w:rsidRPr="000526AB">
        <w:rPr>
          <w:lang w:eastAsia="ja-JP"/>
        </w:rPr>
        <w:t xml:space="preserve">. Ocular injection-related TEAEs in the study eye most frequently occurred in subjects in the combined VTE2Q4+PRN group (31.2% [68/218]) than in the combined sham group (22.5% [32/142]). The most commonly reported ocular injection-related TEAEs occurring in </w:t>
      </w:r>
      <w:r w:rsidR="002F0147">
        <w:rPr>
          <w:lang w:eastAsia="ja-JP"/>
        </w:rPr>
        <w:t>≥ </w:t>
      </w:r>
      <w:r w:rsidRPr="000526AB">
        <w:rPr>
          <w:lang w:eastAsia="ja-JP"/>
        </w:rPr>
        <w:t>2% more subjects in the combined VTE2Q4 group than in the combined sham group were eye pain (11.0%</w:t>
      </w:r>
      <w:r w:rsidR="0091044A">
        <w:rPr>
          <w:lang w:eastAsia="ja-JP"/>
        </w:rPr>
        <w:t xml:space="preserve"> versus </w:t>
      </w:r>
      <w:r w:rsidRPr="000526AB">
        <w:rPr>
          <w:lang w:eastAsia="ja-JP"/>
        </w:rPr>
        <w:t>3.5%) and IOP increased (5.5%</w:t>
      </w:r>
      <w:r w:rsidR="0091044A">
        <w:rPr>
          <w:lang w:eastAsia="ja-JP"/>
        </w:rPr>
        <w:t xml:space="preserve"> versus </w:t>
      </w:r>
      <w:r w:rsidR="007A1D29">
        <w:rPr>
          <w:lang w:eastAsia="ja-JP"/>
        </w:rPr>
        <w:t>1.4%).</w:t>
      </w:r>
    </w:p>
    <w:p w:rsidR="000526AB" w:rsidRPr="000526AB" w:rsidRDefault="000526AB" w:rsidP="007A1D29">
      <w:pPr>
        <w:pStyle w:val="TableTitle"/>
        <w:rPr>
          <w:lang w:eastAsia="ja-JP"/>
        </w:rPr>
      </w:pPr>
      <w:bookmarkStart w:id="133" w:name="_Toc221767076"/>
      <w:r w:rsidRPr="000526AB">
        <w:rPr>
          <w:lang w:eastAsia="ja-JP"/>
        </w:rPr>
        <w:t>Table</w:t>
      </w:r>
      <w:r w:rsidR="002F0147">
        <w:rPr>
          <w:lang w:eastAsia="ja-JP"/>
        </w:rPr>
        <w:t xml:space="preserve"> 23</w:t>
      </w:r>
      <w:r w:rsidRPr="000526AB">
        <w:rPr>
          <w:lang w:eastAsia="ja-JP"/>
        </w:rPr>
        <w:t>: Integrated Analysis – Week 0 to</w:t>
      </w:r>
      <w:r w:rsidR="00300BDB">
        <w:rPr>
          <w:lang w:eastAsia="ja-JP"/>
        </w:rPr>
        <w:t xml:space="preserve"> Week 2</w:t>
      </w:r>
      <w:r w:rsidRPr="000526AB">
        <w:rPr>
          <w:lang w:eastAsia="ja-JP"/>
        </w:rPr>
        <w:t>4, ocular injection related TEAEs reported in ≥ 3% of subjects in either the combined sham or the combined VTE2Q4 group; SAF.</w:t>
      </w:r>
      <w:bookmarkEnd w:id="133"/>
    </w:p>
    <w:p w:rsidR="000526AB" w:rsidRPr="000526AB" w:rsidRDefault="000526AB" w:rsidP="007A1D29">
      <w:pPr>
        <w:rPr>
          <w:lang w:eastAsia="ja-JP"/>
        </w:rPr>
      </w:pPr>
      <w:r w:rsidRPr="000526AB">
        <w:rPr>
          <w:noProof/>
          <w:lang w:eastAsia="en-AU"/>
        </w:rPr>
        <w:drawing>
          <wp:inline distT="0" distB="0" distL="0" distR="0" wp14:anchorId="1BB09BEE" wp14:editId="615ABBD9">
            <wp:extent cx="4856480" cy="2275840"/>
            <wp:effectExtent l="19050" t="0" r="1270" b="0"/>
            <wp:docPr id="57" name="Picture 7" descr="Table 23: Integrated Analysis – Week 0 to Week 24, ocular injection related TEAEs reported in ≥ 3% of subjects in either the combined sham or the combined VTE2Q4 group;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856480" cy="2275840"/>
                    </a:xfrm>
                    <a:prstGeom prst="rect">
                      <a:avLst/>
                    </a:prstGeom>
                    <a:noFill/>
                    <a:ln w="9525">
                      <a:noFill/>
                      <a:miter lim="800000"/>
                      <a:headEnd/>
                      <a:tailEnd/>
                    </a:ln>
                  </pic:spPr>
                </pic:pic>
              </a:graphicData>
            </a:graphic>
          </wp:inline>
        </w:drawing>
      </w:r>
    </w:p>
    <w:p w:rsidR="007A1D29" w:rsidRPr="004D1110" w:rsidRDefault="007A1D29" w:rsidP="007A1D29">
      <w:pPr>
        <w:pStyle w:val="Heading6"/>
      </w:pPr>
      <w:r w:rsidRPr="004D1110">
        <w:rPr>
          <w:rFonts w:eastAsia="Cambria"/>
        </w:rPr>
        <w:t>Week 24 to Week 52</w:t>
      </w:r>
    </w:p>
    <w:p w:rsidR="000526AB" w:rsidRPr="000526AB" w:rsidRDefault="000526AB" w:rsidP="007A1D29">
      <w:pPr>
        <w:rPr>
          <w:lang w:eastAsia="ja-JP"/>
        </w:rPr>
      </w:pPr>
      <w:r w:rsidRPr="000526AB">
        <w:rPr>
          <w:lang w:eastAsia="ja-JP"/>
        </w:rPr>
        <w:t xml:space="preserve">Ocular injection-related TEAEs reported in </w:t>
      </w:r>
      <w:r w:rsidR="002F0147">
        <w:rPr>
          <w:lang w:eastAsia="ja-JP"/>
        </w:rPr>
        <w:t>≥</w:t>
      </w:r>
      <w:r w:rsidRPr="000526AB">
        <w:rPr>
          <w:lang w:eastAsia="ja-JP"/>
        </w:rPr>
        <w:t xml:space="preserve"> 3% of subjects who completed</w:t>
      </w:r>
      <w:r w:rsidR="00300BDB">
        <w:rPr>
          <w:lang w:eastAsia="ja-JP"/>
        </w:rPr>
        <w:t xml:space="preserve"> Week 2</w:t>
      </w:r>
      <w:r w:rsidRPr="000526AB">
        <w:rPr>
          <w:lang w:eastAsia="ja-JP"/>
        </w:rPr>
        <w:t>4 in either the combined sham group or the combined VTE2Q4+PRN group are summari</w:t>
      </w:r>
      <w:r w:rsidR="002F0147">
        <w:rPr>
          <w:lang w:eastAsia="ja-JP"/>
        </w:rPr>
        <w:t>sed below in Table 24</w:t>
      </w:r>
      <w:r w:rsidRPr="000526AB">
        <w:rPr>
          <w:lang w:eastAsia="ja-JP"/>
        </w:rPr>
        <w:t xml:space="preserve">. The incidence of injection-related ocular TEAEs in the study eye was higher in subjects in the sham+VTE PRN group (21.7%) than in both the VTE2Q4+PRN (17.4%) and sham (15.8%) groups. All commonly occurring ocular injection-related TEAEs, apart from increased lacrimation, occurred more frequently in subjects in the VTE2Q4+PRN group than in subjects in the sham group. Ocular injection-related TEAEs occurring in </w:t>
      </w:r>
      <w:r w:rsidR="002F0147">
        <w:rPr>
          <w:lang w:eastAsia="ja-JP"/>
        </w:rPr>
        <w:t>≥</w:t>
      </w:r>
      <w:r w:rsidRPr="000526AB">
        <w:rPr>
          <w:lang w:eastAsia="ja-JP"/>
        </w:rPr>
        <w:t xml:space="preserve"> 2% of subjects in the VTE2Q4+PRN group (v</w:t>
      </w:r>
      <w:r w:rsidR="002F0147">
        <w:rPr>
          <w:lang w:eastAsia="ja-JP"/>
        </w:rPr>
        <w:t>ersu</w:t>
      </w:r>
      <w:r w:rsidRPr="000526AB">
        <w:rPr>
          <w:lang w:eastAsia="ja-JP"/>
        </w:rPr>
        <w:t>s the sham group) were conjunctival haemorrhage (5.8%</w:t>
      </w:r>
      <w:r w:rsidR="0091044A">
        <w:rPr>
          <w:lang w:eastAsia="ja-JP"/>
        </w:rPr>
        <w:t xml:space="preserve"> versus </w:t>
      </w:r>
      <w:r w:rsidRPr="000526AB">
        <w:rPr>
          <w:lang w:eastAsia="ja-JP"/>
        </w:rPr>
        <w:lastRenderedPageBreak/>
        <w:t>0%), eye pain (4.8%</w:t>
      </w:r>
      <w:r w:rsidR="0091044A">
        <w:rPr>
          <w:lang w:eastAsia="ja-JP"/>
        </w:rPr>
        <w:t xml:space="preserve"> versus </w:t>
      </w:r>
      <w:r w:rsidRPr="000526AB">
        <w:rPr>
          <w:lang w:eastAsia="ja-JP"/>
        </w:rPr>
        <w:t>3.5%), eye irritation (3.4%</w:t>
      </w:r>
      <w:r w:rsidR="0091044A">
        <w:rPr>
          <w:lang w:eastAsia="ja-JP"/>
        </w:rPr>
        <w:t xml:space="preserve"> versus </w:t>
      </w:r>
      <w:r w:rsidRPr="000526AB">
        <w:rPr>
          <w:lang w:eastAsia="ja-JP"/>
        </w:rPr>
        <w:t>1.8%), intraocular pressure increased (2.9%</w:t>
      </w:r>
      <w:r w:rsidR="0091044A">
        <w:rPr>
          <w:lang w:eastAsia="ja-JP"/>
        </w:rPr>
        <w:t xml:space="preserve"> versus </w:t>
      </w:r>
      <w:r w:rsidRPr="000526AB">
        <w:rPr>
          <w:lang w:eastAsia="ja-JP"/>
        </w:rPr>
        <w:t>1.8%) and lacrimation increased (2.4%</w:t>
      </w:r>
      <w:r w:rsidR="0091044A">
        <w:rPr>
          <w:lang w:eastAsia="ja-JP"/>
        </w:rPr>
        <w:t xml:space="preserve"> versus </w:t>
      </w:r>
      <w:r w:rsidRPr="000526AB">
        <w:rPr>
          <w:lang w:eastAsia="ja-JP"/>
        </w:rPr>
        <w:t>7.0%).</w:t>
      </w:r>
    </w:p>
    <w:p w:rsidR="000526AB" w:rsidRPr="000526AB" w:rsidRDefault="000526AB" w:rsidP="007A1D29">
      <w:pPr>
        <w:pStyle w:val="TableTitle"/>
        <w:rPr>
          <w:lang w:eastAsia="ja-JP"/>
        </w:rPr>
      </w:pPr>
      <w:bookmarkStart w:id="134" w:name="_Toc221767077"/>
      <w:r w:rsidRPr="000526AB">
        <w:rPr>
          <w:lang w:eastAsia="ja-JP"/>
        </w:rPr>
        <w:t>Table</w:t>
      </w:r>
      <w:r w:rsidR="002F0147">
        <w:rPr>
          <w:lang w:eastAsia="ja-JP"/>
        </w:rPr>
        <w:t xml:space="preserve"> 24</w:t>
      </w:r>
      <w:r w:rsidRPr="000526AB">
        <w:rPr>
          <w:lang w:eastAsia="ja-JP"/>
        </w:rPr>
        <w:t>: Integrated Analysis –</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 xml:space="preserve">2, ocular injection-related TEAEs reported in </w:t>
      </w:r>
      <w:r w:rsidR="002F0147">
        <w:rPr>
          <w:lang w:eastAsia="ja-JP"/>
        </w:rPr>
        <w:t>≥ </w:t>
      </w:r>
      <w:r w:rsidRPr="000526AB">
        <w:rPr>
          <w:lang w:eastAsia="ja-JP"/>
        </w:rPr>
        <w:t>3% of subjects in either the combined sham or the combined VTE2Q4 group in subjects who completed</w:t>
      </w:r>
      <w:r w:rsidR="00300BDB">
        <w:rPr>
          <w:lang w:eastAsia="ja-JP"/>
        </w:rPr>
        <w:t xml:space="preserve"> Week 2</w:t>
      </w:r>
      <w:r w:rsidRPr="000526AB">
        <w:rPr>
          <w:lang w:eastAsia="ja-JP"/>
        </w:rPr>
        <w:t>4.</w:t>
      </w:r>
      <w:bookmarkEnd w:id="134"/>
    </w:p>
    <w:p w:rsidR="000526AB" w:rsidRPr="000526AB" w:rsidRDefault="000526AB" w:rsidP="007A1D29">
      <w:pPr>
        <w:rPr>
          <w:lang w:eastAsia="ja-JP"/>
        </w:rPr>
      </w:pPr>
      <w:r w:rsidRPr="000526AB">
        <w:rPr>
          <w:noProof/>
          <w:lang w:eastAsia="en-AU"/>
        </w:rPr>
        <w:drawing>
          <wp:inline distT="0" distB="0" distL="0" distR="0" wp14:anchorId="70E5569F" wp14:editId="293911BE">
            <wp:extent cx="4886960" cy="2082800"/>
            <wp:effectExtent l="19050" t="0" r="8890" b="0"/>
            <wp:docPr id="58" name="Picture 2" descr="Table 24: Integrated Analysis – Week 24 to Week 52, ocular injection-related TEAEs reported in ≥ 3% of subjects in either the combined sham or the combined VTE2Q4 group in subjects who completed Week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886960" cy="2082800"/>
                    </a:xfrm>
                    <a:prstGeom prst="rect">
                      <a:avLst/>
                    </a:prstGeom>
                    <a:noFill/>
                    <a:ln w="9525">
                      <a:noFill/>
                      <a:miter lim="800000"/>
                      <a:headEnd/>
                      <a:tailEnd/>
                    </a:ln>
                  </pic:spPr>
                </pic:pic>
              </a:graphicData>
            </a:graphic>
          </wp:inline>
        </w:drawing>
      </w:r>
    </w:p>
    <w:p w:rsidR="007A1D29" w:rsidRPr="007A1D29" w:rsidRDefault="007A1D29" w:rsidP="007A1D29">
      <w:pPr>
        <w:pStyle w:val="Heading6"/>
      </w:pPr>
      <w:r w:rsidRPr="007A1D29">
        <w:rPr>
          <w:rFonts w:eastAsia="Cambria"/>
        </w:rPr>
        <w:t>Week 0 to Week 52</w:t>
      </w:r>
    </w:p>
    <w:p w:rsidR="000526AB" w:rsidRPr="000526AB" w:rsidRDefault="000526AB" w:rsidP="007A1D29">
      <w:pPr>
        <w:rPr>
          <w:lang w:eastAsia="ja-JP"/>
        </w:rPr>
      </w:pPr>
      <w:r w:rsidRPr="000526AB">
        <w:rPr>
          <w:lang w:eastAsia="ja-JP"/>
        </w:rPr>
        <w:t>The incidence of injection-related ocular TEAEs in subjects in the study eye was higher in the VTE2Q4+PRN group (78/218 [35.8%]) than in both the sham (21/74 [30.9%]) and sham+VTE PRN (20/74 [27.0%]) groups. The most commonly occurring ocular injection-related TEAEs (</w:t>
      </w:r>
      <w:r w:rsidR="002F0147">
        <w:rPr>
          <w:lang w:eastAsia="ja-JP"/>
        </w:rPr>
        <w:t>≥</w:t>
      </w:r>
      <w:r w:rsidRPr="000526AB">
        <w:rPr>
          <w:lang w:eastAsia="ja-JP"/>
        </w:rPr>
        <w:t xml:space="preserve"> 5% of subjects) in the VTE2Q4+PRN group were (VTE2Q4+PRN</w:t>
      </w:r>
      <w:r w:rsidR="0091044A">
        <w:rPr>
          <w:lang w:eastAsia="ja-JP"/>
        </w:rPr>
        <w:t xml:space="preserve"> versus </w:t>
      </w:r>
      <w:r w:rsidRPr="000526AB">
        <w:rPr>
          <w:lang w:eastAsia="ja-JP"/>
        </w:rPr>
        <w:t>sham</w:t>
      </w:r>
      <w:r w:rsidR="0091044A">
        <w:rPr>
          <w:lang w:eastAsia="ja-JP"/>
        </w:rPr>
        <w:t xml:space="preserve"> versus </w:t>
      </w:r>
      <w:r w:rsidRPr="000526AB">
        <w:rPr>
          <w:lang w:eastAsia="ja-JP"/>
        </w:rPr>
        <w:t>sham+VTE PRN): conjunctival haemorrhage (14.2%</w:t>
      </w:r>
      <w:r w:rsidR="0091044A">
        <w:rPr>
          <w:lang w:eastAsia="ja-JP"/>
        </w:rPr>
        <w:t xml:space="preserve"> versus </w:t>
      </w:r>
      <w:r w:rsidRPr="000526AB">
        <w:rPr>
          <w:lang w:eastAsia="ja-JP"/>
        </w:rPr>
        <w:t>4.4%</w:t>
      </w:r>
      <w:r w:rsidR="0091044A">
        <w:rPr>
          <w:lang w:eastAsia="ja-JP"/>
        </w:rPr>
        <w:t xml:space="preserve"> versus </w:t>
      </w:r>
      <w:r w:rsidRPr="000526AB">
        <w:rPr>
          <w:lang w:eastAsia="ja-JP"/>
        </w:rPr>
        <w:t>18.9%); eye pain (12.4%</w:t>
      </w:r>
      <w:r w:rsidR="0091044A">
        <w:rPr>
          <w:lang w:eastAsia="ja-JP"/>
        </w:rPr>
        <w:t xml:space="preserve"> versus </w:t>
      </w:r>
      <w:r w:rsidRPr="000526AB">
        <w:rPr>
          <w:lang w:eastAsia="ja-JP"/>
        </w:rPr>
        <w:t>5.9%</w:t>
      </w:r>
      <w:r w:rsidR="0091044A">
        <w:rPr>
          <w:lang w:eastAsia="ja-JP"/>
        </w:rPr>
        <w:t xml:space="preserve"> versus </w:t>
      </w:r>
      <w:r w:rsidRPr="000526AB">
        <w:rPr>
          <w:lang w:eastAsia="ja-JP"/>
        </w:rPr>
        <w:t>5.4%); and intraocular pressure increased (7.3%</w:t>
      </w:r>
      <w:r w:rsidR="0091044A">
        <w:rPr>
          <w:lang w:eastAsia="ja-JP"/>
        </w:rPr>
        <w:t xml:space="preserve"> versus </w:t>
      </w:r>
      <w:r w:rsidRPr="000526AB">
        <w:rPr>
          <w:lang w:eastAsia="ja-JP"/>
        </w:rPr>
        <w:t>2.9%</w:t>
      </w:r>
      <w:r w:rsidR="0091044A">
        <w:rPr>
          <w:lang w:eastAsia="ja-JP"/>
        </w:rPr>
        <w:t xml:space="preserve"> versus </w:t>
      </w:r>
      <w:r w:rsidRPr="000526AB">
        <w:rPr>
          <w:lang w:eastAsia="ja-JP"/>
        </w:rPr>
        <w:t xml:space="preserve">0%). The incidence of ocular injection-related TEAEs occurring in </w:t>
      </w:r>
      <w:r w:rsidR="002F0147">
        <w:rPr>
          <w:lang w:eastAsia="ja-JP"/>
        </w:rPr>
        <w:t>≥</w:t>
      </w:r>
      <w:r w:rsidRPr="000526AB">
        <w:rPr>
          <w:lang w:eastAsia="ja-JP"/>
        </w:rPr>
        <w:t xml:space="preserve"> 2% of subjects in the VTE2Q4+PRN group and in </w:t>
      </w:r>
      <w:r w:rsidR="002F0147">
        <w:rPr>
          <w:lang w:eastAsia="ja-JP"/>
        </w:rPr>
        <w:t>≥</w:t>
      </w:r>
      <w:r w:rsidRPr="000526AB">
        <w:rPr>
          <w:lang w:eastAsia="ja-JP"/>
        </w:rPr>
        <w:t xml:space="preserve"> 2% more subjects than in both sham groups were (VTE2Q4+PRN</w:t>
      </w:r>
      <w:r w:rsidR="0091044A">
        <w:rPr>
          <w:lang w:eastAsia="ja-JP"/>
        </w:rPr>
        <w:t xml:space="preserve"> versus </w:t>
      </w:r>
      <w:r w:rsidRPr="000526AB">
        <w:rPr>
          <w:lang w:eastAsia="ja-JP"/>
        </w:rPr>
        <w:t>sham</w:t>
      </w:r>
      <w:r w:rsidR="0091044A">
        <w:rPr>
          <w:lang w:eastAsia="ja-JP"/>
        </w:rPr>
        <w:t xml:space="preserve"> versus </w:t>
      </w:r>
      <w:r w:rsidRPr="000526AB">
        <w:rPr>
          <w:lang w:eastAsia="ja-JP"/>
        </w:rPr>
        <w:t>sham+VTE PRN): eye pain (12.4%</w:t>
      </w:r>
      <w:r w:rsidR="0091044A">
        <w:rPr>
          <w:lang w:eastAsia="ja-JP"/>
        </w:rPr>
        <w:t xml:space="preserve"> versus </w:t>
      </w:r>
      <w:r w:rsidRPr="000526AB">
        <w:rPr>
          <w:lang w:eastAsia="ja-JP"/>
        </w:rPr>
        <w:t>5.9%</w:t>
      </w:r>
      <w:r w:rsidR="0091044A">
        <w:rPr>
          <w:lang w:eastAsia="ja-JP"/>
        </w:rPr>
        <w:t xml:space="preserve"> versus </w:t>
      </w:r>
      <w:r w:rsidRPr="000526AB">
        <w:rPr>
          <w:lang w:eastAsia="ja-JP"/>
        </w:rPr>
        <w:t>5.4%); vitreous floaters (3.7%</w:t>
      </w:r>
      <w:r w:rsidR="0091044A">
        <w:rPr>
          <w:lang w:eastAsia="ja-JP"/>
        </w:rPr>
        <w:t xml:space="preserve"> versus </w:t>
      </w:r>
      <w:r w:rsidRPr="000526AB">
        <w:rPr>
          <w:lang w:eastAsia="ja-JP"/>
        </w:rPr>
        <w:t>0%</w:t>
      </w:r>
      <w:r w:rsidR="0091044A">
        <w:rPr>
          <w:lang w:eastAsia="ja-JP"/>
        </w:rPr>
        <w:t xml:space="preserve"> versus </w:t>
      </w:r>
      <w:r w:rsidRPr="000526AB">
        <w:rPr>
          <w:lang w:eastAsia="ja-JP"/>
        </w:rPr>
        <w:t>1.4%); and intraocular pressure increased (7.3%</w:t>
      </w:r>
      <w:r w:rsidR="0091044A">
        <w:rPr>
          <w:lang w:eastAsia="ja-JP"/>
        </w:rPr>
        <w:t xml:space="preserve"> versus </w:t>
      </w:r>
      <w:r w:rsidRPr="000526AB">
        <w:rPr>
          <w:lang w:eastAsia="ja-JP"/>
        </w:rPr>
        <w:t>2.9%</w:t>
      </w:r>
      <w:r w:rsidR="0091044A">
        <w:rPr>
          <w:lang w:eastAsia="ja-JP"/>
        </w:rPr>
        <w:t xml:space="preserve"> versus </w:t>
      </w:r>
      <w:r w:rsidR="007A1D29">
        <w:rPr>
          <w:lang w:eastAsia="ja-JP"/>
        </w:rPr>
        <w:t>0%).</w:t>
      </w:r>
    </w:p>
    <w:p w:rsidR="000526AB" w:rsidRPr="000526AB" w:rsidRDefault="000526AB" w:rsidP="007A1D29">
      <w:pPr>
        <w:pStyle w:val="Heading5"/>
        <w:rPr>
          <w:lang w:eastAsia="ja-JP"/>
        </w:rPr>
      </w:pPr>
      <w:bookmarkStart w:id="135" w:name="_Toc221697299"/>
      <w:r w:rsidRPr="000526AB">
        <w:rPr>
          <w:lang w:eastAsia="ja-JP"/>
        </w:rPr>
        <w:t>Ocular injection-related TEAEs in the fellow eye</w:t>
      </w:r>
      <w:bookmarkEnd w:id="135"/>
    </w:p>
    <w:p w:rsidR="000526AB" w:rsidRPr="000526AB" w:rsidRDefault="002F0147" w:rsidP="007A1D29">
      <w:pPr>
        <w:rPr>
          <w:lang w:eastAsia="ja-JP"/>
        </w:rPr>
      </w:pPr>
      <w:r>
        <w:rPr>
          <w:lang w:eastAsia="ja-JP"/>
        </w:rPr>
        <w:t>In the W</w:t>
      </w:r>
      <w:r w:rsidR="000526AB" w:rsidRPr="000526AB">
        <w:rPr>
          <w:lang w:eastAsia="ja-JP"/>
        </w:rPr>
        <w:t>eek 0 to</w:t>
      </w:r>
      <w:r w:rsidR="00300BDB">
        <w:rPr>
          <w:lang w:eastAsia="ja-JP"/>
        </w:rPr>
        <w:t xml:space="preserve"> Week 2</w:t>
      </w:r>
      <w:r w:rsidR="000526AB" w:rsidRPr="000526AB">
        <w:rPr>
          <w:lang w:eastAsia="ja-JP"/>
        </w:rPr>
        <w:t>4 period, 1 subject in the combined sham group (0.7%) experienced an eyelid function disorder in the fellow eye considered by the investigator to be related to the injection procedure in the study eye. The reason for this event was unclear. No other ocular injection-related TEAEs i</w:t>
      </w:r>
      <w:r w:rsidR="007A1D29">
        <w:rPr>
          <w:lang w:eastAsia="ja-JP"/>
        </w:rPr>
        <w:t>n the fellow eye were reported.</w:t>
      </w:r>
    </w:p>
    <w:p w:rsidR="000526AB" w:rsidRPr="000526AB" w:rsidRDefault="000526AB" w:rsidP="007A1D29">
      <w:pPr>
        <w:pStyle w:val="Heading4"/>
      </w:pPr>
      <w:bookmarkStart w:id="136" w:name="_Toc221697300"/>
      <w:r w:rsidRPr="000526AB">
        <w:t>Arterial thromboembolic events</w:t>
      </w:r>
      <w:bookmarkEnd w:id="136"/>
    </w:p>
    <w:p w:rsidR="000526AB" w:rsidRPr="000526AB" w:rsidRDefault="000526AB" w:rsidP="007A1D29">
      <w:pPr>
        <w:rPr>
          <w:lang w:eastAsia="ja-JP"/>
        </w:rPr>
      </w:pPr>
      <w:r w:rsidRPr="000526AB">
        <w:rPr>
          <w:lang w:eastAsia="ja-JP"/>
        </w:rPr>
        <w:t xml:space="preserve">There is a theoretical risk of arterial thromboembolic (ATE) events following IVT administration of VEGF inhibitors. ATE events, as defined by the Anti-Platelet Trialists’ Collaboration (APTC) criteria, include non-fatal myocardial infarction, non-fatal stroke or vascular death (including deaths of unknown cause). </w:t>
      </w:r>
      <w:r w:rsidRPr="00301349">
        <w:rPr>
          <w:lang w:eastAsia="ja-JP"/>
        </w:rPr>
        <w:t>Post</w:t>
      </w:r>
      <w:r w:rsidR="00301349">
        <w:rPr>
          <w:lang w:eastAsia="ja-JP"/>
        </w:rPr>
        <w:t xml:space="preserve"> </w:t>
      </w:r>
      <w:r w:rsidRPr="00301349">
        <w:rPr>
          <w:lang w:eastAsia="ja-JP"/>
        </w:rPr>
        <w:t xml:space="preserve">hoc </w:t>
      </w:r>
      <w:r w:rsidRPr="000526AB">
        <w:rPr>
          <w:lang w:eastAsia="ja-JP"/>
        </w:rPr>
        <w:t>adjudication of ATE events according to APTC criteria was performed by masked adjudicators. In COPERNICUS, there were no ATE/APTC events reported in the VTE2Q4 group during the first 24 weeks of treatment, while 2 subjects in the sham group experienced ATE/APTC events resulting in death during the first 24 weeks of treatment (1 x acute MI; 1 x</w:t>
      </w:r>
      <w:r w:rsidR="00301349">
        <w:rPr>
          <w:lang w:eastAsia="ja-JP"/>
        </w:rPr>
        <w:t xml:space="preserve"> </w:t>
      </w:r>
      <w:r w:rsidRPr="000526AB">
        <w:rPr>
          <w:lang w:eastAsia="ja-JP"/>
        </w:rPr>
        <w:t>arrhythmia).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1 subject in the VTE2Q4+PRN group (COPERNICUS) experienced an ATE/APTC event of non-fatal MI. No ATE/APTC events</w:t>
      </w:r>
      <w:r w:rsidR="00301349">
        <w:rPr>
          <w:lang w:eastAsia="ja-JP"/>
        </w:rPr>
        <w:t xml:space="preserve"> were reported in GALILEO from W</w:t>
      </w:r>
      <w:r w:rsidRPr="000526AB">
        <w:rPr>
          <w:lang w:eastAsia="ja-JP"/>
        </w:rPr>
        <w:t>eek 0 to</w:t>
      </w:r>
      <w:r w:rsidR="00300BDB">
        <w:rPr>
          <w:lang w:eastAsia="ja-JP"/>
        </w:rPr>
        <w:t xml:space="preserve"> Week 5</w:t>
      </w:r>
      <w:r w:rsidR="007A1D29">
        <w:rPr>
          <w:lang w:eastAsia="ja-JP"/>
        </w:rPr>
        <w:t>2.</w:t>
      </w:r>
    </w:p>
    <w:p w:rsidR="000526AB" w:rsidRPr="000526AB" w:rsidRDefault="000526AB" w:rsidP="007A1D29">
      <w:pPr>
        <w:pStyle w:val="Heading4"/>
      </w:pPr>
      <w:bookmarkStart w:id="137" w:name="_Toc221697301"/>
      <w:r w:rsidRPr="000526AB">
        <w:t>Deaths and serious adverse events</w:t>
      </w:r>
      <w:bookmarkEnd w:id="137"/>
      <w:r w:rsidRPr="000526AB">
        <w:t xml:space="preserve"> </w:t>
      </w:r>
    </w:p>
    <w:p w:rsidR="000526AB" w:rsidRPr="000526AB" w:rsidRDefault="000526AB" w:rsidP="007A1D29">
      <w:pPr>
        <w:pStyle w:val="Heading5"/>
        <w:rPr>
          <w:lang w:eastAsia="ja-JP"/>
        </w:rPr>
      </w:pPr>
      <w:bookmarkStart w:id="138" w:name="_Toc221697302"/>
      <w:r w:rsidRPr="000526AB">
        <w:rPr>
          <w:lang w:eastAsia="ja-JP"/>
        </w:rPr>
        <w:t>Deaths</w:t>
      </w:r>
      <w:bookmarkEnd w:id="138"/>
    </w:p>
    <w:p w:rsidR="000526AB" w:rsidRPr="000526AB" w:rsidRDefault="000526AB" w:rsidP="007A1D29">
      <w:pPr>
        <w:rPr>
          <w:lang w:eastAsia="ja-JP"/>
        </w:rPr>
      </w:pPr>
      <w:r w:rsidRPr="000526AB">
        <w:rPr>
          <w:lang w:eastAsia="ja-JP"/>
        </w:rPr>
        <w:t xml:space="preserve">There were total of two deaths, both of which occurred in COPERNICUS, in subjects treated with sham and both of which were considered to be ATE/APTC events. One (1) subject treated with </w:t>
      </w:r>
      <w:r w:rsidRPr="000526AB">
        <w:rPr>
          <w:lang w:eastAsia="ja-JP"/>
        </w:rPr>
        <w:lastRenderedPageBreak/>
        <w:t>sham died as a result of a drug-related TEAE (acute MI) in the first 24 weeks of treatment (3 days after the last dose of study drug). One (1) subject treated with sham died as a result of arrhythmia 54 days after the last dose of study medication. This death was not considered to be treatment emergent and was adjudicated as a vascular death.</w:t>
      </w:r>
    </w:p>
    <w:p w:rsidR="000526AB" w:rsidRPr="000526AB" w:rsidRDefault="000526AB" w:rsidP="007A1D29">
      <w:pPr>
        <w:pStyle w:val="Heading4"/>
      </w:pPr>
      <w:bookmarkStart w:id="139" w:name="_Toc221697303"/>
      <w:r w:rsidRPr="000526AB">
        <w:t>Serious adverse events (SAEs)</w:t>
      </w:r>
      <w:bookmarkEnd w:id="139"/>
    </w:p>
    <w:p w:rsidR="000526AB" w:rsidRPr="000526AB" w:rsidRDefault="000526AB" w:rsidP="007A1D29">
      <w:pPr>
        <w:pStyle w:val="Heading5"/>
        <w:rPr>
          <w:lang w:eastAsia="ja-JP"/>
        </w:rPr>
      </w:pPr>
      <w:r w:rsidRPr="000526AB">
        <w:rPr>
          <w:lang w:eastAsia="ja-JP"/>
        </w:rPr>
        <w:t>Serious ocular TEAEs in the study eye</w:t>
      </w:r>
    </w:p>
    <w:p w:rsidR="007A1D29" w:rsidRPr="004D1110" w:rsidRDefault="007A1D29" w:rsidP="007A1D29">
      <w:pPr>
        <w:pStyle w:val="Heading6"/>
      </w:pPr>
      <w:r w:rsidRPr="004D1110">
        <w:rPr>
          <w:rFonts w:eastAsia="Cambria"/>
        </w:rPr>
        <w:t>Week 0 to Week 2</w:t>
      </w:r>
      <w:r>
        <w:rPr>
          <w:rFonts w:eastAsia="Cambria"/>
        </w:rPr>
        <w:t>4</w:t>
      </w:r>
    </w:p>
    <w:p w:rsidR="000526AB" w:rsidRPr="000526AB" w:rsidRDefault="000526AB" w:rsidP="007A1D29">
      <w:pPr>
        <w:rPr>
          <w:lang w:eastAsia="ja-JP"/>
        </w:rPr>
      </w:pPr>
      <w:r w:rsidRPr="000526AB">
        <w:rPr>
          <w:lang w:eastAsia="ja-JP"/>
        </w:rPr>
        <w:t xml:space="preserve">Serious ocular TEAEs in the study eye are </w:t>
      </w:r>
      <w:r w:rsidR="00301349">
        <w:rPr>
          <w:lang w:eastAsia="ja-JP"/>
        </w:rPr>
        <w:t>summarised</w:t>
      </w:r>
      <w:r w:rsidRPr="000526AB">
        <w:rPr>
          <w:lang w:eastAsia="ja-JP"/>
        </w:rPr>
        <w:t xml:space="preserve"> below in Table 2</w:t>
      </w:r>
      <w:r w:rsidR="00301349">
        <w:rPr>
          <w:lang w:eastAsia="ja-JP"/>
        </w:rPr>
        <w:t>5</w:t>
      </w:r>
      <w:r w:rsidRPr="000526AB">
        <w:rPr>
          <w:lang w:eastAsia="ja-JP"/>
        </w:rPr>
        <w:t xml:space="preserve">. The incidence of serious ocular TEAEs in the study eye was higher in subjects in the combined sham group (10.6%) than in the combined VTE2Q4 group (2.8%). Most serious ocular TEAEs in the study eye were attributable to disease progression or the injection procedure. Serious ocular TEAEs in the study eye reported in 2 or more subjects occurred only in the sham group: vitreous haemorrhage (5 [3.5%]); glaucoma (3 [2.1%]); and iris </w:t>
      </w:r>
      <w:r w:rsidR="00ED3DEB">
        <w:rPr>
          <w:lang w:eastAsia="ja-JP"/>
        </w:rPr>
        <w:t>neovascularisation</w:t>
      </w:r>
      <w:r w:rsidRPr="000526AB">
        <w:rPr>
          <w:lang w:eastAsia="ja-JP"/>
        </w:rPr>
        <w:t>, macular edema, visual acuity reduced, and retinal haemorrhage (2 [1.4%] each). One (1) subject (0.5%) in the combined VTE2Q4 group experienced an SAE of endophthalmitis compared with no subjects in the combined sham group. There were no reports of SAEs of macular oedema in the combined VTE2Q4 group, compared with 2 subjects (1.4%) in the combined sham group.</w:t>
      </w:r>
    </w:p>
    <w:p w:rsidR="000526AB" w:rsidRPr="000526AB" w:rsidRDefault="000526AB" w:rsidP="007A1D29">
      <w:pPr>
        <w:pStyle w:val="TableTitle"/>
        <w:rPr>
          <w:lang w:eastAsia="ja-JP"/>
        </w:rPr>
      </w:pPr>
      <w:bookmarkStart w:id="140" w:name="_Toc221767078"/>
      <w:r w:rsidRPr="000526AB">
        <w:rPr>
          <w:lang w:eastAsia="ja-JP"/>
        </w:rPr>
        <w:t>Table</w:t>
      </w:r>
      <w:r w:rsidR="00301349">
        <w:rPr>
          <w:lang w:eastAsia="ja-JP"/>
        </w:rPr>
        <w:t xml:space="preserve"> 25</w:t>
      </w:r>
      <w:r w:rsidRPr="000526AB">
        <w:rPr>
          <w:lang w:eastAsia="ja-JP"/>
        </w:rPr>
        <w:t>: Integrated Analysis – Week 0 to</w:t>
      </w:r>
      <w:r w:rsidR="00300BDB">
        <w:rPr>
          <w:lang w:eastAsia="ja-JP"/>
        </w:rPr>
        <w:t xml:space="preserve"> Week 2</w:t>
      </w:r>
      <w:r w:rsidRPr="000526AB">
        <w:rPr>
          <w:lang w:eastAsia="ja-JP"/>
        </w:rPr>
        <w:t>4, serious ocular TEAEs in the study eye; SAF.</w:t>
      </w:r>
      <w:bookmarkEnd w:id="140"/>
    </w:p>
    <w:p w:rsidR="000526AB" w:rsidRPr="000526AB" w:rsidRDefault="000526AB" w:rsidP="007A1D29">
      <w:pPr>
        <w:rPr>
          <w:lang w:eastAsia="ja-JP"/>
        </w:rPr>
      </w:pPr>
      <w:r w:rsidRPr="000526AB">
        <w:rPr>
          <w:noProof/>
          <w:lang w:eastAsia="en-AU"/>
        </w:rPr>
        <w:drawing>
          <wp:inline distT="0" distB="0" distL="0" distR="0" wp14:anchorId="0D6A62CB" wp14:editId="455CC523">
            <wp:extent cx="4876800" cy="3088640"/>
            <wp:effectExtent l="19050" t="0" r="0" b="0"/>
            <wp:docPr id="59" name="Picture 2" descr="Table 25: Integrated Analysis – Week 0 to Week 24, serious ocular TEAEs in the study eye; S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876800" cy="3088640"/>
                    </a:xfrm>
                    <a:prstGeom prst="rect">
                      <a:avLst/>
                    </a:prstGeom>
                    <a:noFill/>
                    <a:ln w="9525">
                      <a:noFill/>
                      <a:miter lim="800000"/>
                      <a:headEnd/>
                      <a:tailEnd/>
                    </a:ln>
                  </pic:spPr>
                </pic:pic>
              </a:graphicData>
            </a:graphic>
          </wp:inline>
        </w:drawing>
      </w:r>
    </w:p>
    <w:p w:rsidR="001E1176" w:rsidRPr="004D1110" w:rsidRDefault="001E1176" w:rsidP="001E1176">
      <w:pPr>
        <w:pStyle w:val="Heading6"/>
      </w:pPr>
      <w:r w:rsidRPr="004D1110">
        <w:rPr>
          <w:rFonts w:eastAsia="Cambria"/>
        </w:rPr>
        <w:t>Week 24 to Week 52</w:t>
      </w:r>
    </w:p>
    <w:p w:rsidR="000526AB" w:rsidRPr="000526AB" w:rsidRDefault="000526AB" w:rsidP="001E1176">
      <w:pPr>
        <w:rPr>
          <w:lang w:eastAsia="ja-JP"/>
        </w:rPr>
      </w:pPr>
      <w:r w:rsidRPr="000526AB">
        <w:rPr>
          <w:lang w:eastAsia="ja-JP"/>
        </w:rPr>
        <w:t>Serious ocular TEAEs in the study eye reported in subjects who completed</w:t>
      </w:r>
      <w:r w:rsidR="00300BDB">
        <w:rPr>
          <w:lang w:eastAsia="ja-JP"/>
        </w:rPr>
        <w:t xml:space="preserve"> Week 2</w:t>
      </w:r>
      <w:r w:rsidRPr="000526AB">
        <w:rPr>
          <w:lang w:eastAsia="ja-JP"/>
        </w:rPr>
        <w:t xml:space="preserve">4 are </w:t>
      </w:r>
      <w:r w:rsidR="00301349">
        <w:rPr>
          <w:lang w:eastAsia="ja-JP"/>
        </w:rPr>
        <w:t>summarised</w:t>
      </w:r>
      <w:r w:rsidRPr="000526AB">
        <w:rPr>
          <w:lang w:eastAsia="ja-JP"/>
        </w:rPr>
        <w:t xml:space="preserve"> below in Table 2</w:t>
      </w:r>
      <w:r w:rsidR="00301349">
        <w:rPr>
          <w:lang w:eastAsia="ja-JP"/>
        </w:rPr>
        <w:t>6</w:t>
      </w:r>
      <w:r w:rsidRPr="000526AB">
        <w:rPr>
          <w:lang w:eastAsia="ja-JP"/>
        </w:rPr>
        <w:t xml:space="preserve">. Serious ocular TEAEs in the study eye were reported more frequently in subjects in the VTE2Q4+PRN group (5.3%) than in both the sham (3.5%) and sham+VTE PRN (3.3%) groups. Most serious ocular TEAEs in the study eye were attributable to disease progression or the injection procedure. Serious ocular TEAEs in the study eye reported by 2 or more subjects occurred in the VTE2Q4+PRN group only: macular edema (4 [1.9%]); vitreous haemorrhage, and retinal </w:t>
      </w:r>
      <w:r w:rsidR="001E1176">
        <w:rPr>
          <w:lang w:eastAsia="ja-JP"/>
        </w:rPr>
        <w:t>vein occlusion (2 [1.0%] each).</w:t>
      </w:r>
    </w:p>
    <w:p w:rsidR="000526AB" w:rsidRPr="000526AB" w:rsidRDefault="000526AB" w:rsidP="001E1176">
      <w:pPr>
        <w:pStyle w:val="TableTitle"/>
        <w:rPr>
          <w:lang w:eastAsia="ja-JP"/>
        </w:rPr>
      </w:pPr>
      <w:bookmarkStart w:id="141" w:name="_Toc221767079"/>
      <w:r w:rsidRPr="000526AB">
        <w:rPr>
          <w:lang w:eastAsia="ja-JP"/>
        </w:rPr>
        <w:lastRenderedPageBreak/>
        <w:t>Table</w:t>
      </w:r>
      <w:r w:rsidR="00301349">
        <w:rPr>
          <w:lang w:eastAsia="ja-JP"/>
        </w:rPr>
        <w:t xml:space="preserve"> 26</w:t>
      </w:r>
      <w:r w:rsidRPr="000526AB">
        <w:rPr>
          <w:lang w:eastAsia="ja-JP"/>
        </w:rPr>
        <w:t>: Integrated Analysis –</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serious ocular TEAEs in the study eye; subjects who completed</w:t>
      </w:r>
      <w:r w:rsidR="00300BDB">
        <w:rPr>
          <w:lang w:eastAsia="ja-JP"/>
        </w:rPr>
        <w:t xml:space="preserve"> Week 2</w:t>
      </w:r>
      <w:r w:rsidRPr="000526AB">
        <w:rPr>
          <w:lang w:eastAsia="ja-JP"/>
        </w:rPr>
        <w:t>4.</w:t>
      </w:r>
      <w:bookmarkEnd w:id="141"/>
    </w:p>
    <w:p w:rsidR="000526AB" w:rsidRPr="000526AB" w:rsidRDefault="000526AB" w:rsidP="001E1176">
      <w:pPr>
        <w:rPr>
          <w:lang w:eastAsia="ja-JP"/>
        </w:rPr>
      </w:pPr>
      <w:r w:rsidRPr="000526AB">
        <w:rPr>
          <w:noProof/>
          <w:lang w:eastAsia="en-AU"/>
        </w:rPr>
        <w:drawing>
          <wp:inline distT="0" distB="0" distL="0" distR="0" wp14:anchorId="13039CD2" wp14:editId="0CA3D43F">
            <wp:extent cx="4927600" cy="2682240"/>
            <wp:effectExtent l="19050" t="0" r="6350" b="0"/>
            <wp:docPr id="60" name="Picture 3" descr="Table 26: Integrated Analysis – Week 24 to Week 52, serious ocular TEAEs in the study eye; subjects who completed Week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4927600" cy="2682240"/>
                    </a:xfrm>
                    <a:prstGeom prst="rect">
                      <a:avLst/>
                    </a:prstGeom>
                    <a:noFill/>
                    <a:ln w="9525">
                      <a:noFill/>
                      <a:miter lim="800000"/>
                      <a:headEnd/>
                      <a:tailEnd/>
                    </a:ln>
                  </pic:spPr>
                </pic:pic>
              </a:graphicData>
            </a:graphic>
          </wp:inline>
        </w:drawing>
      </w:r>
    </w:p>
    <w:p w:rsidR="001E1176" w:rsidRPr="007A1D29" w:rsidRDefault="001E1176" w:rsidP="001E1176">
      <w:pPr>
        <w:pStyle w:val="Heading6"/>
      </w:pPr>
      <w:r w:rsidRPr="007A1D29">
        <w:rPr>
          <w:rFonts w:eastAsia="Cambria"/>
        </w:rPr>
        <w:t>Week 0 to Week 52</w:t>
      </w:r>
    </w:p>
    <w:p w:rsidR="000526AB" w:rsidRPr="000526AB" w:rsidRDefault="000526AB" w:rsidP="001E1176">
      <w:pPr>
        <w:rPr>
          <w:lang w:eastAsia="ja-JP"/>
        </w:rPr>
      </w:pPr>
      <w:r w:rsidRPr="000526AB">
        <w:rPr>
          <w:lang w:eastAsia="ja-JP"/>
        </w:rPr>
        <w:t>The incidence of serious ocular TEA</w:t>
      </w:r>
      <w:r w:rsidR="00301349">
        <w:rPr>
          <w:lang w:eastAsia="ja-JP"/>
        </w:rPr>
        <w:t>Es (SAF) in the study eye from W</w:t>
      </w:r>
      <w:r w:rsidRPr="000526AB">
        <w:rPr>
          <w:lang w:eastAsia="ja-JP"/>
        </w:rPr>
        <w:t>eek 0 to</w:t>
      </w:r>
      <w:r w:rsidR="00300BDB">
        <w:rPr>
          <w:lang w:eastAsia="ja-JP"/>
        </w:rPr>
        <w:t xml:space="preserve"> Week 5</w:t>
      </w:r>
      <w:r w:rsidRPr="000526AB">
        <w:rPr>
          <w:lang w:eastAsia="ja-JP"/>
        </w:rPr>
        <w:t>2 was higher in subjects in the sham+VTE PRN group (12/74 [16.2%]) than in both the sham (6/68 [8.8%]) and the VTE2Q4+PRN (16/218 [7.3%] groups. The most frequently reported serious ocular TEAE in the study eye in the VTE2Q4+PRN group was macular oedema which was reported in 4 subjects (1.8%), compared with 2 subjects (2.9%) in the sham group and no subjects in the sham+VTE PRN group. The only other serious ocular TEAEs in the study eye reported in 2 or more subjects in the VTE2Q4+PRN group were retinal vein occlusion (2 [0.9%], VTE2Q4+PRN; 0 [0%], sham; 1 [1.4%], sham+VTE PRN), and vitreous haemorrhage</w:t>
      </w:r>
      <w:r w:rsidR="00301349">
        <w:rPr>
          <w:lang w:eastAsia="ja-JP"/>
        </w:rPr>
        <w:t xml:space="preserve"> </w:t>
      </w:r>
      <w:r w:rsidRPr="000526AB">
        <w:rPr>
          <w:lang w:eastAsia="ja-JP"/>
        </w:rPr>
        <w:t>(2 [0.9%], VTE2Q4+PRN; 1 [1.5%], sham; 5 [6.8%], sham+VTE PRN).</w:t>
      </w:r>
    </w:p>
    <w:p w:rsidR="000526AB" w:rsidRPr="000526AB" w:rsidRDefault="000526AB" w:rsidP="001E1176">
      <w:pPr>
        <w:pStyle w:val="Heading6"/>
        <w:rPr>
          <w:lang w:eastAsia="ja-JP"/>
        </w:rPr>
      </w:pPr>
      <w:r w:rsidRPr="000526AB">
        <w:rPr>
          <w:lang w:eastAsia="ja-JP"/>
        </w:rPr>
        <w:t>Serious ocular TEAEs in the fellow eye</w:t>
      </w:r>
    </w:p>
    <w:p w:rsidR="000526AB" w:rsidRPr="000526AB" w:rsidRDefault="000526AB" w:rsidP="001E1176">
      <w:pPr>
        <w:rPr>
          <w:lang w:eastAsia="ja-JP"/>
        </w:rPr>
      </w:pPr>
      <w:r w:rsidRPr="000526AB">
        <w:rPr>
          <w:lang w:eastAsia="ja-JP"/>
        </w:rPr>
        <w:t>In weeks 0-24, no serious ocular TEAEs in the fellow eye occurred in either the combined sham or the combined VTE2Q4 group. In weeks 0-52, 1 serious ocular TEAE in the fellow eye occurred in the VTE2Q4+PRN group (vitreous haemorrhage).</w:t>
      </w:r>
    </w:p>
    <w:p w:rsidR="000526AB" w:rsidRPr="000526AB" w:rsidRDefault="000526AB" w:rsidP="001E1176">
      <w:pPr>
        <w:pStyle w:val="Heading5"/>
        <w:rPr>
          <w:lang w:eastAsia="ja-JP"/>
        </w:rPr>
      </w:pPr>
      <w:r w:rsidRPr="000526AB">
        <w:rPr>
          <w:lang w:eastAsia="ja-JP"/>
        </w:rPr>
        <w:t xml:space="preserve">Serious </w:t>
      </w:r>
      <w:r w:rsidR="00D74B64">
        <w:rPr>
          <w:lang w:eastAsia="ja-JP"/>
        </w:rPr>
        <w:t xml:space="preserve">non-ocular </w:t>
      </w:r>
      <w:r w:rsidRPr="000526AB">
        <w:rPr>
          <w:lang w:eastAsia="ja-JP"/>
        </w:rPr>
        <w:t>TEAEs</w:t>
      </w:r>
    </w:p>
    <w:p w:rsidR="001E1176" w:rsidRPr="004D1110" w:rsidRDefault="001E1176" w:rsidP="001E1176">
      <w:pPr>
        <w:pStyle w:val="Heading6"/>
      </w:pPr>
      <w:r w:rsidRPr="004D1110">
        <w:rPr>
          <w:rFonts w:eastAsia="Cambria"/>
        </w:rPr>
        <w:t>Week 0 to Week 2</w:t>
      </w:r>
      <w:r>
        <w:rPr>
          <w:rFonts w:eastAsia="Cambria"/>
        </w:rPr>
        <w:t>4</w:t>
      </w:r>
    </w:p>
    <w:p w:rsidR="000526AB" w:rsidRPr="000526AB" w:rsidRDefault="000526AB" w:rsidP="001E1176">
      <w:pPr>
        <w:rPr>
          <w:b/>
          <w:lang w:eastAsia="ja-JP"/>
        </w:rPr>
      </w:pPr>
      <w:r w:rsidRPr="000526AB">
        <w:rPr>
          <w:lang w:eastAsia="ja-JP"/>
        </w:rPr>
        <w:t xml:space="preserve">The incidence of serious </w:t>
      </w:r>
      <w:r w:rsidR="00D74B64">
        <w:rPr>
          <w:lang w:eastAsia="ja-JP"/>
        </w:rPr>
        <w:t xml:space="preserve">non-ocular </w:t>
      </w:r>
      <w:r w:rsidRPr="000526AB">
        <w:rPr>
          <w:lang w:eastAsia="ja-JP"/>
        </w:rPr>
        <w:t>TEAEs was higher in subjects in the combined sham group than in the combined VTE2Q4 group (11 [7.7%]</w:t>
      </w:r>
      <w:r w:rsidR="0091044A">
        <w:rPr>
          <w:lang w:eastAsia="ja-JP"/>
        </w:rPr>
        <w:t xml:space="preserve"> versus </w:t>
      </w:r>
      <w:r w:rsidRPr="000526AB">
        <w:rPr>
          <w:lang w:eastAsia="ja-JP"/>
        </w:rPr>
        <w:t xml:space="preserve">12 [5.5%], respectively). Pneumonia was the only serious </w:t>
      </w:r>
      <w:r w:rsidR="00D74B64">
        <w:rPr>
          <w:lang w:eastAsia="ja-JP"/>
        </w:rPr>
        <w:t xml:space="preserve">non-ocular </w:t>
      </w:r>
      <w:r w:rsidRPr="000526AB">
        <w:rPr>
          <w:lang w:eastAsia="ja-JP"/>
        </w:rPr>
        <w:t>TEAE reported by more than 1 subject (combined sham group, 2 subjects [1.4%]). Circulatory collapse was predefined as a systemic reaction related to immunogenicity. However, the 1 subject in the combined VTE2Q4 group who experienced a serious TEAE of circulatory collapse had negative results in the anti-drug antibody (ADA) assay.</w:t>
      </w:r>
    </w:p>
    <w:p w:rsidR="001E1176" w:rsidRPr="004D1110" w:rsidRDefault="001E1176" w:rsidP="001E1176">
      <w:pPr>
        <w:pStyle w:val="Heading6"/>
      </w:pPr>
      <w:r>
        <w:rPr>
          <w:rFonts w:eastAsia="Cambria"/>
        </w:rPr>
        <w:t xml:space="preserve">b. </w:t>
      </w:r>
      <w:r w:rsidRPr="004D1110">
        <w:rPr>
          <w:rFonts w:eastAsia="Cambria"/>
        </w:rPr>
        <w:t>Week 24 to Week 52</w:t>
      </w:r>
    </w:p>
    <w:p w:rsidR="000526AB" w:rsidRPr="000526AB" w:rsidRDefault="000526AB" w:rsidP="001E1176">
      <w:pPr>
        <w:rPr>
          <w:lang w:eastAsia="ja-JP"/>
        </w:rPr>
      </w:pPr>
      <w:r w:rsidRPr="000526AB">
        <w:rPr>
          <w:lang w:eastAsia="ja-JP"/>
        </w:rPr>
        <w:t xml:space="preserve">The incidence of serious </w:t>
      </w:r>
      <w:r w:rsidR="00D74B64">
        <w:rPr>
          <w:lang w:eastAsia="ja-JP"/>
        </w:rPr>
        <w:t xml:space="preserve">non-ocular </w:t>
      </w:r>
      <w:r w:rsidRPr="000526AB">
        <w:rPr>
          <w:lang w:eastAsia="ja-JP"/>
        </w:rPr>
        <w:t>TEAEs was lower in subjects in the VTE2Q4+PRN group (13 [6.3%]) than in both the sham+VTE PRN</w:t>
      </w:r>
      <w:r w:rsidR="00301349">
        <w:rPr>
          <w:lang w:eastAsia="ja-JP"/>
        </w:rPr>
        <w:t xml:space="preserve"> </w:t>
      </w:r>
      <w:r w:rsidRPr="000526AB">
        <w:rPr>
          <w:lang w:eastAsia="ja-JP"/>
        </w:rPr>
        <w:t xml:space="preserve">(5 [8.3%]) and sham (5 [8.8%]) groups. No serious </w:t>
      </w:r>
      <w:r w:rsidR="00D74B64">
        <w:rPr>
          <w:lang w:eastAsia="ja-JP"/>
        </w:rPr>
        <w:t xml:space="preserve">non-ocular </w:t>
      </w:r>
      <w:r w:rsidRPr="000526AB">
        <w:rPr>
          <w:lang w:eastAsia="ja-JP"/>
        </w:rPr>
        <w:t>TEAEs occurred in 2 or more subjects in the VTE2Q4+PRN group.</w:t>
      </w:r>
    </w:p>
    <w:p w:rsidR="001E1176" w:rsidRPr="007A1D29" w:rsidRDefault="001E1176" w:rsidP="001E1176">
      <w:pPr>
        <w:pStyle w:val="Heading6"/>
      </w:pPr>
      <w:r w:rsidRPr="007A1D29">
        <w:rPr>
          <w:rFonts w:eastAsia="Cambria"/>
        </w:rPr>
        <w:lastRenderedPageBreak/>
        <w:t>Week 0 to Week 52</w:t>
      </w:r>
    </w:p>
    <w:p w:rsidR="000526AB" w:rsidRPr="000526AB" w:rsidRDefault="000526AB" w:rsidP="001E1176">
      <w:pPr>
        <w:rPr>
          <w:lang w:eastAsia="ja-JP"/>
        </w:rPr>
      </w:pPr>
      <w:r w:rsidRPr="000526AB">
        <w:rPr>
          <w:lang w:eastAsia="ja-JP"/>
        </w:rPr>
        <w:t xml:space="preserve">The incidence of serious </w:t>
      </w:r>
      <w:r w:rsidR="00D74B64">
        <w:rPr>
          <w:lang w:eastAsia="ja-JP"/>
        </w:rPr>
        <w:t xml:space="preserve">non-ocular </w:t>
      </w:r>
      <w:r w:rsidRPr="000526AB">
        <w:rPr>
          <w:lang w:eastAsia="ja-JP"/>
        </w:rPr>
        <w:t xml:space="preserve">TEAEs was lower in subjects in the VTE2Q4+PRN group (24 [11.0%]) than in both the sham (9 [13.2%]) and sham+VTE PRN (10 [13.5%] groups. No serious </w:t>
      </w:r>
      <w:r w:rsidR="00D74B64">
        <w:rPr>
          <w:lang w:eastAsia="ja-JP"/>
        </w:rPr>
        <w:t xml:space="preserve">non-ocular </w:t>
      </w:r>
      <w:r w:rsidRPr="000526AB">
        <w:rPr>
          <w:lang w:eastAsia="ja-JP"/>
        </w:rPr>
        <w:t>TEAEs occurred in 2 or more su</w:t>
      </w:r>
      <w:r w:rsidR="001E1176">
        <w:rPr>
          <w:lang w:eastAsia="ja-JP"/>
        </w:rPr>
        <w:t>bjects in the VTE2Q4+PRN group.</w:t>
      </w:r>
    </w:p>
    <w:p w:rsidR="000526AB" w:rsidRPr="000526AB" w:rsidRDefault="000526AB" w:rsidP="001E1176">
      <w:pPr>
        <w:pStyle w:val="Heading5"/>
        <w:rPr>
          <w:lang w:eastAsia="ja-JP"/>
        </w:rPr>
      </w:pPr>
      <w:r w:rsidRPr="000526AB">
        <w:rPr>
          <w:lang w:eastAsia="ja-JP"/>
        </w:rPr>
        <w:t>Serious ocular drug-related TEAEs</w:t>
      </w:r>
    </w:p>
    <w:p w:rsidR="000526AB" w:rsidRPr="000526AB" w:rsidRDefault="000526AB" w:rsidP="001E1176">
      <w:pPr>
        <w:rPr>
          <w:lang w:eastAsia="ja-JP"/>
        </w:rPr>
      </w:pPr>
      <w:r w:rsidRPr="000526AB">
        <w:rPr>
          <w:lang w:eastAsia="ja-JP"/>
        </w:rPr>
        <w:t xml:space="preserve">The occurrence of serious </w:t>
      </w:r>
      <w:r w:rsidR="00D74B64">
        <w:rPr>
          <w:lang w:eastAsia="ja-JP"/>
        </w:rPr>
        <w:t xml:space="preserve">non-ocular </w:t>
      </w:r>
      <w:r w:rsidRPr="000526AB">
        <w:rPr>
          <w:lang w:eastAsia="ja-JP"/>
        </w:rPr>
        <w:t>drug-related TEAEs was rare. Over the full 52-weeks of the studies only 3 subjects experienced serious drug-related ocular TEAEs: 1 subject [VTE2Q4], retinal artery occlusion prior to</w:t>
      </w:r>
      <w:r w:rsidR="00300BDB">
        <w:rPr>
          <w:lang w:eastAsia="ja-JP"/>
        </w:rPr>
        <w:t xml:space="preserve"> Week 2</w:t>
      </w:r>
      <w:r w:rsidRPr="000526AB">
        <w:rPr>
          <w:lang w:eastAsia="ja-JP"/>
        </w:rPr>
        <w:t>4; 1 subject [VTE2Q4], macular ischaemia prior to</w:t>
      </w:r>
      <w:r w:rsidR="00300BDB">
        <w:rPr>
          <w:lang w:eastAsia="ja-JP"/>
        </w:rPr>
        <w:t xml:space="preserve"> Week 2</w:t>
      </w:r>
      <w:r w:rsidRPr="000526AB">
        <w:rPr>
          <w:lang w:eastAsia="ja-JP"/>
        </w:rPr>
        <w:t>4; 1 subject [VTE2Q4+PRN], cataract after</w:t>
      </w:r>
      <w:r w:rsidR="00300BDB">
        <w:rPr>
          <w:lang w:eastAsia="ja-JP"/>
        </w:rPr>
        <w:t xml:space="preserve"> Week 2</w:t>
      </w:r>
      <w:r w:rsidR="001E1176">
        <w:rPr>
          <w:lang w:eastAsia="ja-JP"/>
        </w:rPr>
        <w:t>4).</w:t>
      </w:r>
    </w:p>
    <w:p w:rsidR="000526AB" w:rsidRPr="000526AB" w:rsidRDefault="000526AB" w:rsidP="001E1176">
      <w:pPr>
        <w:pStyle w:val="Heading5"/>
        <w:rPr>
          <w:lang w:eastAsia="ja-JP"/>
        </w:rPr>
      </w:pPr>
      <w:r w:rsidRPr="000526AB">
        <w:rPr>
          <w:lang w:eastAsia="ja-JP"/>
        </w:rPr>
        <w:t xml:space="preserve">Serious </w:t>
      </w:r>
      <w:r w:rsidR="00D74B64">
        <w:rPr>
          <w:lang w:eastAsia="ja-JP"/>
        </w:rPr>
        <w:t xml:space="preserve">non-ocular </w:t>
      </w:r>
      <w:r w:rsidRPr="000526AB">
        <w:rPr>
          <w:lang w:eastAsia="ja-JP"/>
        </w:rPr>
        <w:t>drug-related TEAEs</w:t>
      </w:r>
    </w:p>
    <w:p w:rsidR="000526AB" w:rsidRPr="000526AB" w:rsidRDefault="000526AB" w:rsidP="00301349">
      <w:pPr>
        <w:rPr>
          <w:lang w:eastAsia="ja-JP"/>
        </w:rPr>
      </w:pPr>
      <w:r w:rsidRPr="000526AB">
        <w:rPr>
          <w:lang w:eastAsia="ja-JP"/>
        </w:rPr>
        <w:t xml:space="preserve">The occurrence of serious </w:t>
      </w:r>
      <w:r w:rsidR="00D74B64">
        <w:rPr>
          <w:lang w:eastAsia="ja-JP"/>
        </w:rPr>
        <w:t xml:space="preserve">non-ocular </w:t>
      </w:r>
      <w:r w:rsidRPr="000526AB">
        <w:rPr>
          <w:lang w:eastAsia="ja-JP"/>
        </w:rPr>
        <w:t>drug-related TEAEs was rare. Over the full 52</w:t>
      </w:r>
      <w:r w:rsidR="00301349">
        <w:rPr>
          <w:lang w:eastAsia="ja-JP"/>
        </w:rPr>
        <w:t xml:space="preserve"> </w:t>
      </w:r>
      <w:r w:rsidRPr="000526AB">
        <w:rPr>
          <w:lang w:eastAsia="ja-JP"/>
        </w:rPr>
        <w:t xml:space="preserve">weeks of the studies only 3 subjects experienced serious drug-related </w:t>
      </w:r>
      <w:r w:rsidR="00D74B64">
        <w:rPr>
          <w:lang w:eastAsia="ja-JP"/>
        </w:rPr>
        <w:t xml:space="preserve">non-ocular </w:t>
      </w:r>
      <w:r w:rsidRPr="000526AB">
        <w:rPr>
          <w:lang w:eastAsia="ja-JP"/>
        </w:rPr>
        <w:t>TEAEs: renal failure (prior to</w:t>
      </w:r>
      <w:r w:rsidR="00300BDB">
        <w:rPr>
          <w:lang w:eastAsia="ja-JP"/>
        </w:rPr>
        <w:t xml:space="preserve"> Week 2</w:t>
      </w:r>
      <w:r w:rsidRPr="000526AB">
        <w:rPr>
          <w:lang w:eastAsia="ja-JP"/>
        </w:rPr>
        <w:t>4; sham); acute MI (prior to</w:t>
      </w:r>
      <w:r w:rsidR="00300BDB">
        <w:rPr>
          <w:lang w:eastAsia="ja-JP"/>
        </w:rPr>
        <w:t xml:space="preserve"> Week 2</w:t>
      </w:r>
      <w:r w:rsidRPr="000526AB">
        <w:rPr>
          <w:lang w:eastAsia="ja-JP"/>
        </w:rPr>
        <w:t>4; sham); and hepatic function abnormal (after</w:t>
      </w:r>
      <w:r w:rsidR="00300BDB">
        <w:rPr>
          <w:lang w:eastAsia="ja-JP"/>
        </w:rPr>
        <w:t xml:space="preserve"> Week 2</w:t>
      </w:r>
      <w:r w:rsidR="006746B5">
        <w:rPr>
          <w:lang w:eastAsia="ja-JP"/>
        </w:rPr>
        <w:t>4; VTE2Q4+PRN).</w:t>
      </w:r>
    </w:p>
    <w:p w:rsidR="000526AB" w:rsidRPr="000526AB" w:rsidRDefault="000526AB" w:rsidP="00301349">
      <w:pPr>
        <w:pStyle w:val="Heading5"/>
        <w:rPr>
          <w:lang w:eastAsia="ja-JP"/>
        </w:rPr>
      </w:pPr>
      <w:r w:rsidRPr="000526AB">
        <w:rPr>
          <w:lang w:eastAsia="ja-JP"/>
        </w:rPr>
        <w:t>Serious ocular injection-related TEAEs</w:t>
      </w:r>
    </w:p>
    <w:p w:rsidR="000526AB" w:rsidRPr="000526AB" w:rsidRDefault="000526AB" w:rsidP="001E1176">
      <w:pPr>
        <w:rPr>
          <w:lang w:eastAsia="ja-JP"/>
        </w:rPr>
      </w:pPr>
      <w:r w:rsidRPr="000526AB">
        <w:rPr>
          <w:lang w:eastAsia="ja-JP"/>
        </w:rPr>
        <w:t>The occurrence of serious ocular injection-related TEAEs was rare. Over the full 52-weeks of the studies only 3 subjects experienced serious ocular injection-related TEAEs: endophthalmitis (prior to</w:t>
      </w:r>
      <w:r w:rsidR="00300BDB">
        <w:rPr>
          <w:lang w:eastAsia="ja-JP"/>
        </w:rPr>
        <w:t xml:space="preserve"> Week 2</w:t>
      </w:r>
      <w:r w:rsidRPr="000526AB">
        <w:rPr>
          <w:lang w:eastAsia="ja-JP"/>
        </w:rPr>
        <w:t>4; VTE2Q4); vitreous haemorrhage (prior to</w:t>
      </w:r>
      <w:r w:rsidR="00300BDB">
        <w:rPr>
          <w:lang w:eastAsia="ja-JP"/>
        </w:rPr>
        <w:t xml:space="preserve"> Week 2</w:t>
      </w:r>
      <w:r w:rsidRPr="000526AB">
        <w:rPr>
          <w:lang w:eastAsia="ja-JP"/>
        </w:rPr>
        <w:t>4; sham), and vitreous detachment (prior to</w:t>
      </w:r>
      <w:r w:rsidR="00300BDB">
        <w:rPr>
          <w:lang w:eastAsia="ja-JP"/>
        </w:rPr>
        <w:t xml:space="preserve"> Week 2</w:t>
      </w:r>
      <w:r w:rsidR="001E1176">
        <w:rPr>
          <w:lang w:eastAsia="ja-JP"/>
        </w:rPr>
        <w:t>4; VTE2Q4).</w:t>
      </w:r>
    </w:p>
    <w:p w:rsidR="000526AB" w:rsidRPr="000526AB" w:rsidRDefault="000526AB" w:rsidP="001E1176">
      <w:pPr>
        <w:pStyle w:val="Heading4"/>
      </w:pPr>
      <w:bookmarkStart w:id="142" w:name="_Toc221697304"/>
      <w:r w:rsidRPr="000526AB">
        <w:t>Discontinuation of the study drug due to treatment related adverse events</w:t>
      </w:r>
      <w:bookmarkEnd w:id="142"/>
    </w:p>
    <w:p w:rsidR="000526AB" w:rsidRPr="000526AB" w:rsidRDefault="000526AB" w:rsidP="001E1176">
      <w:pPr>
        <w:pStyle w:val="Heading5"/>
      </w:pPr>
      <w:r w:rsidRPr="000526AB">
        <w:t>Week 0 to</w:t>
      </w:r>
      <w:r w:rsidR="00300BDB">
        <w:t xml:space="preserve"> Week 2</w:t>
      </w:r>
      <w:r w:rsidRPr="000526AB">
        <w:t>4</w:t>
      </w:r>
    </w:p>
    <w:p w:rsidR="000526AB" w:rsidRPr="000526AB" w:rsidRDefault="000526AB" w:rsidP="001E1176">
      <w:pPr>
        <w:rPr>
          <w:lang w:eastAsia="ja-JP"/>
        </w:rPr>
      </w:pPr>
      <w:r w:rsidRPr="000526AB">
        <w:rPr>
          <w:lang w:eastAsia="ja-JP"/>
        </w:rPr>
        <w:t xml:space="preserve">TEAEs leading to discontinuation of the study drug are </w:t>
      </w:r>
      <w:r w:rsidR="00301349">
        <w:rPr>
          <w:lang w:eastAsia="ja-JP"/>
        </w:rPr>
        <w:t>summarised</w:t>
      </w:r>
      <w:r w:rsidRPr="000526AB">
        <w:rPr>
          <w:lang w:eastAsia="ja-JP"/>
        </w:rPr>
        <w:t xml:space="preserve"> below in Table 2</w:t>
      </w:r>
      <w:r w:rsidR="00301349">
        <w:rPr>
          <w:lang w:eastAsia="ja-JP"/>
        </w:rPr>
        <w:t>7</w:t>
      </w:r>
      <w:r w:rsidRPr="000526AB">
        <w:rPr>
          <w:lang w:eastAsia="ja-JP"/>
        </w:rPr>
        <w:t>. The incidence of TEAEs leading to discontinuation of the study drug was higher in subjects in the combined sham group (10 [7.0%]) than in the combined VTE2Q4 group (3 [1.4%]). No TEAEs leading to discontinuation of more than 1 subject were reported in the combined VTE2Q4 group.</w:t>
      </w:r>
    </w:p>
    <w:p w:rsidR="000526AB" w:rsidRPr="000526AB" w:rsidRDefault="000526AB" w:rsidP="001E1176">
      <w:pPr>
        <w:pStyle w:val="TableTitle"/>
        <w:rPr>
          <w:lang w:eastAsia="ja-JP"/>
        </w:rPr>
      </w:pPr>
      <w:bookmarkStart w:id="143" w:name="_Toc221767080"/>
      <w:r w:rsidRPr="000526AB">
        <w:rPr>
          <w:lang w:eastAsia="ja-JP"/>
        </w:rPr>
        <w:t>Table</w:t>
      </w:r>
      <w:r w:rsidR="00301349">
        <w:rPr>
          <w:lang w:eastAsia="ja-JP"/>
        </w:rPr>
        <w:t xml:space="preserve"> 27</w:t>
      </w:r>
      <w:r w:rsidRPr="000526AB">
        <w:rPr>
          <w:lang w:eastAsia="ja-JP"/>
        </w:rPr>
        <w:t>: Integrated Analysis – Week 0 to</w:t>
      </w:r>
      <w:r w:rsidR="00300BDB">
        <w:rPr>
          <w:lang w:eastAsia="ja-JP"/>
        </w:rPr>
        <w:t xml:space="preserve"> Week 2</w:t>
      </w:r>
      <w:r w:rsidRPr="000526AB">
        <w:rPr>
          <w:lang w:eastAsia="ja-JP"/>
        </w:rPr>
        <w:t>4, TEAEs leading to discontinuation of the study drug; SAF.</w:t>
      </w:r>
      <w:bookmarkEnd w:id="143"/>
    </w:p>
    <w:p w:rsidR="000526AB" w:rsidRPr="000526AB" w:rsidRDefault="000526AB" w:rsidP="001E1176">
      <w:pPr>
        <w:rPr>
          <w:lang w:eastAsia="ja-JP"/>
        </w:rPr>
      </w:pPr>
      <w:r w:rsidRPr="000526AB">
        <w:rPr>
          <w:noProof/>
          <w:lang w:eastAsia="en-AU"/>
        </w:rPr>
        <w:drawing>
          <wp:inline distT="0" distB="0" distL="0" distR="0" wp14:anchorId="041231F5" wp14:editId="491338E7">
            <wp:extent cx="4815840" cy="2936240"/>
            <wp:effectExtent l="19050" t="0" r="3810" b="0"/>
            <wp:docPr id="61" name="Picture 4" descr="Table 27: Integrated Analysis – Week 0 to Week 24, TEAEs leading to discontinuation of the study drug; S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815840" cy="2936240"/>
                    </a:xfrm>
                    <a:prstGeom prst="rect">
                      <a:avLst/>
                    </a:prstGeom>
                    <a:noFill/>
                    <a:ln w="9525">
                      <a:noFill/>
                      <a:miter lim="800000"/>
                      <a:headEnd/>
                      <a:tailEnd/>
                    </a:ln>
                  </pic:spPr>
                </pic:pic>
              </a:graphicData>
            </a:graphic>
          </wp:inline>
        </w:drawing>
      </w:r>
    </w:p>
    <w:p w:rsidR="000526AB" w:rsidRPr="000526AB" w:rsidRDefault="000526AB" w:rsidP="001E1176">
      <w:pPr>
        <w:pStyle w:val="Heading5"/>
        <w:rPr>
          <w:lang w:eastAsia="ja-JP"/>
        </w:rPr>
      </w:pPr>
      <w:r w:rsidRPr="000526AB">
        <w:rPr>
          <w:lang w:eastAsia="ja-JP"/>
        </w:rPr>
        <w:lastRenderedPageBreak/>
        <w:t>Week 24 to</w:t>
      </w:r>
      <w:r w:rsidR="00300BDB">
        <w:rPr>
          <w:lang w:eastAsia="ja-JP"/>
        </w:rPr>
        <w:t xml:space="preserve"> Week 5</w:t>
      </w:r>
      <w:r w:rsidRPr="000526AB">
        <w:rPr>
          <w:lang w:eastAsia="ja-JP"/>
        </w:rPr>
        <w:t>2</w:t>
      </w:r>
    </w:p>
    <w:p w:rsidR="000526AB" w:rsidRPr="000526AB" w:rsidRDefault="000526AB" w:rsidP="001E1176">
      <w:pPr>
        <w:rPr>
          <w:lang w:eastAsia="ja-JP"/>
        </w:rPr>
      </w:pPr>
      <w:r w:rsidRPr="000526AB">
        <w:rPr>
          <w:lang w:eastAsia="ja-JP"/>
        </w:rPr>
        <w:t>TEAEs leading to discontinuation of the study drug in subjects who completed</w:t>
      </w:r>
      <w:r w:rsidR="00300BDB">
        <w:rPr>
          <w:lang w:eastAsia="ja-JP"/>
        </w:rPr>
        <w:t xml:space="preserve"> Week 2</w:t>
      </w:r>
      <w:r w:rsidRPr="000526AB">
        <w:rPr>
          <w:lang w:eastAsia="ja-JP"/>
        </w:rPr>
        <w:t xml:space="preserve">4 are </w:t>
      </w:r>
      <w:r w:rsidR="00301349">
        <w:rPr>
          <w:lang w:eastAsia="ja-JP"/>
        </w:rPr>
        <w:t>summarised</w:t>
      </w:r>
      <w:r w:rsidRPr="000526AB">
        <w:rPr>
          <w:lang w:eastAsia="ja-JP"/>
        </w:rPr>
        <w:t xml:space="preserve"> below in Table 2</w:t>
      </w:r>
      <w:r w:rsidR="00301349">
        <w:rPr>
          <w:lang w:eastAsia="ja-JP"/>
        </w:rPr>
        <w:t>8</w:t>
      </w:r>
      <w:r w:rsidR="001E1176">
        <w:rPr>
          <w:lang w:eastAsia="ja-JP"/>
        </w:rPr>
        <w:t>.</w:t>
      </w:r>
    </w:p>
    <w:p w:rsidR="000526AB" w:rsidRPr="000526AB" w:rsidRDefault="000526AB" w:rsidP="001E1176">
      <w:pPr>
        <w:pStyle w:val="TableTitle"/>
        <w:rPr>
          <w:lang w:eastAsia="ja-JP"/>
        </w:rPr>
      </w:pPr>
      <w:bookmarkStart w:id="144" w:name="_Toc221767081"/>
      <w:r w:rsidRPr="000526AB">
        <w:rPr>
          <w:lang w:eastAsia="ja-JP"/>
        </w:rPr>
        <w:t xml:space="preserve">Table </w:t>
      </w:r>
      <w:r w:rsidR="00301349">
        <w:rPr>
          <w:lang w:eastAsia="ja-JP"/>
        </w:rPr>
        <w:t>28</w:t>
      </w:r>
      <w:r w:rsidRPr="000526AB">
        <w:rPr>
          <w:lang w:eastAsia="ja-JP"/>
        </w:rPr>
        <w:t>: Integrated Analysis – Week 0 to</w:t>
      </w:r>
      <w:r w:rsidR="00300BDB">
        <w:rPr>
          <w:lang w:eastAsia="ja-JP"/>
        </w:rPr>
        <w:t xml:space="preserve"> Week 2</w:t>
      </w:r>
      <w:r w:rsidRPr="000526AB">
        <w:rPr>
          <w:lang w:eastAsia="ja-JP"/>
        </w:rPr>
        <w:t>4, TEAEs leading to discontinuation of the study drug; SAF.</w:t>
      </w:r>
      <w:bookmarkEnd w:id="144"/>
    </w:p>
    <w:p w:rsidR="000526AB" w:rsidRPr="000526AB" w:rsidRDefault="000526AB" w:rsidP="001E1176">
      <w:pPr>
        <w:rPr>
          <w:lang w:eastAsia="ja-JP"/>
        </w:rPr>
      </w:pPr>
      <w:r w:rsidRPr="000526AB">
        <w:rPr>
          <w:noProof/>
          <w:lang w:eastAsia="en-AU"/>
        </w:rPr>
        <w:drawing>
          <wp:inline distT="0" distB="0" distL="0" distR="0" wp14:anchorId="017AD8E7" wp14:editId="60DFC75E">
            <wp:extent cx="5039360" cy="2489200"/>
            <wp:effectExtent l="19050" t="0" r="8890" b="0"/>
            <wp:docPr id="62" name="Picture 5" descr="Table 28: Integrated Analysis – Week 0 to Week 24, TEAEs leading to discontinuation of the study drug;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039360" cy="2489200"/>
                    </a:xfrm>
                    <a:prstGeom prst="rect">
                      <a:avLst/>
                    </a:prstGeom>
                    <a:noFill/>
                    <a:ln w="9525">
                      <a:noFill/>
                      <a:miter lim="800000"/>
                      <a:headEnd/>
                      <a:tailEnd/>
                    </a:ln>
                  </pic:spPr>
                </pic:pic>
              </a:graphicData>
            </a:graphic>
          </wp:inline>
        </w:drawing>
      </w:r>
    </w:p>
    <w:p w:rsidR="000526AB" w:rsidRPr="000526AB" w:rsidRDefault="000526AB" w:rsidP="001E1176">
      <w:pPr>
        <w:pStyle w:val="Heading5"/>
        <w:rPr>
          <w:lang w:eastAsia="ja-JP"/>
        </w:rPr>
      </w:pPr>
      <w:r w:rsidRPr="000526AB">
        <w:rPr>
          <w:lang w:eastAsia="ja-JP"/>
        </w:rPr>
        <w:t>Week 0 to</w:t>
      </w:r>
      <w:r w:rsidR="00300BDB">
        <w:rPr>
          <w:lang w:eastAsia="ja-JP"/>
        </w:rPr>
        <w:t xml:space="preserve"> Week 5</w:t>
      </w:r>
      <w:r w:rsidRPr="000526AB">
        <w:rPr>
          <w:lang w:eastAsia="ja-JP"/>
        </w:rPr>
        <w:t>2</w:t>
      </w:r>
    </w:p>
    <w:p w:rsidR="000526AB" w:rsidRPr="000526AB" w:rsidRDefault="000526AB" w:rsidP="001E1176">
      <w:pPr>
        <w:rPr>
          <w:lang w:eastAsia="ja-JP"/>
        </w:rPr>
      </w:pPr>
      <w:r w:rsidRPr="000526AB">
        <w:rPr>
          <w:lang w:eastAsia="ja-JP"/>
        </w:rPr>
        <w:t xml:space="preserve">The incidence of TEAEs leading to discontinuation of the study drug was higher in subjects in the sham group (7 [10.3%]) than in both the sham+VTE PRN (5 [6.8%]) and VTE2Q4+PRN (8 [3.7%]) groups. TEAEs leading to study drug discontinuation of subjects in the sham group were: retinal </w:t>
      </w:r>
      <w:r w:rsidR="00ED3DEB">
        <w:rPr>
          <w:lang w:eastAsia="ja-JP"/>
        </w:rPr>
        <w:t>neovascularisation</w:t>
      </w:r>
      <w:r w:rsidRPr="000526AB">
        <w:rPr>
          <w:lang w:eastAsia="ja-JP"/>
        </w:rPr>
        <w:t xml:space="preserve"> (3 [4.9%]); glaucoma and macular oedema (2 each [2.9%]); and corneal oedema and retinal haemorrhage (1 each [1.8%]). TEAEs leading to study drug discontinuation in subjects in the sham+VTE PRN group were: vitreous haemorrhage (2 [2.7%]); iris </w:t>
      </w:r>
      <w:r w:rsidR="00ED3DEB">
        <w:rPr>
          <w:lang w:eastAsia="ja-JP"/>
        </w:rPr>
        <w:t>neovascularisation</w:t>
      </w:r>
      <w:r w:rsidRPr="000526AB">
        <w:rPr>
          <w:lang w:eastAsia="ja-JP"/>
        </w:rPr>
        <w:t xml:space="preserve">, glaucoma, retinal haemorrhage, retinal tear and visual acuity reduced (1 each [1.4%]). TEAEs leading to study drug discontinuation in subjects in the VTE2Q4+PRN group were: iris </w:t>
      </w:r>
      <w:r w:rsidR="00ED3DEB">
        <w:rPr>
          <w:lang w:eastAsia="ja-JP"/>
        </w:rPr>
        <w:t>neovascularisation</w:t>
      </w:r>
      <w:r w:rsidRPr="000526AB">
        <w:rPr>
          <w:lang w:eastAsia="ja-JP"/>
        </w:rPr>
        <w:t xml:space="preserve"> (2 [0.9%]); macular ischaemia, retinal vein occlusion, retinal artery occlusion, NSCLC, vitreous haemorrhage and hepatic function abnormal (1 [0.5%] each).</w:t>
      </w:r>
      <w:bookmarkEnd w:id="115"/>
    </w:p>
    <w:p w:rsidR="000526AB" w:rsidRPr="000526AB" w:rsidRDefault="000526AB" w:rsidP="001E1176">
      <w:pPr>
        <w:pStyle w:val="Heading4"/>
      </w:pPr>
      <w:bookmarkStart w:id="145" w:name="_Toc221697305"/>
      <w:r w:rsidRPr="000526AB">
        <w:t>Treatment emergent adverse events of interest</w:t>
      </w:r>
      <w:bookmarkEnd w:id="145"/>
    </w:p>
    <w:p w:rsidR="000526AB" w:rsidRPr="000526AB" w:rsidRDefault="000526AB" w:rsidP="001E1176">
      <w:pPr>
        <w:pStyle w:val="Heading5"/>
        <w:rPr>
          <w:lang w:eastAsia="ja-JP"/>
        </w:rPr>
      </w:pPr>
      <w:r w:rsidRPr="000526AB">
        <w:rPr>
          <w:lang w:eastAsia="ja-JP"/>
        </w:rPr>
        <w:t>Ocular TEAEs</w:t>
      </w:r>
      <w:r w:rsidR="00301349">
        <w:rPr>
          <w:lang w:eastAsia="ja-JP"/>
        </w:rPr>
        <w:t xml:space="preserve"> </w:t>
      </w:r>
      <w:r w:rsidR="00972180">
        <w:rPr>
          <w:lang w:eastAsia="ja-JP"/>
        </w:rPr>
        <w:t>of interest in the study eye</w:t>
      </w:r>
    </w:p>
    <w:p w:rsidR="000526AB" w:rsidRPr="000526AB" w:rsidRDefault="000526AB" w:rsidP="001E1176">
      <w:pPr>
        <w:pStyle w:val="Heading6"/>
        <w:rPr>
          <w:lang w:eastAsia="ja-JP"/>
        </w:rPr>
      </w:pPr>
      <w:r w:rsidRPr="000526AB">
        <w:rPr>
          <w:lang w:eastAsia="ja-JP"/>
        </w:rPr>
        <w:t>Week 0 to</w:t>
      </w:r>
      <w:r w:rsidR="00300BDB">
        <w:rPr>
          <w:lang w:eastAsia="ja-JP"/>
        </w:rPr>
        <w:t xml:space="preserve"> Week 2</w:t>
      </w:r>
      <w:r w:rsidRPr="000526AB">
        <w:rPr>
          <w:lang w:eastAsia="ja-JP"/>
        </w:rPr>
        <w:t>4</w:t>
      </w:r>
    </w:p>
    <w:p w:rsidR="000526AB" w:rsidRPr="000526AB" w:rsidRDefault="000526AB" w:rsidP="001E1176">
      <w:pPr>
        <w:rPr>
          <w:lang w:eastAsia="ja-JP"/>
        </w:rPr>
      </w:pPr>
      <w:r w:rsidRPr="000526AB">
        <w:rPr>
          <w:lang w:eastAsia="ja-JP"/>
        </w:rPr>
        <w:t>The overall incidence of ocular TEAEs of interest in the study eye was higher in subjects in the combined sham group (51/142 [35.9%]) than in the combined VTE2Q4 group (64/218 [29.4%]). The most common (</w:t>
      </w:r>
      <w:r w:rsidR="00147E04">
        <w:rPr>
          <w:lang w:eastAsia="ja-JP"/>
        </w:rPr>
        <w:t>≥</w:t>
      </w:r>
      <w:r w:rsidRPr="000526AB">
        <w:rPr>
          <w:lang w:eastAsia="ja-JP"/>
        </w:rPr>
        <w:t xml:space="preserve"> 5% overall) ocular TEAEs of interest in subjects in the combined VTE2Q4 group (v</w:t>
      </w:r>
      <w:r w:rsidR="00147E04">
        <w:rPr>
          <w:lang w:eastAsia="ja-JP"/>
        </w:rPr>
        <w:t>ersu</w:t>
      </w:r>
      <w:r w:rsidRPr="000526AB">
        <w:rPr>
          <w:lang w:eastAsia="ja-JP"/>
        </w:rPr>
        <w:t>s combined sham) were: subconjunctival/conjunctival haemorrhage (26 [11.9%]</w:t>
      </w:r>
      <w:r w:rsidR="0091044A">
        <w:rPr>
          <w:lang w:eastAsia="ja-JP"/>
        </w:rPr>
        <w:t xml:space="preserve"> versus </w:t>
      </w:r>
      <w:r w:rsidRPr="000526AB">
        <w:rPr>
          <w:lang w:eastAsia="ja-JP"/>
        </w:rPr>
        <w:t>14 [9.9%]); mild transient pain at the injection site (26 [11.9%]</w:t>
      </w:r>
      <w:r w:rsidR="0091044A">
        <w:rPr>
          <w:lang w:eastAsia="ja-JP"/>
        </w:rPr>
        <w:t xml:space="preserve"> versus </w:t>
      </w:r>
      <w:r w:rsidRPr="000526AB">
        <w:rPr>
          <w:lang w:eastAsia="ja-JP"/>
        </w:rPr>
        <w:t>7 [4.9%]); transient increase in IOP (13 [6.0%]</w:t>
      </w:r>
      <w:r w:rsidR="0091044A">
        <w:rPr>
          <w:lang w:eastAsia="ja-JP"/>
        </w:rPr>
        <w:t xml:space="preserve"> versus </w:t>
      </w:r>
      <w:r w:rsidRPr="000526AB">
        <w:rPr>
          <w:lang w:eastAsia="ja-JP"/>
        </w:rPr>
        <w:t>2 [1.4%]); and any clinically significant decrease in BCVA (13 [6.0%]</w:t>
      </w:r>
      <w:r w:rsidR="0091044A">
        <w:rPr>
          <w:lang w:eastAsia="ja-JP"/>
        </w:rPr>
        <w:t xml:space="preserve"> versus </w:t>
      </w:r>
      <w:r w:rsidR="001E1176">
        <w:rPr>
          <w:lang w:eastAsia="ja-JP"/>
        </w:rPr>
        <w:t>23 [16.2%]).</w:t>
      </w:r>
    </w:p>
    <w:p w:rsidR="000526AB" w:rsidRPr="000526AB" w:rsidRDefault="000526AB" w:rsidP="001E1176">
      <w:pPr>
        <w:rPr>
          <w:lang w:eastAsia="ja-JP"/>
        </w:rPr>
      </w:pPr>
      <w:r w:rsidRPr="000526AB">
        <w:rPr>
          <w:lang w:eastAsia="ja-JP"/>
        </w:rPr>
        <w:t>Common categories (</w:t>
      </w:r>
      <w:r w:rsidR="00147E04">
        <w:rPr>
          <w:lang w:eastAsia="ja-JP"/>
        </w:rPr>
        <w:t>≥</w:t>
      </w:r>
      <w:r w:rsidRPr="000526AB">
        <w:rPr>
          <w:lang w:eastAsia="ja-JP"/>
        </w:rPr>
        <w:t xml:space="preserve"> 5%) of ocular TEAEs of interest in subjects in the combined VTE2Q4 group with an incidence of more than twice that in the combined sham group included only mild transient pain at the injection site (26 [11.9%]</w:t>
      </w:r>
      <w:r w:rsidR="0091044A">
        <w:rPr>
          <w:lang w:eastAsia="ja-JP"/>
        </w:rPr>
        <w:t xml:space="preserve"> versus </w:t>
      </w:r>
      <w:r w:rsidRPr="000526AB">
        <w:rPr>
          <w:lang w:eastAsia="ja-JP"/>
        </w:rPr>
        <w:t>7 [4.9%]). Common categories (</w:t>
      </w:r>
      <w:r w:rsidR="00147E04">
        <w:rPr>
          <w:lang w:eastAsia="ja-JP"/>
        </w:rPr>
        <w:t>≥</w:t>
      </w:r>
      <w:r w:rsidRPr="000526AB">
        <w:rPr>
          <w:lang w:eastAsia="ja-JP"/>
        </w:rPr>
        <w:t xml:space="preserve"> 5%) of ocular TEAEs of interest in the study eye in subjects in the combined sham group with an incidence of more than twice that in the combined VTE2Q4 group included only clinically significant decrease in BCVA (23 [16.2%]</w:t>
      </w:r>
      <w:r w:rsidR="0091044A">
        <w:rPr>
          <w:lang w:eastAsia="ja-JP"/>
        </w:rPr>
        <w:t xml:space="preserve"> versus </w:t>
      </w:r>
      <w:r w:rsidR="001E1176">
        <w:rPr>
          <w:lang w:eastAsia="ja-JP"/>
        </w:rPr>
        <w:t>13 [6.0%]).</w:t>
      </w:r>
    </w:p>
    <w:p w:rsidR="000526AB" w:rsidRPr="000526AB" w:rsidRDefault="000526AB" w:rsidP="001E1176">
      <w:pPr>
        <w:rPr>
          <w:lang w:eastAsia="ja-JP"/>
        </w:rPr>
      </w:pPr>
      <w:r w:rsidRPr="000526AB">
        <w:rPr>
          <w:lang w:eastAsia="ja-JP"/>
        </w:rPr>
        <w:lastRenderedPageBreak/>
        <w:t xml:space="preserve">Two (2) subjects (1.4%) in the combined sham group experienced IOP </w:t>
      </w:r>
      <w:r w:rsidR="00147E04">
        <w:rPr>
          <w:lang w:eastAsia="ja-JP"/>
        </w:rPr>
        <w:t>≥</w:t>
      </w:r>
      <w:r w:rsidRPr="000526AB">
        <w:rPr>
          <w:lang w:eastAsia="ja-JP"/>
        </w:rPr>
        <w:t xml:space="preserve"> 35 mmHg requiring treatment (v</w:t>
      </w:r>
      <w:r w:rsidR="00147E04">
        <w:rPr>
          <w:lang w:eastAsia="ja-JP"/>
        </w:rPr>
        <w:t>ersu</w:t>
      </w:r>
      <w:r w:rsidRPr="000526AB">
        <w:rPr>
          <w:lang w:eastAsia="ja-JP"/>
        </w:rPr>
        <w:t>s no subjects in the VTE2Q4 group); 9 subjects experienced new onset, elevated IOP requiring treatment (6 [4.2%], combined sham</w:t>
      </w:r>
      <w:r w:rsidR="0091044A">
        <w:rPr>
          <w:lang w:eastAsia="ja-JP"/>
        </w:rPr>
        <w:t xml:space="preserve"> versus </w:t>
      </w:r>
      <w:r w:rsidRPr="000526AB">
        <w:rPr>
          <w:lang w:eastAsia="ja-JP"/>
        </w:rPr>
        <w:t>3 [1.4%], combined VTE2Q4); and 15 subjects experienced transient increases in IOP (2 [1.4%], combined sham</w:t>
      </w:r>
      <w:r w:rsidR="0091044A">
        <w:rPr>
          <w:lang w:eastAsia="ja-JP"/>
        </w:rPr>
        <w:t xml:space="preserve"> versus </w:t>
      </w:r>
      <w:r w:rsidRPr="000526AB">
        <w:rPr>
          <w:lang w:eastAsia="ja-JP"/>
        </w:rPr>
        <w:t>13 [6.0%], combined VTE2Q4).</w:t>
      </w:r>
    </w:p>
    <w:p w:rsidR="000526AB" w:rsidRPr="000526AB" w:rsidRDefault="000526AB" w:rsidP="001E1176">
      <w:pPr>
        <w:pStyle w:val="Heading6"/>
        <w:rPr>
          <w:lang w:eastAsia="ja-JP"/>
        </w:rPr>
      </w:pPr>
      <w:r w:rsidRPr="000526AB">
        <w:rPr>
          <w:lang w:eastAsia="ja-JP"/>
        </w:rPr>
        <w:t>Week 24 to</w:t>
      </w:r>
      <w:r w:rsidR="00300BDB">
        <w:rPr>
          <w:lang w:eastAsia="ja-JP"/>
        </w:rPr>
        <w:t xml:space="preserve"> Week 5</w:t>
      </w:r>
      <w:r w:rsidR="00972180">
        <w:rPr>
          <w:lang w:eastAsia="ja-JP"/>
        </w:rPr>
        <w:t>2</w:t>
      </w:r>
    </w:p>
    <w:p w:rsidR="000526AB" w:rsidRPr="000526AB" w:rsidRDefault="000526AB" w:rsidP="001E1176">
      <w:pPr>
        <w:rPr>
          <w:lang w:eastAsia="ja-JP"/>
        </w:rPr>
      </w:pPr>
      <w:r w:rsidRPr="000526AB">
        <w:rPr>
          <w:lang w:eastAsia="ja-JP"/>
        </w:rPr>
        <w:t>The overall incidence of ocular TEAEs of interest in subjects in the study eye was higher in the VTE2Q4+PRN group (57 [27.5%]) than in both the sham+VTE PRN (14</w:t>
      </w:r>
      <w:r w:rsidR="00301349">
        <w:rPr>
          <w:lang w:eastAsia="ja-JP"/>
        </w:rPr>
        <w:t xml:space="preserve"> </w:t>
      </w:r>
      <w:r w:rsidRPr="000526AB">
        <w:rPr>
          <w:lang w:eastAsia="ja-JP"/>
        </w:rPr>
        <w:t>[23.3%]) and sham (6 [10.5%] groups. The most commonly reported TEAE (</w:t>
      </w:r>
      <w:r w:rsidR="00147E04">
        <w:rPr>
          <w:lang w:eastAsia="ja-JP"/>
        </w:rPr>
        <w:t>≥</w:t>
      </w:r>
      <w:r w:rsidRPr="000526AB">
        <w:rPr>
          <w:lang w:eastAsia="ja-JP"/>
        </w:rPr>
        <w:t xml:space="preserve"> 5%) of interest in the study eye in subjects in the VTE2Q4+PRN group (VTE2Q4</w:t>
      </w:r>
      <w:r w:rsidR="0091044A">
        <w:rPr>
          <w:lang w:eastAsia="ja-JP"/>
        </w:rPr>
        <w:t xml:space="preserve"> versus </w:t>
      </w:r>
      <w:r w:rsidRPr="000526AB">
        <w:rPr>
          <w:lang w:eastAsia="ja-JP"/>
        </w:rPr>
        <w:t>sham</w:t>
      </w:r>
      <w:r w:rsidR="0091044A">
        <w:rPr>
          <w:lang w:eastAsia="ja-JP"/>
        </w:rPr>
        <w:t xml:space="preserve"> versus </w:t>
      </w:r>
      <w:r w:rsidRPr="000526AB">
        <w:rPr>
          <w:lang w:eastAsia="ja-JP"/>
        </w:rPr>
        <w:t>sham+VTE PRN) was visual acuity reduced (13.0%</w:t>
      </w:r>
      <w:r w:rsidR="0091044A">
        <w:rPr>
          <w:lang w:eastAsia="ja-JP"/>
        </w:rPr>
        <w:t xml:space="preserve"> versus </w:t>
      </w:r>
      <w:r w:rsidRPr="000526AB">
        <w:rPr>
          <w:lang w:eastAsia="ja-JP"/>
        </w:rPr>
        <w:t>1.8%</w:t>
      </w:r>
      <w:r w:rsidR="0091044A">
        <w:rPr>
          <w:lang w:eastAsia="ja-JP"/>
        </w:rPr>
        <w:t xml:space="preserve"> versus </w:t>
      </w:r>
      <w:r w:rsidRPr="000526AB">
        <w:rPr>
          <w:lang w:eastAsia="ja-JP"/>
        </w:rPr>
        <w:t>5.0%).</w:t>
      </w:r>
    </w:p>
    <w:p w:rsidR="000526AB" w:rsidRPr="000526AB" w:rsidRDefault="000526AB" w:rsidP="001E1176">
      <w:pPr>
        <w:rPr>
          <w:lang w:eastAsia="ja-JP"/>
        </w:rPr>
      </w:pPr>
      <w:r w:rsidRPr="000526AB">
        <w:rPr>
          <w:lang w:eastAsia="ja-JP"/>
        </w:rPr>
        <w:t>Common categories (</w:t>
      </w:r>
      <w:r w:rsidR="00147E04">
        <w:rPr>
          <w:lang w:eastAsia="ja-JP"/>
        </w:rPr>
        <w:t>≥</w:t>
      </w:r>
      <w:r w:rsidRPr="000526AB">
        <w:rPr>
          <w:lang w:eastAsia="ja-JP"/>
        </w:rPr>
        <w:t xml:space="preserve"> 5%) of ocular TEAEs of interest in subjects in the VTE2Q4+PRN group with an incidence of more than twice that in either sham group (VTE2Q4+PRN</w:t>
      </w:r>
      <w:r w:rsidR="0091044A">
        <w:rPr>
          <w:lang w:eastAsia="ja-JP"/>
        </w:rPr>
        <w:t xml:space="preserve"> versus </w:t>
      </w:r>
      <w:r w:rsidRPr="000526AB">
        <w:rPr>
          <w:lang w:eastAsia="ja-JP"/>
        </w:rPr>
        <w:t>sham</w:t>
      </w:r>
      <w:r w:rsidR="0091044A">
        <w:rPr>
          <w:lang w:eastAsia="ja-JP"/>
        </w:rPr>
        <w:t xml:space="preserve"> versus </w:t>
      </w:r>
      <w:r w:rsidRPr="000526AB">
        <w:rPr>
          <w:lang w:eastAsia="ja-JP"/>
        </w:rPr>
        <w:t>sham+VTE PRN) included only any clinically significant decrease in BCVA (15.5%</w:t>
      </w:r>
      <w:r w:rsidR="0091044A">
        <w:rPr>
          <w:lang w:eastAsia="ja-JP"/>
        </w:rPr>
        <w:t xml:space="preserve"> versus </w:t>
      </w:r>
      <w:r w:rsidRPr="000526AB">
        <w:rPr>
          <w:lang w:eastAsia="ja-JP"/>
        </w:rPr>
        <w:t>1.8%</w:t>
      </w:r>
      <w:r w:rsidR="0091044A">
        <w:rPr>
          <w:lang w:eastAsia="ja-JP"/>
        </w:rPr>
        <w:t xml:space="preserve"> versus </w:t>
      </w:r>
      <w:r w:rsidRPr="000526AB">
        <w:rPr>
          <w:lang w:eastAsia="ja-JP"/>
        </w:rPr>
        <w:t>5.0%). Common categories (</w:t>
      </w:r>
      <w:r w:rsidR="00147E04">
        <w:rPr>
          <w:lang w:eastAsia="ja-JP"/>
        </w:rPr>
        <w:t>≥</w:t>
      </w:r>
      <w:r w:rsidRPr="000526AB">
        <w:rPr>
          <w:lang w:eastAsia="ja-JP"/>
        </w:rPr>
        <w:t xml:space="preserve"> 5%) ocular TEAEs of interest in subjects in the sham+VTE PRN group with an incidence of more than twice that in either of the other two groups (sham+VTE PRN</w:t>
      </w:r>
      <w:r w:rsidR="0091044A">
        <w:rPr>
          <w:lang w:eastAsia="ja-JP"/>
        </w:rPr>
        <w:t xml:space="preserve"> versus </w:t>
      </w:r>
      <w:r w:rsidRPr="000526AB">
        <w:rPr>
          <w:lang w:eastAsia="ja-JP"/>
        </w:rPr>
        <w:t>sham</w:t>
      </w:r>
      <w:r w:rsidR="0091044A">
        <w:rPr>
          <w:lang w:eastAsia="ja-JP"/>
        </w:rPr>
        <w:t xml:space="preserve"> versus </w:t>
      </w:r>
      <w:r w:rsidRPr="000526AB">
        <w:rPr>
          <w:lang w:eastAsia="ja-JP"/>
        </w:rPr>
        <w:t>VTE2Q4+PRN) included only subconjunctival/conjunctival haemorrhage (13.3%</w:t>
      </w:r>
      <w:r w:rsidR="0091044A">
        <w:rPr>
          <w:lang w:eastAsia="ja-JP"/>
        </w:rPr>
        <w:t xml:space="preserve"> versus</w:t>
      </w:r>
      <w:r w:rsidR="00301349">
        <w:rPr>
          <w:lang w:eastAsia="ja-JP"/>
        </w:rPr>
        <w:t xml:space="preserve"> </w:t>
      </w:r>
      <w:r w:rsidRPr="000526AB">
        <w:rPr>
          <w:lang w:eastAsia="ja-JP"/>
        </w:rPr>
        <w:t>0%</w:t>
      </w:r>
      <w:r w:rsidR="0091044A">
        <w:rPr>
          <w:lang w:eastAsia="ja-JP"/>
        </w:rPr>
        <w:t xml:space="preserve"> versus </w:t>
      </w:r>
      <w:r w:rsidRPr="000526AB">
        <w:rPr>
          <w:lang w:eastAsia="ja-JP"/>
        </w:rPr>
        <w:t>6.3%). There were no common categories (</w:t>
      </w:r>
      <w:r w:rsidR="00147E04">
        <w:rPr>
          <w:lang w:eastAsia="ja-JP"/>
        </w:rPr>
        <w:t>≥</w:t>
      </w:r>
      <w:r w:rsidRPr="000526AB">
        <w:rPr>
          <w:lang w:eastAsia="ja-JP"/>
        </w:rPr>
        <w:t xml:space="preserve"> 5%) of ocular TEAEs of interest in the sham group with an incidence of more than twice that in either of the two other groups (</w:t>
      </w:r>
      <w:r w:rsidR="00147E04">
        <w:rPr>
          <w:lang w:eastAsia="ja-JP"/>
        </w:rPr>
        <w:t>that is,</w:t>
      </w:r>
      <w:r w:rsidRPr="000526AB">
        <w:rPr>
          <w:lang w:eastAsia="ja-JP"/>
        </w:rPr>
        <w:t xml:space="preserve"> sham+VTE PRN and VTE2Q4+PRN). The incidence of new onset, elevated IOP requiring treatment was similar in the three treatment groups: sham, 2 subjects (3.5%); sham+VTE PRN, 2 subjects (3.3%); and</w:t>
      </w:r>
      <w:r w:rsidR="001E1176">
        <w:rPr>
          <w:lang w:eastAsia="ja-JP"/>
        </w:rPr>
        <w:t xml:space="preserve"> VTE2Q4+PRN, 8 subjects (3.9%).</w:t>
      </w:r>
    </w:p>
    <w:p w:rsidR="000526AB" w:rsidRPr="000526AB" w:rsidRDefault="000526AB" w:rsidP="001E1176">
      <w:pPr>
        <w:pStyle w:val="Heading6"/>
        <w:rPr>
          <w:lang w:eastAsia="ja-JP"/>
        </w:rPr>
      </w:pPr>
      <w:r w:rsidRPr="000526AB">
        <w:rPr>
          <w:lang w:eastAsia="ja-JP"/>
        </w:rPr>
        <w:t>Week 0 to</w:t>
      </w:r>
      <w:r w:rsidR="00300BDB">
        <w:rPr>
          <w:lang w:eastAsia="ja-JP"/>
        </w:rPr>
        <w:t xml:space="preserve"> Week 5</w:t>
      </w:r>
      <w:r w:rsidRPr="000526AB">
        <w:rPr>
          <w:lang w:eastAsia="ja-JP"/>
        </w:rPr>
        <w:t>2</w:t>
      </w:r>
    </w:p>
    <w:p w:rsidR="000526AB" w:rsidRPr="000526AB" w:rsidRDefault="000526AB" w:rsidP="001E1176">
      <w:pPr>
        <w:rPr>
          <w:lang w:eastAsia="ja-JP"/>
        </w:rPr>
      </w:pPr>
      <w:r w:rsidRPr="000526AB">
        <w:rPr>
          <w:lang w:eastAsia="ja-JP"/>
        </w:rPr>
        <w:t>The overall incidence of ocular TEAEs of interest in the study eye was higher in subjects in the sham+VTE PRN (35 [47.3%]) and VTE2Q4+PRN (90 [41.3%]) groups than in the sham group (25 [36.8%]). Common (</w:t>
      </w:r>
      <w:r w:rsidR="00147E04">
        <w:rPr>
          <w:lang w:eastAsia="ja-JP"/>
        </w:rPr>
        <w:t>≥</w:t>
      </w:r>
      <w:r w:rsidRPr="000526AB">
        <w:rPr>
          <w:lang w:eastAsia="ja-JP"/>
        </w:rPr>
        <w:t>5%) ocular TEAEs of interest in subjects in the VTE2Q4+PRN group were conjunctival haemorrhage (30 [13.8%]), eye pain (27</w:t>
      </w:r>
      <w:r w:rsidR="00301349">
        <w:rPr>
          <w:lang w:eastAsia="ja-JP"/>
        </w:rPr>
        <w:t xml:space="preserve"> </w:t>
      </w:r>
      <w:r w:rsidRPr="000526AB">
        <w:rPr>
          <w:lang w:eastAsia="ja-JP"/>
        </w:rPr>
        <w:t>[12.4%]), visual acuity reduced (32 [14.7%]), and IOP increased (16 [7.3%]). Common (</w:t>
      </w:r>
      <w:r w:rsidR="00C109EC">
        <w:rPr>
          <w:lang w:eastAsia="ja-JP"/>
        </w:rPr>
        <w:t>≥</w:t>
      </w:r>
      <w:r w:rsidRPr="000526AB">
        <w:rPr>
          <w:lang w:eastAsia="ja-JP"/>
        </w:rPr>
        <w:t xml:space="preserve"> 5%) ocular TEAEs of interest in subjects in the sham group were eye pain (4 [5.9%]) and visual acuity reduced (8 [11.8%]). Common (</w:t>
      </w:r>
      <w:r w:rsidR="00C109EC">
        <w:rPr>
          <w:lang w:eastAsia="ja-JP"/>
        </w:rPr>
        <w:t>≥</w:t>
      </w:r>
      <w:r w:rsidRPr="000526AB">
        <w:rPr>
          <w:lang w:eastAsia="ja-JP"/>
        </w:rPr>
        <w:t xml:space="preserve">5%) ocular TEAEs of interest in subjects in the sham+VTE PRN group were visual acuity reduced (16 [21.6%]), IOP increased (5 [6.8%]), eye pain (4 [5.4%]) and conjunctival haemorrhage (13 [17.6%]). The incidence of new onset elevated IOP requiring treatment was similar in subjects in the three treatment groups (sham, 4 [5.9%]; sham+VTE PRN, 5 </w:t>
      </w:r>
      <w:r w:rsidR="001E1176">
        <w:rPr>
          <w:lang w:eastAsia="ja-JP"/>
        </w:rPr>
        <w:t>[6.8%]; VTE2Q4+PRN, 10 [4.6%]).</w:t>
      </w:r>
    </w:p>
    <w:p w:rsidR="000526AB" w:rsidRPr="000526AB" w:rsidRDefault="000526AB" w:rsidP="001E1176">
      <w:pPr>
        <w:pStyle w:val="Heading5"/>
        <w:rPr>
          <w:lang w:eastAsia="ja-JP"/>
        </w:rPr>
      </w:pPr>
      <w:r w:rsidRPr="000526AB">
        <w:rPr>
          <w:lang w:eastAsia="ja-JP"/>
        </w:rPr>
        <w:t>Ocular TEAEs of interest in the fellow eyes</w:t>
      </w:r>
    </w:p>
    <w:p w:rsidR="000526AB" w:rsidRPr="000526AB" w:rsidRDefault="000526AB" w:rsidP="001E1176">
      <w:pPr>
        <w:rPr>
          <w:lang w:eastAsia="ja-JP"/>
        </w:rPr>
      </w:pPr>
      <w:r w:rsidRPr="000526AB">
        <w:rPr>
          <w:lang w:eastAsia="ja-JP"/>
        </w:rPr>
        <w:t>During the 52 weeks of the studies, ocular TEAEs (SAF) of interest in the fellow eye were reported in 2/68 subjects (2.9%) in the sham group, 2/74 subjects in the sham+VTE PRN group and 3/218 subjects (1.4%) in the VTE2Q4+PRN group. All ocular TEAEs of interest in the fellow eye in the three treatment groups were categorised as new onset el</w:t>
      </w:r>
      <w:r w:rsidR="001E1176">
        <w:rPr>
          <w:lang w:eastAsia="ja-JP"/>
        </w:rPr>
        <w:t>evated IOP requiring treatment.</w:t>
      </w:r>
    </w:p>
    <w:p w:rsidR="000526AB" w:rsidRPr="000526AB" w:rsidRDefault="00D74B64" w:rsidP="001E1176">
      <w:pPr>
        <w:pStyle w:val="Heading5"/>
        <w:rPr>
          <w:lang w:eastAsia="ja-JP"/>
        </w:rPr>
      </w:pPr>
      <w:r>
        <w:rPr>
          <w:lang w:eastAsia="ja-JP"/>
        </w:rPr>
        <w:t xml:space="preserve">Non-ocular </w:t>
      </w:r>
      <w:r w:rsidR="00972180">
        <w:rPr>
          <w:lang w:eastAsia="ja-JP"/>
        </w:rPr>
        <w:t>TEAEs of interest</w:t>
      </w:r>
    </w:p>
    <w:p w:rsidR="000526AB" w:rsidRPr="000526AB" w:rsidRDefault="000526AB" w:rsidP="001E1176">
      <w:pPr>
        <w:pStyle w:val="Heading6"/>
        <w:rPr>
          <w:lang w:eastAsia="ja-JP"/>
        </w:rPr>
      </w:pPr>
      <w:r w:rsidRPr="000526AB">
        <w:rPr>
          <w:lang w:eastAsia="ja-JP"/>
        </w:rPr>
        <w:t>Week 0 to</w:t>
      </w:r>
      <w:r w:rsidR="00300BDB">
        <w:rPr>
          <w:lang w:eastAsia="ja-JP"/>
        </w:rPr>
        <w:t xml:space="preserve"> Week 2</w:t>
      </w:r>
      <w:r w:rsidRPr="000526AB">
        <w:rPr>
          <w:lang w:eastAsia="ja-JP"/>
        </w:rPr>
        <w:t>4</w:t>
      </w:r>
    </w:p>
    <w:p w:rsidR="000526AB" w:rsidRPr="000526AB" w:rsidRDefault="00D74B64" w:rsidP="001E1176">
      <w:pPr>
        <w:rPr>
          <w:lang w:eastAsia="ja-JP"/>
        </w:rPr>
      </w:pPr>
      <w:r>
        <w:rPr>
          <w:lang w:eastAsia="ja-JP"/>
        </w:rPr>
        <w:t xml:space="preserve">Non-ocular </w:t>
      </w:r>
      <w:r w:rsidR="000526AB" w:rsidRPr="000526AB">
        <w:rPr>
          <w:lang w:eastAsia="ja-JP"/>
        </w:rPr>
        <w:t xml:space="preserve">TEAEs of interest with potential clinical significance are </w:t>
      </w:r>
      <w:r w:rsidR="00301349">
        <w:rPr>
          <w:lang w:eastAsia="ja-JP"/>
        </w:rPr>
        <w:t>summarised</w:t>
      </w:r>
      <w:r w:rsidR="000526AB" w:rsidRPr="000526AB">
        <w:rPr>
          <w:lang w:eastAsia="ja-JP"/>
        </w:rPr>
        <w:t xml:space="preserve"> below in Table </w:t>
      </w:r>
      <w:r w:rsidR="00C109EC">
        <w:rPr>
          <w:lang w:eastAsia="ja-JP"/>
        </w:rPr>
        <w:t>29</w:t>
      </w:r>
      <w:r w:rsidR="000526AB" w:rsidRPr="000526AB">
        <w:rPr>
          <w:lang w:eastAsia="ja-JP"/>
        </w:rPr>
        <w:t xml:space="preserve">. </w:t>
      </w:r>
      <w:r>
        <w:rPr>
          <w:lang w:eastAsia="ja-JP"/>
        </w:rPr>
        <w:t xml:space="preserve">Non-ocular </w:t>
      </w:r>
      <w:r w:rsidR="000526AB" w:rsidRPr="000526AB">
        <w:rPr>
          <w:lang w:eastAsia="ja-JP"/>
        </w:rPr>
        <w:t>TEAEs of interest occurred in the same proportion of subjects in the combined sham and combined VTE2Q4 groups (13 [9.2%]</w:t>
      </w:r>
      <w:r w:rsidR="0091044A">
        <w:rPr>
          <w:lang w:eastAsia="ja-JP"/>
        </w:rPr>
        <w:t xml:space="preserve"> versus </w:t>
      </w:r>
      <w:r w:rsidR="000526AB" w:rsidRPr="000526AB">
        <w:rPr>
          <w:lang w:eastAsia="ja-JP"/>
        </w:rPr>
        <w:t>20 [9.2%], respectively). The only notable difference between the two groups was the higher incidence of hypertension in the combined VTE2Q4 group compared with the combined sham group (6.4%</w:t>
      </w:r>
      <w:r w:rsidR="0091044A">
        <w:rPr>
          <w:lang w:eastAsia="ja-JP"/>
        </w:rPr>
        <w:t xml:space="preserve"> versus </w:t>
      </w:r>
      <w:r w:rsidR="000526AB" w:rsidRPr="000526AB">
        <w:rPr>
          <w:lang w:eastAsia="ja-JP"/>
        </w:rPr>
        <w:t xml:space="preserve">4.9%, respectively). The only other </w:t>
      </w:r>
      <w:r>
        <w:rPr>
          <w:lang w:eastAsia="ja-JP"/>
        </w:rPr>
        <w:t xml:space="preserve">non-ocular </w:t>
      </w:r>
      <w:r w:rsidR="000526AB" w:rsidRPr="000526AB">
        <w:rPr>
          <w:lang w:eastAsia="ja-JP"/>
        </w:rPr>
        <w:t xml:space="preserve">TEAE of interest reported in 2 or more subjects in the </w:t>
      </w:r>
      <w:r w:rsidR="000526AB" w:rsidRPr="000526AB">
        <w:rPr>
          <w:lang w:eastAsia="ja-JP"/>
        </w:rPr>
        <w:lastRenderedPageBreak/>
        <w:t>combined VTE2Q4 group was blood pressure increased (2 subjects, 0.9%) and this event occurred more frequently in the combined</w:t>
      </w:r>
      <w:r w:rsidR="001E1176">
        <w:rPr>
          <w:lang w:eastAsia="ja-JP"/>
        </w:rPr>
        <w:t xml:space="preserve"> sham group (2 subjects, 1.4%).</w:t>
      </w:r>
    </w:p>
    <w:p w:rsidR="000526AB" w:rsidRPr="000526AB" w:rsidRDefault="000526AB" w:rsidP="001E1176">
      <w:pPr>
        <w:pStyle w:val="TableTitle"/>
        <w:rPr>
          <w:lang w:eastAsia="ja-JP"/>
        </w:rPr>
      </w:pPr>
      <w:bookmarkStart w:id="146" w:name="_Toc221767082"/>
      <w:r w:rsidRPr="000526AB">
        <w:rPr>
          <w:lang w:eastAsia="ja-JP"/>
        </w:rPr>
        <w:t>Table</w:t>
      </w:r>
      <w:r w:rsidR="00C109EC">
        <w:rPr>
          <w:lang w:eastAsia="ja-JP"/>
        </w:rPr>
        <w:t xml:space="preserve"> 29</w:t>
      </w:r>
      <w:r w:rsidRPr="000526AB">
        <w:rPr>
          <w:lang w:eastAsia="ja-JP"/>
        </w:rPr>
        <w:t>: Integrated Analysis – Week 0 to</w:t>
      </w:r>
      <w:r w:rsidR="00300BDB">
        <w:rPr>
          <w:lang w:eastAsia="ja-JP"/>
        </w:rPr>
        <w:t xml:space="preserve"> Week 2</w:t>
      </w:r>
      <w:r w:rsidRPr="000526AB">
        <w:rPr>
          <w:lang w:eastAsia="ja-JP"/>
        </w:rPr>
        <w:t xml:space="preserve">4, </w:t>
      </w:r>
      <w:r w:rsidR="00D74B64">
        <w:rPr>
          <w:lang w:eastAsia="ja-JP"/>
        </w:rPr>
        <w:t xml:space="preserve">non-ocular </w:t>
      </w:r>
      <w:r w:rsidRPr="000526AB">
        <w:rPr>
          <w:lang w:eastAsia="ja-JP"/>
        </w:rPr>
        <w:t>TEAEs of interest; SAF.</w:t>
      </w:r>
      <w:bookmarkEnd w:id="146"/>
    </w:p>
    <w:p w:rsidR="000526AB" w:rsidRPr="000526AB" w:rsidRDefault="000526AB" w:rsidP="001E1176">
      <w:pPr>
        <w:rPr>
          <w:lang w:eastAsia="ja-JP"/>
        </w:rPr>
      </w:pPr>
      <w:r w:rsidRPr="000526AB">
        <w:rPr>
          <w:noProof/>
          <w:lang w:eastAsia="en-AU"/>
        </w:rPr>
        <w:drawing>
          <wp:inline distT="0" distB="0" distL="0" distR="0" wp14:anchorId="03F05CDC" wp14:editId="37271E97">
            <wp:extent cx="5161280" cy="4155440"/>
            <wp:effectExtent l="19050" t="0" r="1270" b="0"/>
            <wp:docPr id="63" name="Picture 6" descr="Table 29: Integrated Analysis – Week 0 to Week 24, non-ocular TEAEs of interest; S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161280" cy="4155440"/>
                    </a:xfrm>
                    <a:prstGeom prst="rect">
                      <a:avLst/>
                    </a:prstGeom>
                    <a:noFill/>
                    <a:ln w="9525">
                      <a:noFill/>
                      <a:miter lim="800000"/>
                      <a:headEnd/>
                      <a:tailEnd/>
                    </a:ln>
                  </pic:spPr>
                </pic:pic>
              </a:graphicData>
            </a:graphic>
          </wp:inline>
        </w:drawing>
      </w:r>
    </w:p>
    <w:p w:rsidR="000526AB" w:rsidRPr="000526AB" w:rsidRDefault="000526AB" w:rsidP="001E1176">
      <w:pPr>
        <w:pStyle w:val="Heading6"/>
        <w:rPr>
          <w:lang w:eastAsia="ja-JP"/>
        </w:rPr>
      </w:pPr>
      <w:r w:rsidRPr="000526AB">
        <w:rPr>
          <w:lang w:eastAsia="ja-JP"/>
        </w:rPr>
        <w:t>Week 24 to</w:t>
      </w:r>
      <w:r w:rsidR="00300BDB">
        <w:rPr>
          <w:lang w:eastAsia="ja-JP"/>
        </w:rPr>
        <w:t xml:space="preserve"> Week 5</w:t>
      </w:r>
      <w:r w:rsidRPr="000526AB">
        <w:rPr>
          <w:lang w:eastAsia="ja-JP"/>
        </w:rPr>
        <w:t>2</w:t>
      </w:r>
    </w:p>
    <w:p w:rsidR="000526AB" w:rsidRPr="000526AB" w:rsidRDefault="00D74B64" w:rsidP="001E1176">
      <w:pPr>
        <w:rPr>
          <w:lang w:eastAsia="ja-JP"/>
        </w:rPr>
      </w:pPr>
      <w:r>
        <w:rPr>
          <w:lang w:eastAsia="ja-JP"/>
        </w:rPr>
        <w:t xml:space="preserve">Non-ocular </w:t>
      </w:r>
      <w:r w:rsidR="000526AB" w:rsidRPr="000526AB">
        <w:rPr>
          <w:lang w:eastAsia="ja-JP"/>
        </w:rPr>
        <w:t>TEAEs of interest in subjects who completed</w:t>
      </w:r>
      <w:r w:rsidR="00300BDB">
        <w:rPr>
          <w:lang w:eastAsia="ja-JP"/>
        </w:rPr>
        <w:t xml:space="preserve"> Week 2</w:t>
      </w:r>
      <w:r w:rsidR="000526AB" w:rsidRPr="000526AB">
        <w:rPr>
          <w:lang w:eastAsia="ja-JP"/>
        </w:rPr>
        <w:t xml:space="preserve">4 are </w:t>
      </w:r>
      <w:r w:rsidR="00301349">
        <w:rPr>
          <w:lang w:eastAsia="ja-JP"/>
        </w:rPr>
        <w:t>summarised</w:t>
      </w:r>
      <w:r w:rsidR="000526AB" w:rsidRPr="000526AB">
        <w:rPr>
          <w:lang w:eastAsia="ja-JP"/>
        </w:rPr>
        <w:t xml:space="preserve"> below in Table 3</w:t>
      </w:r>
      <w:r w:rsidR="00C109EC">
        <w:rPr>
          <w:lang w:eastAsia="ja-JP"/>
        </w:rPr>
        <w:t>0</w:t>
      </w:r>
      <w:r w:rsidR="000526AB" w:rsidRPr="000526AB">
        <w:rPr>
          <w:lang w:eastAsia="ja-JP"/>
        </w:rPr>
        <w:t xml:space="preserve">. The incidence of </w:t>
      </w:r>
      <w:r>
        <w:rPr>
          <w:lang w:eastAsia="ja-JP"/>
        </w:rPr>
        <w:t xml:space="preserve">non-ocular </w:t>
      </w:r>
      <w:r w:rsidR="000526AB" w:rsidRPr="000526AB">
        <w:rPr>
          <w:lang w:eastAsia="ja-JP"/>
        </w:rPr>
        <w:t>TEAEs of interest was higher in subjects in the sham+VTE PRN group than in both the sham and VTE2Q4+PRN groups (13.3%</w:t>
      </w:r>
      <w:r w:rsidR="0091044A">
        <w:rPr>
          <w:lang w:eastAsia="ja-JP"/>
        </w:rPr>
        <w:t xml:space="preserve"> versus </w:t>
      </w:r>
      <w:r w:rsidR="000526AB" w:rsidRPr="000526AB">
        <w:rPr>
          <w:lang w:eastAsia="ja-JP"/>
        </w:rPr>
        <w:t>8.8%</w:t>
      </w:r>
      <w:r w:rsidR="0091044A">
        <w:rPr>
          <w:lang w:eastAsia="ja-JP"/>
        </w:rPr>
        <w:t xml:space="preserve"> versus </w:t>
      </w:r>
      <w:r w:rsidR="000526AB" w:rsidRPr="000526AB">
        <w:rPr>
          <w:lang w:eastAsia="ja-JP"/>
        </w:rPr>
        <w:t>7.2%, respectively).</w:t>
      </w:r>
      <w:r w:rsidR="00301349">
        <w:rPr>
          <w:lang w:eastAsia="ja-JP"/>
        </w:rPr>
        <w:t xml:space="preserve"> </w:t>
      </w:r>
      <w:r w:rsidR="000526AB" w:rsidRPr="000526AB">
        <w:rPr>
          <w:lang w:eastAsia="ja-JP"/>
        </w:rPr>
        <w:t xml:space="preserve">The only </w:t>
      </w:r>
      <w:r>
        <w:rPr>
          <w:lang w:eastAsia="ja-JP"/>
        </w:rPr>
        <w:t xml:space="preserve">non-ocular </w:t>
      </w:r>
      <w:r w:rsidR="000526AB" w:rsidRPr="000526AB">
        <w:rPr>
          <w:lang w:eastAsia="ja-JP"/>
        </w:rPr>
        <w:t>TEAEs of interest occurring in more than two subjects were hypertension (4 subjects [7.0%], sham; 3 subjects [5.0%], sham+VTE PRN; 11 subjects [5.3%], VTE2Q4 PRN), and blood pressure systolic increased (3 subjects [5.0%], sham+VTE PRN; 1 subject [0.5%], VTE2</w:t>
      </w:r>
      <w:r w:rsidR="001E1176">
        <w:rPr>
          <w:lang w:eastAsia="ja-JP"/>
        </w:rPr>
        <w:t>Q4+PRN).</w:t>
      </w:r>
    </w:p>
    <w:p w:rsidR="000526AB" w:rsidRPr="000526AB" w:rsidRDefault="000526AB" w:rsidP="001E1176">
      <w:pPr>
        <w:pStyle w:val="TableTitle"/>
        <w:rPr>
          <w:lang w:eastAsia="ja-JP"/>
        </w:rPr>
      </w:pPr>
      <w:bookmarkStart w:id="147" w:name="_Toc221767083"/>
      <w:r w:rsidRPr="000526AB">
        <w:rPr>
          <w:lang w:eastAsia="ja-JP"/>
        </w:rPr>
        <w:lastRenderedPageBreak/>
        <w:t>Table</w:t>
      </w:r>
      <w:r w:rsidR="00C109EC">
        <w:rPr>
          <w:lang w:eastAsia="ja-JP"/>
        </w:rPr>
        <w:t xml:space="preserve"> 30</w:t>
      </w:r>
      <w:r w:rsidRPr="000526AB">
        <w:rPr>
          <w:lang w:eastAsia="ja-JP"/>
        </w:rPr>
        <w:t>: Integrated Analysis –</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 xml:space="preserve">2, </w:t>
      </w:r>
      <w:r w:rsidR="00D74B64">
        <w:rPr>
          <w:lang w:eastAsia="ja-JP"/>
        </w:rPr>
        <w:t xml:space="preserve">non-ocular </w:t>
      </w:r>
      <w:r w:rsidRPr="000526AB">
        <w:rPr>
          <w:lang w:eastAsia="ja-JP"/>
        </w:rPr>
        <w:t>TEAEs of interest;</w:t>
      </w:r>
      <w:r w:rsidR="00300BDB">
        <w:rPr>
          <w:lang w:eastAsia="ja-JP"/>
        </w:rPr>
        <w:t xml:space="preserve"> Week 2</w:t>
      </w:r>
      <w:r w:rsidRPr="000526AB">
        <w:rPr>
          <w:lang w:eastAsia="ja-JP"/>
        </w:rPr>
        <w:t>4 completers.</w:t>
      </w:r>
      <w:bookmarkEnd w:id="147"/>
    </w:p>
    <w:p w:rsidR="000526AB" w:rsidRPr="000526AB" w:rsidRDefault="000526AB" w:rsidP="001E1176">
      <w:pPr>
        <w:rPr>
          <w:lang w:eastAsia="ja-JP"/>
        </w:rPr>
      </w:pPr>
      <w:r w:rsidRPr="000526AB">
        <w:rPr>
          <w:noProof/>
          <w:lang w:eastAsia="en-AU"/>
        </w:rPr>
        <w:drawing>
          <wp:inline distT="0" distB="0" distL="0" distR="0" wp14:anchorId="72CD694F" wp14:editId="4D4DEF77">
            <wp:extent cx="4876800" cy="3210560"/>
            <wp:effectExtent l="19050" t="0" r="0" b="0"/>
            <wp:docPr id="64" name="Picture 7" descr="Table 30: Integrated Analysis – Week 24 to Week 52, non-ocular TEAEs of interest; Week 24 compl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876800" cy="3210560"/>
                    </a:xfrm>
                    <a:prstGeom prst="rect">
                      <a:avLst/>
                    </a:prstGeom>
                    <a:noFill/>
                    <a:ln w="9525">
                      <a:noFill/>
                      <a:miter lim="800000"/>
                      <a:headEnd/>
                      <a:tailEnd/>
                    </a:ln>
                  </pic:spPr>
                </pic:pic>
              </a:graphicData>
            </a:graphic>
          </wp:inline>
        </w:drawing>
      </w:r>
    </w:p>
    <w:p w:rsidR="000526AB" w:rsidRPr="000526AB" w:rsidRDefault="000526AB" w:rsidP="001E1176">
      <w:pPr>
        <w:pStyle w:val="Heading6"/>
        <w:rPr>
          <w:lang w:eastAsia="ja-JP"/>
        </w:rPr>
      </w:pPr>
      <w:r w:rsidRPr="000526AB">
        <w:rPr>
          <w:lang w:eastAsia="ja-JP"/>
        </w:rPr>
        <w:t>Week 0 to</w:t>
      </w:r>
      <w:r w:rsidR="00300BDB">
        <w:rPr>
          <w:lang w:eastAsia="ja-JP"/>
        </w:rPr>
        <w:t xml:space="preserve"> Week 5</w:t>
      </w:r>
      <w:r w:rsidRPr="000526AB">
        <w:rPr>
          <w:lang w:eastAsia="ja-JP"/>
        </w:rPr>
        <w:t>2</w:t>
      </w:r>
    </w:p>
    <w:p w:rsidR="000526AB" w:rsidRPr="000526AB" w:rsidRDefault="000526AB" w:rsidP="00923B8D">
      <w:pPr>
        <w:rPr>
          <w:lang w:eastAsia="ja-JP"/>
        </w:rPr>
      </w:pPr>
      <w:r w:rsidRPr="000526AB">
        <w:rPr>
          <w:lang w:eastAsia="ja-JP"/>
        </w:rPr>
        <w:t xml:space="preserve">The overall incidence of </w:t>
      </w:r>
      <w:r w:rsidR="00D74B64">
        <w:rPr>
          <w:lang w:eastAsia="ja-JP"/>
        </w:rPr>
        <w:t xml:space="preserve">non-ocular </w:t>
      </w:r>
      <w:r w:rsidRPr="000526AB">
        <w:rPr>
          <w:lang w:eastAsia="ja-JP"/>
        </w:rPr>
        <w:t xml:space="preserve">TEAEs of interest was higher in subjects in the sham+VTE PRN group (16 [21.6%]) than in both the sham (7 [10.3%]) and VTE2Q4+PRN (32 [14.7%]) groups. </w:t>
      </w:r>
      <w:r w:rsidR="00D74B64">
        <w:rPr>
          <w:lang w:eastAsia="ja-JP"/>
        </w:rPr>
        <w:t xml:space="preserve">Non-ocular </w:t>
      </w:r>
      <w:r w:rsidRPr="000526AB">
        <w:rPr>
          <w:lang w:eastAsia="ja-JP"/>
        </w:rPr>
        <w:t xml:space="preserve">TEAEs of interest occurring in more than two subjects were: hypertension (6 subjects [8.8%], sham; 7 subjects [9.5%], sham+VTE PRN; 24 subjects [11.0%], VTE2Q4+PRN); epistaxis (3 subjects [1.4%], VTE2Q4+PRN); blood pressure systolic increased (3 subjects [4.1%], sham+VTE PRN; 1 subject [0.5%], VTE2Q4+PRN); and blood pressure increased (3 subjects [4.1%], sham+VTE PRN; </w:t>
      </w:r>
      <w:r w:rsidR="00923B8D">
        <w:rPr>
          <w:lang w:eastAsia="ja-JP"/>
        </w:rPr>
        <w:t>2 subjects [0.9%], VTE2Q4+PRN).</w:t>
      </w:r>
    </w:p>
    <w:p w:rsidR="000526AB" w:rsidRPr="000526AB" w:rsidRDefault="000526AB" w:rsidP="00923B8D">
      <w:pPr>
        <w:pStyle w:val="Heading4"/>
      </w:pPr>
      <w:bookmarkStart w:id="148" w:name="_Toc221697306"/>
      <w:r w:rsidRPr="000526AB">
        <w:t xml:space="preserve">Serious ocular (study eye) and serious </w:t>
      </w:r>
      <w:r w:rsidR="00D74B64">
        <w:t xml:space="preserve">non-ocular </w:t>
      </w:r>
      <w:r w:rsidRPr="000526AB">
        <w:t>TEAEs of interest</w:t>
      </w:r>
      <w:bookmarkEnd w:id="148"/>
    </w:p>
    <w:p w:rsidR="000526AB" w:rsidRPr="000526AB" w:rsidRDefault="000526AB" w:rsidP="00923B8D">
      <w:pPr>
        <w:pStyle w:val="Heading5"/>
        <w:rPr>
          <w:lang w:eastAsia="ja-JP"/>
        </w:rPr>
      </w:pPr>
      <w:r w:rsidRPr="000526AB">
        <w:rPr>
          <w:lang w:eastAsia="ja-JP"/>
        </w:rPr>
        <w:t>Week 0 to</w:t>
      </w:r>
      <w:r w:rsidR="00300BDB">
        <w:rPr>
          <w:lang w:eastAsia="ja-JP"/>
        </w:rPr>
        <w:t xml:space="preserve"> Week 2</w:t>
      </w:r>
      <w:r w:rsidR="00923B8D">
        <w:rPr>
          <w:lang w:eastAsia="ja-JP"/>
        </w:rPr>
        <w:t>4 (SAF)</w:t>
      </w:r>
    </w:p>
    <w:p w:rsidR="000526AB" w:rsidRPr="000526AB" w:rsidRDefault="000526AB" w:rsidP="00923B8D">
      <w:pPr>
        <w:rPr>
          <w:lang w:eastAsia="ja-JP"/>
        </w:rPr>
      </w:pPr>
      <w:r w:rsidRPr="000526AB">
        <w:rPr>
          <w:lang w:eastAsia="ja-JP"/>
        </w:rPr>
        <w:t>There were 2/218 subjects (0.9%) in the combined VTE2Q4 group with serious TEAEs of interest (1 subject with systemic reaction [circulatory collapse] related to immunogenicity; 1 subject with endophthalmitis due to IVT injection procedure). However, the event of circulatory collapse could not have been due to immunogenicity as the subject had ADA negative results at all time points but may have been due to underlying cardiovascular conditions. In the combined sham group there were 5/142 subjects (3.5%) with serious TEAEs of special interest: 2 (1.4%) with visual acuity reduced; and 1 (0.7%) each with vitreous haemorrhage, acute MI, and carotid artery stenosis.</w:t>
      </w:r>
    </w:p>
    <w:p w:rsidR="000526AB" w:rsidRPr="000526AB" w:rsidRDefault="000526AB" w:rsidP="00923B8D">
      <w:pPr>
        <w:pStyle w:val="Heading5"/>
        <w:rPr>
          <w:lang w:eastAsia="ja-JP"/>
        </w:rPr>
      </w:pPr>
      <w:r w:rsidRPr="000526AB">
        <w:rPr>
          <w:lang w:eastAsia="ja-JP"/>
        </w:rPr>
        <w:t>Week 24 to</w:t>
      </w:r>
      <w:r w:rsidR="00300BDB">
        <w:rPr>
          <w:lang w:eastAsia="ja-JP"/>
        </w:rPr>
        <w:t xml:space="preserve"> Week 5</w:t>
      </w:r>
      <w:r w:rsidR="00923B8D">
        <w:rPr>
          <w:lang w:eastAsia="ja-JP"/>
        </w:rPr>
        <w:t>2</w:t>
      </w:r>
    </w:p>
    <w:p w:rsidR="000526AB" w:rsidRPr="000526AB" w:rsidRDefault="000526AB" w:rsidP="00923B8D">
      <w:pPr>
        <w:rPr>
          <w:lang w:eastAsia="ja-JP"/>
        </w:rPr>
      </w:pPr>
      <w:r w:rsidRPr="000526AB">
        <w:rPr>
          <w:lang w:eastAsia="ja-JP"/>
        </w:rPr>
        <w:t>In subjects who completed</w:t>
      </w:r>
      <w:r w:rsidR="00300BDB">
        <w:rPr>
          <w:lang w:eastAsia="ja-JP"/>
        </w:rPr>
        <w:t xml:space="preserve"> Week 2</w:t>
      </w:r>
      <w:r w:rsidRPr="000526AB">
        <w:rPr>
          <w:lang w:eastAsia="ja-JP"/>
        </w:rPr>
        <w:t xml:space="preserve">4, there were 2/207 (1.0%) subjects in the VTE2Q4+PRN group with serious TEAEs of interest (1 with MI and 1 with visual acuity reduced). There was 1/57 (1.8%) subjects in the sham group with a serious TEAE of interest (transient ischaemic attack), and no (0/60) subjects in the sham+VTE PRN group </w:t>
      </w:r>
      <w:r w:rsidR="00923B8D">
        <w:rPr>
          <w:lang w:eastAsia="ja-JP"/>
        </w:rPr>
        <w:t>with serious TEAEs of interest.</w:t>
      </w:r>
    </w:p>
    <w:p w:rsidR="000526AB" w:rsidRPr="000526AB" w:rsidRDefault="000526AB" w:rsidP="00923B8D">
      <w:pPr>
        <w:pStyle w:val="Heading5"/>
        <w:rPr>
          <w:lang w:eastAsia="ja-JP"/>
        </w:rPr>
      </w:pPr>
      <w:r w:rsidRPr="000526AB">
        <w:rPr>
          <w:lang w:eastAsia="ja-JP"/>
        </w:rPr>
        <w:t>Week 0 to</w:t>
      </w:r>
      <w:r w:rsidR="00300BDB">
        <w:rPr>
          <w:lang w:eastAsia="ja-JP"/>
        </w:rPr>
        <w:t xml:space="preserve"> Week 5</w:t>
      </w:r>
      <w:r w:rsidRPr="000526AB">
        <w:rPr>
          <w:lang w:eastAsia="ja-JP"/>
        </w:rPr>
        <w:t xml:space="preserve">2 </w:t>
      </w:r>
    </w:p>
    <w:p w:rsidR="000526AB" w:rsidRPr="000526AB" w:rsidRDefault="000526AB" w:rsidP="00923B8D">
      <w:pPr>
        <w:rPr>
          <w:lang w:eastAsia="ja-JP"/>
        </w:rPr>
      </w:pPr>
      <w:r w:rsidRPr="000526AB">
        <w:rPr>
          <w:lang w:eastAsia="ja-JP"/>
        </w:rPr>
        <w:t xml:space="preserve">Serious ocular (study eye) or </w:t>
      </w:r>
      <w:r w:rsidR="00D74B64">
        <w:rPr>
          <w:lang w:eastAsia="ja-JP"/>
        </w:rPr>
        <w:t xml:space="preserve">non-ocular </w:t>
      </w:r>
      <w:r w:rsidRPr="000526AB">
        <w:rPr>
          <w:lang w:eastAsia="ja-JP"/>
        </w:rPr>
        <w:t xml:space="preserve">TEAEs were reported in: 4/218 (1.8%) subjects in the VTE2Q4+PRN group (1 [0.5%] for each of MI, circulatory collapse, visual acuity reduced, or endophthalmitis due to IVT injection procedure); 3/68 (4.4%) subjects in the sham group (1 </w:t>
      </w:r>
      <w:r w:rsidRPr="000526AB">
        <w:rPr>
          <w:lang w:eastAsia="ja-JP"/>
        </w:rPr>
        <w:lastRenderedPageBreak/>
        <w:t>[1.5%] for each of transient ischaemic attack, visual acuity reduced, or vitreous haemorrhage); 3/74 (4.1%) subjects in the sham+VTE PRN group (1 [1.4%] for each of acute MI</w:t>
      </w:r>
      <w:r w:rsidR="00923B8D">
        <w:rPr>
          <w:lang w:eastAsia="ja-JP"/>
        </w:rPr>
        <w:t>, MI or reduced visual acuity).</w:t>
      </w:r>
    </w:p>
    <w:p w:rsidR="000526AB" w:rsidRPr="000526AB" w:rsidRDefault="000526AB" w:rsidP="00923B8D">
      <w:pPr>
        <w:pStyle w:val="Heading3"/>
      </w:pPr>
      <w:bookmarkStart w:id="149" w:name="_Toc221697307"/>
      <w:bookmarkStart w:id="150" w:name="_Toc396651359"/>
      <w:r w:rsidRPr="000526AB">
        <w:t>Laboratory tests</w:t>
      </w:r>
      <w:bookmarkEnd w:id="149"/>
      <w:bookmarkEnd w:id="150"/>
    </w:p>
    <w:p w:rsidR="000526AB" w:rsidRPr="000526AB" w:rsidRDefault="000526AB" w:rsidP="00923B8D">
      <w:pPr>
        <w:pStyle w:val="Heading4"/>
      </w:pPr>
      <w:bookmarkStart w:id="151" w:name="_Toc221697308"/>
      <w:r w:rsidRPr="000526AB">
        <w:t>Haematology</w:t>
      </w:r>
      <w:bookmarkEnd w:id="151"/>
    </w:p>
    <w:p w:rsidR="000526AB" w:rsidRPr="000526AB" w:rsidRDefault="000526AB" w:rsidP="00923B8D">
      <w:pPr>
        <w:rPr>
          <w:lang w:eastAsia="ja-JP"/>
        </w:rPr>
      </w:pPr>
      <w:r w:rsidRPr="000526AB">
        <w:rPr>
          <w:lang w:eastAsia="ja-JP"/>
        </w:rPr>
        <w:t>There were no obvious trends in mean or median haematology values measured from baseline to</w:t>
      </w:r>
      <w:r w:rsidR="00300BDB">
        <w:rPr>
          <w:lang w:eastAsia="ja-JP"/>
        </w:rPr>
        <w:t xml:space="preserve"> Week 2</w:t>
      </w:r>
      <w:r w:rsidRPr="000526AB">
        <w:rPr>
          <w:lang w:eastAsia="ja-JP"/>
        </w:rPr>
        <w:t>4 in either the combined sham group or the combined VTE2Q4 group, and from baseline to</w:t>
      </w:r>
      <w:r w:rsidR="00300BDB">
        <w:rPr>
          <w:lang w:eastAsia="ja-JP"/>
        </w:rPr>
        <w:t xml:space="preserve"> Week 5</w:t>
      </w:r>
      <w:r w:rsidRPr="000526AB">
        <w:rPr>
          <w:lang w:eastAsia="ja-JP"/>
        </w:rPr>
        <w:t xml:space="preserve">2 in the sham, sham+VTE PRN, or VTE2Q4+PRN groups. The majority of subjects with haematology values (haematocrit, haemoglobin, </w:t>
      </w:r>
      <w:r w:rsidR="00C109EC">
        <w:rPr>
          <w:lang w:eastAsia="ja-JP"/>
        </w:rPr>
        <w:t>red blood cell counts (</w:t>
      </w:r>
      <w:r w:rsidRPr="000526AB">
        <w:rPr>
          <w:lang w:eastAsia="ja-JP"/>
        </w:rPr>
        <w:t>RBC</w:t>
      </w:r>
      <w:r w:rsidR="00C109EC">
        <w:rPr>
          <w:lang w:eastAsia="ja-JP"/>
        </w:rPr>
        <w:t>)</w:t>
      </w:r>
      <w:r w:rsidRPr="000526AB">
        <w:rPr>
          <w:lang w:eastAsia="ja-JP"/>
        </w:rPr>
        <w:t xml:space="preserve">, </w:t>
      </w:r>
      <w:r w:rsidR="00C109EC" w:rsidRPr="00C109EC">
        <w:rPr>
          <w:bCs/>
          <w:lang w:eastAsia="ja-JP"/>
        </w:rPr>
        <w:t>Mean Corpuscular Volume</w:t>
      </w:r>
      <w:r w:rsidR="00C109EC" w:rsidRPr="00C109EC">
        <w:rPr>
          <w:lang w:eastAsia="ja-JP"/>
        </w:rPr>
        <w:t xml:space="preserve"> (</w:t>
      </w:r>
      <w:r w:rsidRPr="00C109EC">
        <w:rPr>
          <w:lang w:eastAsia="ja-JP"/>
        </w:rPr>
        <w:t>MCV</w:t>
      </w:r>
      <w:r w:rsidR="00C109EC" w:rsidRPr="00C109EC">
        <w:rPr>
          <w:lang w:eastAsia="ja-JP"/>
        </w:rPr>
        <w:t>)</w:t>
      </w:r>
      <w:r w:rsidRPr="00C109EC">
        <w:rPr>
          <w:lang w:eastAsia="ja-JP"/>
        </w:rPr>
        <w:t xml:space="preserve">, </w:t>
      </w:r>
      <w:r w:rsidR="00C109EC" w:rsidRPr="00C109EC">
        <w:rPr>
          <w:bCs/>
          <w:lang w:eastAsia="ja-JP"/>
        </w:rPr>
        <w:t xml:space="preserve">Mean Corpuscular </w:t>
      </w:r>
      <w:r w:rsidR="00C109EC">
        <w:rPr>
          <w:bCs/>
          <w:lang w:eastAsia="ja-JP"/>
        </w:rPr>
        <w:t>H</w:t>
      </w:r>
      <w:r w:rsidR="00C109EC" w:rsidRPr="00C109EC">
        <w:rPr>
          <w:bCs/>
          <w:lang w:eastAsia="ja-JP"/>
        </w:rPr>
        <w:t>aemoglobin (</w:t>
      </w:r>
      <w:r w:rsidRPr="00C109EC">
        <w:rPr>
          <w:lang w:eastAsia="ja-JP"/>
        </w:rPr>
        <w:t>MCH</w:t>
      </w:r>
      <w:r w:rsidR="00C109EC" w:rsidRPr="00C109EC">
        <w:rPr>
          <w:lang w:eastAsia="ja-JP"/>
        </w:rPr>
        <w:t>)</w:t>
      </w:r>
      <w:r w:rsidRPr="00C109EC">
        <w:rPr>
          <w:lang w:eastAsia="ja-JP"/>
        </w:rPr>
        <w:t xml:space="preserve"> and </w:t>
      </w:r>
      <w:r w:rsidR="00C109EC" w:rsidRPr="00C109EC">
        <w:rPr>
          <w:bCs/>
          <w:lang w:eastAsia="ja-JP"/>
        </w:rPr>
        <w:t>Mean Corpuscular H</w:t>
      </w:r>
      <w:r w:rsidR="00C109EC">
        <w:rPr>
          <w:bCs/>
          <w:lang w:eastAsia="ja-JP"/>
        </w:rPr>
        <w:t>a</w:t>
      </w:r>
      <w:r w:rsidR="00C109EC" w:rsidRPr="00C109EC">
        <w:rPr>
          <w:bCs/>
          <w:lang w:eastAsia="ja-JP"/>
        </w:rPr>
        <w:t>emoglobin concentration</w:t>
      </w:r>
      <w:r w:rsidR="00C109EC" w:rsidRPr="00C109EC">
        <w:rPr>
          <w:lang w:eastAsia="ja-JP"/>
        </w:rPr>
        <w:t xml:space="preserve"> (</w:t>
      </w:r>
      <w:r w:rsidRPr="00C109EC">
        <w:rPr>
          <w:lang w:eastAsia="ja-JP"/>
        </w:rPr>
        <w:t>MCHC</w:t>
      </w:r>
      <w:r w:rsidR="00C109EC">
        <w:rPr>
          <w:lang w:eastAsia="ja-JP"/>
        </w:rPr>
        <w:t>)) had normal values at W</w:t>
      </w:r>
      <w:r w:rsidRPr="000526AB">
        <w:rPr>
          <w:lang w:eastAsia="ja-JP"/>
        </w:rPr>
        <w:t xml:space="preserve">eeks 12, 24, 36 and 52. The percentage of subjects with individual haematology variables that shifted from normal at baseline to abnormal at </w:t>
      </w:r>
      <w:r w:rsidR="00C109EC">
        <w:rPr>
          <w:lang w:eastAsia="ja-JP"/>
        </w:rPr>
        <w:t>W</w:t>
      </w:r>
      <w:r w:rsidRPr="000526AB">
        <w:rPr>
          <w:lang w:eastAsia="ja-JP"/>
        </w:rPr>
        <w:t>eeks 12, 24, 32 or 52 was similar for the treatment groups. There were no significant differences in pre-defined clinically meaningful haematology laboratory</w:t>
      </w:r>
      <w:r w:rsidR="00301349">
        <w:rPr>
          <w:lang w:eastAsia="ja-JP"/>
        </w:rPr>
        <w:t xml:space="preserve"> </w:t>
      </w:r>
      <w:r w:rsidRPr="000526AB">
        <w:rPr>
          <w:lang w:eastAsia="ja-JP"/>
        </w:rPr>
        <w:t>abnormalities at</w:t>
      </w:r>
      <w:r w:rsidR="00300BDB">
        <w:rPr>
          <w:lang w:eastAsia="ja-JP"/>
        </w:rPr>
        <w:t xml:space="preserve"> Week 2</w:t>
      </w:r>
      <w:r w:rsidRPr="000526AB">
        <w:rPr>
          <w:lang w:eastAsia="ja-JP"/>
        </w:rPr>
        <w:t>4 between the combined sham and the combined VTE2Q4 groups or at</w:t>
      </w:r>
      <w:r w:rsidR="00300BDB">
        <w:rPr>
          <w:lang w:eastAsia="ja-JP"/>
        </w:rPr>
        <w:t xml:space="preserve"> Week 5</w:t>
      </w:r>
      <w:r w:rsidRPr="000526AB">
        <w:rPr>
          <w:lang w:eastAsia="ja-JP"/>
        </w:rPr>
        <w:t>2 across the sham, sham+VTE PRN, and</w:t>
      </w:r>
      <w:r w:rsidR="00301349">
        <w:rPr>
          <w:lang w:eastAsia="ja-JP"/>
        </w:rPr>
        <w:t xml:space="preserve"> </w:t>
      </w:r>
      <w:r w:rsidR="00923B8D">
        <w:rPr>
          <w:lang w:eastAsia="ja-JP"/>
        </w:rPr>
        <w:t>VTE2Q4+PRN groups.</w:t>
      </w:r>
    </w:p>
    <w:p w:rsidR="000526AB" w:rsidRPr="000526AB" w:rsidRDefault="000526AB" w:rsidP="00923B8D">
      <w:pPr>
        <w:pStyle w:val="Heading4"/>
      </w:pPr>
      <w:bookmarkStart w:id="152" w:name="_Toc221697309"/>
      <w:r w:rsidRPr="000526AB">
        <w:t>Clinical chemistry</w:t>
      </w:r>
      <w:bookmarkEnd w:id="152"/>
    </w:p>
    <w:p w:rsidR="000526AB" w:rsidRPr="000526AB" w:rsidRDefault="000526AB" w:rsidP="00923B8D">
      <w:pPr>
        <w:rPr>
          <w:lang w:eastAsia="ja-JP"/>
        </w:rPr>
      </w:pPr>
      <w:r w:rsidRPr="000526AB">
        <w:rPr>
          <w:lang w:eastAsia="ja-JP"/>
        </w:rPr>
        <w:t>There were no trends in mean or median clinical chemistry values measured from baseline to</w:t>
      </w:r>
      <w:r w:rsidR="00300BDB">
        <w:rPr>
          <w:lang w:eastAsia="ja-JP"/>
        </w:rPr>
        <w:t xml:space="preserve"> Week 2</w:t>
      </w:r>
      <w:r w:rsidRPr="000526AB">
        <w:rPr>
          <w:lang w:eastAsia="ja-JP"/>
        </w:rPr>
        <w:t>4 in either the combined sham group or the combined VTE2Q4 group and from baseline to</w:t>
      </w:r>
      <w:r w:rsidR="00300BDB">
        <w:rPr>
          <w:lang w:eastAsia="ja-JP"/>
        </w:rPr>
        <w:t xml:space="preserve"> Week 5</w:t>
      </w:r>
      <w:r w:rsidRPr="000526AB">
        <w:rPr>
          <w:lang w:eastAsia="ja-JP"/>
        </w:rPr>
        <w:t>2 in the sham, sham+VTE PRN, or VTE2Q4+PRN groups. The majority of subjects (</w:t>
      </w:r>
      <w:r w:rsidR="00C109EC">
        <w:rPr>
          <w:lang w:eastAsia="ja-JP"/>
        </w:rPr>
        <w:t>≥ </w:t>
      </w:r>
      <w:r w:rsidRPr="000526AB">
        <w:rPr>
          <w:lang w:eastAsia="ja-JP"/>
        </w:rPr>
        <w:t xml:space="preserve">70 %) in the pooled analysis set had normal chemistry values at baseline </w:t>
      </w:r>
      <w:r w:rsidR="00C109EC">
        <w:rPr>
          <w:lang w:eastAsia="ja-JP"/>
        </w:rPr>
        <w:t>and maintained these values at W</w:t>
      </w:r>
      <w:r w:rsidRPr="000526AB">
        <w:rPr>
          <w:lang w:eastAsia="ja-JP"/>
        </w:rPr>
        <w:t>eeks 12, 24, 36 and 52. There were no notable differences in pre-defined clinically meaningful clinical chemistry abnormalities at</w:t>
      </w:r>
      <w:r w:rsidR="00300BDB">
        <w:rPr>
          <w:lang w:eastAsia="ja-JP"/>
        </w:rPr>
        <w:t xml:space="preserve"> Week 2</w:t>
      </w:r>
      <w:r w:rsidRPr="000526AB">
        <w:rPr>
          <w:lang w:eastAsia="ja-JP"/>
        </w:rPr>
        <w:t>4 between the combined sham and the combined VTE2Q4 groups or at</w:t>
      </w:r>
      <w:r w:rsidR="00300BDB">
        <w:rPr>
          <w:lang w:eastAsia="ja-JP"/>
        </w:rPr>
        <w:t xml:space="preserve"> Week 5</w:t>
      </w:r>
      <w:r w:rsidRPr="000526AB">
        <w:rPr>
          <w:lang w:eastAsia="ja-JP"/>
        </w:rPr>
        <w:t>2 across the sham, sham+VTE PRN and VTE2Q4+PRN groups. In particular, there was no evidence that treatment with VTE was associated with renal o</w:t>
      </w:r>
      <w:r w:rsidR="00923B8D">
        <w:rPr>
          <w:lang w:eastAsia="ja-JP"/>
        </w:rPr>
        <w:t>r liver function abnormalities.</w:t>
      </w:r>
    </w:p>
    <w:p w:rsidR="000526AB" w:rsidRPr="000526AB" w:rsidRDefault="000526AB" w:rsidP="00923B8D">
      <w:pPr>
        <w:pStyle w:val="Heading4"/>
      </w:pPr>
      <w:bookmarkStart w:id="153" w:name="_Toc221697310"/>
      <w:r w:rsidRPr="000526AB">
        <w:t>Urinalysis</w:t>
      </w:r>
      <w:bookmarkEnd w:id="153"/>
    </w:p>
    <w:p w:rsidR="000526AB" w:rsidRPr="000526AB" w:rsidRDefault="000526AB" w:rsidP="00923B8D">
      <w:pPr>
        <w:rPr>
          <w:lang w:eastAsia="ja-JP"/>
        </w:rPr>
      </w:pPr>
      <w:r w:rsidRPr="000526AB">
        <w:rPr>
          <w:lang w:eastAsia="ja-JP"/>
        </w:rPr>
        <w:t>There were no clinically meaningful differences in the urinalysis results among the treatment groups. In the</w:t>
      </w:r>
      <w:r w:rsidR="00300BDB">
        <w:rPr>
          <w:lang w:eastAsia="ja-JP"/>
        </w:rPr>
        <w:t xml:space="preserve"> Week 2</w:t>
      </w:r>
      <w:r w:rsidRPr="000526AB">
        <w:rPr>
          <w:lang w:eastAsia="ja-JP"/>
        </w:rPr>
        <w:t xml:space="preserve">4 data, the proportion of subjects with urine protein/creatinine ratio values above the </w:t>
      </w:r>
      <w:r w:rsidR="00C109EC">
        <w:rPr>
          <w:lang w:eastAsia="ja-JP"/>
        </w:rPr>
        <w:t>upper limit of normal (</w:t>
      </w:r>
      <w:r w:rsidRPr="000526AB">
        <w:rPr>
          <w:lang w:eastAsia="ja-JP"/>
        </w:rPr>
        <w:t>ULN</w:t>
      </w:r>
      <w:r w:rsidR="00C109EC">
        <w:rPr>
          <w:lang w:eastAsia="ja-JP"/>
        </w:rPr>
        <w:t>)</w:t>
      </w:r>
      <w:r w:rsidRPr="000526AB">
        <w:rPr>
          <w:lang w:eastAsia="ja-JP"/>
        </w:rPr>
        <w:t xml:space="preserve"> was higher in the combined sham group (28.1%) than in th</w:t>
      </w:r>
      <w:r w:rsidR="00923B8D">
        <w:rPr>
          <w:lang w:eastAsia="ja-JP"/>
        </w:rPr>
        <w:t>e combined VTE2Q4 group (8.5%).</w:t>
      </w:r>
    </w:p>
    <w:p w:rsidR="000526AB" w:rsidRPr="000526AB" w:rsidRDefault="000526AB" w:rsidP="00923B8D">
      <w:pPr>
        <w:pStyle w:val="Heading3"/>
      </w:pPr>
      <w:bookmarkStart w:id="154" w:name="_Toc221697311"/>
      <w:bookmarkStart w:id="155" w:name="_Toc396651360"/>
      <w:r w:rsidRPr="000526AB">
        <w:t>Other observations relating to safety</w:t>
      </w:r>
      <w:bookmarkEnd w:id="154"/>
      <w:bookmarkEnd w:id="155"/>
    </w:p>
    <w:p w:rsidR="000526AB" w:rsidRPr="000526AB" w:rsidRDefault="000526AB" w:rsidP="00923B8D">
      <w:pPr>
        <w:pStyle w:val="Heading4"/>
      </w:pPr>
      <w:bookmarkStart w:id="156" w:name="_Toc221697312"/>
      <w:r w:rsidRPr="000526AB">
        <w:t>Vital signs</w:t>
      </w:r>
      <w:bookmarkEnd w:id="156"/>
    </w:p>
    <w:p w:rsidR="000526AB" w:rsidRPr="000526AB" w:rsidRDefault="000526AB" w:rsidP="00923B8D">
      <w:pPr>
        <w:rPr>
          <w:lang w:eastAsia="ja-JP"/>
        </w:rPr>
      </w:pPr>
      <w:r w:rsidRPr="000526AB">
        <w:rPr>
          <w:lang w:eastAsia="ja-JP"/>
        </w:rPr>
        <w:t>There were no clinically meaningful changes in blood pressure, pulse rate or temperature in the treatment groups from baseline to</w:t>
      </w:r>
      <w:r w:rsidR="00300BDB">
        <w:rPr>
          <w:lang w:eastAsia="ja-JP"/>
        </w:rPr>
        <w:t xml:space="preserve"> Week 5</w:t>
      </w:r>
      <w:r w:rsidRPr="000526AB">
        <w:rPr>
          <w:lang w:eastAsia="ja-JP"/>
        </w:rPr>
        <w:t>2.</w:t>
      </w:r>
    </w:p>
    <w:p w:rsidR="000526AB" w:rsidRPr="000526AB" w:rsidRDefault="000526AB" w:rsidP="00923B8D">
      <w:pPr>
        <w:pStyle w:val="Heading4"/>
      </w:pPr>
      <w:bookmarkStart w:id="157" w:name="_Toc221697313"/>
      <w:r w:rsidRPr="000526AB">
        <w:t>Ocular safety measures</w:t>
      </w:r>
      <w:bookmarkEnd w:id="157"/>
    </w:p>
    <w:p w:rsidR="000526AB" w:rsidRPr="000526AB" w:rsidRDefault="000526AB" w:rsidP="00923B8D">
      <w:pPr>
        <w:pStyle w:val="Heading5"/>
        <w:rPr>
          <w:lang w:eastAsia="ja-JP"/>
        </w:rPr>
      </w:pPr>
      <w:r w:rsidRPr="000526AB">
        <w:rPr>
          <w:lang w:eastAsia="ja-JP"/>
        </w:rPr>
        <w:t>Slit lamp biomicroscopy, goni</w:t>
      </w:r>
      <w:r w:rsidR="00923B8D">
        <w:rPr>
          <w:lang w:eastAsia="ja-JP"/>
        </w:rPr>
        <w:t>oscopy, indirect ophthalmoscopy</w:t>
      </w:r>
    </w:p>
    <w:p w:rsidR="000526AB" w:rsidRPr="000526AB" w:rsidRDefault="000526AB" w:rsidP="00923B8D">
      <w:pPr>
        <w:rPr>
          <w:lang w:eastAsia="ja-JP"/>
        </w:rPr>
      </w:pPr>
      <w:r w:rsidRPr="000526AB">
        <w:rPr>
          <w:lang w:eastAsia="ja-JP"/>
        </w:rPr>
        <w:t>In both COPERNICUS and GALILEO, extensive ophthalmic examinations were conducted in all subjects at monthly intervals through to</w:t>
      </w:r>
      <w:r w:rsidR="00300BDB">
        <w:rPr>
          <w:lang w:eastAsia="ja-JP"/>
        </w:rPr>
        <w:t xml:space="preserve"> Week 5</w:t>
      </w:r>
      <w:r w:rsidRPr="000526AB">
        <w:rPr>
          <w:lang w:eastAsia="ja-JP"/>
        </w:rPr>
        <w:t>2. These included slit lamp biomicroscopy of the lids, conjunctiva, iris, pupils, lens and vitreous body. In GALILEO, gonioscopy was conducted in conjunction with a slit lamp microscope. Indirect ophthalmoscopy was also conducted p</w:t>
      </w:r>
      <w:r w:rsidR="00923B8D">
        <w:rPr>
          <w:lang w:eastAsia="ja-JP"/>
        </w:rPr>
        <w:t>re-injection.</w:t>
      </w:r>
    </w:p>
    <w:p w:rsidR="000526AB" w:rsidRPr="000526AB" w:rsidRDefault="000526AB" w:rsidP="00923B8D">
      <w:pPr>
        <w:rPr>
          <w:lang w:eastAsia="ja-JP"/>
        </w:rPr>
      </w:pPr>
      <w:r w:rsidRPr="000526AB">
        <w:rPr>
          <w:lang w:eastAsia="ja-JP"/>
        </w:rPr>
        <w:t>Very few subjects in any of the three treatment groups had cells in the anterior chamber of the study eye from week 4 through to</w:t>
      </w:r>
      <w:r w:rsidR="00300BDB">
        <w:rPr>
          <w:lang w:eastAsia="ja-JP"/>
        </w:rPr>
        <w:t xml:space="preserve"> Week 5</w:t>
      </w:r>
      <w:r w:rsidRPr="000526AB">
        <w:rPr>
          <w:lang w:eastAsia="ja-JP"/>
        </w:rPr>
        <w:t>2. No finding in the VTE gro</w:t>
      </w:r>
      <w:r w:rsidR="00923B8D">
        <w:rPr>
          <w:lang w:eastAsia="ja-JP"/>
        </w:rPr>
        <w:t>ups were more than trace cells.</w:t>
      </w:r>
    </w:p>
    <w:p w:rsidR="000526AB" w:rsidRPr="000526AB" w:rsidRDefault="000526AB" w:rsidP="00923B8D">
      <w:pPr>
        <w:rPr>
          <w:lang w:eastAsia="ja-JP"/>
        </w:rPr>
      </w:pPr>
      <w:r w:rsidRPr="000526AB">
        <w:rPr>
          <w:lang w:eastAsia="ja-JP"/>
        </w:rPr>
        <w:lastRenderedPageBreak/>
        <w:t>Very few subjects in the sham (1 at</w:t>
      </w:r>
      <w:r w:rsidR="00300BDB">
        <w:rPr>
          <w:lang w:eastAsia="ja-JP"/>
        </w:rPr>
        <w:t xml:space="preserve"> Week 1</w:t>
      </w:r>
      <w:r w:rsidRPr="000526AB">
        <w:rPr>
          <w:lang w:eastAsia="ja-JP"/>
        </w:rPr>
        <w:t>2 and 1 at week 36) and sham+VTE PRN (1 at</w:t>
      </w:r>
      <w:r w:rsidR="00300BDB">
        <w:rPr>
          <w:lang w:eastAsia="ja-JP"/>
        </w:rPr>
        <w:t xml:space="preserve"> Week 1</w:t>
      </w:r>
      <w:r w:rsidRPr="000526AB">
        <w:rPr>
          <w:lang w:eastAsia="ja-JP"/>
        </w:rPr>
        <w:t>2) groups had an anterior chamber flare in the study eye from week 4 through to</w:t>
      </w:r>
      <w:r w:rsidR="00300BDB">
        <w:rPr>
          <w:lang w:eastAsia="ja-JP"/>
        </w:rPr>
        <w:t xml:space="preserve"> Week 5</w:t>
      </w:r>
      <w:r w:rsidRPr="000526AB">
        <w:rPr>
          <w:lang w:eastAsia="ja-JP"/>
        </w:rPr>
        <w:t>2. No subject in the VTE2Q4+PRN group had an anterior chamber flare in the study eye from week 4 through to</w:t>
      </w:r>
      <w:r w:rsidR="00300BDB">
        <w:rPr>
          <w:lang w:eastAsia="ja-JP"/>
        </w:rPr>
        <w:t xml:space="preserve"> Week 5</w:t>
      </w:r>
      <w:r w:rsidR="00923B8D">
        <w:rPr>
          <w:lang w:eastAsia="ja-JP"/>
        </w:rPr>
        <w:t>2.</w:t>
      </w:r>
    </w:p>
    <w:p w:rsidR="000526AB" w:rsidRPr="000526AB" w:rsidRDefault="000526AB" w:rsidP="00923B8D">
      <w:pPr>
        <w:rPr>
          <w:lang w:eastAsia="ja-JP"/>
        </w:rPr>
      </w:pPr>
      <w:r w:rsidRPr="000526AB">
        <w:rPr>
          <w:lang w:eastAsia="ja-JP"/>
        </w:rPr>
        <w:t xml:space="preserve">Few subjects in any of the three treatment groups had cells in the vitreous of the study eye from </w:t>
      </w:r>
      <w:r w:rsidR="00C109EC">
        <w:rPr>
          <w:lang w:eastAsia="ja-JP"/>
        </w:rPr>
        <w:t>W</w:t>
      </w:r>
      <w:r w:rsidRPr="000526AB">
        <w:rPr>
          <w:lang w:eastAsia="ja-JP"/>
        </w:rPr>
        <w:t>eek 4 through to</w:t>
      </w:r>
      <w:r w:rsidR="00300BDB">
        <w:rPr>
          <w:lang w:eastAsia="ja-JP"/>
        </w:rPr>
        <w:t xml:space="preserve"> Week 5</w:t>
      </w:r>
      <w:r w:rsidRPr="000526AB">
        <w:rPr>
          <w:lang w:eastAsia="ja-JP"/>
        </w:rPr>
        <w:t>2. One subject in the sham group had 2+ vitreous cells (</w:t>
      </w:r>
      <w:r w:rsidR="00C109EC">
        <w:rPr>
          <w:lang w:eastAsia="ja-JP"/>
        </w:rPr>
        <w:t>W</w:t>
      </w:r>
      <w:r w:rsidRPr="000526AB">
        <w:rPr>
          <w:lang w:eastAsia="ja-JP"/>
        </w:rPr>
        <w:t>eek 24), one subject in the sham+VTE PRN had 2+ vitreous cells (</w:t>
      </w:r>
      <w:r w:rsidR="00C109EC">
        <w:rPr>
          <w:lang w:eastAsia="ja-JP"/>
        </w:rPr>
        <w:t>W</w:t>
      </w:r>
      <w:r w:rsidRPr="000526AB">
        <w:rPr>
          <w:lang w:eastAsia="ja-JP"/>
        </w:rPr>
        <w:t>eek 36) and one subject in the sha</w:t>
      </w:r>
      <w:r w:rsidR="00C109EC">
        <w:rPr>
          <w:lang w:eastAsia="ja-JP"/>
        </w:rPr>
        <w:t>m group had 3+ vitreous cells (W</w:t>
      </w:r>
      <w:r w:rsidRPr="000526AB">
        <w:rPr>
          <w:lang w:eastAsia="ja-JP"/>
        </w:rPr>
        <w:t>eek 4) in the study eye at a single time point. All other reports in any treatment group were trace or 1+ in severity.</w:t>
      </w:r>
    </w:p>
    <w:p w:rsidR="000526AB" w:rsidRPr="000526AB" w:rsidRDefault="000526AB" w:rsidP="00923B8D">
      <w:pPr>
        <w:rPr>
          <w:lang w:eastAsia="ja-JP"/>
        </w:rPr>
      </w:pPr>
      <w:r w:rsidRPr="000526AB">
        <w:rPr>
          <w:lang w:eastAsia="ja-JP"/>
        </w:rPr>
        <w:t xml:space="preserve">Notable ophthalmic findings were limited to </w:t>
      </w:r>
      <w:r w:rsidR="00ED3DEB">
        <w:rPr>
          <w:lang w:eastAsia="ja-JP"/>
        </w:rPr>
        <w:t>neovascularisation</w:t>
      </w:r>
      <w:r w:rsidRPr="000526AB">
        <w:rPr>
          <w:lang w:eastAsia="ja-JP"/>
        </w:rPr>
        <w:t xml:space="preserve">. The incidence of treatment-emergent iris </w:t>
      </w:r>
      <w:r w:rsidR="00ED3DEB">
        <w:rPr>
          <w:lang w:eastAsia="ja-JP"/>
        </w:rPr>
        <w:t>neovascularisation</w:t>
      </w:r>
      <w:r w:rsidRPr="000526AB">
        <w:rPr>
          <w:lang w:eastAsia="ja-JP"/>
        </w:rPr>
        <w:t xml:space="preserve"> at</w:t>
      </w:r>
      <w:r w:rsidR="00300BDB">
        <w:rPr>
          <w:lang w:eastAsia="ja-JP"/>
        </w:rPr>
        <w:t xml:space="preserve"> Week 2</w:t>
      </w:r>
      <w:r w:rsidRPr="000526AB">
        <w:rPr>
          <w:lang w:eastAsia="ja-JP"/>
        </w:rPr>
        <w:t>4 was higher in the combined sham group (6 subjects [4.2%]) than in the combined VTE2Q4 group (2 subjects [0.9%]). Two (2) subjects (1 combined sham; 1 combined VTE2Q4) discontinued study treatment before</w:t>
      </w:r>
      <w:r w:rsidR="00300BDB">
        <w:rPr>
          <w:lang w:eastAsia="ja-JP"/>
        </w:rPr>
        <w:t xml:space="preserve"> Week 2</w:t>
      </w:r>
      <w:r w:rsidRPr="000526AB">
        <w:rPr>
          <w:lang w:eastAsia="ja-JP"/>
        </w:rPr>
        <w:t xml:space="preserve">4 because of iris </w:t>
      </w:r>
      <w:r w:rsidR="00ED3DEB">
        <w:rPr>
          <w:lang w:eastAsia="ja-JP"/>
        </w:rPr>
        <w:t>neovascularisation</w:t>
      </w:r>
      <w:r w:rsidRPr="000526AB">
        <w:rPr>
          <w:lang w:eastAsia="ja-JP"/>
        </w:rPr>
        <w:t>. At</w:t>
      </w:r>
      <w:r w:rsidR="00300BDB">
        <w:rPr>
          <w:lang w:eastAsia="ja-JP"/>
        </w:rPr>
        <w:t xml:space="preserve"> Week 5</w:t>
      </w:r>
      <w:r w:rsidRPr="000526AB">
        <w:rPr>
          <w:lang w:eastAsia="ja-JP"/>
        </w:rPr>
        <w:t xml:space="preserve">2, the incidence of treatment-emergent iris </w:t>
      </w:r>
      <w:r w:rsidR="00ED3DEB">
        <w:rPr>
          <w:lang w:eastAsia="ja-JP"/>
        </w:rPr>
        <w:t>neovascularisation</w:t>
      </w:r>
      <w:r w:rsidRPr="000526AB">
        <w:rPr>
          <w:lang w:eastAsia="ja-JP"/>
        </w:rPr>
        <w:t xml:space="preserve"> was higher in the sham+VTE PRN group (6 subjects [8.1%]) than in the VTE2Q4+PRN group (5 subjects [2.3%]). There were no events of iris </w:t>
      </w:r>
      <w:r w:rsidR="00ED3DEB">
        <w:rPr>
          <w:lang w:eastAsia="ja-JP"/>
        </w:rPr>
        <w:t>neovascularisation</w:t>
      </w:r>
      <w:r w:rsidRPr="000526AB">
        <w:rPr>
          <w:lang w:eastAsia="ja-JP"/>
        </w:rPr>
        <w:t xml:space="preserve"> at</w:t>
      </w:r>
      <w:r w:rsidR="00300BDB">
        <w:rPr>
          <w:lang w:eastAsia="ja-JP"/>
        </w:rPr>
        <w:t xml:space="preserve"> Week 5</w:t>
      </w:r>
      <w:r w:rsidRPr="000526AB">
        <w:rPr>
          <w:lang w:eastAsia="ja-JP"/>
        </w:rPr>
        <w:t>2 in the sham group. Between</w:t>
      </w:r>
      <w:r w:rsidR="00300BDB">
        <w:rPr>
          <w:lang w:eastAsia="ja-JP"/>
        </w:rPr>
        <w:t xml:space="preserve"> Week 2</w:t>
      </w:r>
      <w:r w:rsidRPr="000526AB">
        <w:rPr>
          <w:lang w:eastAsia="ja-JP"/>
        </w:rPr>
        <w:t>4 and</w:t>
      </w:r>
      <w:r w:rsidR="00300BDB">
        <w:rPr>
          <w:lang w:eastAsia="ja-JP"/>
        </w:rPr>
        <w:t xml:space="preserve"> Week 5</w:t>
      </w:r>
      <w:r w:rsidRPr="000526AB">
        <w:rPr>
          <w:lang w:eastAsia="ja-JP"/>
        </w:rPr>
        <w:t xml:space="preserve">2, 1 additional subject in the VTE2Q4+PRN group discontinued study treatment because of iris </w:t>
      </w:r>
      <w:r w:rsidR="00ED3DEB">
        <w:rPr>
          <w:lang w:eastAsia="ja-JP"/>
        </w:rPr>
        <w:t>neovascularisation</w:t>
      </w:r>
      <w:r w:rsidR="00923B8D">
        <w:rPr>
          <w:lang w:eastAsia="ja-JP"/>
        </w:rPr>
        <w:t>.</w:t>
      </w:r>
    </w:p>
    <w:p w:rsidR="000526AB" w:rsidRPr="000526AB" w:rsidRDefault="000526AB" w:rsidP="00923B8D">
      <w:pPr>
        <w:pStyle w:val="Heading5"/>
      </w:pPr>
      <w:bookmarkStart w:id="158" w:name="_Toc221697314"/>
      <w:r w:rsidRPr="000526AB">
        <w:t>Intraocular pressure</w:t>
      </w:r>
      <w:bookmarkEnd w:id="158"/>
    </w:p>
    <w:p w:rsidR="000526AB" w:rsidRPr="000526AB" w:rsidRDefault="000526AB" w:rsidP="00923B8D">
      <w:pPr>
        <w:rPr>
          <w:lang w:eastAsia="ja-JP"/>
        </w:rPr>
      </w:pPr>
      <w:r w:rsidRPr="000526AB">
        <w:rPr>
          <w:lang w:eastAsia="ja-JP"/>
        </w:rPr>
        <w:t>Pre-injection mean IOP was similar in the three treatment groups at baseline (sham 14.4 mmHg; sham+VTE PRN 14.9 mmHg; VTE2Q4+PRN 15.1 mm Hg) and in all groups IOP was considered to be normal. At</w:t>
      </w:r>
      <w:r w:rsidR="00300BDB">
        <w:rPr>
          <w:lang w:eastAsia="ja-JP"/>
        </w:rPr>
        <w:t xml:space="preserve"> Week 5</w:t>
      </w:r>
      <w:r w:rsidRPr="000526AB">
        <w:rPr>
          <w:lang w:eastAsia="ja-JP"/>
        </w:rPr>
        <w:t>2, small clinically insignificant increases in IOP from baseline were reported (1.0 mmHg, sham; 1.1 mmHg, sham+</w:t>
      </w:r>
      <w:r w:rsidR="00923B8D">
        <w:rPr>
          <w:lang w:eastAsia="ja-JP"/>
        </w:rPr>
        <w:t>VTE PRN; 0.4 mmHg, VTE2Q4+PRN).</w:t>
      </w:r>
    </w:p>
    <w:p w:rsidR="000526AB" w:rsidRPr="000526AB" w:rsidRDefault="000526AB" w:rsidP="00923B8D">
      <w:pPr>
        <w:rPr>
          <w:lang w:eastAsia="ja-JP"/>
        </w:rPr>
      </w:pPr>
      <w:r w:rsidRPr="000526AB">
        <w:rPr>
          <w:lang w:eastAsia="ja-JP"/>
        </w:rPr>
        <w:t xml:space="preserve">The proportion of subjects with </w:t>
      </w:r>
      <w:r w:rsidR="00C109EC">
        <w:rPr>
          <w:lang w:eastAsia="ja-JP"/>
        </w:rPr>
        <w:t>≥</w:t>
      </w:r>
      <w:r w:rsidRPr="000526AB">
        <w:rPr>
          <w:lang w:eastAsia="ja-JP"/>
        </w:rPr>
        <w:t>10 mmHg increases in pre-dose IOP from baseline occurring at least once during: (a) the first 24 weeks was greater in subjects in the combined sham group (10 [7.0%]) than in the combined VTE2Q4 group (6 [2.8%]); and (b) between</w:t>
      </w:r>
      <w:r w:rsidR="00300BDB">
        <w:rPr>
          <w:lang w:eastAsia="ja-JP"/>
        </w:rPr>
        <w:t xml:space="preserve"> Week 2</w:t>
      </w:r>
      <w:r w:rsidRPr="000526AB">
        <w:rPr>
          <w:lang w:eastAsia="ja-JP"/>
        </w:rPr>
        <w:t>4 and</w:t>
      </w:r>
      <w:r w:rsidR="00300BDB">
        <w:rPr>
          <w:lang w:eastAsia="ja-JP"/>
        </w:rPr>
        <w:t xml:space="preserve"> Week 5</w:t>
      </w:r>
      <w:r w:rsidRPr="000526AB">
        <w:rPr>
          <w:lang w:eastAsia="ja-JP"/>
        </w:rPr>
        <w:t>2 was higher in subjects in subjects in the sham+VTE PRN (6 [10.0%]) and VTE2Q4+PRN (14 [6.8%]) groups tha</w:t>
      </w:r>
      <w:r w:rsidR="00923B8D">
        <w:rPr>
          <w:lang w:eastAsia="ja-JP"/>
        </w:rPr>
        <w:t>n in the sham group (2 [3.5%]).</w:t>
      </w:r>
    </w:p>
    <w:p w:rsidR="000526AB" w:rsidRPr="000526AB" w:rsidRDefault="000526AB" w:rsidP="00923B8D">
      <w:pPr>
        <w:rPr>
          <w:lang w:eastAsia="ja-JP"/>
        </w:rPr>
      </w:pPr>
      <w:r w:rsidRPr="000526AB">
        <w:rPr>
          <w:lang w:eastAsia="ja-JP"/>
        </w:rPr>
        <w:t xml:space="preserve">The proportion of subjects with a pre-dose absolute IOP value </w:t>
      </w:r>
      <w:r w:rsidRPr="000526AB">
        <w:rPr>
          <w:lang w:eastAsia="ja-JP"/>
        </w:rPr>
        <w:sym w:font="Symbol" w:char="F03E"/>
      </w:r>
      <w:r w:rsidRPr="000526AB">
        <w:rPr>
          <w:lang w:eastAsia="ja-JP"/>
        </w:rPr>
        <w:t>21 mmHg: (a) over the course of the first 24 weeks was greater in the combined sham group (17 [12.0%]) than in the combined VTE2Q4 group (19 [8.7%]); and (b)</w:t>
      </w:r>
      <w:r w:rsidR="00301349">
        <w:rPr>
          <w:lang w:eastAsia="ja-JP"/>
        </w:rPr>
        <w:t xml:space="preserve"> </w:t>
      </w:r>
      <w:r w:rsidRPr="000526AB">
        <w:rPr>
          <w:lang w:eastAsia="ja-JP"/>
        </w:rPr>
        <w:t>at any time-point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was higher in subjects in the sham+VTE PRN group (13 [21.7%]) than in the sham (6 [10.5%]) and VTE2Q4+PRN</w:t>
      </w:r>
      <w:r w:rsidR="00301349">
        <w:rPr>
          <w:lang w:eastAsia="ja-JP"/>
        </w:rPr>
        <w:t xml:space="preserve"> </w:t>
      </w:r>
      <w:r w:rsidRPr="000526AB">
        <w:rPr>
          <w:lang w:eastAsia="ja-JP"/>
        </w:rPr>
        <w:t xml:space="preserve">(30 [14.5%]) </w:t>
      </w:r>
      <w:r w:rsidR="00923B8D">
        <w:rPr>
          <w:lang w:eastAsia="ja-JP"/>
        </w:rPr>
        <w:t>groups.</w:t>
      </w:r>
    </w:p>
    <w:p w:rsidR="000526AB" w:rsidRPr="000526AB" w:rsidRDefault="000526AB" w:rsidP="00923B8D">
      <w:pPr>
        <w:rPr>
          <w:lang w:eastAsia="ja-JP"/>
        </w:rPr>
      </w:pPr>
      <w:r w:rsidRPr="000526AB">
        <w:rPr>
          <w:lang w:eastAsia="ja-JP"/>
        </w:rPr>
        <w:t xml:space="preserve">A pre-dose absolute IOP value of </w:t>
      </w:r>
      <w:r w:rsidR="00C109EC">
        <w:rPr>
          <w:lang w:eastAsia="ja-JP"/>
        </w:rPr>
        <w:t>≥</w:t>
      </w:r>
      <w:r w:rsidRPr="000526AB">
        <w:rPr>
          <w:lang w:eastAsia="ja-JP"/>
        </w:rPr>
        <w:t xml:space="preserve">35 mmHg was reported for: (a) 1 subject each at </w:t>
      </w:r>
      <w:r w:rsidR="00C109EC">
        <w:rPr>
          <w:lang w:eastAsia="ja-JP"/>
        </w:rPr>
        <w:t>W</w:t>
      </w:r>
      <w:r w:rsidRPr="000526AB">
        <w:rPr>
          <w:lang w:eastAsia="ja-JP"/>
        </w:rPr>
        <w:t>eeks 8, 20, and 24 in the combined sham group and for no subjects in the combined VTE2Q4 group; and (b) no subject in the sham group, 1 (1.7%) subject in the sham+VTE PRN group (</w:t>
      </w:r>
      <w:r w:rsidR="00C109EC">
        <w:rPr>
          <w:lang w:eastAsia="ja-JP"/>
        </w:rPr>
        <w:t>W</w:t>
      </w:r>
      <w:r w:rsidRPr="000526AB">
        <w:rPr>
          <w:lang w:eastAsia="ja-JP"/>
        </w:rPr>
        <w:t>eek 44) and 2 (0.5%) subjects in the VTE2Q4+PRN group (</w:t>
      </w:r>
      <w:r w:rsidR="00C109EC">
        <w:rPr>
          <w:lang w:eastAsia="ja-JP"/>
        </w:rPr>
        <w:t>W</w:t>
      </w:r>
      <w:r w:rsidRPr="000526AB">
        <w:rPr>
          <w:lang w:eastAsia="ja-JP"/>
        </w:rPr>
        <w:t xml:space="preserve">eek 32 and </w:t>
      </w:r>
      <w:r w:rsidR="00C109EC">
        <w:rPr>
          <w:lang w:eastAsia="ja-JP"/>
        </w:rPr>
        <w:t>W</w:t>
      </w:r>
      <w:r w:rsidRPr="000526AB">
        <w:rPr>
          <w:lang w:eastAsia="ja-JP"/>
        </w:rPr>
        <w:t>eek 40)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w:t>
      </w:r>
      <w:r w:rsidR="00923B8D">
        <w:rPr>
          <w:lang w:eastAsia="ja-JP"/>
        </w:rPr>
        <w:t>.</w:t>
      </w:r>
    </w:p>
    <w:p w:rsidR="000526AB" w:rsidRPr="000526AB" w:rsidRDefault="000526AB" w:rsidP="00923B8D">
      <w:pPr>
        <w:rPr>
          <w:lang w:eastAsia="ja-JP"/>
        </w:rPr>
      </w:pPr>
      <w:r w:rsidRPr="000526AB">
        <w:rPr>
          <w:lang w:eastAsia="ja-JP"/>
        </w:rPr>
        <w:t>A post</w:t>
      </w:r>
      <w:r w:rsidR="00C109EC">
        <w:rPr>
          <w:lang w:eastAsia="ja-JP"/>
        </w:rPr>
        <w:t xml:space="preserve"> </w:t>
      </w:r>
      <w:r w:rsidRPr="000526AB">
        <w:rPr>
          <w:lang w:eastAsia="ja-JP"/>
        </w:rPr>
        <w:t xml:space="preserve">dose absolute IOP value of </w:t>
      </w:r>
      <w:r w:rsidR="00C109EC">
        <w:rPr>
          <w:lang w:eastAsia="ja-JP"/>
        </w:rPr>
        <w:t>≥</w:t>
      </w:r>
      <w:r w:rsidRPr="000526AB">
        <w:rPr>
          <w:lang w:eastAsia="ja-JP"/>
        </w:rPr>
        <w:t>35 mmHg was reported: (a) from week to</w:t>
      </w:r>
      <w:r w:rsidR="00300BDB">
        <w:rPr>
          <w:lang w:eastAsia="ja-JP"/>
        </w:rPr>
        <w:t xml:space="preserve"> Week 2</w:t>
      </w:r>
      <w:r w:rsidRPr="000526AB">
        <w:rPr>
          <w:lang w:eastAsia="ja-JP"/>
        </w:rPr>
        <w:t>4 in the sham group in 2 subjects at</w:t>
      </w:r>
      <w:r w:rsidR="00300BDB">
        <w:rPr>
          <w:lang w:eastAsia="ja-JP"/>
        </w:rPr>
        <w:t xml:space="preserve"> Week 1</w:t>
      </w:r>
      <w:r w:rsidRPr="000526AB">
        <w:rPr>
          <w:lang w:eastAsia="ja-JP"/>
        </w:rPr>
        <w:t xml:space="preserve">2 and in the combined VTE2Q4 group for 2 subjects after the first injection and for 1 subject each at </w:t>
      </w:r>
      <w:r w:rsidR="00C109EC">
        <w:rPr>
          <w:lang w:eastAsia="ja-JP"/>
        </w:rPr>
        <w:t>W</w:t>
      </w:r>
      <w:r w:rsidRPr="000526AB">
        <w:rPr>
          <w:lang w:eastAsia="ja-JP"/>
        </w:rPr>
        <w:t>eeks 8 and 16; and (b)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in no subjects in the sham group, 2 (3.3%) subjects in the sham+VTE PRN group (</w:t>
      </w:r>
      <w:r w:rsidR="00C109EC">
        <w:rPr>
          <w:lang w:eastAsia="ja-JP"/>
        </w:rPr>
        <w:t>W</w:t>
      </w:r>
      <w:r w:rsidRPr="000526AB">
        <w:rPr>
          <w:lang w:eastAsia="ja-JP"/>
        </w:rPr>
        <w:t xml:space="preserve">eek 40 and </w:t>
      </w:r>
      <w:r w:rsidR="00C109EC">
        <w:rPr>
          <w:lang w:eastAsia="ja-JP"/>
        </w:rPr>
        <w:t>W</w:t>
      </w:r>
      <w:r w:rsidRPr="000526AB">
        <w:rPr>
          <w:lang w:eastAsia="ja-JP"/>
        </w:rPr>
        <w:t>eek 44), and 1 (0.5%) subject in the VTE2Q4+PRN group (</w:t>
      </w:r>
      <w:r w:rsidR="00C109EC">
        <w:rPr>
          <w:lang w:eastAsia="ja-JP"/>
        </w:rPr>
        <w:t>W</w:t>
      </w:r>
      <w:r w:rsidR="00923B8D">
        <w:rPr>
          <w:lang w:eastAsia="ja-JP"/>
        </w:rPr>
        <w:t>eek 36).</w:t>
      </w:r>
    </w:p>
    <w:p w:rsidR="000526AB" w:rsidRPr="000526AB" w:rsidRDefault="000526AB" w:rsidP="00923B8D">
      <w:pPr>
        <w:rPr>
          <w:lang w:eastAsia="ja-JP"/>
        </w:rPr>
      </w:pPr>
      <w:r w:rsidRPr="000526AB">
        <w:rPr>
          <w:lang w:eastAsia="ja-JP"/>
        </w:rPr>
        <w:t xml:space="preserve">In both treatment groups, mean post-dose IOP was increased relative to mean pre-dose </w:t>
      </w:r>
      <w:r w:rsidR="00C109EC">
        <w:rPr>
          <w:lang w:eastAsia="ja-JP"/>
        </w:rPr>
        <w:t>IOP throughout the studies. In W</w:t>
      </w:r>
      <w:r w:rsidRPr="000526AB">
        <w:rPr>
          <w:lang w:eastAsia="ja-JP"/>
        </w:rPr>
        <w:t>eeks 0 to 24, the change from pre</w:t>
      </w:r>
      <w:r w:rsidR="00C109EC">
        <w:rPr>
          <w:lang w:eastAsia="ja-JP"/>
        </w:rPr>
        <w:t xml:space="preserve"> </w:t>
      </w:r>
      <w:r w:rsidRPr="000526AB">
        <w:rPr>
          <w:lang w:eastAsia="ja-JP"/>
        </w:rPr>
        <w:t>dose to post</w:t>
      </w:r>
      <w:r w:rsidR="00C109EC">
        <w:rPr>
          <w:lang w:eastAsia="ja-JP"/>
        </w:rPr>
        <w:t xml:space="preserve"> </w:t>
      </w:r>
      <w:r w:rsidRPr="000526AB">
        <w:rPr>
          <w:lang w:eastAsia="ja-JP"/>
        </w:rPr>
        <w:t>dose IOP was greater in the combined VTE2Q4 group (2.2 to 2.9 mmHg) than in the combined sh</w:t>
      </w:r>
      <w:r w:rsidR="00C109EC">
        <w:rPr>
          <w:lang w:eastAsia="ja-JP"/>
        </w:rPr>
        <w:t>am group (0.1 to 0.9 mmHg). In W</w:t>
      </w:r>
      <w:r w:rsidRPr="000526AB">
        <w:rPr>
          <w:lang w:eastAsia="ja-JP"/>
        </w:rPr>
        <w:t>eeks 0-52, the change from pre-dose to post</w:t>
      </w:r>
      <w:r w:rsidR="00C109EC">
        <w:rPr>
          <w:lang w:eastAsia="ja-JP"/>
        </w:rPr>
        <w:t xml:space="preserve"> </w:t>
      </w:r>
      <w:r w:rsidRPr="000526AB">
        <w:rPr>
          <w:lang w:eastAsia="ja-JP"/>
        </w:rPr>
        <w:t>dose IOP ranged from -0.3 to 1.4 mmHg in the sham group, 1.2 to 2.9 mmHg in the sham+VTE PRN group and 0.9 to 2.1 mmHg in the VTE2Q4+PRN group.</w:t>
      </w:r>
    </w:p>
    <w:p w:rsidR="000526AB" w:rsidRPr="000526AB" w:rsidRDefault="000526AB" w:rsidP="00923B8D">
      <w:pPr>
        <w:pStyle w:val="Heading4"/>
      </w:pPr>
      <w:bookmarkStart w:id="159" w:name="_Toc221697315"/>
      <w:r w:rsidRPr="000526AB">
        <w:lastRenderedPageBreak/>
        <w:t>Immunogenicity</w:t>
      </w:r>
      <w:bookmarkEnd w:id="159"/>
    </w:p>
    <w:p w:rsidR="000526AB" w:rsidRPr="000526AB" w:rsidRDefault="000526AB" w:rsidP="00923B8D">
      <w:pPr>
        <w:rPr>
          <w:lang w:eastAsia="ja-JP"/>
        </w:rPr>
      </w:pPr>
      <w:r w:rsidRPr="000526AB">
        <w:rPr>
          <w:lang w:eastAsia="ja-JP"/>
        </w:rPr>
        <w:t xml:space="preserve">In COPERNICUS, samples from 188 subjects were collected at screening, pre-dose at </w:t>
      </w:r>
      <w:r w:rsidR="008A5259">
        <w:rPr>
          <w:lang w:eastAsia="ja-JP"/>
        </w:rPr>
        <w:t>W</w:t>
      </w:r>
      <w:r w:rsidRPr="000526AB">
        <w:rPr>
          <w:lang w:eastAsia="ja-JP"/>
        </w:rPr>
        <w:t>eeks 12, 24</w:t>
      </w:r>
      <w:r w:rsidR="008A5259">
        <w:rPr>
          <w:lang w:eastAsia="ja-JP"/>
        </w:rPr>
        <w:t xml:space="preserve"> and</w:t>
      </w:r>
      <w:r w:rsidRPr="000526AB">
        <w:rPr>
          <w:lang w:eastAsia="ja-JP"/>
        </w:rPr>
        <w:t xml:space="preserve"> 52, and at early termination and evaluated for anti-drug antibodies (ADA). A total of 8/188 (4.3%) subjects were ADA positive; 3/74 (4.1%) in the sham+VTE PRN group and 5/114 (4.4%) in the VTE2Q4+PRN group. In the sham+VTE PRN group, all 3 ADA positive subjects were positive at baseline and in subsequent samples with no titres exceeding 30 but no subjects showed treatment-emergent reactivity. In the VTE2Q4+PRN group, of the 5 ADA positive subjects, 2 were ADA positive at baseline (1 at baseline only with a titre of 30 and 1 at baseline and in subsequent samples with no titres exceeding 30). The other 3 ADA positive subjects in the VTE2Q4+PRN group were all negative at baseline and positive at</w:t>
      </w:r>
      <w:r w:rsidR="00300BDB">
        <w:rPr>
          <w:lang w:eastAsia="ja-JP"/>
        </w:rPr>
        <w:t xml:space="preserve"> Week 5</w:t>
      </w:r>
      <w:r w:rsidRPr="000526AB">
        <w:rPr>
          <w:lang w:eastAsia="ja-JP"/>
        </w:rPr>
        <w:t>2. These 3 subjects (2.6%) appeared to demonstrate a treatment-emergent positive ADA response but the titres were low with no titre exceeding the minimum of 30. None of the ADA positive subjects tested positive for neutralizing antibodies. No effects of ADA on safety or efficacy at</w:t>
      </w:r>
      <w:r w:rsidR="00300BDB">
        <w:rPr>
          <w:lang w:eastAsia="ja-JP"/>
        </w:rPr>
        <w:t xml:space="preserve"> Week 5</w:t>
      </w:r>
      <w:r w:rsidRPr="000526AB">
        <w:rPr>
          <w:lang w:eastAsia="ja-JP"/>
        </w:rPr>
        <w:t xml:space="preserve">2 were observed but the number of ADA subjects </w:t>
      </w:r>
      <w:r w:rsidR="00C84038">
        <w:rPr>
          <w:lang w:eastAsia="ja-JP"/>
        </w:rPr>
        <w:t>is</w:t>
      </w:r>
      <w:r w:rsidRPr="000526AB">
        <w:rPr>
          <w:lang w:eastAsia="ja-JP"/>
        </w:rPr>
        <w:t xml:space="preserve"> too small for mean</w:t>
      </w:r>
      <w:r w:rsidR="00923B8D">
        <w:rPr>
          <w:lang w:eastAsia="ja-JP"/>
        </w:rPr>
        <w:t>ingful conclusions to be drawn.</w:t>
      </w:r>
    </w:p>
    <w:p w:rsidR="000526AB" w:rsidRPr="000526AB" w:rsidRDefault="000526AB" w:rsidP="00923B8D">
      <w:pPr>
        <w:rPr>
          <w:lang w:eastAsia="ja-JP"/>
        </w:rPr>
      </w:pPr>
      <w:r w:rsidRPr="000526AB">
        <w:rPr>
          <w:lang w:eastAsia="ja-JP"/>
        </w:rPr>
        <w:t xml:space="preserve">In GALILEO, samples from 172 patients were collected at screening, pre-dose at </w:t>
      </w:r>
      <w:r w:rsidR="008A5259">
        <w:rPr>
          <w:lang w:eastAsia="ja-JP"/>
        </w:rPr>
        <w:t>W</w:t>
      </w:r>
      <w:r w:rsidRPr="000526AB">
        <w:rPr>
          <w:lang w:eastAsia="ja-JP"/>
        </w:rPr>
        <w:t>eeks 12, 24 and 52, and at early termination and evaluated for ADA. A total of 9/172 (5.2%) subjects were ADA positive at any time-point: 5/68 (7.6%) subjects in the sham+VTE PRN group (titre levels low at 30) and 4/104 (3.8%) subjects in the VTE2Q4+PRN group (titre levels 30 to 120). However, all 5 subjects in the sham+VTE group tested ADA positive prior to</w:t>
      </w:r>
      <w:r w:rsidR="00300BDB">
        <w:rPr>
          <w:lang w:eastAsia="ja-JP"/>
        </w:rPr>
        <w:t xml:space="preserve"> Week 5</w:t>
      </w:r>
      <w:r w:rsidRPr="000526AB">
        <w:rPr>
          <w:lang w:eastAsia="ja-JP"/>
        </w:rPr>
        <w:t>2 (</w:t>
      </w:r>
      <w:r w:rsidR="008A5259">
        <w:rPr>
          <w:lang w:eastAsia="ja-JP"/>
        </w:rPr>
        <w:t>that is</w:t>
      </w:r>
      <w:r w:rsidRPr="000526AB">
        <w:rPr>
          <w:lang w:eastAsia="ja-JP"/>
        </w:rPr>
        <w:t>, prior to the administration of VTE). The results in the sham group appear to be due to pre-existing immunoreactivity and not due to an ADA response to VTE. Of the 4 ADA positive subjects in the VTE2Q4+PRN gr</w:t>
      </w:r>
      <w:r w:rsidR="00B50950">
        <w:rPr>
          <w:lang w:eastAsia="ja-JP"/>
        </w:rPr>
        <w:t xml:space="preserve">oup, 3 (2.9%) were negative pre </w:t>
      </w:r>
      <w:r w:rsidRPr="000526AB">
        <w:rPr>
          <w:lang w:eastAsia="ja-JP"/>
        </w:rPr>
        <w:t>dose and became positive post</w:t>
      </w:r>
      <w:r w:rsidR="00B50950">
        <w:rPr>
          <w:lang w:eastAsia="ja-JP"/>
        </w:rPr>
        <w:t xml:space="preserve"> </w:t>
      </w:r>
      <w:r w:rsidRPr="000526AB">
        <w:rPr>
          <w:lang w:eastAsia="ja-JP"/>
        </w:rPr>
        <w:t>dose (</w:t>
      </w:r>
      <w:r w:rsidR="008A5259">
        <w:rPr>
          <w:lang w:eastAsia="ja-JP"/>
        </w:rPr>
        <w:t>that is,</w:t>
      </w:r>
      <w:r w:rsidRPr="000526AB">
        <w:rPr>
          <w:lang w:eastAsia="ja-JP"/>
        </w:rPr>
        <w:t xml:space="preserve"> treatment emergent positive ADA). The remaining ADA positive subject in the VTE2Q4+PRN group was positive pre</w:t>
      </w:r>
      <w:r w:rsidR="00B50950">
        <w:rPr>
          <w:lang w:eastAsia="ja-JP"/>
        </w:rPr>
        <w:t xml:space="preserve"> </w:t>
      </w:r>
      <w:r w:rsidRPr="000526AB">
        <w:rPr>
          <w:lang w:eastAsia="ja-JP"/>
        </w:rPr>
        <w:t>dose (titre of 30) but negative post-dose.</w:t>
      </w:r>
      <w:r w:rsidR="00301349">
        <w:rPr>
          <w:lang w:eastAsia="ja-JP"/>
        </w:rPr>
        <w:t xml:space="preserve"> </w:t>
      </w:r>
      <w:r w:rsidRPr="000526AB">
        <w:rPr>
          <w:lang w:eastAsia="ja-JP"/>
        </w:rPr>
        <w:t>No effects of ADA on safety or efficacy at</w:t>
      </w:r>
      <w:r w:rsidR="00300BDB">
        <w:rPr>
          <w:lang w:eastAsia="ja-JP"/>
        </w:rPr>
        <w:t xml:space="preserve"> Week 5</w:t>
      </w:r>
      <w:r w:rsidRPr="000526AB">
        <w:rPr>
          <w:lang w:eastAsia="ja-JP"/>
        </w:rPr>
        <w:t xml:space="preserve">2 were observed but the number of ADA subjects </w:t>
      </w:r>
      <w:r w:rsidR="00B50950">
        <w:rPr>
          <w:lang w:eastAsia="ja-JP"/>
        </w:rPr>
        <w:t>is</w:t>
      </w:r>
      <w:r w:rsidRPr="000526AB">
        <w:rPr>
          <w:lang w:eastAsia="ja-JP"/>
        </w:rPr>
        <w:t xml:space="preserve"> too small for mean</w:t>
      </w:r>
      <w:r w:rsidR="00923B8D">
        <w:rPr>
          <w:lang w:eastAsia="ja-JP"/>
        </w:rPr>
        <w:t>ingful conclusions to be drawn.</w:t>
      </w:r>
    </w:p>
    <w:p w:rsidR="000526AB" w:rsidRPr="000526AB" w:rsidRDefault="000526AB" w:rsidP="00923B8D">
      <w:pPr>
        <w:pStyle w:val="Heading4"/>
      </w:pPr>
      <w:r w:rsidRPr="000526AB">
        <w:t>Safety in special populations</w:t>
      </w:r>
    </w:p>
    <w:p w:rsidR="000526AB" w:rsidRPr="000526AB" w:rsidRDefault="000526AB" w:rsidP="00923B8D">
      <w:pPr>
        <w:pStyle w:val="Heading5"/>
        <w:rPr>
          <w:lang w:eastAsia="ja-JP"/>
        </w:rPr>
      </w:pPr>
      <w:r w:rsidRPr="000526AB">
        <w:rPr>
          <w:lang w:eastAsia="ja-JP"/>
        </w:rPr>
        <w:t>Weeks 0 to 24 (integrated analysis)</w:t>
      </w:r>
    </w:p>
    <w:p w:rsidR="000526AB" w:rsidRPr="000526AB" w:rsidRDefault="000526AB" w:rsidP="00923B8D">
      <w:pPr>
        <w:rPr>
          <w:lang w:eastAsia="ja-JP"/>
        </w:rPr>
      </w:pPr>
      <w:r w:rsidRPr="000526AB">
        <w:rPr>
          <w:lang w:eastAsia="ja-JP"/>
        </w:rPr>
        <w:t>The overall safety profiles of the special populations treated with VTE2Q4 examined in the integrated analysis of safety for the most important adverse event categories identified in the total population are briefly commented on below</w:t>
      </w:r>
      <w:r w:rsidR="00923B8D">
        <w:rPr>
          <w:lang w:eastAsia="ja-JP"/>
        </w:rPr>
        <w:t>.</w:t>
      </w:r>
    </w:p>
    <w:p w:rsidR="000526AB" w:rsidRPr="000526AB" w:rsidRDefault="000526AB" w:rsidP="00923B8D">
      <w:pPr>
        <w:rPr>
          <w:lang w:eastAsia="ja-JP"/>
        </w:rPr>
      </w:pPr>
      <w:r w:rsidRPr="000526AB">
        <w:rPr>
          <w:b/>
          <w:lang w:eastAsia="ja-JP"/>
        </w:rPr>
        <w:t xml:space="preserve">Sex: </w:t>
      </w:r>
      <w:r w:rsidRPr="000526AB">
        <w:rPr>
          <w:lang w:eastAsia="ja-JP"/>
        </w:rPr>
        <w:t>Overall, there were no marked differences in the safely profiles of males (n=128) and females (n=90) treated with VTE2Q4.</w:t>
      </w:r>
    </w:p>
    <w:p w:rsidR="000526AB" w:rsidRPr="000526AB" w:rsidRDefault="000526AB" w:rsidP="00923B8D">
      <w:pPr>
        <w:rPr>
          <w:lang w:eastAsia="ja-JP"/>
        </w:rPr>
      </w:pPr>
      <w:r w:rsidRPr="000526AB">
        <w:rPr>
          <w:b/>
          <w:lang w:eastAsia="ja-JP"/>
        </w:rPr>
        <w:t>Age:</w:t>
      </w:r>
      <w:r w:rsidRPr="000526AB">
        <w:rPr>
          <w:lang w:eastAsia="ja-JP"/>
        </w:rPr>
        <w:t xml:space="preserve"> The integrated safety analysis provided a comparison of the safety profiles of subjects aged</w:t>
      </w:r>
      <w:r w:rsidR="00301349">
        <w:rPr>
          <w:lang w:eastAsia="ja-JP"/>
        </w:rPr>
        <w:t xml:space="preserve"> </w:t>
      </w:r>
      <w:r w:rsidRPr="000526AB">
        <w:rPr>
          <w:lang w:eastAsia="ja-JP"/>
        </w:rPr>
        <w:t xml:space="preserve">&lt; 65 years (n=106), </w:t>
      </w:r>
      <w:r w:rsidR="00B50950">
        <w:rPr>
          <w:lang w:eastAsia="ja-JP"/>
        </w:rPr>
        <w:t>≥</w:t>
      </w:r>
      <w:r w:rsidRPr="000526AB">
        <w:rPr>
          <w:lang w:eastAsia="ja-JP"/>
        </w:rPr>
        <w:t xml:space="preserve"> 65 to &lt; 75 years (n=74), and </w:t>
      </w:r>
      <w:r w:rsidR="00B50950">
        <w:rPr>
          <w:lang w:eastAsia="ja-JP"/>
        </w:rPr>
        <w:t>≥</w:t>
      </w:r>
      <w:r w:rsidRPr="000526AB">
        <w:rPr>
          <w:lang w:eastAsia="ja-JP"/>
        </w:rPr>
        <w:t xml:space="preserve"> 75 years (n=38). There was a trend for TEAEs (any) associated with treatment with VTE2Q4 to increase with age and a trend for ocular TEAEs (any) in the study eye to occur more frequently in the oldest age group.</w:t>
      </w:r>
    </w:p>
    <w:p w:rsidR="000526AB" w:rsidRPr="000526AB" w:rsidRDefault="000526AB" w:rsidP="00923B8D">
      <w:pPr>
        <w:rPr>
          <w:lang w:eastAsia="ja-JP"/>
        </w:rPr>
      </w:pPr>
      <w:r w:rsidRPr="000526AB">
        <w:rPr>
          <w:b/>
          <w:lang w:eastAsia="ja-JP"/>
        </w:rPr>
        <w:t>Race:</w:t>
      </w:r>
      <w:r w:rsidRPr="000526AB">
        <w:rPr>
          <w:lang w:eastAsia="ja-JP"/>
        </w:rPr>
        <w:t xml:space="preserve"> </w:t>
      </w:r>
      <w:r w:rsidR="00B50950">
        <w:rPr>
          <w:lang w:eastAsia="ja-JP"/>
        </w:rPr>
        <w:t>Overall, the safety profile of the W</w:t>
      </w:r>
      <w:r w:rsidRPr="000526AB">
        <w:rPr>
          <w:lang w:eastAsia="ja-JP"/>
        </w:rPr>
        <w:t>hite</w:t>
      </w:r>
      <w:r w:rsidR="00B50950">
        <w:rPr>
          <w:lang w:eastAsia="ja-JP"/>
        </w:rPr>
        <w:t xml:space="preserve"> group</w:t>
      </w:r>
      <w:r w:rsidRPr="000526AB">
        <w:rPr>
          <w:lang w:eastAsia="ja-JP"/>
        </w:rPr>
        <w:t xml:space="preserve"> (n=163) treated with VTE2Q4 was inferior to that of Asians, (n=33). However, the marked imbalance in subject numbers between the two groups precludes me</w:t>
      </w:r>
      <w:r w:rsidR="00923B8D">
        <w:rPr>
          <w:lang w:eastAsia="ja-JP"/>
        </w:rPr>
        <w:t>aningful pair-wise comparisons.</w:t>
      </w:r>
    </w:p>
    <w:p w:rsidR="000526AB" w:rsidRPr="000526AB" w:rsidRDefault="000526AB" w:rsidP="00923B8D">
      <w:pPr>
        <w:rPr>
          <w:lang w:eastAsia="ja-JP"/>
        </w:rPr>
      </w:pPr>
      <w:r w:rsidRPr="000526AB">
        <w:rPr>
          <w:b/>
          <w:lang w:eastAsia="ja-JP"/>
        </w:rPr>
        <w:t>Renal impairment:</w:t>
      </w:r>
      <w:r w:rsidRPr="000526AB">
        <w:rPr>
          <w:lang w:eastAsia="ja-JP"/>
        </w:rPr>
        <w:t xml:space="preserve"> Overall, there were no marked differences in the safety profiles of subjects with normal renal function (n=118) and subjects with mild renal impairment (n=75) treated with VTE2Q4 during the first 24 weeks of treatment. Subjects with moderate and severe renal impairments were pooled (n=23) because of the small number of subjects with severe renal impairment. TEAEs (any) and SAEs (any) occurred more commonly in the moderate/severe renal impairment group compared with subjects with normal renal function and mild renal impairment. However, the number of subjects in the moderate/severe renal impairment group was notably smaller than the number of subjects in the two other groups. There were no </w:t>
      </w:r>
      <w:r w:rsidRPr="000526AB">
        <w:rPr>
          <w:lang w:eastAsia="ja-JP"/>
        </w:rPr>
        <w:lastRenderedPageBreak/>
        <w:t>marked differences across the three groups as regards ocular TEAEs (any) and injection-relate</w:t>
      </w:r>
      <w:r w:rsidR="00923B8D">
        <w:rPr>
          <w:lang w:eastAsia="ja-JP"/>
        </w:rPr>
        <w:t>d TEAEs (any) in the study eye.</w:t>
      </w:r>
    </w:p>
    <w:p w:rsidR="000526AB" w:rsidRPr="000526AB" w:rsidRDefault="000526AB" w:rsidP="00923B8D">
      <w:pPr>
        <w:rPr>
          <w:lang w:eastAsia="ja-JP"/>
        </w:rPr>
      </w:pPr>
      <w:r w:rsidRPr="000526AB">
        <w:rPr>
          <w:b/>
          <w:lang w:eastAsia="ja-JP"/>
        </w:rPr>
        <w:t>Diabetes mellitus:</w:t>
      </w:r>
      <w:r w:rsidRPr="000526AB">
        <w:rPr>
          <w:lang w:eastAsia="ja-JP"/>
        </w:rPr>
        <w:t xml:space="preserve"> Overall, there were no marked differences in the safety profiles of subjects with (n=47) or without (n=171) a history of diabetes mellitus treated with VTE2Q4.</w:t>
      </w:r>
    </w:p>
    <w:p w:rsidR="000526AB" w:rsidRPr="000526AB" w:rsidRDefault="000526AB" w:rsidP="00923B8D">
      <w:pPr>
        <w:rPr>
          <w:lang w:eastAsia="ja-JP"/>
        </w:rPr>
      </w:pPr>
      <w:r w:rsidRPr="000526AB">
        <w:rPr>
          <w:b/>
          <w:lang w:eastAsia="ja-JP"/>
        </w:rPr>
        <w:t>Cataracts:</w:t>
      </w:r>
      <w:r w:rsidRPr="000526AB">
        <w:rPr>
          <w:lang w:eastAsia="ja-JP"/>
        </w:rPr>
        <w:t xml:space="preserve"> Overall, the safety profile of subjects with cataracts (n=121) treated with VTE2Q4 was inferior to that of sub</w:t>
      </w:r>
      <w:r w:rsidR="00923B8D">
        <w:rPr>
          <w:lang w:eastAsia="ja-JP"/>
        </w:rPr>
        <w:t>jects without (n=97) cataracts.</w:t>
      </w:r>
    </w:p>
    <w:p w:rsidR="000526AB" w:rsidRPr="000526AB" w:rsidRDefault="000526AB" w:rsidP="00923B8D">
      <w:pPr>
        <w:rPr>
          <w:lang w:eastAsia="ja-JP"/>
        </w:rPr>
      </w:pPr>
      <w:r w:rsidRPr="000526AB">
        <w:rPr>
          <w:b/>
          <w:lang w:eastAsia="ja-JP"/>
        </w:rPr>
        <w:t>Hypertension:</w:t>
      </w:r>
      <w:r w:rsidRPr="000526AB">
        <w:rPr>
          <w:lang w:eastAsia="ja-JP"/>
        </w:rPr>
        <w:t xml:space="preserve"> Overall, there were no marked differences in the safety profiles of subjects with (n=120) or without (n=98) a history of hypertension treated with VTE2Q4.</w:t>
      </w:r>
    </w:p>
    <w:p w:rsidR="000526AB" w:rsidRPr="000526AB" w:rsidRDefault="000526AB" w:rsidP="00923B8D">
      <w:pPr>
        <w:rPr>
          <w:lang w:eastAsia="ja-JP"/>
        </w:rPr>
      </w:pPr>
      <w:r w:rsidRPr="000526AB">
        <w:rPr>
          <w:b/>
          <w:lang w:eastAsia="ja-JP"/>
        </w:rPr>
        <w:t>CVA/stroke:</w:t>
      </w:r>
      <w:r w:rsidRPr="000526AB">
        <w:rPr>
          <w:lang w:eastAsia="ja-JP"/>
        </w:rPr>
        <w:t xml:space="preserve"> There was a notably higher incidence of injection-related TEAEs (any) in subjects with a history of stroke/CVA (n=13) than in subjects without a history of stroke/CVA (n=205). However, there was a marked imbalance in subject numbers between the two groups which</w:t>
      </w:r>
      <w:r w:rsidR="00301349">
        <w:rPr>
          <w:lang w:eastAsia="ja-JP"/>
        </w:rPr>
        <w:t xml:space="preserve"> </w:t>
      </w:r>
      <w:r w:rsidRPr="000526AB">
        <w:rPr>
          <w:lang w:eastAsia="ja-JP"/>
        </w:rPr>
        <w:t>precludes meaningful pair</w:t>
      </w:r>
      <w:r w:rsidR="00B50950">
        <w:rPr>
          <w:lang w:eastAsia="ja-JP"/>
        </w:rPr>
        <w:t xml:space="preserve"> </w:t>
      </w:r>
      <w:r w:rsidR="00923B8D">
        <w:rPr>
          <w:lang w:eastAsia="ja-JP"/>
        </w:rPr>
        <w:t>wise comparisons.</w:t>
      </w:r>
    </w:p>
    <w:p w:rsidR="000526AB" w:rsidRPr="000526AB" w:rsidRDefault="000526AB" w:rsidP="00923B8D">
      <w:pPr>
        <w:rPr>
          <w:lang w:eastAsia="ja-JP"/>
        </w:rPr>
      </w:pPr>
      <w:r w:rsidRPr="000526AB">
        <w:rPr>
          <w:b/>
          <w:lang w:eastAsia="ja-JP"/>
        </w:rPr>
        <w:t>Myocardial infarction:</w:t>
      </w:r>
      <w:r w:rsidRPr="000526AB">
        <w:rPr>
          <w:lang w:eastAsia="ja-JP"/>
        </w:rPr>
        <w:t xml:space="preserve"> There was a notably higher incidence of SAEs (any) in subjects with a history of MI (n=20) than in subjects without a history of stroke/CVA (n=198). However, there was a marked imbalance in subject numbers between the two groups which precludes meaningful pair</w:t>
      </w:r>
      <w:r w:rsidR="00B50950">
        <w:rPr>
          <w:lang w:eastAsia="ja-JP"/>
        </w:rPr>
        <w:t xml:space="preserve"> </w:t>
      </w:r>
      <w:r w:rsidR="00923B8D">
        <w:rPr>
          <w:lang w:eastAsia="ja-JP"/>
        </w:rPr>
        <w:t>wise comparisons.</w:t>
      </w:r>
    </w:p>
    <w:p w:rsidR="000526AB" w:rsidRPr="000526AB" w:rsidRDefault="000526AB" w:rsidP="00923B8D">
      <w:pPr>
        <w:pStyle w:val="Heading5"/>
        <w:rPr>
          <w:lang w:eastAsia="ja-JP"/>
        </w:rPr>
      </w:pPr>
      <w:r w:rsidRPr="000526AB">
        <w:rPr>
          <w:lang w:eastAsia="ja-JP"/>
        </w:rPr>
        <w:t>Week 24 to 52,</w:t>
      </w:r>
      <w:r w:rsidR="00300BDB">
        <w:rPr>
          <w:lang w:eastAsia="ja-JP"/>
        </w:rPr>
        <w:t xml:space="preserve"> Week 2</w:t>
      </w:r>
      <w:r w:rsidRPr="000526AB">
        <w:rPr>
          <w:lang w:eastAsia="ja-JP"/>
        </w:rPr>
        <w:t>4 co</w:t>
      </w:r>
      <w:r w:rsidR="00923B8D">
        <w:rPr>
          <w:lang w:eastAsia="ja-JP"/>
        </w:rPr>
        <w:t>mpleters (integrated analysis)</w:t>
      </w:r>
    </w:p>
    <w:p w:rsidR="000526AB" w:rsidRPr="000526AB" w:rsidRDefault="000526AB" w:rsidP="00923B8D">
      <w:pPr>
        <w:rPr>
          <w:lang w:eastAsia="ja-JP"/>
        </w:rPr>
      </w:pPr>
      <w:r w:rsidRPr="000526AB">
        <w:rPr>
          <w:lang w:eastAsia="ja-JP"/>
        </w:rPr>
        <w:t xml:space="preserve">The overall safety profiles of the special populations treated with VTE2Q4 examined in the integrated analysis of safety for the most important adverse event categories identified in the total population </w:t>
      </w:r>
      <w:r w:rsidR="00923B8D">
        <w:rPr>
          <w:lang w:eastAsia="ja-JP"/>
        </w:rPr>
        <w:t>are briefly commented on below.</w:t>
      </w:r>
    </w:p>
    <w:p w:rsidR="000526AB" w:rsidRPr="000526AB" w:rsidRDefault="000526AB" w:rsidP="00923B8D">
      <w:pPr>
        <w:rPr>
          <w:lang w:eastAsia="ja-JP"/>
        </w:rPr>
      </w:pPr>
      <w:r w:rsidRPr="000526AB">
        <w:rPr>
          <w:b/>
          <w:lang w:eastAsia="ja-JP"/>
        </w:rPr>
        <w:t xml:space="preserve">Sex: </w:t>
      </w:r>
      <w:r w:rsidRPr="000526AB">
        <w:rPr>
          <w:lang w:eastAsia="ja-JP"/>
        </w:rPr>
        <w:t xml:space="preserve">Overall, there were no marked differences in the safely profiles of males (n=120) or females </w:t>
      </w:r>
      <w:r w:rsidR="00923B8D">
        <w:rPr>
          <w:lang w:eastAsia="ja-JP"/>
        </w:rPr>
        <w:t>(n=87) treated with VTE2Q4+PRN.</w:t>
      </w:r>
    </w:p>
    <w:p w:rsidR="000526AB" w:rsidRPr="000526AB" w:rsidRDefault="000526AB" w:rsidP="00923B8D">
      <w:pPr>
        <w:rPr>
          <w:lang w:eastAsia="ja-JP"/>
        </w:rPr>
      </w:pPr>
      <w:r w:rsidRPr="000526AB">
        <w:rPr>
          <w:b/>
          <w:lang w:eastAsia="ja-JP"/>
        </w:rPr>
        <w:t>Age:</w:t>
      </w:r>
      <w:r w:rsidRPr="000526AB">
        <w:rPr>
          <w:lang w:eastAsia="ja-JP"/>
        </w:rPr>
        <w:tab/>
        <w:t>Overall, the w</w:t>
      </w:r>
      <w:r w:rsidR="00B50950">
        <w:rPr>
          <w:lang w:eastAsia="ja-JP"/>
        </w:rPr>
        <w:t>as</w:t>
      </w:r>
      <w:r w:rsidRPr="000526AB">
        <w:rPr>
          <w:lang w:eastAsia="ja-JP"/>
        </w:rPr>
        <w:t xml:space="preserve"> no marked difference in the safety profiles of subjects aged &lt; 65 years (n=100), </w:t>
      </w:r>
      <w:r w:rsidR="00B50950">
        <w:rPr>
          <w:lang w:eastAsia="ja-JP"/>
        </w:rPr>
        <w:t>≥</w:t>
      </w:r>
      <w:r w:rsidRPr="000526AB">
        <w:rPr>
          <w:lang w:eastAsia="ja-JP"/>
        </w:rPr>
        <w:t xml:space="preserve"> 65 to &lt; 75 years (n=70), or </w:t>
      </w:r>
      <w:r w:rsidR="00B50950">
        <w:rPr>
          <w:lang w:eastAsia="ja-JP"/>
        </w:rPr>
        <w:t>≥</w:t>
      </w:r>
      <w:r w:rsidRPr="000526AB">
        <w:rPr>
          <w:lang w:eastAsia="ja-JP"/>
        </w:rPr>
        <w:t xml:space="preserve"> 75 years (n=37) treated with VTE2Q4+PRN.</w:t>
      </w:r>
    </w:p>
    <w:p w:rsidR="000526AB" w:rsidRPr="000526AB" w:rsidRDefault="000526AB" w:rsidP="00923B8D">
      <w:pPr>
        <w:rPr>
          <w:lang w:eastAsia="ja-JP"/>
        </w:rPr>
      </w:pPr>
      <w:r w:rsidRPr="000526AB">
        <w:rPr>
          <w:b/>
          <w:lang w:eastAsia="ja-JP"/>
        </w:rPr>
        <w:t>Race:</w:t>
      </w:r>
      <w:r w:rsidRPr="000526AB">
        <w:rPr>
          <w:lang w:eastAsia="ja-JP"/>
        </w:rPr>
        <w:t xml:space="preserve"> The incidence of TEAEs (any), ocular TEAEs (any) study eye, and injection-related TEAEs (any) study eye were not</w:t>
      </w:r>
      <w:r w:rsidR="00B50950">
        <w:rPr>
          <w:lang w:eastAsia="ja-JP"/>
        </w:rPr>
        <w:t>ably higher in subjects in the W</w:t>
      </w:r>
      <w:r w:rsidRPr="000526AB">
        <w:rPr>
          <w:lang w:eastAsia="ja-JP"/>
        </w:rPr>
        <w:t>hite group (n=155) than in the Asian (group) treated with VTE2Q4+PRN. However, the marked imbalance in subject numbers between the two groups precludes me</w:t>
      </w:r>
      <w:r w:rsidR="00923B8D">
        <w:rPr>
          <w:lang w:eastAsia="ja-JP"/>
        </w:rPr>
        <w:t>aningful pair-wise comparisons.</w:t>
      </w:r>
    </w:p>
    <w:p w:rsidR="000526AB" w:rsidRPr="000526AB" w:rsidRDefault="000526AB" w:rsidP="00923B8D">
      <w:pPr>
        <w:rPr>
          <w:lang w:eastAsia="ja-JP"/>
        </w:rPr>
      </w:pPr>
      <w:r w:rsidRPr="000526AB">
        <w:rPr>
          <w:b/>
          <w:lang w:eastAsia="ja-JP"/>
        </w:rPr>
        <w:t xml:space="preserve">Renal impairment: </w:t>
      </w:r>
      <w:r w:rsidRPr="000526AB">
        <w:rPr>
          <w:lang w:eastAsia="ja-JP"/>
        </w:rPr>
        <w:t>Overall, the</w:t>
      </w:r>
      <w:r w:rsidR="00D74B64">
        <w:rPr>
          <w:lang w:eastAsia="ja-JP"/>
        </w:rPr>
        <w:t>re</w:t>
      </w:r>
      <w:r w:rsidRPr="000526AB">
        <w:rPr>
          <w:lang w:eastAsia="ja-JP"/>
        </w:rPr>
        <w:t xml:space="preserve"> w</w:t>
      </w:r>
      <w:r w:rsidR="00B50950">
        <w:rPr>
          <w:lang w:eastAsia="ja-JP"/>
        </w:rPr>
        <w:t>as</w:t>
      </w:r>
      <w:r w:rsidRPr="000526AB">
        <w:rPr>
          <w:lang w:eastAsia="ja-JP"/>
        </w:rPr>
        <w:t xml:space="preserve"> no marked difference in the safety profiles of subjects with normal renal function (n=111), mild renal impairment (n=72) or moderate/severe renal impai</w:t>
      </w:r>
      <w:r w:rsidR="00923B8D">
        <w:rPr>
          <w:lang w:eastAsia="ja-JP"/>
        </w:rPr>
        <w:t>rment (n=22).</w:t>
      </w:r>
    </w:p>
    <w:p w:rsidR="000526AB" w:rsidRPr="000526AB" w:rsidRDefault="000526AB" w:rsidP="00923B8D">
      <w:pPr>
        <w:rPr>
          <w:lang w:eastAsia="ja-JP"/>
        </w:rPr>
      </w:pPr>
      <w:r w:rsidRPr="000526AB">
        <w:rPr>
          <w:b/>
          <w:lang w:eastAsia="ja-JP"/>
        </w:rPr>
        <w:t>Diabetes mellitus:</w:t>
      </w:r>
      <w:r w:rsidRPr="000526AB">
        <w:rPr>
          <w:lang w:eastAsia="ja-JP"/>
        </w:rPr>
        <w:t xml:space="preserve"> Overall, there were no marked differences in the safety profiles of subjects with (n=46) or without (n=161) a history of diabetes mellitus treated with VTE2Q4+PRN.</w:t>
      </w:r>
    </w:p>
    <w:p w:rsidR="000526AB" w:rsidRPr="000526AB" w:rsidRDefault="000526AB" w:rsidP="00923B8D">
      <w:pPr>
        <w:rPr>
          <w:lang w:eastAsia="ja-JP"/>
        </w:rPr>
      </w:pPr>
      <w:r w:rsidRPr="000526AB">
        <w:rPr>
          <w:b/>
          <w:lang w:eastAsia="ja-JP"/>
        </w:rPr>
        <w:t>Cataracts:</w:t>
      </w:r>
      <w:r w:rsidRPr="000526AB">
        <w:rPr>
          <w:lang w:eastAsia="ja-JP"/>
        </w:rPr>
        <w:t xml:space="preserve"> There was a notably increased incidence of injection-related TEAEs (any) in the study eye in subjects with a history of cataracts (n=96) compared with subjects without a history of cataracts (n=96) treated with VTE2Q4+PRN. There were no other noteworthy differences between the safety profiles of the t</w:t>
      </w:r>
      <w:r w:rsidR="00923B8D">
        <w:rPr>
          <w:lang w:eastAsia="ja-JP"/>
        </w:rPr>
        <w:t>wo groups.</w:t>
      </w:r>
    </w:p>
    <w:p w:rsidR="000526AB" w:rsidRPr="000526AB" w:rsidRDefault="000526AB" w:rsidP="00923B8D">
      <w:pPr>
        <w:rPr>
          <w:lang w:eastAsia="ja-JP"/>
        </w:rPr>
      </w:pPr>
      <w:r w:rsidRPr="000526AB">
        <w:rPr>
          <w:b/>
          <w:lang w:eastAsia="ja-JP"/>
        </w:rPr>
        <w:t>Hypertension:</w:t>
      </w:r>
      <w:r w:rsidRPr="000526AB">
        <w:rPr>
          <w:lang w:eastAsia="ja-JP"/>
        </w:rPr>
        <w:t xml:space="preserve"> There was a notably increased incidence of TEAEs (any) in subjects with a history of hypertension (n=113) than in subjects without a history of hypertension (n=94) treated with VTE2Q4+PRN. There were no other noteworthy differences between the saf</w:t>
      </w:r>
      <w:r w:rsidR="00923B8D">
        <w:rPr>
          <w:lang w:eastAsia="ja-JP"/>
        </w:rPr>
        <w:t>ety profiles of the two groups.</w:t>
      </w:r>
    </w:p>
    <w:p w:rsidR="000526AB" w:rsidRPr="000526AB" w:rsidRDefault="000526AB" w:rsidP="00923B8D">
      <w:pPr>
        <w:rPr>
          <w:lang w:eastAsia="ja-JP"/>
        </w:rPr>
      </w:pPr>
      <w:r w:rsidRPr="000526AB">
        <w:rPr>
          <w:b/>
          <w:lang w:eastAsia="ja-JP"/>
        </w:rPr>
        <w:t>CVA/stroke:</w:t>
      </w:r>
      <w:r w:rsidRPr="000526AB">
        <w:rPr>
          <w:lang w:eastAsia="ja-JP"/>
        </w:rPr>
        <w:t xml:space="preserve"> The marked imbalance in subject numbers between the two groups precludes meaningful pair-wise comparisons (</w:t>
      </w:r>
      <w:r w:rsidR="00B50950">
        <w:rPr>
          <w:lang w:eastAsia="ja-JP"/>
        </w:rPr>
        <w:t>that</w:t>
      </w:r>
      <w:r w:rsidR="00182DBC">
        <w:rPr>
          <w:lang w:eastAsia="ja-JP"/>
        </w:rPr>
        <w:t xml:space="preserve"> </w:t>
      </w:r>
      <w:r w:rsidR="00B50950">
        <w:rPr>
          <w:lang w:eastAsia="ja-JP"/>
        </w:rPr>
        <w:t>is,</w:t>
      </w:r>
      <w:r w:rsidRPr="000526AB">
        <w:rPr>
          <w:lang w:eastAsia="ja-JP"/>
        </w:rPr>
        <w:t xml:space="preserve"> with [n=13] and withou</w:t>
      </w:r>
      <w:r w:rsidR="00923B8D">
        <w:rPr>
          <w:lang w:eastAsia="ja-JP"/>
        </w:rPr>
        <w:t>t [n=194] a history of stroke).</w:t>
      </w:r>
    </w:p>
    <w:p w:rsidR="000526AB" w:rsidRPr="000526AB" w:rsidRDefault="000526AB" w:rsidP="00923B8D">
      <w:pPr>
        <w:rPr>
          <w:lang w:eastAsia="ja-JP"/>
        </w:rPr>
      </w:pPr>
      <w:r w:rsidRPr="000526AB">
        <w:rPr>
          <w:b/>
          <w:lang w:eastAsia="ja-JP"/>
        </w:rPr>
        <w:lastRenderedPageBreak/>
        <w:t xml:space="preserve">Myocardial infarction: </w:t>
      </w:r>
      <w:r w:rsidRPr="000526AB">
        <w:rPr>
          <w:lang w:eastAsia="ja-JP"/>
        </w:rPr>
        <w:t>The marked imbalance in subject numbers between the two groups precludes meaningful pair-wise comparisons (</w:t>
      </w:r>
      <w:r w:rsidR="00B50950">
        <w:rPr>
          <w:lang w:eastAsia="ja-JP"/>
        </w:rPr>
        <w:t>that is,</w:t>
      </w:r>
      <w:r w:rsidRPr="000526AB">
        <w:rPr>
          <w:lang w:eastAsia="ja-JP"/>
        </w:rPr>
        <w:t xml:space="preserve"> with [n=18] and without [n=155] a history of MI).</w:t>
      </w:r>
    </w:p>
    <w:p w:rsidR="000526AB" w:rsidRPr="000526AB" w:rsidRDefault="000526AB" w:rsidP="00923B8D">
      <w:pPr>
        <w:pStyle w:val="Heading3"/>
      </w:pPr>
      <w:bookmarkStart w:id="160" w:name="_Toc221697316"/>
      <w:bookmarkStart w:id="161" w:name="_Toc396651361"/>
      <w:r w:rsidRPr="000526AB">
        <w:t>Long-term safety</w:t>
      </w:r>
      <w:bookmarkEnd w:id="160"/>
      <w:bookmarkEnd w:id="161"/>
    </w:p>
    <w:p w:rsidR="000526AB" w:rsidRPr="000526AB" w:rsidRDefault="000526AB" w:rsidP="00923B8D">
      <w:pPr>
        <w:pStyle w:val="Heading4"/>
      </w:pPr>
      <w:bookmarkStart w:id="162" w:name="_Toc221697317"/>
      <w:r w:rsidRPr="000526AB">
        <w:t>COPERNICUS –</w:t>
      </w:r>
      <w:r w:rsidR="00300BDB">
        <w:t xml:space="preserve"> Week 1</w:t>
      </w:r>
      <w:r w:rsidRPr="000526AB">
        <w:t>00 results</w:t>
      </w:r>
      <w:bookmarkEnd w:id="162"/>
    </w:p>
    <w:p w:rsidR="000526AB" w:rsidRPr="000526AB" w:rsidRDefault="000526AB" w:rsidP="00923B8D">
      <w:pPr>
        <w:pStyle w:val="Heading5"/>
        <w:rPr>
          <w:lang w:eastAsia="ja-JP"/>
        </w:rPr>
      </w:pPr>
      <w:bookmarkStart w:id="163" w:name="_Toc221697318"/>
      <w:r w:rsidRPr="000526AB">
        <w:rPr>
          <w:lang w:eastAsia="ja-JP"/>
        </w:rPr>
        <w:t>Exposure</w:t>
      </w:r>
      <w:bookmarkEnd w:id="163"/>
    </w:p>
    <w:p w:rsidR="000526AB" w:rsidRPr="000526AB" w:rsidRDefault="000526AB" w:rsidP="00923B8D">
      <w:pPr>
        <w:rPr>
          <w:lang w:eastAsia="ja-JP"/>
        </w:rPr>
      </w:pPr>
      <w:r w:rsidRPr="000526AB">
        <w:rPr>
          <w:lang w:eastAsia="ja-JP"/>
        </w:rPr>
        <w:t>The data through</w:t>
      </w:r>
      <w:r w:rsidR="00300BDB">
        <w:rPr>
          <w:lang w:eastAsia="ja-JP"/>
        </w:rPr>
        <w:t xml:space="preserve"> Week 1</w:t>
      </w:r>
      <w:r w:rsidRPr="000526AB">
        <w:rPr>
          <w:lang w:eastAsia="ja-JP"/>
        </w:rPr>
        <w:t>00 were collected according to the original protocol dated 18 May 2009, and 1 subsequent protocol amendment 1 d</w:t>
      </w:r>
      <w:r w:rsidR="00B50950">
        <w:rPr>
          <w:lang w:eastAsia="ja-JP"/>
        </w:rPr>
        <w:t>ated 04 January 2010. The CSR (W</w:t>
      </w:r>
      <w:r w:rsidRPr="000526AB">
        <w:rPr>
          <w:lang w:eastAsia="ja-JP"/>
        </w:rPr>
        <w:t>eek 100) included results based on the data obtained from 08 July 2009 (first subject’s first visit) to 04 April 2012 (last subject’s end of study visit). The safety data described in the following summary relates to the safety analysis set unless otherwise stated.</w:t>
      </w:r>
    </w:p>
    <w:p w:rsidR="000526AB" w:rsidRPr="000526AB" w:rsidRDefault="000526AB" w:rsidP="00923B8D">
      <w:pPr>
        <w:rPr>
          <w:lang w:eastAsia="ja-JP"/>
        </w:rPr>
      </w:pPr>
      <w:r w:rsidRPr="000526AB">
        <w:rPr>
          <w:lang w:eastAsia="ja-JP"/>
        </w:rPr>
        <w:t>Starting at</w:t>
      </w:r>
      <w:r w:rsidR="00300BDB">
        <w:rPr>
          <w:lang w:eastAsia="ja-JP"/>
        </w:rPr>
        <w:t xml:space="preserve"> Week 5</w:t>
      </w:r>
      <w:r w:rsidRPr="000526AB">
        <w:rPr>
          <w:lang w:eastAsia="ja-JP"/>
        </w:rPr>
        <w:t>2, all subjects w</w:t>
      </w:r>
      <w:r w:rsidR="00B50950">
        <w:rPr>
          <w:lang w:eastAsia="ja-JP"/>
        </w:rPr>
        <w:t xml:space="preserve">ere eligible to continue in a 1 </w:t>
      </w:r>
      <w:r w:rsidRPr="000526AB">
        <w:rPr>
          <w:lang w:eastAsia="ja-JP"/>
        </w:rPr>
        <w:t xml:space="preserve">year PRN extension and evaluated every 12 weeks to determine eligibility to receive open-label VTE 2 mg IVT injections according to pre-specified </w:t>
      </w:r>
      <w:r w:rsidR="00427821">
        <w:rPr>
          <w:lang w:eastAsia="ja-JP"/>
        </w:rPr>
        <w:t xml:space="preserve">re </w:t>
      </w:r>
      <w:r w:rsidR="00C84038">
        <w:rPr>
          <w:lang w:eastAsia="ja-JP"/>
        </w:rPr>
        <w:t>treatment</w:t>
      </w:r>
      <w:r w:rsidRPr="000526AB">
        <w:rPr>
          <w:lang w:eastAsia="ja-JP"/>
        </w:rPr>
        <w:t xml:space="preserve"> criteria. However, if in the investigator’s opinion more frequent dosing than every 12 weeks was required then dosing may have occurred as frequently as every 4 weeks. Week 88 was the last mandatory study visit when a PRN injection could be administered but as investigators were allowed to bring in subjects as often as monthly for PRN injections the last possible PRN injection was at </w:t>
      </w:r>
      <w:r w:rsidR="00B50950">
        <w:rPr>
          <w:lang w:eastAsia="ja-JP"/>
        </w:rPr>
        <w:t>W</w:t>
      </w:r>
      <w:r w:rsidR="00923B8D">
        <w:rPr>
          <w:lang w:eastAsia="ja-JP"/>
        </w:rPr>
        <w:t>eek 96.</w:t>
      </w:r>
    </w:p>
    <w:p w:rsidR="000526AB" w:rsidRPr="000526AB" w:rsidRDefault="000526AB" w:rsidP="00923B8D">
      <w:pPr>
        <w:rPr>
          <w:lang w:eastAsia="ja-JP"/>
        </w:rPr>
      </w:pPr>
      <w:r w:rsidRPr="000526AB">
        <w:rPr>
          <w:lang w:eastAsia="ja-JP"/>
        </w:rPr>
        <w:t xml:space="preserve">The VTE2Q4+PRN group received over 3 times as many VTE injections over the duration of the study </w:t>
      </w:r>
      <w:r w:rsidR="00B50950">
        <w:rPr>
          <w:lang w:eastAsia="ja-JP"/>
        </w:rPr>
        <w:t xml:space="preserve">compared to </w:t>
      </w:r>
      <w:r w:rsidRPr="000526AB">
        <w:rPr>
          <w:lang w:eastAsia="ja-JP"/>
        </w:rPr>
        <w:t>the sham+VTE PRN group (total number of injections 1293</w:t>
      </w:r>
      <w:r w:rsidR="0091044A">
        <w:rPr>
          <w:lang w:eastAsia="ja-JP"/>
        </w:rPr>
        <w:t xml:space="preserve"> versus </w:t>
      </w:r>
      <w:r w:rsidRPr="000526AB">
        <w:rPr>
          <w:lang w:eastAsia="ja-JP"/>
        </w:rPr>
        <w:t xml:space="preserve">384). From </w:t>
      </w:r>
      <w:r w:rsidR="00085007">
        <w:rPr>
          <w:lang w:eastAsia="ja-JP"/>
        </w:rPr>
        <w:t>W</w:t>
      </w:r>
      <w:r w:rsidRPr="000526AB">
        <w:rPr>
          <w:lang w:eastAsia="ja-JP"/>
        </w:rPr>
        <w:t xml:space="preserve">eeks 24 to 100, the mean time to the first VTE injection was shorter in the sham+VTE PRN group (54.5 days) than in the VTE2Q4+PRN group (92.8 days). In the sham+VTE PRN group, </w:t>
      </w:r>
      <w:r w:rsidR="00085007">
        <w:rPr>
          <w:lang w:eastAsia="ja-JP"/>
        </w:rPr>
        <w:t>the time to first injection in W</w:t>
      </w:r>
      <w:r w:rsidRPr="000526AB">
        <w:rPr>
          <w:lang w:eastAsia="ja-JP"/>
        </w:rPr>
        <w:t xml:space="preserve">eeks 24 to 100 was 4 weeks for most subjects (80.0%), followed by 8 weeks for 10.0% of subjects. In the VTE2Q4+PRN group, the time to the first injection was evenly divided between 4 weeks (29.1%), 8 weeks (17.3%), 12 weeks (24.5%), and &gt;12 weeks (24.5%). In the sham+VTE PRN group, 85.0% (51/60) of subjects received </w:t>
      </w:r>
      <w:r w:rsidR="00427821">
        <w:rPr>
          <w:lang w:eastAsia="ja-JP"/>
        </w:rPr>
        <w:t xml:space="preserve">re </w:t>
      </w:r>
      <w:r w:rsidR="00C84038">
        <w:rPr>
          <w:lang w:eastAsia="ja-JP"/>
        </w:rPr>
        <w:t>treatment</w:t>
      </w:r>
      <w:r w:rsidRPr="000526AB">
        <w:rPr>
          <w:lang w:eastAsia="ja-JP"/>
        </w:rPr>
        <w:t xml:space="preserve"> at least once in a 4 week interval and the corresponding figure in the VTE2Q4+PRN group was 70.0% (77/110). The mean time between VTE injections was shorter in the sham+VTE PRN group (61.40 days) than in the</w:t>
      </w:r>
      <w:r w:rsidR="00923B8D">
        <w:rPr>
          <w:lang w:eastAsia="ja-JP"/>
        </w:rPr>
        <w:t xml:space="preserve"> VTE2Q4+PRN group (87.41 days).</w:t>
      </w:r>
    </w:p>
    <w:p w:rsidR="000526AB" w:rsidRPr="000526AB" w:rsidRDefault="000526AB" w:rsidP="00923B8D">
      <w:pPr>
        <w:pStyle w:val="Heading5"/>
      </w:pPr>
      <w:bookmarkStart w:id="164" w:name="_Toc221697319"/>
      <w:r w:rsidRPr="000526AB">
        <w:t xml:space="preserve">Adverse </w:t>
      </w:r>
      <w:r w:rsidR="00F827FB">
        <w:t>e</w:t>
      </w:r>
      <w:r w:rsidRPr="000526AB">
        <w:t>vents</w:t>
      </w:r>
      <w:bookmarkEnd w:id="164"/>
    </w:p>
    <w:p w:rsidR="000526AB" w:rsidRPr="000526AB" w:rsidRDefault="000526AB" w:rsidP="00923B8D">
      <w:pPr>
        <w:pStyle w:val="Heading6"/>
        <w:rPr>
          <w:lang w:eastAsia="ja-JP"/>
        </w:rPr>
      </w:pPr>
      <w:r w:rsidRPr="000526AB">
        <w:rPr>
          <w:lang w:eastAsia="ja-JP"/>
        </w:rPr>
        <w:t>Overview of adverse events</w:t>
      </w:r>
    </w:p>
    <w:p w:rsidR="000526AB" w:rsidRPr="000526AB" w:rsidRDefault="000526AB" w:rsidP="00923B8D">
      <w:pPr>
        <w:rPr>
          <w:lang w:eastAsia="ja-JP"/>
        </w:rPr>
      </w:pPr>
      <w:r w:rsidRPr="000526AB">
        <w:rPr>
          <w:lang w:eastAsia="ja-JP"/>
        </w:rPr>
        <w:t>Over the 100 weeks of the study, nearly all subjects in the sham+VTE PRN group and the VTE2Q4+PRN group experienced at least 1 TEAE (70/74 [94.6%]</w:t>
      </w:r>
      <w:r w:rsidR="0091044A">
        <w:rPr>
          <w:lang w:eastAsia="ja-JP"/>
        </w:rPr>
        <w:t xml:space="preserve"> versus </w:t>
      </w:r>
      <w:r w:rsidR="00923B8D">
        <w:rPr>
          <w:lang w:eastAsia="ja-JP"/>
        </w:rPr>
        <w:t>112/114 [98.2%], respectively).</w:t>
      </w:r>
    </w:p>
    <w:p w:rsidR="000526AB" w:rsidRPr="000526AB" w:rsidRDefault="000526AB" w:rsidP="00923B8D">
      <w:pPr>
        <w:pStyle w:val="Heading6"/>
        <w:rPr>
          <w:lang w:eastAsia="ja-JP"/>
        </w:rPr>
      </w:pPr>
      <w:r w:rsidRPr="000526AB">
        <w:rPr>
          <w:lang w:eastAsia="ja-JP"/>
        </w:rPr>
        <w:t>Ocular TEAEs in the study eye</w:t>
      </w:r>
    </w:p>
    <w:p w:rsidR="000526AB" w:rsidRPr="000526AB" w:rsidRDefault="000526AB" w:rsidP="00923B8D">
      <w:pPr>
        <w:rPr>
          <w:lang w:eastAsia="ja-JP"/>
        </w:rPr>
      </w:pPr>
      <w:r w:rsidRPr="000526AB">
        <w:rPr>
          <w:lang w:eastAsia="ja-JP"/>
        </w:rPr>
        <w:t>The incidence of ocular TEAEs in the study eye was similar in subjects in both treatment groups (63/74 [85.1%], sham+VTE PRN</w:t>
      </w:r>
      <w:r w:rsidR="0091044A">
        <w:rPr>
          <w:lang w:eastAsia="ja-JP"/>
        </w:rPr>
        <w:t xml:space="preserve"> versus </w:t>
      </w:r>
      <w:r w:rsidRPr="000526AB">
        <w:rPr>
          <w:lang w:eastAsia="ja-JP"/>
        </w:rPr>
        <w:t xml:space="preserve">100/114 [87.7%], VTE2Q4+PRN]). The most commonly reported ocular TEAEs occurring in </w:t>
      </w:r>
      <w:r w:rsidR="00085007">
        <w:rPr>
          <w:lang w:eastAsia="ja-JP"/>
        </w:rPr>
        <w:t>≥</w:t>
      </w:r>
      <w:r w:rsidRPr="000526AB">
        <w:rPr>
          <w:lang w:eastAsia="ja-JP"/>
        </w:rPr>
        <w:t xml:space="preserve"> 10% of subjects in both treatment groups (sham+VTE PRN</w:t>
      </w:r>
      <w:r w:rsidR="0091044A">
        <w:rPr>
          <w:lang w:eastAsia="ja-JP"/>
        </w:rPr>
        <w:t xml:space="preserve"> versus </w:t>
      </w:r>
      <w:r w:rsidRPr="000526AB">
        <w:rPr>
          <w:lang w:eastAsia="ja-JP"/>
        </w:rPr>
        <w:t>VTE2Q4+PRN) were: visual acuity reduced (27.0%</w:t>
      </w:r>
      <w:r w:rsidR="0091044A">
        <w:rPr>
          <w:lang w:eastAsia="ja-JP"/>
        </w:rPr>
        <w:t xml:space="preserve"> versus </w:t>
      </w:r>
      <w:r w:rsidRPr="000526AB">
        <w:rPr>
          <w:lang w:eastAsia="ja-JP"/>
        </w:rPr>
        <w:t>28.1%); conjunctival haemorrhage (20.3%</w:t>
      </w:r>
      <w:r w:rsidR="0091044A">
        <w:rPr>
          <w:lang w:eastAsia="ja-JP"/>
        </w:rPr>
        <w:t xml:space="preserve"> versus </w:t>
      </w:r>
      <w:r w:rsidRPr="000526AB">
        <w:rPr>
          <w:lang w:eastAsia="ja-JP"/>
        </w:rPr>
        <w:t>19.3%); retinal haemorrhage (16.2%</w:t>
      </w:r>
      <w:r w:rsidR="0091044A">
        <w:rPr>
          <w:lang w:eastAsia="ja-JP"/>
        </w:rPr>
        <w:t xml:space="preserve"> versus </w:t>
      </w:r>
      <w:r w:rsidRPr="000526AB">
        <w:rPr>
          <w:lang w:eastAsia="ja-JP"/>
        </w:rPr>
        <w:t>15.8%); and IOP increased (17.6%</w:t>
      </w:r>
      <w:r w:rsidR="0091044A">
        <w:rPr>
          <w:lang w:eastAsia="ja-JP"/>
        </w:rPr>
        <w:t xml:space="preserve"> versus </w:t>
      </w:r>
      <w:r w:rsidR="00923B8D">
        <w:rPr>
          <w:lang w:eastAsia="ja-JP"/>
        </w:rPr>
        <w:t>12.3%).</w:t>
      </w:r>
    </w:p>
    <w:p w:rsidR="000526AB" w:rsidRPr="000526AB" w:rsidRDefault="000526AB" w:rsidP="00923B8D">
      <w:pPr>
        <w:rPr>
          <w:lang w:eastAsia="ja-JP"/>
        </w:rPr>
      </w:pPr>
      <w:r w:rsidRPr="000526AB">
        <w:rPr>
          <w:lang w:eastAsia="ja-JP"/>
        </w:rPr>
        <w:t xml:space="preserve">Ocular TEAEs occurring in </w:t>
      </w:r>
      <w:r w:rsidR="00085007">
        <w:rPr>
          <w:lang w:eastAsia="ja-JP"/>
        </w:rPr>
        <w:t>≥</w:t>
      </w:r>
      <w:r w:rsidRPr="000526AB">
        <w:rPr>
          <w:lang w:eastAsia="ja-JP"/>
        </w:rPr>
        <w:t xml:space="preserve"> 5% of subjects in the VTE2Q4+PRN group and in </w:t>
      </w:r>
      <w:r w:rsidR="00085007">
        <w:rPr>
          <w:lang w:eastAsia="ja-JP"/>
        </w:rPr>
        <w:t>≥</w:t>
      </w:r>
      <w:r w:rsidRPr="000526AB">
        <w:rPr>
          <w:lang w:eastAsia="ja-JP"/>
        </w:rPr>
        <w:t xml:space="preserve"> 2% more subjects than in the sham+VTE PRN group were (respectively): macular oedema (18.4%</w:t>
      </w:r>
      <w:r w:rsidR="0091044A">
        <w:rPr>
          <w:lang w:eastAsia="ja-JP"/>
        </w:rPr>
        <w:t xml:space="preserve"> versus </w:t>
      </w:r>
      <w:r w:rsidRPr="000526AB">
        <w:rPr>
          <w:lang w:eastAsia="ja-JP"/>
        </w:rPr>
        <w:t>4.1%); eye pain (18.4%</w:t>
      </w:r>
      <w:r w:rsidR="0091044A">
        <w:rPr>
          <w:lang w:eastAsia="ja-JP"/>
        </w:rPr>
        <w:t xml:space="preserve"> versus </w:t>
      </w:r>
      <w:r w:rsidRPr="000526AB">
        <w:rPr>
          <w:lang w:eastAsia="ja-JP"/>
        </w:rPr>
        <w:t>9.5%); retinal vascular disorder (12.3%</w:t>
      </w:r>
      <w:r w:rsidR="0091044A">
        <w:rPr>
          <w:lang w:eastAsia="ja-JP"/>
        </w:rPr>
        <w:t xml:space="preserve"> versus </w:t>
      </w:r>
      <w:r w:rsidRPr="000526AB">
        <w:rPr>
          <w:lang w:eastAsia="ja-JP"/>
        </w:rPr>
        <w:t>9.5%); cystoid macular oedema (13.2%</w:t>
      </w:r>
      <w:r w:rsidR="0091044A">
        <w:rPr>
          <w:lang w:eastAsia="ja-JP"/>
        </w:rPr>
        <w:t xml:space="preserve"> versus </w:t>
      </w:r>
      <w:r w:rsidRPr="000526AB">
        <w:rPr>
          <w:lang w:eastAsia="ja-JP"/>
        </w:rPr>
        <w:t>6.8%); optic disc vascular disorder (12.3%</w:t>
      </w:r>
      <w:r w:rsidR="0091044A">
        <w:rPr>
          <w:lang w:eastAsia="ja-JP"/>
        </w:rPr>
        <w:t xml:space="preserve"> versus </w:t>
      </w:r>
      <w:r w:rsidRPr="000526AB">
        <w:rPr>
          <w:lang w:eastAsia="ja-JP"/>
        </w:rPr>
        <w:t>8.1%); macular fibrosis (10.5%</w:t>
      </w:r>
      <w:r w:rsidR="0091044A">
        <w:rPr>
          <w:lang w:eastAsia="ja-JP"/>
        </w:rPr>
        <w:t xml:space="preserve"> versus </w:t>
      </w:r>
      <w:r w:rsidRPr="000526AB">
        <w:rPr>
          <w:lang w:eastAsia="ja-JP"/>
        </w:rPr>
        <w:t>8.1%); retinal exudates (11.4%</w:t>
      </w:r>
      <w:r w:rsidR="0091044A">
        <w:rPr>
          <w:lang w:eastAsia="ja-JP"/>
        </w:rPr>
        <w:t xml:space="preserve"> versus </w:t>
      </w:r>
      <w:r w:rsidRPr="000526AB">
        <w:rPr>
          <w:lang w:eastAsia="ja-JP"/>
        </w:rPr>
        <w:t xml:space="preserve">6.8%); eye irritation </w:t>
      </w:r>
      <w:r w:rsidRPr="000526AB">
        <w:rPr>
          <w:lang w:eastAsia="ja-JP"/>
        </w:rPr>
        <w:lastRenderedPageBreak/>
        <w:t>(7.9%</w:t>
      </w:r>
      <w:r w:rsidR="0091044A">
        <w:rPr>
          <w:lang w:eastAsia="ja-JP"/>
        </w:rPr>
        <w:t xml:space="preserve"> versus </w:t>
      </w:r>
      <w:r w:rsidRPr="000526AB">
        <w:rPr>
          <w:lang w:eastAsia="ja-JP"/>
        </w:rPr>
        <w:t>5.4%); vitreous floaters (7.9%</w:t>
      </w:r>
      <w:r w:rsidR="0091044A">
        <w:rPr>
          <w:lang w:eastAsia="ja-JP"/>
        </w:rPr>
        <w:t xml:space="preserve"> versus </w:t>
      </w:r>
      <w:r w:rsidRPr="000526AB">
        <w:rPr>
          <w:lang w:eastAsia="ja-JP"/>
        </w:rPr>
        <w:t>5.4%); cataract (7.0%</w:t>
      </w:r>
      <w:r w:rsidR="0091044A">
        <w:rPr>
          <w:lang w:eastAsia="ja-JP"/>
        </w:rPr>
        <w:t xml:space="preserve"> versus </w:t>
      </w:r>
      <w:r w:rsidRPr="000526AB">
        <w:rPr>
          <w:lang w:eastAsia="ja-JP"/>
        </w:rPr>
        <w:t>4.1%); maculopathy (6.1%</w:t>
      </w:r>
      <w:r w:rsidR="0091044A">
        <w:rPr>
          <w:lang w:eastAsia="ja-JP"/>
        </w:rPr>
        <w:t xml:space="preserve"> versus </w:t>
      </w:r>
      <w:r w:rsidRPr="000526AB">
        <w:rPr>
          <w:lang w:eastAsia="ja-JP"/>
        </w:rPr>
        <w:t>2.7%); and ocular hyperaemia (5.3%</w:t>
      </w:r>
      <w:r w:rsidR="0091044A">
        <w:rPr>
          <w:lang w:eastAsia="ja-JP"/>
        </w:rPr>
        <w:t xml:space="preserve"> versus </w:t>
      </w:r>
      <w:r w:rsidR="00923B8D">
        <w:rPr>
          <w:lang w:eastAsia="ja-JP"/>
        </w:rPr>
        <w:t>0%).</w:t>
      </w:r>
    </w:p>
    <w:p w:rsidR="000526AB" w:rsidRPr="000526AB" w:rsidRDefault="000526AB" w:rsidP="00923B8D">
      <w:pPr>
        <w:rPr>
          <w:lang w:eastAsia="ja-JP"/>
        </w:rPr>
      </w:pPr>
      <w:r w:rsidRPr="000526AB">
        <w:rPr>
          <w:lang w:eastAsia="ja-JP"/>
        </w:rPr>
        <w:t>The majority of ocular TEAEs in the study eye in subjects in both treatment groups were mild or moderate in intensity (52 [70.2%], sham+VTE PRN</w:t>
      </w:r>
      <w:r w:rsidR="0091044A">
        <w:rPr>
          <w:lang w:eastAsia="ja-JP"/>
        </w:rPr>
        <w:t xml:space="preserve"> versus </w:t>
      </w:r>
      <w:r w:rsidRPr="000526AB">
        <w:rPr>
          <w:lang w:eastAsia="ja-JP"/>
        </w:rPr>
        <w:t>81 [78.1%], VTE2Q4+PRN). The most commonly reported severe ocular TEAEs in the study eye were (sham+VTE PRN</w:t>
      </w:r>
      <w:r w:rsidR="0091044A">
        <w:rPr>
          <w:lang w:eastAsia="ja-JP"/>
        </w:rPr>
        <w:t xml:space="preserve"> versus </w:t>
      </w:r>
      <w:r w:rsidRPr="000526AB">
        <w:rPr>
          <w:lang w:eastAsia="ja-JP"/>
        </w:rPr>
        <w:t>VTE2Q4+PRN): visual acuity reduced (2 [2.7%]</w:t>
      </w:r>
      <w:r w:rsidR="0091044A">
        <w:rPr>
          <w:lang w:eastAsia="ja-JP"/>
        </w:rPr>
        <w:t xml:space="preserve"> versus </w:t>
      </w:r>
      <w:r w:rsidRPr="000526AB">
        <w:rPr>
          <w:lang w:eastAsia="ja-JP"/>
        </w:rPr>
        <w:t>2 [1.8%]); macular oedema (1 [1.4%]</w:t>
      </w:r>
      <w:r w:rsidR="0091044A">
        <w:rPr>
          <w:lang w:eastAsia="ja-JP"/>
        </w:rPr>
        <w:t xml:space="preserve"> versus </w:t>
      </w:r>
      <w:r w:rsidRPr="000526AB">
        <w:rPr>
          <w:lang w:eastAsia="ja-JP"/>
        </w:rPr>
        <w:t>2 [1.8%]); glaucoma (2 [2.7%]</w:t>
      </w:r>
      <w:r w:rsidR="0091044A">
        <w:rPr>
          <w:lang w:eastAsia="ja-JP"/>
        </w:rPr>
        <w:t xml:space="preserve"> versus </w:t>
      </w:r>
      <w:r w:rsidRPr="000526AB">
        <w:rPr>
          <w:lang w:eastAsia="ja-JP"/>
        </w:rPr>
        <w:t>0 [0%]); vitreous haemorrhage (2 [2.7%]</w:t>
      </w:r>
      <w:r w:rsidR="0091044A">
        <w:rPr>
          <w:lang w:eastAsia="ja-JP"/>
        </w:rPr>
        <w:t xml:space="preserve"> versus </w:t>
      </w:r>
      <w:r w:rsidRPr="000526AB">
        <w:rPr>
          <w:lang w:eastAsia="ja-JP"/>
        </w:rPr>
        <w:t>0 [0%]); and cataract (1 [1.4%]</w:t>
      </w:r>
      <w:r w:rsidR="0091044A">
        <w:rPr>
          <w:lang w:eastAsia="ja-JP"/>
        </w:rPr>
        <w:t xml:space="preserve"> versus </w:t>
      </w:r>
      <w:r w:rsidRPr="000526AB">
        <w:rPr>
          <w:lang w:eastAsia="ja-JP"/>
        </w:rPr>
        <w:t>1 [0.9%]). All other severe ocular TEAEs in the study eye occurred in no more than 1 su</w:t>
      </w:r>
      <w:r w:rsidR="00923B8D">
        <w:rPr>
          <w:lang w:eastAsia="ja-JP"/>
        </w:rPr>
        <w:t>bject in either treatment group.</w:t>
      </w:r>
    </w:p>
    <w:p w:rsidR="000526AB" w:rsidRPr="000526AB" w:rsidRDefault="000526AB" w:rsidP="00F827FB">
      <w:r w:rsidRPr="000526AB">
        <w:rPr>
          <w:b/>
        </w:rPr>
        <w:t>Comment:</w:t>
      </w:r>
      <w:r w:rsidR="00085007">
        <w:rPr>
          <w:b/>
        </w:rPr>
        <w:t xml:space="preserve"> </w:t>
      </w:r>
      <w:r w:rsidRPr="000526AB">
        <w:t>The incidence of ocular TEAEs in subjects in the study eye from baseline to</w:t>
      </w:r>
      <w:r w:rsidR="00300BDB">
        <w:t xml:space="preserve"> Week 1</w:t>
      </w:r>
      <w:r w:rsidRPr="000526AB">
        <w:t>00 was similar in the sham+VTE PRN and the VTE2Q4+VTE groups (85.1%</w:t>
      </w:r>
      <w:r w:rsidR="0091044A">
        <w:t xml:space="preserve"> versus </w:t>
      </w:r>
      <w:r w:rsidRPr="000526AB">
        <w:t>87.7%, respectively). Of particular note was the increased incidence of macular oedema in subjects in the VTE2Q4+PRN group (21 [18.4%]) compared with the sham+VTE group (3 [4.1%]), and the similar proportion of patients with visual reduced (20.7%</w:t>
      </w:r>
      <w:r w:rsidR="0091044A">
        <w:t xml:space="preserve"> versus </w:t>
      </w:r>
      <w:r w:rsidRPr="000526AB">
        <w:t>28.1%, respectively). Other complications of CRVO, including cystoid macular oedema and retinal exudates, occurred more frequently in subjects in the VTE2Q4+PRN group than in the sham+VTE PRN group, while vitreous haemorrhage and retinal pigment epitheliopathy occurred more frequently in the sham+VTE PRN grou</w:t>
      </w:r>
      <w:r w:rsidR="00923B8D">
        <w:t>p than in the VTE2Q4+PRN group.</w:t>
      </w:r>
    </w:p>
    <w:p w:rsidR="000526AB" w:rsidRPr="000526AB" w:rsidRDefault="00923B8D" w:rsidP="00923B8D">
      <w:pPr>
        <w:pStyle w:val="Heading6"/>
        <w:rPr>
          <w:lang w:eastAsia="ja-JP"/>
        </w:rPr>
      </w:pPr>
      <w:r>
        <w:rPr>
          <w:lang w:eastAsia="ja-JP"/>
        </w:rPr>
        <w:t>Ocular TEAEs in the fellow eye</w:t>
      </w:r>
    </w:p>
    <w:p w:rsidR="000526AB" w:rsidRPr="000526AB" w:rsidRDefault="000526AB" w:rsidP="00923B8D">
      <w:pPr>
        <w:rPr>
          <w:lang w:eastAsia="ja-JP"/>
        </w:rPr>
      </w:pPr>
      <w:r w:rsidRPr="000526AB">
        <w:rPr>
          <w:lang w:eastAsia="ja-JP"/>
        </w:rPr>
        <w:t>From baseline to</w:t>
      </w:r>
      <w:r w:rsidR="00300BDB">
        <w:rPr>
          <w:lang w:eastAsia="ja-JP"/>
        </w:rPr>
        <w:t xml:space="preserve"> Week 1</w:t>
      </w:r>
      <w:r w:rsidRPr="000526AB">
        <w:rPr>
          <w:lang w:eastAsia="ja-JP"/>
        </w:rPr>
        <w:t>00, the overall incidence of ocular TEAEs in the fellow eye was lower in subjects in the sham+VTE PRN group than in the VTE2Q4+PRN group (34/74 [45.9%]</w:t>
      </w:r>
      <w:r w:rsidR="0091044A">
        <w:rPr>
          <w:lang w:eastAsia="ja-JP"/>
        </w:rPr>
        <w:t xml:space="preserve"> versus </w:t>
      </w:r>
      <w:r w:rsidRPr="000526AB">
        <w:rPr>
          <w:lang w:eastAsia="ja-JP"/>
        </w:rPr>
        <w:t xml:space="preserve">60/114 [52.6%], respectively). The most frequently occurring ocular TEAEs in the fellow eye occurring in </w:t>
      </w:r>
      <w:r w:rsidR="00085007">
        <w:rPr>
          <w:lang w:eastAsia="ja-JP"/>
        </w:rPr>
        <w:t>≥</w:t>
      </w:r>
      <w:r w:rsidRPr="000526AB">
        <w:rPr>
          <w:lang w:eastAsia="ja-JP"/>
        </w:rPr>
        <w:t xml:space="preserve"> 3% of subjects in either treatment group were (sham+VTE PRN</w:t>
      </w:r>
      <w:r w:rsidR="0091044A">
        <w:rPr>
          <w:lang w:eastAsia="ja-JP"/>
        </w:rPr>
        <w:t xml:space="preserve"> versus </w:t>
      </w:r>
      <w:r w:rsidRPr="000526AB">
        <w:rPr>
          <w:lang w:eastAsia="ja-JP"/>
        </w:rPr>
        <w:t>VTE2Q4+PRN): IOP increased (8.1%</w:t>
      </w:r>
      <w:r w:rsidR="0091044A">
        <w:rPr>
          <w:lang w:eastAsia="ja-JP"/>
        </w:rPr>
        <w:t xml:space="preserve"> versus </w:t>
      </w:r>
      <w:r w:rsidRPr="000526AB">
        <w:rPr>
          <w:lang w:eastAsia="ja-JP"/>
        </w:rPr>
        <w:t>9.6%); retinal haemorrhage (6.8%</w:t>
      </w:r>
      <w:r w:rsidR="0091044A">
        <w:rPr>
          <w:lang w:eastAsia="ja-JP"/>
        </w:rPr>
        <w:t xml:space="preserve"> versus </w:t>
      </w:r>
      <w:r w:rsidRPr="000526AB">
        <w:rPr>
          <w:lang w:eastAsia="ja-JP"/>
        </w:rPr>
        <w:t>7.0%); cataract (4.1%</w:t>
      </w:r>
      <w:r w:rsidR="0091044A">
        <w:rPr>
          <w:lang w:eastAsia="ja-JP"/>
        </w:rPr>
        <w:t xml:space="preserve"> versus </w:t>
      </w:r>
      <w:r w:rsidRPr="000526AB">
        <w:rPr>
          <w:lang w:eastAsia="ja-JP"/>
        </w:rPr>
        <w:t>6.1%); dry eye (8.1%</w:t>
      </w:r>
      <w:r w:rsidR="0091044A">
        <w:rPr>
          <w:lang w:eastAsia="ja-JP"/>
        </w:rPr>
        <w:t xml:space="preserve"> versus </w:t>
      </w:r>
      <w:r w:rsidRPr="000526AB">
        <w:rPr>
          <w:lang w:eastAsia="ja-JP"/>
        </w:rPr>
        <w:t>2,6%); visual acuity reduced (1.4%</w:t>
      </w:r>
      <w:r w:rsidR="0091044A">
        <w:rPr>
          <w:lang w:eastAsia="ja-JP"/>
        </w:rPr>
        <w:t xml:space="preserve"> versus </w:t>
      </w:r>
      <w:r w:rsidRPr="000526AB">
        <w:rPr>
          <w:lang w:eastAsia="ja-JP"/>
        </w:rPr>
        <w:t>4.4%); vitreous detachment (3.5%</w:t>
      </w:r>
      <w:r w:rsidR="0091044A">
        <w:rPr>
          <w:lang w:eastAsia="ja-JP"/>
        </w:rPr>
        <w:t xml:space="preserve"> versus </w:t>
      </w:r>
      <w:r w:rsidRPr="000526AB">
        <w:rPr>
          <w:lang w:eastAsia="ja-JP"/>
        </w:rPr>
        <w:t>2.7%); retinal degeneration (4.1%</w:t>
      </w:r>
      <w:r w:rsidR="0091044A">
        <w:rPr>
          <w:lang w:eastAsia="ja-JP"/>
        </w:rPr>
        <w:t xml:space="preserve"> versus </w:t>
      </w:r>
      <w:r w:rsidRPr="000526AB">
        <w:rPr>
          <w:lang w:eastAsia="ja-JP"/>
        </w:rPr>
        <w:t>1.8%); cataract nuclear (0%</w:t>
      </w:r>
      <w:r w:rsidR="0091044A">
        <w:rPr>
          <w:lang w:eastAsia="ja-JP"/>
        </w:rPr>
        <w:t xml:space="preserve"> versus </w:t>
      </w:r>
      <w:r w:rsidRPr="000526AB">
        <w:rPr>
          <w:lang w:eastAsia="ja-JP"/>
        </w:rPr>
        <w:t>3.5%); diabetic retinopathy (4.1%</w:t>
      </w:r>
      <w:r w:rsidR="0091044A">
        <w:rPr>
          <w:lang w:eastAsia="ja-JP"/>
        </w:rPr>
        <w:t xml:space="preserve"> versus </w:t>
      </w:r>
      <w:r w:rsidRPr="000526AB">
        <w:rPr>
          <w:lang w:eastAsia="ja-JP"/>
        </w:rPr>
        <w:t>0.9%); posterior capsule opacification (0%</w:t>
      </w:r>
      <w:r w:rsidR="0091044A">
        <w:rPr>
          <w:lang w:eastAsia="ja-JP"/>
        </w:rPr>
        <w:t xml:space="preserve"> versus </w:t>
      </w:r>
      <w:r w:rsidRPr="000526AB">
        <w:rPr>
          <w:lang w:eastAsia="ja-JP"/>
        </w:rPr>
        <w:t>3.5%); retinal vein occlusion (0</w:t>
      </w:r>
      <w:r w:rsidR="0091044A">
        <w:rPr>
          <w:lang w:eastAsia="ja-JP"/>
        </w:rPr>
        <w:t xml:space="preserve"> versus </w:t>
      </w:r>
      <w:r w:rsidRPr="000526AB">
        <w:rPr>
          <w:lang w:eastAsia="ja-JP"/>
        </w:rPr>
        <w:t>3.5%), and punctate keratitis (4.1%</w:t>
      </w:r>
      <w:r w:rsidR="0091044A">
        <w:rPr>
          <w:lang w:eastAsia="ja-JP"/>
        </w:rPr>
        <w:t xml:space="preserve"> versus </w:t>
      </w:r>
      <w:r w:rsidR="00923B8D">
        <w:rPr>
          <w:lang w:eastAsia="ja-JP"/>
        </w:rPr>
        <w:t>0%).</w:t>
      </w:r>
    </w:p>
    <w:p w:rsidR="000526AB" w:rsidRPr="000526AB" w:rsidRDefault="00D74B64" w:rsidP="00923B8D">
      <w:pPr>
        <w:pStyle w:val="Heading6"/>
        <w:rPr>
          <w:lang w:eastAsia="ja-JP"/>
        </w:rPr>
      </w:pPr>
      <w:r>
        <w:rPr>
          <w:lang w:eastAsia="ja-JP"/>
        </w:rPr>
        <w:t xml:space="preserve">Non-ocular </w:t>
      </w:r>
      <w:r w:rsidR="000526AB" w:rsidRPr="000526AB">
        <w:rPr>
          <w:lang w:eastAsia="ja-JP"/>
        </w:rPr>
        <w:t>TEAEs</w:t>
      </w:r>
    </w:p>
    <w:p w:rsidR="000526AB" w:rsidRPr="000526AB" w:rsidRDefault="000526AB" w:rsidP="00923B8D">
      <w:pPr>
        <w:rPr>
          <w:lang w:eastAsia="ja-JP"/>
        </w:rPr>
      </w:pPr>
      <w:r w:rsidRPr="000526AB">
        <w:rPr>
          <w:lang w:eastAsia="ja-JP"/>
        </w:rPr>
        <w:t xml:space="preserve">The incidence of </w:t>
      </w:r>
      <w:r w:rsidR="00D74B64">
        <w:rPr>
          <w:lang w:eastAsia="ja-JP"/>
        </w:rPr>
        <w:t xml:space="preserve">non-ocular </w:t>
      </w:r>
      <w:r w:rsidRPr="000526AB">
        <w:rPr>
          <w:lang w:eastAsia="ja-JP"/>
        </w:rPr>
        <w:t>TEAEs was similar in subjects in the sham+VTE PRN and VTE2Q4+PRN groups (60 [81.1%]</w:t>
      </w:r>
      <w:r w:rsidR="0091044A">
        <w:rPr>
          <w:lang w:eastAsia="ja-JP"/>
        </w:rPr>
        <w:t xml:space="preserve"> versus </w:t>
      </w:r>
      <w:r w:rsidRPr="000526AB">
        <w:rPr>
          <w:lang w:eastAsia="ja-JP"/>
        </w:rPr>
        <w:t xml:space="preserve">88 [77.2%]). The most commonly reported </w:t>
      </w:r>
      <w:r w:rsidR="00D74B64">
        <w:rPr>
          <w:lang w:eastAsia="ja-JP"/>
        </w:rPr>
        <w:t xml:space="preserve">non-ocular </w:t>
      </w:r>
      <w:r w:rsidRPr="000526AB">
        <w:rPr>
          <w:lang w:eastAsia="ja-JP"/>
        </w:rPr>
        <w:t>TEAE in subjects in the VTE2Q4+PRN group (</w:t>
      </w:r>
      <w:r w:rsidR="00085007">
        <w:rPr>
          <w:lang w:eastAsia="ja-JP"/>
        </w:rPr>
        <w:t>≥</w:t>
      </w:r>
      <w:r w:rsidRPr="000526AB">
        <w:rPr>
          <w:lang w:eastAsia="ja-JP"/>
        </w:rPr>
        <w:t xml:space="preserve"> 10%)</w:t>
      </w:r>
      <w:r w:rsidR="0091044A">
        <w:rPr>
          <w:lang w:eastAsia="ja-JP"/>
        </w:rPr>
        <w:t xml:space="preserve"> versus </w:t>
      </w:r>
      <w:r w:rsidRPr="000526AB">
        <w:rPr>
          <w:lang w:eastAsia="ja-JP"/>
        </w:rPr>
        <w:t>the sham+VTE group was hypertension (19.3%</w:t>
      </w:r>
      <w:r w:rsidR="0091044A">
        <w:rPr>
          <w:lang w:eastAsia="ja-JP"/>
        </w:rPr>
        <w:t xml:space="preserve"> versus </w:t>
      </w:r>
      <w:r w:rsidRPr="000526AB">
        <w:rPr>
          <w:lang w:eastAsia="ja-JP"/>
        </w:rPr>
        <w:t xml:space="preserve">16.2%). No other </w:t>
      </w:r>
      <w:r w:rsidR="00D74B64">
        <w:rPr>
          <w:lang w:eastAsia="ja-JP"/>
        </w:rPr>
        <w:t xml:space="preserve">non-ocular </w:t>
      </w:r>
      <w:r w:rsidRPr="000526AB">
        <w:rPr>
          <w:lang w:eastAsia="ja-JP"/>
        </w:rPr>
        <w:t xml:space="preserve">TEAEs were reported in </w:t>
      </w:r>
      <w:r w:rsidR="00085007">
        <w:rPr>
          <w:lang w:eastAsia="ja-JP"/>
        </w:rPr>
        <w:t>≥</w:t>
      </w:r>
      <w:r w:rsidRPr="000526AB">
        <w:rPr>
          <w:lang w:eastAsia="ja-JP"/>
        </w:rPr>
        <w:t xml:space="preserve"> 10% of subjects in the VTE2Q4+PRN group.</w:t>
      </w:r>
      <w:r w:rsidR="00301349">
        <w:rPr>
          <w:lang w:eastAsia="ja-JP"/>
        </w:rPr>
        <w:t xml:space="preserve"> </w:t>
      </w:r>
      <w:r w:rsidR="00D74B64">
        <w:rPr>
          <w:lang w:eastAsia="ja-JP"/>
        </w:rPr>
        <w:t xml:space="preserve">Non-ocular </w:t>
      </w:r>
      <w:r w:rsidRPr="000526AB">
        <w:rPr>
          <w:lang w:eastAsia="ja-JP"/>
        </w:rPr>
        <w:t xml:space="preserve">TEAEs reported in </w:t>
      </w:r>
      <w:r w:rsidR="00BC1794">
        <w:rPr>
          <w:lang w:eastAsia="ja-JP"/>
        </w:rPr>
        <w:t>≥</w:t>
      </w:r>
      <w:r w:rsidRPr="000526AB">
        <w:rPr>
          <w:lang w:eastAsia="ja-JP"/>
        </w:rPr>
        <w:t xml:space="preserve"> 5% of subjects in the VTE2Q4+PRN group and in </w:t>
      </w:r>
      <w:r w:rsidR="00BC1794">
        <w:rPr>
          <w:lang w:eastAsia="ja-JP"/>
        </w:rPr>
        <w:t>≥</w:t>
      </w:r>
      <w:r w:rsidRPr="000526AB">
        <w:rPr>
          <w:lang w:eastAsia="ja-JP"/>
        </w:rPr>
        <w:t xml:space="preserve"> 2% more subjects than in the sham+VTE PRN group from baseline to</w:t>
      </w:r>
      <w:r w:rsidR="00300BDB">
        <w:rPr>
          <w:lang w:eastAsia="ja-JP"/>
        </w:rPr>
        <w:t xml:space="preserve"> Week 1</w:t>
      </w:r>
      <w:r w:rsidRPr="000526AB">
        <w:rPr>
          <w:lang w:eastAsia="ja-JP"/>
        </w:rPr>
        <w:t>00 were: hypertension (19.3%</w:t>
      </w:r>
      <w:r w:rsidR="0091044A">
        <w:rPr>
          <w:lang w:eastAsia="ja-JP"/>
        </w:rPr>
        <w:t xml:space="preserve"> versus </w:t>
      </w:r>
      <w:r w:rsidRPr="000526AB">
        <w:rPr>
          <w:lang w:eastAsia="ja-JP"/>
        </w:rPr>
        <w:t>16.2%); nasopharyngitis (8.8%</w:t>
      </w:r>
      <w:r w:rsidR="0091044A">
        <w:rPr>
          <w:lang w:eastAsia="ja-JP"/>
        </w:rPr>
        <w:t xml:space="preserve"> versus </w:t>
      </w:r>
      <w:r w:rsidRPr="000526AB">
        <w:rPr>
          <w:lang w:eastAsia="ja-JP"/>
        </w:rPr>
        <w:t>6.8%); upper respiratory tract infections (8.8%</w:t>
      </w:r>
      <w:r w:rsidR="0091044A">
        <w:rPr>
          <w:lang w:eastAsia="ja-JP"/>
        </w:rPr>
        <w:t xml:space="preserve"> versus </w:t>
      </w:r>
      <w:r w:rsidRPr="000526AB">
        <w:rPr>
          <w:lang w:eastAsia="ja-JP"/>
        </w:rPr>
        <w:t>5.4%); influenza (7.9%</w:t>
      </w:r>
      <w:r w:rsidR="0091044A">
        <w:rPr>
          <w:lang w:eastAsia="ja-JP"/>
        </w:rPr>
        <w:t xml:space="preserve"> versus </w:t>
      </w:r>
      <w:r w:rsidRPr="000526AB">
        <w:rPr>
          <w:lang w:eastAsia="ja-JP"/>
        </w:rPr>
        <w:t>5.4%); bronchitis (6.1%</w:t>
      </w:r>
      <w:r w:rsidR="0091044A">
        <w:rPr>
          <w:lang w:eastAsia="ja-JP"/>
        </w:rPr>
        <w:t xml:space="preserve"> versus </w:t>
      </w:r>
      <w:r w:rsidRPr="000526AB">
        <w:rPr>
          <w:lang w:eastAsia="ja-JP"/>
        </w:rPr>
        <w:t>4.1%); sinusitis (6.1%</w:t>
      </w:r>
      <w:r w:rsidR="0091044A">
        <w:rPr>
          <w:lang w:eastAsia="ja-JP"/>
        </w:rPr>
        <w:t xml:space="preserve"> versus </w:t>
      </w:r>
      <w:r w:rsidRPr="000526AB">
        <w:rPr>
          <w:lang w:eastAsia="ja-JP"/>
        </w:rPr>
        <w:t>4.1%); urinary tract infection (6.1%</w:t>
      </w:r>
      <w:r w:rsidR="0091044A">
        <w:rPr>
          <w:lang w:eastAsia="ja-JP"/>
        </w:rPr>
        <w:t xml:space="preserve"> versus </w:t>
      </w:r>
      <w:r w:rsidRPr="000526AB">
        <w:rPr>
          <w:lang w:eastAsia="ja-JP"/>
        </w:rPr>
        <w:t>4.1%); and anaemia (5.3%</w:t>
      </w:r>
      <w:r w:rsidR="0091044A">
        <w:rPr>
          <w:lang w:eastAsia="ja-JP"/>
        </w:rPr>
        <w:t xml:space="preserve"> versus </w:t>
      </w:r>
      <w:r w:rsidRPr="000526AB">
        <w:rPr>
          <w:lang w:eastAsia="ja-JP"/>
        </w:rPr>
        <w:t xml:space="preserve">2.7%). The majority of </w:t>
      </w:r>
      <w:r w:rsidR="00D74B64">
        <w:rPr>
          <w:lang w:eastAsia="ja-JP"/>
        </w:rPr>
        <w:t xml:space="preserve">non-ocular </w:t>
      </w:r>
      <w:r w:rsidRPr="000526AB">
        <w:rPr>
          <w:lang w:eastAsia="ja-JP"/>
        </w:rPr>
        <w:t xml:space="preserve">TEAEs were mild or moderate in intensity in subjects in both treatment groups. Severe </w:t>
      </w:r>
      <w:r w:rsidR="00D74B64">
        <w:rPr>
          <w:lang w:eastAsia="ja-JP"/>
        </w:rPr>
        <w:t xml:space="preserve">non-ocular </w:t>
      </w:r>
      <w:r w:rsidRPr="000526AB">
        <w:rPr>
          <w:lang w:eastAsia="ja-JP"/>
        </w:rPr>
        <w:t xml:space="preserve">TEAEs occurred in a greater proportion of subjects in the sham+VTE PRN group (13 [17.6%]) than in the VTE2Q4+PRN group (13 [11.4%]). Severe bronchitis and severe pneumonia were each experienced by 2 subjects in the sham+VTE PRN group. None of the other severe </w:t>
      </w:r>
      <w:r w:rsidR="00D74B64">
        <w:rPr>
          <w:lang w:eastAsia="ja-JP"/>
        </w:rPr>
        <w:t xml:space="preserve">non-ocular </w:t>
      </w:r>
      <w:r w:rsidRPr="000526AB">
        <w:rPr>
          <w:lang w:eastAsia="ja-JP"/>
        </w:rPr>
        <w:t>TEAEs occurred in more than 1 sub</w:t>
      </w:r>
      <w:r w:rsidR="00923B8D">
        <w:rPr>
          <w:lang w:eastAsia="ja-JP"/>
        </w:rPr>
        <w:t>ject in either treatment group.</w:t>
      </w:r>
    </w:p>
    <w:p w:rsidR="000526AB" w:rsidRPr="000526AB" w:rsidRDefault="000526AB" w:rsidP="00923B8D">
      <w:pPr>
        <w:pStyle w:val="Heading6"/>
        <w:rPr>
          <w:lang w:eastAsia="ja-JP"/>
        </w:rPr>
      </w:pPr>
      <w:r w:rsidRPr="000526AB">
        <w:rPr>
          <w:lang w:eastAsia="ja-JP"/>
        </w:rPr>
        <w:t>Drug-related TEAEs</w:t>
      </w:r>
    </w:p>
    <w:p w:rsidR="000526AB" w:rsidRPr="000526AB" w:rsidRDefault="000526AB" w:rsidP="00923B8D">
      <w:pPr>
        <w:rPr>
          <w:lang w:eastAsia="ja-JP"/>
        </w:rPr>
      </w:pPr>
      <w:r w:rsidRPr="000526AB">
        <w:rPr>
          <w:lang w:eastAsia="ja-JP"/>
        </w:rPr>
        <w:t>The overall incidence of drug-related ocular TEAEs in the study eye from baseline to</w:t>
      </w:r>
      <w:r w:rsidR="00300BDB">
        <w:rPr>
          <w:lang w:eastAsia="ja-JP"/>
        </w:rPr>
        <w:t xml:space="preserve"> Week 1</w:t>
      </w:r>
      <w:r w:rsidRPr="000526AB">
        <w:rPr>
          <w:lang w:eastAsia="ja-JP"/>
        </w:rPr>
        <w:t>00 was low (5 subjects [6.8%], sham+VTE PRN</w:t>
      </w:r>
      <w:r w:rsidR="0091044A">
        <w:rPr>
          <w:lang w:eastAsia="ja-JP"/>
        </w:rPr>
        <w:t xml:space="preserve"> versus </w:t>
      </w:r>
      <w:r w:rsidRPr="000526AB">
        <w:rPr>
          <w:lang w:eastAsia="ja-JP"/>
        </w:rPr>
        <w:t xml:space="preserve">3 subjects [2.6%], VTE2Q4+PRN). No drug-related ocular TEAEs in the study eye occurred in more than 1 subject in either treatment group. Drug-related </w:t>
      </w:r>
      <w:r w:rsidR="00D74B64">
        <w:rPr>
          <w:lang w:eastAsia="ja-JP"/>
        </w:rPr>
        <w:t xml:space="preserve">non-ocular </w:t>
      </w:r>
      <w:r w:rsidRPr="000526AB">
        <w:rPr>
          <w:lang w:eastAsia="ja-JP"/>
        </w:rPr>
        <w:t>TEAEs from baseline to</w:t>
      </w:r>
      <w:r w:rsidR="00300BDB">
        <w:rPr>
          <w:lang w:eastAsia="ja-JP"/>
        </w:rPr>
        <w:t xml:space="preserve"> Week 1</w:t>
      </w:r>
      <w:r w:rsidRPr="000526AB">
        <w:rPr>
          <w:lang w:eastAsia="ja-JP"/>
        </w:rPr>
        <w:t xml:space="preserve">00 were reported in 1 subject in </w:t>
      </w:r>
      <w:r w:rsidRPr="000526AB">
        <w:rPr>
          <w:lang w:eastAsia="ja-JP"/>
        </w:rPr>
        <w:lastRenderedPageBreak/>
        <w:t>the sham+VTE PRN group (acute MI) and 1 subject in the VTE2Q4+PRN group (urine pr</w:t>
      </w:r>
      <w:r w:rsidR="00923B8D">
        <w:rPr>
          <w:lang w:eastAsia="ja-JP"/>
        </w:rPr>
        <w:t>otein/creatine ratio increased.</w:t>
      </w:r>
    </w:p>
    <w:p w:rsidR="000526AB" w:rsidRPr="000526AB" w:rsidRDefault="00923B8D" w:rsidP="00923B8D">
      <w:pPr>
        <w:pStyle w:val="Heading6"/>
        <w:rPr>
          <w:lang w:eastAsia="ja-JP"/>
        </w:rPr>
      </w:pPr>
      <w:r>
        <w:rPr>
          <w:lang w:eastAsia="ja-JP"/>
        </w:rPr>
        <w:t>Injection-related TEAEs</w:t>
      </w:r>
    </w:p>
    <w:p w:rsidR="000526AB" w:rsidRPr="000526AB" w:rsidRDefault="000526AB" w:rsidP="00923B8D">
      <w:pPr>
        <w:rPr>
          <w:lang w:eastAsia="ja-JP"/>
        </w:rPr>
      </w:pPr>
      <w:r w:rsidRPr="000526AB">
        <w:rPr>
          <w:lang w:eastAsia="ja-JP"/>
        </w:rPr>
        <w:t xml:space="preserve">The incidence of injection-related TEAEs in the study eye was higher in subjects in the sham+VTE PRN group (21/74 [28.4%]) than in the VTE2Q4+PRN group (45/114 [39.5%]). The most commonly reported injection-related TEAEs occurring with an incidence of </w:t>
      </w:r>
      <w:r w:rsidR="00BC1794">
        <w:rPr>
          <w:lang w:eastAsia="ja-JP"/>
        </w:rPr>
        <w:t>≥</w:t>
      </w:r>
      <w:r w:rsidRPr="000526AB">
        <w:rPr>
          <w:lang w:eastAsia="ja-JP"/>
        </w:rPr>
        <w:t xml:space="preserve"> 5% of subjects in either of the two groups</w:t>
      </w:r>
      <w:r w:rsidR="00301349">
        <w:rPr>
          <w:lang w:eastAsia="ja-JP"/>
        </w:rPr>
        <w:t xml:space="preserve"> </w:t>
      </w:r>
      <w:r w:rsidRPr="000526AB">
        <w:rPr>
          <w:lang w:eastAsia="ja-JP"/>
        </w:rPr>
        <w:t>(sham+VTE PRN</w:t>
      </w:r>
      <w:r w:rsidR="0091044A">
        <w:rPr>
          <w:lang w:eastAsia="ja-JP"/>
        </w:rPr>
        <w:t xml:space="preserve"> versus </w:t>
      </w:r>
      <w:r w:rsidRPr="000526AB">
        <w:rPr>
          <w:lang w:eastAsia="ja-JP"/>
        </w:rPr>
        <w:t>VTE2Q4+PRN) were conjunctival haemorrhage (18.9%</w:t>
      </w:r>
      <w:r w:rsidR="0091044A">
        <w:rPr>
          <w:lang w:eastAsia="ja-JP"/>
        </w:rPr>
        <w:t xml:space="preserve"> versus </w:t>
      </w:r>
      <w:r w:rsidRPr="000526AB">
        <w:rPr>
          <w:lang w:eastAsia="ja-JP"/>
        </w:rPr>
        <w:t>18.4%) and eye pain (5.4%</w:t>
      </w:r>
      <w:r w:rsidR="0091044A">
        <w:rPr>
          <w:lang w:eastAsia="ja-JP"/>
        </w:rPr>
        <w:t xml:space="preserve"> versus </w:t>
      </w:r>
      <w:r w:rsidRPr="000526AB">
        <w:rPr>
          <w:lang w:eastAsia="ja-JP"/>
        </w:rPr>
        <w:t xml:space="preserve">13.2%). Other injection-related TEAEs in the study eye occurring in </w:t>
      </w:r>
      <w:r w:rsidR="00BC1794">
        <w:rPr>
          <w:lang w:eastAsia="ja-JP"/>
        </w:rPr>
        <w:t>≥</w:t>
      </w:r>
      <w:r w:rsidRPr="000526AB">
        <w:rPr>
          <w:lang w:eastAsia="ja-JP"/>
        </w:rPr>
        <w:t xml:space="preserve"> 2% of subjects in the VTE2Q4+PRN group and in </w:t>
      </w:r>
      <w:r w:rsidR="00BC1794">
        <w:rPr>
          <w:lang w:eastAsia="ja-JP"/>
        </w:rPr>
        <w:t>≥</w:t>
      </w:r>
      <w:r w:rsidRPr="000526AB">
        <w:rPr>
          <w:lang w:eastAsia="ja-JP"/>
        </w:rPr>
        <w:t xml:space="preserve"> 2% more subjects than in the sham+VTE PRN group were: vitreous floaters (4.4%</w:t>
      </w:r>
      <w:r w:rsidR="0091044A">
        <w:rPr>
          <w:lang w:eastAsia="ja-JP"/>
        </w:rPr>
        <w:t xml:space="preserve"> versus </w:t>
      </w:r>
      <w:r w:rsidRPr="000526AB">
        <w:rPr>
          <w:lang w:eastAsia="ja-JP"/>
        </w:rPr>
        <w:t>1.4%); ocular hyperaemia (4.4%</w:t>
      </w:r>
      <w:r w:rsidR="0091044A">
        <w:rPr>
          <w:lang w:eastAsia="ja-JP"/>
        </w:rPr>
        <w:t xml:space="preserve"> versus </w:t>
      </w:r>
      <w:r w:rsidRPr="000526AB">
        <w:rPr>
          <w:lang w:eastAsia="ja-JP"/>
        </w:rPr>
        <w:t>0%); IOP increased (2.6%</w:t>
      </w:r>
      <w:r w:rsidR="0091044A">
        <w:rPr>
          <w:lang w:eastAsia="ja-JP"/>
        </w:rPr>
        <w:t xml:space="preserve"> versus </w:t>
      </w:r>
      <w:r w:rsidRPr="000526AB">
        <w:rPr>
          <w:lang w:eastAsia="ja-JP"/>
        </w:rPr>
        <w:t>0%); punctate keratitis (2.6%</w:t>
      </w:r>
      <w:r w:rsidR="0091044A">
        <w:rPr>
          <w:lang w:eastAsia="ja-JP"/>
        </w:rPr>
        <w:t xml:space="preserve"> versus </w:t>
      </w:r>
      <w:r w:rsidRPr="000526AB">
        <w:rPr>
          <w:lang w:eastAsia="ja-JP"/>
        </w:rPr>
        <w:t>0%); and vitreous detachment (2.6%</w:t>
      </w:r>
      <w:r w:rsidR="0091044A">
        <w:rPr>
          <w:lang w:eastAsia="ja-JP"/>
        </w:rPr>
        <w:t xml:space="preserve"> versus </w:t>
      </w:r>
      <w:r w:rsidRPr="000526AB">
        <w:rPr>
          <w:lang w:eastAsia="ja-JP"/>
        </w:rPr>
        <w:t>0%). All other injection related TEAEs occurred in a similar proportion of subjects in both treatment groups. From baseline to</w:t>
      </w:r>
      <w:r w:rsidR="00300BDB">
        <w:rPr>
          <w:lang w:eastAsia="ja-JP"/>
        </w:rPr>
        <w:t xml:space="preserve"> Week 1</w:t>
      </w:r>
      <w:r w:rsidRPr="000526AB">
        <w:rPr>
          <w:lang w:eastAsia="ja-JP"/>
        </w:rPr>
        <w:t xml:space="preserve">00, there was 1 injection related TEAE reported in the </w:t>
      </w:r>
      <w:r w:rsidRPr="000526AB">
        <w:rPr>
          <w:b/>
          <w:lang w:eastAsia="ja-JP"/>
        </w:rPr>
        <w:t>fellow eye</w:t>
      </w:r>
      <w:r w:rsidRPr="000526AB">
        <w:rPr>
          <w:lang w:eastAsia="ja-JP"/>
        </w:rPr>
        <w:t xml:space="preserve"> (conjunctival haemor</w:t>
      </w:r>
      <w:r w:rsidR="00923B8D">
        <w:rPr>
          <w:lang w:eastAsia="ja-JP"/>
        </w:rPr>
        <w:t>rhage) in the VTE2Q4+PRN group.</w:t>
      </w:r>
    </w:p>
    <w:p w:rsidR="000526AB" w:rsidRPr="000526AB" w:rsidRDefault="000526AB" w:rsidP="00923B8D">
      <w:pPr>
        <w:pStyle w:val="Heading5"/>
      </w:pPr>
      <w:bookmarkStart w:id="165" w:name="_Toc221697320"/>
      <w:r w:rsidRPr="000526AB">
        <w:t>Death and other treatment emergent serious adverse events (SAEs)</w:t>
      </w:r>
      <w:bookmarkEnd w:id="165"/>
    </w:p>
    <w:p w:rsidR="000526AB" w:rsidRPr="000526AB" w:rsidRDefault="000526AB" w:rsidP="00923B8D">
      <w:pPr>
        <w:pStyle w:val="Heading6"/>
        <w:rPr>
          <w:lang w:eastAsia="ja-JP"/>
        </w:rPr>
      </w:pPr>
      <w:r w:rsidRPr="000526AB">
        <w:rPr>
          <w:lang w:eastAsia="ja-JP"/>
        </w:rPr>
        <w:t>Death</w:t>
      </w:r>
    </w:p>
    <w:p w:rsidR="000526AB" w:rsidRPr="000526AB" w:rsidRDefault="00BC1794" w:rsidP="00923B8D">
      <w:pPr>
        <w:rPr>
          <w:lang w:eastAsia="ja-JP"/>
        </w:rPr>
      </w:pPr>
      <w:r>
        <w:rPr>
          <w:lang w:eastAsia="ja-JP"/>
        </w:rPr>
        <w:t>There were 4 deaths from W</w:t>
      </w:r>
      <w:r w:rsidR="000526AB" w:rsidRPr="000526AB">
        <w:rPr>
          <w:lang w:eastAsia="ja-JP"/>
        </w:rPr>
        <w:t>eek 0 to</w:t>
      </w:r>
      <w:r w:rsidR="00300BDB">
        <w:rPr>
          <w:lang w:eastAsia="ja-JP"/>
        </w:rPr>
        <w:t xml:space="preserve"> Week 1</w:t>
      </w:r>
      <w:r w:rsidR="000526AB" w:rsidRPr="000526AB">
        <w:rPr>
          <w:lang w:eastAsia="ja-JP"/>
        </w:rPr>
        <w:t>00 and all occurred in the sham+VTE PRN group (1 arrhythmia</w:t>
      </w:r>
      <w:r w:rsidR="00D74B64">
        <w:rPr>
          <w:lang w:eastAsia="ja-JP"/>
        </w:rPr>
        <w:t xml:space="preserve"> </w:t>
      </w:r>
      <w:r w:rsidR="000526AB" w:rsidRPr="000526AB">
        <w:rPr>
          <w:lang w:eastAsia="ja-JP"/>
        </w:rPr>
        <w:t>54 days after last dose; 1 acute MI</w:t>
      </w:r>
      <w:r w:rsidR="00D74B64">
        <w:rPr>
          <w:lang w:eastAsia="ja-JP"/>
        </w:rPr>
        <w:t xml:space="preserve"> </w:t>
      </w:r>
      <w:r w:rsidR="000526AB" w:rsidRPr="000526AB">
        <w:rPr>
          <w:lang w:eastAsia="ja-JP"/>
        </w:rPr>
        <w:t>3 days after last dose; 1 oesophageal adenocarcinoma stage IV, 85 days after last dose; 1 pneu</w:t>
      </w:r>
      <w:r w:rsidR="00923B8D">
        <w:rPr>
          <w:lang w:eastAsia="ja-JP"/>
        </w:rPr>
        <w:t>monia 47 days after last dose).</w:t>
      </w:r>
    </w:p>
    <w:p w:rsidR="000526AB" w:rsidRPr="000526AB" w:rsidRDefault="000526AB" w:rsidP="00923B8D">
      <w:pPr>
        <w:pStyle w:val="Heading6"/>
        <w:rPr>
          <w:lang w:eastAsia="ja-JP"/>
        </w:rPr>
      </w:pPr>
      <w:r w:rsidRPr="000526AB">
        <w:rPr>
          <w:lang w:eastAsia="ja-JP"/>
        </w:rPr>
        <w:t>Ocular treatment-emergen</w:t>
      </w:r>
      <w:r w:rsidR="00923B8D">
        <w:rPr>
          <w:lang w:eastAsia="ja-JP"/>
        </w:rPr>
        <w:t>t serious adverse events (SAEs)</w:t>
      </w:r>
    </w:p>
    <w:p w:rsidR="000526AB" w:rsidRPr="000526AB" w:rsidRDefault="000526AB" w:rsidP="00923B8D">
      <w:pPr>
        <w:rPr>
          <w:lang w:eastAsia="ja-JP"/>
        </w:rPr>
      </w:pPr>
      <w:r w:rsidRPr="000526AB">
        <w:rPr>
          <w:lang w:eastAsia="ja-JP"/>
        </w:rPr>
        <w:t xml:space="preserve">Ocular SAEs in the </w:t>
      </w:r>
      <w:r w:rsidRPr="000526AB">
        <w:rPr>
          <w:b/>
          <w:lang w:eastAsia="ja-JP"/>
        </w:rPr>
        <w:t>study eye</w:t>
      </w:r>
      <w:r w:rsidRPr="000526AB">
        <w:rPr>
          <w:lang w:eastAsia="ja-JP"/>
        </w:rPr>
        <w:t xml:space="preserve"> reported in subjects from baseline to</w:t>
      </w:r>
      <w:r w:rsidR="00300BDB">
        <w:rPr>
          <w:lang w:eastAsia="ja-JP"/>
        </w:rPr>
        <w:t xml:space="preserve"> Week 1</w:t>
      </w:r>
      <w:r w:rsidRPr="000526AB">
        <w:rPr>
          <w:lang w:eastAsia="ja-JP"/>
        </w:rPr>
        <w:t xml:space="preserve">00 are </w:t>
      </w:r>
      <w:r w:rsidR="00301349">
        <w:rPr>
          <w:lang w:eastAsia="ja-JP"/>
        </w:rPr>
        <w:t>summarised</w:t>
      </w:r>
      <w:r w:rsidRPr="000526AB">
        <w:rPr>
          <w:lang w:eastAsia="ja-JP"/>
        </w:rPr>
        <w:t xml:space="preserve"> below in Table 3</w:t>
      </w:r>
      <w:r w:rsidR="00BC1794">
        <w:rPr>
          <w:lang w:eastAsia="ja-JP"/>
        </w:rPr>
        <w:t>1</w:t>
      </w:r>
      <w:r w:rsidRPr="000526AB">
        <w:rPr>
          <w:lang w:eastAsia="ja-JP"/>
        </w:rPr>
        <w:t>. Overall, the incidence of ocular SAEs in the study eye was about 2</w:t>
      </w:r>
      <w:r w:rsidR="00BC1794">
        <w:rPr>
          <w:lang w:eastAsia="ja-JP"/>
        </w:rPr>
        <w:t xml:space="preserve"> </w:t>
      </w:r>
      <w:r w:rsidRPr="000526AB">
        <w:rPr>
          <w:lang w:eastAsia="ja-JP"/>
        </w:rPr>
        <w:t>fold higher in the sham+VTE PRN group (16.2%) than in the VTE2Q4+PRN group (8.8%). The most commonly reported ocular SAE in the study eye in the VTE2Q4+PRN group was cataract (3.5%, VTE2Q4+PRN</w:t>
      </w:r>
      <w:r w:rsidR="0091044A">
        <w:rPr>
          <w:lang w:eastAsia="ja-JP"/>
        </w:rPr>
        <w:t xml:space="preserve"> versus </w:t>
      </w:r>
      <w:r w:rsidRPr="000526AB">
        <w:rPr>
          <w:lang w:eastAsia="ja-JP"/>
        </w:rPr>
        <w:t xml:space="preserve">1.4%, sham+VTE PRN). The only other ocular SAE in the study eye reported in </w:t>
      </w:r>
      <w:r w:rsidR="00BC1794">
        <w:rPr>
          <w:lang w:eastAsia="ja-JP"/>
        </w:rPr>
        <w:t>≥</w:t>
      </w:r>
      <w:r w:rsidRPr="000526AB">
        <w:rPr>
          <w:lang w:eastAsia="ja-JP"/>
        </w:rPr>
        <w:t xml:space="preserve"> 1 % of subjects in the VTE2Q4+PRN group and more commonly than in the sham+VTE PRN group was cystoid macular oedema (2 [1.8%]</w:t>
      </w:r>
      <w:r w:rsidR="0091044A">
        <w:rPr>
          <w:lang w:eastAsia="ja-JP"/>
        </w:rPr>
        <w:t xml:space="preserve"> versus </w:t>
      </w:r>
      <w:r w:rsidRPr="000526AB">
        <w:rPr>
          <w:lang w:eastAsia="ja-JP"/>
        </w:rPr>
        <w:t xml:space="preserve">0 [0%]). All other ocular SAEs in the study eye in the VTE2Q4+PRN group were each reported in 1 subject and with the same or lower incidence </w:t>
      </w:r>
      <w:r w:rsidR="00923B8D">
        <w:rPr>
          <w:lang w:eastAsia="ja-JP"/>
        </w:rPr>
        <w:t>than in the sham+VTE PRN group.</w:t>
      </w:r>
    </w:p>
    <w:p w:rsidR="000526AB" w:rsidRPr="000526AB" w:rsidRDefault="000526AB" w:rsidP="00923B8D">
      <w:pPr>
        <w:pStyle w:val="TableTitle"/>
        <w:rPr>
          <w:lang w:eastAsia="ja-JP"/>
        </w:rPr>
      </w:pPr>
      <w:bookmarkStart w:id="166" w:name="_Toc221767084"/>
      <w:r w:rsidRPr="000526AB">
        <w:rPr>
          <w:lang w:eastAsia="ja-JP"/>
        </w:rPr>
        <w:t>Table</w:t>
      </w:r>
      <w:r w:rsidR="00BC1794">
        <w:rPr>
          <w:lang w:eastAsia="ja-JP"/>
        </w:rPr>
        <w:t xml:space="preserve"> 31</w:t>
      </w:r>
      <w:r w:rsidRPr="000526AB">
        <w:rPr>
          <w:lang w:eastAsia="ja-JP"/>
        </w:rPr>
        <w:t>: COPERNICUS – Baseline to</w:t>
      </w:r>
      <w:r w:rsidR="00300BDB">
        <w:rPr>
          <w:lang w:eastAsia="ja-JP"/>
        </w:rPr>
        <w:t xml:space="preserve"> Week 1</w:t>
      </w:r>
      <w:r w:rsidRPr="000526AB">
        <w:rPr>
          <w:lang w:eastAsia="ja-JP"/>
        </w:rPr>
        <w:t>00, ocular SAEs in the study eye; SAF.</w:t>
      </w:r>
      <w:bookmarkEnd w:id="166"/>
    </w:p>
    <w:p w:rsidR="000526AB" w:rsidRPr="000526AB" w:rsidRDefault="000526AB" w:rsidP="00923B8D">
      <w:pPr>
        <w:rPr>
          <w:lang w:eastAsia="ja-JP"/>
        </w:rPr>
      </w:pPr>
      <w:r w:rsidRPr="000526AB">
        <w:rPr>
          <w:noProof/>
          <w:lang w:eastAsia="en-AU"/>
        </w:rPr>
        <w:drawing>
          <wp:inline distT="0" distB="0" distL="0" distR="0" wp14:anchorId="41E87422" wp14:editId="0DBC1645">
            <wp:extent cx="4857750" cy="2671763"/>
            <wp:effectExtent l="19050" t="0" r="0" b="0"/>
            <wp:docPr id="65" name="Picture 2" descr="Table 31: COPERNICUS – Baseline to Week 100, ocular SAEs in the study eye;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duotone>
                        <a:prstClr val="black"/>
                        <a:schemeClr val="bg1">
                          <a:tint val="45000"/>
                          <a:satMod val="400000"/>
                        </a:schemeClr>
                      </a:duotone>
                    </a:blip>
                    <a:srcRect/>
                    <a:stretch>
                      <a:fillRect/>
                    </a:stretch>
                  </pic:blipFill>
                  <pic:spPr bwMode="auto">
                    <a:xfrm>
                      <a:off x="0" y="0"/>
                      <a:ext cx="4855351" cy="2670444"/>
                    </a:xfrm>
                    <a:prstGeom prst="rect">
                      <a:avLst/>
                    </a:prstGeom>
                    <a:noFill/>
                    <a:ln w="9525">
                      <a:noFill/>
                      <a:miter lim="800000"/>
                      <a:headEnd/>
                      <a:tailEnd/>
                    </a:ln>
                  </pic:spPr>
                </pic:pic>
              </a:graphicData>
            </a:graphic>
          </wp:inline>
        </w:drawing>
      </w:r>
    </w:p>
    <w:p w:rsidR="000526AB" w:rsidRPr="000526AB" w:rsidRDefault="000526AB" w:rsidP="00923B8D">
      <w:pPr>
        <w:rPr>
          <w:lang w:eastAsia="ja-JP"/>
        </w:rPr>
      </w:pPr>
      <w:r w:rsidRPr="000526AB">
        <w:rPr>
          <w:lang w:eastAsia="ja-JP"/>
        </w:rPr>
        <w:lastRenderedPageBreak/>
        <w:t>From baseline to</w:t>
      </w:r>
      <w:r w:rsidR="00300BDB">
        <w:rPr>
          <w:lang w:eastAsia="ja-JP"/>
        </w:rPr>
        <w:t xml:space="preserve"> Week 1</w:t>
      </w:r>
      <w:r w:rsidRPr="000526AB">
        <w:rPr>
          <w:lang w:eastAsia="ja-JP"/>
        </w:rPr>
        <w:t xml:space="preserve">00, ocular treatment-emergent SAEs in the </w:t>
      </w:r>
      <w:r w:rsidRPr="000526AB">
        <w:rPr>
          <w:b/>
          <w:lang w:eastAsia="ja-JP"/>
        </w:rPr>
        <w:t>fellow eye</w:t>
      </w:r>
      <w:r w:rsidRPr="000526AB">
        <w:rPr>
          <w:lang w:eastAsia="ja-JP"/>
        </w:rPr>
        <w:t xml:space="preserve"> were experienced by 2 subjects in the VTE2Q4+PRN group (cataract, conjunctival haemorrhage, facial bones fracture, IOP increased, macular fibrosis, posterior capsule opacification, and vitreous haemorrhage), and 1 subject in the sham+VTE PRN</w:t>
      </w:r>
      <w:r w:rsidR="00923B8D">
        <w:rPr>
          <w:lang w:eastAsia="ja-JP"/>
        </w:rPr>
        <w:t xml:space="preserve"> group (periorbital cellulitis)</w:t>
      </w:r>
    </w:p>
    <w:p w:rsidR="000526AB" w:rsidRPr="000526AB" w:rsidRDefault="000526AB" w:rsidP="00923B8D">
      <w:pPr>
        <w:pStyle w:val="Heading6"/>
        <w:rPr>
          <w:lang w:eastAsia="ja-JP"/>
        </w:rPr>
      </w:pPr>
      <w:r w:rsidRPr="000526AB">
        <w:rPr>
          <w:lang w:eastAsia="ja-JP"/>
        </w:rPr>
        <w:t xml:space="preserve">Treatment emergent </w:t>
      </w:r>
      <w:r w:rsidR="00D74B64">
        <w:rPr>
          <w:lang w:eastAsia="ja-JP"/>
        </w:rPr>
        <w:t xml:space="preserve">non-ocular </w:t>
      </w:r>
      <w:r w:rsidRPr="000526AB">
        <w:rPr>
          <w:lang w:eastAsia="ja-JP"/>
        </w:rPr>
        <w:t>serious adverse events (SAEs)</w:t>
      </w:r>
    </w:p>
    <w:p w:rsidR="000526AB" w:rsidRPr="000526AB" w:rsidRDefault="000526AB" w:rsidP="00923B8D">
      <w:pPr>
        <w:rPr>
          <w:lang w:eastAsia="ja-JP"/>
        </w:rPr>
      </w:pPr>
      <w:r w:rsidRPr="000526AB">
        <w:rPr>
          <w:lang w:eastAsia="ja-JP"/>
        </w:rPr>
        <w:t>From baseline to</w:t>
      </w:r>
      <w:r w:rsidR="00300BDB">
        <w:rPr>
          <w:lang w:eastAsia="ja-JP"/>
        </w:rPr>
        <w:t xml:space="preserve"> Week 1</w:t>
      </w:r>
      <w:r w:rsidRPr="000526AB">
        <w:rPr>
          <w:lang w:eastAsia="ja-JP"/>
        </w:rPr>
        <w:t xml:space="preserve">00, the incidence of </w:t>
      </w:r>
      <w:r w:rsidR="00D74B64">
        <w:rPr>
          <w:lang w:eastAsia="ja-JP"/>
        </w:rPr>
        <w:t xml:space="preserve">non-ocular </w:t>
      </w:r>
      <w:r w:rsidRPr="000526AB">
        <w:rPr>
          <w:lang w:eastAsia="ja-JP"/>
        </w:rPr>
        <w:t xml:space="preserve">SAEs was higher in subjects in the sham+VTE group (19/74 [25.7%]) than in the VTE2Q4+PRN group (24/114 [21.1%]). </w:t>
      </w:r>
      <w:r w:rsidR="00D74B64">
        <w:rPr>
          <w:lang w:eastAsia="ja-JP"/>
        </w:rPr>
        <w:t xml:space="preserve">Non-ocular </w:t>
      </w:r>
      <w:r w:rsidRPr="000526AB">
        <w:rPr>
          <w:lang w:eastAsia="ja-JP"/>
        </w:rPr>
        <w:t xml:space="preserve">SAEs reported in </w:t>
      </w:r>
      <w:r w:rsidR="00BC1794">
        <w:rPr>
          <w:lang w:eastAsia="ja-JP"/>
        </w:rPr>
        <w:t>≥</w:t>
      </w:r>
      <w:r w:rsidRPr="000526AB">
        <w:rPr>
          <w:lang w:eastAsia="ja-JP"/>
        </w:rPr>
        <w:t xml:space="preserve"> 2 subjects in the VTE2Q4+PRN group (v</w:t>
      </w:r>
      <w:r w:rsidR="00BC1794">
        <w:rPr>
          <w:lang w:eastAsia="ja-JP"/>
        </w:rPr>
        <w:t>ersu</w:t>
      </w:r>
      <w:r w:rsidRPr="000526AB">
        <w:rPr>
          <w:lang w:eastAsia="ja-JP"/>
        </w:rPr>
        <w:t>s the sham+VTE PRN group) were: inguinal hernia (2 [1.8%]</w:t>
      </w:r>
      <w:r w:rsidR="0091044A">
        <w:rPr>
          <w:lang w:eastAsia="ja-JP"/>
        </w:rPr>
        <w:t xml:space="preserve"> versus </w:t>
      </w:r>
      <w:r w:rsidRPr="000526AB">
        <w:rPr>
          <w:lang w:eastAsia="ja-JP"/>
        </w:rPr>
        <w:t>0 [0%]); urinary tract infection (2 [1.8%]</w:t>
      </w:r>
      <w:r w:rsidR="0091044A">
        <w:rPr>
          <w:lang w:eastAsia="ja-JP"/>
        </w:rPr>
        <w:t xml:space="preserve"> versus </w:t>
      </w:r>
      <w:r w:rsidRPr="000526AB">
        <w:rPr>
          <w:lang w:eastAsia="ja-JP"/>
        </w:rPr>
        <w:t>0 [0%]); and coronary artery stenosis (2 [1.8%]</w:t>
      </w:r>
      <w:r w:rsidR="0091044A">
        <w:rPr>
          <w:lang w:eastAsia="ja-JP"/>
        </w:rPr>
        <w:t xml:space="preserve"> versus </w:t>
      </w:r>
      <w:r w:rsidRPr="000526AB">
        <w:rPr>
          <w:lang w:eastAsia="ja-JP"/>
        </w:rPr>
        <w:t xml:space="preserve">0 [0%]). </w:t>
      </w:r>
      <w:r w:rsidR="00D74B64">
        <w:rPr>
          <w:lang w:eastAsia="ja-JP"/>
        </w:rPr>
        <w:t xml:space="preserve">Non-ocular </w:t>
      </w:r>
      <w:r w:rsidRPr="000526AB">
        <w:rPr>
          <w:lang w:eastAsia="ja-JP"/>
        </w:rPr>
        <w:t xml:space="preserve">SAEs reported </w:t>
      </w:r>
      <w:r w:rsidR="00BC1794">
        <w:rPr>
          <w:lang w:eastAsia="ja-JP"/>
        </w:rPr>
        <w:t>≥</w:t>
      </w:r>
      <w:r w:rsidRPr="000526AB">
        <w:rPr>
          <w:lang w:eastAsia="ja-JP"/>
        </w:rPr>
        <w:t xml:space="preserve"> 2 subjects in the sham+VTE PRN group (v</w:t>
      </w:r>
      <w:r w:rsidR="00BC1794">
        <w:rPr>
          <w:lang w:eastAsia="ja-JP"/>
        </w:rPr>
        <w:t>ersu</w:t>
      </w:r>
      <w:r w:rsidRPr="000526AB">
        <w:rPr>
          <w:lang w:eastAsia="ja-JP"/>
        </w:rPr>
        <w:t>s the VTE2Q4+PRN group): were pneumonia (2 [ 5.4%]</w:t>
      </w:r>
      <w:r w:rsidR="0091044A">
        <w:rPr>
          <w:lang w:eastAsia="ja-JP"/>
        </w:rPr>
        <w:t xml:space="preserve"> versus </w:t>
      </w:r>
      <w:r w:rsidRPr="000526AB">
        <w:rPr>
          <w:lang w:eastAsia="ja-JP"/>
        </w:rPr>
        <w:t>0[0%]); pancreatitis (2 [2.7%]</w:t>
      </w:r>
      <w:r w:rsidR="0091044A">
        <w:rPr>
          <w:lang w:eastAsia="ja-JP"/>
        </w:rPr>
        <w:t xml:space="preserve"> versus </w:t>
      </w:r>
      <w:r w:rsidRPr="000526AB">
        <w:rPr>
          <w:lang w:eastAsia="ja-JP"/>
        </w:rPr>
        <w:t>0 [0%]); colon cancer (2 [2.7%]</w:t>
      </w:r>
      <w:r w:rsidR="0091044A">
        <w:rPr>
          <w:lang w:eastAsia="ja-JP"/>
        </w:rPr>
        <w:t xml:space="preserve"> versus </w:t>
      </w:r>
      <w:r w:rsidRPr="000526AB">
        <w:rPr>
          <w:lang w:eastAsia="ja-JP"/>
        </w:rPr>
        <w:t>0 [0%]); renal failure acute (2 [2.7%]</w:t>
      </w:r>
      <w:r w:rsidR="0091044A">
        <w:rPr>
          <w:lang w:eastAsia="ja-JP"/>
        </w:rPr>
        <w:t xml:space="preserve"> versus </w:t>
      </w:r>
      <w:r w:rsidRPr="000526AB">
        <w:rPr>
          <w:lang w:eastAsia="ja-JP"/>
        </w:rPr>
        <w:t xml:space="preserve">1 [0.9%]). All other </w:t>
      </w:r>
      <w:r w:rsidR="00D74B64">
        <w:rPr>
          <w:lang w:eastAsia="ja-JP"/>
        </w:rPr>
        <w:t xml:space="preserve">non-ocular </w:t>
      </w:r>
      <w:r w:rsidRPr="000526AB">
        <w:rPr>
          <w:lang w:eastAsia="ja-JP"/>
        </w:rPr>
        <w:t>SAEs occurred in no more than 1 sub</w:t>
      </w:r>
      <w:r w:rsidR="00923B8D">
        <w:rPr>
          <w:lang w:eastAsia="ja-JP"/>
        </w:rPr>
        <w:t>ject in either treatment group.</w:t>
      </w:r>
    </w:p>
    <w:p w:rsidR="000526AB" w:rsidRPr="000526AB" w:rsidRDefault="000526AB" w:rsidP="00923B8D">
      <w:pPr>
        <w:pStyle w:val="Heading6"/>
        <w:rPr>
          <w:lang w:eastAsia="ja-JP"/>
        </w:rPr>
      </w:pPr>
      <w:r w:rsidRPr="000526AB">
        <w:rPr>
          <w:lang w:eastAsia="ja-JP"/>
        </w:rPr>
        <w:t>Drug-related serious adverse events (SAEs)</w:t>
      </w:r>
    </w:p>
    <w:p w:rsidR="000526AB" w:rsidRPr="000526AB" w:rsidRDefault="000526AB" w:rsidP="00923B8D">
      <w:pPr>
        <w:rPr>
          <w:lang w:eastAsia="ja-JP"/>
        </w:rPr>
      </w:pPr>
      <w:r w:rsidRPr="000526AB">
        <w:rPr>
          <w:lang w:eastAsia="ja-JP"/>
        </w:rPr>
        <w:t>From baseline to</w:t>
      </w:r>
      <w:r w:rsidR="00300BDB">
        <w:rPr>
          <w:lang w:eastAsia="ja-JP"/>
        </w:rPr>
        <w:t xml:space="preserve"> Week 1</w:t>
      </w:r>
      <w:r w:rsidRPr="000526AB">
        <w:rPr>
          <w:lang w:eastAsia="ja-JP"/>
        </w:rPr>
        <w:t xml:space="preserve">00, 1 subject in each treatment group experienced 1 drug-related ocular SAE in the study eye (cataract, sham+VTE PRN; retinal artery occlusion, VTE2Q4+PRN). There were no drug-related ocular SAEs in the fellow eye. There was 1 subject in the sham+VTE PRN group with a drug-related </w:t>
      </w:r>
      <w:r w:rsidR="00D74B64">
        <w:rPr>
          <w:lang w:eastAsia="ja-JP"/>
        </w:rPr>
        <w:t xml:space="preserve">non-ocular </w:t>
      </w:r>
      <w:r w:rsidRPr="000526AB">
        <w:rPr>
          <w:lang w:eastAsia="ja-JP"/>
        </w:rPr>
        <w:t>SAE (acute MI).</w:t>
      </w:r>
    </w:p>
    <w:p w:rsidR="000526AB" w:rsidRPr="000526AB" w:rsidRDefault="000526AB" w:rsidP="00923B8D">
      <w:pPr>
        <w:pStyle w:val="Heading6"/>
        <w:rPr>
          <w:lang w:eastAsia="ja-JP"/>
        </w:rPr>
      </w:pPr>
      <w:r w:rsidRPr="000526AB">
        <w:rPr>
          <w:lang w:eastAsia="ja-JP"/>
        </w:rPr>
        <w:t>Injection-related serious adverse events (SAEs)</w:t>
      </w:r>
    </w:p>
    <w:p w:rsidR="000526AB" w:rsidRPr="000526AB" w:rsidRDefault="000526AB" w:rsidP="00923B8D">
      <w:pPr>
        <w:rPr>
          <w:lang w:eastAsia="ja-JP"/>
        </w:rPr>
      </w:pPr>
      <w:r w:rsidRPr="000526AB">
        <w:rPr>
          <w:lang w:eastAsia="ja-JP"/>
        </w:rPr>
        <w:t>From baseline to</w:t>
      </w:r>
      <w:r w:rsidR="00300BDB">
        <w:rPr>
          <w:lang w:eastAsia="ja-JP"/>
        </w:rPr>
        <w:t xml:space="preserve"> Week 1</w:t>
      </w:r>
      <w:r w:rsidRPr="000526AB">
        <w:rPr>
          <w:lang w:eastAsia="ja-JP"/>
        </w:rPr>
        <w:t>00, 2 subjects in the VTE2Q4+PRN group each experienced 1 injection-related SAE in the study eye: 1 endophthalmitis; 1 cataract. There were no other injection-related SAEs in either treatment group.</w:t>
      </w:r>
    </w:p>
    <w:p w:rsidR="000526AB" w:rsidRPr="000526AB" w:rsidRDefault="000526AB" w:rsidP="00923B8D">
      <w:pPr>
        <w:pStyle w:val="Heading5"/>
      </w:pPr>
      <w:bookmarkStart w:id="167" w:name="_Toc221697321"/>
      <w:r w:rsidRPr="000526AB">
        <w:t>TEAEs leading to discontinuation of the study drug</w:t>
      </w:r>
      <w:bookmarkEnd w:id="167"/>
    </w:p>
    <w:p w:rsidR="000526AB" w:rsidRPr="000526AB" w:rsidRDefault="000526AB" w:rsidP="00923B8D">
      <w:pPr>
        <w:rPr>
          <w:lang w:eastAsia="ja-JP"/>
        </w:rPr>
      </w:pPr>
      <w:r w:rsidRPr="000526AB">
        <w:rPr>
          <w:lang w:eastAsia="ja-JP"/>
        </w:rPr>
        <w:t xml:space="preserve">The incidence of ocular and </w:t>
      </w:r>
      <w:r w:rsidR="00D74B64">
        <w:rPr>
          <w:lang w:eastAsia="ja-JP"/>
        </w:rPr>
        <w:t xml:space="preserve">non-ocular </w:t>
      </w:r>
      <w:r w:rsidRPr="000526AB">
        <w:rPr>
          <w:lang w:eastAsia="ja-JP"/>
        </w:rPr>
        <w:t xml:space="preserve">TEAEs leading to discontinuation of the study drug was higher in subjects in the sham+VTE group (5 [6.8%]; all ocular TEAEs) than in the VTE2Q4+PRN group (4 [3.5%]; 2 ocular and 2 </w:t>
      </w:r>
      <w:r w:rsidR="00D74B64">
        <w:rPr>
          <w:lang w:eastAsia="ja-JP"/>
        </w:rPr>
        <w:t xml:space="preserve">non-ocular </w:t>
      </w:r>
      <w:r w:rsidRPr="000526AB">
        <w:rPr>
          <w:lang w:eastAsia="ja-JP"/>
        </w:rPr>
        <w:t>). In the VTE2Q4+PRN group, the 2 ocular TEAEs leading to discontinuation of the study drug were retinal artery occlusion (1 [0.9%] VTE2Q4+PRN</w:t>
      </w:r>
      <w:r w:rsidR="0091044A">
        <w:rPr>
          <w:lang w:eastAsia="ja-JP"/>
        </w:rPr>
        <w:t xml:space="preserve"> versus </w:t>
      </w:r>
      <w:r w:rsidRPr="000526AB">
        <w:rPr>
          <w:lang w:eastAsia="ja-JP"/>
        </w:rPr>
        <w:t>0 [0%] sham+VTE PRN), and retinal vein occlusion (1 [0.9%] VTE2Q4+PRN</w:t>
      </w:r>
      <w:r w:rsidR="0091044A">
        <w:rPr>
          <w:lang w:eastAsia="ja-JP"/>
        </w:rPr>
        <w:t xml:space="preserve"> versus </w:t>
      </w:r>
      <w:r w:rsidRPr="000526AB">
        <w:rPr>
          <w:lang w:eastAsia="ja-JP"/>
        </w:rPr>
        <w:t xml:space="preserve">0 [0%] sham+VTE PRN). The 2 </w:t>
      </w:r>
      <w:r w:rsidR="00D74B64">
        <w:rPr>
          <w:lang w:eastAsia="ja-JP"/>
        </w:rPr>
        <w:t xml:space="preserve">non-ocular </w:t>
      </w:r>
      <w:r w:rsidRPr="000526AB">
        <w:rPr>
          <w:lang w:eastAsia="ja-JP"/>
        </w:rPr>
        <w:t>TEAEs leading to discontinuation of the study drug in the VTE2Q4+PRN group were metastatic renal cell carcinoma (1 [0.9%] VTE2Q4+PRN</w:t>
      </w:r>
      <w:r w:rsidR="0091044A">
        <w:rPr>
          <w:lang w:eastAsia="ja-JP"/>
        </w:rPr>
        <w:t xml:space="preserve"> versus </w:t>
      </w:r>
      <w:r w:rsidRPr="000526AB">
        <w:rPr>
          <w:lang w:eastAsia="ja-JP"/>
        </w:rPr>
        <w:t>0 [0%] sham+VTE PRN), and non-small cell lung cancer (1 [0.9%] VTE2Q4+PRN</w:t>
      </w:r>
      <w:r w:rsidR="0091044A">
        <w:rPr>
          <w:lang w:eastAsia="ja-JP"/>
        </w:rPr>
        <w:t xml:space="preserve"> versus </w:t>
      </w:r>
      <w:r w:rsidR="00923B8D">
        <w:rPr>
          <w:lang w:eastAsia="ja-JP"/>
        </w:rPr>
        <w:t>0 [0%] sham+VTE PRN).</w:t>
      </w:r>
    </w:p>
    <w:p w:rsidR="000526AB" w:rsidRPr="000526AB" w:rsidRDefault="000526AB" w:rsidP="00923B8D">
      <w:pPr>
        <w:pStyle w:val="Heading5"/>
      </w:pPr>
      <w:bookmarkStart w:id="168" w:name="_Toc221697322"/>
      <w:r w:rsidRPr="000526AB">
        <w:t>TEAEs and SAEs of interest</w:t>
      </w:r>
      <w:bookmarkEnd w:id="168"/>
    </w:p>
    <w:p w:rsidR="000526AB" w:rsidRPr="000526AB" w:rsidRDefault="000526AB" w:rsidP="00923B8D">
      <w:pPr>
        <w:pStyle w:val="Heading6"/>
        <w:rPr>
          <w:lang w:eastAsia="ja-JP"/>
        </w:rPr>
      </w:pPr>
      <w:r w:rsidRPr="000526AB">
        <w:rPr>
          <w:lang w:eastAsia="ja-JP"/>
        </w:rPr>
        <w:t>Ocular TEAEs and SAEs of interest in the study eye</w:t>
      </w:r>
    </w:p>
    <w:p w:rsidR="000526AB" w:rsidRPr="000526AB" w:rsidRDefault="000526AB" w:rsidP="00923B8D">
      <w:pPr>
        <w:rPr>
          <w:lang w:eastAsia="ja-JP"/>
        </w:rPr>
      </w:pPr>
      <w:r w:rsidRPr="000526AB">
        <w:rPr>
          <w:lang w:eastAsia="ja-JP"/>
        </w:rPr>
        <w:t xml:space="preserve">The proportion of subjects with at least one TEAE of interest (ocular and </w:t>
      </w:r>
      <w:r w:rsidR="00D74B64">
        <w:rPr>
          <w:lang w:eastAsia="ja-JP"/>
        </w:rPr>
        <w:t xml:space="preserve">non-ocular </w:t>
      </w:r>
      <w:r w:rsidRPr="000526AB">
        <w:rPr>
          <w:lang w:eastAsia="ja-JP"/>
        </w:rPr>
        <w:t>) from baseline to</w:t>
      </w:r>
      <w:r w:rsidR="00300BDB">
        <w:rPr>
          <w:lang w:eastAsia="ja-JP"/>
        </w:rPr>
        <w:t xml:space="preserve"> Week 1</w:t>
      </w:r>
      <w:r w:rsidRPr="000526AB">
        <w:rPr>
          <w:lang w:eastAsia="ja-JP"/>
        </w:rPr>
        <w:t xml:space="preserve">00 was 67.6% (50/74) in the sham+VTE PRN group and 63.2% (72/114) in the VT2Q4+PRN group. The incidence of subjects who experienced at least one ocular TEAE of interest in the study eye was similar in the sham+VTE PRN (39/74 [52.7%]) and VTE2Q4+PRN (58/114 [50.9%]) groups. Ocular TEAEs of interest occurring in </w:t>
      </w:r>
      <w:r w:rsidR="00BC1794">
        <w:rPr>
          <w:lang w:eastAsia="ja-JP"/>
        </w:rPr>
        <w:t>≥</w:t>
      </w:r>
      <w:r w:rsidRPr="000526AB">
        <w:rPr>
          <w:lang w:eastAsia="ja-JP"/>
        </w:rPr>
        <w:t xml:space="preserve"> 10% of all subjects were (sham+VTE PRN</w:t>
      </w:r>
      <w:r w:rsidR="0091044A">
        <w:rPr>
          <w:lang w:eastAsia="ja-JP"/>
        </w:rPr>
        <w:t xml:space="preserve"> versus </w:t>
      </w:r>
      <w:r w:rsidRPr="000526AB">
        <w:rPr>
          <w:lang w:eastAsia="ja-JP"/>
        </w:rPr>
        <w:t>VTE2Q4+PRN): visual acuity reduced (20 [27.0%]</w:t>
      </w:r>
      <w:r w:rsidR="0091044A">
        <w:rPr>
          <w:lang w:eastAsia="ja-JP"/>
        </w:rPr>
        <w:t xml:space="preserve"> versus </w:t>
      </w:r>
      <w:r w:rsidRPr="000526AB">
        <w:rPr>
          <w:lang w:eastAsia="ja-JP"/>
        </w:rPr>
        <w:t>32 [28.1%]); conjunctival haemorrhage (13 [17.6%]</w:t>
      </w:r>
      <w:r w:rsidR="0091044A">
        <w:rPr>
          <w:lang w:eastAsia="ja-JP"/>
        </w:rPr>
        <w:t xml:space="preserve"> versus</w:t>
      </w:r>
      <w:r w:rsidR="00301349">
        <w:rPr>
          <w:lang w:eastAsia="ja-JP"/>
        </w:rPr>
        <w:t xml:space="preserve"> </w:t>
      </w:r>
      <w:r w:rsidRPr="000526AB">
        <w:rPr>
          <w:lang w:eastAsia="ja-JP"/>
        </w:rPr>
        <w:t>19 [16.7%]); and eye pain (4 [5.4%]</w:t>
      </w:r>
      <w:r w:rsidR="0091044A">
        <w:rPr>
          <w:lang w:eastAsia="ja-JP"/>
        </w:rPr>
        <w:t xml:space="preserve"> versus </w:t>
      </w:r>
      <w:r w:rsidRPr="000526AB">
        <w:rPr>
          <w:lang w:eastAsia="ja-JP"/>
        </w:rPr>
        <w:t xml:space="preserve">15 [13.2%]). Ocular TEAEs of interest in study eye reported in </w:t>
      </w:r>
      <w:r w:rsidR="00BC1794">
        <w:rPr>
          <w:lang w:eastAsia="ja-JP"/>
        </w:rPr>
        <w:t>≥</w:t>
      </w:r>
      <w:r w:rsidRPr="000526AB">
        <w:rPr>
          <w:lang w:eastAsia="ja-JP"/>
        </w:rPr>
        <w:t xml:space="preserve"> 2% more subjects in the VTE2Q4+PRN group than in the sham+VTE PRN group were: eye pain (15 [13.2%]</w:t>
      </w:r>
      <w:r w:rsidR="0091044A">
        <w:rPr>
          <w:lang w:eastAsia="ja-JP"/>
        </w:rPr>
        <w:t xml:space="preserve"> versus </w:t>
      </w:r>
      <w:r w:rsidRPr="000526AB">
        <w:rPr>
          <w:lang w:eastAsia="ja-JP"/>
        </w:rPr>
        <w:t>4 [5.4%]);</w:t>
      </w:r>
      <w:r w:rsidR="00301349">
        <w:rPr>
          <w:lang w:eastAsia="ja-JP"/>
        </w:rPr>
        <w:t xml:space="preserve"> </w:t>
      </w:r>
      <w:r w:rsidRPr="000526AB">
        <w:rPr>
          <w:lang w:eastAsia="ja-JP"/>
        </w:rPr>
        <w:t>vitreous floaters (5 [4.4%]</w:t>
      </w:r>
      <w:r w:rsidR="0091044A">
        <w:rPr>
          <w:lang w:eastAsia="ja-JP"/>
        </w:rPr>
        <w:t xml:space="preserve"> versus </w:t>
      </w:r>
      <w:r w:rsidRPr="000526AB">
        <w:rPr>
          <w:lang w:eastAsia="ja-JP"/>
        </w:rPr>
        <w:t>1 [1.4%]); and IOP increased (3 [2.6%]</w:t>
      </w:r>
      <w:r w:rsidR="0091044A">
        <w:rPr>
          <w:lang w:eastAsia="ja-JP"/>
        </w:rPr>
        <w:t xml:space="preserve"> versus </w:t>
      </w:r>
      <w:r w:rsidRPr="000526AB">
        <w:rPr>
          <w:lang w:eastAsia="ja-JP"/>
        </w:rPr>
        <w:t>0 [0%]). The overall incidence of subjects who experienced at least one ocular SAE of interest was low in both treatment groups (1 [1.4%] sham+VTE PRN</w:t>
      </w:r>
      <w:r w:rsidR="0091044A">
        <w:rPr>
          <w:lang w:eastAsia="ja-JP"/>
        </w:rPr>
        <w:t xml:space="preserve"> versus </w:t>
      </w:r>
      <w:r w:rsidRPr="000526AB">
        <w:rPr>
          <w:lang w:eastAsia="ja-JP"/>
        </w:rPr>
        <w:t xml:space="preserve">2 [1.8%] VTE2Q4+PRN). In the </w:t>
      </w:r>
      <w:r w:rsidRPr="000526AB">
        <w:rPr>
          <w:lang w:eastAsia="ja-JP"/>
        </w:rPr>
        <w:lastRenderedPageBreak/>
        <w:t>sham+VTE PRN group the 1 SAE was visual acuity reduced, and in the VTE2Q4+PRN group the 2 SAEs were visual acuity reduced and endophthalmitis.</w:t>
      </w:r>
    </w:p>
    <w:p w:rsidR="000526AB" w:rsidRPr="000526AB" w:rsidRDefault="00D74B64" w:rsidP="006A7D88">
      <w:pPr>
        <w:pStyle w:val="Heading6"/>
        <w:rPr>
          <w:lang w:eastAsia="ja-JP"/>
        </w:rPr>
      </w:pPr>
      <w:r>
        <w:rPr>
          <w:lang w:eastAsia="ja-JP"/>
        </w:rPr>
        <w:t xml:space="preserve">Non-ocular </w:t>
      </w:r>
      <w:r w:rsidR="000526AB" w:rsidRPr="000526AB">
        <w:rPr>
          <w:lang w:eastAsia="ja-JP"/>
        </w:rPr>
        <w:t>TEAEs and SAEs of interest</w:t>
      </w:r>
    </w:p>
    <w:p w:rsidR="000526AB" w:rsidRPr="000526AB" w:rsidRDefault="000526AB" w:rsidP="006A7D88">
      <w:pPr>
        <w:rPr>
          <w:lang w:eastAsia="ja-JP"/>
        </w:rPr>
      </w:pPr>
      <w:r w:rsidRPr="000526AB">
        <w:rPr>
          <w:lang w:eastAsia="ja-JP"/>
        </w:rPr>
        <w:t xml:space="preserve">The proportion of subjects with at least one TEAE of interest (ocular and </w:t>
      </w:r>
      <w:r w:rsidR="00D74B64">
        <w:rPr>
          <w:lang w:eastAsia="ja-JP"/>
        </w:rPr>
        <w:t xml:space="preserve">non-ocular </w:t>
      </w:r>
      <w:r w:rsidRPr="000526AB">
        <w:rPr>
          <w:lang w:eastAsia="ja-JP"/>
        </w:rPr>
        <w:t>) from baseline to</w:t>
      </w:r>
      <w:r w:rsidR="00300BDB">
        <w:rPr>
          <w:lang w:eastAsia="ja-JP"/>
        </w:rPr>
        <w:t xml:space="preserve"> Week 1</w:t>
      </w:r>
      <w:r w:rsidRPr="000526AB">
        <w:rPr>
          <w:lang w:eastAsia="ja-JP"/>
        </w:rPr>
        <w:t xml:space="preserve">00 was 67.6% (50/74) in the sham+VTE PRN group and 63.2% (72/114) in the VTE2Q4+PRN group. The incidence of subjects who experienced at least one </w:t>
      </w:r>
      <w:r w:rsidR="00D74B64">
        <w:rPr>
          <w:lang w:eastAsia="ja-JP"/>
        </w:rPr>
        <w:t xml:space="preserve">non-ocular </w:t>
      </w:r>
      <w:r w:rsidRPr="000526AB">
        <w:rPr>
          <w:lang w:eastAsia="ja-JP"/>
        </w:rPr>
        <w:t>TEAE of interest was higher in subjects in the sham+VTE PRN group (23/74 [31.1%]) than in the</w:t>
      </w:r>
      <w:r w:rsidR="00301349">
        <w:rPr>
          <w:lang w:eastAsia="ja-JP"/>
        </w:rPr>
        <w:t xml:space="preserve"> </w:t>
      </w:r>
      <w:r w:rsidRPr="000526AB">
        <w:rPr>
          <w:lang w:eastAsia="ja-JP"/>
        </w:rPr>
        <w:t xml:space="preserve">VTE2Q4+PRN group (29/114 [25.4%]). The only </w:t>
      </w:r>
      <w:r w:rsidR="00D74B64">
        <w:rPr>
          <w:lang w:eastAsia="ja-JP"/>
        </w:rPr>
        <w:t xml:space="preserve">non-ocular </w:t>
      </w:r>
      <w:r w:rsidRPr="000526AB">
        <w:rPr>
          <w:lang w:eastAsia="ja-JP"/>
        </w:rPr>
        <w:t xml:space="preserve">TEAE of interest with an incidence of </w:t>
      </w:r>
      <w:r w:rsidR="00BC1794">
        <w:rPr>
          <w:lang w:eastAsia="ja-JP"/>
        </w:rPr>
        <w:t>≥</w:t>
      </w:r>
      <w:r w:rsidRPr="000526AB">
        <w:rPr>
          <w:lang w:eastAsia="ja-JP"/>
        </w:rPr>
        <w:t xml:space="preserve"> 10% in either group was hypertension (12 [16.2%], sham+VTE PRN</w:t>
      </w:r>
      <w:r w:rsidR="0091044A">
        <w:rPr>
          <w:lang w:eastAsia="ja-JP"/>
        </w:rPr>
        <w:t xml:space="preserve"> versus </w:t>
      </w:r>
      <w:r w:rsidRPr="000526AB">
        <w:rPr>
          <w:lang w:eastAsia="ja-JP"/>
        </w:rPr>
        <w:t xml:space="preserve">22 [19.3%], VTE2Q4+PRN). No other </w:t>
      </w:r>
      <w:r w:rsidR="00D74B64">
        <w:rPr>
          <w:lang w:eastAsia="ja-JP"/>
        </w:rPr>
        <w:t xml:space="preserve">non-ocular </w:t>
      </w:r>
      <w:r w:rsidRPr="000526AB">
        <w:rPr>
          <w:lang w:eastAsia="ja-JP"/>
        </w:rPr>
        <w:t xml:space="preserve">TEAEs of interest were reported in </w:t>
      </w:r>
      <w:r w:rsidR="00BC1794">
        <w:rPr>
          <w:lang w:eastAsia="ja-JP"/>
        </w:rPr>
        <w:t>≥</w:t>
      </w:r>
      <w:r w:rsidRPr="000526AB">
        <w:rPr>
          <w:lang w:eastAsia="ja-JP"/>
        </w:rPr>
        <w:t xml:space="preserve"> 2% more subjects in the VTE2Q4+PRN than in the sham+VTE PRN group. The overall incidence of subjects who experienced at least one ocular SAE of interest was low in both treatment groups (2 [2.7%] sham+VTE PRN</w:t>
      </w:r>
      <w:r w:rsidR="0091044A">
        <w:rPr>
          <w:lang w:eastAsia="ja-JP"/>
        </w:rPr>
        <w:t xml:space="preserve"> versus </w:t>
      </w:r>
      <w:r w:rsidRPr="000526AB">
        <w:rPr>
          <w:lang w:eastAsia="ja-JP"/>
        </w:rPr>
        <w:t xml:space="preserve">3 [2.6%] VTE2Q4+PRN). In the sham+VTE PRN group the </w:t>
      </w:r>
      <w:r w:rsidR="00D74B64">
        <w:rPr>
          <w:lang w:eastAsia="ja-JP"/>
        </w:rPr>
        <w:t xml:space="preserve">non-ocular </w:t>
      </w:r>
      <w:r w:rsidRPr="000526AB">
        <w:rPr>
          <w:lang w:eastAsia="ja-JP"/>
        </w:rPr>
        <w:t>SAE events of interest in the 2 subjects were acute MI (1 subject) and carotid artery stenosis (1 subject) and in the VTE2Q4+PRN group the 3 subjects reported 4 events consisting of haemorrhagic cerebral infarction, MI, subarach</w:t>
      </w:r>
      <w:r w:rsidR="006A7D88">
        <w:rPr>
          <w:lang w:eastAsia="ja-JP"/>
        </w:rPr>
        <w:t>noid haemorrhage and epistaxis.</w:t>
      </w:r>
    </w:p>
    <w:p w:rsidR="000526AB" w:rsidRPr="000526AB" w:rsidRDefault="000526AB" w:rsidP="006A7D88">
      <w:pPr>
        <w:pStyle w:val="Heading6"/>
        <w:rPr>
          <w:lang w:eastAsia="ja-JP"/>
        </w:rPr>
      </w:pPr>
      <w:r w:rsidRPr="000526AB">
        <w:rPr>
          <w:lang w:eastAsia="ja-JP"/>
        </w:rPr>
        <w:t>Arterial thromboembolic events (ATEs) of interest, APTC events</w:t>
      </w:r>
    </w:p>
    <w:p w:rsidR="000526AB" w:rsidRPr="000526AB" w:rsidRDefault="000526AB" w:rsidP="006A7D88">
      <w:pPr>
        <w:rPr>
          <w:lang w:eastAsia="ja-JP"/>
        </w:rPr>
      </w:pPr>
      <w:r w:rsidRPr="000526AB">
        <w:rPr>
          <w:lang w:eastAsia="ja-JP"/>
        </w:rPr>
        <w:t>During the 100 weeks of treatment, 4 subjects (2/74 [2.7%], sham+VTE PRN; 2/114 [1.8%], VTE2Q4+PRN) experienced ATE/APTC events. Two (2) subjects in the sham+VTE PRN group experienced vascular death (PTs of acute MI and arrhythmia), 1 subject in the VTE2Q4+PRN group experienced non-fatal MI (PTs of coronary artery stenosis, and MI) and 1 subject in the VTE2Q4+PRN group experienced non-fatal stroke (PTs of haemorrhagic cerebral infarction, and subarachnoid haemorrhage).</w:t>
      </w:r>
    </w:p>
    <w:p w:rsidR="000526AB" w:rsidRPr="000526AB" w:rsidRDefault="000526AB" w:rsidP="006A7D88">
      <w:pPr>
        <w:pStyle w:val="Heading5"/>
      </w:pPr>
      <w:bookmarkStart w:id="169" w:name="_Toc221697323"/>
      <w:r w:rsidRPr="000526AB">
        <w:t>Laboratory tests</w:t>
      </w:r>
      <w:bookmarkEnd w:id="169"/>
    </w:p>
    <w:p w:rsidR="000526AB" w:rsidRPr="000526AB" w:rsidRDefault="006A7D88" w:rsidP="006A7D88">
      <w:pPr>
        <w:pStyle w:val="Heading6"/>
        <w:rPr>
          <w:lang w:eastAsia="ja-JP"/>
        </w:rPr>
      </w:pPr>
      <w:r>
        <w:rPr>
          <w:lang w:eastAsia="ja-JP"/>
        </w:rPr>
        <w:t>Haematology</w:t>
      </w:r>
    </w:p>
    <w:p w:rsidR="000526AB" w:rsidRPr="000526AB" w:rsidRDefault="000526AB" w:rsidP="006A7D88">
      <w:pPr>
        <w:rPr>
          <w:lang w:eastAsia="ja-JP"/>
        </w:rPr>
      </w:pPr>
      <w:r w:rsidRPr="000526AB">
        <w:rPr>
          <w:lang w:eastAsia="ja-JP"/>
        </w:rPr>
        <w:t>No trends towards an increase or decrease in mean values from baseline to</w:t>
      </w:r>
      <w:r w:rsidR="00300BDB">
        <w:rPr>
          <w:lang w:eastAsia="ja-JP"/>
        </w:rPr>
        <w:t xml:space="preserve"> Week 1</w:t>
      </w:r>
      <w:r w:rsidRPr="000526AB">
        <w:rPr>
          <w:lang w:eastAsia="ja-JP"/>
        </w:rPr>
        <w:t>00 were seen in haematology parameters in either of the two treatment groups. Few subjects had shifts from “normal” at baseline to either “high” or “low” at subsequent visits, and the observed shifts were within the range of variability expected for this population. Overall, the observed differences in the proportion of subjects in the two treatment groups with haematology values above the upper limit of normal or below the lower limit of normal are unlikel</w:t>
      </w:r>
      <w:r w:rsidR="006A7D88">
        <w:rPr>
          <w:lang w:eastAsia="ja-JP"/>
        </w:rPr>
        <w:t>y to be clinically significant.</w:t>
      </w:r>
    </w:p>
    <w:p w:rsidR="000526AB" w:rsidRPr="000526AB" w:rsidRDefault="000526AB" w:rsidP="006A7D88">
      <w:pPr>
        <w:rPr>
          <w:lang w:eastAsia="ja-JP"/>
        </w:rPr>
      </w:pPr>
      <w:r w:rsidRPr="000526AB">
        <w:rPr>
          <w:lang w:eastAsia="ja-JP"/>
        </w:rPr>
        <w:t xml:space="preserve">During the 100 weeks of treatment, </w:t>
      </w:r>
      <w:r w:rsidR="00D74B64">
        <w:rPr>
          <w:lang w:eastAsia="ja-JP"/>
        </w:rPr>
        <w:t>pre-defined</w:t>
      </w:r>
      <w:r w:rsidRPr="000526AB">
        <w:rPr>
          <w:lang w:eastAsia="ja-JP"/>
        </w:rPr>
        <w:t xml:space="preserve"> haematology laboratory abnormalities were observed in a small number of subjects with a similar frequency in both treatment groups for most abnormalities. The exceptions (</w:t>
      </w:r>
      <w:r w:rsidR="00BC1794">
        <w:rPr>
          <w:lang w:eastAsia="ja-JP"/>
        </w:rPr>
        <w:t>≥</w:t>
      </w:r>
      <w:r w:rsidRPr="000526AB">
        <w:rPr>
          <w:lang w:eastAsia="ja-JP"/>
        </w:rPr>
        <w:t xml:space="preserve"> 2% difference in subjects between treatment groups) were absolute eosinophils increased more common in the VTE2Q4+PRN treatment group than in the sham+VTE PRN group (7/104 [6.7%]</w:t>
      </w:r>
      <w:r w:rsidR="0091044A">
        <w:rPr>
          <w:lang w:eastAsia="ja-JP"/>
        </w:rPr>
        <w:t xml:space="preserve"> versus </w:t>
      </w:r>
      <w:r w:rsidRPr="000526AB">
        <w:rPr>
          <w:lang w:eastAsia="ja-JP"/>
        </w:rPr>
        <w:t>2/65 [3.1%]), absolute monocytes increased more common in the sham+VTE PRN group than in the VTE2Q4+PRN group (11/65 [16.9%]</w:t>
      </w:r>
      <w:r w:rsidR="0091044A">
        <w:rPr>
          <w:lang w:eastAsia="ja-JP"/>
        </w:rPr>
        <w:t xml:space="preserve"> versus </w:t>
      </w:r>
      <w:r w:rsidRPr="000526AB">
        <w:rPr>
          <w:lang w:eastAsia="ja-JP"/>
        </w:rPr>
        <w:t>10/103 [9.7%]), and platelet count decreased more common in the sham+VTE PRN group than in the VTE2Q4+PRN group (2/65 [3.1%]</w:t>
      </w:r>
      <w:r w:rsidR="0091044A">
        <w:rPr>
          <w:lang w:eastAsia="ja-JP"/>
        </w:rPr>
        <w:t xml:space="preserve"> versus </w:t>
      </w:r>
      <w:r w:rsidR="006A7D88">
        <w:rPr>
          <w:lang w:eastAsia="ja-JP"/>
        </w:rPr>
        <w:t>1/101 [1.0%]).</w:t>
      </w:r>
    </w:p>
    <w:p w:rsidR="000526AB" w:rsidRPr="000526AB" w:rsidRDefault="000526AB" w:rsidP="006A7D88">
      <w:pPr>
        <w:pStyle w:val="Heading6"/>
        <w:rPr>
          <w:lang w:eastAsia="ja-JP"/>
        </w:rPr>
      </w:pPr>
      <w:r w:rsidRPr="000526AB">
        <w:rPr>
          <w:lang w:eastAsia="ja-JP"/>
        </w:rPr>
        <w:t>Clinical chemistry</w:t>
      </w:r>
    </w:p>
    <w:p w:rsidR="000526AB" w:rsidRPr="000526AB" w:rsidRDefault="000526AB" w:rsidP="006A7D88">
      <w:pPr>
        <w:rPr>
          <w:lang w:eastAsia="ja-JP"/>
        </w:rPr>
      </w:pPr>
      <w:r w:rsidRPr="000526AB">
        <w:rPr>
          <w:lang w:eastAsia="ja-JP"/>
        </w:rPr>
        <w:t>No trends towards an increase or decrease in mean values from baseline to</w:t>
      </w:r>
      <w:r w:rsidR="00300BDB">
        <w:rPr>
          <w:lang w:eastAsia="ja-JP"/>
        </w:rPr>
        <w:t xml:space="preserve"> Week 1</w:t>
      </w:r>
      <w:r w:rsidRPr="000526AB">
        <w:rPr>
          <w:lang w:eastAsia="ja-JP"/>
        </w:rPr>
        <w:t>00 were seen in clinical chemistry parameters in either of the two treatment groups. Few subjects had shifts from “normal” at baseline to either “high” or “low” at subsequent visits and the observed shifts were within the range of variability expected for this population. Overall, the observed differences in the proportion of subjects in the two treatment groups with clinical chemistry values above the upper limit of normal or below the lower limit of normal are unlikel</w:t>
      </w:r>
      <w:r w:rsidR="006A7D88">
        <w:rPr>
          <w:lang w:eastAsia="ja-JP"/>
        </w:rPr>
        <w:t>y to be clinically significant.</w:t>
      </w:r>
    </w:p>
    <w:p w:rsidR="000526AB" w:rsidRPr="000526AB" w:rsidRDefault="000526AB" w:rsidP="006A7D88">
      <w:pPr>
        <w:rPr>
          <w:lang w:eastAsia="ja-JP"/>
        </w:rPr>
      </w:pPr>
      <w:r w:rsidRPr="000526AB">
        <w:rPr>
          <w:lang w:eastAsia="ja-JP"/>
        </w:rPr>
        <w:lastRenderedPageBreak/>
        <w:t xml:space="preserve">During the 100 weeks of treatment, </w:t>
      </w:r>
      <w:r w:rsidR="00D74B64">
        <w:rPr>
          <w:lang w:eastAsia="ja-JP"/>
        </w:rPr>
        <w:t>pre-defined</w:t>
      </w:r>
      <w:r w:rsidRPr="000526AB">
        <w:rPr>
          <w:lang w:eastAsia="ja-JP"/>
        </w:rPr>
        <w:t xml:space="preserve"> clinical chemistry abnormalities were observed in a small number of subjects with a similar frequency in both treatment groups for most abnormalities. The exceptions (</w:t>
      </w:r>
      <w:r w:rsidR="00BC1794">
        <w:rPr>
          <w:lang w:eastAsia="ja-JP"/>
        </w:rPr>
        <w:t>≥</w:t>
      </w:r>
      <w:r w:rsidRPr="000526AB">
        <w:rPr>
          <w:lang w:eastAsia="ja-JP"/>
        </w:rPr>
        <w:t xml:space="preserve"> 2% difference in subjects between treatment groups) were: alkaline phosphatase increased more common in the sham+VTE PRN group than in the VTE2Q4+PRN group (2/68 [2.9%]</w:t>
      </w:r>
      <w:r w:rsidR="0091044A">
        <w:rPr>
          <w:lang w:eastAsia="ja-JP"/>
        </w:rPr>
        <w:t xml:space="preserve"> versus </w:t>
      </w:r>
      <w:r w:rsidRPr="000526AB">
        <w:rPr>
          <w:lang w:eastAsia="ja-JP"/>
        </w:rPr>
        <w:t>1/110 [0.9%]); creatinine increased (absolute) more common in the VTE2Q4+PRN group than in the sham+VTE PRN group (7/104 [6.7%]</w:t>
      </w:r>
      <w:r w:rsidR="0091044A">
        <w:rPr>
          <w:lang w:eastAsia="ja-JP"/>
        </w:rPr>
        <w:t xml:space="preserve"> versus </w:t>
      </w:r>
      <w:r w:rsidRPr="000526AB">
        <w:rPr>
          <w:lang w:eastAsia="ja-JP"/>
        </w:rPr>
        <w:t xml:space="preserve">2/65 [3.1%]); creatinine increased </w:t>
      </w:r>
      <w:r w:rsidR="00BC1794">
        <w:rPr>
          <w:lang w:eastAsia="ja-JP"/>
        </w:rPr>
        <w:t>≥</w:t>
      </w:r>
      <w:r w:rsidRPr="000526AB">
        <w:rPr>
          <w:lang w:eastAsia="ja-JP"/>
        </w:rPr>
        <w:t xml:space="preserve"> 30% from baseline more common in the VTE2Q4+PRN group than in the sham+VTE PRN group (13/104 [12.5%]</w:t>
      </w:r>
      <w:r w:rsidR="0091044A">
        <w:rPr>
          <w:lang w:eastAsia="ja-JP"/>
        </w:rPr>
        <w:t xml:space="preserve"> versus </w:t>
      </w:r>
      <w:r w:rsidRPr="000526AB">
        <w:rPr>
          <w:lang w:eastAsia="ja-JP"/>
        </w:rPr>
        <w:t>4/65 [6.2%]); hypoglycaemia more common in the VTE2Q4+PRN than in the sham+VTE PRN group (13/100 [13.0%]</w:t>
      </w:r>
      <w:r w:rsidR="0091044A">
        <w:rPr>
          <w:lang w:eastAsia="ja-JP"/>
        </w:rPr>
        <w:t xml:space="preserve"> versus </w:t>
      </w:r>
      <w:r w:rsidRPr="000526AB">
        <w:rPr>
          <w:lang w:eastAsia="ja-JP"/>
        </w:rPr>
        <w:t>3/65 [4.6%]); and sodium decreased more common in VTE2Q4+PRN group than in the sham+VTE PRN group (3/100 [2.7%]</w:t>
      </w:r>
      <w:r w:rsidR="0091044A">
        <w:rPr>
          <w:lang w:eastAsia="ja-JP"/>
        </w:rPr>
        <w:t xml:space="preserve"> versus </w:t>
      </w:r>
      <w:r w:rsidRPr="000526AB">
        <w:rPr>
          <w:lang w:eastAsia="ja-JP"/>
        </w:rPr>
        <w:t xml:space="preserve">0% [0/68]). Of note, </w:t>
      </w:r>
      <w:r w:rsidR="00BC1794">
        <w:rPr>
          <w:lang w:eastAsia="ja-JP"/>
        </w:rPr>
        <w:t>alanine aminotransferase (</w:t>
      </w:r>
      <w:r w:rsidRPr="000526AB">
        <w:rPr>
          <w:lang w:eastAsia="ja-JP"/>
        </w:rPr>
        <w:t>ALT</w:t>
      </w:r>
      <w:r w:rsidR="00BC1794">
        <w:rPr>
          <w:lang w:eastAsia="ja-JP"/>
        </w:rPr>
        <w:t>)</w:t>
      </w:r>
      <w:r w:rsidRPr="000526AB">
        <w:rPr>
          <w:lang w:eastAsia="ja-JP"/>
        </w:rPr>
        <w:t xml:space="preserve"> &gt; 3 x ULN and </w:t>
      </w:r>
      <w:r w:rsidR="00BC1794">
        <w:rPr>
          <w:lang w:eastAsia="ja-JP"/>
        </w:rPr>
        <w:t>aspartate aminotransferase (</w:t>
      </w:r>
      <w:r w:rsidRPr="000526AB">
        <w:rPr>
          <w:lang w:eastAsia="ja-JP"/>
        </w:rPr>
        <w:t>AST</w:t>
      </w:r>
      <w:r w:rsidR="00BC1794">
        <w:rPr>
          <w:lang w:eastAsia="ja-JP"/>
        </w:rPr>
        <w:t>)</w:t>
      </w:r>
      <w:r w:rsidRPr="000526AB">
        <w:rPr>
          <w:lang w:eastAsia="ja-JP"/>
        </w:rPr>
        <w:t xml:space="preserve"> &gt; 3 x ULN were each reported in 1/100 subjects (1.0%) in the VTE2Q4+PRN group and 0/68 subje</w:t>
      </w:r>
      <w:r w:rsidR="006A7D88">
        <w:rPr>
          <w:lang w:eastAsia="ja-JP"/>
        </w:rPr>
        <w:t>cts (0%) in the sham+VTE group.</w:t>
      </w:r>
    </w:p>
    <w:p w:rsidR="000526AB" w:rsidRPr="000526AB" w:rsidRDefault="000526AB" w:rsidP="006A7D88">
      <w:pPr>
        <w:pStyle w:val="Heading6"/>
        <w:rPr>
          <w:lang w:eastAsia="ja-JP"/>
        </w:rPr>
      </w:pPr>
      <w:r w:rsidRPr="000526AB">
        <w:rPr>
          <w:lang w:eastAsia="ja-JP"/>
        </w:rPr>
        <w:t>Urinalysis</w:t>
      </w:r>
    </w:p>
    <w:p w:rsidR="000526AB" w:rsidRPr="000526AB" w:rsidRDefault="000526AB" w:rsidP="006A7D88">
      <w:pPr>
        <w:rPr>
          <w:lang w:eastAsia="ja-JP"/>
        </w:rPr>
      </w:pPr>
      <w:r w:rsidRPr="000526AB">
        <w:rPr>
          <w:lang w:eastAsia="ja-JP"/>
        </w:rPr>
        <w:t>No trends towards an increase or decrease in mean values over time were seen in the urinalysis parameters tested in either of the two treatment groups at</w:t>
      </w:r>
      <w:r w:rsidR="00300BDB">
        <w:rPr>
          <w:lang w:eastAsia="ja-JP"/>
        </w:rPr>
        <w:t xml:space="preserve"> Week 1</w:t>
      </w:r>
      <w:r w:rsidRPr="000526AB">
        <w:rPr>
          <w:lang w:eastAsia="ja-JP"/>
        </w:rPr>
        <w:t>00. Overall, urinalysis testing was normal (negative) for most subjects at baseline and at</w:t>
      </w:r>
      <w:r w:rsidR="00300BDB">
        <w:rPr>
          <w:lang w:eastAsia="ja-JP"/>
        </w:rPr>
        <w:t xml:space="preserve"> Week 1</w:t>
      </w:r>
      <w:r w:rsidRPr="000526AB">
        <w:rPr>
          <w:lang w:eastAsia="ja-JP"/>
        </w:rPr>
        <w:t>00. Shifts from normal at baseline to either high or low (range from trace to +++) at</w:t>
      </w:r>
      <w:r w:rsidR="00300BDB">
        <w:rPr>
          <w:lang w:eastAsia="ja-JP"/>
        </w:rPr>
        <w:t xml:space="preserve"> Week 1</w:t>
      </w:r>
      <w:r w:rsidRPr="000526AB">
        <w:rPr>
          <w:lang w:eastAsia="ja-JP"/>
        </w:rPr>
        <w:t xml:space="preserve">00 were few, with a similar incidence of shifts from normal to high, as from normal to low in both treatment groups. No urinalysis results meeting </w:t>
      </w:r>
      <w:r w:rsidR="00D74B64">
        <w:rPr>
          <w:lang w:eastAsia="ja-JP"/>
        </w:rPr>
        <w:t>pre-defined</w:t>
      </w:r>
      <w:r w:rsidRPr="000526AB">
        <w:rPr>
          <w:lang w:eastAsia="ja-JP"/>
        </w:rPr>
        <w:t xml:space="preserve"> criteria were report</w:t>
      </w:r>
      <w:r w:rsidR="006A7D88">
        <w:rPr>
          <w:lang w:eastAsia="ja-JP"/>
        </w:rPr>
        <w:t>ed at any time during the study.</w:t>
      </w:r>
    </w:p>
    <w:p w:rsidR="000526AB" w:rsidRPr="000526AB" w:rsidRDefault="000526AB" w:rsidP="006A7D88">
      <w:pPr>
        <w:pStyle w:val="Heading6"/>
      </w:pPr>
      <w:bookmarkStart w:id="170" w:name="_Toc221697324"/>
      <w:r w:rsidRPr="000526AB">
        <w:t>Intraocular pressure and vital signs</w:t>
      </w:r>
      <w:bookmarkEnd w:id="170"/>
    </w:p>
    <w:p w:rsidR="000526AB" w:rsidRPr="000526AB" w:rsidRDefault="000526AB" w:rsidP="006A7D88">
      <w:pPr>
        <w:rPr>
          <w:lang w:eastAsia="ja-JP"/>
        </w:rPr>
      </w:pPr>
      <w:r w:rsidRPr="000526AB">
        <w:rPr>
          <w:lang w:eastAsia="ja-JP"/>
        </w:rPr>
        <w:t>The proportions of subjects with increases in IOP of 10, 21 or 35 mmHg from baseline through</w:t>
      </w:r>
      <w:r w:rsidR="00300BDB">
        <w:rPr>
          <w:lang w:eastAsia="ja-JP"/>
        </w:rPr>
        <w:t xml:space="preserve"> Week 1</w:t>
      </w:r>
      <w:r w:rsidRPr="000526AB">
        <w:rPr>
          <w:lang w:eastAsia="ja-JP"/>
        </w:rPr>
        <w:t xml:space="preserve">00 were higher in the sham+VTE PRN group than in the VTE2Q4+PRN group: (a) </w:t>
      </w:r>
      <w:r w:rsidR="00EB1D43">
        <w:rPr>
          <w:lang w:eastAsia="ja-JP"/>
        </w:rPr>
        <w:t>≥</w:t>
      </w:r>
      <w:r w:rsidRPr="000526AB">
        <w:rPr>
          <w:lang w:eastAsia="ja-JP"/>
        </w:rPr>
        <w:t xml:space="preserve"> 10 mmHg from baseline to pre-dose, 13.5% [10/74]</w:t>
      </w:r>
      <w:r w:rsidR="0091044A">
        <w:rPr>
          <w:lang w:eastAsia="ja-JP"/>
        </w:rPr>
        <w:t xml:space="preserve"> versus </w:t>
      </w:r>
      <w:r w:rsidRPr="000526AB">
        <w:rPr>
          <w:lang w:eastAsia="ja-JP"/>
        </w:rPr>
        <w:t xml:space="preserve">7.0% [8/114]; (b) absolute value of </w:t>
      </w:r>
      <w:r w:rsidR="00EB1D43">
        <w:rPr>
          <w:lang w:eastAsia="ja-JP"/>
        </w:rPr>
        <w:t>≥ </w:t>
      </w:r>
      <w:r w:rsidRPr="000526AB">
        <w:rPr>
          <w:lang w:eastAsia="ja-JP"/>
        </w:rPr>
        <w:t>21 mmHg pre-dose, 31.1% [23/74]</w:t>
      </w:r>
      <w:r w:rsidR="0091044A">
        <w:rPr>
          <w:lang w:eastAsia="ja-JP"/>
        </w:rPr>
        <w:t xml:space="preserve"> versus </w:t>
      </w:r>
      <w:r w:rsidRPr="000526AB">
        <w:rPr>
          <w:lang w:eastAsia="ja-JP"/>
        </w:rPr>
        <w:t xml:space="preserve">26.3% [30/114]; and (c) absolute value </w:t>
      </w:r>
      <w:r w:rsidR="00EB1D43">
        <w:rPr>
          <w:lang w:eastAsia="ja-JP"/>
        </w:rPr>
        <w:t>≥</w:t>
      </w:r>
      <w:r w:rsidRPr="000526AB">
        <w:rPr>
          <w:lang w:eastAsia="ja-JP"/>
        </w:rPr>
        <w:t xml:space="preserve"> 35 mmHg at any time, 6.8% [5/74]</w:t>
      </w:r>
      <w:r w:rsidR="0091044A">
        <w:rPr>
          <w:lang w:eastAsia="ja-JP"/>
        </w:rPr>
        <w:t xml:space="preserve"> versus </w:t>
      </w:r>
      <w:r w:rsidRPr="000526AB">
        <w:rPr>
          <w:lang w:eastAsia="ja-JP"/>
        </w:rPr>
        <w:t>1.8% [2/114]. Mean blood pressure, temperature and pulse were similar between treatment groups at baseline, and fluctuations throughout the study in both treatment groups were considered t</w:t>
      </w:r>
      <w:r w:rsidR="006A7D88">
        <w:rPr>
          <w:lang w:eastAsia="ja-JP"/>
        </w:rPr>
        <w:t>o be not clinically meaningful.</w:t>
      </w:r>
    </w:p>
    <w:p w:rsidR="000526AB" w:rsidRPr="000526AB" w:rsidRDefault="000526AB" w:rsidP="006A7D88">
      <w:pPr>
        <w:pStyle w:val="Heading5"/>
      </w:pPr>
      <w:bookmarkStart w:id="171" w:name="_Toc221697325"/>
      <w:r w:rsidRPr="000526AB">
        <w:t>Ophthalmic examination</w:t>
      </w:r>
      <w:bookmarkEnd w:id="171"/>
    </w:p>
    <w:p w:rsidR="000526AB" w:rsidRPr="000526AB" w:rsidRDefault="000526AB" w:rsidP="006A7D88">
      <w:pPr>
        <w:rPr>
          <w:lang w:eastAsia="ja-JP"/>
        </w:rPr>
      </w:pPr>
      <w:r w:rsidRPr="000526AB">
        <w:rPr>
          <w:lang w:eastAsia="ja-JP"/>
        </w:rPr>
        <w:t>The results of pre</w:t>
      </w:r>
      <w:r w:rsidR="00EB1D43">
        <w:rPr>
          <w:lang w:eastAsia="ja-JP"/>
        </w:rPr>
        <w:t xml:space="preserve"> </w:t>
      </w:r>
      <w:r w:rsidRPr="000526AB">
        <w:rPr>
          <w:lang w:eastAsia="ja-JP"/>
        </w:rPr>
        <w:t>specified ophthalmic from baseline to</w:t>
      </w:r>
      <w:r w:rsidR="00300BDB">
        <w:rPr>
          <w:lang w:eastAsia="ja-JP"/>
        </w:rPr>
        <w:t xml:space="preserve"> Week 1</w:t>
      </w:r>
      <w:r w:rsidRPr="000526AB">
        <w:rPr>
          <w:lang w:eastAsia="ja-JP"/>
        </w:rPr>
        <w:t>00 did not notably differ from those described previously for baseline to</w:t>
      </w:r>
      <w:r w:rsidR="00300BDB">
        <w:rPr>
          <w:lang w:eastAsia="ja-JP"/>
        </w:rPr>
        <w:t xml:space="preserve"> Week 5</w:t>
      </w:r>
      <w:r w:rsidRPr="000526AB">
        <w:rPr>
          <w:lang w:eastAsia="ja-JP"/>
        </w:rPr>
        <w:t>2. In general, there were no clinically significant differences be</w:t>
      </w:r>
      <w:r w:rsidR="006A7D88">
        <w:rPr>
          <w:lang w:eastAsia="ja-JP"/>
        </w:rPr>
        <w:t>tween the two treatment groups.</w:t>
      </w:r>
    </w:p>
    <w:p w:rsidR="000526AB" w:rsidRPr="000526AB" w:rsidRDefault="000526AB" w:rsidP="006A7D88">
      <w:pPr>
        <w:pStyle w:val="Heading4"/>
      </w:pPr>
      <w:bookmarkStart w:id="172" w:name="_Toc221697326"/>
      <w:r w:rsidRPr="000526AB">
        <w:t>GALILEO –</w:t>
      </w:r>
      <w:r w:rsidR="00300BDB">
        <w:t xml:space="preserve"> Week 7</w:t>
      </w:r>
      <w:r w:rsidRPr="000526AB">
        <w:t>6 results</w:t>
      </w:r>
      <w:bookmarkEnd w:id="172"/>
    </w:p>
    <w:p w:rsidR="000526AB" w:rsidRPr="000526AB" w:rsidRDefault="000526AB" w:rsidP="006A7D88">
      <w:pPr>
        <w:pStyle w:val="Heading5"/>
        <w:rPr>
          <w:lang w:eastAsia="ja-JP"/>
        </w:rPr>
      </w:pPr>
      <w:bookmarkStart w:id="173" w:name="_Toc221697327"/>
      <w:r w:rsidRPr="000526AB">
        <w:rPr>
          <w:lang w:eastAsia="ja-JP"/>
        </w:rPr>
        <w:t>Exposure</w:t>
      </w:r>
      <w:bookmarkEnd w:id="173"/>
    </w:p>
    <w:p w:rsidR="000526AB" w:rsidRPr="000526AB" w:rsidRDefault="000526AB" w:rsidP="006A7D88">
      <w:pPr>
        <w:rPr>
          <w:lang w:eastAsia="ja-JP"/>
        </w:rPr>
      </w:pPr>
      <w:r w:rsidRPr="000526AB">
        <w:rPr>
          <w:lang w:eastAsia="ja-JP"/>
        </w:rPr>
        <w:t>The data collected from baseline through to</w:t>
      </w:r>
      <w:r w:rsidR="00301349">
        <w:rPr>
          <w:lang w:eastAsia="ja-JP"/>
        </w:rPr>
        <w:t xml:space="preserve"> </w:t>
      </w:r>
      <w:r w:rsidR="00300BDB">
        <w:rPr>
          <w:lang w:eastAsia="ja-JP"/>
        </w:rPr>
        <w:t>Week 7</w:t>
      </w:r>
      <w:r w:rsidRPr="000526AB">
        <w:rPr>
          <w:lang w:eastAsia="ja-JP"/>
        </w:rPr>
        <w:t>6 and presented in the final CSR (Week 76), dated 08 October 2012 were collected according to the original protocol dated 19 June 2009, protocol amendment 1 dated 11 September 2009 (Japan only), protocol amendment 2 dated 02 December 2009 (France only) and protocol amendment 3 dated 30 June 2012. The CSR (Week 76) included data collected from the first subject first visit (28 October 2009) to the last subject last visit (01 February 2012). The safety data described in the following summary relates to the safety analys</w:t>
      </w:r>
      <w:r w:rsidR="006A7D88">
        <w:rPr>
          <w:lang w:eastAsia="ja-JP"/>
        </w:rPr>
        <w:t>is set unless otherwise stated.</w:t>
      </w:r>
    </w:p>
    <w:p w:rsidR="000526AB" w:rsidRPr="000526AB" w:rsidRDefault="000526AB" w:rsidP="006A7D88">
      <w:pPr>
        <w:rPr>
          <w:lang w:eastAsia="ja-JP"/>
        </w:rPr>
      </w:pPr>
      <w:r w:rsidRPr="000526AB">
        <w:rPr>
          <w:lang w:eastAsia="ja-JP"/>
        </w:rPr>
        <w:t>Subjects in the VTE2Q4+PRN treatment group received VTE2Q4 from Day 1 through</w:t>
      </w:r>
      <w:r w:rsidR="00300BDB">
        <w:rPr>
          <w:lang w:eastAsia="ja-JP"/>
        </w:rPr>
        <w:t xml:space="preserve"> Week 2</w:t>
      </w:r>
      <w:r w:rsidRPr="000526AB">
        <w:rPr>
          <w:lang w:eastAsia="ja-JP"/>
        </w:rPr>
        <w:t>0. VTE was then given PRN from</w:t>
      </w:r>
      <w:r w:rsidR="00300BDB">
        <w:rPr>
          <w:lang w:eastAsia="ja-JP"/>
        </w:rPr>
        <w:t xml:space="preserve"> Week 2</w:t>
      </w:r>
      <w:r w:rsidRPr="000526AB">
        <w:rPr>
          <w:lang w:eastAsia="ja-JP"/>
        </w:rPr>
        <w:t xml:space="preserve">4 through to </w:t>
      </w:r>
      <w:r w:rsidR="00EB1D43">
        <w:rPr>
          <w:lang w:eastAsia="ja-JP"/>
        </w:rPr>
        <w:t>W</w:t>
      </w:r>
      <w:r w:rsidRPr="000526AB">
        <w:rPr>
          <w:lang w:eastAsia="ja-JP"/>
        </w:rPr>
        <w:t xml:space="preserve">eek 68 in accordance with pre-specified </w:t>
      </w:r>
      <w:r w:rsidR="00427821">
        <w:rPr>
          <w:lang w:eastAsia="ja-JP"/>
        </w:rPr>
        <w:t xml:space="preserve">re </w:t>
      </w:r>
      <w:r w:rsidR="00C84038">
        <w:rPr>
          <w:lang w:eastAsia="ja-JP"/>
        </w:rPr>
        <w:t>treatment</w:t>
      </w:r>
      <w:r w:rsidRPr="000526AB">
        <w:rPr>
          <w:lang w:eastAsia="ja-JP"/>
        </w:rPr>
        <w:t xml:space="preserve"> criteria. Up to</w:t>
      </w:r>
      <w:r w:rsidR="00300BDB">
        <w:rPr>
          <w:lang w:eastAsia="ja-JP"/>
        </w:rPr>
        <w:t xml:space="preserve"> Week 5</w:t>
      </w:r>
      <w:r w:rsidRPr="000526AB">
        <w:rPr>
          <w:lang w:eastAsia="ja-JP"/>
        </w:rPr>
        <w:t>2, subjects were evaluated every 4 weeks and every 8 weeks after</w:t>
      </w:r>
      <w:r w:rsidR="00300BDB">
        <w:rPr>
          <w:lang w:eastAsia="ja-JP"/>
        </w:rPr>
        <w:t xml:space="preserve"> Week 5</w:t>
      </w:r>
      <w:r w:rsidRPr="000526AB">
        <w:rPr>
          <w:lang w:eastAsia="ja-JP"/>
        </w:rPr>
        <w:t>2. If</w:t>
      </w:r>
      <w:r w:rsidR="00301349">
        <w:rPr>
          <w:lang w:eastAsia="ja-JP"/>
        </w:rPr>
        <w:t xml:space="preserve"> </w:t>
      </w:r>
      <w:r w:rsidR="00427821">
        <w:rPr>
          <w:lang w:eastAsia="ja-JP"/>
        </w:rPr>
        <w:t xml:space="preserve">re </w:t>
      </w:r>
      <w:r w:rsidR="00C84038">
        <w:rPr>
          <w:lang w:eastAsia="ja-JP"/>
        </w:rPr>
        <w:t>treatment</w:t>
      </w:r>
      <w:r w:rsidRPr="000526AB">
        <w:rPr>
          <w:lang w:eastAsia="ja-JP"/>
        </w:rPr>
        <w:t xml:space="preserve"> criteria were not met at a given visit from</w:t>
      </w:r>
      <w:r w:rsidR="00300BDB">
        <w:rPr>
          <w:lang w:eastAsia="ja-JP"/>
        </w:rPr>
        <w:t xml:space="preserve"> Week 2</w:t>
      </w:r>
      <w:r w:rsidRPr="000526AB">
        <w:rPr>
          <w:lang w:eastAsia="ja-JP"/>
        </w:rPr>
        <w:t>4 to week 68, subjects received a sham injection in order to maintain masking. No treatm</w:t>
      </w:r>
      <w:r w:rsidR="00EB1D43">
        <w:rPr>
          <w:lang w:eastAsia="ja-JP"/>
        </w:rPr>
        <w:t xml:space="preserve">ent was administered at the end </w:t>
      </w:r>
      <w:r w:rsidRPr="000526AB">
        <w:rPr>
          <w:lang w:eastAsia="ja-JP"/>
        </w:rPr>
        <w:t>of</w:t>
      </w:r>
      <w:r w:rsidR="00EB1D43">
        <w:rPr>
          <w:lang w:eastAsia="ja-JP"/>
        </w:rPr>
        <w:t xml:space="preserve"> study visit/W</w:t>
      </w:r>
      <w:r w:rsidRPr="000526AB">
        <w:rPr>
          <w:lang w:eastAsia="ja-JP"/>
        </w:rPr>
        <w:t>eek 76.</w:t>
      </w:r>
    </w:p>
    <w:p w:rsidR="000526AB" w:rsidRPr="000526AB" w:rsidRDefault="000526AB" w:rsidP="006A7D88">
      <w:pPr>
        <w:rPr>
          <w:lang w:eastAsia="ja-JP"/>
        </w:rPr>
      </w:pPr>
      <w:r w:rsidRPr="000526AB">
        <w:rPr>
          <w:lang w:eastAsia="ja-JP"/>
        </w:rPr>
        <w:lastRenderedPageBreak/>
        <w:t>Subjects in the sham group received sham injections every 4 weeks from day 1 through</w:t>
      </w:r>
      <w:r w:rsidR="00300BDB">
        <w:rPr>
          <w:lang w:eastAsia="ja-JP"/>
        </w:rPr>
        <w:t xml:space="preserve"> Week 2</w:t>
      </w:r>
      <w:r w:rsidRPr="000526AB">
        <w:rPr>
          <w:lang w:eastAsia="ja-JP"/>
        </w:rPr>
        <w:t>0. Sham treatment was then continued monthly from</w:t>
      </w:r>
      <w:r w:rsidR="00300BDB">
        <w:rPr>
          <w:lang w:eastAsia="ja-JP"/>
        </w:rPr>
        <w:t xml:space="preserve"> Week 2</w:t>
      </w:r>
      <w:r w:rsidR="00EB1D43">
        <w:rPr>
          <w:lang w:eastAsia="ja-JP"/>
        </w:rPr>
        <w:t>4 through to W</w:t>
      </w:r>
      <w:r w:rsidRPr="000526AB">
        <w:rPr>
          <w:lang w:eastAsia="ja-JP"/>
        </w:rPr>
        <w:t>eek 48. At</w:t>
      </w:r>
      <w:r w:rsidR="00300BDB">
        <w:rPr>
          <w:lang w:eastAsia="ja-JP"/>
        </w:rPr>
        <w:t xml:space="preserve"> Week 5</w:t>
      </w:r>
      <w:r w:rsidRPr="000526AB">
        <w:rPr>
          <w:lang w:eastAsia="ja-JP"/>
        </w:rPr>
        <w:t>2, subjects in the sham group received VTE unless the masked investigator decided for medical reasons that treatment with active drug was not in the best interest of the subject. If VTE was not administered at</w:t>
      </w:r>
      <w:r w:rsidR="00300BDB">
        <w:rPr>
          <w:lang w:eastAsia="ja-JP"/>
        </w:rPr>
        <w:t xml:space="preserve"> Week 5</w:t>
      </w:r>
      <w:r w:rsidRPr="000526AB">
        <w:rPr>
          <w:lang w:eastAsia="ja-JP"/>
        </w:rPr>
        <w:t>2, the subject received sham treatment. After that, subjects returned every 8 weeks (</w:t>
      </w:r>
      <w:r w:rsidR="00EB1D43">
        <w:rPr>
          <w:lang w:eastAsia="ja-JP"/>
        </w:rPr>
        <w:t>that is, at Week 60 and W</w:t>
      </w:r>
      <w:r w:rsidRPr="000526AB">
        <w:rPr>
          <w:lang w:eastAsia="ja-JP"/>
        </w:rPr>
        <w:t>eek 68) and received VTE if the pre</w:t>
      </w:r>
      <w:r w:rsidR="00EB1D43">
        <w:rPr>
          <w:lang w:eastAsia="ja-JP"/>
        </w:rPr>
        <w:t xml:space="preserve"> </w:t>
      </w:r>
      <w:r w:rsidRPr="000526AB">
        <w:rPr>
          <w:lang w:eastAsia="ja-JP"/>
        </w:rPr>
        <w:t xml:space="preserve">specified </w:t>
      </w:r>
      <w:r w:rsidR="00427821">
        <w:rPr>
          <w:lang w:eastAsia="ja-JP"/>
        </w:rPr>
        <w:t xml:space="preserve">re </w:t>
      </w:r>
      <w:r w:rsidR="00C84038">
        <w:rPr>
          <w:lang w:eastAsia="ja-JP"/>
        </w:rPr>
        <w:t>treatment</w:t>
      </w:r>
      <w:r w:rsidRPr="000526AB">
        <w:rPr>
          <w:lang w:eastAsia="ja-JP"/>
        </w:rPr>
        <w:t xml:space="preserve"> criteria were met, or sham injection if the criteria were not met in order to maintain masking. No treatment</w:t>
      </w:r>
      <w:r w:rsidR="00EB1D43">
        <w:rPr>
          <w:lang w:eastAsia="ja-JP"/>
        </w:rPr>
        <w:t xml:space="preserve"> was administered at the end of </w:t>
      </w:r>
      <w:r w:rsidRPr="000526AB">
        <w:rPr>
          <w:lang w:eastAsia="ja-JP"/>
        </w:rPr>
        <w:t>study visit/</w:t>
      </w:r>
      <w:r w:rsidR="00EB1D43">
        <w:rPr>
          <w:lang w:eastAsia="ja-JP"/>
        </w:rPr>
        <w:t>W</w:t>
      </w:r>
      <w:r w:rsidR="006A7D88">
        <w:rPr>
          <w:lang w:eastAsia="ja-JP"/>
        </w:rPr>
        <w:t>eek 76.</w:t>
      </w:r>
    </w:p>
    <w:p w:rsidR="000526AB" w:rsidRPr="000526AB" w:rsidRDefault="000526AB" w:rsidP="006A7D88">
      <w:pPr>
        <w:rPr>
          <w:lang w:eastAsia="ja-JP"/>
        </w:rPr>
      </w:pPr>
      <w:r w:rsidRPr="000526AB">
        <w:rPr>
          <w:lang w:eastAsia="ja-JP"/>
        </w:rPr>
        <w:t>During the 76 weeks of treatment, total exposure to VTE in the VTE2Q4+PRN group was 18.3 mg over a mean duration of 450 days and in the sham+VTE PRN group total exposure to VTE was 2.5 mg over a mean duration of 400 days. The mean number of injections administered (active and sham) was higher in the VTE2Q4+PRN group (14.3) than in the sham+VTE PRN group (12.7).</w:t>
      </w:r>
    </w:p>
    <w:p w:rsidR="000526AB" w:rsidRPr="000526AB" w:rsidRDefault="000526AB" w:rsidP="006A7D88">
      <w:pPr>
        <w:rPr>
          <w:lang w:eastAsia="ja-JP"/>
        </w:rPr>
      </w:pPr>
      <w:r w:rsidRPr="000526AB">
        <w:rPr>
          <w:lang w:eastAsia="ja-JP"/>
        </w:rPr>
        <w:t>In the 91 subjects in the VTE2Q4+PRN group who completed</w:t>
      </w:r>
      <w:r w:rsidR="00300BDB">
        <w:rPr>
          <w:lang w:eastAsia="ja-JP"/>
        </w:rPr>
        <w:t xml:space="preserve"> Week 5</w:t>
      </w:r>
      <w:r w:rsidRPr="000526AB">
        <w:rPr>
          <w:lang w:eastAsia="ja-JP"/>
        </w:rPr>
        <w:t>2, the mean (SD) number of VTE injections from</w:t>
      </w:r>
      <w:r w:rsidR="00300BDB">
        <w:rPr>
          <w:lang w:eastAsia="ja-JP"/>
        </w:rPr>
        <w:t xml:space="preserve"> Week 5</w:t>
      </w:r>
      <w:r w:rsidRPr="000526AB">
        <w:rPr>
          <w:lang w:eastAsia="ja-JP"/>
        </w:rPr>
        <w:t>2 to</w:t>
      </w:r>
      <w:r w:rsidR="00300BDB">
        <w:rPr>
          <w:lang w:eastAsia="ja-JP"/>
        </w:rPr>
        <w:t xml:space="preserve"> Week 7</w:t>
      </w:r>
      <w:r w:rsidRPr="000526AB">
        <w:rPr>
          <w:lang w:eastAsia="ja-JP"/>
        </w:rPr>
        <w:t>6 was 1.3 (1.1) and in the 52 subjects in the sham+VTE PRN group who completed 52 weeks of treatment the corresponding figure was 1.7 (1.1) injections. Of the 91 subjects in the VTE2Q4+PRN group who completed</w:t>
      </w:r>
      <w:r w:rsidR="00300BDB">
        <w:rPr>
          <w:lang w:eastAsia="ja-JP"/>
        </w:rPr>
        <w:t xml:space="preserve"> Week 5</w:t>
      </w:r>
      <w:r w:rsidRPr="000526AB">
        <w:rPr>
          <w:lang w:eastAsia="ja-JP"/>
        </w:rPr>
        <w:t>2, 64 (69.2%) received 1 to 3 VTE injections from</w:t>
      </w:r>
      <w:r w:rsidR="00300BDB">
        <w:rPr>
          <w:lang w:eastAsia="ja-JP"/>
        </w:rPr>
        <w:t xml:space="preserve"> Week 5</w:t>
      </w:r>
      <w:r w:rsidRPr="000526AB">
        <w:rPr>
          <w:lang w:eastAsia="ja-JP"/>
        </w:rPr>
        <w:t>2 to</w:t>
      </w:r>
      <w:r w:rsidR="00300BDB">
        <w:rPr>
          <w:lang w:eastAsia="ja-JP"/>
        </w:rPr>
        <w:t xml:space="preserve"> Week 7</w:t>
      </w:r>
      <w:r w:rsidRPr="000526AB">
        <w:rPr>
          <w:lang w:eastAsia="ja-JP"/>
        </w:rPr>
        <w:t>6 and 30.8% received no VTE injections during this period. In the 52 subjects in the sham+VTE PRN group who completed</w:t>
      </w:r>
      <w:r w:rsidR="00300BDB">
        <w:rPr>
          <w:lang w:eastAsia="ja-JP"/>
        </w:rPr>
        <w:t xml:space="preserve"> Week 5</w:t>
      </w:r>
      <w:r w:rsidRPr="000526AB">
        <w:rPr>
          <w:lang w:eastAsia="ja-JP"/>
        </w:rPr>
        <w:t>2, 42 (80.8%) received 1 to 3 VTE injections from</w:t>
      </w:r>
      <w:r w:rsidR="00300BDB">
        <w:rPr>
          <w:lang w:eastAsia="ja-JP"/>
        </w:rPr>
        <w:t xml:space="preserve"> Week 5</w:t>
      </w:r>
      <w:r w:rsidRPr="000526AB">
        <w:rPr>
          <w:lang w:eastAsia="ja-JP"/>
        </w:rPr>
        <w:t>2 to</w:t>
      </w:r>
      <w:r w:rsidR="00300BDB">
        <w:rPr>
          <w:lang w:eastAsia="ja-JP"/>
        </w:rPr>
        <w:t xml:space="preserve"> Week 7</w:t>
      </w:r>
      <w:r w:rsidRPr="000526AB">
        <w:rPr>
          <w:lang w:eastAsia="ja-JP"/>
        </w:rPr>
        <w:t>6 and 19.2% received no VT</w:t>
      </w:r>
      <w:r w:rsidR="006A7D88">
        <w:rPr>
          <w:lang w:eastAsia="ja-JP"/>
        </w:rPr>
        <w:t>E injection during this period.</w:t>
      </w:r>
    </w:p>
    <w:p w:rsidR="000526AB" w:rsidRPr="000526AB" w:rsidRDefault="000526AB" w:rsidP="006A7D88">
      <w:pPr>
        <w:pStyle w:val="Heading5"/>
      </w:pPr>
      <w:bookmarkStart w:id="174" w:name="_Toc221697328"/>
      <w:r w:rsidRPr="000526AB">
        <w:t>Adverse events</w:t>
      </w:r>
      <w:bookmarkEnd w:id="174"/>
    </w:p>
    <w:p w:rsidR="000526AB" w:rsidRPr="000526AB" w:rsidRDefault="006A7D88" w:rsidP="006A7D88">
      <w:pPr>
        <w:pStyle w:val="Heading6"/>
        <w:rPr>
          <w:lang w:eastAsia="ja-JP"/>
        </w:rPr>
      </w:pPr>
      <w:r>
        <w:rPr>
          <w:lang w:eastAsia="ja-JP"/>
        </w:rPr>
        <w:t>Overview of adverse events</w:t>
      </w:r>
    </w:p>
    <w:p w:rsidR="000526AB" w:rsidRPr="000526AB" w:rsidRDefault="000526AB" w:rsidP="006A7D88">
      <w:pPr>
        <w:rPr>
          <w:lang w:eastAsia="ja-JP"/>
        </w:rPr>
      </w:pPr>
      <w:r w:rsidRPr="000526AB">
        <w:rPr>
          <w:lang w:eastAsia="ja-JP"/>
        </w:rPr>
        <w:t>Over the 76 weeks of the study the majority of subjects in both the sham+VTE PRN and</w:t>
      </w:r>
      <w:r w:rsidR="00301349">
        <w:rPr>
          <w:lang w:eastAsia="ja-JP"/>
        </w:rPr>
        <w:t xml:space="preserve"> </w:t>
      </w:r>
      <w:r w:rsidRPr="000526AB">
        <w:rPr>
          <w:lang w:eastAsia="ja-JP"/>
        </w:rPr>
        <w:t>VTE2Q4+PRN groups experienced at least 1 TEAE (61/68 [89.7%]</w:t>
      </w:r>
      <w:r w:rsidR="0091044A">
        <w:rPr>
          <w:lang w:eastAsia="ja-JP"/>
        </w:rPr>
        <w:t xml:space="preserve"> versus </w:t>
      </w:r>
      <w:r w:rsidR="006A7D88">
        <w:rPr>
          <w:lang w:eastAsia="ja-JP"/>
        </w:rPr>
        <w:t>91/104 [87.5%], respectively).</w:t>
      </w:r>
    </w:p>
    <w:p w:rsidR="000526AB" w:rsidRPr="000526AB" w:rsidRDefault="000526AB" w:rsidP="006A7D88">
      <w:pPr>
        <w:pStyle w:val="Heading6"/>
        <w:rPr>
          <w:lang w:eastAsia="ja-JP"/>
        </w:rPr>
      </w:pPr>
      <w:r w:rsidRPr="000526AB">
        <w:rPr>
          <w:lang w:eastAsia="ja-JP"/>
        </w:rPr>
        <w:t>Ocular TEAEs in the study eye</w:t>
      </w:r>
    </w:p>
    <w:p w:rsidR="000526AB" w:rsidRPr="000526AB" w:rsidRDefault="000526AB" w:rsidP="006A7D88">
      <w:pPr>
        <w:rPr>
          <w:lang w:eastAsia="ja-JP"/>
        </w:rPr>
      </w:pPr>
      <w:r w:rsidRPr="000526AB">
        <w:rPr>
          <w:lang w:eastAsia="ja-JP"/>
        </w:rPr>
        <w:t>The incidence of ocular TEAEs in subjects in the study eye from baseline to</w:t>
      </w:r>
      <w:r w:rsidR="00300BDB">
        <w:rPr>
          <w:lang w:eastAsia="ja-JP"/>
        </w:rPr>
        <w:t xml:space="preserve"> Week 7</w:t>
      </w:r>
      <w:r w:rsidRPr="000526AB">
        <w:rPr>
          <w:lang w:eastAsia="ja-JP"/>
        </w:rPr>
        <w:t>6 was similar in the sham+VTE PRN and the VTE2Q4+PRN groups (75.0% [51/68]</w:t>
      </w:r>
      <w:r w:rsidR="0091044A">
        <w:rPr>
          <w:lang w:eastAsia="ja-JP"/>
        </w:rPr>
        <w:t xml:space="preserve"> versus </w:t>
      </w:r>
      <w:r w:rsidRPr="000526AB">
        <w:rPr>
          <w:lang w:eastAsia="ja-JP"/>
        </w:rPr>
        <w:t xml:space="preserve">78.8% [82/104], respectively). The most commonly reported ocular TEAEs occurring in </w:t>
      </w:r>
      <w:r w:rsidR="00EB1D43">
        <w:rPr>
          <w:lang w:eastAsia="ja-JP"/>
        </w:rPr>
        <w:t>≥</w:t>
      </w:r>
      <w:r w:rsidRPr="000526AB">
        <w:rPr>
          <w:lang w:eastAsia="ja-JP"/>
        </w:rPr>
        <w:t xml:space="preserve"> 10% of subjects in both treatment groups were (sham+VTE PRN</w:t>
      </w:r>
      <w:r w:rsidR="0091044A">
        <w:rPr>
          <w:lang w:eastAsia="ja-JP"/>
        </w:rPr>
        <w:t xml:space="preserve"> versus </w:t>
      </w:r>
      <w:r w:rsidRPr="000526AB">
        <w:rPr>
          <w:lang w:eastAsia="ja-JP"/>
        </w:rPr>
        <w:t>VTE2Q4+PRN): macular oedema (25.0%</w:t>
      </w:r>
      <w:r w:rsidR="0091044A">
        <w:rPr>
          <w:lang w:eastAsia="ja-JP"/>
        </w:rPr>
        <w:t xml:space="preserve"> versus </w:t>
      </w:r>
      <w:r w:rsidRPr="000526AB">
        <w:rPr>
          <w:lang w:eastAsia="ja-JP"/>
        </w:rPr>
        <w:t>39.4%); retinal haemorrhage (11.8%</w:t>
      </w:r>
      <w:r w:rsidR="0091044A">
        <w:rPr>
          <w:lang w:eastAsia="ja-JP"/>
        </w:rPr>
        <w:t xml:space="preserve"> versus </w:t>
      </w:r>
      <w:r w:rsidRPr="000526AB">
        <w:rPr>
          <w:lang w:eastAsia="ja-JP"/>
        </w:rPr>
        <w:t>15.4%); visual acuity reduced (13.2%</w:t>
      </w:r>
      <w:r w:rsidR="0091044A">
        <w:rPr>
          <w:lang w:eastAsia="ja-JP"/>
        </w:rPr>
        <w:t xml:space="preserve"> versus </w:t>
      </w:r>
      <w:r w:rsidRPr="000526AB">
        <w:rPr>
          <w:lang w:eastAsia="ja-JP"/>
        </w:rPr>
        <w:t>14.4%); retinal vascular disorder (11.8%</w:t>
      </w:r>
      <w:r w:rsidR="0091044A">
        <w:rPr>
          <w:lang w:eastAsia="ja-JP"/>
        </w:rPr>
        <w:t xml:space="preserve"> versus </w:t>
      </w:r>
      <w:r w:rsidRPr="000526AB">
        <w:rPr>
          <w:lang w:eastAsia="ja-JP"/>
        </w:rPr>
        <w:t>11.5%); and macular ischaemia (10.3%</w:t>
      </w:r>
      <w:r w:rsidR="0091044A">
        <w:rPr>
          <w:lang w:eastAsia="ja-JP"/>
        </w:rPr>
        <w:t xml:space="preserve"> versus </w:t>
      </w:r>
      <w:r w:rsidRPr="000526AB">
        <w:rPr>
          <w:lang w:eastAsia="ja-JP"/>
        </w:rPr>
        <w:t xml:space="preserve">10.6%). Ocular TEAEs occurring in </w:t>
      </w:r>
      <w:r w:rsidR="00EB1D43">
        <w:rPr>
          <w:lang w:eastAsia="ja-JP"/>
        </w:rPr>
        <w:t>≥</w:t>
      </w:r>
      <w:r w:rsidRPr="000526AB">
        <w:rPr>
          <w:lang w:eastAsia="ja-JP"/>
        </w:rPr>
        <w:t xml:space="preserve"> 5% of subjects in the VTE2Q4+VTE group and in </w:t>
      </w:r>
      <w:r w:rsidR="00EB1D43">
        <w:rPr>
          <w:lang w:eastAsia="ja-JP"/>
        </w:rPr>
        <w:t>≥ </w:t>
      </w:r>
      <w:r w:rsidRPr="000526AB">
        <w:rPr>
          <w:lang w:eastAsia="ja-JP"/>
        </w:rPr>
        <w:t>2% more subjects than in the sham+VTE PRN group were (respectively): macular oedema (39.4%</w:t>
      </w:r>
      <w:r w:rsidR="0091044A">
        <w:rPr>
          <w:lang w:eastAsia="ja-JP"/>
        </w:rPr>
        <w:t xml:space="preserve"> versus </w:t>
      </w:r>
      <w:r w:rsidRPr="000526AB">
        <w:rPr>
          <w:lang w:eastAsia="ja-JP"/>
        </w:rPr>
        <w:t>25.0%); IOP increased (17.3%</w:t>
      </w:r>
      <w:r w:rsidR="0091044A">
        <w:rPr>
          <w:lang w:eastAsia="ja-JP"/>
        </w:rPr>
        <w:t xml:space="preserve"> versus </w:t>
      </w:r>
      <w:r w:rsidRPr="000526AB">
        <w:rPr>
          <w:lang w:eastAsia="ja-JP"/>
        </w:rPr>
        <w:t>5.9%); conjunctival haemorrhage (17.3%</w:t>
      </w:r>
      <w:r w:rsidR="0091044A">
        <w:rPr>
          <w:lang w:eastAsia="ja-JP"/>
        </w:rPr>
        <w:t xml:space="preserve"> versus </w:t>
      </w:r>
      <w:r w:rsidRPr="000526AB">
        <w:rPr>
          <w:lang w:eastAsia="ja-JP"/>
        </w:rPr>
        <w:t>7.4%); retinal haemorrhage (15.4%</w:t>
      </w:r>
      <w:r w:rsidR="0091044A">
        <w:rPr>
          <w:lang w:eastAsia="ja-JP"/>
        </w:rPr>
        <w:t xml:space="preserve"> versus </w:t>
      </w:r>
      <w:r w:rsidRPr="000526AB">
        <w:rPr>
          <w:lang w:eastAsia="ja-JP"/>
        </w:rPr>
        <w:t>11.8%); eye pain (14.4%</w:t>
      </w:r>
      <w:r w:rsidR="0091044A">
        <w:rPr>
          <w:lang w:eastAsia="ja-JP"/>
        </w:rPr>
        <w:t xml:space="preserve"> versus </w:t>
      </w:r>
      <w:r w:rsidRPr="000526AB">
        <w:rPr>
          <w:lang w:eastAsia="ja-JP"/>
        </w:rPr>
        <w:t>5.9%); ocular hyperaemia (8.7%</w:t>
      </w:r>
      <w:r w:rsidR="0091044A">
        <w:rPr>
          <w:lang w:eastAsia="ja-JP"/>
        </w:rPr>
        <w:t xml:space="preserve"> versus </w:t>
      </w:r>
      <w:r w:rsidRPr="000526AB">
        <w:rPr>
          <w:lang w:eastAsia="ja-JP"/>
        </w:rPr>
        <w:t>5.9%); vitreous detachment (6.7%</w:t>
      </w:r>
      <w:r w:rsidR="0091044A">
        <w:rPr>
          <w:lang w:eastAsia="ja-JP"/>
        </w:rPr>
        <w:t xml:space="preserve"> versus </w:t>
      </w:r>
      <w:r w:rsidRPr="000526AB">
        <w:rPr>
          <w:lang w:eastAsia="ja-JP"/>
        </w:rPr>
        <w:t>1.5%); vitreous floaters (6.7%</w:t>
      </w:r>
      <w:r w:rsidR="0091044A">
        <w:rPr>
          <w:lang w:eastAsia="ja-JP"/>
        </w:rPr>
        <w:t xml:space="preserve"> versus </w:t>
      </w:r>
      <w:r w:rsidRPr="000526AB">
        <w:rPr>
          <w:lang w:eastAsia="ja-JP"/>
        </w:rPr>
        <w:t xml:space="preserve">1.5%); iris </w:t>
      </w:r>
      <w:r w:rsidR="00ED3DEB">
        <w:rPr>
          <w:lang w:eastAsia="ja-JP"/>
        </w:rPr>
        <w:t>neovascularisation</w:t>
      </w:r>
      <w:r w:rsidRPr="000526AB">
        <w:rPr>
          <w:lang w:eastAsia="ja-JP"/>
        </w:rPr>
        <w:t xml:space="preserve"> (6.7%</w:t>
      </w:r>
      <w:r w:rsidR="0091044A">
        <w:rPr>
          <w:lang w:eastAsia="ja-JP"/>
        </w:rPr>
        <w:t xml:space="preserve"> versus </w:t>
      </w:r>
      <w:r w:rsidRPr="000526AB">
        <w:rPr>
          <w:lang w:eastAsia="ja-JP"/>
        </w:rPr>
        <w:t>0%); retinal vein occlusion (6.7%</w:t>
      </w:r>
      <w:r w:rsidR="0091044A">
        <w:rPr>
          <w:lang w:eastAsia="ja-JP"/>
        </w:rPr>
        <w:t xml:space="preserve"> versus </w:t>
      </w:r>
      <w:r w:rsidRPr="000526AB">
        <w:rPr>
          <w:lang w:eastAsia="ja-JP"/>
        </w:rPr>
        <w:t>0%); cystoid macular oedema (5.8%</w:t>
      </w:r>
      <w:r w:rsidR="0091044A">
        <w:rPr>
          <w:lang w:eastAsia="ja-JP"/>
        </w:rPr>
        <w:t xml:space="preserve"> versus </w:t>
      </w:r>
      <w:r w:rsidRPr="000526AB">
        <w:rPr>
          <w:lang w:eastAsia="ja-JP"/>
        </w:rPr>
        <w:t>1.5%); and injection site pain (5.8%</w:t>
      </w:r>
      <w:r w:rsidR="0091044A">
        <w:rPr>
          <w:lang w:eastAsia="ja-JP"/>
        </w:rPr>
        <w:t xml:space="preserve"> versus </w:t>
      </w:r>
      <w:r w:rsidR="006A7D88">
        <w:rPr>
          <w:lang w:eastAsia="ja-JP"/>
        </w:rPr>
        <w:t>2.9%).</w:t>
      </w:r>
    </w:p>
    <w:p w:rsidR="000526AB" w:rsidRPr="000526AB" w:rsidRDefault="000526AB" w:rsidP="006A7D88">
      <w:pPr>
        <w:rPr>
          <w:lang w:eastAsia="ja-JP"/>
        </w:rPr>
      </w:pPr>
      <w:r w:rsidRPr="000526AB">
        <w:rPr>
          <w:lang w:eastAsia="ja-JP"/>
        </w:rPr>
        <w:t>The majority of ocular TEAEs in the study eye in subjects in both treatment groups were mild or moderate in intensity (46/68 [67.6%], sham+VTE PRN</w:t>
      </w:r>
      <w:r w:rsidR="0091044A">
        <w:rPr>
          <w:lang w:eastAsia="ja-JP"/>
        </w:rPr>
        <w:t xml:space="preserve"> versus </w:t>
      </w:r>
      <w:r w:rsidRPr="000526AB">
        <w:rPr>
          <w:lang w:eastAsia="ja-JP"/>
        </w:rPr>
        <w:t>72/104 [69.2%], VTE2Q4+PRN). Overall, the number of subjects with severe ocular TEAEs in the study eye was low (15 subjects; 8.7%). The only severe ocular TEAE in the study eye reported in both treatment groups was macular oedema (1.5%, sham+VTE PRN</w:t>
      </w:r>
      <w:r w:rsidR="0091044A">
        <w:rPr>
          <w:lang w:eastAsia="ja-JP"/>
        </w:rPr>
        <w:t xml:space="preserve"> versus </w:t>
      </w:r>
      <w:r w:rsidRPr="000526AB">
        <w:rPr>
          <w:lang w:eastAsia="ja-JP"/>
        </w:rPr>
        <w:t>1.9%, VTE2Q4+PRN). No subject in the sham+VTE PRN group experienced a severe ocular TEAE in the study eye after initiation of VTE treatment. Severe visual acuity reductions in subjects in the VTE2Q4+PRN group were all reported after the switch to PRN dosing and before</w:t>
      </w:r>
      <w:r w:rsidR="00300BDB">
        <w:rPr>
          <w:lang w:eastAsia="ja-JP"/>
        </w:rPr>
        <w:t xml:space="preserve"> Week 5</w:t>
      </w:r>
      <w:r w:rsidRPr="000526AB">
        <w:rPr>
          <w:lang w:eastAsia="ja-JP"/>
        </w:rPr>
        <w:t>2 (3 [2.9%], VTE2Q4+PRN</w:t>
      </w:r>
      <w:r w:rsidR="0091044A">
        <w:rPr>
          <w:lang w:eastAsia="ja-JP"/>
        </w:rPr>
        <w:t xml:space="preserve"> versus </w:t>
      </w:r>
      <w:r w:rsidR="006A7D88">
        <w:rPr>
          <w:lang w:eastAsia="ja-JP"/>
        </w:rPr>
        <w:t>0 [0%], sham+VTE PRN).</w:t>
      </w:r>
    </w:p>
    <w:p w:rsidR="000526AB" w:rsidRPr="000526AB" w:rsidRDefault="000526AB" w:rsidP="006A7D88">
      <w:r w:rsidRPr="000526AB">
        <w:rPr>
          <w:b/>
        </w:rPr>
        <w:lastRenderedPageBreak/>
        <w:t>Comment:</w:t>
      </w:r>
      <w:r w:rsidR="00EB1D43">
        <w:rPr>
          <w:b/>
        </w:rPr>
        <w:t xml:space="preserve"> </w:t>
      </w:r>
      <w:r w:rsidRPr="000526AB">
        <w:t>Of particular note was the increased incidence of macular oedema in subjects in the VTE2Q4+PRN group (41 [39.4%]) compared with the sham+VTE group (17 [25.0%]), and the similar proportion of patients with visual acuity reduced in both treatment groups (15 [14.4%]%</w:t>
      </w:r>
      <w:r w:rsidR="0091044A">
        <w:t xml:space="preserve"> versus </w:t>
      </w:r>
      <w:r w:rsidRPr="000526AB">
        <w:t>9 [13.2%], respectively). Other complications of CRVO including cystoid macular oedema occurred more frequently in subjects in the VTE2Q4+PRN group than in the sham+VTE PRN group, while vitreous haemorrhage occurred in a similar proportion of sub</w:t>
      </w:r>
      <w:r w:rsidR="006A7D88">
        <w:t>jects in both treatment groups.</w:t>
      </w:r>
    </w:p>
    <w:p w:rsidR="000526AB" w:rsidRPr="000526AB" w:rsidRDefault="000526AB" w:rsidP="006A7D88">
      <w:pPr>
        <w:pStyle w:val="Heading6"/>
        <w:rPr>
          <w:lang w:eastAsia="ja-JP"/>
        </w:rPr>
      </w:pPr>
      <w:r w:rsidRPr="000526AB">
        <w:rPr>
          <w:lang w:eastAsia="ja-JP"/>
        </w:rPr>
        <w:t>Ocular TEAEs in the fellow eye</w:t>
      </w:r>
    </w:p>
    <w:p w:rsidR="000526AB" w:rsidRPr="000526AB" w:rsidRDefault="000526AB" w:rsidP="006A7D88">
      <w:pPr>
        <w:rPr>
          <w:lang w:eastAsia="ja-JP"/>
        </w:rPr>
      </w:pPr>
      <w:r w:rsidRPr="000526AB">
        <w:rPr>
          <w:lang w:eastAsia="ja-JP"/>
        </w:rPr>
        <w:t>From baseline to</w:t>
      </w:r>
      <w:r w:rsidR="00300BDB">
        <w:rPr>
          <w:lang w:eastAsia="ja-JP"/>
        </w:rPr>
        <w:t xml:space="preserve"> Week 7</w:t>
      </w:r>
      <w:r w:rsidRPr="000526AB">
        <w:rPr>
          <w:lang w:eastAsia="ja-JP"/>
        </w:rPr>
        <w:t>6, the overall incidence of ocular TEAEs in the fellow eye was similar in subjects in the sham+VTE PRN and VTE2Q4+PRN groups (16/68 [23.5%]</w:t>
      </w:r>
      <w:r w:rsidR="0091044A">
        <w:rPr>
          <w:lang w:eastAsia="ja-JP"/>
        </w:rPr>
        <w:t xml:space="preserve"> versus </w:t>
      </w:r>
      <w:r w:rsidRPr="000526AB">
        <w:rPr>
          <w:lang w:eastAsia="ja-JP"/>
        </w:rPr>
        <w:t xml:space="preserve">23/104 [22.1%], respectively). No ocular TEAEs in the fellow eye occurring in </w:t>
      </w:r>
      <w:r w:rsidR="00612EA4">
        <w:rPr>
          <w:lang w:eastAsia="ja-JP"/>
        </w:rPr>
        <w:t>≥</w:t>
      </w:r>
      <w:r w:rsidRPr="000526AB">
        <w:rPr>
          <w:lang w:eastAsia="ja-JP"/>
        </w:rPr>
        <w:t xml:space="preserve"> 3% of subjects were reported in either of the two treatment groups. The most commonly occurring ocular TEAEs in the fellow eye occurring in the two treatment groups were (sham+VTE PRN</w:t>
      </w:r>
      <w:r w:rsidR="0091044A">
        <w:rPr>
          <w:lang w:eastAsia="ja-JP"/>
        </w:rPr>
        <w:t xml:space="preserve"> versus </w:t>
      </w:r>
      <w:r w:rsidRPr="000526AB">
        <w:rPr>
          <w:lang w:eastAsia="ja-JP"/>
        </w:rPr>
        <w:t>VTE2Q4+PRN): cataract (2.9%</w:t>
      </w:r>
      <w:r w:rsidR="0091044A">
        <w:rPr>
          <w:lang w:eastAsia="ja-JP"/>
        </w:rPr>
        <w:t xml:space="preserve"> versus </w:t>
      </w:r>
      <w:r w:rsidRPr="000526AB">
        <w:rPr>
          <w:lang w:eastAsia="ja-JP"/>
        </w:rPr>
        <w:t>2.9%); retinal haemorrhage (2.9%</w:t>
      </w:r>
      <w:r w:rsidR="0091044A">
        <w:rPr>
          <w:lang w:eastAsia="ja-JP"/>
        </w:rPr>
        <w:t xml:space="preserve"> versus </w:t>
      </w:r>
      <w:r w:rsidRPr="000526AB">
        <w:rPr>
          <w:lang w:eastAsia="ja-JP"/>
        </w:rPr>
        <w:t>2.9%); dry eye (1.5%</w:t>
      </w:r>
      <w:r w:rsidR="0091044A">
        <w:rPr>
          <w:lang w:eastAsia="ja-JP"/>
        </w:rPr>
        <w:t xml:space="preserve"> versus </w:t>
      </w:r>
      <w:r w:rsidRPr="000526AB">
        <w:rPr>
          <w:lang w:eastAsia="ja-JP"/>
        </w:rPr>
        <w:t>2.9%); and vitreous detachment (0%</w:t>
      </w:r>
      <w:r w:rsidR="0091044A">
        <w:rPr>
          <w:lang w:eastAsia="ja-JP"/>
        </w:rPr>
        <w:t xml:space="preserve"> versus </w:t>
      </w:r>
      <w:r w:rsidRPr="000526AB">
        <w:rPr>
          <w:lang w:eastAsia="ja-JP"/>
        </w:rPr>
        <w:t xml:space="preserve">2.9%). All other ocular TEAEs in the fellow eye occurred each occurred in 1 subject only in the sham+VTE PRN group and </w:t>
      </w:r>
      <w:r w:rsidR="00612EA4">
        <w:rPr>
          <w:lang w:eastAsia="ja-JP"/>
        </w:rPr>
        <w:t>≤</w:t>
      </w:r>
      <w:r w:rsidRPr="000526AB">
        <w:rPr>
          <w:lang w:eastAsia="ja-JP"/>
        </w:rPr>
        <w:t xml:space="preserve"> 2 su</w:t>
      </w:r>
      <w:r w:rsidR="006A7D88">
        <w:rPr>
          <w:lang w:eastAsia="ja-JP"/>
        </w:rPr>
        <w:t>bjects in the VTE2Q4+PRN group.</w:t>
      </w:r>
    </w:p>
    <w:p w:rsidR="000526AB" w:rsidRPr="000526AB" w:rsidRDefault="00D74B64" w:rsidP="006A7D88">
      <w:pPr>
        <w:pStyle w:val="Heading6"/>
        <w:rPr>
          <w:lang w:eastAsia="ja-JP"/>
        </w:rPr>
      </w:pPr>
      <w:r>
        <w:rPr>
          <w:lang w:eastAsia="ja-JP"/>
        </w:rPr>
        <w:t xml:space="preserve">Non-ocular </w:t>
      </w:r>
      <w:r w:rsidR="000526AB" w:rsidRPr="000526AB">
        <w:rPr>
          <w:lang w:eastAsia="ja-JP"/>
        </w:rPr>
        <w:t>TEAEs</w:t>
      </w:r>
    </w:p>
    <w:p w:rsidR="000526AB" w:rsidRPr="000526AB" w:rsidRDefault="000526AB" w:rsidP="006A7D88">
      <w:pPr>
        <w:rPr>
          <w:lang w:eastAsia="ja-JP"/>
        </w:rPr>
      </w:pPr>
      <w:r w:rsidRPr="000526AB">
        <w:rPr>
          <w:lang w:eastAsia="ja-JP"/>
        </w:rPr>
        <w:t xml:space="preserve">The proportion of subjects experiencing a </w:t>
      </w:r>
      <w:r w:rsidR="00D74B64">
        <w:rPr>
          <w:lang w:eastAsia="ja-JP"/>
        </w:rPr>
        <w:t xml:space="preserve">non-ocular </w:t>
      </w:r>
      <w:r w:rsidRPr="000526AB">
        <w:rPr>
          <w:lang w:eastAsia="ja-JP"/>
        </w:rPr>
        <w:t>TEAE was higher in the sham+VTE PRN group than in the VTE2Q4+PRN group (50/68 [73.5%]</w:t>
      </w:r>
      <w:r w:rsidR="0091044A">
        <w:rPr>
          <w:lang w:eastAsia="ja-JP"/>
        </w:rPr>
        <w:t xml:space="preserve"> versus </w:t>
      </w:r>
      <w:r w:rsidRPr="000526AB">
        <w:rPr>
          <w:lang w:eastAsia="ja-JP"/>
        </w:rPr>
        <w:t xml:space="preserve">71/104 [68.3%], respectively). </w:t>
      </w:r>
      <w:r w:rsidR="00D74B64">
        <w:rPr>
          <w:lang w:eastAsia="ja-JP"/>
        </w:rPr>
        <w:t xml:space="preserve">Non-ocular </w:t>
      </w:r>
      <w:r w:rsidRPr="000526AB">
        <w:rPr>
          <w:lang w:eastAsia="ja-JP"/>
        </w:rPr>
        <w:t xml:space="preserve">TEAEs occurring in </w:t>
      </w:r>
      <w:r w:rsidR="00612EA4">
        <w:rPr>
          <w:lang w:eastAsia="ja-JP"/>
        </w:rPr>
        <w:t>≥</w:t>
      </w:r>
      <w:r w:rsidRPr="000526AB">
        <w:rPr>
          <w:lang w:eastAsia="ja-JP"/>
        </w:rPr>
        <w:t xml:space="preserve"> 10% of subjects in either the VTE2Q4+PRN or sham+VTE groups were (respectively) nasopharyngitis (15.4%</w:t>
      </w:r>
      <w:r w:rsidR="0091044A">
        <w:rPr>
          <w:lang w:eastAsia="ja-JP"/>
        </w:rPr>
        <w:t xml:space="preserve"> versus </w:t>
      </w:r>
      <w:r w:rsidRPr="000526AB">
        <w:rPr>
          <w:lang w:eastAsia="ja-JP"/>
        </w:rPr>
        <w:t>25.0%) and hypertension (9.3%</w:t>
      </w:r>
      <w:r w:rsidR="0091044A">
        <w:rPr>
          <w:lang w:eastAsia="ja-JP"/>
        </w:rPr>
        <w:t xml:space="preserve"> versus </w:t>
      </w:r>
      <w:r w:rsidRPr="000526AB">
        <w:rPr>
          <w:lang w:eastAsia="ja-JP"/>
        </w:rPr>
        <w:t xml:space="preserve">10.3%). </w:t>
      </w:r>
      <w:r w:rsidR="00D74B64">
        <w:rPr>
          <w:lang w:eastAsia="ja-JP"/>
        </w:rPr>
        <w:t xml:space="preserve">Non-ocular </w:t>
      </w:r>
      <w:r w:rsidRPr="000526AB">
        <w:rPr>
          <w:lang w:eastAsia="ja-JP"/>
        </w:rPr>
        <w:t xml:space="preserve">TEAEs reported in </w:t>
      </w:r>
      <w:r w:rsidR="00612EA4">
        <w:rPr>
          <w:lang w:eastAsia="ja-JP"/>
        </w:rPr>
        <w:t>≥</w:t>
      </w:r>
      <w:r w:rsidRPr="000526AB">
        <w:rPr>
          <w:lang w:eastAsia="ja-JP"/>
        </w:rPr>
        <w:t xml:space="preserve"> 5% of subjects in the VTE2Q4+PRN group and in </w:t>
      </w:r>
      <w:r w:rsidR="00612EA4">
        <w:rPr>
          <w:lang w:eastAsia="ja-JP"/>
        </w:rPr>
        <w:t>≥</w:t>
      </w:r>
      <w:r w:rsidRPr="000526AB">
        <w:rPr>
          <w:lang w:eastAsia="ja-JP"/>
        </w:rPr>
        <w:t xml:space="preserve"> 2% more subjects than in the sham+VTE PRN group were influenza (7.7%</w:t>
      </w:r>
      <w:r w:rsidR="0091044A">
        <w:rPr>
          <w:lang w:eastAsia="ja-JP"/>
        </w:rPr>
        <w:t xml:space="preserve"> versus </w:t>
      </w:r>
      <w:r w:rsidRPr="000526AB">
        <w:rPr>
          <w:lang w:eastAsia="ja-JP"/>
        </w:rPr>
        <w:t>2.9%) and back pain (6.7%</w:t>
      </w:r>
      <w:r w:rsidR="0091044A">
        <w:rPr>
          <w:lang w:eastAsia="ja-JP"/>
        </w:rPr>
        <w:t xml:space="preserve"> versus </w:t>
      </w:r>
      <w:r w:rsidRPr="000526AB">
        <w:rPr>
          <w:lang w:eastAsia="ja-JP"/>
        </w:rPr>
        <w:t xml:space="preserve">4.4%). The majority of </w:t>
      </w:r>
      <w:r w:rsidR="00D74B64">
        <w:rPr>
          <w:lang w:eastAsia="ja-JP"/>
        </w:rPr>
        <w:t xml:space="preserve">non-ocular </w:t>
      </w:r>
      <w:r w:rsidRPr="000526AB">
        <w:rPr>
          <w:lang w:eastAsia="ja-JP"/>
        </w:rPr>
        <w:t xml:space="preserve">TEAEs were mild or moderate in intensity in subjects in both treatment groups. </w:t>
      </w:r>
      <w:r w:rsidR="00D74B64">
        <w:rPr>
          <w:lang w:eastAsia="ja-JP"/>
        </w:rPr>
        <w:t xml:space="preserve">Non-ocular </w:t>
      </w:r>
      <w:r w:rsidRPr="000526AB">
        <w:rPr>
          <w:lang w:eastAsia="ja-JP"/>
        </w:rPr>
        <w:t xml:space="preserve">TEAEs classified as severe in intensity were reported in 7 subjects (10.3%) in the sham+VTE PRN group and 6 subjects (5.8%) in the VTE2Q4+PRN group. No severe </w:t>
      </w:r>
      <w:r w:rsidR="00D74B64">
        <w:rPr>
          <w:lang w:eastAsia="ja-JP"/>
        </w:rPr>
        <w:t xml:space="preserve">non-ocular </w:t>
      </w:r>
      <w:r w:rsidRPr="000526AB">
        <w:rPr>
          <w:lang w:eastAsia="ja-JP"/>
        </w:rPr>
        <w:t xml:space="preserve">TEAEs were reported in more than 1 subject in the VTE2Q4+PRN group, while the only severe </w:t>
      </w:r>
      <w:r w:rsidR="00D74B64">
        <w:rPr>
          <w:lang w:eastAsia="ja-JP"/>
        </w:rPr>
        <w:t xml:space="preserve">non-ocular </w:t>
      </w:r>
      <w:r w:rsidRPr="000526AB">
        <w:rPr>
          <w:lang w:eastAsia="ja-JP"/>
        </w:rPr>
        <w:t>TEAE reported in more than 1 subject in the sham+VTE PRN group was syncope (</w:t>
      </w:r>
      <w:r w:rsidR="006A7D88">
        <w:rPr>
          <w:lang w:eastAsia="ja-JP"/>
        </w:rPr>
        <w:t>2 [2.9%]).</w:t>
      </w:r>
    </w:p>
    <w:p w:rsidR="000526AB" w:rsidRPr="000526AB" w:rsidRDefault="000526AB" w:rsidP="006A7D88">
      <w:pPr>
        <w:pStyle w:val="Heading6"/>
        <w:rPr>
          <w:lang w:eastAsia="ja-JP"/>
        </w:rPr>
      </w:pPr>
      <w:r w:rsidRPr="000526AB">
        <w:rPr>
          <w:lang w:eastAsia="ja-JP"/>
        </w:rPr>
        <w:t>Drug-related TEAEs</w:t>
      </w:r>
    </w:p>
    <w:p w:rsidR="000526AB" w:rsidRPr="000526AB" w:rsidRDefault="000526AB" w:rsidP="006A7D88">
      <w:pPr>
        <w:rPr>
          <w:lang w:eastAsia="ja-JP"/>
        </w:rPr>
      </w:pPr>
      <w:r w:rsidRPr="000526AB">
        <w:rPr>
          <w:lang w:eastAsia="ja-JP"/>
        </w:rPr>
        <w:t>From baseline to</w:t>
      </w:r>
      <w:r w:rsidR="00300BDB">
        <w:rPr>
          <w:lang w:eastAsia="ja-JP"/>
        </w:rPr>
        <w:t xml:space="preserve"> Week 7</w:t>
      </w:r>
      <w:r w:rsidRPr="000526AB">
        <w:rPr>
          <w:lang w:eastAsia="ja-JP"/>
        </w:rPr>
        <w:t>6, drug-related ocular TEAEs in the study eye were reported in 7.4% (5/68) of subjects in the sham+VTE PRN group and 9.6% (10/104) of subjects in the VTE2Q4+PRN group. The most commonly reported drug-related ocular TEAEs in the study eye were IOP increased in subjects in the VTE2Q4+PRN group (4.8%, VTE2Q4+PRN</w:t>
      </w:r>
      <w:r w:rsidR="0091044A">
        <w:rPr>
          <w:lang w:eastAsia="ja-JP"/>
        </w:rPr>
        <w:t xml:space="preserve"> versus </w:t>
      </w:r>
      <w:r w:rsidRPr="000526AB">
        <w:rPr>
          <w:lang w:eastAsia="ja-JP"/>
        </w:rPr>
        <w:t>1.5%, sham+VTE PRN) and eye irritation in the sham+VTE PRN group (2.9%, sham+VTE PRN</w:t>
      </w:r>
      <w:r w:rsidR="0091044A">
        <w:rPr>
          <w:lang w:eastAsia="ja-JP"/>
        </w:rPr>
        <w:t xml:space="preserve"> versus </w:t>
      </w:r>
      <w:r w:rsidRPr="000526AB">
        <w:rPr>
          <w:lang w:eastAsia="ja-JP"/>
        </w:rPr>
        <w:t xml:space="preserve">1.9%, VTE2Q4+PRN). No other drug-related ocular TEAEs occurred in </w:t>
      </w:r>
      <w:r w:rsidR="00612EA4">
        <w:rPr>
          <w:lang w:eastAsia="ja-JP"/>
        </w:rPr>
        <w:t>≥</w:t>
      </w:r>
      <w:r w:rsidRPr="000526AB">
        <w:rPr>
          <w:lang w:eastAsia="ja-JP"/>
        </w:rPr>
        <w:t xml:space="preserve"> 2% of subjects in either treatment group. One (1) subject in the sham+VTE PRN group experienced a drug-related ocular TEAE in the fellow eye (IOP increased reported prior to the initiation of active treatment). No drug-related </w:t>
      </w:r>
      <w:r w:rsidR="00D74B64">
        <w:rPr>
          <w:lang w:eastAsia="ja-JP"/>
        </w:rPr>
        <w:t xml:space="preserve">non-ocular </w:t>
      </w:r>
      <w:r w:rsidRPr="000526AB">
        <w:rPr>
          <w:lang w:eastAsia="ja-JP"/>
        </w:rPr>
        <w:t>TEAEs were repo</w:t>
      </w:r>
      <w:r w:rsidR="006A7D88">
        <w:rPr>
          <w:lang w:eastAsia="ja-JP"/>
        </w:rPr>
        <w:t>rted in either treatment group.</w:t>
      </w:r>
    </w:p>
    <w:p w:rsidR="000526AB" w:rsidRPr="000526AB" w:rsidRDefault="000526AB" w:rsidP="006A7D88">
      <w:pPr>
        <w:pStyle w:val="Heading6"/>
        <w:rPr>
          <w:lang w:eastAsia="ja-JP"/>
        </w:rPr>
      </w:pPr>
      <w:r w:rsidRPr="000526AB">
        <w:rPr>
          <w:lang w:eastAsia="ja-JP"/>
        </w:rPr>
        <w:t xml:space="preserve">Injection-related TEAEs </w:t>
      </w:r>
      <w:r w:rsidR="006A7D88">
        <w:rPr>
          <w:lang w:eastAsia="ja-JP"/>
        </w:rPr>
        <w:t>in the study eye and fellow eye</w:t>
      </w:r>
    </w:p>
    <w:p w:rsidR="000526AB" w:rsidRPr="000526AB" w:rsidRDefault="000526AB" w:rsidP="006A7D88">
      <w:pPr>
        <w:rPr>
          <w:lang w:eastAsia="ja-JP"/>
        </w:rPr>
      </w:pPr>
      <w:r w:rsidRPr="000526AB">
        <w:rPr>
          <w:lang w:eastAsia="ja-JP"/>
        </w:rPr>
        <w:t xml:space="preserve">The incidence of injection-related TEAEs in the study eye was higher in subjects in the VTE2Q4+PRN group (44/104 [42.3%]) than in the sham+VTE PRN group (27/68 [39.7%]). The most commonly reported injection-related TEAEs occurring with an incidence of </w:t>
      </w:r>
      <w:r w:rsidR="00612EA4">
        <w:rPr>
          <w:lang w:eastAsia="ja-JP"/>
        </w:rPr>
        <w:t>≥</w:t>
      </w:r>
      <w:r w:rsidRPr="000526AB">
        <w:rPr>
          <w:lang w:eastAsia="ja-JP"/>
        </w:rPr>
        <w:t xml:space="preserve"> 5% of subjects in either of the two groups were (sham+VTE PRN</w:t>
      </w:r>
      <w:r w:rsidR="0091044A">
        <w:rPr>
          <w:lang w:eastAsia="ja-JP"/>
        </w:rPr>
        <w:t xml:space="preserve"> versus </w:t>
      </w:r>
      <w:r w:rsidRPr="000526AB">
        <w:rPr>
          <w:lang w:eastAsia="ja-JP"/>
        </w:rPr>
        <w:t>VTE2Q4+PRN): conjunctival haemorrhage (7.4%</w:t>
      </w:r>
      <w:r w:rsidR="0091044A">
        <w:rPr>
          <w:lang w:eastAsia="ja-JP"/>
        </w:rPr>
        <w:t xml:space="preserve"> versus </w:t>
      </w:r>
      <w:r w:rsidRPr="000526AB">
        <w:rPr>
          <w:lang w:eastAsia="ja-JP"/>
        </w:rPr>
        <w:t>17.3%); eye pain (5.9%</w:t>
      </w:r>
      <w:r w:rsidR="0091044A">
        <w:rPr>
          <w:lang w:eastAsia="ja-JP"/>
        </w:rPr>
        <w:t xml:space="preserve"> versus </w:t>
      </w:r>
      <w:r w:rsidRPr="000526AB">
        <w:rPr>
          <w:lang w:eastAsia="ja-JP"/>
        </w:rPr>
        <w:t>13.5%); eye irritation (10.3%</w:t>
      </w:r>
      <w:r w:rsidR="0091044A">
        <w:rPr>
          <w:lang w:eastAsia="ja-JP"/>
        </w:rPr>
        <w:t xml:space="preserve"> versus </w:t>
      </w:r>
      <w:r w:rsidRPr="000526AB">
        <w:rPr>
          <w:lang w:eastAsia="ja-JP"/>
        </w:rPr>
        <w:t>5.8%); ocular hyperaemia (5.9%</w:t>
      </w:r>
      <w:r w:rsidR="0091044A">
        <w:rPr>
          <w:lang w:eastAsia="ja-JP"/>
        </w:rPr>
        <w:t xml:space="preserve"> versus </w:t>
      </w:r>
      <w:r w:rsidRPr="000526AB">
        <w:rPr>
          <w:lang w:eastAsia="ja-JP"/>
        </w:rPr>
        <w:t>5.8%); foreign body sensation in eyes (4.4%</w:t>
      </w:r>
      <w:r w:rsidR="0091044A">
        <w:rPr>
          <w:lang w:eastAsia="ja-JP"/>
        </w:rPr>
        <w:t xml:space="preserve"> versus </w:t>
      </w:r>
      <w:r w:rsidRPr="000526AB">
        <w:rPr>
          <w:lang w:eastAsia="ja-JP"/>
        </w:rPr>
        <w:t>6.7%); lacrimation increased (7.4%</w:t>
      </w:r>
      <w:r w:rsidR="0091044A">
        <w:rPr>
          <w:lang w:eastAsia="ja-JP"/>
        </w:rPr>
        <w:t xml:space="preserve"> versus </w:t>
      </w:r>
      <w:r w:rsidRPr="000526AB">
        <w:rPr>
          <w:lang w:eastAsia="ja-JP"/>
        </w:rPr>
        <w:t>3.8%); and IOP increased (4.4%</w:t>
      </w:r>
      <w:r w:rsidR="0091044A">
        <w:rPr>
          <w:lang w:eastAsia="ja-JP"/>
        </w:rPr>
        <w:t xml:space="preserve"> versus </w:t>
      </w:r>
      <w:r w:rsidRPr="000526AB">
        <w:rPr>
          <w:lang w:eastAsia="ja-JP"/>
        </w:rPr>
        <w:t xml:space="preserve">12.5%). Injection-related TEAEs in the study eye occurring in </w:t>
      </w:r>
      <w:r w:rsidR="00612EA4">
        <w:rPr>
          <w:lang w:eastAsia="ja-JP"/>
        </w:rPr>
        <w:t>≥</w:t>
      </w:r>
      <w:r w:rsidRPr="000526AB">
        <w:rPr>
          <w:lang w:eastAsia="ja-JP"/>
        </w:rPr>
        <w:t xml:space="preserve"> 2% of subjects in the VTE2Q4+PRN group and in </w:t>
      </w:r>
      <w:r w:rsidR="00612EA4">
        <w:rPr>
          <w:lang w:eastAsia="ja-JP"/>
        </w:rPr>
        <w:t>≥</w:t>
      </w:r>
      <w:r w:rsidRPr="000526AB">
        <w:rPr>
          <w:lang w:eastAsia="ja-JP"/>
        </w:rPr>
        <w:t xml:space="preserve"> 2% more subjects than in the sham+VTE PRN group were: conjunctival </w:t>
      </w:r>
      <w:r w:rsidRPr="000526AB">
        <w:rPr>
          <w:lang w:eastAsia="ja-JP"/>
        </w:rPr>
        <w:lastRenderedPageBreak/>
        <w:t>haemorrhage (17.3%</w:t>
      </w:r>
      <w:r w:rsidR="0091044A">
        <w:rPr>
          <w:lang w:eastAsia="ja-JP"/>
        </w:rPr>
        <w:t xml:space="preserve"> versus </w:t>
      </w:r>
      <w:r w:rsidRPr="000526AB">
        <w:rPr>
          <w:lang w:eastAsia="ja-JP"/>
        </w:rPr>
        <w:t>7.4%); eye pain (13.5%</w:t>
      </w:r>
      <w:r w:rsidR="0091044A">
        <w:rPr>
          <w:lang w:eastAsia="ja-JP"/>
        </w:rPr>
        <w:t xml:space="preserve"> versus </w:t>
      </w:r>
      <w:r w:rsidRPr="000526AB">
        <w:rPr>
          <w:lang w:eastAsia="ja-JP"/>
        </w:rPr>
        <w:t>5.9%); IOP increased (12.5%</w:t>
      </w:r>
      <w:r w:rsidR="0091044A">
        <w:rPr>
          <w:lang w:eastAsia="ja-JP"/>
        </w:rPr>
        <w:t xml:space="preserve"> versus </w:t>
      </w:r>
      <w:r w:rsidRPr="000526AB">
        <w:rPr>
          <w:lang w:eastAsia="ja-JP"/>
        </w:rPr>
        <w:t>4.4%); foreign body sensation in eyes (6.7%</w:t>
      </w:r>
      <w:r w:rsidR="0091044A">
        <w:rPr>
          <w:lang w:eastAsia="ja-JP"/>
        </w:rPr>
        <w:t xml:space="preserve"> versus </w:t>
      </w:r>
      <w:r w:rsidRPr="000526AB">
        <w:rPr>
          <w:lang w:eastAsia="ja-JP"/>
        </w:rPr>
        <w:t>4.4%); vitreous floaters (3.8%</w:t>
      </w:r>
      <w:r w:rsidR="0091044A">
        <w:rPr>
          <w:lang w:eastAsia="ja-JP"/>
        </w:rPr>
        <w:t xml:space="preserve"> versus </w:t>
      </w:r>
      <w:r w:rsidRPr="000526AB">
        <w:rPr>
          <w:lang w:eastAsia="ja-JP"/>
        </w:rPr>
        <w:t>1.5%); and ocular hypertension (2.9%</w:t>
      </w:r>
      <w:r w:rsidR="0091044A">
        <w:rPr>
          <w:lang w:eastAsia="ja-JP"/>
        </w:rPr>
        <w:t xml:space="preserve"> versus </w:t>
      </w:r>
      <w:r w:rsidRPr="000526AB">
        <w:rPr>
          <w:lang w:eastAsia="ja-JP"/>
        </w:rPr>
        <w:t xml:space="preserve">0%). One (1) subject in the sham+VTE PRN group was reported to have an injection-related TEAE in the fellow eye of eyelid function disorder (reported before the initiation of active treatment), although it is unclear why the fellow eye would experience an injection-related TEAE. No injection-related </w:t>
      </w:r>
      <w:r w:rsidR="00D74B64">
        <w:rPr>
          <w:lang w:eastAsia="ja-JP"/>
        </w:rPr>
        <w:t xml:space="preserve">non-ocular </w:t>
      </w:r>
      <w:r w:rsidRPr="000526AB">
        <w:rPr>
          <w:lang w:eastAsia="ja-JP"/>
        </w:rPr>
        <w:t>TEAEs were rep</w:t>
      </w:r>
      <w:r w:rsidR="006A7D88">
        <w:rPr>
          <w:lang w:eastAsia="ja-JP"/>
        </w:rPr>
        <w:t>orted in either treatment group.</w:t>
      </w:r>
    </w:p>
    <w:p w:rsidR="000526AB" w:rsidRPr="000526AB" w:rsidRDefault="000526AB" w:rsidP="006A7D88">
      <w:pPr>
        <w:pStyle w:val="Heading5"/>
        <w:rPr>
          <w:lang w:eastAsia="ja-JP"/>
        </w:rPr>
      </w:pPr>
      <w:bookmarkStart w:id="175" w:name="_Toc221697329"/>
      <w:r w:rsidRPr="000526AB">
        <w:rPr>
          <w:lang w:eastAsia="ja-JP"/>
        </w:rPr>
        <w:t>Death and other treatment emergent serious adverse events (SAEs)</w:t>
      </w:r>
      <w:bookmarkEnd w:id="175"/>
    </w:p>
    <w:p w:rsidR="000526AB" w:rsidRPr="000526AB" w:rsidRDefault="000526AB" w:rsidP="006A7D88">
      <w:pPr>
        <w:pStyle w:val="Heading6"/>
        <w:rPr>
          <w:lang w:eastAsia="ja-JP"/>
        </w:rPr>
      </w:pPr>
      <w:r w:rsidRPr="000526AB">
        <w:rPr>
          <w:lang w:eastAsia="ja-JP"/>
        </w:rPr>
        <w:t>Death</w:t>
      </w:r>
    </w:p>
    <w:p w:rsidR="000526AB" w:rsidRPr="000526AB" w:rsidRDefault="000526AB" w:rsidP="006A7D88">
      <w:pPr>
        <w:rPr>
          <w:lang w:eastAsia="ja-JP"/>
        </w:rPr>
      </w:pPr>
      <w:r w:rsidRPr="000526AB">
        <w:rPr>
          <w:lang w:eastAsia="ja-JP"/>
        </w:rPr>
        <w:t>No deaths occurred from baseline through to</w:t>
      </w:r>
      <w:r w:rsidR="00300BDB">
        <w:rPr>
          <w:lang w:eastAsia="ja-JP"/>
        </w:rPr>
        <w:t xml:space="preserve"> Week 7</w:t>
      </w:r>
      <w:r w:rsidRPr="000526AB">
        <w:rPr>
          <w:lang w:eastAsia="ja-JP"/>
        </w:rPr>
        <w:t>6.</w:t>
      </w:r>
    </w:p>
    <w:p w:rsidR="000526AB" w:rsidRPr="000526AB" w:rsidRDefault="000526AB" w:rsidP="006A7D88">
      <w:pPr>
        <w:pStyle w:val="Heading6"/>
        <w:rPr>
          <w:lang w:eastAsia="ja-JP"/>
        </w:rPr>
      </w:pPr>
      <w:r w:rsidRPr="000526AB">
        <w:rPr>
          <w:lang w:eastAsia="ja-JP"/>
        </w:rPr>
        <w:t>Ocular treatment-emergent SAEs</w:t>
      </w:r>
    </w:p>
    <w:p w:rsidR="000526AB" w:rsidRPr="000526AB" w:rsidRDefault="000526AB" w:rsidP="006A7D88">
      <w:pPr>
        <w:rPr>
          <w:lang w:eastAsia="ja-JP"/>
        </w:rPr>
      </w:pPr>
      <w:r w:rsidRPr="000526AB">
        <w:rPr>
          <w:lang w:eastAsia="ja-JP"/>
        </w:rPr>
        <w:t xml:space="preserve">Ocular SAEs in the </w:t>
      </w:r>
      <w:r w:rsidRPr="000526AB">
        <w:rPr>
          <w:b/>
          <w:lang w:eastAsia="ja-JP"/>
        </w:rPr>
        <w:t>study eye</w:t>
      </w:r>
      <w:r w:rsidRPr="000526AB">
        <w:rPr>
          <w:lang w:eastAsia="ja-JP"/>
        </w:rPr>
        <w:t xml:space="preserve"> are </w:t>
      </w:r>
      <w:r w:rsidR="00301349">
        <w:rPr>
          <w:lang w:eastAsia="ja-JP"/>
        </w:rPr>
        <w:t>summarised</w:t>
      </w:r>
      <w:r w:rsidRPr="000526AB">
        <w:rPr>
          <w:lang w:eastAsia="ja-JP"/>
        </w:rPr>
        <w:t xml:space="preserve"> below in Table 3</w:t>
      </w:r>
      <w:r w:rsidR="00612EA4">
        <w:rPr>
          <w:lang w:eastAsia="ja-JP"/>
        </w:rPr>
        <w:t>2</w:t>
      </w:r>
      <w:r w:rsidRPr="000526AB">
        <w:rPr>
          <w:lang w:eastAsia="ja-JP"/>
        </w:rPr>
        <w:t>. The proportion of subjects with ocular SAEs in the study eye was higher in the VTE2Q4+PRN group than in the sham+VTE PRN group (11/104 [10.6%])</w:t>
      </w:r>
      <w:r w:rsidR="0091044A">
        <w:rPr>
          <w:lang w:eastAsia="ja-JP"/>
        </w:rPr>
        <w:t xml:space="preserve"> versus </w:t>
      </w:r>
      <w:r w:rsidRPr="000526AB">
        <w:rPr>
          <w:lang w:eastAsia="ja-JP"/>
        </w:rPr>
        <w:t>6/68 [8.8%], respectively). The only ocular SAEs occurring in ≥ 2% of subjects in either treatment group were macular oedema in the VTE2Q4+PRN group (3.8%, VTE2Q4+PRN</w:t>
      </w:r>
      <w:r w:rsidR="0091044A">
        <w:rPr>
          <w:lang w:eastAsia="ja-JP"/>
        </w:rPr>
        <w:t xml:space="preserve"> versus </w:t>
      </w:r>
      <w:r w:rsidRPr="000526AB">
        <w:rPr>
          <w:lang w:eastAsia="ja-JP"/>
        </w:rPr>
        <w:t>2.9%, sham+VTE PRN), and glaucoma in the sham+VTE PRN group (2.9%, sham+VTE PRN</w:t>
      </w:r>
      <w:r w:rsidR="0091044A">
        <w:rPr>
          <w:lang w:eastAsia="ja-JP"/>
        </w:rPr>
        <w:t xml:space="preserve"> versus </w:t>
      </w:r>
      <w:r w:rsidR="006A7D88">
        <w:rPr>
          <w:lang w:eastAsia="ja-JP"/>
        </w:rPr>
        <w:t>0%, VTE2Q4+PRN).</w:t>
      </w:r>
    </w:p>
    <w:p w:rsidR="000526AB" w:rsidRPr="000526AB" w:rsidRDefault="000526AB" w:rsidP="006A7D88">
      <w:pPr>
        <w:pStyle w:val="TableTitle"/>
        <w:rPr>
          <w:lang w:eastAsia="ja-JP"/>
        </w:rPr>
      </w:pPr>
      <w:bookmarkStart w:id="176" w:name="_Toc221767085"/>
      <w:r w:rsidRPr="000526AB">
        <w:rPr>
          <w:lang w:eastAsia="ja-JP"/>
        </w:rPr>
        <w:t>Table</w:t>
      </w:r>
      <w:r w:rsidR="00612EA4">
        <w:rPr>
          <w:lang w:eastAsia="ja-JP"/>
        </w:rPr>
        <w:t xml:space="preserve"> 32</w:t>
      </w:r>
      <w:r w:rsidRPr="000526AB">
        <w:rPr>
          <w:lang w:eastAsia="ja-JP"/>
        </w:rPr>
        <w:t>: GALILEO – Week 0 to</w:t>
      </w:r>
      <w:r w:rsidR="00300BDB">
        <w:rPr>
          <w:lang w:eastAsia="ja-JP"/>
        </w:rPr>
        <w:t xml:space="preserve"> Week 7</w:t>
      </w:r>
      <w:r w:rsidRPr="000526AB">
        <w:rPr>
          <w:lang w:eastAsia="ja-JP"/>
        </w:rPr>
        <w:t>6, treatment-emergent SAEs in the study eye; SAF.</w:t>
      </w:r>
      <w:bookmarkEnd w:id="176"/>
    </w:p>
    <w:p w:rsidR="000526AB" w:rsidRPr="000526AB" w:rsidRDefault="000526AB" w:rsidP="006A7D88">
      <w:pPr>
        <w:rPr>
          <w:lang w:eastAsia="ja-JP"/>
        </w:rPr>
      </w:pPr>
      <w:r w:rsidRPr="000526AB">
        <w:rPr>
          <w:noProof/>
          <w:lang w:eastAsia="en-AU"/>
        </w:rPr>
        <w:drawing>
          <wp:inline distT="0" distB="0" distL="0" distR="0" wp14:anchorId="03AF0759" wp14:editId="6CB9903C">
            <wp:extent cx="4565396" cy="2053336"/>
            <wp:effectExtent l="19050" t="0" r="6604" b="0"/>
            <wp:docPr id="66" name="Picture 4" descr="Table 32: GALILEO – Week 0 to Week 76, treatment-emergent SAEs in the study eye;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4565396" cy="2053336"/>
                    </a:xfrm>
                    <a:prstGeom prst="rect">
                      <a:avLst/>
                    </a:prstGeom>
                    <a:noFill/>
                    <a:ln w="9525">
                      <a:noFill/>
                      <a:miter lim="800000"/>
                      <a:headEnd/>
                      <a:tailEnd/>
                    </a:ln>
                  </pic:spPr>
                </pic:pic>
              </a:graphicData>
            </a:graphic>
          </wp:inline>
        </w:drawing>
      </w:r>
    </w:p>
    <w:p w:rsidR="000526AB" w:rsidRPr="000526AB" w:rsidRDefault="000526AB" w:rsidP="006A7D88">
      <w:pPr>
        <w:rPr>
          <w:lang w:eastAsia="ja-JP"/>
        </w:rPr>
      </w:pPr>
      <w:r w:rsidRPr="000526AB">
        <w:rPr>
          <w:lang w:eastAsia="ja-JP"/>
        </w:rPr>
        <w:t xml:space="preserve">Ocular SAEs in the </w:t>
      </w:r>
      <w:r w:rsidRPr="000526AB">
        <w:rPr>
          <w:b/>
          <w:lang w:eastAsia="ja-JP"/>
        </w:rPr>
        <w:t>fellow eye</w:t>
      </w:r>
      <w:r w:rsidRPr="000526AB">
        <w:rPr>
          <w:lang w:eastAsia="ja-JP"/>
        </w:rPr>
        <w:t xml:space="preserve"> were reported in only 1 subject (1.5%) in the sham+VTE PRN group (increased IOP after i</w:t>
      </w:r>
      <w:r w:rsidR="006A7D88">
        <w:rPr>
          <w:lang w:eastAsia="ja-JP"/>
        </w:rPr>
        <w:t>nitiation of active treatment).</w:t>
      </w:r>
    </w:p>
    <w:p w:rsidR="000526AB" w:rsidRPr="000526AB" w:rsidRDefault="00D74B64" w:rsidP="006A7D88">
      <w:pPr>
        <w:pStyle w:val="Heading6"/>
        <w:rPr>
          <w:lang w:eastAsia="ja-JP"/>
        </w:rPr>
      </w:pPr>
      <w:r>
        <w:rPr>
          <w:lang w:eastAsia="ja-JP"/>
        </w:rPr>
        <w:t xml:space="preserve">Non-ocular </w:t>
      </w:r>
      <w:r w:rsidR="000526AB" w:rsidRPr="000526AB">
        <w:rPr>
          <w:lang w:eastAsia="ja-JP"/>
        </w:rPr>
        <w:t>treatment-emergent SAEs</w:t>
      </w:r>
    </w:p>
    <w:p w:rsidR="000526AB" w:rsidRPr="000526AB" w:rsidRDefault="000526AB" w:rsidP="006A7D88">
      <w:pPr>
        <w:rPr>
          <w:lang w:eastAsia="ja-JP"/>
        </w:rPr>
      </w:pPr>
      <w:r w:rsidRPr="000526AB">
        <w:rPr>
          <w:lang w:eastAsia="ja-JP"/>
        </w:rPr>
        <w:t>From baseline to</w:t>
      </w:r>
      <w:r w:rsidR="00300BDB">
        <w:rPr>
          <w:lang w:eastAsia="ja-JP"/>
        </w:rPr>
        <w:t xml:space="preserve"> Week 7</w:t>
      </w:r>
      <w:r w:rsidRPr="000526AB">
        <w:rPr>
          <w:lang w:eastAsia="ja-JP"/>
        </w:rPr>
        <w:t xml:space="preserve">6, the incidence of </w:t>
      </w:r>
      <w:r w:rsidR="00D74B64">
        <w:rPr>
          <w:lang w:eastAsia="ja-JP"/>
        </w:rPr>
        <w:t xml:space="preserve">non-ocular </w:t>
      </w:r>
      <w:r w:rsidRPr="000526AB">
        <w:rPr>
          <w:lang w:eastAsia="ja-JP"/>
        </w:rPr>
        <w:t>SAEs was higher in subjects in the sham+VTE PRN group (10/68 [14.7%]) than in the VTE2Q4+PRN group (12/104 [11.5%]).</w:t>
      </w:r>
      <w:r w:rsidR="00301349">
        <w:rPr>
          <w:lang w:eastAsia="ja-JP"/>
        </w:rPr>
        <w:t xml:space="preserve"> </w:t>
      </w:r>
      <w:r w:rsidRPr="000526AB">
        <w:rPr>
          <w:lang w:eastAsia="ja-JP"/>
        </w:rPr>
        <w:t xml:space="preserve">There were no </w:t>
      </w:r>
      <w:r w:rsidR="00D74B64">
        <w:rPr>
          <w:lang w:eastAsia="ja-JP"/>
        </w:rPr>
        <w:t xml:space="preserve">non-ocular </w:t>
      </w:r>
      <w:r w:rsidRPr="000526AB">
        <w:rPr>
          <w:lang w:eastAsia="ja-JP"/>
        </w:rPr>
        <w:t xml:space="preserve">SAEs reported in more than 1 subject in the VTE2Q4+PRN group, and the only </w:t>
      </w:r>
      <w:r w:rsidR="00D74B64">
        <w:rPr>
          <w:lang w:eastAsia="ja-JP"/>
        </w:rPr>
        <w:t xml:space="preserve">non-ocular </w:t>
      </w:r>
      <w:r w:rsidRPr="000526AB">
        <w:rPr>
          <w:lang w:eastAsia="ja-JP"/>
        </w:rPr>
        <w:t>SAE reported in more than 1 subject in the sham+VTE PR</w:t>
      </w:r>
      <w:r w:rsidR="006A7D88">
        <w:rPr>
          <w:lang w:eastAsia="ja-JP"/>
        </w:rPr>
        <w:t>N group was syncope (2 [2.9%]).</w:t>
      </w:r>
    </w:p>
    <w:p w:rsidR="000526AB" w:rsidRPr="000526AB" w:rsidRDefault="000526AB" w:rsidP="006A7D88">
      <w:pPr>
        <w:pStyle w:val="Heading6"/>
        <w:rPr>
          <w:lang w:eastAsia="ja-JP"/>
        </w:rPr>
      </w:pPr>
      <w:r w:rsidRPr="000526AB">
        <w:rPr>
          <w:lang w:eastAsia="ja-JP"/>
        </w:rPr>
        <w:t>Drug-related SAEs</w:t>
      </w:r>
    </w:p>
    <w:p w:rsidR="000526AB" w:rsidRPr="000526AB" w:rsidRDefault="000526AB" w:rsidP="006A7D88">
      <w:pPr>
        <w:rPr>
          <w:lang w:eastAsia="ja-JP"/>
        </w:rPr>
      </w:pPr>
      <w:r w:rsidRPr="000526AB">
        <w:rPr>
          <w:lang w:eastAsia="ja-JP"/>
        </w:rPr>
        <w:t>From baseline to</w:t>
      </w:r>
      <w:r w:rsidR="00300BDB">
        <w:rPr>
          <w:lang w:eastAsia="ja-JP"/>
        </w:rPr>
        <w:t xml:space="preserve"> Week 7</w:t>
      </w:r>
      <w:r w:rsidRPr="000526AB">
        <w:rPr>
          <w:lang w:eastAsia="ja-JP"/>
        </w:rPr>
        <w:t>6, drug-related SAEs were reported in 1 (1.5%) subject in the sham+VTE PRN group (renal failure prior to</w:t>
      </w:r>
      <w:r w:rsidR="00300BDB">
        <w:rPr>
          <w:lang w:eastAsia="ja-JP"/>
        </w:rPr>
        <w:t xml:space="preserve"> Week 2</w:t>
      </w:r>
      <w:r w:rsidRPr="000526AB">
        <w:rPr>
          <w:lang w:eastAsia="ja-JP"/>
        </w:rPr>
        <w:t>4), and 2 (1.9%) subjects in the VTE2Q4+PRN group (1 macular ischaemia prior to</w:t>
      </w:r>
      <w:r w:rsidR="00300BDB">
        <w:rPr>
          <w:lang w:eastAsia="ja-JP"/>
        </w:rPr>
        <w:t xml:space="preserve"> Week 2</w:t>
      </w:r>
      <w:r w:rsidRPr="000526AB">
        <w:rPr>
          <w:lang w:eastAsia="ja-JP"/>
        </w:rPr>
        <w:t>4; 1 hepatic function abnormal</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w:t>
      </w:r>
    </w:p>
    <w:p w:rsidR="000526AB" w:rsidRPr="000526AB" w:rsidRDefault="000526AB" w:rsidP="006A7D88">
      <w:pPr>
        <w:pStyle w:val="Heading5"/>
        <w:rPr>
          <w:lang w:eastAsia="ja-JP"/>
        </w:rPr>
      </w:pPr>
      <w:bookmarkStart w:id="177" w:name="_Toc221697330"/>
      <w:r w:rsidRPr="000526AB">
        <w:rPr>
          <w:lang w:eastAsia="ja-JP"/>
        </w:rPr>
        <w:t>TEAEs leading to discontinuation of the study drug</w:t>
      </w:r>
      <w:bookmarkEnd w:id="177"/>
    </w:p>
    <w:p w:rsidR="000526AB" w:rsidRPr="000526AB" w:rsidRDefault="000526AB" w:rsidP="006A7D88">
      <w:pPr>
        <w:rPr>
          <w:lang w:eastAsia="ja-JP"/>
        </w:rPr>
      </w:pPr>
      <w:r w:rsidRPr="000526AB">
        <w:rPr>
          <w:lang w:eastAsia="ja-JP"/>
        </w:rPr>
        <w:t>The incidence TEAEs leading to discontinuation of the study drug was higher in subjects in the sham+VTE PRN group than in the VTE2Q4+PRN group (7/68 [10.3%]</w:t>
      </w:r>
      <w:r w:rsidR="0091044A">
        <w:rPr>
          <w:lang w:eastAsia="ja-JP"/>
        </w:rPr>
        <w:t xml:space="preserve"> versus </w:t>
      </w:r>
      <w:r w:rsidRPr="000526AB">
        <w:rPr>
          <w:lang w:eastAsia="ja-JP"/>
        </w:rPr>
        <w:t xml:space="preserve">7/104 [6.7%], </w:t>
      </w:r>
      <w:r w:rsidRPr="000526AB">
        <w:rPr>
          <w:lang w:eastAsia="ja-JP"/>
        </w:rPr>
        <w:lastRenderedPageBreak/>
        <w:t xml:space="preserve">respectively). In the VTE2Q4+PRN group, the only TEAE leading to discontinuation of the study drug in more than 1 subject was iris </w:t>
      </w:r>
      <w:r w:rsidR="00ED3DEB">
        <w:rPr>
          <w:lang w:eastAsia="ja-JP"/>
        </w:rPr>
        <w:t>neovascularisation</w:t>
      </w:r>
      <w:r w:rsidRPr="000526AB">
        <w:rPr>
          <w:lang w:eastAsia="ja-JP"/>
        </w:rPr>
        <w:t xml:space="preserve"> (2 [1.9%], VTE2Q4+PRN</w:t>
      </w:r>
      <w:r w:rsidR="0091044A">
        <w:rPr>
          <w:lang w:eastAsia="ja-JP"/>
        </w:rPr>
        <w:t xml:space="preserve"> versus </w:t>
      </w:r>
      <w:r w:rsidRPr="000526AB">
        <w:rPr>
          <w:lang w:eastAsia="ja-JP"/>
        </w:rPr>
        <w:t>0 [0%], sham+VTE PRN). In the sham+VTE PRN group, the only TEAEs leading to discontinuation of the study drug in more than 1 subject were macular oedema (2 [2.9%], sham+VTE PRN</w:t>
      </w:r>
      <w:r w:rsidR="0091044A">
        <w:rPr>
          <w:lang w:eastAsia="ja-JP"/>
        </w:rPr>
        <w:t xml:space="preserve"> versus </w:t>
      </w:r>
      <w:r w:rsidRPr="000526AB">
        <w:rPr>
          <w:lang w:eastAsia="ja-JP"/>
        </w:rPr>
        <w:t xml:space="preserve">1 [1.0%], VTE2Q4+PRN), retinal </w:t>
      </w:r>
      <w:r w:rsidR="00ED3DEB">
        <w:rPr>
          <w:lang w:eastAsia="ja-JP"/>
        </w:rPr>
        <w:t>neovascularisation</w:t>
      </w:r>
      <w:r w:rsidRPr="000526AB">
        <w:rPr>
          <w:lang w:eastAsia="ja-JP"/>
        </w:rPr>
        <w:t xml:space="preserve"> (3 [4.4%], sham+VTE PRN</w:t>
      </w:r>
      <w:r w:rsidR="0091044A">
        <w:rPr>
          <w:lang w:eastAsia="ja-JP"/>
        </w:rPr>
        <w:t xml:space="preserve"> versus </w:t>
      </w:r>
      <w:r w:rsidRPr="000526AB">
        <w:rPr>
          <w:lang w:eastAsia="ja-JP"/>
        </w:rPr>
        <w:t>0 [1.0%], VTE2Q4+PRN), and glaucoma (2 [2.9%], sham+VTE PRN</w:t>
      </w:r>
      <w:r w:rsidR="0091044A">
        <w:rPr>
          <w:lang w:eastAsia="ja-JP"/>
        </w:rPr>
        <w:t xml:space="preserve"> versus </w:t>
      </w:r>
      <w:r w:rsidRPr="000526AB">
        <w:rPr>
          <w:lang w:eastAsia="ja-JP"/>
        </w:rPr>
        <w:t>0 [0%], VTE2Q4+PRN).</w:t>
      </w:r>
    </w:p>
    <w:p w:rsidR="000526AB" w:rsidRPr="000526AB" w:rsidRDefault="000526AB" w:rsidP="006A7D88">
      <w:pPr>
        <w:pStyle w:val="Heading5"/>
        <w:rPr>
          <w:lang w:eastAsia="ja-JP"/>
        </w:rPr>
      </w:pPr>
      <w:bookmarkStart w:id="178" w:name="_Toc221697331"/>
      <w:r w:rsidRPr="000526AB">
        <w:rPr>
          <w:lang w:eastAsia="ja-JP"/>
        </w:rPr>
        <w:t>TEAEs and SAEs of pre-specified interest</w:t>
      </w:r>
      <w:bookmarkEnd w:id="178"/>
    </w:p>
    <w:p w:rsidR="000526AB" w:rsidRPr="000526AB" w:rsidRDefault="000526AB" w:rsidP="006A7D88">
      <w:pPr>
        <w:pStyle w:val="Heading6"/>
        <w:rPr>
          <w:lang w:eastAsia="ja-JP"/>
        </w:rPr>
      </w:pPr>
      <w:r w:rsidRPr="000526AB">
        <w:rPr>
          <w:lang w:eastAsia="ja-JP"/>
        </w:rPr>
        <w:t>Ocular events of pre-specified interest in the study and fellow eyes</w:t>
      </w:r>
    </w:p>
    <w:p w:rsidR="000526AB" w:rsidRPr="000526AB" w:rsidRDefault="000526AB" w:rsidP="006A7D88">
      <w:pPr>
        <w:rPr>
          <w:lang w:eastAsia="ja-JP"/>
        </w:rPr>
      </w:pPr>
      <w:r w:rsidRPr="000526AB">
        <w:rPr>
          <w:lang w:eastAsia="ja-JP"/>
        </w:rPr>
        <w:t xml:space="preserve">The proportion of subjects with at least 1 ocular TEAE of interest in the </w:t>
      </w:r>
      <w:r w:rsidRPr="000526AB">
        <w:rPr>
          <w:b/>
          <w:lang w:eastAsia="ja-JP"/>
        </w:rPr>
        <w:t>study eye</w:t>
      </w:r>
      <w:r w:rsidRPr="000526AB">
        <w:rPr>
          <w:lang w:eastAsia="ja-JP"/>
        </w:rPr>
        <w:t xml:space="preserve"> was similar in the VTE2Q4+PRN and sham+VTE PRN groups (45/104 [43.3%]</w:t>
      </w:r>
      <w:r w:rsidR="0091044A">
        <w:rPr>
          <w:lang w:eastAsia="ja-JP"/>
        </w:rPr>
        <w:t xml:space="preserve"> versus </w:t>
      </w:r>
      <w:r w:rsidRPr="000526AB">
        <w:rPr>
          <w:lang w:eastAsia="ja-JP"/>
        </w:rPr>
        <w:t xml:space="preserve">29/68 [42.6%], respectively). Ocular TEAEs of interest in the study eye reported in </w:t>
      </w:r>
      <w:r w:rsidR="00612EA4">
        <w:rPr>
          <w:lang w:eastAsia="ja-JP"/>
        </w:rPr>
        <w:t>≥</w:t>
      </w:r>
      <w:r w:rsidRPr="000526AB">
        <w:rPr>
          <w:lang w:eastAsia="ja-JP"/>
        </w:rPr>
        <w:t xml:space="preserve"> 10% of all subjects were (sham+VTE PRN</w:t>
      </w:r>
      <w:r w:rsidR="0091044A">
        <w:rPr>
          <w:lang w:eastAsia="ja-JP"/>
        </w:rPr>
        <w:t xml:space="preserve"> versus </w:t>
      </w:r>
      <w:r w:rsidRPr="000526AB">
        <w:rPr>
          <w:lang w:eastAsia="ja-JP"/>
        </w:rPr>
        <w:t>VTE2Q4+PRN) conjunctival haemorrhage (4.4%</w:t>
      </w:r>
      <w:r w:rsidR="0091044A">
        <w:rPr>
          <w:lang w:eastAsia="ja-JP"/>
        </w:rPr>
        <w:t xml:space="preserve"> versus </w:t>
      </w:r>
      <w:r w:rsidRPr="000526AB">
        <w:rPr>
          <w:lang w:eastAsia="ja-JP"/>
        </w:rPr>
        <w:t>16.3%), eye pain (5.9%</w:t>
      </w:r>
      <w:r w:rsidR="0091044A">
        <w:rPr>
          <w:lang w:eastAsia="ja-JP"/>
        </w:rPr>
        <w:t xml:space="preserve"> versus </w:t>
      </w:r>
      <w:r w:rsidRPr="000526AB">
        <w:rPr>
          <w:lang w:eastAsia="ja-JP"/>
        </w:rPr>
        <w:t>13.5%), and visual acuity reduced (13.2%</w:t>
      </w:r>
      <w:r w:rsidR="0091044A">
        <w:rPr>
          <w:lang w:eastAsia="ja-JP"/>
        </w:rPr>
        <w:t xml:space="preserve"> versus </w:t>
      </w:r>
      <w:r w:rsidRPr="000526AB">
        <w:rPr>
          <w:lang w:eastAsia="ja-JP"/>
        </w:rPr>
        <w:t xml:space="preserve">14.4%. ). Ocular TEAEs of interest in the study eye reported in </w:t>
      </w:r>
      <w:r w:rsidR="00612EA4">
        <w:rPr>
          <w:lang w:eastAsia="ja-JP"/>
        </w:rPr>
        <w:t>≥</w:t>
      </w:r>
      <w:r w:rsidRPr="000526AB">
        <w:rPr>
          <w:lang w:eastAsia="ja-JP"/>
        </w:rPr>
        <w:t xml:space="preserve"> 2% of subjects in the VTE2Q4+PRN group and in </w:t>
      </w:r>
      <w:r w:rsidR="00612EA4">
        <w:rPr>
          <w:lang w:eastAsia="ja-JP"/>
        </w:rPr>
        <w:t>≥</w:t>
      </w:r>
      <w:r w:rsidRPr="000526AB">
        <w:rPr>
          <w:lang w:eastAsia="ja-JP"/>
        </w:rPr>
        <w:t xml:space="preserve"> 2% more subjects than in the sham+VTE PRN group were: conjunctival haemorrhage (16.3%</w:t>
      </w:r>
      <w:r w:rsidR="0091044A">
        <w:rPr>
          <w:lang w:eastAsia="ja-JP"/>
        </w:rPr>
        <w:t xml:space="preserve"> versus </w:t>
      </w:r>
      <w:r w:rsidRPr="000526AB">
        <w:rPr>
          <w:lang w:eastAsia="ja-JP"/>
        </w:rPr>
        <w:t>4.4%); eye pain (13.5%</w:t>
      </w:r>
      <w:r w:rsidR="0091044A">
        <w:rPr>
          <w:lang w:eastAsia="ja-JP"/>
        </w:rPr>
        <w:t xml:space="preserve"> versus </w:t>
      </w:r>
      <w:r w:rsidRPr="000526AB">
        <w:rPr>
          <w:lang w:eastAsia="ja-JP"/>
        </w:rPr>
        <w:t>5.9%); IOP increased (12.5%</w:t>
      </w:r>
      <w:r w:rsidR="0091044A">
        <w:rPr>
          <w:lang w:eastAsia="ja-JP"/>
        </w:rPr>
        <w:t xml:space="preserve"> versus </w:t>
      </w:r>
      <w:r w:rsidRPr="000526AB">
        <w:rPr>
          <w:lang w:eastAsia="ja-JP"/>
        </w:rPr>
        <w:t>4.4%); visual impairment (4.8%</w:t>
      </w:r>
      <w:r w:rsidR="0091044A">
        <w:rPr>
          <w:lang w:eastAsia="ja-JP"/>
        </w:rPr>
        <w:t xml:space="preserve"> versus </w:t>
      </w:r>
      <w:r w:rsidRPr="000526AB">
        <w:rPr>
          <w:lang w:eastAsia="ja-JP"/>
        </w:rPr>
        <w:t>0%); vitreous floaters (3.8%</w:t>
      </w:r>
      <w:r w:rsidR="0091044A">
        <w:rPr>
          <w:lang w:eastAsia="ja-JP"/>
        </w:rPr>
        <w:t xml:space="preserve"> versus </w:t>
      </w:r>
      <w:r w:rsidRPr="000526AB">
        <w:rPr>
          <w:lang w:eastAsia="ja-JP"/>
        </w:rPr>
        <w:t>1.5%); and ocular hypertension (2.9%</w:t>
      </w:r>
      <w:r w:rsidR="0091044A">
        <w:rPr>
          <w:lang w:eastAsia="ja-JP"/>
        </w:rPr>
        <w:t xml:space="preserve"> versus </w:t>
      </w:r>
      <w:r w:rsidRPr="000526AB">
        <w:rPr>
          <w:lang w:eastAsia="ja-JP"/>
        </w:rPr>
        <w:t xml:space="preserve">0%). In the </w:t>
      </w:r>
      <w:r w:rsidRPr="000526AB">
        <w:rPr>
          <w:b/>
          <w:lang w:eastAsia="ja-JP"/>
        </w:rPr>
        <w:t>fellow eye</w:t>
      </w:r>
      <w:r w:rsidRPr="000526AB">
        <w:rPr>
          <w:lang w:eastAsia="ja-JP"/>
        </w:rPr>
        <w:t>, there were no rep</w:t>
      </w:r>
      <w:r w:rsidR="006A7D88">
        <w:rPr>
          <w:lang w:eastAsia="ja-JP"/>
        </w:rPr>
        <w:t>orted ocular TEAEs of interest.</w:t>
      </w:r>
    </w:p>
    <w:p w:rsidR="000526AB" w:rsidRPr="000526AB" w:rsidRDefault="00D74B64" w:rsidP="006A7D88">
      <w:pPr>
        <w:pStyle w:val="Heading6"/>
        <w:rPr>
          <w:lang w:eastAsia="ja-JP"/>
        </w:rPr>
      </w:pPr>
      <w:r>
        <w:rPr>
          <w:lang w:eastAsia="ja-JP"/>
        </w:rPr>
        <w:t xml:space="preserve">Non-ocular </w:t>
      </w:r>
      <w:r w:rsidR="000526AB" w:rsidRPr="000526AB">
        <w:rPr>
          <w:lang w:eastAsia="ja-JP"/>
        </w:rPr>
        <w:t>events of pre-specified interest</w:t>
      </w:r>
    </w:p>
    <w:p w:rsidR="000526AB" w:rsidRPr="000526AB" w:rsidRDefault="000526AB" w:rsidP="006A7D88">
      <w:pPr>
        <w:rPr>
          <w:lang w:eastAsia="ja-JP"/>
        </w:rPr>
      </w:pPr>
      <w:r w:rsidRPr="000526AB">
        <w:rPr>
          <w:lang w:eastAsia="ja-JP"/>
        </w:rPr>
        <w:t xml:space="preserve">The proportion of subjects with at least 1 </w:t>
      </w:r>
      <w:r w:rsidR="00D74B64">
        <w:rPr>
          <w:lang w:eastAsia="ja-JP"/>
        </w:rPr>
        <w:t xml:space="preserve">non-ocular </w:t>
      </w:r>
      <w:r w:rsidRPr="000526AB">
        <w:rPr>
          <w:lang w:eastAsia="ja-JP"/>
        </w:rPr>
        <w:t>TEAE of interest was similar in the VTE2Q4+PRN and sham+VTE PRN groups (13/104 [12.5%]</w:t>
      </w:r>
      <w:r w:rsidR="0091044A">
        <w:rPr>
          <w:lang w:eastAsia="ja-JP"/>
        </w:rPr>
        <w:t xml:space="preserve"> versus </w:t>
      </w:r>
      <w:r w:rsidRPr="000526AB">
        <w:rPr>
          <w:lang w:eastAsia="ja-JP"/>
        </w:rPr>
        <w:t xml:space="preserve">8/68 [11.8%]). The most commonly reported </w:t>
      </w:r>
      <w:r w:rsidR="00D74B64">
        <w:rPr>
          <w:lang w:eastAsia="ja-JP"/>
        </w:rPr>
        <w:t xml:space="preserve">non-ocular </w:t>
      </w:r>
      <w:r w:rsidRPr="000526AB">
        <w:rPr>
          <w:lang w:eastAsia="ja-JP"/>
        </w:rPr>
        <w:t>TEAE of interest was hypertension (9.6%, VTE2Q4+PRN</w:t>
      </w:r>
      <w:r w:rsidR="0091044A">
        <w:rPr>
          <w:lang w:eastAsia="ja-JP"/>
        </w:rPr>
        <w:t xml:space="preserve"> versus </w:t>
      </w:r>
      <w:r w:rsidRPr="000526AB">
        <w:rPr>
          <w:lang w:eastAsia="ja-JP"/>
        </w:rPr>
        <w:t xml:space="preserve">10.3%, sham+VTE PRN). No other </w:t>
      </w:r>
      <w:r w:rsidR="00D74B64">
        <w:rPr>
          <w:lang w:eastAsia="ja-JP"/>
        </w:rPr>
        <w:t xml:space="preserve">non-ocular </w:t>
      </w:r>
      <w:r w:rsidRPr="000526AB">
        <w:rPr>
          <w:lang w:eastAsia="ja-JP"/>
        </w:rPr>
        <w:t>TEAEs of interest were reported in more than 1 s</w:t>
      </w:r>
      <w:r w:rsidR="006A7D88">
        <w:rPr>
          <w:lang w:eastAsia="ja-JP"/>
        </w:rPr>
        <w:t>ubject in each treatment group.</w:t>
      </w:r>
    </w:p>
    <w:p w:rsidR="000526AB" w:rsidRPr="000526AB" w:rsidRDefault="000526AB" w:rsidP="00612EA4">
      <w:pPr>
        <w:pStyle w:val="Heading6"/>
        <w:rPr>
          <w:lang w:eastAsia="ja-JP"/>
        </w:rPr>
      </w:pPr>
      <w:r w:rsidRPr="000526AB">
        <w:rPr>
          <w:lang w:eastAsia="ja-JP"/>
        </w:rPr>
        <w:t>Arterial thromboemb</w:t>
      </w:r>
      <w:r w:rsidR="006A7D88">
        <w:rPr>
          <w:lang w:eastAsia="ja-JP"/>
        </w:rPr>
        <w:t>olic events (ATEs), APTC events</w:t>
      </w:r>
    </w:p>
    <w:p w:rsidR="000526AB" w:rsidRPr="000526AB" w:rsidRDefault="000526AB" w:rsidP="006A7D88">
      <w:pPr>
        <w:rPr>
          <w:lang w:eastAsia="ja-JP"/>
        </w:rPr>
      </w:pPr>
      <w:r w:rsidRPr="000526AB">
        <w:rPr>
          <w:lang w:eastAsia="ja-JP"/>
        </w:rPr>
        <w:t>No ATEs were classified as APTC events by the masked adjudication committee.</w:t>
      </w:r>
    </w:p>
    <w:p w:rsidR="000526AB" w:rsidRPr="000526AB" w:rsidRDefault="000526AB" w:rsidP="006A7D88">
      <w:pPr>
        <w:pStyle w:val="Heading5"/>
        <w:rPr>
          <w:lang w:eastAsia="ja-JP"/>
        </w:rPr>
      </w:pPr>
      <w:bookmarkStart w:id="179" w:name="_Toc221697332"/>
      <w:r w:rsidRPr="000526AB">
        <w:rPr>
          <w:lang w:eastAsia="ja-JP"/>
        </w:rPr>
        <w:t>Laboratory tests</w:t>
      </w:r>
      <w:bookmarkEnd w:id="179"/>
    </w:p>
    <w:p w:rsidR="000526AB" w:rsidRPr="000526AB" w:rsidRDefault="006A7D88" w:rsidP="006A7D88">
      <w:pPr>
        <w:pStyle w:val="Heading6"/>
        <w:rPr>
          <w:lang w:eastAsia="ja-JP"/>
        </w:rPr>
      </w:pPr>
      <w:r>
        <w:rPr>
          <w:lang w:eastAsia="ja-JP"/>
        </w:rPr>
        <w:t>Haematology</w:t>
      </w:r>
    </w:p>
    <w:p w:rsidR="000526AB" w:rsidRPr="000526AB" w:rsidRDefault="000526AB" w:rsidP="006A7D88">
      <w:pPr>
        <w:rPr>
          <w:lang w:eastAsia="ja-JP"/>
        </w:rPr>
      </w:pPr>
      <w:r w:rsidRPr="000526AB">
        <w:rPr>
          <w:lang w:eastAsia="ja-JP"/>
        </w:rPr>
        <w:t>Haematolo</w:t>
      </w:r>
      <w:r w:rsidR="00612EA4">
        <w:rPr>
          <w:lang w:eastAsia="ja-JP"/>
        </w:rPr>
        <w:t>gy parameters were assessed at W</w:t>
      </w:r>
      <w:r w:rsidRPr="000526AB">
        <w:rPr>
          <w:lang w:eastAsia="ja-JP"/>
        </w:rPr>
        <w:t>eeks 12, 24, 36, 52, and 76. Overall, no clinically significant changes in mean/median values within or between treatment groups were observed, and there were no clinically meaningful shifts in values over the course of the study. The observed differences in both high and low treatment emergent laboratory haematology abnormalities over the 76 weeks of the study are considered to be unlikely to be clinically significant</w:t>
      </w:r>
      <w:r w:rsidR="00612EA4">
        <w:rPr>
          <w:lang w:eastAsia="ja-JP"/>
        </w:rPr>
        <w:t>.</w:t>
      </w:r>
    </w:p>
    <w:p w:rsidR="000526AB" w:rsidRPr="000526AB" w:rsidRDefault="000526AB" w:rsidP="006A7D88">
      <w:pPr>
        <w:rPr>
          <w:lang w:eastAsia="ja-JP"/>
        </w:rPr>
      </w:pPr>
      <w:r w:rsidRPr="000526AB">
        <w:rPr>
          <w:lang w:eastAsia="ja-JP"/>
        </w:rPr>
        <w:t xml:space="preserve">During the 76 weeks of treatment, </w:t>
      </w:r>
      <w:r w:rsidR="00D74B64">
        <w:rPr>
          <w:lang w:eastAsia="ja-JP"/>
        </w:rPr>
        <w:t>pre-defined</w:t>
      </w:r>
      <w:r w:rsidRPr="000526AB">
        <w:rPr>
          <w:lang w:eastAsia="ja-JP"/>
        </w:rPr>
        <w:t xml:space="preserve"> potentially clinically relevant haematology laboratory abnormalities were generally observed in &lt; 5% of subjects in both treatment groups and there were no marked differences between the groups. The </w:t>
      </w:r>
      <w:r w:rsidR="00D74B64">
        <w:rPr>
          <w:lang w:eastAsia="ja-JP"/>
        </w:rPr>
        <w:t>pre-defined</w:t>
      </w:r>
      <w:r w:rsidRPr="000526AB">
        <w:rPr>
          <w:lang w:eastAsia="ja-JP"/>
        </w:rPr>
        <w:t xml:space="preserve"> haematology parameters with a </w:t>
      </w:r>
      <w:r w:rsidR="00612EA4">
        <w:rPr>
          <w:lang w:eastAsia="ja-JP"/>
        </w:rPr>
        <w:t>≥</w:t>
      </w:r>
      <w:r w:rsidRPr="000526AB">
        <w:rPr>
          <w:lang w:eastAsia="ja-JP"/>
        </w:rPr>
        <w:t xml:space="preserve"> 2% difference in incidence between subjects in the two treatment groups were (sham+VTE PRN</w:t>
      </w:r>
      <w:r w:rsidR="0091044A">
        <w:rPr>
          <w:lang w:eastAsia="ja-JP"/>
        </w:rPr>
        <w:t xml:space="preserve"> versus </w:t>
      </w:r>
      <w:r w:rsidRPr="000526AB">
        <w:rPr>
          <w:lang w:eastAsia="ja-JP"/>
        </w:rPr>
        <w:t>VTE2Q4+PRN): low haematocrit (10.3%</w:t>
      </w:r>
      <w:r w:rsidR="0091044A">
        <w:rPr>
          <w:lang w:eastAsia="ja-JP"/>
        </w:rPr>
        <w:t xml:space="preserve"> versus </w:t>
      </w:r>
      <w:r w:rsidRPr="000526AB">
        <w:rPr>
          <w:lang w:eastAsia="ja-JP"/>
        </w:rPr>
        <w:t>2.1%); haemoglobin concentration decrease from baseline ≤ 20 g/L (11.7%</w:t>
      </w:r>
      <w:r w:rsidR="0091044A">
        <w:rPr>
          <w:lang w:eastAsia="ja-JP"/>
        </w:rPr>
        <w:t xml:space="preserve"> versus </w:t>
      </w:r>
      <w:r w:rsidRPr="000526AB">
        <w:rPr>
          <w:lang w:eastAsia="ja-JP"/>
        </w:rPr>
        <w:t>5.2%); high monocytes (14.3%</w:t>
      </w:r>
      <w:r w:rsidR="0091044A">
        <w:rPr>
          <w:lang w:eastAsia="ja-JP"/>
        </w:rPr>
        <w:t xml:space="preserve"> versus </w:t>
      </w:r>
      <w:r w:rsidRPr="000526AB">
        <w:rPr>
          <w:lang w:eastAsia="ja-JP"/>
        </w:rPr>
        <w:t>4.5%); and low WBC (3.4%</w:t>
      </w:r>
      <w:r w:rsidR="0091044A">
        <w:rPr>
          <w:lang w:eastAsia="ja-JP"/>
        </w:rPr>
        <w:t xml:space="preserve"> versus </w:t>
      </w:r>
      <w:r w:rsidRPr="000526AB">
        <w:rPr>
          <w:lang w:eastAsia="ja-JP"/>
        </w:rPr>
        <w:t xml:space="preserve">1.1%). There were no </w:t>
      </w:r>
      <w:r w:rsidR="00D74B64">
        <w:rPr>
          <w:lang w:eastAsia="ja-JP"/>
        </w:rPr>
        <w:t>pre-defined</w:t>
      </w:r>
      <w:r w:rsidRPr="000526AB">
        <w:rPr>
          <w:lang w:eastAsia="ja-JP"/>
        </w:rPr>
        <w:t xml:space="preserve"> haematology test abnormalities in </w:t>
      </w:r>
      <w:r w:rsidR="00612EA4">
        <w:rPr>
          <w:lang w:eastAsia="ja-JP"/>
        </w:rPr>
        <w:t>≥</w:t>
      </w:r>
      <w:r w:rsidRPr="000526AB">
        <w:rPr>
          <w:lang w:eastAsia="ja-JP"/>
        </w:rPr>
        <w:t xml:space="preserve"> 2% more subjects in the VTE2Q4+PRN group </w:t>
      </w:r>
      <w:r w:rsidR="006A7D88">
        <w:rPr>
          <w:lang w:eastAsia="ja-JP"/>
        </w:rPr>
        <w:t>than in the sham+VTE PRN group.</w:t>
      </w:r>
    </w:p>
    <w:p w:rsidR="000526AB" w:rsidRPr="000526AB" w:rsidRDefault="006A7D88" w:rsidP="006A7D88">
      <w:pPr>
        <w:pStyle w:val="Heading6"/>
        <w:rPr>
          <w:lang w:eastAsia="ja-JP"/>
        </w:rPr>
      </w:pPr>
      <w:r>
        <w:rPr>
          <w:lang w:eastAsia="ja-JP"/>
        </w:rPr>
        <w:t>Clinical chemistry</w:t>
      </w:r>
    </w:p>
    <w:p w:rsidR="000526AB" w:rsidRPr="000526AB" w:rsidRDefault="000526AB" w:rsidP="006A7D88">
      <w:pPr>
        <w:rPr>
          <w:lang w:eastAsia="ja-JP"/>
        </w:rPr>
      </w:pPr>
      <w:r w:rsidRPr="000526AB">
        <w:rPr>
          <w:lang w:eastAsia="ja-JP"/>
        </w:rPr>
        <w:t xml:space="preserve">Clinical chemistry parameters </w:t>
      </w:r>
      <w:r w:rsidR="00612EA4">
        <w:rPr>
          <w:lang w:eastAsia="ja-JP"/>
        </w:rPr>
        <w:t>were assessed at W</w:t>
      </w:r>
      <w:r w:rsidRPr="000526AB">
        <w:rPr>
          <w:lang w:eastAsia="ja-JP"/>
        </w:rPr>
        <w:t xml:space="preserve">eeks 12, 24, 36, 52, and 76. Overall, no clinically significant changes in mean/median values within or between treatment groups were observed and there were no clinically meaningful shifts in values over the course of the study. In </w:t>
      </w:r>
      <w:r w:rsidRPr="000526AB">
        <w:rPr>
          <w:lang w:eastAsia="ja-JP"/>
        </w:rPr>
        <w:lastRenderedPageBreak/>
        <w:t>addition, the observed differences in both high and low treatment-emergent clinical chemistry abnormalities</w:t>
      </w:r>
      <w:r w:rsidR="00301349">
        <w:rPr>
          <w:lang w:eastAsia="ja-JP"/>
        </w:rPr>
        <w:t xml:space="preserve"> </w:t>
      </w:r>
      <w:r w:rsidRPr="000526AB">
        <w:rPr>
          <w:lang w:eastAsia="ja-JP"/>
        </w:rPr>
        <w:t>over the 76 weeks of the study are considered to be unlikel</w:t>
      </w:r>
      <w:r w:rsidR="006A7D88">
        <w:rPr>
          <w:lang w:eastAsia="ja-JP"/>
        </w:rPr>
        <w:t>y to be clinically significant.</w:t>
      </w:r>
    </w:p>
    <w:p w:rsidR="000526AB" w:rsidRPr="000526AB" w:rsidRDefault="000526AB" w:rsidP="006A7D88">
      <w:pPr>
        <w:rPr>
          <w:lang w:eastAsia="ja-JP"/>
        </w:rPr>
      </w:pPr>
      <w:r w:rsidRPr="000526AB">
        <w:rPr>
          <w:lang w:eastAsia="ja-JP"/>
        </w:rPr>
        <w:t xml:space="preserve">During the 76 weeks of treatment, </w:t>
      </w:r>
      <w:r w:rsidR="00D74B64">
        <w:rPr>
          <w:lang w:eastAsia="ja-JP"/>
        </w:rPr>
        <w:t>pre-defined</w:t>
      </w:r>
      <w:r w:rsidRPr="000526AB">
        <w:rPr>
          <w:lang w:eastAsia="ja-JP"/>
        </w:rPr>
        <w:t xml:space="preserve"> potentially clinically relevant clinical chemistry abnormalities were generally observed in &lt; 5% of subjects in both treatment groups, and there were no marked differences between the groups. The </w:t>
      </w:r>
      <w:r w:rsidR="00D74B64">
        <w:rPr>
          <w:lang w:eastAsia="ja-JP"/>
        </w:rPr>
        <w:t>pre-defined</w:t>
      </w:r>
      <w:r w:rsidRPr="000526AB">
        <w:rPr>
          <w:lang w:eastAsia="ja-JP"/>
        </w:rPr>
        <w:t xml:space="preserve"> clinical chemistry parameters with a </w:t>
      </w:r>
      <w:r w:rsidR="00612EA4">
        <w:rPr>
          <w:lang w:eastAsia="ja-JP"/>
        </w:rPr>
        <w:t>≥</w:t>
      </w:r>
      <w:r w:rsidRPr="000526AB">
        <w:rPr>
          <w:lang w:eastAsia="ja-JP"/>
        </w:rPr>
        <w:t xml:space="preserve"> 2% difference in incidence between subjects in the two treatment groups were (sham+VTE PRN</w:t>
      </w:r>
      <w:r w:rsidR="0091044A">
        <w:rPr>
          <w:lang w:eastAsia="ja-JP"/>
        </w:rPr>
        <w:t xml:space="preserve"> versus </w:t>
      </w:r>
      <w:r w:rsidRPr="000526AB">
        <w:rPr>
          <w:lang w:eastAsia="ja-JP"/>
        </w:rPr>
        <w:t xml:space="preserve">VTE2Q4+PRN: creatinine change from baseline </w:t>
      </w:r>
      <w:r w:rsidR="00612EA4">
        <w:rPr>
          <w:lang w:eastAsia="ja-JP"/>
        </w:rPr>
        <w:t>≥</w:t>
      </w:r>
      <w:r w:rsidRPr="000526AB">
        <w:rPr>
          <w:lang w:eastAsia="ja-JP"/>
        </w:rPr>
        <w:t xml:space="preserve"> 30% (14.5%</w:t>
      </w:r>
      <w:r w:rsidR="0091044A">
        <w:rPr>
          <w:lang w:eastAsia="ja-JP"/>
        </w:rPr>
        <w:t xml:space="preserve"> versus </w:t>
      </w:r>
      <w:r w:rsidRPr="000526AB">
        <w:rPr>
          <w:lang w:eastAsia="ja-JP"/>
        </w:rPr>
        <w:t>7.2%); hypoglycaemia (12.9%</w:t>
      </w:r>
      <w:r w:rsidR="0091044A">
        <w:rPr>
          <w:lang w:eastAsia="ja-JP"/>
        </w:rPr>
        <w:t xml:space="preserve"> versus </w:t>
      </w:r>
      <w:r w:rsidRPr="000526AB">
        <w:rPr>
          <w:lang w:eastAsia="ja-JP"/>
        </w:rPr>
        <w:t>3.1%); hyperglycaemia (6.7%</w:t>
      </w:r>
      <w:r w:rsidR="0091044A">
        <w:rPr>
          <w:lang w:eastAsia="ja-JP"/>
        </w:rPr>
        <w:t xml:space="preserve"> versus </w:t>
      </w:r>
      <w:r w:rsidRPr="000526AB">
        <w:rPr>
          <w:lang w:eastAsia="ja-JP"/>
        </w:rPr>
        <w:t>12.0%); high (3.3%</w:t>
      </w:r>
      <w:r w:rsidR="0091044A">
        <w:rPr>
          <w:lang w:eastAsia="ja-JP"/>
        </w:rPr>
        <w:t xml:space="preserve"> versus </w:t>
      </w:r>
      <w:r w:rsidRPr="000526AB">
        <w:rPr>
          <w:lang w:eastAsia="ja-JP"/>
        </w:rPr>
        <w:t>0%); and high creatinine (3.3%</w:t>
      </w:r>
      <w:r w:rsidR="0091044A">
        <w:rPr>
          <w:lang w:eastAsia="ja-JP"/>
        </w:rPr>
        <w:t xml:space="preserve"> versus </w:t>
      </w:r>
      <w:r w:rsidRPr="000526AB">
        <w:rPr>
          <w:lang w:eastAsia="ja-JP"/>
        </w:rPr>
        <w:t xml:space="preserve">0%). There were no significant differences between the sham+VTE PRN and VTE2Q4+PRN groups in </w:t>
      </w:r>
      <w:r w:rsidR="00612EA4">
        <w:rPr>
          <w:lang w:eastAsia="ja-JP"/>
        </w:rPr>
        <w:t>liver function tests (</w:t>
      </w:r>
      <w:r w:rsidRPr="000526AB">
        <w:rPr>
          <w:lang w:eastAsia="ja-JP"/>
        </w:rPr>
        <w:t>LFTS</w:t>
      </w:r>
      <w:r w:rsidR="00612EA4">
        <w:rPr>
          <w:lang w:eastAsia="ja-JP"/>
        </w:rPr>
        <w:t>)</w:t>
      </w:r>
      <w:r w:rsidRPr="000526AB">
        <w:rPr>
          <w:lang w:eastAsia="ja-JP"/>
        </w:rPr>
        <w:t xml:space="preserve">: ALT &gt; 3 </w:t>
      </w:r>
      <w:r w:rsidR="00612EA4">
        <w:rPr>
          <w:lang w:eastAsia="ja-JP"/>
        </w:rPr>
        <w:t>times</w:t>
      </w:r>
      <w:r w:rsidRPr="000526AB">
        <w:rPr>
          <w:lang w:eastAsia="ja-JP"/>
        </w:rPr>
        <w:t xml:space="preserve"> ULN (0%</w:t>
      </w:r>
      <w:r w:rsidR="0091044A">
        <w:rPr>
          <w:lang w:eastAsia="ja-JP"/>
        </w:rPr>
        <w:t xml:space="preserve"> versus </w:t>
      </w:r>
      <w:r w:rsidRPr="000526AB">
        <w:rPr>
          <w:lang w:eastAsia="ja-JP"/>
        </w:rPr>
        <w:t xml:space="preserve">1/93 [1.1%]); ALT &gt; 3 </w:t>
      </w:r>
      <w:r w:rsidR="00612EA4">
        <w:rPr>
          <w:lang w:eastAsia="ja-JP"/>
        </w:rPr>
        <w:t>times</w:t>
      </w:r>
      <w:r w:rsidRPr="000526AB">
        <w:rPr>
          <w:lang w:eastAsia="ja-JP"/>
        </w:rPr>
        <w:t xml:space="preserve"> ULN and total bilirubin &gt; 2 </w:t>
      </w:r>
      <w:r w:rsidR="00612EA4">
        <w:rPr>
          <w:lang w:eastAsia="ja-JP"/>
        </w:rPr>
        <w:t>times</w:t>
      </w:r>
      <w:r w:rsidRPr="000526AB">
        <w:rPr>
          <w:lang w:eastAsia="ja-JP"/>
        </w:rPr>
        <w:t xml:space="preserve"> ULN (0%</w:t>
      </w:r>
      <w:r w:rsidR="0091044A">
        <w:rPr>
          <w:lang w:eastAsia="ja-JP"/>
        </w:rPr>
        <w:t xml:space="preserve"> versus </w:t>
      </w:r>
      <w:r w:rsidRPr="000526AB">
        <w:rPr>
          <w:lang w:eastAsia="ja-JP"/>
        </w:rPr>
        <w:t xml:space="preserve">0%); AST ≥ 3 </w:t>
      </w:r>
      <w:r w:rsidR="00612EA4">
        <w:rPr>
          <w:lang w:eastAsia="ja-JP"/>
        </w:rPr>
        <w:t>times</w:t>
      </w:r>
      <w:r w:rsidRPr="000526AB">
        <w:rPr>
          <w:lang w:eastAsia="ja-JP"/>
        </w:rPr>
        <w:t xml:space="preserve"> ULN (0%</w:t>
      </w:r>
      <w:r w:rsidR="0091044A">
        <w:rPr>
          <w:lang w:eastAsia="ja-JP"/>
        </w:rPr>
        <w:t xml:space="preserve"> versus </w:t>
      </w:r>
      <w:r w:rsidRPr="000526AB">
        <w:rPr>
          <w:lang w:eastAsia="ja-JP"/>
        </w:rPr>
        <w:t xml:space="preserve">1/94 [1.1%]); bilirubin </w:t>
      </w:r>
      <w:r w:rsidR="00612EA4">
        <w:rPr>
          <w:lang w:eastAsia="ja-JP"/>
        </w:rPr>
        <w:t>≥</w:t>
      </w:r>
      <w:r w:rsidRPr="000526AB">
        <w:rPr>
          <w:lang w:eastAsia="ja-JP"/>
        </w:rPr>
        <w:t xml:space="preserve"> 1.5 </w:t>
      </w:r>
      <w:r w:rsidR="00612EA4">
        <w:rPr>
          <w:lang w:eastAsia="ja-JP"/>
        </w:rPr>
        <w:t>times</w:t>
      </w:r>
      <w:r w:rsidRPr="000526AB">
        <w:rPr>
          <w:lang w:eastAsia="ja-JP"/>
        </w:rPr>
        <w:t xml:space="preserve"> ULN (2/62 [3.2%]</w:t>
      </w:r>
      <w:r w:rsidR="0091044A">
        <w:rPr>
          <w:lang w:eastAsia="ja-JP"/>
        </w:rPr>
        <w:t xml:space="preserve"> versus </w:t>
      </w:r>
      <w:r w:rsidRPr="000526AB">
        <w:rPr>
          <w:lang w:eastAsia="ja-JP"/>
        </w:rPr>
        <w:t xml:space="preserve">3/95 [3.2%]); and alkaline phosphatase 1.5 </w:t>
      </w:r>
      <w:r w:rsidR="00612EA4">
        <w:rPr>
          <w:lang w:eastAsia="ja-JP"/>
        </w:rPr>
        <w:t>times</w:t>
      </w:r>
      <w:r w:rsidRPr="000526AB">
        <w:rPr>
          <w:lang w:eastAsia="ja-JP"/>
        </w:rPr>
        <w:t xml:space="preserve"> ULN (1/61 [1.6%]</w:t>
      </w:r>
      <w:r w:rsidR="0091044A">
        <w:rPr>
          <w:lang w:eastAsia="ja-JP"/>
        </w:rPr>
        <w:t xml:space="preserve"> versus </w:t>
      </w:r>
      <w:r w:rsidRPr="000526AB">
        <w:rPr>
          <w:lang w:eastAsia="ja-JP"/>
        </w:rPr>
        <w:t>0%). Overall, 3 subjects in the VTE2Q4+PRNN group with normal AST and/or ALT levels at baseline experienced elevated levels during the study.</w:t>
      </w:r>
    </w:p>
    <w:p w:rsidR="000526AB" w:rsidRPr="000526AB" w:rsidRDefault="000526AB" w:rsidP="006A7D88">
      <w:pPr>
        <w:pStyle w:val="Heading6"/>
        <w:rPr>
          <w:lang w:eastAsia="ja-JP"/>
        </w:rPr>
      </w:pPr>
      <w:r w:rsidRPr="000526AB">
        <w:rPr>
          <w:lang w:eastAsia="ja-JP"/>
        </w:rPr>
        <w:t>Urinalysis</w:t>
      </w:r>
    </w:p>
    <w:p w:rsidR="000526AB" w:rsidRPr="000526AB" w:rsidRDefault="000526AB" w:rsidP="006A7D88">
      <w:pPr>
        <w:rPr>
          <w:lang w:eastAsia="ja-JP"/>
        </w:rPr>
      </w:pPr>
      <w:r w:rsidRPr="000526AB">
        <w:rPr>
          <w:lang w:eastAsia="ja-JP"/>
        </w:rPr>
        <w:t>Assess</w:t>
      </w:r>
      <w:r w:rsidR="00612EA4">
        <w:rPr>
          <w:lang w:eastAsia="ja-JP"/>
        </w:rPr>
        <w:t>ments were made at baseline at W</w:t>
      </w:r>
      <w:r w:rsidRPr="000526AB">
        <w:rPr>
          <w:lang w:eastAsia="ja-JP"/>
        </w:rPr>
        <w:t>eeks 12, 24, 36, 52, and 76. No trends towards an increase or decrease in mean or median protein/creatinine ratio and specific gravity values over time were seen in either treatment groups at</w:t>
      </w:r>
      <w:r w:rsidR="00300BDB">
        <w:rPr>
          <w:lang w:eastAsia="ja-JP"/>
        </w:rPr>
        <w:t xml:space="preserve"> Week 7</w:t>
      </w:r>
      <w:r w:rsidRPr="000526AB">
        <w:rPr>
          <w:lang w:eastAsia="ja-JP"/>
        </w:rPr>
        <w:t>6.</w:t>
      </w:r>
      <w:r w:rsidR="00301349">
        <w:rPr>
          <w:lang w:eastAsia="ja-JP"/>
        </w:rPr>
        <w:t xml:space="preserve"> </w:t>
      </w:r>
      <w:r w:rsidRPr="000526AB">
        <w:rPr>
          <w:lang w:eastAsia="ja-JP"/>
        </w:rPr>
        <w:t>Shifts from normal levels at baseline to either high or low levels at</w:t>
      </w:r>
      <w:r w:rsidR="00300BDB">
        <w:rPr>
          <w:lang w:eastAsia="ja-JP"/>
        </w:rPr>
        <w:t xml:space="preserve"> Week 7</w:t>
      </w:r>
      <w:r w:rsidRPr="000526AB">
        <w:rPr>
          <w:lang w:eastAsia="ja-JP"/>
        </w:rPr>
        <w:t>6 were few and were considered not to be associated with VTE treatment. High laboratory abnormalities for the creatinine/protein ratio were reported at a similar incidence in subjects in the two groups (7/4 [17.1%], sham+VTE PRN</w:t>
      </w:r>
      <w:r w:rsidR="0091044A">
        <w:rPr>
          <w:lang w:eastAsia="ja-JP"/>
        </w:rPr>
        <w:t xml:space="preserve"> versus </w:t>
      </w:r>
      <w:r w:rsidRPr="000526AB">
        <w:rPr>
          <w:lang w:eastAsia="ja-JP"/>
        </w:rPr>
        <w:t xml:space="preserve">12/72 [16.7%] VTE2Q4+PRN). No reports of high specific gravity values were reported for subjects in the VTE2Q4+PRN group, while the 2 reports for this event in the sham+VTE PRN group occurred before the initiation of VTE treatment. There were no treatment-emergent low laboratory abnormalities for the creatinine/protein ratio and 2 for low specific gravity </w:t>
      </w:r>
      <w:r w:rsidR="006A7D88">
        <w:rPr>
          <w:lang w:eastAsia="ja-JP"/>
        </w:rPr>
        <w:t>(both in the VTE2Q4+PRN group).</w:t>
      </w:r>
    </w:p>
    <w:p w:rsidR="000526AB" w:rsidRPr="000526AB" w:rsidRDefault="000526AB" w:rsidP="006A7D88">
      <w:pPr>
        <w:pStyle w:val="Heading6"/>
        <w:rPr>
          <w:lang w:eastAsia="ja-JP"/>
        </w:rPr>
      </w:pPr>
      <w:bookmarkStart w:id="180" w:name="_Toc221697333"/>
      <w:r w:rsidRPr="000526AB">
        <w:rPr>
          <w:lang w:eastAsia="ja-JP"/>
        </w:rPr>
        <w:t>Intraocular pressure and vital signs</w:t>
      </w:r>
      <w:bookmarkEnd w:id="180"/>
    </w:p>
    <w:p w:rsidR="000526AB" w:rsidRPr="000526AB" w:rsidRDefault="000526AB" w:rsidP="006A7D88">
      <w:pPr>
        <w:rPr>
          <w:lang w:eastAsia="ja-JP"/>
        </w:rPr>
      </w:pPr>
      <w:r w:rsidRPr="000526AB">
        <w:rPr>
          <w:lang w:eastAsia="ja-JP"/>
        </w:rPr>
        <w:t>Mean pre-injection IOP was normal at baseline in both treatment groups (14.4 mmHg, sham+VTE PRN; 15.2 mmHg, VTE2Q4+PRN). Mean pre-injection IOP increased slightly in both treatment groups during the study but remained normal at</w:t>
      </w:r>
      <w:r w:rsidR="00300BDB">
        <w:rPr>
          <w:lang w:eastAsia="ja-JP"/>
        </w:rPr>
        <w:t xml:space="preserve"> Week 7</w:t>
      </w:r>
      <w:r w:rsidRPr="000526AB">
        <w:rPr>
          <w:lang w:eastAsia="ja-JP"/>
        </w:rPr>
        <w:t>6 (15.4 mmHg, sham+VTE PRN; 16.6 mmHg VTE2Q4+PRN). Both treatment groups showed only a slight increase in mean IOP post</w:t>
      </w:r>
      <w:r w:rsidR="00320FF0">
        <w:rPr>
          <w:lang w:eastAsia="ja-JP"/>
        </w:rPr>
        <w:t xml:space="preserve"> </w:t>
      </w:r>
      <w:r w:rsidRPr="000526AB">
        <w:rPr>
          <w:lang w:eastAsia="ja-JP"/>
        </w:rPr>
        <w:t>injection compared with pre</w:t>
      </w:r>
      <w:r w:rsidR="00320FF0">
        <w:rPr>
          <w:lang w:eastAsia="ja-JP"/>
        </w:rPr>
        <w:t xml:space="preserve"> </w:t>
      </w:r>
      <w:r w:rsidRPr="000526AB">
        <w:rPr>
          <w:lang w:eastAsia="ja-JP"/>
        </w:rPr>
        <w:t>injection throughout the study. Increases in IOP from pre</w:t>
      </w:r>
      <w:r w:rsidR="00320FF0">
        <w:rPr>
          <w:lang w:eastAsia="ja-JP"/>
        </w:rPr>
        <w:t xml:space="preserve"> </w:t>
      </w:r>
      <w:r w:rsidRPr="000526AB">
        <w:rPr>
          <w:lang w:eastAsia="ja-JP"/>
        </w:rPr>
        <w:t>to post</w:t>
      </w:r>
      <w:r w:rsidR="00320FF0">
        <w:rPr>
          <w:lang w:eastAsia="ja-JP"/>
        </w:rPr>
        <w:t xml:space="preserve"> </w:t>
      </w:r>
      <w:r w:rsidRPr="000526AB">
        <w:rPr>
          <w:lang w:eastAsia="ja-JP"/>
        </w:rPr>
        <w:t>injection were greater in the VTE2Q4+PRN group (up to 2.4 mm Hg [</w:t>
      </w:r>
      <w:r w:rsidR="00320FF0">
        <w:rPr>
          <w:lang w:eastAsia="ja-JP"/>
        </w:rPr>
        <w:t>W</w:t>
      </w:r>
      <w:r w:rsidRPr="000526AB">
        <w:rPr>
          <w:lang w:eastAsia="ja-JP"/>
        </w:rPr>
        <w:t>eek 8]) than in the sham+VTE PRN group (up to 1.4 mmHg [first injection and</w:t>
      </w:r>
      <w:r w:rsidR="00300BDB">
        <w:rPr>
          <w:lang w:eastAsia="ja-JP"/>
        </w:rPr>
        <w:t xml:space="preserve"> Week 5</w:t>
      </w:r>
      <w:r w:rsidRPr="000526AB">
        <w:rPr>
          <w:lang w:eastAsia="ja-JP"/>
        </w:rPr>
        <w:t>2]). The proportions of subjects with increases in IOP of 10, 21 or 35 mmHg at least once from baseline through</w:t>
      </w:r>
      <w:r w:rsidR="00300BDB">
        <w:rPr>
          <w:lang w:eastAsia="ja-JP"/>
        </w:rPr>
        <w:t xml:space="preserve"> Week 7</w:t>
      </w:r>
      <w:r w:rsidRPr="000526AB">
        <w:rPr>
          <w:lang w:eastAsia="ja-JP"/>
        </w:rPr>
        <w:t xml:space="preserve">6 were higher in the VTE2Q4+PRN group than in the sham+VTE PRN group: (a) </w:t>
      </w:r>
      <w:r w:rsidR="00320FF0">
        <w:rPr>
          <w:lang w:eastAsia="ja-JP"/>
        </w:rPr>
        <w:t>≥</w:t>
      </w:r>
      <w:r w:rsidRPr="000526AB">
        <w:rPr>
          <w:lang w:eastAsia="ja-JP"/>
        </w:rPr>
        <w:t xml:space="preserve"> 10 mmHg from baseline to pre-dose, 9.6% (10/172)</w:t>
      </w:r>
      <w:r w:rsidR="0091044A">
        <w:rPr>
          <w:lang w:eastAsia="ja-JP"/>
        </w:rPr>
        <w:t xml:space="preserve"> versus </w:t>
      </w:r>
      <w:r w:rsidRPr="000526AB">
        <w:rPr>
          <w:lang w:eastAsia="ja-JP"/>
        </w:rPr>
        <w:t xml:space="preserve">7.4% (5/68); (b) absolute value of </w:t>
      </w:r>
      <w:r w:rsidR="00320FF0">
        <w:rPr>
          <w:lang w:eastAsia="ja-JP"/>
        </w:rPr>
        <w:t>≥</w:t>
      </w:r>
      <w:r w:rsidRPr="000526AB">
        <w:rPr>
          <w:lang w:eastAsia="ja-JP"/>
        </w:rPr>
        <w:t xml:space="preserve"> 21 mmHg pre-dose, 19.2% (20/104)</w:t>
      </w:r>
      <w:r w:rsidR="0091044A">
        <w:rPr>
          <w:lang w:eastAsia="ja-JP"/>
        </w:rPr>
        <w:t xml:space="preserve"> versus </w:t>
      </w:r>
      <w:r w:rsidRPr="000526AB">
        <w:rPr>
          <w:lang w:eastAsia="ja-JP"/>
        </w:rPr>
        <w:t xml:space="preserve">13.2% (9/68); and (c) absolute value </w:t>
      </w:r>
      <w:r w:rsidR="00320FF0">
        <w:rPr>
          <w:lang w:eastAsia="ja-JP"/>
        </w:rPr>
        <w:t>≥</w:t>
      </w:r>
      <w:r w:rsidRPr="000526AB">
        <w:rPr>
          <w:lang w:eastAsia="ja-JP"/>
        </w:rPr>
        <w:t xml:space="preserve"> 35 mmHg at any time, 4.8% (6/172)</w:t>
      </w:r>
      <w:r w:rsidR="0091044A">
        <w:rPr>
          <w:lang w:eastAsia="ja-JP"/>
        </w:rPr>
        <w:t xml:space="preserve"> versus </w:t>
      </w:r>
      <w:r w:rsidR="006A7D88">
        <w:rPr>
          <w:lang w:eastAsia="ja-JP"/>
        </w:rPr>
        <w:t>1.4% (1/68).</w:t>
      </w:r>
    </w:p>
    <w:p w:rsidR="000526AB" w:rsidRPr="000526AB" w:rsidRDefault="000526AB" w:rsidP="006A7D88">
      <w:pPr>
        <w:rPr>
          <w:lang w:eastAsia="ja-JP"/>
        </w:rPr>
      </w:pPr>
      <w:r w:rsidRPr="000526AB">
        <w:rPr>
          <w:lang w:eastAsia="ja-JP"/>
        </w:rPr>
        <w:t xml:space="preserve">Mean systolic and diastolic blood pressure, temperature and pulse were similar between treatment groups at baseline. Mean systolic and diastolic blood pressure, temperature and pulse fluctuated slightly relative to the baseline values in both treatment groups throughout the study. </w:t>
      </w:r>
      <w:r w:rsidR="00320FF0">
        <w:rPr>
          <w:lang w:eastAsia="ja-JP"/>
        </w:rPr>
        <w:t>Electrocardiogram (</w:t>
      </w:r>
      <w:r w:rsidRPr="000526AB">
        <w:rPr>
          <w:lang w:eastAsia="ja-JP"/>
        </w:rPr>
        <w:t>ECGs</w:t>
      </w:r>
      <w:r w:rsidR="00320FF0">
        <w:rPr>
          <w:lang w:eastAsia="ja-JP"/>
        </w:rPr>
        <w:t>)</w:t>
      </w:r>
      <w:r w:rsidRPr="000526AB">
        <w:rPr>
          <w:lang w:eastAsia="ja-JP"/>
        </w:rPr>
        <w:t xml:space="preserve"> were recorded at baseline,</w:t>
      </w:r>
      <w:r w:rsidR="00300BDB">
        <w:rPr>
          <w:lang w:eastAsia="ja-JP"/>
        </w:rPr>
        <w:t xml:space="preserve"> Week 5</w:t>
      </w:r>
      <w:r w:rsidRPr="000526AB">
        <w:rPr>
          <w:lang w:eastAsia="ja-JP"/>
        </w:rPr>
        <w:t>2 and</w:t>
      </w:r>
      <w:r w:rsidR="00300BDB">
        <w:rPr>
          <w:lang w:eastAsia="ja-JP"/>
        </w:rPr>
        <w:t xml:space="preserve"> Week 7</w:t>
      </w:r>
      <w:r w:rsidRPr="000526AB">
        <w:rPr>
          <w:lang w:eastAsia="ja-JP"/>
        </w:rPr>
        <w:t>6. No clinically meaningful changes were noted between baseline and</w:t>
      </w:r>
      <w:r w:rsidR="00300BDB">
        <w:rPr>
          <w:lang w:eastAsia="ja-JP"/>
        </w:rPr>
        <w:t xml:space="preserve"> Week 5</w:t>
      </w:r>
      <w:r w:rsidRPr="000526AB">
        <w:rPr>
          <w:lang w:eastAsia="ja-JP"/>
        </w:rPr>
        <w:t>2 or between baseline and</w:t>
      </w:r>
      <w:r w:rsidR="00300BDB">
        <w:rPr>
          <w:lang w:eastAsia="ja-JP"/>
        </w:rPr>
        <w:t xml:space="preserve"> Week 7</w:t>
      </w:r>
      <w:r w:rsidRPr="000526AB">
        <w:rPr>
          <w:lang w:eastAsia="ja-JP"/>
        </w:rPr>
        <w:t>6 in QT, QTc (Bazett), QTc (Fridericia), PR duration, QRS duration, RR duration or ventricular rate in either treatment group. The proportion of subjects with abnormal ECGs at baseline,</w:t>
      </w:r>
      <w:r w:rsidR="00300BDB">
        <w:rPr>
          <w:lang w:eastAsia="ja-JP"/>
        </w:rPr>
        <w:t xml:space="preserve"> Week 5</w:t>
      </w:r>
      <w:r w:rsidRPr="000526AB">
        <w:rPr>
          <w:lang w:eastAsia="ja-JP"/>
        </w:rPr>
        <w:t>2 and</w:t>
      </w:r>
      <w:r w:rsidR="00300BDB">
        <w:rPr>
          <w:lang w:eastAsia="ja-JP"/>
        </w:rPr>
        <w:t xml:space="preserve"> Week 7</w:t>
      </w:r>
      <w:r w:rsidRPr="000526AB">
        <w:rPr>
          <w:lang w:eastAsia="ja-JP"/>
        </w:rPr>
        <w:t>6 (sham+VTE PRN</w:t>
      </w:r>
      <w:r w:rsidR="0091044A">
        <w:rPr>
          <w:lang w:eastAsia="ja-JP"/>
        </w:rPr>
        <w:t xml:space="preserve"> versus </w:t>
      </w:r>
      <w:r w:rsidRPr="000526AB">
        <w:rPr>
          <w:lang w:eastAsia="ja-JP"/>
        </w:rPr>
        <w:t>VTE2Q4+PRN) were: 68.7%</w:t>
      </w:r>
      <w:r w:rsidR="0091044A">
        <w:rPr>
          <w:lang w:eastAsia="ja-JP"/>
        </w:rPr>
        <w:t xml:space="preserve"> versus </w:t>
      </w:r>
      <w:r w:rsidRPr="000526AB">
        <w:rPr>
          <w:lang w:eastAsia="ja-JP"/>
        </w:rPr>
        <w:t>55.9%; 71.4%</w:t>
      </w:r>
      <w:r w:rsidR="0091044A">
        <w:rPr>
          <w:lang w:eastAsia="ja-JP"/>
        </w:rPr>
        <w:t xml:space="preserve"> versus </w:t>
      </w:r>
      <w:r w:rsidRPr="000526AB">
        <w:rPr>
          <w:lang w:eastAsia="ja-JP"/>
        </w:rPr>
        <w:t>61.6%; and 74.0%</w:t>
      </w:r>
      <w:r w:rsidR="0091044A">
        <w:rPr>
          <w:lang w:eastAsia="ja-JP"/>
        </w:rPr>
        <w:t xml:space="preserve"> versus </w:t>
      </w:r>
      <w:r w:rsidRPr="000526AB">
        <w:rPr>
          <w:lang w:eastAsia="ja-JP"/>
        </w:rPr>
        <w:t>64.0%).</w:t>
      </w:r>
    </w:p>
    <w:p w:rsidR="000526AB" w:rsidRPr="000526AB" w:rsidRDefault="000526AB" w:rsidP="006A7D88">
      <w:pPr>
        <w:pStyle w:val="Heading6"/>
        <w:rPr>
          <w:lang w:eastAsia="ja-JP"/>
        </w:rPr>
      </w:pPr>
      <w:bookmarkStart w:id="181" w:name="_Toc221697334"/>
      <w:r w:rsidRPr="000526AB">
        <w:rPr>
          <w:lang w:eastAsia="ja-JP"/>
        </w:rPr>
        <w:lastRenderedPageBreak/>
        <w:t>Ophthalmic examination</w:t>
      </w:r>
      <w:bookmarkEnd w:id="181"/>
    </w:p>
    <w:p w:rsidR="000526AB" w:rsidRPr="000526AB" w:rsidRDefault="000526AB" w:rsidP="006A7D88">
      <w:pPr>
        <w:rPr>
          <w:lang w:eastAsia="ja-JP"/>
        </w:rPr>
      </w:pPr>
      <w:r w:rsidRPr="000526AB">
        <w:rPr>
          <w:lang w:eastAsia="ja-JP"/>
        </w:rPr>
        <w:t>The results of pre-specified ophthalmic from baseline to</w:t>
      </w:r>
      <w:r w:rsidR="00300BDB">
        <w:rPr>
          <w:lang w:eastAsia="ja-JP"/>
        </w:rPr>
        <w:t xml:space="preserve"> Week 7</w:t>
      </w:r>
      <w:r w:rsidRPr="000526AB">
        <w:rPr>
          <w:lang w:eastAsia="ja-JP"/>
        </w:rPr>
        <w:t>6 did not notably differ from those described previously for baseline to</w:t>
      </w:r>
      <w:r w:rsidR="00300BDB">
        <w:rPr>
          <w:lang w:eastAsia="ja-JP"/>
        </w:rPr>
        <w:t xml:space="preserve"> Week 5</w:t>
      </w:r>
      <w:r w:rsidRPr="000526AB">
        <w:rPr>
          <w:lang w:eastAsia="ja-JP"/>
        </w:rPr>
        <w:t>2. In general, there were no clinically significant differences be</w:t>
      </w:r>
      <w:r w:rsidR="006A7D88">
        <w:rPr>
          <w:lang w:eastAsia="ja-JP"/>
        </w:rPr>
        <w:t>tween the two treatment groups.</w:t>
      </w:r>
    </w:p>
    <w:p w:rsidR="000526AB" w:rsidRPr="000526AB" w:rsidRDefault="000526AB" w:rsidP="006A7D88">
      <w:pPr>
        <w:pStyle w:val="Heading3"/>
      </w:pPr>
      <w:bookmarkStart w:id="182" w:name="_Toc221697335"/>
      <w:bookmarkStart w:id="183" w:name="_Toc396651362"/>
      <w:r w:rsidRPr="000526AB">
        <w:t>Postmarketing experience</w:t>
      </w:r>
      <w:bookmarkEnd w:id="182"/>
      <w:bookmarkEnd w:id="183"/>
    </w:p>
    <w:p w:rsidR="000526AB" w:rsidRPr="000526AB" w:rsidRDefault="000526AB" w:rsidP="006A7D88">
      <w:pPr>
        <w:rPr>
          <w:lang w:eastAsia="ja-JP"/>
        </w:rPr>
      </w:pPr>
      <w:r w:rsidRPr="000526AB">
        <w:rPr>
          <w:lang w:eastAsia="ja-JP"/>
        </w:rPr>
        <w:t xml:space="preserve">No postmarketing experience relating to Eylea for the treatment of CRVO was submitted. However, the medicine has only recently been approved in the USA for this indication. The </w:t>
      </w:r>
      <w:r w:rsidR="00320FF0">
        <w:rPr>
          <w:lang w:eastAsia="ja-JP"/>
        </w:rPr>
        <w:t xml:space="preserve">sponsor’s </w:t>
      </w:r>
      <w:r w:rsidRPr="000526AB">
        <w:rPr>
          <w:lang w:eastAsia="ja-JP"/>
        </w:rPr>
        <w:t>Summary of Clinical Safety</w:t>
      </w:r>
      <w:r w:rsidR="00D74B64">
        <w:rPr>
          <w:lang w:eastAsia="ja-JP"/>
        </w:rPr>
        <w:t xml:space="preserve"> </w:t>
      </w:r>
      <w:r w:rsidRPr="000526AB">
        <w:rPr>
          <w:lang w:eastAsia="ja-JP"/>
        </w:rPr>
        <w:t>included a statement indicating that the Core Company Safety Document (CCSD) has been updated to include adverse drug reactions “pertaining to intraocular inflammation (anterior chamber flare, iridocyclitis, iritis, uveitis, vitritis, and hypopyon) .......</w:t>
      </w:r>
      <w:r w:rsidR="00301349">
        <w:rPr>
          <w:lang w:eastAsia="ja-JP"/>
        </w:rPr>
        <w:t xml:space="preserve"> </w:t>
      </w:r>
      <w:r w:rsidRPr="000526AB">
        <w:rPr>
          <w:lang w:eastAsia="ja-JP"/>
        </w:rPr>
        <w:t>to reflect the to-date postmarketing experience in the AMD indication”. The summary stated that “no other postmarketing data relevant to the CRVO indication have</w:t>
      </w:r>
      <w:r w:rsidR="006A7D88">
        <w:rPr>
          <w:lang w:eastAsia="ja-JP"/>
        </w:rPr>
        <w:t xml:space="preserve"> been identified at this time”.</w:t>
      </w:r>
    </w:p>
    <w:p w:rsidR="000526AB" w:rsidRPr="000526AB" w:rsidRDefault="000526AB" w:rsidP="004A4E0A">
      <w:pPr>
        <w:pStyle w:val="Heading3"/>
      </w:pPr>
      <w:bookmarkStart w:id="184" w:name="_Toc221697336"/>
      <w:bookmarkStart w:id="185" w:name="_Toc396651363"/>
      <w:r w:rsidRPr="000526AB">
        <w:t>Evaluator’s overall conclusions on clinical safety</w:t>
      </w:r>
      <w:bookmarkEnd w:id="184"/>
      <w:bookmarkEnd w:id="185"/>
    </w:p>
    <w:p w:rsidR="000526AB" w:rsidRPr="000526AB" w:rsidRDefault="000526AB" w:rsidP="004A4E0A">
      <w:pPr>
        <w:rPr>
          <w:lang w:eastAsia="ja-JP"/>
        </w:rPr>
      </w:pPr>
      <w:r w:rsidRPr="000526AB">
        <w:rPr>
          <w:lang w:eastAsia="ja-JP"/>
        </w:rPr>
        <w:t>The evidence supporting the safety of VTE for the treatment of CRVO is derived from the integrated safety analysis of COPERNICUS and GALILE0 (</w:t>
      </w:r>
      <w:r w:rsidR="00320FF0">
        <w:rPr>
          <w:lang w:eastAsia="ja-JP"/>
        </w:rPr>
        <w:t>W</w:t>
      </w:r>
      <w:r w:rsidRPr="000526AB">
        <w:rPr>
          <w:lang w:eastAsia="ja-JP"/>
        </w:rPr>
        <w:t>eeks 0-24, 24-52 and 0-52), and the l</w:t>
      </w:r>
      <w:r w:rsidR="00320FF0">
        <w:rPr>
          <w:lang w:eastAsia="ja-JP"/>
        </w:rPr>
        <w:t>ong-term data from COPERNICUS (W</w:t>
      </w:r>
      <w:r w:rsidRPr="000526AB">
        <w:rPr>
          <w:lang w:eastAsia="ja-JP"/>
        </w:rPr>
        <w:t>eeks 0-100) and GALILEO (</w:t>
      </w:r>
      <w:r w:rsidR="00320FF0">
        <w:rPr>
          <w:lang w:eastAsia="ja-JP"/>
        </w:rPr>
        <w:t>Weeks 0 to 76). The W</w:t>
      </w:r>
      <w:r w:rsidRPr="000526AB">
        <w:rPr>
          <w:lang w:eastAsia="ja-JP"/>
        </w:rPr>
        <w:t>eek 0 to</w:t>
      </w:r>
      <w:r w:rsidR="00300BDB">
        <w:rPr>
          <w:lang w:eastAsia="ja-JP"/>
        </w:rPr>
        <w:t xml:space="preserve"> Week 5</w:t>
      </w:r>
      <w:r w:rsidRPr="000526AB">
        <w:rPr>
          <w:lang w:eastAsia="ja-JP"/>
        </w:rPr>
        <w:t>2 safety data from the integrated analysis included a total of 275 subjects treated with at least one dose of VTE (218 subjects in the combined VTE2Q4+PRN group plus 57 subjects in the COPERNICUS sham+VTE PRN group who had switched to VTE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 xml:space="preserve">2). In COPERNICUS, 169 subjects received at least one dose of VTE from </w:t>
      </w:r>
      <w:r w:rsidR="00320FF0">
        <w:rPr>
          <w:lang w:eastAsia="ja-JP"/>
        </w:rPr>
        <w:t>W</w:t>
      </w:r>
      <w:r w:rsidRPr="000526AB">
        <w:rPr>
          <w:lang w:eastAsia="ja-JP"/>
        </w:rPr>
        <w:t>eek 0 to</w:t>
      </w:r>
      <w:r w:rsidR="00300BDB">
        <w:rPr>
          <w:lang w:eastAsia="ja-JP"/>
        </w:rPr>
        <w:t xml:space="preserve"> Week 1</w:t>
      </w:r>
      <w:r w:rsidRPr="000526AB">
        <w:rPr>
          <w:lang w:eastAsia="ja-JP"/>
        </w:rPr>
        <w:t>00, and in GALILEO 146 subjects received at least one dose of VTE from</w:t>
      </w:r>
      <w:r w:rsidR="00301349">
        <w:rPr>
          <w:lang w:eastAsia="ja-JP"/>
        </w:rPr>
        <w:t xml:space="preserve"> </w:t>
      </w:r>
      <w:r w:rsidR="00320FF0">
        <w:rPr>
          <w:lang w:eastAsia="ja-JP"/>
        </w:rPr>
        <w:t>W</w:t>
      </w:r>
      <w:r w:rsidRPr="000526AB">
        <w:rPr>
          <w:lang w:eastAsia="ja-JP"/>
        </w:rPr>
        <w:t>eek 0 to</w:t>
      </w:r>
      <w:r w:rsidR="00300BDB">
        <w:rPr>
          <w:lang w:eastAsia="ja-JP"/>
        </w:rPr>
        <w:t xml:space="preserve"> Week 7</w:t>
      </w:r>
      <w:r w:rsidRPr="000526AB">
        <w:rPr>
          <w:lang w:eastAsia="ja-JP"/>
        </w:rPr>
        <w:t>6.</w:t>
      </w:r>
    </w:p>
    <w:p w:rsidR="000526AB" w:rsidRPr="000526AB" w:rsidRDefault="000526AB" w:rsidP="004A4E0A">
      <w:pPr>
        <w:rPr>
          <w:lang w:eastAsia="ja-JP"/>
        </w:rPr>
      </w:pPr>
      <w:r w:rsidRPr="000526AB">
        <w:rPr>
          <w:lang w:eastAsia="ja-JP"/>
        </w:rPr>
        <w:t>Overall, the submitted data showed that VTE for the treatment of CRVO was generally well tolerated and displayed a satisfactory safety profile for up to 100 weeks of treatment. The major safety issue relates to the increased incidence of macular oedema and other common CRVO disease related TEAEs observed in subjects switched from monthly proactive treatment to reactive PRN treatment from</w:t>
      </w:r>
      <w:r w:rsidR="00300BDB">
        <w:rPr>
          <w:lang w:eastAsia="ja-JP"/>
        </w:rPr>
        <w:t xml:space="preserve"> Week 2</w:t>
      </w:r>
      <w:r w:rsidRPr="000526AB">
        <w:rPr>
          <w:lang w:eastAsia="ja-JP"/>
        </w:rPr>
        <w:t xml:space="preserve">4 based on pre-specified </w:t>
      </w:r>
      <w:r w:rsidR="00427821">
        <w:rPr>
          <w:lang w:eastAsia="ja-JP"/>
        </w:rPr>
        <w:t xml:space="preserve">re </w:t>
      </w:r>
      <w:r w:rsidR="00C84038">
        <w:rPr>
          <w:lang w:eastAsia="ja-JP"/>
        </w:rPr>
        <w:t>treatment</w:t>
      </w:r>
      <w:r w:rsidRPr="000526AB">
        <w:rPr>
          <w:lang w:eastAsia="ja-JP"/>
        </w:rPr>
        <w:t xml:space="preserve"> criteria. The following</w:t>
      </w:r>
      <w:r w:rsidR="00320FF0">
        <w:rPr>
          <w:lang w:eastAsia="ja-JP"/>
        </w:rPr>
        <w:t xml:space="preserve"> safety summary focuses on the W</w:t>
      </w:r>
      <w:r w:rsidRPr="000526AB">
        <w:rPr>
          <w:lang w:eastAsia="ja-JP"/>
        </w:rPr>
        <w:t>eek 0 to</w:t>
      </w:r>
      <w:r w:rsidR="00300BDB">
        <w:rPr>
          <w:lang w:eastAsia="ja-JP"/>
        </w:rPr>
        <w:t xml:space="preserve"> Week 2</w:t>
      </w:r>
      <w:r w:rsidRPr="000526AB">
        <w:rPr>
          <w:lang w:eastAsia="ja-JP"/>
        </w:rPr>
        <w:t xml:space="preserve">4 period for the two, pivotal, Phase </w:t>
      </w:r>
      <w:r w:rsidR="00320FF0">
        <w:rPr>
          <w:lang w:eastAsia="ja-JP"/>
        </w:rPr>
        <w:t>III</w:t>
      </w:r>
      <w:r w:rsidR="00D74B64">
        <w:rPr>
          <w:lang w:eastAsia="ja-JP"/>
        </w:rPr>
        <w:t xml:space="preserve"> </w:t>
      </w:r>
      <w:r w:rsidRPr="000526AB">
        <w:rPr>
          <w:lang w:eastAsia="ja-JP"/>
        </w:rPr>
        <w:t xml:space="preserve">studies (COPERNICUS and GALILEO), the </w:t>
      </w:r>
      <w:r w:rsidR="00320FF0">
        <w:rPr>
          <w:lang w:eastAsia="ja-JP"/>
        </w:rPr>
        <w:t>W</w:t>
      </w:r>
      <w:r w:rsidRPr="000526AB">
        <w:rPr>
          <w:lang w:eastAsia="ja-JP"/>
        </w:rPr>
        <w:t>eek 0 to</w:t>
      </w:r>
      <w:r w:rsidR="00300BDB">
        <w:rPr>
          <w:lang w:eastAsia="ja-JP"/>
        </w:rPr>
        <w:t xml:space="preserve"> Week 1</w:t>
      </w:r>
      <w:r w:rsidR="00320FF0">
        <w:rPr>
          <w:lang w:eastAsia="ja-JP"/>
        </w:rPr>
        <w:t>00 period for COPERNICUS, the W</w:t>
      </w:r>
      <w:r w:rsidRPr="000526AB">
        <w:rPr>
          <w:lang w:eastAsia="ja-JP"/>
        </w:rPr>
        <w:t>eek 0 to 76 period for GALILEO and the safety issues associated with switching from proactive to reactive VTE treatment from</w:t>
      </w:r>
      <w:r w:rsidR="00300BDB">
        <w:rPr>
          <w:lang w:eastAsia="ja-JP"/>
        </w:rPr>
        <w:t xml:space="preserve"> Week 2</w:t>
      </w:r>
      <w:r w:rsidR="004A4E0A">
        <w:rPr>
          <w:lang w:eastAsia="ja-JP"/>
        </w:rPr>
        <w:t>4 onwards.</w:t>
      </w:r>
    </w:p>
    <w:p w:rsidR="000526AB" w:rsidRPr="000526AB" w:rsidRDefault="000526AB" w:rsidP="004A4E0A">
      <w:pPr>
        <w:pStyle w:val="Heading4"/>
      </w:pPr>
      <w:r w:rsidRPr="000526AB">
        <w:t>Week 0 to</w:t>
      </w:r>
      <w:r w:rsidR="00300BDB">
        <w:t xml:space="preserve"> Week 2</w:t>
      </w:r>
      <w:r w:rsidRPr="000526AB">
        <w:t>4 –</w:t>
      </w:r>
      <w:r w:rsidR="00301349">
        <w:t xml:space="preserve"> </w:t>
      </w:r>
      <w:r w:rsidRPr="000526AB">
        <w:t>integrated analysis (SAF)</w:t>
      </w:r>
    </w:p>
    <w:p w:rsidR="000526AB" w:rsidRPr="000526AB" w:rsidRDefault="000526AB" w:rsidP="004A4E0A">
      <w:pPr>
        <w:rPr>
          <w:lang w:eastAsia="ja-JP"/>
        </w:rPr>
      </w:pPr>
      <w:r w:rsidRPr="000526AB">
        <w:rPr>
          <w:lang w:eastAsia="ja-JP"/>
        </w:rPr>
        <w:t xml:space="preserve">In </w:t>
      </w:r>
      <w:r w:rsidR="00320FF0">
        <w:rPr>
          <w:lang w:eastAsia="ja-JP"/>
        </w:rPr>
        <w:t>the integrated analysis of the W</w:t>
      </w:r>
      <w:r w:rsidRPr="000526AB">
        <w:rPr>
          <w:lang w:eastAsia="ja-JP"/>
        </w:rPr>
        <w:t>eek 0 to</w:t>
      </w:r>
      <w:r w:rsidR="00300BDB">
        <w:rPr>
          <w:lang w:eastAsia="ja-JP"/>
        </w:rPr>
        <w:t xml:space="preserve"> Week 2</w:t>
      </w:r>
      <w:r w:rsidRPr="000526AB">
        <w:rPr>
          <w:lang w:eastAsia="ja-JP"/>
        </w:rPr>
        <w:t>4 safety data the majority of subjects in the sham and VTE2Q4 groups reported at least one TEAE: 115/142 (80.9%) sham; 166/218 (76.1%) VTE2Q4. The proportion of subjects discontinuing the study drug before</w:t>
      </w:r>
      <w:r w:rsidR="00300BDB">
        <w:rPr>
          <w:lang w:eastAsia="ja-JP"/>
        </w:rPr>
        <w:t xml:space="preserve"> Week 2</w:t>
      </w:r>
      <w:r w:rsidRPr="000526AB">
        <w:rPr>
          <w:lang w:eastAsia="ja-JP"/>
        </w:rPr>
        <w:t>4 was notably higher in the sham group than in the VTE2Q4 group (20.4% [n=29]</w:t>
      </w:r>
      <w:r w:rsidR="0091044A">
        <w:rPr>
          <w:lang w:eastAsia="ja-JP"/>
        </w:rPr>
        <w:t xml:space="preserve"> versus </w:t>
      </w:r>
      <w:r w:rsidRPr="000526AB">
        <w:rPr>
          <w:lang w:eastAsia="ja-JP"/>
        </w:rPr>
        <w:t>6.4% [n=14], respectively). The proportion of subjects discontinuing the study drug due to TEAEs was higher in the sham group (7.0% [10/142]) than in the VTE2Q4 group (1.4% [3/218]. TEAEs resulting in discontinuation of the study drug in 2 or more subjects were vitreous haemorrhage in the VTE2Q4 group (2 [2.7%], VTE2Q4</w:t>
      </w:r>
      <w:r w:rsidR="0091044A">
        <w:rPr>
          <w:lang w:eastAsia="ja-JP"/>
        </w:rPr>
        <w:t xml:space="preserve"> versus </w:t>
      </w:r>
      <w:r w:rsidRPr="000526AB">
        <w:rPr>
          <w:lang w:eastAsia="ja-JP"/>
        </w:rPr>
        <w:t xml:space="preserve">0 [0]%, sham) and retinal </w:t>
      </w:r>
      <w:r w:rsidR="00ED3DEB">
        <w:rPr>
          <w:lang w:eastAsia="ja-JP"/>
        </w:rPr>
        <w:t>neovascularisation</w:t>
      </w:r>
      <w:r w:rsidRPr="000526AB">
        <w:rPr>
          <w:lang w:eastAsia="ja-JP"/>
        </w:rPr>
        <w:t xml:space="preserve"> in the sham group (3 [4.4%], sham</w:t>
      </w:r>
      <w:r w:rsidR="0091044A">
        <w:rPr>
          <w:lang w:eastAsia="ja-JP"/>
        </w:rPr>
        <w:t xml:space="preserve"> versus </w:t>
      </w:r>
      <w:r w:rsidRPr="000526AB">
        <w:rPr>
          <w:lang w:eastAsia="ja-JP"/>
        </w:rPr>
        <w:t xml:space="preserve">0 [0%] VTE2Q4). All other TEAEs resulting in discontinuation of the study drug each occurred in 1 patient </w:t>
      </w:r>
      <w:r w:rsidR="004A4E0A">
        <w:rPr>
          <w:lang w:eastAsia="ja-JP"/>
        </w:rPr>
        <w:t>only in either treatment group.</w:t>
      </w:r>
    </w:p>
    <w:p w:rsidR="000526AB" w:rsidRPr="000526AB" w:rsidRDefault="000526AB" w:rsidP="004A4E0A">
      <w:pPr>
        <w:rPr>
          <w:lang w:eastAsia="ja-JP"/>
        </w:rPr>
      </w:pPr>
      <w:r w:rsidRPr="000526AB">
        <w:rPr>
          <w:lang w:eastAsia="ja-JP"/>
        </w:rPr>
        <w:t xml:space="preserve">The incidence of ocular TEAEs in the study eye was higher in the sham group (94 subjects [66.2%]) than in the VTE2Q4 group (129 subjects [59.2%]). The highest incidence of ocular TEAEs occurred in subjects in the sham/COPERNICUS group (67.6%) followed by the sham/GALILEO group (64.7%) and the VTE2Q4 group (59.2%). Commonly occurring ocular TEAEs in the study eye reported more frequently in subjects in the VTE2Q4 group than in </w:t>
      </w:r>
      <w:r w:rsidRPr="000526AB">
        <w:rPr>
          <w:lang w:eastAsia="ja-JP"/>
        </w:rPr>
        <w:lastRenderedPageBreak/>
        <w:t>subjects in both the sham/GALILEO and sham/COPERNICUS groups were (respectively): eye pain (12.8%</w:t>
      </w:r>
      <w:r w:rsidR="0091044A">
        <w:rPr>
          <w:lang w:eastAsia="ja-JP"/>
        </w:rPr>
        <w:t xml:space="preserve"> versus </w:t>
      </w:r>
      <w:r w:rsidRPr="000526AB">
        <w:rPr>
          <w:lang w:eastAsia="ja-JP"/>
        </w:rPr>
        <w:t>4.4%</w:t>
      </w:r>
      <w:r w:rsidR="0091044A">
        <w:rPr>
          <w:lang w:eastAsia="ja-JP"/>
        </w:rPr>
        <w:t xml:space="preserve"> versus </w:t>
      </w:r>
      <w:r w:rsidRPr="000526AB">
        <w:rPr>
          <w:lang w:eastAsia="ja-JP"/>
        </w:rPr>
        <w:t>5.4%); macular fibrosis (4.1%</w:t>
      </w:r>
      <w:r w:rsidR="0091044A">
        <w:rPr>
          <w:lang w:eastAsia="ja-JP"/>
        </w:rPr>
        <w:t xml:space="preserve"> versus </w:t>
      </w:r>
      <w:r w:rsidRPr="000526AB">
        <w:rPr>
          <w:lang w:eastAsia="ja-JP"/>
        </w:rPr>
        <w:t>1.5%</w:t>
      </w:r>
      <w:r w:rsidR="0091044A">
        <w:rPr>
          <w:lang w:eastAsia="ja-JP"/>
        </w:rPr>
        <w:t xml:space="preserve"> versus </w:t>
      </w:r>
      <w:r w:rsidRPr="000526AB">
        <w:rPr>
          <w:lang w:eastAsia="ja-JP"/>
        </w:rPr>
        <w:t>1.4%); optic disc vascular disorder (6.0%</w:t>
      </w:r>
      <w:r w:rsidR="0091044A">
        <w:rPr>
          <w:lang w:eastAsia="ja-JP"/>
        </w:rPr>
        <w:t xml:space="preserve"> versus </w:t>
      </w:r>
      <w:r w:rsidRPr="000526AB">
        <w:rPr>
          <w:lang w:eastAsia="ja-JP"/>
        </w:rPr>
        <w:t>4.4%</w:t>
      </w:r>
      <w:r w:rsidR="0091044A">
        <w:rPr>
          <w:lang w:eastAsia="ja-JP"/>
        </w:rPr>
        <w:t xml:space="preserve"> versus </w:t>
      </w:r>
      <w:r w:rsidRPr="000526AB">
        <w:rPr>
          <w:lang w:eastAsia="ja-JP"/>
        </w:rPr>
        <w:t>1.4%); and vitreous floaters (5.0%</w:t>
      </w:r>
      <w:r w:rsidR="0091044A">
        <w:rPr>
          <w:lang w:eastAsia="ja-JP"/>
        </w:rPr>
        <w:t xml:space="preserve"> versus </w:t>
      </w:r>
      <w:r w:rsidRPr="000526AB">
        <w:rPr>
          <w:lang w:eastAsia="ja-JP"/>
        </w:rPr>
        <w:t>0%</w:t>
      </w:r>
      <w:r w:rsidR="0091044A">
        <w:rPr>
          <w:lang w:eastAsia="ja-JP"/>
        </w:rPr>
        <w:t xml:space="preserve"> versus </w:t>
      </w:r>
      <w:r w:rsidRPr="000526AB">
        <w:rPr>
          <w:lang w:eastAsia="ja-JP"/>
        </w:rPr>
        <w:t>2.7%). Macular oedema occurred notably more commonly in the sham/GALILEO (16.2%) group than in the sham/COPERNICUS and the VTE2</w:t>
      </w:r>
      <w:r w:rsidR="004A4E0A">
        <w:rPr>
          <w:lang w:eastAsia="ja-JP"/>
        </w:rPr>
        <w:t>Q4 groups (1.4% in each group).</w:t>
      </w:r>
    </w:p>
    <w:p w:rsidR="000526AB" w:rsidRPr="000526AB" w:rsidRDefault="000526AB" w:rsidP="004A4E0A">
      <w:pPr>
        <w:rPr>
          <w:lang w:eastAsia="ja-JP"/>
        </w:rPr>
      </w:pPr>
      <w:r w:rsidRPr="000526AB">
        <w:rPr>
          <w:lang w:eastAsia="ja-JP"/>
        </w:rPr>
        <w:t>The incidence of serious ocular TEAEs in the study eye was higher in the sham group (15 subjects [10.6%]) than in the VTE2Q4 group (6 subjects [2.8%]). Most serious ocular TEAEs in the study eye were attributable to disease progression or the injection procedure. Serious ocular TEAEs in the study eye reported in 2 or more subjects occurred only in the sham group. One (1) subject (0.5%) in the VTE2Q4 group experienced an SAE of endophthalmitis compared with no subjects in the sham group. There were no reports of SAEs of macular oedema in the VTE2Q4 group, while 2 subjects (1.4%) in the sham group experienced this event. There were 2 deaths, both of which occurred in COPERNICUS in patients treated with sham, and both of which were adjudicated as ATE/APTC events (PTs: 1 acute myocar</w:t>
      </w:r>
      <w:r w:rsidR="004A4E0A">
        <w:rPr>
          <w:lang w:eastAsia="ja-JP"/>
        </w:rPr>
        <w:t>dial infarction; 1 arrhythmia).</w:t>
      </w:r>
    </w:p>
    <w:p w:rsidR="000526AB" w:rsidRPr="000526AB" w:rsidRDefault="000526AB" w:rsidP="004A4E0A">
      <w:pPr>
        <w:rPr>
          <w:lang w:eastAsia="ja-JP"/>
        </w:rPr>
      </w:pPr>
      <w:r w:rsidRPr="000526AB">
        <w:rPr>
          <w:lang w:eastAsia="ja-JP"/>
        </w:rPr>
        <w:t xml:space="preserve">Ocular injection-related TEAEs in the study eye most frequently occurred in subjects in the VTE2Q4 group (31.2% [68/218]) than in the sham group (22.5% [32/142]). The most commonly reported ocular injection-related TEAEs occurring in </w:t>
      </w:r>
      <w:r w:rsidR="00320FF0">
        <w:rPr>
          <w:lang w:eastAsia="ja-JP"/>
        </w:rPr>
        <w:t>≥</w:t>
      </w:r>
      <w:r w:rsidRPr="000526AB">
        <w:rPr>
          <w:lang w:eastAsia="ja-JP"/>
        </w:rPr>
        <w:t xml:space="preserve"> 2% more subjects in the VTE2Q4 group than in the sham group were eye pain (11.0%</w:t>
      </w:r>
      <w:r w:rsidR="0091044A">
        <w:rPr>
          <w:lang w:eastAsia="ja-JP"/>
        </w:rPr>
        <w:t xml:space="preserve"> versus </w:t>
      </w:r>
      <w:r w:rsidRPr="000526AB">
        <w:rPr>
          <w:lang w:eastAsia="ja-JP"/>
        </w:rPr>
        <w:t>3.5%) and IOP increased (5.5%</w:t>
      </w:r>
      <w:r w:rsidR="0091044A">
        <w:rPr>
          <w:lang w:eastAsia="ja-JP"/>
        </w:rPr>
        <w:t xml:space="preserve"> versus </w:t>
      </w:r>
      <w:r w:rsidR="004A4E0A">
        <w:rPr>
          <w:lang w:eastAsia="ja-JP"/>
        </w:rPr>
        <w:t>1.4%).</w:t>
      </w:r>
    </w:p>
    <w:p w:rsidR="000526AB" w:rsidRPr="000526AB" w:rsidRDefault="000526AB" w:rsidP="004A4E0A">
      <w:pPr>
        <w:rPr>
          <w:lang w:eastAsia="ja-JP"/>
        </w:rPr>
      </w:pPr>
      <w:r w:rsidRPr="000526AB">
        <w:rPr>
          <w:lang w:eastAsia="ja-JP"/>
        </w:rPr>
        <w:t>The overall incidence of ocular TEAEs of interest in the study eye was higher in subjects in the sham group (51/142 [35.9%]) than in the VTE2Q4 group (64/218 [29.4%]). The most common ocular TEAEs of interest (</w:t>
      </w:r>
      <w:r w:rsidR="00320FF0">
        <w:rPr>
          <w:lang w:eastAsia="ja-JP"/>
        </w:rPr>
        <w:t>≥</w:t>
      </w:r>
      <w:r w:rsidRPr="000526AB">
        <w:rPr>
          <w:lang w:eastAsia="ja-JP"/>
        </w:rPr>
        <w:t xml:space="preserve"> 5% overall) in subjects in the VTE2Q4 group were: subconjunctival/conjunctival haemorrhage (26 [11.9%], VTE2Q4</w:t>
      </w:r>
      <w:r w:rsidR="0091044A">
        <w:rPr>
          <w:lang w:eastAsia="ja-JP"/>
        </w:rPr>
        <w:t xml:space="preserve"> versus </w:t>
      </w:r>
      <w:r w:rsidRPr="000526AB">
        <w:rPr>
          <w:lang w:eastAsia="ja-JP"/>
        </w:rPr>
        <w:t>24 [19.4%],</w:t>
      </w:r>
      <w:r w:rsidR="00301349">
        <w:rPr>
          <w:lang w:eastAsia="ja-JP"/>
        </w:rPr>
        <w:t xml:space="preserve"> </w:t>
      </w:r>
      <w:r w:rsidRPr="000526AB">
        <w:rPr>
          <w:lang w:eastAsia="ja-JP"/>
        </w:rPr>
        <w:t>sham); mild transient pain at the injection site (26 [11.9%], VTE2Q4</w:t>
      </w:r>
      <w:r w:rsidR="0091044A">
        <w:rPr>
          <w:lang w:eastAsia="ja-JP"/>
        </w:rPr>
        <w:t xml:space="preserve"> versus </w:t>
      </w:r>
      <w:r w:rsidRPr="000526AB">
        <w:rPr>
          <w:lang w:eastAsia="ja-JP"/>
        </w:rPr>
        <w:t>7 [4.9%], sham); transient increase in IOP (13 [6.0%], VTE2Q4</w:t>
      </w:r>
      <w:r w:rsidR="0091044A">
        <w:rPr>
          <w:lang w:eastAsia="ja-JP"/>
        </w:rPr>
        <w:t xml:space="preserve"> versus </w:t>
      </w:r>
      <w:r w:rsidRPr="000526AB">
        <w:rPr>
          <w:lang w:eastAsia="ja-JP"/>
        </w:rPr>
        <w:t>2 [1.4%], sham); and clinically significant decrease in BCVA (13 [6.0%], VTE2Q4</w:t>
      </w:r>
      <w:r w:rsidR="0091044A">
        <w:rPr>
          <w:lang w:eastAsia="ja-JP"/>
        </w:rPr>
        <w:t xml:space="preserve"> versus </w:t>
      </w:r>
      <w:r w:rsidRPr="000526AB">
        <w:rPr>
          <w:lang w:eastAsia="ja-JP"/>
        </w:rPr>
        <w:t>23 [16.2%],</w:t>
      </w:r>
      <w:r w:rsidR="00301349">
        <w:rPr>
          <w:lang w:eastAsia="ja-JP"/>
        </w:rPr>
        <w:t xml:space="preserve"> </w:t>
      </w:r>
      <w:r w:rsidRPr="000526AB">
        <w:rPr>
          <w:lang w:eastAsia="ja-JP"/>
        </w:rPr>
        <w:t>sham). The only common ocular TEAEs of interest (</w:t>
      </w:r>
      <w:r w:rsidR="00320FF0">
        <w:rPr>
          <w:lang w:eastAsia="ja-JP"/>
        </w:rPr>
        <w:t>≥</w:t>
      </w:r>
      <w:r w:rsidRPr="000526AB">
        <w:rPr>
          <w:lang w:eastAsia="ja-JP"/>
        </w:rPr>
        <w:t xml:space="preserve"> 5%) in the study eye in subjects in the VTE2Q4 group with an incidence of more than twice that in the sham group was mild transient pain at the injection site (26</w:t>
      </w:r>
      <w:r w:rsidR="00301349">
        <w:rPr>
          <w:lang w:eastAsia="ja-JP"/>
        </w:rPr>
        <w:t xml:space="preserve"> </w:t>
      </w:r>
      <w:r w:rsidRPr="000526AB">
        <w:rPr>
          <w:lang w:eastAsia="ja-JP"/>
        </w:rPr>
        <w:t>[11.9%], VTE2Q4</w:t>
      </w:r>
      <w:r w:rsidR="0091044A">
        <w:rPr>
          <w:lang w:eastAsia="ja-JP"/>
        </w:rPr>
        <w:t xml:space="preserve"> versus </w:t>
      </w:r>
      <w:r w:rsidRPr="000526AB">
        <w:rPr>
          <w:lang w:eastAsia="ja-JP"/>
        </w:rPr>
        <w:t>7 [4.9%], sham). The only common ocular TEAEs of interest (</w:t>
      </w:r>
      <w:r w:rsidR="00320FF0">
        <w:rPr>
          <w:lang w:eastAsia="ja-JP"/>
        </w:rPr>
        <w:t>≥</w:t>
      </w:r>
      <w:r w:rsidRPr="000526AB">
        <w:rPr>
          <w:lang w:eastAsia="ja-JP"/>
        </w:rPr>
        <w:t xml:space="preserve"> 5%) in the study eye in subjects in the</w:t>
      </w:r>
      <w:r w:rsidR="00301349">
        <w:rPr>
          <w:lang w:eastAsia="ja-JP"/>
        </w:rPr>
        <w:t xml:space="preserve"> </w:t>
      </w:r>
      <w:r w:rsidRPr="000526AB">
        <w:rPr>
          <w:lang w:eastAsia="ja-JP"/>
        </w:rPr>
        <w:t>sham group with an incidence more than twice that in the VTE2Q4 group was clinically significant decrease in BCVA (23 [16.2%], sham</w:t>
      </w:r>
      <w:r w:rsidR="0091044A">
        <w:rPr>
          <w:lang w:eastAsia="ja-JP"/>
        </w:rPr>
        <w:t xml:space="preserve"> versus </w:t>
      </w:r>
      <w:r w:rsidRPr="000526AB">
        <w:rPr>
          <w:lang w:eastAsia="ja-JP"/>
        </w:rPr>
        <w:t xml:space="preserve">13 [6.0%], VTE2Q4). Two (2) subjects (1.4%) in the sham group experienced IOP </w:t>
      </w:r>
      <w:r w:rsidR="00320FF0">
        <w:rPr>
          <w:lang w:eastAsia="ja-JP"/>
        </w:rPr>
        <w:t>≥</w:t>
      </w:r>
      <w:r w:rsidRPr="000526AB">
        <w:rPr>
          <w:lang w:eastAsia="ja-JP"/>
        </w:rPr>
        <w:t xml:space="preserve"> 35 mmHg that required treatment (v</w:t>
      </w:r>
      <w:r w:rsidR="00320FF0">
        <w:rPr>
          <w:lang w:eastAsia="ja-JP"/>
        </w:rPr>
        <w:t>ersu</w:t>
      </w:r>
      <w:r w:rsidRPr="000526AB">
        <w:rPr>
          <w:lang w:eastAsia="ja-JP"/>
        </w:rPr>
        <w:t>s no subjects in the VTE2Q4 group); 9 subjects experienced new onset, elevated IOP that required treatment (6 [4.2%], sham</w:t>
      </w:r>
      <w:r w:rsidR="0091044A">
        <w:rPr>
          <w:lang w:eastAsia="ja-JP"/>
        </w:rPr>
        <w:t xml:space="preserve"> versus </w:t>
      </w:r>
      <w:r w:rsidRPr="000526AB">
        <w:rPr>
          <w:lang w:eastAsia="ja-JP"/>
        </w:rPr>
        <w:t>3 [1.4%], VTE2Q4); and 15 subjects experienced transient increases in IOP (2 [1.4%], sham</w:t>
      </w:r>
      <w:r w:rsidR="0091044A">
        <w:rPr>
          <w:lang w:eastAsia="ja-JP"/>
        </w:rPr>
        <w:t xml:space="preserve"> versus </w:t>
      </w:r>
      <w:r w:rsidR="004A4E0A">
        <w:rPr>
          <w:lang w:eastAsia="ja-JP"/>
        </w:rPr>
        <w:t>13 [6.0%], VTE2Q4).</w:t>
      </w:r>
    </w:p>
    <w:p w:rsidR="000526AB" w:rsidRPr="000526AB" w:rsidRDefault="000526AB" w:rsidP="004A4E0A">
      <w:pPr>
        <w:rPr>
          <w:lang w:eastAsia="ja-JP"/>
        </w:rPr>
      </w:pPr>
      <w:r w:rsidRPr="00320FF0">
        <w:rPr>
          <w:lang w:eastAsia="ja-JP"/>
        </w:rPr>
        <w:t>Post</w:t>
      </w:r>
      <w:r w:rsidR="00320FF0">
        <w:rPr>
          <w:lang w:eastAsia="ja-JP"/>
        </w:rPr>
        <w:t xml:space="preserve"> </w:t>
      </w:r>
      <w:r w:rsidRPr="00320FF0">
        <w:rPr>
          <w:lang w:eastAsia="ja-JP"/>
        </w:rPr>
        <w:t>hoc</w:t>
      </w:r>
      <w:r w:rsidRPr="000526AB">
        <w:rPr>
          <w:lang w:eastAsia="ja-JP"/>
        </w:rPr>
        <w:t xml:space="preserve"> adjudication of ATE/APTC events was performed by masked adjudicators. In COPERNICUS, there were no ATE/APTC events in the VTE2Q4 group during the first 24 weeks of treatment, while 2 subjects in the sham group experienced ATE/APTC events (PTs: 1 acute myocardial infarction resulting in death; 1 arrhythmia resulting in death). In GALILEO, no potential ATEs during the first 24 weeks of treatment w</w:t>
      </w:r>
      <w:r w:rsidR="004A4E0A">
        <w:rPr>
          <w:lang w:eastAsia="ja-JP"/>
        </w:rPr>
        <w:t>ere adjudicated as APTC events.</w:t>
      </w:r>
    </w:p>
    <w:p w:rsidR="000526AB" w:rsidRPr="000526AB" w:rsidRDefault="000526AB" w:rsidP="004A4E0A">
      <w:pPr>
        <w:rPr>
          <w:lang w:eastAsia="ja-JP"/>
        </w:rPr>
      </w:pPr>
      <w:r w:rsidRPr="000526AB">
        <w:rPr>
          <w:lang w:eastAsia="ja-JP"/>
        </w:rPr>
        <w:t xml:space="preserve">The proportion of subjects with at least one </w:t>
      </w:r>
      <w:r w:rsidR="00D74B64">
        <w:rPr>
          <w:lang w:eastAsia="ja-JP"/>
        </w:rPr>
        <w:t xml:space="preserve">non-ocular </w:t>
      </w:r>
      <w:r w:rsidRPr="000526AB">
        <w:rPr>
          <w:lang w:eastAsia="ja-JP"/>
        </w:rPr>
        <w:t xml:space="preserve">TEAE was higher in subjects in the sham/GALILEO group (54.4% [37/68]) than in both the sham/COPERNICUS (51.4% [38/74]) and the VTE2Q4 (48.6% [106/218]) groups. The most common </w:t>
      </w:r>
      <w:r w:rsidR="00D74B64">
        <w:rPr>
          <w:lang w:eastAsia="ja-JP"/>
        </w:rPr>
        <w:t xml:space="preserve">non-ocular </w:t>
      </w:r>
      <w:r w:rsidRPr="000526AB">
        <w:rPr>
          <w:lang w:eastAsia="ja-JP"/>
        </w:rPr>
        <w:t>TEAE in subjects in both the sham and VTE2Q4 groups was nasopharyngitis (10 [7.0%]</w:t>
      </w:r>
      <w:r w:rsidR="0091044A">
        <w:rPr>
          <w:lang w:eastAsia="ja-JP"/>
        </w:rPr>
        <w:t xml:space="preserve"> versus </w:t>
      </w:r>
      <w:r w:rsidRPr="000526AB">
        <w:rPr>
          <w:lang w:eastAsia="ja-JP"/>
        </w:rPr>
        <w:t>13 [6.0%], respectively), followed by hypertension (7 [4.9%]</w:t>
      </w:r>
      <w:r w:rsidR="0091044A">
        <w:rPr>
          <w:lang w:eastAsia="ja-JP"/>
        </w:rPr>
        <w:t xml:space="preserve"> versus </w:t>
      </w:r>
      <w:r w:rsidRPr="000526AB">
        <w:rPr>
          <w:lang w:eastAsia="ja-JP"/>
        </w:rPr>
        <w:t xml:space="preserve">14 [6.4%]). The incidence of serious </w:t>
      </w:r>
      <w:r w:rsidR="00D74B64">
        <w:rPr>
          <w:lang w:eastAsia="ja-JP"/>
        </w:rPr>
        <w:t xml:space="preserve">non-ocular </w:t>
      </w:r>
      <w:r w:rsidRPr="000526AB">
        <w:rPr>
          <w:lang w:eastAsia="ja-JP"/>
        </w:rPr>
        <w:t>TEAEs was higher in subjects in the sham group than in the VTE2Q4 group (11 [7.7%]</w:t>
      </w:r>
      <w:r w:rsidR="0091044A">
        <w:rPr>
          <w:lang w:eastAsia="ja-JP"/>
        </w:rPr>
        <w:t xml:space="preserve"> versus </w:t>
      </w:r>
      <w:r w:rsidRPr="000526AB">
        <w:rPr>
          <w:lang w:eastAsia="ja-JP"/>
        </w:rPr>
        <w:t xml:space="preserve">12 [5.5%], respectively). Pneumonia was the only serious </w:t>
      </w:r>
      <w:r w:rsidR="00D74B64">
        <w:rPr>
          <w:lang w:eastAsia="ja-JP"/>
        </w:rPr>
        <w:t xml:space="preserve">non-ocular </w:t>
      </w:r>
      <w:r w:rsidRPr="000526AB">
        <w:rPr>
          <w:lang w:eastAsia="ja-JP"/>
        </w:rPr>
        <w:t xml:space="preserve">TEAEs that was reported by more than 1 subject (sham group only, 2 subjects [1.4%]). </w:t>
      </w:r>
      <w:r w:rsidR="00D74B64">
        <w:rPr>
          <w:lang w:eastAsia="ja-JP"/>
        </w:rPr>
        <w:t xml:space="preserve">Non-ocular </w:t>
      </w:r>
      <w:r w:rsidRPr="000526AB">
        <w:rPr>
          <w:lang w:eastAsia="ja-JP"/>
        </w:rPr>
        <w:t>TEAEs of interest occurred in the same proportion of</w:t>
      </w:r>
      <w:r w:rsidR="00301349">
        <w:rPr>
          <w:lang w:eastAsia="ja-JP"/>
        </w:rPr>
        <w:t xml:space="preserve"> </w:t>
      </w:r>
      <w:r w:rsidRPr="000526AB">
        <w:rPr>
          <w:lang w:eastAsia="ja-JP"/>
        </w:rPr>
        <w:t>subjects in the sham and VTE2Q4 groups (13 [9.2%]</w:t>
      </w:r>
      <w:r w:rsidR="0091044A">
        <w:rPr>
          <w:lang w:eastAsia="ja-JP"/>
        </w:rPr>
        <w:t xml:space="preserve"> versus </w:t>
      </w:r>
      <w:r w:rsidRPr="000526AB">
        <w:rPr>
          <w:lang w:eastAsia="ja-JP"/>
        </w:rPr>
        <w:t xml:space="preserve">20 [9.2%], respectively). The only notable difference between the two groups was the </w:t>
      </w:r>
      <w:r w:rsidRPr="000526AB">
        <w:rPr>
          <w:lang w:eastAsia="ja-JP"/>
        </w:rPr>
        <w:lastRenderedPageBreak/>
        <w:t>higher incidence of hypertension in the VTE2Q4 group compared with the sham group (14 [6.4%]</w:t>
      </w:r>
      <w:r w:rsidR="0091044A">
        <w:rPr>
          <w:lang w:eastAsia="ja-JP"/>
        </w:rPr>
        <w:t xml:space="preserve"> versus </w:t>
      </w:r>
      <w:r w:rsidR="004A4E0A">
        <w:rPr>
          <w:lang w:eastAsia="ja-JP"/>
        </w:rPr>
        <w:t>7 [4.9%], respectively).</w:t>
      </w:r>
    </w:p>
    <w:p w:rsidR="000526AB" w:rsidRPr="000526AB" w:rsidRDefault="000526AB" w:rsidP="004A4E0A">
      <w:pPr>
        <w:rPr>
          <w:lang w:eastAsia="ja-JP"/>
        </w:rPr>
      </w:pPr>
      <w:r w:rsidRPr="000526AB">
        <w:rPr>
          <w:lang w:eastAsia="ja-JP"/>
        </w:rPr>
        <w:t xml:space="preserve">There were no clinically significant changes in laboratory tests (haematology, clinical chemistry, urinalysis) or vital signs in either the sham or the VTE2Q4 group from </w:t>
      </w:r>
      <w:r w:rsidR="00D02A01">
        <w:rPr>
          <w:lang w:eastAsia="ja-JP"/>
        </w:rPr>
        <w:t>Week 0</w:t>
      </w:r>
      <w:r w:rsidRPr="000526AB">
        <w:rPr>
          <w:lang w:eastAsia="ja-JP"/>
        </w:rPr>
        <w:t xml:space="preserve"> to</w:t>
      </w:r>
      <w:r w:rsidR="00300BDB">
        <w:rPr>
          <w:lang w:eastAsia="ja-JP"/>
        </w:rPr>
        <w:t xml:space="preserve"> Week 2</w:t>
      </w:r>
      <w:r w:rsidR="004A4E0A">
        <w:rPr>
          <w:lang w:eastAsia="ja-JP"/>
        </w:rPr>
        <w:t>4</w:t>
      </w:r>
    </w:p>
    <w:p w:rsidR="000526AB" w:rsidRPr="000526AB" w:rsidRDefault="000526AB" w:rsidP="004A4E0A">
      <w:pPr>
        <w:pStyle w:val="Heading4"/>
      </w:pPr>
      <w:r w:rsidRPr="000526AB">
        <w:t>Long-term safety (SAF) – Week 0 to 100 (COPERNICUS) and Week 0 to 76 (GALILEO)</w:t>
      </w:r>
    </w:p>
    <w:p w:rsidR="000526AB" w:rsidRPr="000526AB" w:rsidRDefault="000526AB" w:rsidP="004A4E0A">
      <w:pPr>
        <w:rPr>
          <w:lang w:eastAsia="ja-JP"/>
        </w:rPr>
      </w:pPr>
      <w:r w:rsidRPr="000526AB">
        <w:rPr>
          <w:lang w:eastAsia="ja-JP"/>
        </w:rPr>
        <w:t>In COPERNICUS, of the 60 subjects in the sham group who completed</w:t>
      </w:r>
      <w:r w:rsidR="00300BDB">
        <w:rPr>
          <w:lang w:eastAsia="ja-JP"/>
        </w:rPr>
        <w:t xml:space="preserve"> Week 2</w:t>
      </w:r>
      <w:r w:rsidRPr="000526AB">
        <w:rPr>
          <w:lang w:eastAsia="ja-JP"/>
        </w:rPr>
        <w:t>4, 57 (95.0%) subjects crossed</w:t>
      </w:r>
      <w:r w:rsidR="00320FF0">
        <w:rPr>
          <w:lang w:eastAsia="ja-JP"/>
        </w:rPr>
        <w:t xml:space="preserve"> </w:t>
      </w:r>
      <w:r w:rsidRPr="000526AB">
        <w:rPr>
          <w:lang w:eastAsia="ja-JP"/>
        </w:rPr>
        <w:t>over to receive VTE PRN injections through to</w:t>
      </w:r>
      <w:r w:rsidR="00300BDB">
        <w:rPr>
          <w:lang w:eastAsia="ja-JP"/>
        </w:rPr>
        <w:t xml:space="preserve"> Week 1</w:t>
      </w:r>
      <w:r w:rsidRPr="000526AB">
        <w:rPr>
          <w:lang w:eastAsia="ja-JP"/>
        </w:rPr>
        <w:t>00. In the sham+VTE PRN group, in the 60 subjects who completed</w:t>
      </w:r>
      <w:r w:rsidR="00300BDB">
        <w:rPr>
          <w:lang w:eastAsia="ja-JP"/>
        </w:rPr>
        <w:t xml:space="preserve"> Week 2</w:t>
      </w:r>
      <w:r w:rsidRPr="000526AB">
        <w:rPr>
          <w:lang w:eastAsia="ja-JP"/>
        </w:rPr>
        <w:t>4 the total number of VTE injections received from baseline to</w:t>
      </w:r>
      <w:r w:rsidR="00300BDB">
        <w:rPr>
          <w:lang w:eastAsia="ja-JP"/>
        </w:rPr>
        <w:t xml:space="preserve"> Week 1</w:t>
      </w:r>
      <w:r w:rsidRPr="000526AB">
        <w:rPr>
          <w:lang w:eastAsia="ja-JP"/>
        </w:rPr>
        <w:t>00 was 384 (</w:t>
      </w:r>
      <w:r w:rsidR="00320FF0">
        <w:rPr>
          <w:lang w:eastAsia="ja-JP"/>
        </w:rPr>
        <w:t>that is,</w:t>
      </w:r>
      <w:r w:rsidRPr="000526AB">
        <w:rPr>
          <w:lang w:eastAsia="ja-JP"/>
        </w:rPr>
        <w:t xml:space="preserve"> mean [SD] = 6.4 injections/subject), and in the 110 subjects in the VTE2Q4+PRN group who completed</w:t>
      </w:r>
      <w:r w:rsidR="00300BDB">
        <w:rPr>
          <w:lang w:eastAsia="ja-JP"/>
        </w:rPr>
        <w:t xml:space="preserve"> Week 2</w:t>
      </w:r>
      <w:r w:rsidRPr="000526AB">
        <w:rPr>
          <w:lang w:eastAsia="ja-JP"/>
        </w:rPr>
        <w:t>4 the total number of VTE injections received from baseline to</w:t>
      </w:r>
      <w:r w:rsidR="00300BDB">
        <w:rPr>
          <w:lang w:eastAsia="ja-JP"/>
        </w:rPr>
        <w:t xml:space="preserve"> Week 1</w:t>
      </w:r>
      <w:r w:rsidRPr="000526AB">
        <w:rPr>
          <w:lang w:eastAsia="ja-JP"/>
        </w:rPr>
        <w:t>00 was 1293 (</w:t>
      </w:r>
      <w:r w:rsidR="00320FF0">
        <w:rPr>
          <w:lang w:eastAsia="ja-JP"/>
        </w:rPr>
        <w:t>that is,</w:t>
      </w:r>
      <w:r w:rsidRPr="000526AB">
        <w:rPr>
          <w:lang w:eastAsia="ja-JP"/>
        </w:rPr>
        <w:t xml:space="preserve"> mean [SD] = 11.8 [3.35] injections/s</w:t>
      </w:r>
      <w:r w:rsidR="004A4E0A">
        <w:rPr>
          <w:lang w:eastAsia="ja-JP"/>
        </w:rPr>
        <w:t>ubject).</w:t>
      </w:r>
    </w:p>
    <w:p w:rsidR="000526AB" w:rsidRPr="000526AB" w:rsidRDefault="000526AB" w:rsidP="004A4E0A">
      <w:pPr>
        <w:rPr>
          <w:lang w:eastAsia="ja-JP"/>
        </w:rPr>
      </w:pPr>
      <w:r w:rsidRPr="000526AB">
        <w:rPr>
          <w:lang w:eastAsia="ja-JP"/>
        </w:rPr>
        <w:t>In GALILEO, of the 52 subjects in the sham group who completed</w:t>
      </w:r>
      <w:r w:rsidR="00300BDB">
        <w:rPr>
          <w:lang w:eastAsia="ja-JP"/>
        </w:rPr>
        <w:t xml:space="preserve"> Week 5</w:t>
      </w:r>
      <w:r w:rsidRPr="000526AB">
        <w:rPr>
          <w:lang w:eastAsia="ja-JP"/>
        </w:rPr>
        <w:t>2, 42 (80.8%) subjects received 1 to 3 VTE PRN injections (total 86 injections) from</w:t>
      </w:r>
      <w:r w:rsidR="00300BDB">
        <w:rPr>
          <w:lang w:eastAsia="ja-JP"/>
        </w:rPr>
        <w:t xml:space="preserve"> Week 5</w:t>
      </w:r>
      <w:r w:rsidRPr="000526AB">
        <w:rPr>
          <w:lang w:eastAsia="ja-JP"/>
        </w:rPr>
        <w:t>2 to</w:t>
      </w:r>
      <w:r w:rsidR="00300BDB">
        <w:rPr>
          <w:lang w:eastAsia="ja-JP"/>
        </w:rPr>
        <w:t xml:space="preserve"> Week 7</w:t>
      </w:r>
      <w:r w:rsidRPr="000526AB">
        <w:rPr>
          <w:lang w:eastAsia="ja-JP"/>
        </w:rPr>
        <w:t>6 (</w:t>
      </w:r>
      <w:r w:rsidR="00320FF0">
        <w:rPr>
          <w:lang w:eastAsia="ja-JP"/>
        </w:rPr>
        <w:t>that is,</w:t>
      </w:r>
      <w:r w:rsidRPr="000526AB">
        <w:rPr>
          <w:lang w:eastAsia="ja-JP"/>
        </w:rPr>
        <w:t xml:space="preserve"> mean [SD] = 1.7 [1.1] injections/subject). VTE injections administered from</w:t>
      </w:r>
      <w:r w:rsidR="00300BDB">
        <w:rPr>
          <w:lang w:eastAsia="ja-JP"/>
        </w:rPr>
        <w:t xml:space="preserve"> Week 5</w:t>
      </w:r>
      <w:r w:rsidRPr="000526AB">
        <w:rPr>
          <w:lang w:eastAsia="ja-JP"/>
        </w:rPr>
        <w:t>2 to</w:t>
      </w:r>
      <w:r w:rsidR="00300BDB">
        <w:rPr>
          <w:lang w:eastAsia="ja-JP"/>
        </w:rPr>
        <w:t xml:space="preserve"> Week 7</w:t>
      </w:r>
      <w:r w:rsidRPr="000526AB">
        <w:rPr>
          <w:lang w:eastAsia="ja-JP"/>
        </w:rPr>
        <w:t>6 to subjects in the sham+VTE PRN group in GALILEO were the only active injections administered to this group as prior to</w:t>
      </w:r>
      <w:r w:rsidR="00300BDB">
        <w:rPr>
          <w:lang w:eastAsia="ja-JP"/>
        </w:rPr>
        <w:t xml:space="preserve"> Week 5</w:t>
      </w:r>
      <w:r w:rsidRPr="000526AB">
        <w:rPr>
          <w:lang w:eastAsia="ja-JP"/>
        </w:rPr>
        <w:t>2 all subjects in this group received only sham injections. In the 91 subjects in the VTE+PRN group who completed</w:t>
      </w:r>
      <w:r w:rsidR="00300BDB">
        <w:rPr>
          <w:lang w:eastAsia="ja-JP"/>
        </w:rPr>
        <w:t xml:space="preserve"> Week 5</w:t>
      </w:r>
      <w:r w:rsidRPr="000526AB">
        <w:rPr>
          <w:lang w:eastAsia="ja-JP"/>
        </w:rPr>
        <w:t>2, 63 (69.2%) subjects received 1-3 injections (total 121 injections from</w:t>
      </w:r>
      <w:r w:rsidR="00300BDB">
        <w:rPr>
          <w:lang w:eastAsia="ja-JP"/>
        </w:rPr>
        <w:t xml:space="preserve"> Week 5</w:t>
      </w:r>
      <w:r w:rsidRPr="000526AB">
        <w:rPr>
          <w:lang w:eastAsia="ja-JP"/>
        </w:rPr>
        <w:t>2 to</w:t>
      </w:r>
      <w:r w:rsidR="00300BDB">
        <w:rPr>
          <w:lang w:eastAsia="ja-JP"/>
        </w:rPr>
        <w:t xml:space="preserve"> Week 7</w:t>
      </w:r>
      <w:r w:rsidRPr="000526AB">
        <w:rPr>
          <w:lang w:eastAsia="ja-JP"/>
        </w:rPr>
        <w:t>6 (</w:t>
      </w:r>
      <w:r w:rsidR="00320FF0">
        <w:rPr>
          <w:lang w:eastAsia="ja-JP"/>
        </w:rPr>
        <w:t>that is,</w:t>
      </w:r>
      <w:r w:rsidRPr="000526AB">
        <w:rPr>
          <w:lang w:eastAsia="ja-JP"/>
        </w:rPr>
        <w:t xml:space="preserve"> mean [SD] =</w:t>
      </w:r>
      <w:r w:rsidR="004A4E0A">
        <w:rPr>
          <w:lang w:eastAsia="ja-JP"/>
        </w:rPr>
        <w:t xml:space="preserve"> 1.3 [1.1] injections/subject).</w:t>
      </w:r>
    </w:p>
    <w:p w:rsidR="000526AB" w:rsidRPr="000526AB" w:rsidRDefault="000526AB" w:rsidP="004A4E0A">
      <w:pPr>
        <w:rPr>
          <w:lang w:eastAsia="ja-JP"/>
        </w:rPr>
      </w:pPr>
      <w:r w:rsidRPr="000526AB">
        <w:rPr>
          <w:lang w:eastAsia="ja-JP"/>
        </w:rPr>
        <w:t>In COPERNICUS, nearly all subjects in the sham+VTE PRN group and the VTE2Q4+VTE group experienced at least 1 TEAE over the 100 weeks of the study (70/74 [94.6%]</w:t>
      </w:r>
      <w:r w:rsidR="0091044A">
        <w:rPr>
          <w:lang w:eastAsia="ja-JP"/>
        </w:rPr>
        <w:t xml:space="preserve"> versus </w:t>
      </w:r>
      <w:r w:rsidRPr="000526AB">
        <w:rPr>
          <w:lang w:eastAsia="ja-JP"/>
        </w:rPr>
        <w:t xml:space="preserve">112/114 [98.2%], respectively). The incidence of ocular and </w:t>
      </w:r>
      <w:r w:rsidR="00D74B64">
        <w:rPr>
          <w:lang w:eastAsia="ja-JP"/>
        </w:rPr>
        <w:t xml:space="preserve">non-ocular </w:t>
      </w:r>
      <w:r w:rsidRPr="000526AB">
        <w:rPr>
          <w:lang w:eastAsia="ja-JP"/>
        </w:rPr>
        <w:t xml:space="preserve">TEAEs leading to withdrawal from the study drug was higher in subjects in the sham+VTE group (5 [6.8%]; all ocular) than in the VTE 2Q4+PRN group (4 [3.5%]; 2 ocular and 2 </w:t>
      </w:r>
      <w:r w:rsidR="00D74B64">
        <w:rPr>
          <w:lang w:eastAsia="ja-JP"/>
        </w:rPr>
        <w:t xml:space="preserve">non-ocular </w:t>
      </w:r>
      <w:r w:rsidRPr="000526AB">
        <w:rPr>
          <w:lang w:eastAsia="ja-JP"/>
        </w:rPr>
        <w:t>). In the VTE2Q4+PRN group, the 2 ocular TEAEs leading to discontinuation of the study drug were retinal artery occlusion (1 [0.9%], VTE2Q4+PRN</w:t>
      </w:r>
      <w:r w:rsidR="0091044A">
        <w:rPr>
          <w:lang w:eastAsia="ja-JP"/>
        </w:rPr>
        <w:t xml:space="preserve"> versus </w:t>
      </w:r>
      <w:r w:rsidRPr="000526AB">
        <w:rPr>
          <w:lang w:eastAsia="ja-JP"/>
        </w:rPr>
        <w:t>0 [0%], sham+VTE PRN), and retinal vein occlusion (1 [0.9%], VTE2Q4+PRN</w:t>
      </w:r>
      <w:r w:rsidR="0091044A">
        <w:rPr>
          <w:lang w:eastAsia="ja-JP"/>
        </w:rPr>
        <w:t xml:space="preserve"> versus </w:t>
      </w:r>
      <w:r w:rsidRPr="000526AB">
        <w:rPr>
          <w:lang w:eastAsia="ja-JP"/>
        </w:rPr>
        <w:t xml:space="preserve">0 [0%], sham+VTE PRN). The </w:t>
      </w:r>
      <w:r w:rsidR="00D74B64">
        <w:rPr>
          <w:lang w:eastAsia="ja-JP"/>
        </w:rPr>
        <w:t xml:space="preserve">non-ocular </w:t>
      </w:r>
      <w:r w:rsidRPr="000526AB">
        <w:rPr>
          <w:lang w:eastAsia="ja-JP"/>
        </w:rPr>
        <w:t>TEAEs leading to discontinuation of the study drug in the 2 subjects in the VTE2Q4+PRN group were metastatic renal cell carcinoma (1 [0.9%]), and non-small cell lung</w:t>
      </w:r>
      <w:r w:rsidR="004A4E0A">
        <w:rPr>
          <w:lang w:eastAsia="ja-JP"/>
        </w:rPr>
        <w:t xml:space="preserve"> cancer (1 [0.9%]).</w:t>
      </w:r>
    </w:p>
    <w:p w:rsidR="000526AB" w:rsidRPr="000526AB" w:rsidRDefault="000526AB" w:rsidP="004A4E0A">
      <w:pPr>
        <w:rPr>
          <w:lang w:eastAsia="ja-JP"/>
        </w:rPr>
      </w:pPr>
      <w:r w:rsidRPr="000526AB">
        <w:rPr>
          <w:lang w:eastAsia="ja-JP"/>
        </w:rPr>
        <w:t>In GALILEO, the majority of subjects in the sham+VTE PRN group and the VTE2Q4+VTE group experienced at least 1 TEAE over the 76 weeks of the study (61/68 [89.7%]</w:t>
      </w:r>
      <w:r w:rsidR="0091044A">
        <w:rPr>
          <w:lang w:eastAsia="ja-JP"/>
        </w:rPr>
        <w:t xml:space="preserve"> versus </w:t>
      </w:r>
      <w:r w:rsidRPr="000526AB">
        <w:rPr>
          <w:lang w:eastAsia="ja-JP"/>
        </w:rPr>
        <w:t>91/104 [87.5%], respectively). The incidence of TEAEs leading to discontinuation of the study drug was higher in subjects in the sham+VTE PRN group than in the VTE2Q4+PRN group (7 [10.3%]</w:t>
      </w:r>
      <w:r w:rsidR="0091044A">
        <w:rPr>
          <w:lang w:eastAsia="ja-JP"/>
        </w:rPr>
        <w:t xml:space="preserve"> versus </w:t>
      </w:r>
      <w:r w:rsidRPr="000526AB">
        <w:rPr>
          <w:lang w:eastAsia="ja-JP"/>
        </w:rPr>
        <w:t>7 [6.7%], respectively). In the VTE2Q4+PRN group (v</w:t>
      </w:r>
      <w:r w:rsidR="00320FF0">
        <w:rPr>
          <w:lang w:eastAsia="ja-JP"/>
        </w:rPr>
        <w:t>ersu</w:t>
      </w:r>
      <w:r w:rsidRPr="000526AB">
        <w:rPr>
          <w:lang w:eastAsia="ja-JP"/>
        </w:rPr>
        <w:t xml:space="preserve">s sham+VTE PRN), the only TEAE occurring in more than 1 subject and leading to discontinuation of the study drug was iris </w:t>
      </w:r>
      <w:r w:rsidR="00ED3DEB">
        <w:rPr>
          <w:lang w:eastAsia="ja-JP"/>
        </w:rPr>
        <w:t>neovascularisation</w:t>
      </w:r>
      <w:r w:rsidRPr="000526AB">
        <w:rPr>
          <w:lang w:eastAsia="ja-JP"/>
        </w:rPr>
        <w:t xml:space="preserve"> (2 [1.9%]</w:t>
      </w:r>
      <w:r w:rsidR="0091044A">
        <w:rPr>
          <w:lang w:eastAsia="ja-JP"/>
        </w:rPr>
        <w:t xml:space="preserve"> versus </w:t>
      </w:r>
      <w:r w:rsidRPr="000526AB">
        <w:rPr>
          <w:lang w:eastAsia="ja-JP"/>
        </w:rPr>
        <w:t>0 [0%], respectively). In the sham+VTE PRN group (v</w:t>
      </w:r>
      <w:r w:rsidR="00320FF0">
        <w:rPr>
          <w:lang w:eastAsia="ja-JP"/>
        </w:rPr>
        <w:t>ersu</w:t>
      </w:r>
      <w:r w:rsidRPr="000526AB">
        <w:rPr>
          <w:lang w:eastAsia="ja-JP"/>
        </w:rPr>
        <w:t>s VTE2Q4+PRN), the three TEAEs leading to discontinuation of the study drug each occurring in more than 1 subject were macular oedema (2 [2.9%]</w:t>
      </w:r>
      <w:r w:rsidR="0091044A">
        <w:rPr>
          <w:lang w:eastAsia="ja-JP"/>
        </w:rPr>
        <w:t xml:space="preserve"> versus </w:t>
      </w:r>
      <w:r w:rsidRPr="000526AB">
        <w:rPr>
          <w:lang w:eastAsia="ja-JP"/>
        </w:rPr>
        <w:t xml:space="preserve">1 [1.0%]), retinal </w:t>
      </w:r>
      <w:r w:rsidR="00ED3DEB">
        <w:rPr>
          <w:lang w:eastAsia="ja-JP"/>
        </w:rPr>
        <w:t>neovascularisation</w:t>
      </w:r>
      <w:r w:rsidRPr="000526AB">
        <w:rPr>
          <w:lang w:eastAsia="ja-JP"/>
        </w:rPr>
        <w:t xml:space="preserve"> (3 [4.4%]</w:t>
      </w:r>
      <w:r w:rsidR="0091044A">
        <w:rPr>
          <w:lang w:eastAsia="ja-JP"/>
        </w:rPr>
        <w:t xml:space="preserve"> versus </w:t>
      </w:r>
      <w:r w:rsidRPr="000526AB">
        <w:rPr>
          <w:lang w:eastAsia="ja-JP"/>
        </w:rPr>
        <w:t>0 [1.0%]), and glaucoma (2 [2.9%]</w:t>
      </w:r>
      <w:r w:rsidR="00301349">
        <w:rPr>
          <w:lang w:eastAsia="ja-JP"/>
        </w:rPr>
        <w:t xml:space="preserve"> </w:t>
      </w:r>
      <w:r w:rsidR="0091044A">
        <w:rPr>
          <w:lang w:eastAsia="ja-JP"/>
        </w:rPr>
        <w:t xml:space="preserve">versus </w:t>
      </w:r>
      <w:r w:rsidRPr="000526AB">
        <w:rPr>
          <w:lang w:eastAsia="ja-JP"/>
        </w:rPr>
        <w:t xml:space="preserve">0 [0%]). The only </w:t>
      </w:r>
      <w:r w:rsidR="00D74B64">
        <w:rPr>
          <w:lang w:eastAsia="ja-JP"/>
        </w:rPr>
        <w:t xml:space="preserve">non-ocular </w:t>
      </w:r>
      <w:r w:rsidRPr="000526AB">
        <w:rPr>
          <w:lang w:eastAsia="ja-JP"/>
        </w:rPr>
        <w:t>TEAE leading to discontinuation of the study drug was hepatic function abnormal in 1 subject (1</w:t>
      </w:r>
      <w:r w:rsidR="004A4E0A">
        <w:rPr>
          <w:lang w:eastAsia="ja-JP"/>
        </w:rPr>
        <w:t>.0%) in the VTE2Q4+PRN group.</w:t>
      </w:r>
    </w:p>
    <w:p w:rsidR="000526AB" w:rsidRPr="000526AB" w:rsidRDefault="000526AB" w:rsidP="004A4E0A">
      <w:pPr>
        <w:rPr>
          <w:lang w:eastAsia="ja-JP"/>
        </w:rPr>
      </w:pPr>
      <w:r w:rsidRPr="000526AB">
        <w:rPr>
          <w:lang w:eastAsia="ja-JP"/>
        </w:rPr>
        <w:t>In COPERNICUS, the incidence of ocular TEAEs in the study eye was similar in subjects in both treatment groups over the 100 weeks of the study (63/74 [85.1%], sham+VTE PRN</w:t>
      </w:r>
      <w:r w:rsidR="0091044A">
        <w:rPr>
          <w:lang w:eastAsia="ja-JP"/>
        </w:rPr>
        <w:t xml:space="preserve"> versus </w:t>
      </w:r>
      <w:r w:rsidRPr="000526AB">
        <w:rPr>
          <w:lang w:eastAsia="ja-JP"/>
        </w:rPr>
        <w:t xml:space="preserve">100/114 [87.7%], VTE2Q4+PRN]). Ocular TEAEs occurring in </w:t>
      </w:r>
      <w:r w:rsidR="00320FF0">
        <w:rPr>
          <w:lang w:eastAsia="ja-JP"/>
        </w:rPr>
        <w:t>≥</w:t>
      </w:r>
      <w:r w:rsidRPr="000526AB">
        <w:rPr>
          <w:lang w:eastAsia="ja-JP"/>
        </w:rPr>
        <w:t xml:space="preserve"> 5% of subjects in the VTE2Q4+PRN group and in </w:t>
      </w:r>
      <w:r w:rsidR="00320FF0">
        <w:rPr>
          <w:lang w:eastAsia="ja-JP"/>
        </w:rPr>
        <w:t>≥</w:t>
      </w:r>
      <w:r w:rsidRPr="000526AB">
        <w:rPr>
          <w:lang w:eastAsia="ja-JP"/>
        </w:rPr>
        <w:t xml:space="preserve"> 2% more subjects than in the sham+VTE PRN group were: macular oedema (18.4%</w:t>
      </w:r>
      <w:r w:rsidR="0091044A">
        <w:rPr>
          <w:lang w:eastAsia="ja-JP"/>
        </w:rPr>
        <w:t xml:space="preserve"> versus </w:t>
      </w:r>
      <w:r w:rsidRPr="000526AB">
        <w:rPr>
          <w:lang w:eastAsia="ja-JP"/>
        </w:rPr>
        <w:t>4.1%); eye pain (18.4%</w:t>
      </w:r>
      <w:r w:rsidR="0091044A">
        <w:rPr>
          <w:lang w:eastAsia="ja-JP"/>
        </w:rPr>
        <w:t xml:space="preserve"> versus </w:t>
      </w:r>
      <w:r w:rsidRPr="000526AB">
        <w:rPr>
          <w:lang w:eastAsia="ja-JP"/>
        </w:rPr>
        <w:t>9.5%); retinal vascular disorder (12.3%</w:t>
      </w:r>
      <w:r w:rsidR="0091044A">
        <w:rPr>
          <w:lang w:eastAsia="ja-JP"/>
        </w:rPr>
        <w:t xml:space="preserve"> versus </w:t>
      </w:r>
      <w:r w:rsidRPr="000526AB">
        <w:rPr>
          <w:lang w:eastAsia="ja-JP"/>
        </w:rPr>
        <w:t>9.5%); cystoid macular oedema (13.2%</w:t>
      </w:r>
      <w:r w:rsidR="0091044A">
        <w:rPr>
          <w:lang w:eastAsia="ja-JP"/>
        </w:rPr>
        <w:t xml:space="preserve"> versus </w:t>
      </w:r>
      <w:r w:rsidRPr="000526AB">
        <w:rPr>
          <w:lang w:eastAsia="ja-JP"/>
        </w:rPr>
        <w:t>6.8%); optic disc vascular disorder (12.3%</w:t>
      </w:r>
      <w:r w:rsidR="0091044A">
        <w:rPr>
          <w:lang w:eastAsia="ja-JP"/>
        </w:rPr>
        <w:t xml:space="preserve"> versus </w:t>
      </w:r>
      <w:r w:rsidRPr="000526AB">
        <w:rPr>
          <w:lang w:eastAsia="ja-JP"/>
        </w:rPr>
        <w:t>8.1%); macular fibrosis (10.5%</w:t>
      </w:r>
      <w:r w:rsidR="0091044A">
        <w:rPr>
          <w:lang w:eastAsia="ja-JP"/>
        </w:rPr>
        <w:t xml:space="preserve"> versus </w:t>
      </w:r>
      <w:r w:rsidRPr="000526AB">
        <w:rPr>
          <w:lang w:eastAsia="ja-JP"/>
        </w:rPr>
        <w:t>8.1%); retinal exudates (11.4%</w:t>
      </w:r>
      <w:r w:rsidR="0091044A">
        <w:rPr>
          <w:lang w:eastAsia="ja-JP"/>
        </w:rPr>
        <w:t xml:space="preserve"> </w:t>
      </w:r>
      <w:r w:rsidR="0091044A">
        <w:rPr>
          <w:lang w:eastAsia="ja-JP"/>
        </w:rPr>
        <w:lastRenderedPageBreak/>
        <w:t xml:space="preserve">versus </w:t>
      </w:r>
      <w:r w:rsidRPr="000526AB">
        <w:rPr>
          <w:lang w:eastAsia="ja-JP"/>
        </w:rPr>
        <w:t>6.8%); eye irritation (7.9%</w:t>
      </w:r>
      <w:r w:rsidR="0091044A">
        <w:rPr>
          <w:lang w:eastAsia="ja-JP"/>
        </w:rPr>
        <w:t xml:space="preserve"> versus </w:t>
      </w:r>
      <w:r w:rsidRPr="000526AB">
        <w:rPr>
          <w:lang w:eastAsia="ja-JP"/>
        </w:rPr>
        <w:t>5.4%); vitreous floaters (7.9%</w:t>
      </w:r>
      <w:r w:rsidR="0091044A">
        <w:rPr>
          <w:lang w:eastAsia="ja-JP"/>
        </w:rPr>
        <w:t xml:space="preserve"> versus </w:t>
      </w:r>
      <w:r w:rsidRPr="000526AB">
        <w:rPr>
          <w:lang w:eastAsia="ja-JP"/>
        </w:rPr>
        <w:t>5.4%); cataract (7.0%</w:t>
      </w:r>
      <w:r w:rsidR="0091044A">
        <w:rPr>
          <w:lang w:eastAsia="ja-JP"/>
        </w:rPr>
        <w:t xml:space="preserve"> versus </w:t>
      </w:r>
      <w:r w:rsidRPr="000526AB">
        <w:rPr>
          <w:lang w:eastAsia="ja-JP"/>
        </w:rPr>
        <w:t>4.1%); maculopathy (6.1%</w:t>
      </w:r>
      <w:r w:rsidR="0091044A">
        <w:rPr>
          <w:lang w:eastAsia="ja-JP"/>
        </w:rPr>
        <w:t xml:space="preserve"> versus </w:t>
      </w:r>
      <w:r w:rsidRPr="000526AB">
        <w:rPr>
          <w:lang w:eastAsia="ja-JP"/>
        </w:rPr>
        <w:t>2.7%); and ocular hyperaemia (5.3%</w:t>
      </w:r>
      <w:r w:rsidR="0091044A">
        <w:rPr>
          <w:lang w:eastAsia="ja-JP"/>
        </w:rPr>
        <w:t xml:space="preserve"> versus </w:t>
      </w:r>
      <w:r w:rsidRPr="000526AB">
        <w:rPr>
          <w:lang w:eastAsia="ja-JP"/>
        </w:rPr>
        <w:t>0%). Of particular note was the increased incidence of macular oedema in subjects in the VTE2Q4+PRN group (21 [18.4%]) compared with the sham+VTE PRN group (3 [4.1%]) and the similar proportion of subjects with visual acuity reduced (20 [27.0%]</w:t>
      </w:r>
      <w:r w:rsidR="0091044A">
        <w:rPr>
          <w:lang w:eastAsia="ja-JP"/>
        </w:rPr>
        <w:t xml:space="preserve"> versus </w:t>
      </w:r>
      <w:r w:rsidRPr="000526AB">
        <w:rPr>
          <w:lang w:eastAsia="ja-JP"/>
        </w:rPr>
        <w:t xml:space="preserve">32 [28.1%], respectively). Cystoid macular oedema also occurred more frequently in subjects in the VTE2Q4+PRN group </w:t>
      </w:r>
      <w:r w:rsidR="004A4E0A">
        <w:rPr>
          <w:lang w:eastAsia="ja-JP"/>
        </w:rPr>
        <w:t>than in the sham+VTE PRN group.</w:t>
      </w:r>
    </w:p>
    <w:p w:rsidR="000526AB" w:rsidRPr="000526AB" w:rsidRDefault="000526AB" w:rsidP="004A4E0A">
      <w:pPr>
        <w:rPr>
          <w:lang w:eastAsia="ja-JP"/>
        </w:rPr>
      </w:pPr>
      <w:r w:rsidRPr="000526AB">
        <w:rPr>
          <w:lang w:eastAsia="ja-JP"/>
        </w:rPr>
        <w:t>In GALILEO, the incidence of ocular TEAEs in the study eye was similar in subjects in both treatment groups over the 76 weeks of the study (51/68 [75.0%], sham+VTE PRN</w:t>
      </w:r>
      <w:r w:rsidR="0091044A">
        <w:rPr>
          <w:lang w:eastAsia="ja-JP"/>
        </w:rPr>
        <w:t xml:space="preserve"> versus </w:t>
      </w:r>
      <w:r w:rsidRPr="000526AB">
        <w:rPr>
          <w:lang w:eastAsia="ja-JP"/>
        </w:rPr>
        <w:t xml:space="preserve">82/104 [78.8%], VTE2Q4+PRN]). Ocular TEAEs occurring in </w:t>
      </w:r>
      <w:r w:rsidR="00320FF0">
        <w:rPr>
          <w:lang w:eastAsia="ja-JP"/>
        </w:rPr>
        <w:t>≥</w:t>
      </w:r>
      <w:r w:rsidRPr="000526AB">
        <w:rPr>
          <w:lang w:eastAsia="ja-JP"/>
        </w:rPr>
        <w:t xml:space="preserve"> 5% of subjects in the VTE2Q4+VTE group and in </w:t>
      </w:r>
      <w:r w:rsidR="00320FF0">
        <w:rPr>
          <w:lang w:eastAsia="ja-JP"/>
        </w:rPr>
        <w:t>≥</w:t>
      </w:r>
      <w:r w:rsidRPr="000526AB">
        <w:rPr>
          <w:lang w:eastAsia="ja-JP"/>
        </w:rPr>
        <w:t xml:space="preserve"> 2% more subjects than in the sham+VTE PRN group were: macular oedema (39.4%</w:t>
      </w:r>
      <w:r w:rsidR="0091044A">
        <w:rPr>
          <w:lang w:eastAsia="ja-JP"/>
        </w:rPr>
        <w:t xml:space="preserve"> versus </w:t>
      </w:r>
      <w:r w:rsidRPr="000526AB">
        <w:rPr>
          <w:lang w:eastAsia="ja-JP"/>
        </w:rPr>
        <w:t>25.0%); intraocular pressure increased (17.3%</w:t>
      </w:r>
      <w:r w:rsidR="0091044A">
        <w:rPr>
          <w:lang w:eastAsia="ja-JP"/>
        </w:rPr>
        <w:t xml:space="preserve"> versus </w:t>
      </w:r>
      <w:r w:rsidRPr="000526AB">
        <w:rPr>
          <w:lang w:eastAsia="ja-JP"/>
        </w:rPr>
        <w:t>5.9%); conjunctival haemorrhage (17.3%</w:t>
      </w:r>
      <w:r w:rsidR="0091044A">
        <w:rPr>
          <w:lang w:eastAsia="ja-JP"/>
        </w:rPr>
        <w:t xml:space="preserve"> versus </w:t>
      </w:r>
      <w:r w:rsidRPr="000526AB">
        <w:rPr>
          <w:lang w:eastAsia="ja-JP"/>
        </w:rPr>
        <w:t>7.4%); retinal haemorrhage (15.4%</w:t>
      </w:r>
      <w:r w:rsidR="0091044A">
        <w:rPr>
          <w:lang w:eastAsia="ja-JP"/>
        </w:rPr>
        <w:t xml:space="preserve"> versus </w:t>
      </w:r>
      <w:r w:rsidRPr="000526AB">
        <w:rPr>
          <w:lang w:eastAsia="ja-JP"/>
        </w:rPr>
        <w:t>11.8%); eye pain (14.4%</w:t>
      </w:r>
      <w:r w:rsidR="0091044A">
        <w:rPr>
          <w:lang w:eastAsia="ja-JP"/>
        </w:rPr>
        <w:t xml:space="preserve"> versus </w:t>
      </w:r>
      <w:r w:rsidRPr="000526AB">
        <w:rPr>
          <w:lang w:eastAsia="ja-JP"/>
        </w:rPr>
        <w:t>5.9%); ocular hyperaemia (8.7%</w:t>
      </w:r>
      <w:r w:rsidR="0091044A">
        <w:rPr>
          <w:lang w:eastAsia="ja-JP"/>
        </w:rPr>
        <w:t xml:space="preserve"> versus </w:t>
      </w:r>
      <w:r w:rsidRPr="000526AB">
        <w:rPr>
          <w:lang w:eastAsia="ja-JP"/>
        </w:rPr>
        <w:t>5.9%); vitreous detachment (6.7%</w:t>
      </w:r>
      <w:r w:rsidR="0091044A">
        <w:rPr>
          <w:lang w:eastAsia="ja-JP"/>
        </w:rPr>
        <w:t xml:space="preserve"> versus </w:t>
      </w:r>
      <w:r w:rsidRPr="000526AB">
        <w:rPr>
          <w:lang w:eastAsia="ja-JP"/>
        </w:rPr>
        <w:t>1.5%); vitreous floaters (6.7%</w:t>
      </w:r>
      <w:r w:rsidR="0091044A">
        <w:rPr>
          <w:lang w:eastAsia="ja-JP"/>
        </w:rPr>
        <w:t xml:space="preserve"> versus </w:t>
      </w:r>
      <w:r w:rsidRPr="000526AB">
        <w:rPr>
          <w:lang w:eastAsia="ja-JP"/>
        </w:rPr>
        <w:t xml:space="preserve">1.5%); iris </w:t>
      </w:r>
      <w:r w:rsidR="00ED3DEB">
        <w:rPr>
          <w:lang w:eastAsia="ja-JP"/>
        </w:rPr>
        <w:t>neovascularisation</w:t>
      </w:r>
      <w:r w:rsidRPr="000526AB">
        <w:rPr>
          <w:lang w:eastAsia="ja-JP"/>
        </w:rPr>
        <w:t xml:space="preserve"> (6.7%</w:t>
      </w:r>
      <w:r w:rsidR="0091044A">
        <w:rPr>
          <w:lang w:eastAsia="ja-JP"/>
        </w:rPr>
        <w:t xml:space="preserve"> versus </w:t>
      </w:r>
      <w:r w:rsidRPr="000526AB">
        <w:rPr>
          <w:lang w:eastAsia="ja-JP"/>
        </w:rPr>
        <w:t>0%); retinal vein occlusion (6.7%</w:t>
      </w:r>
      <w:r w:rsidR="0091044A">
        <w:rPr>
          <w:lang w:eastAsia="ja-JP"/>
        </w:rPr>
        <w:t xml:space="preserve"> versus </w:t>
      </w:r>
      <w:r w:rsidRPr="000526AB">
        <w:rPr>
          <w:lang w:eastAsia="ja-JP"/>
        </w:rPr>
        <w:t>0%); cystoid macular oedema (5.8%</w:t>
      </w:r>
      <w:r w:rsidR="0091044A">
        <w:rPr>
          <w:lang w:eastAsia="ja-JP"/>
        </w:rPr>
        <w:t xml:space="preserve"> versus </w:t>
      </w:r>
      <w:r w:rsidRPr="000526AB">
        <w:rPr>
          <w:lang w:eastAsia="ja-JP"/>
        </w:rPr>
        <w:t>1.5%); and injection site pain (5.8%</w:t>
      </w:r>
      <w:r w:rsidR="0091044A">
        <w:rPr>
          <w:lang w:eastAsia="ja-JP"/>
        </w:rPr>
        <w:t xml:space="preserve"> versus </w:t>
      </w:r>
      <w:r w:rsidRPr="000526AB">
        <w:rPr>
          <w:lang w:eastAsia="ja-JP"/>
        </w:rPr>
        <w:t>2.9%). Of particular note was the increased incidence of macular oedema in subjects in the VTE2Q4+PRN group (41 [39.4%]) compared with the sham+VTE group (17 [25.0%]) and the similar proportion of patients with visual acuity reduced in both treatment groups (15 [14.4%]%</w:t>
      </w:r>
      <w:r w:rsidR="0091044A">
        <w:rPr>
          <w:lang w:eastAsia="ja-JP"/>
        </w:rPr>
        <w:t xml:space="preserve"> versus </w:t>
      </w:r>
      <w:r w:rsidRPr="000526AB">
        <w:rPr>
          <w:lang w:eastAsia="ja-JP"/>
        </w:rPr>
        <w:t>9 [13.2%], respectively). Cystoid macular oedema occurred more frequently in subjects in the VTE2Q4+PRN group than in the sham+VTE PRN group, while vitreous haemorrhage occurred in a similar proportion of sub</w:t>
      </w:r>
      <w:r w:rsidR="004A4E0A">
        <w:rPr>
          <w:lang w:eastAsia="ja-JP"/>
        </w:rPr>
        <w:t>jects in both treatment groups.</w:t>
      </w:r>
    </w:p>
    <w:p w:rsidR="000526AB" w:rsidRPr="000526AB" w:rsidRDefault="000526AB" w:rsidP="004A4E0A">
      <w:pPr>
        <w:rPr>
          <w:lang w:eastAsia="ja-JP"/>
        </w:rPr>
      </w:pPr>
      <w:r w:rsidRPr="000526AB">
        <w:rPr>
          <w:lang w:eastAsia="ja-JP"/>
        </w:rPr>
        <w:t xml:space="preserve">In COPERNICUS, the incidence of injection-related TEAEs in the study eye over the 100 weeks of the study was higher in subjects in the sham+VTE PRN group (21/74 [28.4%]) than in the VTE2Q4+PRN group (45/114 [39.5%]). Injection-related TEAEs in the study eye occurring in </w:t>
      </w:r>
      <w:r w:rsidR="00320FF0">
        <w:rPr>
          <w:lang w:eastAsia="ja-JP"/>
        </w:rPr>
        <w:t>≥ </w:t>
      </w:r>
      <w:r w:rsidRPr="000526AB">
        <w:rPr>
          <w:lang w:eastAsia="ja-JP"/>
        </w:rPr>
        <w:t xml:space="preserve">2% of subjects in the VTE2Q4+PRN group and in </w:t>
      </w:r>
      <w:r w:rsidR="00320FF0">
        <w:rPr>
          <w:lang w:eastAsia="ja-JP"/>
        </w:rPr>
        <w:t>≥</w:t>
      </w:r>
      <w:r w:rsidRPr="000526AB">
        <w:rPr>
          <w:lang w:eastAsia="ja-JP"/>
        </w:rPr>
        <w:t xml:space="preserve"> 2% more subjects than in the sham+VTE PRN group were: eye pain (13.2%</w:t>
      </w:r>
      <w:r w:rsidR="0091044A">
        <w:rPr>
          <w:lang w:eastAsia="ja-JP"/>
        </w:rPr>
        <w:t xml:space="preserve"> versus </w:t>
      </w:r>
      <w:r w:rsidRPr="000526AB">
        <w:rPr>
          <w:lang w:eastAsia="ja-JP"/>
        </w:rPr>
        <w:t>5.4%); vitreous floaters (4.4%</w:t>
      </w:r>
      <w:r w:rsidR="0091044A">
        <w:rPr>
          <w:lang w:eastAsia="ja-JP"/>
        </w:rPr>
        <w:t xml:space="preserve"> versus </w:t>
      </w:r>
      <w:r w:rsidRPr="000526AB">
        <w:rPr>
          <w:lang w:eastAsia="ja-JP"/>
        </w:rPr>
        <w:t>1.4%); ocular hyperaemia (4.4%</w:t>
      </w:r>
      <w:r w:rsidR="0091044A">
        <w:rPr>
          <w:lang w:eastAsia="ja-JP"/>
        </w:rPr>
        <w:t xml:space="preserve"> versus </w:t>
      </w:r>
      <w:r w:rsidRPr="000526AB">
        <w:rPr>
          <w:lang w:eastAsia="ja-JP"/>
        </w:rPr>
        <w:t>0%); IOP increased (2.6%</w:t>
      </w:r>
      <w:r w:rsidR="0091044A">
        <w:rPr>
          <w:lang w:eastAsia="ja-JP"/>
        </w:rPr>
        <w:t xml:space="preserve"> versus </w:t>
      </w:r>
      <w:r w:rsidRPr="000526AB">
        <w:rPr>
          <w:lang w:eastAsia="ja-JP"/>
        </w:rPr>
        <w:t>0%); punctate keratitis (2.6%</w:t>
      </w:r>
      <w:r w:rsidR="0091044A">
        <w:rPr>
          <w:lang w:eastAsia="ja-JP"/>
        </w:rPr>
        <w:t xml:space="preserve"> versus </w:t>
      </w:r>
      <w:r w:rsidRPr="000526AB">
        <w:rPr>
          <w:lang w:eastAsia="ja-JP"/>
        </w:rPr>
        <w:t>0%); and vitreous detachment (2.6%</w:t>
      </w:r>
      <w:r w:rsidR="0091044A">
        <w:rPr>
          <w:lang w:eastAsia="ja-JP"/>
        </w:rPr>
        <w:t xml:space="preserve"> versus </w:t>
      </w:r>
      <w:r w:rsidRPr="000526AB">
        <w:rPr>
          <w:lang w:eastAsia="ja-JP"/>
        </w:rPr>
        <w:t>0%). All other injection-related TEAEs occurred in a similar proportion of subjects in both treatm</w:t>
      </w:r>
      <w:r w:rsidR="004A4E0A">
        <w:rPr>
          <w:lang w:eastAsia="ja-JP"/>
        </w:rPr>
        <w:t>ent groups.</w:t>
      </w:r>
    </w:p>
    <w:p w:rsidR="000526AB" w:rsidRPr="000526AB" w:rsidRDefault="000526AB" w:rsidP="004A4E0A">
      <w:pPr>
        <w:rPr>
          <w:lang w:eastAsia="ja-JP"/>
        </w:rPr>
      </w:pPr>
      <w:r w:rsidRPr="000526AB">
        <w:rPr>
          <w:lang w:eastAsia="ja-JP"/>
        </w:rPr>
        <w:t>In GALILEO, the incidence of injection-related TEAEs in the study eye over the 76 weeks of the study was higher in subjects in the VTE2Q4+PRN group (44/104 [42.3%]) than in the sham+VTE group (27/68 [39.7%]). Injection</w:t>
      </w:r>
      <w:r w:rsidR="004D7873">
        <w:rPr>
          <w:lang w:eastAsia="ja-JP"/>
        </w:rPr>
        <w:t xml:space="preserve"> </w:t>
      </w:r>
      <w:r w:rsidRPr="000526AB">
        <w:rPr>
          <w:lang w:eastAsia="ja-JP"/>
        </w:rPr>
        <w:t xml:space="preserve">related TEAEs in the study eye occurring in </w:t>
      </w:r>
      <w:r w:rsidR="004D7873">
        <w:rPr>
          <w:lang w:eastAsia="ja-JP"/>
        </w:rPr>
        <w:t>≥</w:t>
      </w:r>
      <w:r w:rsidRPr="000526AB">
        <w:rPr>
          <w:lang w:eastAsia="ja-JP"/>
        </w:rPr>
        <w:t xml:space="preserve"> 2% of subjects in the VTE2Q4+PRN group and in ≥ 2% more subjects than in the sham+VTE PRN group were: conjunctival haemorrhage (17.3%</w:t>
      </w:r>
      <w:r w:rsidR="0091044A">
        <w:rPr>
          <w:lang w:eastAsia="ja-JP"/>
        </w:rPr>
        <w:t xml:space="preserve"> versus </w:t>
      </w:r>
      <w:r w:rsidRPr="000526AB">
        <w:rPr>
          <w:lang w:eastAsia="ja-JP"/>
        </w:rPr>
        <w:t>7.4%); eye pain (13.5%</w:t>
      </w:r>
      <w:r w:rsidR="0091044A">
        <w:rPr>
          <w:lang w:eastAsia="ja-JP"/>
        </w:rPr>
        <w:t xml:space="preserve"> versus </w:t>
      </w:r>
      <w:r w:rsidRPr="000526AB">
        <w:rPr>
          <w:lang w:eastAsia="ja-JP"/>
        </w:rPr>
        <w:t>5.9%); IOP increased (12.5%</w:t>
      </w:r>
      <w:r w:rsidR="0091044A">
        <w:rPr>
          <w:lang w:eastAsia="ja-JP"/>
        </w:rPr>
        <w:t xml:space="preserve"> versus </w:t>
      </w:r>
      <w:r w:rsidRPr="000526AB">
        <w:rPr>
          <w:lang w:eastAsia="ja-JP"/>
        </w:rPr>
        <w:t>4.4%); foreign body sensation in eyes (6.7%</w:t>
      </w:r>
      <w:r w:rsidR="0091044A">
        <w:rPr>
          <w:lang w:eastAsia="ja-JP"/>
        </w:rPr>
        <w:t xml:space="preserve"> versus </w:t>
      </w:r>
      <w:r w:rsidRPr="000526AB">
        <w:rPr>
          <w:lang w:eastAsia="ja-JP"/>
        </w:rPr>
        <w:t>4.4%); vitreous floaters (3.8%</w:t>
      </w:r>
      <w:r w:rsidR="0091044A">
        <w:rPr>
          <w:lang w:eastAsia="ja-JP"/>
        </w:rPr>
        <w:t xml:space="preserve"> versus </w:t>
      </w:r>
      <w:r w:rsidRPr="000526AB">
        <w:rPr>
          <w:lang w:eastAsia="ja-JP"/>
        </w:rPr>
        <w:t>1.5%); and ocular hypertension (2.9%</w:t>
      </w:r>
      <w:r w:rsidR="0091044A">
        <w:rPr>
          <w:lang w:eastAsia="ja-JP"/>
        </w:rPr>
        <w:t xml:space="preserve"> versus </w:t>
      </w:r>
      <w:r w:rsidRPr="000526AB">
        <w:rPr>
          <w:lang w:eastAsia="ja-JP"/>
        </w:rPr>
        <w:t>0%). All other injection</w:t>
      </w:r>
      <w:r w:rsidR="004D7873">
        <w:rPr>
          <w:lang w:eastAsia="ja-JP"/>
        </w:rPr>
        <w:t xml:space="preserve"> </w:t>
      </w:r>
      <w:r w:rsidRPr="000526AB">
        <w:rPr>
          <w:lang w:eastAsia="ja-JP"/>
        </w:rPr>
        <w:t>related TEAEs occurred in a similar proportion of sub</w:t>
      </w:r>
      <w:r w:rsidR="004A4E0A">
        <w:rPr>
          <w:lang w:eastAsia="ja-JP"/>
        </w:rPr>
        <w:t>jects in both treatment groups.</w:t>
      </w:r>
    </w:p>
    <w:p w:rsidR="000526AB" w:rsidRPr="000526AB" w:rsidRDefault="000526AB" w:rsidP="004A4E0A">
      <w:pPr>
        <w:rPr>
          <w:lang w:eastAsia="ja-JP"/>
        </w:rPr>
      </w:pPr>
      <w:r w:rsidRPr="000526AB">
        <w:rPr>
          <w:lang w:eastAsia="ja-JP"/>
        </w:rPr>
        <w:t>In COPERNICUS, ocular TEAE of interest in the study eye over the 100 weeks of the study were reported in a similar proportion of subjects in the sham+VTE and VTE2Q4+PRN groups (39 [52.7%]</w:t>
      </w:r>
      <w:r w:rsidR="0091044A">
        <w:rPr>
          <w:lang w:eastAsia="ja-JP"/>
        </w:rPr>
        <w:t xml:space="preserve"> versus </w:t>
      </w:r>
      <w:r w:rsidRPr="000526AB">
        <w:rPr>
          <w:lang w:eastAsia="ja-JP"/>
        </w:rPr>
        <w:t>58 [50.9%], respectively). The most commonly reported ocular TEAEs of interest in the study eye (sham+VTE PRN</w:t>
      </w:r>
      <w:r w:rsidR="0091044A">
        <w:rPr>
          <w:lang w:eastAsia="ja-JP"/>
        </w:rPr>
        <w:t xml:space="preserve"> versus </w:t>
      </w:r>
      <w:r w:rsidRPr="000526AB">
        <w:rPr>
          <w:lang w:eastAsia="ja-JP"/>
        </w:rPr>
        <w:t xml:space="preserve">VTE2Q4+PRN) occurring in </w:t>
      </w:r>
      <w:r w:rsidR="004D7873">
        <w:rPr>
          <w:lang w:eastAsia="ja-JP"/>
        </w:rPr>
        <w:t>≥</w:t>
      </w:r>
      <w:r w:rsidRPr="000526AB">
        <w:rPr>
          <w:lang w:eastAsia="ja-JP"/>
        </w:rPr>
        <w:t xml:space="preserve"> 10% of all subjects were visual acuity reduced (13.3%</w:t>
      </w:r>
      <w:r w:rsidR="0091044A">
        <w:rPr>
          <w:lang w:eastAsia="ja-JP"/>
        </w:rPr>
        <w:t xml:space="preserve"> versus </w:t>
      </w:r>
      <w:r w:rsidRPr="000526AB">
        <w:rPr>
          <w:lang w:eastAsia="ja-JP"/>
        </w:rPr>
        <w:t>25.5%) and conjunctival haemorrhage (13.3%</w:t>
      </w:r>
      <w:r w:rsidR="0091044A">
        <w:rPr>
          <w:lang w:eastAsia="ja-JP"/>
        </w:rPr>
        <w:t xml:space="preserve"> versus </w:t>
      </w:r>
      <w:r w:rsidRPr="000526AB">
        <w:rPr>
          <w:lang w:eastAsia="ja-JP"/>
        </w:rPr>
        <w:t xml:space="preserve">10.0%). Ocular TEAEs of interest in the study eye occurring in </w:t>
      </w:r>
      <w:r w:rsidR="004D7873">
        <w:rPr>
          <w:lang w:eastAsia="ja-JP"/>
        </w:rPr>
        <w:t>≥</w:t>
      </w:r>
      <w:r w:rsidRPr="000526AB">
        <w:rPr>
          <w:lang w:eastAsia="ja-JP"/>
        </w:rPr>
        <w:t xml:space="preserve"> 2% of subjects in the VTE2Q4+PRN group and in </w:t>
      </w:r>
      <w:r w:rsidR="004D7873">
        <w:rPr>
          <w:lang w:eastAsia="ja-JP"/>
        </w:rPr>
        <w:t>≥</w:t>
      </w:r>
      <w:r w:rsidRPr="000526AB">
        <w:rPr>
          <w:lang w:eastAsia="ja-JP"/>
        </w:rPr>
        <w:t xml:space="preserve"> 2% more subjects than in the sham+VTE PRN group were: eye pain (13.2%</w:t>
      </w:r>
      <w:r w:rsidR="0091044A">
        <w:rPr>
          <w:lang w:eastAsia="ja-JP"/>
        </w:rPr>
        <w:t xml:space="preserve"> versus </w:t>
      </w:r>
      <w:r w:rsidRPr="000526AB">
        <w:rPr>
          <w:lang w:eastAsia="ja-JP"/>
        </w:rPr>
        <w:t>5.4%); vitreous floaters (4.4%</w:t>
      </w:r>
      <w:r w:rsidR="0091044A">
        <w:rPr>
          <w:lang w:eastAsia="ja-JP"/>
        </w:rPr>
        <w:t xml:space="preserve"> versus </w:t>
      </w:r>
      <w:r w:rsidRPr="000526AB">
        <w:rPr>
          <w:lang w:eastAsia="ja-JP"/>
        </w:rPr>
        <w:t>1.4%); and IOP increased (2.6%</w:t>
      </w:r>
      <w:r w:rsidR="0091044A">
        <w:rPr>
          <w:lang w:eastAsia="ja-JP"/>
        </w:rPr>
        <w:t xml:space="preserve"> versus </w:t>
      </w:r>
      <w:r w:rsidRPr="000526AB">
        <w:rPr>
          <w:lang w:eastAsia="ja-JP"/>
        </w:rPr>
        <w:t>0%). The overall incidence of subjects who experienced at least one ocular SAE of interest was low in both treatment groups (1 [1.4%], sham+VTE PRN</w:t>
      </w:r>
      <w:r w:rsidR="0091044A">
        <w:rPr>
          <w:lang w:eastAsia="ja-JP"/>
        </w:rPr>
        <w:t xml:space="preserve"> versus </w:t>
      </w:r>
      <w:r w:rsidRPr="000526AB">
        <w:rPr>
          <w:lang w:eastAsia="ja-JP"/>
        </w:rPr>
        <w:t>2 [1.8%], VTE2Q4+PRN). In the sham+VTE PRN group, the SAE was visual acuity reduced, and in the VTE2Q4+PRN group the 2 SAEs were visual acui</w:t>
      </w:r>
      <w:r w:rsidR="004A4E0A">
        <w:rPr>
          <w:lang w:eastAsia="ja-JP"/>
        </w:rPr>
        <w:t>ty reduced and endophthalmitis.</w:t>
      </w:r>
    </w:p>
    <w:p w:rsidR="000526AB" w:rsidRPr="000526AB" w:rsidRDefault="000526AB" w:rsidP="004A4E0A">
      <w:pPr>
        <w:rPr>
          <w:lang w:eastAsia="ja-JP"/>
        </w:rPr>
      </w:pPr>
      <w:r w:rsidRPr="000526AB">
        <w:rPr>
          <w:lang w:eastAsia="ja-JP"/>
        </w:rPr>
        <w:lastRenderedPageBreak/>
        <w:t>In GALILEO, ocular TEAEs of interest in the study eye over the 76 weeks of the study were reported in a similar proportion of subjects in the VTE2Q4+PRN and sham+VTE PRN groups (45/104 [43.3%]</w:t>
      </w:r>
      <w:r w:rsidR="0091044A">
        <w:rPr>
          <w:lang w:eastAsia="ja-JP"/>
        </w:rPr>
        <w:t xml:space="preserve"> versus </w:t>
      </w:r>
      <w:r w:rsidRPr="000526AB">
        <w:rPr>
          <w:lang w:eastAsia="ja-JP"/>
        </w:rPr>
        <w:t>29/68 [42.6%], respectively). The most commonly reported ocular TEAEs of interest in the study eye (sham+VTE PRN</w:t>
      </w:r>
      <w:r w:rsidR="0091044A">
        <w:rPr>
          <w:lang w:eastAsia="ja-JP"/>
        </w:rPr>
        <w:t xml:space="preserve"> versus </w:t>
      </w:r>
      <w:r w:rsidRPr="000526AB">
        <w:rPr>
          <w:lang w:eastAsia="ja-JP"/>
        </w:rPr>
        <w:t xml:space="preserve">VTE2Q4+PRN) occurring in </w:t>
      </w:r>
      <w:r w:rsidR="004D7873">
        <w:rPr>
          <w:lang w:eastAsia="ja-JP"/>
        </w:rPr>
        <w:t>≥</w:t>
      </w:r>
      <w:r w:rsidRPr="000526AB">
        <w:rPr>
          <w:lang w:eastAsia="ja-JP"/>
        </w:rPr>
        <w:t xml:space="preserve"> 10% of all subjects were: conjunctival haemorrhage (4.4%</w:t>
      </w:r>
      <w:r w:rsidR="0091044A">
        <w:rPr>
          <w:lang w:eastAsia="ja-JP"/>
        </w:rPr>
        <w:t xml:space="preserve"> versus </w:t>
      </w:r>
      <w:r w:rsidRPr="000526AB">
        <w:rPr>
          <w:lang w:eastAsia="ja-JP"/>
        </w:rPr>
        <w:t>16.3%); eye pain (5.9%</w:t>
      </w:r>
      <w:r w:rsidR="0091044A">
        <w:rPr>
          <w:lang w:eastAsia="ja-JP"/>
        </w:rPr>
        <w:t xml:space="preserve"> versus </w:t>
      </w:r>
      <w:r w:rsidRPr="000526AB">
        <w:rPr>
          <w:lang w:eastAsia="ja-JP"/>
        </w:rPr>
        <w:t>13.5%); and visual acuity reduced (13.2%</w:t>
      </w:r>
      <w:r w:rsidR="0091044A">
        <w:rPr>
          <w:lang w:eastAsia="ja-JP"/>
        </w:rPr>
        <w:t xml:space="preserve"> versus </w:t>
      </w:r>
      <w:r w:rsidRPr="000526AB">
        <w:rPr>
          <w:lang w:eastAsia="ja-JP"/>
        </w:rPr>
        <w:t xml:space="preserve">14.4%). Ocular TEAEs of interest in the study eye reported in </w:t>
      </w:r>
      <w:r w:rsidR="004D7873">
        <w:rPr>
          <w:lang w:eastAsia="ja-JP"/>
        </w:rPr>
        <w:t>≥</w:t>
      </w:r>
      <w:r w:rsidRPr="000526AB">
        <w:rPr>
          <w:lang w:eastAsia="ja-JP"/>
        </w:rPr>
        <w:t xml:space="preserve"> 2% of subjects in the VTE2Q4+PRN group and in </w:t>
      </w:r>
      <w:r w:rsidR="004D7873">
        <w:rPr>
          <w:lang w:eastAsia="ja-JP"/>
        </w:rPr>
        <w:t>≥</w:t>
      </w:r>
      <w:r w:rsidRPr="000526AB">
        <w:rPr>
          <w:lang w:eastAsia="ja-JP"/>
        </w:rPr>
        <w:t xml:space="preserve"> 2% more subjects than in the sham+VTE PRN group were: conjunctival haemorrhage (16.3%</w:t>
      </w:r>
      <w:r w:rsidR="0091044A">
        <w:rPr>
          <w:lang w:eastAsia="ja-JP"/>
        </w:rPr>
        <w:t xml:space="preserve"> versus </w:t>
      </w:r>
      <w:r w:rsidRPr="000526AB">
        <w:rPr>
          <w:lang w:eastAsia="ja-JP"/>
        </w:rPr>
        <w:t>4.4%); eye pain (13.5%</w:t>
      </w:r>
      <w:r w:rsidR="0091044A">
        <w:rPr>
          <w:lang w:eastAsia="ja-JP"/>
        </w:rPr>
        <w:t xml:space="preserve"> versus </w:t>
      </w:r>
      <w:r w:rsidRPr="000526AB">
        <w:rPr>
          <w:lang w:eastAsia="ja-JP"/>
        </w:rPr>
        <w:t>5.9%); IOP increased (12.5%</w:t>
      </w:r>
      <w:r w:rsidR="0091044A">
        <w:rPr>
          <w:lang w:eastAsia="ja-JP"/>
        </w:rPr>
        <w:t xml:space="preserve"> versus </w:t>
      </w:r>
      <w:r w:rsidRPr="000526AB">
        <w:rPr>
          <w:lang w:eastAsia="ja-JP"/>
        </w:rPr>
        <w:t>4.4%); visual impairment (4.8%</w:t>
      </w:r>
      <w:r w:rsidR="0091044A">
        <w:rPr>
          <w:lang w:eastAsia="ja-JP"/>
        </w:rPr>
        <w:t xml:space="preserve"> versus </w:t>
      </w:r>
      <w:r w:rsidRPr="000526AB">
        <w:rPr>
          <w:lang w:eastAsia="ja-JP"/>
        </w:rPr>
        <w:t>0%); vitreous floaters (3.8%</w:t>
      </w:r>
      <w:r w:rsidR="0091044A">
        <w:rPr>
          <w:lang w:eastAsia="ja-JP"/>
        </w:rPr>
        <w:t xml:space="preserve"> versus </w:t>
      </w:r>
      <w:r w:rsidRPr="000526AB">
        <w:rPr>
          <w:lang w:eastAsia="ja-JP"/>
        </w:rPr>
        <w:t>1.5%); and ocular hypertension (2.9%</w:t>
      </w:r>
      <w:r w:rsidR="0091044A">
        <w:rPr>
          <w:lang w:eastAsia="ja-JP"/>
        </w:rPr>
        <w:t xml:space="preserve"> versus </w:t>
      </w:r>
      <w:r w:rsidR="004A4E0A">
        <w:rPr>
          <w:lang w:eastAsia="ja-JP"/>
        </w:rPr>
        <w:t>0%).</w:t>
      </w:r>
    </w:p>
    <w:p w:rsidR="000526AB" w:rsidRPr="000526AB" w:rsidRDefault="000526AB" w:rsidP="004A4E0A">
      <w:pPr>
        <w:rPr>
          <w:lang w:eastAsia="ja-JP"/>
        </w:rPr>
      </w:pPr>
      <w:r w:rsidRPr="000526AB">
        <w:rPr>
          <w:lang w:eastAsia="ja-JP"/>
        </w:rPr>
        <w:t>In COPERNICUS, 4 subjects experienced ATE/APTC events (2 [2.7%], sham+VTE PRN; 2 [1.8%] VTE2Q4+PRN).</w:t>
      </w:r>
      <w:r w:rsidR="00301349">
        <w:rPr>
          <w:lang w:eastAsia="ja-JP"/>
        </w:rPr>
        <w:t xml:space="preserve"> </w:t>
      </w:r>
      <w:r w:rsidRPr="000526AB">
        <w:rPr>
          <w:lang w:eastAsia="ja-JP"/>
        </w:rPr>
        <w:t xml:space="preserve">Two (2) subjects in the sham+VTE group experienced vascular death (PTs of acute MI and arrhythmia), 1 subject in the VTE2Q4+PRN group experienced non-fatal MI (PTs of coronary artery stenosis, and MI), and 1 subject in the VTE2Q4+PRN group experienced non-fatal stroke (PTs of haemorrhagic cerebral infarction, and subarachnoid haemorrhage). In GALILEO, no subjects experienced ATE/APTC events </w:t>
      </w:r>
      <w:r w:rsidR="004A4E0A">
        <w:rPr>
          <w:lang w:eastAsia="ja-JP"/>
        </w:rPr>
        <w:t>over the 76 weeks of the study.</w:t>
      </w:r>
    </w:p>
    <w:p w:rsidR="000526AB" w:rsidRPr="000526AB" w:rsidRDefault="000526AB" w:rsidP="004A4E0A">
      <w:pPr>
        <w:rPr>
          <w:lang w:eastAsia="ja-JP"/>
        </w:rPr>
      </w:pPr>
      <w:r w:rsidRPr="000526AB">
        <w:rPr>
          <w:lang w:eastAsia="ja-JP"/>
        </w:rPr>
        <w:t>In COPERNICUS, the incidence of ocular SAEs from baseline to</w:t>
      </w:r>
      <w:r w:rsidR="00300BDB">
        <w:rPr>
          <w:lang w:eastAsia="ja-JP"/>
        </w:rPr>
        <w:t xml:space="preserve"> Week 1</w:t>
      </w:r>
      <w:r w:rsidRPr="000526AB">
        <w:rPr>
          <w:lang w:eastAsia="ja-JP"/>
        </w:rPr>
        <w:t>00 in the study eye was about 2</w:t>
      </w:r>
      <w:r w:rsidR="004D7873">
        <w:rPr>
          <w:lang w:eastAsia="ja-JP"/>
        </w:rPr>
        <w:t xml:space="preserve"> </w:t>
      </w:r>
      <w:r w:rsidRPr="000526AB">
        <w:rPr>
          <w:lang w:eastAsia="ja-JP"/>
        </w:rPr>
        <w:t>fold higher in the sham+VTE PRN group (12/74 [16.2%]) than in the VTE2Q4+PRN group (10/114 [8.8%]). The most commonly reported ocular SAE in the study eye in the VTE2Q4+PRN group was cataract (3.5% VTE2Q4+PRN</w:t>
      </w:r>
      <w:r w:rsidR="0091044A">
        <w:rPr>
          <w:lang w:eastAsia="ja-JP"/>
        </w:rPr>
        <w:t xml:space="preserve"> versus </w:t>
      </w:r>
      <w:r w:rsidRPr="000526AB">
        <w:rPr>
          <w:lang w:eastAsia="ja-JP"/>
        </w:rPr>
        <w:t xml:space="preserve">1.4% sham+VTE PRN). The only other ocular SAE in the study eye reported in </w:t>
      </w:r>
      <w:r w:rsidR="004D7873">
        <w:rPr>
          <w:lang w:eastAsia="ja-JP"/>
        </w:rPr>
        <w:t>≥</w:t>
      </w:r>
      <w:r w:rsidRPr="000526AB">
        <w:rPr>
          <w:lang w:eastAsia="ja-JP"/>
        </w:rPr>
        <w:t xml:space="preserve"> 1 % of subjects in the VTE2Q4+PRN group and more commonly than in the sham+VTE PRN group was cystoid macular oedema (2 [1.8%]</w:t>
      </w:r>
      <w:r w:rsidR="0091044A">
        <w:rPr>
          <w:lang w:eastAsia="ja-JP"/>
        </w:rPr>
        <w:t xml:space="preserve"> versus </w:t>
      </w:r>
      <w:r w:rsidR="004A4E0A">
        <w:rPr>
          <w:lang w:eastAsia="ja-JP"/>
        </w:rPr>
        <w:t>0 [0%]).</w:t>
      </w:r>
    </w:p>
    <w:p w:rsidR="000526AB" w:rsidRPr="000526AB" w:rsidRDefault="000526AB" w:rsidP="004A4E0A">
      <w:pPr>
        <w:rPr>
          <w:lang w:eastAsia="ja-JP"/>
        </w:rPr>
      </w:pPr>
      <w:r w:rsidRPr="000526AB">
        <w:rPr>
          <w:lang w:eastAsia="ja-JP"/>
        </w:rPr>
        <w:t>In GALILEO, the incidence of ocular SAEs from baseline to</w:t>
      </w:r>
      <w:r w:rsidR="00300BDB">
        <w:rPr>
          <w:lang w:eastAsia="ja-JP"/>
        </w:rPr>
        <w:t xml:space="preserve"> Week 7</w:t>
      </w:r>
      <w:r w:rsidRPr="000526AB">
        <w:rPr>
          <w:lang w:eastAsia="ja-JP"/>
        </w:rPr>
        <w:t>6 in the study eye was marginally higher in subjects in the VTE2Q4+PRN group than in the sham+VTE PRN group (11/104 [10.6%])</w:t>
      </w:r>
      <w:r w:rsidR="0091044A">
        <w:rPr>
          <w:lang w:eastAsia="ja-JP"/>
        </w:rPr>
        <w:t xml:space="preserve"> versus </w:t>
      </w:r>
      <w:r w:rsidRPr="000526AB">
        <w:rPr>
          <w:lang w:eastAsia="ja-JP"/>
        </w:rPr>
        <w:t>6/68 [8.8%], respectively). The only ocular SAEs occurring in at least 2 subjects in the VTE2Q4+PRN group (v</w:t>
      </w:r>
      <w:r w:rsidR="004D7873">
        <w:rPr>
          <w:lang w:eastAsia="ja-JP"/>
        </w:rPr>
        <w:t>ersu</w:t>
      </w:r>
      <w:r w:rsidRPr="000526AB">
        <w:rPr>
          <w:lang w:eastAsia="ja-JP"/>
        </w:rPr>
        <w:t>s sham+VTE PRN) were macular oedema (4 [3.8%]</w:t>
      </w:r>
      <w:r w:rsidR="0091044A">
        <w:rPr>
          <w:lang w:eastAsia="ja-JP"/>
        </w:rPr>
        <w:t xml:space="preserve"> versus </w:t>
      </w:r>
      <w:r w:rsidRPr="000526AB">
        <w:rPr>
          <w:lang w:eastAsia="ja-JP"/>
        </w:rPr>
        <w:t>2 [2.9%]) and visual acuity reduced (2 [1.9%]</w:t>
      </w:r>
      <w:r w:rsidR="0091044A">
        <w:rPr>
          <w:lang w:eastAsia="ja-JP"/>
        </w:rPr>
        <w:t xml:space="preserve"> versus </w:t>
      </w:r>
      <w:r w:rsidRPr="000526AB">
        <w:rPr>
          <w:lang w:eastAsia="ja-JP"/>
        </w:rPr>
        <w:t>1 [1.5%]). The only ocular SAEs occurring in at least 2 subjects in the sham+VTE PRN group (v</w:t>
      </w:r>
      <w:r w:rsidR="004D7873">
        <w:rPr>
          <w:lang w:eastAsia="ja-JP"/>
        </w:rPr>
        <w:t>ersu</w:t>
      </w:r>
      <w:r w:rsidRPr="000526AB">
        <w:rPr>
          <w:lang w:eastAsia="ja-JP"/>
        </w:rPr>
        <w:t>s VTE2Q4+PRN) were macular oedema (2 [2.9%]</w:t>
      </w:r>
      <w:r w:rsidR="0091044A">
        <w:rPr>
          <w:lang w:eastAsia="ja-JP"/>
        </w:rPr>
        <w:t xml:space="preserve"> versus </w:t>
      </w:r>
      <w:r w:rsidRPr="000526AB">
        <w:rPr>
          <w:lang w:eastAsia="ja-JP"/>
        </w:rPr>
        <w:t>4 [3.8%]) and glaucoma (2 [2.9%]</w:t>
      </w:r>
      <w:r w:rsidR="0091044A">
        <w:rPr>
          <w:lang w:eastAsia="ja-JP"/>
        </w:rPr>
        <w:t xml:space="preserve"> versus </w:t>
      </w:r>
      <w:r w:rsidR="004A4E0A">
        <w:rPr>
          <w:lang w:eastAsia="ja-JP"/>
        </w:rPr>
        <w:t>0 [0%]).</w:t>
      </w:r>
    </w:p>
    <w:p w:rsidR="000526AB" w:rsidRPr="000526AB" w:rsidRDefault="000526AB" w:rsidP="004A4E0A">
      <w:pPr>
        <w:rPr>
          <w:lang w:eastAsia="ja-JP"/>
        </w:rPr>
      </w:pPr>
      <w:r w:rsidRPr="000526AB">
        <w:rPr>
          <w:lang w:eastAsia="ja-JP"/>
        </w:rPr>
        <w:t xml:space="preserve">In COPERNICUS, the incidence of </w:t>
      </w:r>
      <w:r w:rsidR="00D74B64">
        <w:rPr>
          <w:lang w:eastAsia="ja-JP"/>
        </w:rPr>
        <w:t xml:space="preserve">non-ocular </w:t>
      </w:r>
      <w:r w:rsidRPr="000526AB">
        <w:rPr>
          <w:lang w:eastAsia="ja-JP"/>
        </w:rPr>
        <w:t>TEAEs from baseline to</w:t>
      </w:r>
      <w:r w:rsidR="00300BDB">
        <w:rPr>
          <w:lang w:eastAsia="ja-JP"/>
        </w:rPr>
        <w:t xml:space="preserve"> Week 1</w:t>
      </w:r>
      <w:r w:rsidRPr="000526AB">
        <w:rPr>
          <w:lang w:eastAsia="ja-JP"/>
        </w:rPr>
        <w:t>00 was similar in subjects in the sham+VTE PRN and VTR2Q4+PRN groups (60 [81.1%]</w:t>
      </w:r>
      <w:r w:rsidR="0091044A">
        <w:rPr>
          <w:lang w:eastAsia="ja-JP"/>
        </w:rPr>
        <w:t xml:space="preserve"> versus </w:t>
      </w:r>
      <w:r w:rsidRPr="000526AB">
        <w:rPr>
          <w:lang w:eastAsia="ja-JP"/>
        </w:rPr>
        <w:t xml:space="preserve">88 [77.2%]). The only </w:t>
      </w:r>
      <w:r w:rsidR="00D74B64">
        <w:rPr>
          <w:lang w:eastAsia="ja-JP"/>
        </w:rPr>
        <w:t xml:space="preserve">non-ocular </w:t>
      </w:r>
      <w:r w:rsidRPr="000526AB">
        <w:rPr>
          <w:lang w:eastAsia="ja-JP"/>
        </w:rPr>
        <w:t xml:space="preserve">TEAE reported in </w:t>
      </w:r>
      <w:r w:rsidR="004D7873">
        <w:rPr>
          <w:lang w:eastAsia="ja-JP"/>
        </w:rPr>
        <w:t>≥</w:t>
      </w:r>
      <w:r w:rsidRPr="000526AB">
        <w:rPr>
          <w:lang w:eastAsia="ja-JP"/>
        </w:rPr>
        <w:t xml:space="preserve"> 10% of subjects in the VTE2Q4+PRN group was hypertension (19.3%, VTE2Q4+PRN</w:t>
      </w:r>
      <w:r w:rsidR="0091044A">
        <w:rPr>
          <w:lang w:eastAsia="ja-JP"/>
        </w:rPr>
        <w:t xml:space="preserve"> versus </w:t>
      </w:r>
      <w:r w:rsidRPr="000526AB">
        <w:rPr>
          <w:lang w:eastAsia="ja-JP"/>
        </w:rPr>
        <w:t xml:space="preserve">16.2%, sham+VTE PRN). </w:t>
      </w:r>
      <w:r w:rsidR="00D74B64">
        <w:rPr>
          <w:lang w:eastAsia="ja-JP"/>
        </w:rPr>
        <w:t xml:space="preserve">Non-ocular </w:t>
      </w:r>
      <w:r w:rsidRPr="000526AB">
        <w:rPr>
          <w:lang w:eastAsia="ja-JP"/>
        </w:rPr>
        <w:t xml:space="preserve">TEAEs reported in </w:t>
      </w:r>
      <w:r w:rsidR="004D7873">
        <w:rPr>
          <w:lang w:eastAsia="ja-JP"/>
        </w:rPr>
        <w:t>≥</w:t>
      </w:r>
      <w:r w:rsidRPr="000526AB">
        <w:rPr>
          <w:lang w:eastAsia="ja-JP"/>
        </w:rPr>
        <w:t xml:space="preserve"> 5% of subjects in the VTE2Q4+PRN group and in </w:t>
      </w:r>
      <w:r w:rsidR="004D7873">
        <w:rPr>
          <w:lang w:eastAsia="ja-JP"/>
        </w:rPr>
        <w:t>≥</w:t>
      </w:r>
      <w:r w:rsidRPr="000526AB">
        <w:rPr>
          <w:lang w:eastAsia="ja-JP"/>
        </w:rPr>
        <w:t xml:space="preserve"> 2% more subjects than in the sham+VTE PRN group were: hypertension (19.3%</w:t>
      </w:r>
      <w:r w:rsidR="0091044A">
        <w:rPr>
          <w:lang w:eastAsia="ja-JP"/>
        </w:rPr>
        <w:t xml:space="preserve"> versus </w:t>
      </w:r>
      <w:r w:rsidRPr="000526AB">
        <w:rPr>
          <w:lang w:eastAsia="ja-JP"/>
        </w:rPr>
        <w:t>16.2%); nasopharyngitis (8.8%</w:t>
      </w:r>
      <w:r w:rsidR="0091044A">
        <w:rPr>
          <w:lang w:eastAsia="ja-JP"/>
        </w:rPr>
        <w:t xml:space="preserve"> versus </w:t>
      </w:r>
      <w:r w:rsidRPr="000526AB">
        <w:rPr>
          <w:lang w:eastAsia="ja-JP"/>
        </w:rPr>
        <w:t>6.8%); upper respiratory tract infection (8.8%</w:t>
      </w:r>
      <w:r w:rsidR="0091044A">
        <w:rPr>
          <w:lang w:eastAsia="ja-JP"/>
        </w:rPr>
        <w:t xml:space="preserve"> versus </w:t>
      </w:r>
      <w:r w:rsidRPr="000526AB">
        <w:rPr>
          <w:lang w:eastAsia="ja-JP"/>
        </w:rPr>
        <w:t>5.4%); influenza (7.9%</w:t>
      </w:r>
      <w:r w:rsidR="0091044A">
        <w:rPr>
          <w:lang w:eastAsia="ja-JP"/>
        </w:rPr>
        <w:t xml:space="preserve"> versus </w:t>
      </w:r>
      <w:r w:rsidRPr="000526AB">
        <w:rPr>
          <w:lang w:eastAsia="ja-JP"/>
        </w:rPr>
        <w:t>5.4%); bronchitis (6.1%</w:t>
      </w:r>
      <w:r w:rsidR="0091044A">
        <w:rPr>
          <w:lang w:eastAsia="ja-JP"/>
        </w:rPr>
        <w:t xml:space="preserve"> versus </w:t>
      </w:r>
      <w:r w:rsidRPr="000526AB">
        <w:rPr>
          <w:lang w:eastAsia="ja-JP"/>
        </w:rPr>
        <w:t>4.1%); sinusitis (6.1%</w:t>
      </w:r>
      <w:r w:rsidR="0091044A">
        <w:rPr>
          <w:lang w:eastAsia="ja-JP"/>
        </w:rPr>
        <w:t xml:space="preserve"> versus </w:t>
      </w:r>
      <w:r w:rsidRPr="000526AB">
        <w:rPr>
          <w:lang w:eastAsia="ja-JP"/>
        </w:rPr>
        <w:t>4.1%); urinary tract infection (6.1%</w:t>
      </w:r>
      <w:r w:rsidR="0091044A">
        <w:rPr>
          <w:lang w:eastAsia="ja-JP"/>
        </w:rPr>
        <w:t xml:space="preserve"> versus </w:t>
      </w:r>
      <w:r w:rsidRPr="000526AB">
        <w:rPr>
          <w:lang w:eastAsia="ja-JP"/>
        </w:rPr>
        <w:t>4.1%); and anaemia (5.3%</w:t>
      </w:r>
      <w:r w:rsidR="0091044A">
        <w:rPr>
          <w:lang w:eastAsia="ja-JP"/>
        </w:rPr>
        <w:t xml:space="preserve"> versus </w:t>
      </w:r>
      <w:r w:rsidR="004A4E0A">
        <w:rPr>
          <w:lang w:eastAsia="ja-JP"/>
        </w:rPr>
        <w:t>2.7%).</w:t>
      </w:r>
    </w:p>
    <w:p w:rsidR="000526AB" w:rsidRPr="000526AB" w:rsidRDefault="000526AB" w:rsidP="004A4E0A">
      <w:pPr>
        <w:rPr>
          <w:lang w:eastAsia="ja-JP"/>
        </w:rPr>
      </w:pPr>
      <w:r w:rsidRPr="000526AB">
        <w:rPr>
          <w:lang w:eastAsia="ja-JP"/>
        </w:rPr>
        <w:t xml:space="preserve">In GALILEO, the incidence of </w:t>
      </w:r>
      <w:r w:rsidR="00D74B64">
        <w:rPr>
          <w:lang w:eastAsia="ja-JP"/>
        </w:rPr>
        <w:t xml:space="preserve">non-ocular </w:t>
      </w:r>
      <w:r w:rsidRPr="000526AB">
        <w:rPr>
          <w:lang w:eastAsia="ja-JP"/>
        </w:rPr>
        <w:t>TEAEs from baseline to</w:t>
      </w:r>
      <w:r w:rsidR="00300BDB">
        <w:rPr>
          <w:lang w:eastAsia="ja-JP"/>
        </w:rPr>
        <w:t xml:space="preserve"> Week 7</w:t>
      </w:r>
      <w:r w:rsidRPr="000526AB">
        <w:rPr>
          <w:lang w:eastAsia="ja-JP"/>
        </w:rPr>
        <w:t>6 was higher in subjects in the sham+VTE PRN group than in the VTE2Q4+PRN group (50/68 [73.5%]</w:t>
      </w:r>
      <w:r w:rsidR="0091044A">
        <w:rPr>
          <w:lang w:eastAsia="ja-JP"/>
        </w:rPr>
        <w:t xml:space="preserve"> versus </w:t>
      </w:r>
      <w:r w:rsidRPr="000526AB">
        <w:rPr>
          <w:lang w:eastAsia="ja-JP"/>
        </w:rPr>
        <w:t xml:space="preserve">71/104 [68.3%], respectively). </w:t>
      </w:r>
      <w:r w:rsidR="00D74B64">
        <w:rPr>
          <w:lang w:eastAsia="ja-JP"/>
        </w:rPr>
        <w:t xml:space="preserve">Non-ocular </w:t>
      </w:r>
      <w:r w:rsidRPr="000526AB">
        <w:rPr>
          <w:lang w:eastAsia="ja-JP"/>
        </w:rPr>
        <w:t xml:space="preserve">TEAEs occurring in </w:t>
      </w:r>
      <w:r w:rsidR="004D7873">
        <w:rPr>
          <w:lang w:eastAsia="ja-JP"/>
        </w:rPr>
        <w:t>≥</w:t>
      </w:r>
      <w:r w:rsidRPr="000526AB">
        <w:rPr>
          <w:lang w:eastAsia="ja-JP"/>
        </w:rPr>
        <w:t xml:space="preserve"> 10% of subjects in either the VTE2Q4+PRN group or sham+VTE group were (respectively) nasopharyngitis (15.4%</w:t>
      </w:r>
      <w:r w:rsidR="0091044A">
        <w:rPr>
          <w:lang w:eastAsia="ja-JP"/>
        </w:rPr>
        <w:t xml:space="preserve"> versus </w:t>
      </w:r>
      <w:r w:rsidRPr="000526AB">
        <w:rPr>
          <w:lang w:eastAsia="ja-JP"/>
        </w:rPr>
        <w:t>25.0%) and hypertension (9.3%</w:t>
      </w:r>
      <w:r w:rsidR="0091044A">
        <w:rPr>
          <w:lang w:eastAsia="ja-JP"/>
        </w:rPr>
        <w:t xml:space="preserve"> versus </w:t>
      </w:r>
      <w:r w:rsidRPr="000526AB">
        <w:rPr>
          <w:lang w:eastAsia="ja-JP"/>
        </w:rPr>
        <w:t xml:space="preserve">10.3%). </w:t>
      </w:r>
      <w:r w:rsidR="00D74B64">
        <w:rPr>
          <w:lang w:eastAsia="ja-JP"/>
        </w:rPr>
        <w:t xml:space="preserve">Non-ocular </w:t>
      </w:r>
      <w:r w:rsidRPr="000526AB">
        <w:rPr>
          <w:lang w:eastAsia="ja-JP"/>
        </w:rPr>
        <w:t xml:space="preserve">TEAEs reported in </w:t>
      </w:r>
      <w:r w:rsidR="004D7873">
        <w:rPr>
          <w:lang w:eastAsia="ja-JP"/>
        </w:rPr>
        <w:t>≥</w:t>
      </w:r>
      <w:r w:rsidRPr="000526AB">
        <w:rPr>
          <w:lang w:eastAsia="ja-JP"/>
        </w:rPr>
        <w:t xml:space="preserve"> 5% of subjects in the VTE2Q4+PRN group and in </w:t>
      </w:r>
      <w:r w:rsidR="004D7873">
        <w:rPr>
          <w:lang w:eastAsia="ja-JP"/>
        </w:rPr>
        <w:t>≥</w:t>
      </w:r>
      <w:r w:rsidRPr="000526AB">
        <w:rPr>
          <w:lang w:eastAsia="ja-JP"/>
        </w:rPr>
        <w:t xml:space="preserve"> 2% more subjects than in the sham+VTE PRN group were influenza (7.7%</w:t>
      </w:r>
      <w:r w:rsidR="0091044A">
        <w:rPr>
          <w:lang w:eastAsia="ja-JP"/>
        </w:rPr>
        <w:t xml:space="preserve"> versus </w:t>
      </w:r>
      <w:r w:rsidRPr="000526AB">
        <w:rPr>
          <w:lang w:eastAsia="ja-JP"/>
        </w:rPr>
        <w:t>2.9%) and back pain (6.7%</w:t>
      </w:r>
      <w:r w:rsidR="0091044A">
        <w:rPr>
          <w:lang w:eastAsia="ja-JP"/>
        </w:rPr>
        <w:t xml:space="preserve"> versus </w:t>
      </w:r>
      <w:r w:rsidR="004A4E0A">
        <w:rPr>
          <w:lang w:eastAsia="ja-JP"/>
        </w:rPr>
        <w:t>4.4%).</w:t>
      </w:r>
    </w:p>
    <w:p w:rsidR="000526AB" w:rsidRPr="000526AB" w:rsidRDefault="000526AB" w:rsidP="004A4E0A">
      <w:pPr>
        <w:rPr>
          <w:lang w:eastAsia="ja-JP"/>
        </w:rPr>
      </w:pPr>
      <w:r w:rsidRPr="000526AB">
        <w:rPr>
          <w:lang w:eastAsia="ja-JP"/>
        </w:rPr>
        <w:t xml:space="preserve">In COPERNICUS, the incidence of </w:t>
      </w:r>
      <w:r w:rsidR="00D74B64">
        <w:rPr>
          <w:lang w:eastAsia="ja-JP"/>
        </w:rPr>
        <w:t xml:space="preserve">non-ocular </w:t>
      </w:r>
      <w:r w:rsidRPr="000526AB">
        <w:rPr>
          <w:lang w:eastAsia="ja-JP"/>
        </w:rPr>
        <w:t xml:space="preserve">SAEs was higher in subjects in the sham+VTE group (19 [25.7%]) than in the VTE2Q4+PRN group (24 [21.1%]).The most commonly reported </w:t>
      </w:r>
      <w:r w:rsidR="00D74B64">
        <w:rPr>
          <w:lang w:eastAsia="ja-JP"/>
        </w:rPr>
        <w:t xml:space="preserve">non-ocular </w:t>
      </w:r>
      <w:r w:rsidRPr="000526AB">
        <w:rPr>
          <w:lang w:eastAsia="ja-JP"/>
        </w:rPr>
        <w:t xml:space="preserve">SAEs reported in </w:t>
      </w:r>
      <w:r w:rsidR="004D7873">
        <w:rPr>
          <w:lang w:eastAsia="ja-JP"/>
        </w:rPr>
        <w:t>≥</w:t>
      </w:r>
      <w:r w:rsidRPr="000526AB">
        <w:rPr>
          <w:lang w:eastAsia="ja-JP"/>
        </w:rPr>
        <w:t xml:space="preserve"> 2 subjects in the VTE2Q4+PRN group (v</w:t>
      </w:r>
      <w:r w:rsidR="004D7873">
        <w:rPr>
          <w:lang w:eastAsia="ja-JP"/>
        </w:rPr>
        <w:t>ersu</w:t>
      </w:r>
      <w:r w:rsidRPr="000526AB">
        <w:rPr>
          <w:lang w:eastAsia="ja-JP"/>
        </w:rPr>
        <w:t>s the sham+VTE PRN group) were: inguinal hernia (2 [1.8%]</w:t>
      </w:r>
      <w:r w:rsidR="0091044A">
        <w:rPr>
          <w:lang w:eastAsia="ja-JP"/>
        </w:rPr>
        <w:t xml:space="preserve"> versus </w:t>
      </w:r>
      <w:r w:rsidRPr="000526AB">
        <w:rPr>
          <w:lang w:eastAsia="ja-JP"/>
        </w:rPr>
        <w:t>0 [0%]); urinary tract infection (2 [1.8%]</w:t>
      </w:r>
      <w:r w:rsidR="0091044A">
        <w:rPr>
          <w:lang w:eastAsia="ja-JP"/>
        </w:rPr>
        <w:t xml:space="preserve"> versus </w:t>
      </w:r>
      <w:r w:rsidRPr="000526AB">
        <w:rPr>
          <w:lang w:eastAsia="ja-JP"/>
        </w:rPr>
        <w:lastRenderedPageBreak/>
        <w:t>0 [0%]); and coronary artery stenosis (2 [1.8%]</w:t>
      </w:r>
      <w:r w:rsidR="0091044A">
        <w:rPr>
          <w:lang w:eastAsia="ja-JP"/>
        </w:rPr>
        <w:t xml:space="preserve"> versus </w:t>
      </w:r>
      <w:r w:rsidRPr="000526AB">
        <w:rPr>
          <w:lang w:eastAsia="ja-JP"/>
        </w:rPr>
        <w:t xml:space="preserve">0 [0%]). </w:t>
      </w:r>
      <w:r w:rsidR="00D74B64">
        <w:rPr>
          <w:lang w:eastAsia="ja-JP"/>
        </w:rPr>
        <w:t xml:space="preserve">Non-ocular </w:t>
      </w:r>
      <w:r w:rsidRPr="000526AB">
        <w:rPr>
          <w:lang w:eastAsia="ja-JP"/>
        </w:rPr>
        <w:t xml:space="preserve">SAEs reported in </w:t>
      </w:r>
      <w:r w:rsidR="004D7873">
        <w:rPr>
          <w:lang w:eastAsia="ja-JP"/>
        </w:rPr>
        <w:t>≥</w:t>
      </w:r>
      <w:r w:rsidRPr="000526AB">
        <w:rPr>
          <w:lang w:eastAsia="ja-JP"/>
        </w:rPr>
        <w:t xml:space="preserve"> 2 subjects in the sham+VTE PRN group (vs the VTE2Q4+PRN group): were pneumonia (2 [ 5.4%]</w:t>
      </w:r>
      <w:r w:rsidR="0091044A">
        <w:rPr>
          <w:lang w:eastAsia="ja-JP"/>
        </w:rPr>
        <w:t xml:space="preserve"> versus </w:t>
      </w:r>
      <w:r w:rsidRPr="000526AB">
        <w:rPr>
          <w:lang w:eastAsia="ja-JP"/>
        </w:rPr>
        <w:t>0 [0%]); pancreatitis (2 [2.7%]</w:t>
      </w:r>
      <w:r w:rsidR="0091044A">
        <w:rPr>
          <w:lang w:eastAsia="ja-JP"/>
        </w:rPr>
        <w:t xml:space="preserve"> versus </w:t>
      </w:r>
      <w:r w:rsidRPr="000526AB">
        <w:rPr>
          <w:lang w:eastAsia="ja-JP"/>
        </w:rPr>
        <w:t>0 [0%]); colon cancer (2 [2.7%]</w:t>
      </w:r>
      <w:r w:rsidR="0091044A">
        <w:rPr>
          <w:lang w:eastAsia="ja-JP"/>
        </w:rPr>
        <w:t xml:space="preserve"> versus </w:t>
      </w:r>
      <w:r w:rsidRPr="000526AB">
        <w:rPr>
          <w:lang w:eastAsia="ja-JP"/>
        </w:rPr>
        <w:t>0 [0%]); and renal failure acute (2 [2.7%]</w:t>
      </w:r>
      <w:r w:rsidR="0091044A">
        <w:rPr>
          <w:lang w:eastAsia="ja-JP"/>
        </w:rPr>
        <w:t xml:space="preserve"> versus </w:t>
      </w:r>
      <w:r w:rsidRPr="000526AB">
        <w:rPr>
          <w:lang w:eastAsia="ja-JP"/>
        </w:rPr>
        <w:t xml:space="preserve">1 [0.9%]). All other </w:t>
      </w:r>
      <w:r w:rsidR="00D74B64">
        <w:rPr>
          <w:lang w:eastAsia="ja-JP"/>
        </w:rPr>
        <w:t xml:space="preserve">non-ocular </w:t>
      </w:r>
      <w:r w:rsidRPr="000526AB">
        <w:rPr>
          <w:lang w:eastAsia="ja-JP"/>
        </w:rPr>
        <w:t>SAEs each occurred in no more than 1 subject in either treatment group.</w:t>
      </w:r>
    </w:p>
    <w:p w:rsidR="000526AB" w:rsidRPr="000526AB" w:rsidRDefault="000526AB" w:rsidP="004A4E0A">
      <w:pPr>
        <w:rPr>
          <w:lang w:eastAsia="ja-JP"/>
        </w:rPr>
      </w:pPr>
      <w:r w:rsidRPr="000526AB">
        <w:rPr>
          <w:lang w:eastAsia="ja-JP"/>
        </w:rPr>
        <w:t xml:space="preserve">In GALILEO, the incidence of </w:t>
      </w:r>
      <w:r w:rsidR="00D74B64">
        <w:rPr>
          <w:lang w:eastAsia="ja-JP"/>
        </w:rPr>
        <w:t xml:space="preserve">non-ocular </w:t>
      </w:r>
      <w:r w:rsidRPr="000526AB">
        <w:rPr>
          <w:lang w:eastAsia="ja-JP"/>
        </w:rPr>
        <w:t>SAEs from baseline to</w:t>
      </w:r>
      <w:r w:rsidR="00300BDB">
        <w:rPr>
          <w:lang w:eastAsia="ja-JP"/>
        </w:rPr>
        <w:t xml:space="preserve"> Week 7</w:t>
      </w:r>
      <w:r w:rsidRPr="000526AB">
        <w:rPr>
          <w:lang w:eastAsia="ja-JP"/>
        </w:rPr>
        <w:t xml:space="preserve">6 was higher in subjects in the sham+VTE group (10/68 [14.7%]) than in the VTE2Q4+PRN group (12/104 [11.5%]). There were no </w:t>
      </w:r>
      <w:r w:rsidR="00D74B64">
        <w:rPr>
          <w:lang w:eastAsia="ja-JP"/>
        </w:rPr>
        <w:t xml:space="preserve">non-ocular </w:t>
      </w:r>
      <w:r w:rsidRPr="000526AB">
        <w:rPr>
          <w:lang w:eastAsia="ja-JP"/>
        </w:rPr>
        <w:t xml:space="preserve">SAEs reported in more than 1 subject in the VTE2Q4+PRN group and the only </w:t>
      </w:r>
      <w:r w:rsidR="00D74B64">
        <w:rPr>
          <w:lang w:eastAsia="ja-JP"/>
        </w:rPr>
        <w:t xml:space="preserve">non-ocular </w:t>
      </w:r>
      <w:r w:rsidRPr="000526AB">
        <w:rPr>
          <w:lang w:eastAsia="ja-JP"/>
        </w:rPr>
        <w:t>SAE</w:t>
      </w:r>
      <w:r w:rsidR="00301349">
        <w:rPr>
          <w:lang w:eastAsia="ja-JP"/>
        </w:rPr>
        <w:t xml:space="preserve"> </w:t>
      </w:r>
      <w:r w:rsidRPr="000526AB">
        <w:rPr>
          <w:lang w:eastAsia="ja-JP"/>
        </w:rPr>
        <w:t>reported in more than 1 subject in the sham+VTE PR</w:t>
      </w:r>
      <w:r w:rsidR="004A4E0A">
        <w:rPr>
          <w:lang w:eastAsia="ja-JP"/>
        </w:rPr>
        <w:t>N group was syncope (2 [2.9%]).</w:t>
      </w:r>
    </w:p>
    <w:p w:rsidR="000526AB" w:rsidRPr="000526AB" w:rsidRDefault="000526AB" w:rsidP="004A4E0A">
      <w:pPr>
        <w:rPr>
          <w:lang w:eastAsia="ja-JP"/>
        </w:rPr>
      </w:pPr>
      <w:r w:rsidRPr="000526AB">
        <w:rPr>
          <w:lang w:eastAsia="ja-JP"/>
        </w:rPr>
        <w:t xml:space="preserve">In COPERNICUS, the overall proportion of subjects who experienced at least 1 </w:t>
      </w:r>
      <w:r w:rsidR="00D74B64">
        <w:rPr>
          <w:lang w:eastAsia="ja-JP"/>
        </w:rPr>
        <w:t xml:space="preserve">non-ocular </w:t>
      </w:r>
      <w:r w:rsidRPr="000526AB">
        <w:rPr>
          <w:lang w:eastAsia="ja-JP"/>
        </w:rPr>
        <w:t>TEAE of interest from baseline to</w:t>
      </w:r>
      <w:r w:rsidR="00300BDB">
        <w:rPr>
          <w:lang w:eastAsia="ja-JP"/>
        </w:rPr>
        <w:t xml:space="preserve"> Week 1</w:t>
      </w:r>
      <w:r w:rsidRPr="000526AB">
        <w:rPr>
          <w:lang w:eastAsia="ja-JP"/>
        </w:rPr>
        <w:t>00 was similar in the sham+VTE PRN and VTE2Q4 groups (50 [67.6%]</w:t>
      </w:r>
      <w:r w:rsidR="0091044A">
        <w:rPr>
          <w:lang w:eastAsia="ja-JP"/>
        </w:rPr>
        <w:t xml:space="preserve"> versus </w:t>
      </w:r>
      <w:r w:rsidRPr="000526AB">
        <w:rPr>
          <w:lang w:eastAsia="ja-JP"/>
        </w:rPr>
        <w:t>72 [63.2%], respectively). Hypertension was the most common (</w:t>
      </w:r>
      <w:r w:rsidR="004D7873">
        <w:rPr>
          <w:lang w:eastAsia="ja-JP"/>
        </w:rPr>
        <w:t>≥</w:t>
      </w:r>
      <w:r w:rsidRPr="000526AB">
        <w:rPr>
          <w:lang w:eastAsia="ja-JP"/>
        </w:rPr>
        <w:t xml:space="preserve"> 10% of all subjects) </w:t>
      </w:r>
      <w:r w:rsidR="00D74B64">
        <w:rPr>
          <w:lang w:eastAsia="ja-JP"/>
        </w:rPr>
        <w:t xml:space="preserve">non-ocular </w:t>
      </w:r>
      <w:r w:rsidRPr="000526AB">
        <w:rPr>
          <w:lang w:eastAsia="ja-JP"/>
        </w:rPr>
        <w:t xml:space="preserve">TEAE of interest, and occurred in 22 (19.3%) subjects in the VTE2Q4+PRN group and 12 (16.2%) subjects in the sham+VTE PRN group. No other </w:t>
      </w:r>
      <w:r w:rsidR="00D74B64">
        <w:rPr>
          <w:lang w:eastAsia="ja-JP"/>
        </w:rPr>
        <w:t xml:space="preserve">non-ocular </w:t>
      </w:r>
      <w:r w:rsidRPr="000526AB">
        <w:rPr>
          <w:lang w:eastAsia="ja-JP"/>
        </w:rPr>
        <w:t xml:space="preserve">TEAEs of interest were reported in </w:t>
      </w:r>
      <w:r w:rsidR="004D7873">
        <w:rPr>
          <w:lang w:eastAsia="ja-JP"/>
        </w:rPr>
        <w:t>≥</w:t>
      </w:r>
      <w:r w:rsidRPr="000526AB">
        <w:rPr>
          <w:lang w:eastAsia="ja-JP"/>
        </w:rPr>
        <w:t xml:space="preserve"> 10% of subjects in either treatment group. Hypertension was the only </w:t>
      </w:r>
      <w:r w:rsidR="00D74B64">
        <w:rPr>
          <w:lang w:eastAsia="ja-JP"/>
        </w:rPr>
        <w:t xml:space="preserve">non-ocular </w:t>
      </w:r>
      <w:r w:rsidRPr="000526AB">
        <w:rPr>
          <w:lang w:eastAsia="ja-JP"/>
        </w:rPr>
        <w:t xml:space="preserve">TEAEs of interest reported in </w:t>
      </w:r>
      <w:r w:rsidR="004D7873">
        <w:rPr>
          <w:lang w:eastAsia="ja-JP"/>
        </w:rPr>
        <w:t>≥</w:t>
      </w:r>
      <w:r w:rsidRPr="000526AB">
        <w:rPr>
          <w:lang w:eastAsia="ja-JP"/>
        </w:rPr>
        <w:t xml:space="preserve"> 2% more subjects in the VTE2Q4+PRN group </w:t>
      </w:r>
      <w:r w:rsidR="004A4E0A">
        <w:rPr>
          <w:lang w:eastAsia="ja-JP"/>
        </w:rPr>
        <w:t>than in the sham+VTE PRN group.</w:t>
      </w:r>
    </w:p>
    <w:p w:rsidR="000526AB" w:rsidRPr="000526AB" w:rsidRDefault="000526AB" w:rsidP="004A4E0A">
      <w:pPr>
        <w:rPr>
          <w:lang w:eastAsia="ja-JP"/>
        </w:rPr>
      </w:pPr>
      <w:r w:rsidRPr="000526AB">
        <w:rPr>
          <w:lang w:eastAsia="ja-JP"/>
        </w:rPr>
        <w:t xml:space="preserve">In GALILEO, the overall proportion of subjects who experienced at least 1 </w:t>
      </w:r>
      <w:r w:rsidR="00D74B64">
        <w:rPr>
          <w:lang w:eastAsia="ja-JP"/>
        </w:rPr>
        <w:t xml:space="preserve">non-ocular </w:t>
      </w:r>
      <w:r w:rsidRPr="000526AB">
        <w:rPr>
          <w:lang w:eastAsia="ja-JP"/>
        </w:rPr>
        <w:t>TEAE from baseline to</w:t>
      </w:r>
      <w:r w:rsidR="00300BDB">
        <w:rPr>
          <w:lang w:eastAsia="ja-JP"/>
        </w:rPr>
        <w:t xml:space="preserve"> Week 7</w:t>
      </w:r>
      <w:r w:rsidRPr="000526AB">
        <w:rPr>
          <w:lang w:eastAsia="ja-JP"/>
        </w:rPr>
        <w:t xml:space="preserve">6 was similar in the sham+VTE PRN group (8 [11.8%]) and the VTE2Q4+PRN group (13 [12.5%]). The only </w:t>
      </w:r>
      <w:r w:rsidR="00D74B64">
        <w:rPr>
          <w:lang w:eastAsia="ja-JP"/>
        </w:rPr>
        <w:t xml:space="preserve">non-ocular </w:t>
      </w:r>
      <w:r w:rsidRPr="000526AB">
        <w:rPr>
          <w:lang w:eastAsia="ja-JP"/>
        </w:rPr>
        <w:t xml:space="preserve">TEAE of interest occurring in </w:t>
      </w:r>
      <w:r w:rsidR="004D7873">
        <w:rPr>
          <w:lang w:eastAsia="ja-JP"/>
        </w:rPr>
        <w:t>≥</w:t>
      </w:r>
      <w:r w:rsidRPr="000526AB">
        <w:rPr>
          <w:lang w:eastAsia="ja-JP"/>
        </w:rPr>
        <w:t xml:space="preserve"> 10% of subjects in either treatment group was hypertension (7 [10.3%], sham+VTE PRN</w:t>
      </w:r>
      <w:r w:rsidR="0091044A">
        <w:rPr>
          <w:lang w:eastAsia="ja-JP"/>
        </w:rPr>
        <w:t xml:space="preserve"> versus </w:t>
      </w:r>
      <w:r w:rsidRPr="000526AB">
        <w:rPr>
          <w:lang w:eastAsia="ja-JP"/>
        </w:rPr>
        <w:t xml:space="preserve">10 [9.6%], VTE2Q4+PRN). No </w:t>
      </w:r>
      <w:r w:rsidR="00D74B64">
        <w:rPr>
          <w:lang w:eastAsia="ja-JP"/>
        </w:rPr>
        <w:t xml:space="preserve">non-ocular </w:t>
      </w:r>
      <w:r w:rsidRPr="000526AB">
        <w:rPr>
          <w:lang w:eastAsia="ja-JP"/>
        </w:rPr>
        <w:t xml:space="preserve">TEAEs of interest were reported in </w:t>
      </w:r>
      <w:r w:rsidR="004D7873">
        <w:rPr>
          <w:lang w:eastAsia="ja-JP"/>
        </w:rPr>
        <w:t>≥</w:t>
      </w:r>
      <w:r w:rsidRPr="000526AB">
        <w:rPr>
          <w:lang w:eastAsia="ja-JP"/>
        </w:rPr>
        <w:t xml:space="preserve"> 2% more subjects in the VTE2Q4+PRN group </w:t>
      </w:r>
      <w:r w:rsidR="004A4E0A">
        <w:rPr>
          <w:lang w:eastAsia="ja-JP"/>
        </w:rPr>
        <w:t>than in the sham+VTE PRN group.</w:t>
      </w:r>
    </w:p>
    <w:p w:rsidR="000526AB" w:rsidRPr="000526AB" w:rsidRDefault="000526AB" w:rsidP="004A4E0A">
      <w:pPr>
        <w:rPr>
          <w:lang w:eastAsia="ja-JP"/>
        </w:rPr>
      </w:pPr>
      <w:r w:rsidRPr="000526AB">
        <w:rPr>
          <w:lang w:eastAsia="ja-JP"/>
        </w:rPr>
        <w:t>In COPERNICUS, there were 4 deaths from the start of the study through</w:t>
      </w:r>
      <w:r w:rsidR="00300BDB">
        <w:rPr>
          <w:lang w:eastAsia="ja-JP"/>
        </w:rPr>
        <w:t xml:space="preserve"> Week 1</w:t>
      </w:r>
      <w:r w:rsidRPr="000526AB">
        <w:rPr>
          <w:lang w:eastAsia="ja-JP"/>
        </w:rPr>
        <w:t>00 and all occurre</w:t>
      </w:r>
      <w:r w:rsidR="004D7873">
        <w:rPr>
          <w:lang w:eastAsia="ja-JP"/>
        </w:rPr>
        <w:t xml:space="preserve">d in the sham+VTE PRN group (1 </w:t>
      </w:r>
      <w:r w:rsidRPr="000526AB">
        <w:rPr>
          <w:lang w:eastAsia="ja-JP"/>
        </w:rPr>
        <w:t>arrhythmia; 1 acute MI; 1 oesophageal adenocarcinoma stage IV; 1 pneumonia). In GALILEO, no deaths occurred through to</w:t>
      </w:r>
      <w:r w:rsidR="00300BDB">
        <w:rPr>
          <w:lang w:eastAsia="ja-JP"/>
        </w:rPr>
        <w:t xml:space="preserve"> Week 7</w:t>
      </w:r>
      <w:r w:rsidRPr="000526AB">
        <w:rPr>
          <w:lang w:eastAsia="ja-JP"/>
        </w:rPr>
        <w:t>6.</w:t>
      </w:r>
    </w:p>
    <w:p w:rsidR="000526AB" w:rsidRPr="000526AB" w:rsidRDefault="000526AB" w:rsidP="004A4E0A">
      <w:pPr>
        <w:rPr>
          <w:lang w:eastAsia="ja-JP"/>
        </w:rPr>
      </w:pPr>
      <w:r w:rsidRPr="000526AB">
        <w:rPr>
          <w:lang w:eastAsia="ja-JP"/>
        </w:rPr>
        <w:t>In COPERNICUS and GALILEO, no clinically significant changes in laboratory tests (haematology, clinical chemistry, urinalysis), vital signs or ECG findings (assessed in GALILEO only) occurred over the duration of the studies in subjects in the VTE2Q4+PRN or sham+VTE PRN groups. There were no notable clinically significant changes in liver or renal function tests associated with</w:t>
      </w:r>
      <w:r w:rsidR="004A4E0A">
        <w:rPr>
          <w:lang w:eastAsia="ja-JP"/>
        </w:rPr>
        <w:t xml:space="preserve"> VTE treatment in either study.</w:t>
      </w:r>
    </w:p>
    <w:p w:rsidR="000526AB" w:rsidRPr="000526AB" w:rsidRDefault="000526AB" w:rsidP="004A4E0A">
      <w:pPr>
        <w:rPr>
          <w:lang w:eastAsia="ja-JP"/>
        </w:rPr>
      </w:pPr>
      <w:r w:rsidRPr="000526AB">
        <w:rPr>
          <w:lang w:eastAsia="ja-JP"/>
        </w:rPr>
        <w:t>In COPERNICUS, the proportions of subjects with increases in IOP of 10, 21 or 35 mmHg from baseline through</w:t>
      </w:r>
      <w:r w:rsidR="00300BDB">
        <w:rPr>
          <w:lang w:eastAsia="ja-JP"/>
        </w:rPr>
        <w:t xml:space="preserve"> Week 1</w:t>
      </w:r>
      <w:r w:rsidRPr="000526AB">
        <w:rPr>
          <w:lang w:eastAsia="ja-JP"/>
        </w:rPr>
        <w:t xml:space="preserve">00 were higher in the sham+VTE PRN group than in the VTE2Q4 group: (a) </w:t>
      </w:r>
      <w:r w:rsidR="004D7873">
        <w:rPr>
          <w:lang w:eastAsia="ja-JP"/>
        </w:rPr>
        <w:t>≥</w:t>
      </w:r>
      <w:r w:rsidRPr="000526AB">
        <w:rPr>
          <w:lang w:eastAsia="ja-JP"/>
        </w:rPr>
        <w:t xml:space="preserve"> 10 mmHg from baseline to pre-dose, 13.5%</w:t>
      </w:r>
      <w:r w:rsidR="0091044A">
        <w:rPr>
          <w:lang w:eastAsia="ja-JP"/>
        </w:rPr>
        <w:t xml:space="preserve"> versus </w:t>
      </w:r>
      <w:r w:rsidRPr="000526AB">
        <w:rPr>
          <w:lang w:eastAsia="ja-JP"/>
        </w:rPr>
        <w:t xml:space="preserve">7.0%; (b) absolute value of </w:t>
      </w:r>
      <w:r w:rsidR="004D7873">
        <w:rPr>
          <w:lang w:eastAsia="ja-JP"/>
        </w:rPr>
        <w:t>≥</w:t>
      </w:r>
      <w:r w:rsidRPr="000526AB">
        <w:rPr>
          <w:lang w:eastAsia="ja-JP"/>
        </w:rPr>
        <w:t xml:space="preserve"> 21 mmHg pre-dose, 31.1%</w:t>
      </w:r>
      <w:r w:rsidR="0091044A">
        <w:rPr>
          <w:lang w:eastAsia="ja-JP"/>
        </w:rPr>
        <w:t xml:space="preserve"> versus </w:t>
      </w:r>
      <w:r w:rsidRPr="000526AB">
        <w:rPr>
          <w:lang w:eastAsia="ja-JP"/>
        </w:rPr>
        <w:t xml:space="preserve">26.3%; and (c) absolute value </w:t>
      </w:r>
      <w:r w:rsidR="004D7873">
        <w:rPr>
          <w:lang w:eastAsia="ja-JP"/>
        </w:rPr>
        <w:t>≥</w:t>
      </w:r>
      <w:r w:rsidRPr="000526AB">
        <w:rPr>
          <w:lang w:eastAsia="ja-JP"/>
        </w:rPr>
        <w:t xml:space="preserve"> 35 mmHg at any time, 6.8%</w:t>
      </w:r>
      <w:r w:rsidR="0091044A">
        <w:rPr>
          <w:lang w:eastAsia="ja-JP"/>
        </w:rPr>
        <w:t xml:space="preserve"> versus </w:t>
      </w:r>
      <w:r w:rsidRPr="000526AB">
        <w:rPr>
          <w:lang w:eastAsia="ja-JP"/>
        </w:rPr>
        <w:t>1.8%. In GALILEO, the proportions of subjects with increases in IOP of 10, 21 or 35 mmHg at least once from baseline through</w:t>
      </w:r>
      <w:r w:rsidR="00300BDB">
        <w:rPr>
          <w:lang w:eastAsia="ja-JP"/>
        </w:rPr>
        <w:t xml:space="preserve"> Week 7</w:t>
      </w:r>
      <w:r w:rsidRPr="000526AB">
        <w:rPr>
          <w:lang w:eastAsia="ja-JP"/>
        </w:rPr>
        <w:t>6</w:t>
      </w:r>
      <w:r w:rsidR="00301349">
        <w:rPr>
          <w:lang w:eastAsia="ja-JP"/>
        </w:rPr>
        <w:t xml:space="preserve"> </w:t>
      </w:r>
      <w:r w:rsidRPr="000526AB">
        <w:rPr>
          <w:lang w:eastAsia="ja-JP"/>
        </w:rPr>
        <w:t xml:space="preserve">were higher in the VTE2Q4+PRN group than in the sham+VTE PRN group: (a) </w:t>
      </w:r>
      <w:r w:rsidR="004D7873">
        <w:rPr>
          <w:lang w:eastAsia="ja-JP"/>
        </w:rPr>
        <w:t>≥</w:t>
      </w:r>
      <w:r w:rsidRPr="000526AB">
        <w:rPr>
          <w:lang w:eastAsia="ja-JP"/>
        </w:rPr>
        <w:t xml:space="preserve"> 10 mmHg from baseline to pre</w:t>
      </w:r>
      <w:r w:rsidR="004D7873">
        <w:rPr>
          <w:lang w:eastAsia="ja-JP"/>
        </w:rPr>
        <w:t xml:space="preserve"> </w:t>
      </w:r>
      <w:r w:rsidRPr="000526AB">
        <w:rPr>
          <w:lang w:eastAsia="ja-JP"/>
        </w:rPr>
        <w:t>dose, 9.6%</w:t>
      </w:r>
      <w:r w:rsidR="0091044A">
        <w:rPr>
          <w:lang w:eastAsia="ja-JP"/>
        </w:rPr>
        <w:t xml:space="preserve"> versus </w:t>
      </w:r>
      <w:r w:rsidRPr="000526AB">
        <w:rPr>
          <w:lang w:eastAsia="ja-JP"/>
        </w:rPr>
        <w:t xml:space="preserve">7.4%; (b) absolute value of </w:t>
      </w:r>
      <w:r w:rsidR="004D7873">
        <w:rPr>
          <w:lang w:eastAsia="ja-JP"/>
        </w:rPr>
        <w:t>≥</w:t>
      </w:r>
      <w:r w:rsidRPr="000526AB">
        <w:rPr>
          <w:lang w:eastAsia="ja-JP"/>
        </w:rPr>
        <w:t xml:space="preserve"> 21 mmHg pre-dose, 19.2%</w:t>
      </w:r>
      <w:r w:rsidR="0091044A">
        <w:rPr>
          <w:lang w:eastAsia="ja-JP"/>
        </w:rPr>
        <w:t xml:space="preserve"> versus </w:t>
      </w:r>
      <w:r w:rsidRPr="000526AB">
        <w:rPr>
          <w:lang w:eastAsia="ja-JP"/>
        </w:rPr>
        <w:t xml:space="preserve">13.2% ; and (c) absolute value </w:t>
      </w:r>
      <w:r w:rsidR="004D7873">
        <w:rPr>
          <w:lang w:eastAsia="ja-JP"/>
        </w:rPr>
        <w:t>≥</w:t>
      </w:r>
      <w:r w:rsidRPr="000526AB">
        <w:rPr>
          <w:lang w:eastAsia="ja-JP"/>
        </w:rPr>
        <w:t xml:space="preserve"> 35 mmHg at any time, 4.8%</w:t>
      </w:r>
      <w:r w:rsidR="0091044A">
        <w:rPr>
          <w:lang w:eastAsia="ja-JP"/>
        </w:rPr>
        <w:t xml:space="preserve"> versus </w:t>
      </w:r>
      <w:r w:rsidR="004A4E0A">
        <w:rPr>
          <w:lang w:eastAsia="ja-JP"/>
        </w:rPr>
        <w:t>1.4%.</w:t>
      </w:r>
    </w:p>
    <w:p w:rsidR="000526AB" w:rsidRPr="000526AB" w:rsidRDefault="000526AB" w:rsidP="004A4E0A">
      <w:pPr>
        <w:rPr>
          <w:lang w:eastAsia="ja-JP"/>
        </w:rPr>
      </w:pPr>
      <w:r w:rsidRPr="000526AB">
        <w:rPr>
          <w:lang w:eastAsia="ja-JP"/>
        </w:rPr>
        <w:t>Immunogenicity assessment at</w:t>
      </w:r>
      <w:r w:rsidR="00300BDB">
        <w:rPr>
          <w:lang w:eastAsia="ja-JP"/>
        </w:rPr>
        <w:t xml:space="preserve"> Week 5</w:t>
      </w:r>
      <w:r w:rsidRPr="000526AB">
        <w:rPr>
          <w:lang w:eastAsia="ja-JP"/>
        </w:rPr>
        <w:t>2 showed that treatment-emergent ADAs in the VTE2Q4+PRN</w:t>
      </w:r>
      <w:r w:rsidR="00301349">
        <w:rPr>
          <w:lang w:eastAsia="ja-JP"/>
        </w:rPr>
        <w:t xml:space="preserve"> </w:t>
      </w:r>
      <w:r w:rsidRPr="000526AB">
        <w:rPr>
          <w:lang w:eastAsia="ja-JP"/>
        </w:rPr>
        <w:t>group occurred in 2.6% (3/114) of subjects in COPERNICUS and 2.9% (3/104) of subjects in GALILEO. None of subjects who tested positive for ADA tested positive for neutralizing antibodies.</w:t>
      </w:r>
      <w:r w:rsidR="00301349">
        <w:rPr>
          <w:lang w:eastAsia="ja-JP"/>
        </w:rPr>
        <w:t xml:space="preserve"> </w:t>
      </w:r>
      <w:r w:rsidRPr="000526AB">
        <w:rPr>
          <w:lang w:eastAsia="ja-JP"/>
        </w:rPr>
        <w:t>The number of ADA positive subjects was too small to allow for meaningful conclusions to be drawn about the effects</w:t>
      </w:r>
      <w:r w:rsidR="004A4E0A">
        <w:rPr>
          <w:lang w:eastAsia="ja-JP"/>
        </w:rPr>
        <w:t xml:space="preserve"> of ADA on efficacy and safety.</w:t>
      </w:r>
    </w:p>
    <w:p w:rsidR="000526AB" w:rsidRPr="000526AB" w:rsidRDefault="000526AB" w:rsidP="004A4E0A">
      <w:pPr>
        <w:pStyle w:val="Heading4"/>
      </w:pPr>
      <w:r w:rsidRPr="000526AB">
        <w:lastRenderedPageBreak/>
        <w:t xml:space="preserve">Safety issues associated with switch from proactive monthly dosing to </w:t>
      </w:r>
      <w:r w:rsidR="004A4E0A">
        <w:t>reactive PRN dosing</w:t>
      </w:r>
    </w:p>
    <w:p w:rsidR="000526AB" w:rsidRPr="000526AB" w:rsidRDefault="000526AB" w:rsidP="004A4E0A">
      <w:pPr>
        <w:rPr>
          <w:lang w:eastAsia="ja-JP"/>
        </w:rPr>
      </w:pPr>
      <w:r w:rsidRPr="000526AB">
        <w:rPr>
          <w:lang w:eastAsia="ja-JP"/>
        </w:rPr>
        <w:t>The major safety issue relates to the increased incidence of macular oedema and other CRVO disease-related TEAEs following switching from the initial proactive VTE2Q4 treatment regim</w:t>
      </w:r>
      <w:r w:rsidR="004D7873">
        <w:rPr>
          <w:lang w:eastAsia="ja-JP"/>
        </w:rPr>
        <w:t>en from W</w:t>
      </w:r>
      <w:r w:rsidRPr="000526AB">
        <w:rPr>
          <w:lang w:eastAsia="ja-JP"/>
        </w:rPr>
        <w:t>eek 0 through to</w:t>
      </w:r>
      <w:r w:rsidR="00300BDB">
        <w:rPr>
          <w:lang w:eastAsia="ja-JP"/>
        </w:rPr>
        <w:t xml:space="preserve"> Week 2</w:t>
      </w:r>
      <w:r w:rsidRPr="000526AB">
        <w:rPr>
          <w:lang w:eastAsia="ja-JP"/>
        </w:rPr>
        <w:t>4 to a VTE PRN regimen from</w:t>
      </w:r>
      <w:r w:rsidR="00300BDB">
        <w:rPr>
          <w:lang w:eastAsia="ja-JP"/>
        </w:rPr>
        <w:t xml:space="preserve"> Week 2</w:t>
      </w:r>
      <w:r w:rsidRPr="000526AB">
        <w:rPr>
          <w:lang w:eastAsia="ja-JP"/>
        </w:rPr>
        <w:t>4 onwards. The incr</w:t>
      </w:r>
      <w:r w:rsidR="004D7873">
        <w:rPr>
          <w:lang w:eastAsia="ja-JP"/>
        </w:rPr>
        <w:t xml:space="preserve">eased incidence of CRVO disease </w:t>
      </w:r>
      <w:r w:rsidRPr="000526AB">
        <w:rPr>
          <w:lang w:eastAsia="ja-JP"/>
        </w:rPr>
        <w:t>related TEAEs (particularly marked for macular oedema and reduced visual acuity) following the switch suggests that the condition regresses when proactive treatment is discontinued and reactive treatment is instituted (see Table 3</w:t>
      </w:r>
      <w:r w:rsidR="004D7873">
        <w:rPr>
          <w:lang w:eastAsia="ja-JP"/>
        </w:rPr>
        <w:t>3</w:t>
      </w:r>
      <w:r w:rsidRPr="000526AB">
        <w:rPr>
          <w:lang w:eastAsia="ja-JP"/>
        </w:rPr>
        <w:t xml:space="preserve"> below). However, interpretation of the data in the VTEP2Q4+PRN group during the reactive (PRN) period is complicated as macular oedema, reduced visual acuity and cystoid macular oedema all occurred less frequently in the sham and sham+VTE groups than in the VTE2Q4+PRN group.</w:t>
      </w:r>
      <w:r w:rsidR="001962A6">
        <w:rPr>
          <w:lang w:eastAsia="ja-JP"/>
        </w:rPr>
        <w:t xml:space="preserve"> [information redacted]</w:t>
      </w:r>
      <w:r w:rsidR="004A4E0A">
        <w:rPr>
          <w:lang w:eastAsia="ja-JP"/>
        </w:rPr>
        <w:t>.</w:t>
      </w:r>
    </w:p>
    <w:p w:rsidR="000526AB" w:rsidRPr="000526AB" w:rsidRDefault="000526AB" w:rsidP="004A4E0A">
      <w:pPr>
        <w:pStyle w:val="TableTitle"/>
        <w:rPr>
          <w:lang w:eastAsia="ja-JP"/>
        </w:rPr>
      </w:pPr>
      <w:bookmarkStart w:id="186" w:name="_Toc221767086"/>
      <w:r w:rsidRPr="000526AB">
        <w:rPr>
          <w:lang w:eastAsia="ja-JP"/>
        </w:rPr>
        <w:t>Table</w:t>
      </w:r>
      <w:r w:rsidR="004D7873">
        <w:rPr>
          <w:lang w:eastAsia="ja-JP"/>
        </w:rPr>
        <w:t xml:space="preserve"> 33</w:t>
      </w:r>
      <w:r w:rsidRPr="000526AB">
        <w:rPr>
          <w:lang w:eastAsia="ja-JP"/>
        </w:rPr>
        <w:t>: Integrated Analysis – Common CRVO disease-related TEAEs in the proactive period (</w:t>
      </w:r>
      <w:r w:rsidR="00D02A01">
        <w:rPr>
          <w:lang w:eastAsia="ja-JP"/>
        </w:rPr>
        <w:t>Week 0</w:t>
      </w:r>
      <w:r w:rsidR="00300BDB">
        <w:rPr>
          <w:lang w:eastAsia="ja-JP"/>
        </w:rPr>
        <w:t xml:space="preserve"> Week 2</w:t>
      </w:r>
      <w:r w:rsidRPr="000526AB">
        <w:rPr>
          <w:lang w:eastAsia="ja-JP"/>
        </w:rPr>
        <w:t>4) and the reactive PRN period (week 24 to</w:t>
      </w:r>
      <w:r w:rsidR="00300BDB">
        <w:rPr>
          <w:lang w:eastAsia="ja-JP"/>
        </w:rPr>
        <w:t xml:space="preserve"> Week 5</w:t>
      </w:r>
      <w:r w:rsidRPr="000526AB">
        <w:rPr>
          <w:lang w:eastAsia="ja-JP"/>
        </w:rPr>
        <w:t>2) in subjects completing 52 weeks.</w:t>
      </w:r>
      <w:bookmarkEnd w:id="186"/>
    </w:p>
    <w:tbl>
      <w:tblPr>
        <w:tblStyle w:val="TableTGAblue"/>
        <w:tblW w:w="9214" w:type="dxa"/>
        <w:tblLayout w:type="fixed"/>
        <w:tblLook w:val="00A0" w:firstRow="1" w:lastRow="0" w:firstColumn="1" w:lastColumn="0" w:noHBand="0" w:noVBand="0"/>
      </w:tblPr>
      <w:tblGrid>
        <w:gridCol w:w="1668"/>
        <w:gridCol w:w="1275"/>
        <w:gridCol w:w="1134"/>
        <w:gridCol w:w="1168"/>
        <w:gridCol w:w="1276"/>
        <w:gridCol w:w="1276"/>
        <w:gridCol w:w="1417"/>
      </w:tblGrid>
      <w:tr w:rsidR="000526AB" w:rsidRPr="000526AB" w:rsidTr="004E0E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0526AB" w:rsidRPr="00896E48" w:rsidRDefault="000526AB" w:rsidP="004A4E0A">
            <w:pPr>
              <w:ind w:left="0"/>
              <w:rPr>
                <w:sz w:val="20"/>
                <w:szCs w:val="20"/>
                <w:lang w:eastAsia="ja-JP"/>
              </w:rPr>
            </w:pPr>
          </w:p>
        </w:tc>
        <w:tc>
          <w:tcPr>
            <w:tcW w:w="3577" w:type="dxa"/>
            <w:gridSpan w:val="3"/>
          </w:tcPr>
          <w:p w:rsidR="000526AB" w:rsidRPr="00896E48" w:rsidRDefault="000526AB" w:rsidP="004A4E0A">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Week 0 to</w:t>
            </w:r>
            <w:r w:rsidR="00300BDB" w:rsidRPr="00896E48">
              <w:rPr>
                <w:sz w:val="20"/>
                <w:szCs w:val="20"/>
                <w:lang w:eastAsia="ja-JP"/>
              </w:rPr>
              <w:t xml:space="preserve"> Week 2</w:t>
            </w:r>
            <w:r w:rsidRPr="00896E48">
              <w:rPr>
                <w:sz w:val="20"/>
                <w:szCs w:val="20"/>
                <w:lang w:eastAsia="ja-JP"/>
              </w:rPr>
              <w:t>4 (proactive treatment)</w:t>
            </w:r>
          </w:p>
        </w:tc>
        <w:tc>
          <w:tcPr>
            <w:tcW w:w="3969" w:type="dxa"/>
            <w:gridSpan w:val="3"/>
          </w:tcPr>
          <w:p w:rsidR="000526AB" w:rsidRPr="00896E48" w:rsidRDefault="000526AB" w:rsidP="004A4E0A">
            <w:pPr>
              <w:ind w:lef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Week 24 to</w:t>
            </w:r>
            <w:r w:rsidR="00300BDB" w:rsidRPr="00896E48">
              <w:rPr>
                <w:sz w:val="20"/>
                <w:szCs w:val="20"/>
                <w:lang w:eastAsia="ja-JP"/>
              </w:rPr>
              <w:t xml:space="preserve"> Week 5</w:t>
            </w:r>
            <w:r w:rsidRPr="00896E48">
              <w:rPr>
                <w:sz w:val="20"/>
                <w:szCs w:val="20"/>
                <w:lang w:eastAsia="ja-JP"/>
              </w:rPr>
              <w:t>2 (reactive treatment)</w:t>
            </w:r>
          </w:p>
        </w:tc>
      </w:tr>
      <w:tr w:rsidR="000526AB" w:rsidRPr="000526AB" w:rsidTr="004E0EF5">
        <w:tc>
          <w:tcPr>
            <w:cnfStyle w:val="001000000000" w:firstRow="0" w:lastRow="0" w:firstColumn="1" w:lastColumn="0" w:oddVBand="0" w:evenVBand="0" w:oddHBand="0" w:evenHBand="0" w:firstRowFirstColumn="0" w:firstRowLastColumn="0" w:lastRowFirstColumn="0" w:lastRowLastColumn="0"/>
            <w:tcW w:w="1668" w:type="dxa"/>
          </w:tcPr>
          <w:p w:rsidR="000526AB" w:rsidRPr="00896E48" w:rsidRDefault="000526AB" w:rsidP="00896E48">
            <w:pPr>
              <w:ind w:left="0" w:right="0"/>
              <w:rPr>
                <w:sz w:val="20"/>
                <w:szCs w:val="20"/>
                <w:lang w:eastAsia="ja-JP"/>
              </w:rPr>
            </w:pPr>
          </w:p>
        </w:tc>
        <w:tc>
          <w:tcPr>
            <w:tcW w:w="1275"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Sham (G) n=68</w:t>
            </w:r>
          </w:p>
        </w:tc>
        <w:tc>
          <w:tcPr>
            <w:tcW w:w="1134"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Sham</w:t>
            </w:r>
            <w:r w:rsidR="004A4E0A" w:rsidRPr="00896E48">
              <w:rPr>
                <w:sz w:val="20"/>
                <w:szCs w:val="20"/>
                <w:lang w:eastAsia="ja-JP"/>
              </w:rPr>
              <w:t xml:space="preserve"> </w:t>
            </w:r>
            <w:r w:rsidRPr="00896E48">
              <w:rPr>
                <w:sz w:val="20"/>
                <w:szCs w:val="20"/>
                <w:lang w:eastAsia="ja-JP"/>
              </w:rPr>
              <w:t>(C) n=74</w:t>
            </w:r>
          </w:p>
        </w:tc>
        <w:tc>
          <w:tcPr>
            <w:tcW w:w="1168"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VTE2Q4</w:t>
            </w:r>
            <w:r w:rsidR="004A4E0A" w:rsidRPr="00896E48">
              <w:rPr>
                <w:sz w:val="20"/>
                <w:szCs w:val="20"/>
                <w:lang w:eastAsia="ja-JP"/>
              </w:rPr>
              <w:t xml:space="preserve"> </w:t>
            </w:r>
            <w:r w:rsidRPr="00896E48">
              <w:rPr>
                <w:sz w:val="20"/>
                <w:szCs w:val="20"/>
                <w:lang w:eastAsia="ja-JP"/>
              </w:rPr>
              <w:t>(G+C) n=218</w:t>
            </w:r>
          </w:p>
        </w:tc>
        <w:tc>
          <w:tcPr>
            <w:tcW w:w="1276"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Sham (G) n=57</w:t>
            </w:r>
          </w:p>
        </w:tc>
        <w:tc>
          <w:tcPr>
            <w:tcW w:w="1276"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Sham+VTE PRN (C) n=60</w:t>
            </w:r>
          </w:p>
        </w:tc>
        <w:tc>
          <w:tcPr>
            <w:tcW w:w="1417"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VTE2Q4+PRN</w:t>
            </w:r>
            <w:r w:rsidR="004A4E0A" w:rsidRPr="00896E48">
              <w:rPr>
                <w:sz w:val="20"/>
                <w:szCs w:val="20"/>
                <w:lang w:eastAsia="ja-JP"/>
              </w:rPr>
              <w:t xml:space="preserve"> </w:t>
            </w:r>
            <w:r w:rsidRPr="00896E48">
              <w:rPr>
                <w:sz w:val="20"/>
                <w:szCs w:val="20"/>
                <w:lang w:eastAsia="ja-JP"/>
              </w:rPr>
              <w:t>(G+C) n=207</w:t>
            </w:r>
          </w:p>
        </w:tc>
      </w:tr>
      <w:tr w:rsidR="000526AB" w:rsidRPr="000526AB" w:rsidTr="004E0EF5">
        <w:tc>
          <w:tcPr>
            <w:cnfStyle w:val="001000000000" w:firstRow="0" w:lastRow="0" w:firstColumn="1" w:lastColumn="0" w:oddVBand="0" w:evenVBand="0" w:oddHBand="0" w:evenHBand="0" w:firstRowFirstColumn="0" w:firstRowLastColumn="0" w:lastRowFirstColumn="0" w:lastRowLastColumn="0"/>
            <w:tcW w:w="1668" w:type="dxa"/>
          </w:tcPr>
          <w:p w:rsidR="000526AB" w:rsidRPr="00896E48" w:rsidRDefault="000526AB" w:rsidP="004A4E0A">
            <w:pPr>
              <w:ind w:left="0"/>
              <w:rPr>
                <w:sz w:val="20"/>
                <w:szCs w:val="20"/>
                <w:lang w:eastAsia="ja-JP"/>
              </w:rPr>
            </w:pPr>
            <w:r w:rsidRPr="00896E48">
              <w:rPr>
                <w:sz w:val="20"/>
                <w:szCs w:val="20"/>
                <w:lang w:eastAsia="ja-JP"/>
              </w:rPr>
              <w:t>Macular oedema</w:t>
            </w:r>
          </w:p>
        </w:tc>
        <w:tc>
          <w:tcPr>
            <w:tcW w:w="1275"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11 (16.2%)</w:t>
            </w:r>
          </w:p>
        </w:tc>
        <w:tc>
          <w:tcPr>
            <w:tcW w:w="1134"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1 (1.4%)</w:t>
            </w:r>
          </w:p>
        </w:tc>
        <w:tc>
          <w:tcPr>
            <w:tcW w:w="1168"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3 (1.4%)</w:t>
            </w:r>
          </w:p>
        </w:tc>
        <w:tc>
          <w:tcPr>
            <w:tcW w:w="1276"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6 (10.5%)</w:t>
            </w:r>
          </w:p>
        </w:tc>
        <w:tc>
          <w:tcPr>
            <w:tcW w:w="1276"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0 (0%)</w:t>
            </w:r>
          </w:p>
        </w:tc>
        <w:tc>
          <w:tcPr>
            <w:tcW w:w="1417"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44 (21.3%)</w:t>
            </w:r>
          </w:p>
        </w:tc>
      </w:tr>
      <w:tr w:rsidR="000526AB" w:rsidRPr="000526AB" w:rsidTr="004E0EF5">
        <w:tc>
          <w:tcPr>
            <w:cnfStyle w:val="001000000000" w:firstRow="0" w:lastRow="0" w:firstColumn="1" w:lastColumn="0" w:oddVBand="0" w:evenVBand="0" w:oddHBand="0" w:evenHBand="0" w:firstRowFirstColumn="0" w:firstRowLastColumn="0" w:lastRowFirstColumn="0" w:lastRowLastColumn="0"/>
            <w:tcW w:w="1668" w:type="dxa"/>
          </w:tcPr>
          <w:p w:rsidR="000526AB" w:rsidRPr="00896E48" w:rsidRDefault="000526AB" w:rsidP="004A4E0A">
            <w:pPr>
              <w:ind w:left="0"/>
              <w:rPr>
                <w:sz w:val="20"/>
                <w:szCs w:val="20"/>
                <w:lang w:eastAsia="ja-JP"/>
              </w:rPr>
            </w:pPr>
            <w:r w:rsidRPr="00896E48">
              <w:rPr>
                <w:sz w:val="20"/>
                <w:szCs w:val="20"/>
                <w:lang w:eastAsia="ja-JP"/>
              </w:rPr>
              <w:t>Visual acuity reduced</w:t>
            </w:r>
          </w:p>
        </w:tc>
        <w:tc>
          <w:tcPr>
            <w:tcW w:w="1275"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7 (10.3%)</w:t>
            </w:r>
          </w:p>
        </w:tc>
        <w:tc>
          <w:tcPr>
            <w:tcW w:w="1134"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3 (17.6%)</w:t>
            </w:r>
          </w:p>
        </w:tc>
        <w:tc>
          <w:tcPr>
            <w:tcW w:w="1168"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9 (4.1%)</w:t>
            </w:r>
          </w:p>
        </w:tc>
        <w:tc>
          <w:tcPr>
            <w:tcW w:w="1276"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1 (1.8%)</w:t>
            </w:r>
          </w:p>
        </w:tc>
        <w:tc>
          <w:tcPr>
            <w:tcW w:w="1276"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3 (5.0%)</w:t>
            </w:r>
          </w:p>
        </w:tc>
        <w:tc>
          <w:tcPr>
            <w:tcW w:w="1417"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27 (13.0%)</w:t>
            </w:r>
          </w:p>
        </w:tc>
      </w:tr>
      <w:tr w:rsidR="000526AB" w:rsidRPr="000526AB" w:rsidTr="004E0EF5">
        <w:tc>
          <w:tcPr>
            <w:cnfStyle w:val="001000000000" w:firstRow="0" w:lastRow="0" w:firstColumn="1" w:lastColumn="0" w:oddVBand="0" w:evenVBand="0" w:oddHBand="0" w:evenHBand="0" w:firstRowFirstColumn="0" w:firstRowLastColumn="0" w:lastRowFirstColumn="0" w:lastRowLastColumn="0"/>
            <w:tcW w:w="1668" w:type="dxa"/>
          </w:tcPr>
          <w:p w:rsidR="000526AB" w:rsidRPr="00896E48" w:rsidRDefault="000526AB" w:rsidP="004A4E0A">
            <w:pPr>
              <w:ind w:left="0"/>
              <w:rPr>
                <w:sz w:val="20"/>
                <w:szCs w:val="20"/>
                <w:lang w:eastAsia="ja-JP"/>
              </w:rPr>
            </w:pPr>
            <w:r w:rsidRPr="00896E48">
              <w:rPr>
                <w:sz w:val="20"/>
                <w:szCs w:val="20"/>
                <w:lang w:eastAsia="ja-JP"/>
              </w:rPr>
              <w:t>Cystoid macular oedema</w:t>
            </w:r>
          </w:p>
        </w:tc>
        <w:tc>
          <w:tcPr>
            <w:tcW w:w="1275"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0 (0%)</w:t>
            </w:r>
          </w:p>
        </w:tc>
        <w:tc>
          <w:tcPr>
            <w:tcW w:w="1134"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1 (1.4%)</w:t>
            </w:r>
          </w:p>
        </w:tc>
        <w:tc>
          <w:tcPr>
            <w:tcW w:w="1168"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1 (0.5%)</w:t>
            </w:r>
          </w:p>
        </w:tc>
        <w:tc>
          <w:tcPr>
            <w:tcW w:w="1276"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0 (%)</w:t>
            </w:r>
          </w:p>
        </w:tc>
        <w:tc>
          <w:tcPr>
            <w:tcW w:w="1276"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2 (3.3%)</w:t>
            </w:r>
          </w:p>
        </w:tc>
        <w:tc>
          <w:tcPr>
            <w:tcW w:w="1417"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12 (5.8%)</w:t>
            </w:r>
          </w:p>
        </w:tc>
      </w:tr>
      <w:tr w:rsidR="000526AB" w:rsidRPr="000526AB" w:rsidTr="004E0EF5">
        <w:tc>
          <w:tcPr>
            <w:cnfStyle w:val="001000000000" w:firstRow="0" w:lastRow="0" w:firstColumn="1" w:lastColumn="0" w:oddVBand="0" w:evenVBand="0" w:oddHBand="0" w:evenHBand="0" w:firstRowFirstColumn="0" w:firstRowLastColumn="0" w:lastRowFirstColumn="0" w:lastRowLastColumn="0"/>
            <w:tcW w:w="1668" w:type="dxa"/>
          </w:tcPr>
          <w:p w:rsidR="000526AB" w:rsidRPr="00896E48" w:rsidRDefault="000526AB" w:rsidP="004E0EF5">
            <w:pPr>
              <w:ind w:left="0"/>
              <w:rPr>
                <w:sz w:val="20"/>
                <w:szCs w:val="20"/>
                <w:lang w:eastAsia="ja-JP"/>
              </w:rPr>
            </w:pPr>
            <w:r w:rsidRPr="00896E48">
              <w:rPr>
                <w:sz w:val="20"/>
                <w:szCs w:val="20"/>
                <w:lang w:eastAsia="ja-JP"/>
              </w:rPr>
              <w:t>Retinal haemorrhage</w:t>
            </w:r>
          </w:p>
        </w:tc>
        <w:tc>
          <w:tcPr>
            <w:tcW w:w="1275"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4 (5.9%)</w:t>
            </w:r>
          </w:p>
        </w:tc>
        <w:tc>
          <w:tcPr>
            <w:tcW w:w="1134"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6 (8.1%)</w:t>
            </w:r>
          </w:p>
        </w:tc>
        <w:tc>
          <w:tcPr>
            <w:tcW w:w="1168"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 xml:space="preserve">7 (3.2%) </w:t>
            </w:r>
          </w:p>
        </w:tc>
        <w:tc>
          <w:tcPr>
            <w:tcW w:w="1276"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5 (8.8%)</w:t>
            </w:r>
          </w:p>
        </w:tc>
        <w:tc>
          <w:tcPr>
            <w:tcW w:w="1276"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3 (5.0%)</w:t>
            </w:r>
          </w:p>
        </w:tc>
        <w:tc>
          <w:tcPr>
            <w:tcW w:w="1417" w:type="dxa"/>
          </w:tcPr>
          <w:p w:rsidR="000526AB" w:rsidRPr="00896E48" w:rsidRDefault="000526AB" w:rsidP="004E0EF5">
            <w:pPr>
              <w:tabs>
                <w:tab w:val="left" w:pos="1060"/>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896E48">
              <w:rPr>
                <w:sz w:val="20"/>
                <w:szCs w:val="20"/>
                <w:lang w:eastAsia="ja-JP"/>
              </w:rPr>
              <w:t xml:space="preserve">12 (5.8%) </w:t>
            </w:r>
          </w:p>
        </w:tc>
      </w:tr>
    </w:tbl>
    <w:p w:rsidR="009E5AF9" w:rsidRDefault="001962A6" w:rsidP="004E0EF5">
      <w:pPr>
        <w:rPr>
          <w:lang w:eastAsia="ja-JP"/>
        </w:rPr>
      </w:pPr>
      <w:r>
        <w:rPr>
          <w:lang w:eastAsia="ja-JP"/>
        </w:rPr>
        <w:t>[information redacted]</w:t>
      </w:r>
      <w:bookmarkStart w:id="187" w:name="_Toc221767087"/>
    </w:p>
    <w:p w:rsidR="000526AB" w:rsidRPr="0060454A" w:rsidRDefault="000526AB" w:rsidP="004A4E0A">
      <w:pPr>
        <w:pStyle w:val="TableTitle"/>
        <w:rPr>
          <w:lang w:eastAsia="ja-JP"/>
        </w:rPr>
      </w:pPr>
      <w:r w:rsidRPr="0060454A">
        <w:rPr>
          <w:lang w:eastAsia="ja-JP"/>
        </w:rPr>
        <w:t>Table</w:t>
      </w:r>
      <w:r w:rsidR="004D7873" w:rsidRPr="0060454A">
        <w:rPr>
          <w:lang w:eastAsia="ja-JP"/>
        </w:rPr>
        <w:t xml:space="preserve"> 34</w:t>
      </w:r>
      <w:r w:rsidRPr="0060454A">
        <w:rPr>
          <w:lang w:eastAsia="ja-JP"/>
        </w:rPr>
        <w:t>: Integrated Analysis – Overview of TEAEs by dosing sub-group from</w:t>
      </w:r>
      <w:r w:rsidR="00300BDB" w:rsidRPr="0060454A">
        <w:rPr>
          <w:lang w:eastAsia="ja-JP"/>
        </w:rPr>
        <w:t xml:space="preserve"> Week 2</w:t>
      </w:r>
      <w:r w:rsidRPr="0060454A">
        <w:rPr>
          <w:lang w:eastAsia="ja-JP"/>
        </w:rPr>
        <w:t>4 to</w:t>
      </w:r>
      <w:r w:rsidR="00300BDB" w:rsidRPr="0060454A">
        <w:rPr>
          <w:lang w:eastAsia="ja-JP"/>
        </w:rPr>
        <w:t xml:space="preserve"> Week 5</w:t>
      </w:r>
      <w:r w:rsidRPr="0060454A">
        <w:rPr>
          <w:lang w:eastAsia="ja-JP"/>
        </w:rPr>
        <w:t>2; subjects completing</w:t>
      </w:r>
      <w:r w:rsidR="00300BDB" w:rsidRPr="0060454A">
        <w:rPr>
          <w:lang w:eastAsia="ja-JP"/>
        </w:rPr>
        <w:t xml:space="preserve"> Week 5</w:t>
      </w:r>
      <w:r w:rsidRPr="0060454A">
        <w:rPr>
          <w:lang w:eastAsia="ja-JP"/>
        </w:rPr>
        <w:t>2.</w:t>
      </w:r>
      <w:bookmarkEnd w:id="187"/>
    </w:p>
    <w:p w:rsidR="000526AB" w:rsidRPr="0060454A" w:rsidRDefault="000526AB" w:rsidP="004A4E0A">
      <w:pPr>
        <w:rPr>
          <w:i/>
          <w:lang w:eastAsia="ja-JP"/>
        </w:rPr>
      </w:pPr>
      <w:r w:rsidRPr="001962A6">
        <w:rPr>
          <w:noProof/>
          <w:lang w:eastAsia="en-AU"/>
        </w:rPr>
        <w:drawing>
          <wp:inline distT="0" distB="0" distL="0" distR="0" wp14:anchorId="25DF42C3" wp14:editId="0110FB26">
            <wp:extent cx="4104640" cy="1005840"/>
            <wp:effectExtent l="0" t="0" r="0" b="0"/>
            <wp:docPr id="67" name="Picture 2" descr="Table 34: Integrated Analysis – Overview of TEAEs by dosing sub-group from Week 24 to Week 52; subjects completing Week 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4104640" cy="1005840"/>
                    </a:xfrm>
                    <a:prstGeom prst="rect">
                      <a:avLst/>
                    </a:prstGeom>
                    <a:noFill/>
                    <a:ln w="9525">
                      <a:noFill/>
                      <a:miter lim="800000"/>
                      <a:headEnd/>
                      <a:tailEnd/>
                    </a:ln>
                  </pic:spPr>
                </pic:pic>
              </a:graphicData>
            </a:graphic>
          </wp:inline>
        </w:drawing>
      </w:r>
    </w:p>
    <w:p w:rsidR="000526AB" w:rsidRPr="000526AB" w:rsidRDefault="000526AB" w:rsidP="004A4E0A">
      <w:pPr>
        <w:rPr>
          <w:lang w:eastAsia="ja-JP"/>
        </w:rPr>
      </w:pPr>
      <w:r w:rsidRPr="0060454A">
        <w:rPr>
          <w:lang w:eastAsia="ja-JP"/>
        </w:rPr>
        <w:t>Not unexpectedly, injection-related ocular TEAEs occurred more commonly in subjects in the 2</w:t>
      </w:r>
      <w:r w:rsidR="004D7873" w:rsidRPr="0060454A">
        <w:rPr>
          <w:lang w:eastAsia="ja-JP"/>
        </w:rPr>
        <w:t xml:space="preserve"> to </w:t>
      </w:r>
      <w:r w:rsidRPr="0060454A">
        <w:rPr>
          <w:lang w:eastAsia="ja-JP"/>
        </w:rPr>
        <w:t xml:space="preserve">3 injections sub-group than in the </w:t>
      </w:r>
      <w:r w:rsidR="004D7873" w:rsidRPr="0060454A">
        <w:rPr>
          <w:lang w:eastAsia="ja-JP"/>
        </w:rPr>
        <w:t>≥</w:t>
      </w:r>
      <w:r w:rsidRPr="0060454A">
        <w:rPr>
          <w:lang w:eastAsia="ja-JP"/>
        </w:rPr>
        <w:t xml:space="preserve"> 4 injections sub-group (see Table 3</w:t>
      </w:r>
      <w:r w:rsidR="004D7873" w:rsidRPr="0060454A">
        <w:rPr>
          <w:lang w:eastAsia="ja-JP"/>
        </w:rPr>
        <w:t>5</w:t>
      </w:r>
      <w:r w:rsidRPr="0060454A">
        <w:rPr>
          <w:lang w:eastAsia="ja-JP"/>
        </w:rPr>
        <w:t xml:space="preserve">, below). Conjunctival haemorrhage, eye irritation and eye pain all occurred notably more commonly in subjects in the </w:t>
      </w:r>
      <w:r w:rsidR="00DC55E6" w:rsidRPr="0060454A">
        <w:rPr>
          <w:lang w:eastAsia="ja-JP"/>
        </w:rPr>
        <w:t>≥</w:t>
      </w:r>
      <w:r w:rsidRPr="0060454A">
        <w:rPr>
          <w:lang w:eastAsia="ja-JP"/>
        </w:rPr>
        <w:t xml:space="preserve"> 4 injections sub-group than in the </w:t>
      </w:r>
      <w:r w:rsidR="00DC55E6" w:rsidRPr="0060454A">
        <w:rPr>
          <w:lang w:eastAsia="ja-JP"/>
        </w:rPr>
        <w:t>≥</w:t>
      </w:r>
      <w:r w:rsidRPr="0060454A">
        <w:rPr>
          <w:lang w:eastAsia="ja-JP"/>
        </w:rPr>
        <w:t xml:space="preserve"> 2</w:t>
      </w:r>
      <w:r w:rsidR="00DC55E6" w:rsidRPr="0060454A">
        <w:rPr>
          <w:lang w:eastAsia="ja-JP"/>
        </w:rPr>
        <w:t xml:space="preserve"> to </w:t>
      </w:r>
      <w:r w:rsidRPr="0060454A">
        <w:rPr>
          <w:lang w:eastAsia="ja-JP"/>
        </w:rPr>
        <w:t>3 injections sub-group. However, the sponsor stated that injection-related AEs “</w:t>
      </w:r>
      <w:r w:rsidRPr="0060454A">
        <w:rPr>
          <w:i/>
          <w:lang w:eastAsia="ja-JP"/>
        </w:rPr>
        <w:t>were not considered to be serious and would most likely subside after injection with no [additional] sequelae expected</w:t>
      </w:r>
      <w:r w:rsidR="004A4E0A">
        <w:rPr>
          <w:lang w:eastAsia="ja-JP"/>
        </w:rPr>
        <w:t>”.</w:t>
      </w:r>
    </w:p>
    <w:p w:rsidR="000526AB" w:rsidRPr="000526AB" w:rsidRDefault="000526AB" w:rsidP="004A4E0A">
      <w:pPr>
        <w:pStyle w:val="TableTitle"/>
        <w:rPr>
          <w:lang w:eastAsia="ja-JP"/>
        </w:rPr>
      </w:pPr>
      <w:bookmarkStart w:id="188" w:name="_Toc221767088"/>
      <w:r w:rsidRPr="000526AB">
        <w:rPr>
          <w:lang w:eastAsia="ja-JP"/>
        </w:rPr>
        <w:lastRenderedPageBreak/>
        <w:t xml:space="preserve">Table </w:t>
      </w:r>
      <w:r w:rsidR="00DC55E6">
        <w:rPr>
          <w:lang w:eastAsia="ja-JP"/>
        </w:rPr>
        <w:t>35</w:t>
      </w:r>
      <w:r w:rsidRPr="000526AB">
        <w:rPr>
          <w:lang w:eastAsia="ja-JP"/>
        </w:rPr>
        <w:t>: Integrated Analysis – Common (≥ 3 subjects in any group) injection-related AEs by dosing sub-group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subjects completing</w:t>
      </w:r>
      <w:r w:rsidR="00300BDB">
        <w:rPr>
          <w:lang w:eastAsia="ja-JP"/>
        </w:rPr>
        <w:t xml:space="preserve"> Week 5</w:t>
      </w:r>
      <w:r w:rsidRPr="000526AB">
        <w:rPr>
          <w:lang w:eastAsia="ja-JP"/>
        </w:rPr>
        <w:t>2.</w:t>
      </w:r>
      <w:bookmarkEnd w:id="188"/>
    </w:p>
    <w:p w:rsidR="000526AB" w:rsidRPr="000526AB" w:rsidRDefault="000526AB" w:rsidP="004A4E0A">
      <w:pPr>
        <w:rPr>
          <w:lang w:eastAsia="ja-JP"/>
        </w:rPr>
      </w:pPr>
      <w:r w:rsidRPr="000526AB">
        <w:rPr>
          <w:noProof/>
          <w:lang w:eastAsia="en-AU"/>
        </w:rPr>
        <w:drawing>
          <wp:inline distT="0" distB="0" distL="0" distR="0" wp14:anchorId="037F9F26" wp14:editId="52092D14">
            <wp:extent cx="4053840" cy="1137920"/>
            <wp:effectExtent l="19050" t="0" r="3810" b="0"/>
            <wp:docPr id="68" name="Picture 3" descr="Table 35: Integrated Analysis – Common (≥ 3 subjects in any group) injection-related AEs by dosing sub-group from Week 24 to Week 52; subjects completing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4053840" cy="1137920"/>
                    </a:xfrm>
                    <a:prstGeom prst="rect">
                      <a:avLst/>
                    </a:prstGeom>
                    <a:noFill/>
                    <a:ln w="9525">
                      <a:noFill/>
                      <a:miter lim="800000"/>
                      <a:headEnd/>
                      <a:tailEnd/>
                    </a:ln>
                  </pic:spPr>
                </pic:pic>
              </a:graphicData>
            </a:graphic>
          </wp:inline>
        </w:drawing>
      </w:r>
    </w:p>
    <w:p w:rsidR="000526AB" w:rsidRPr="000526AB" w:rsidRDefault="000526AB" w:rsidP="004A4E0A">
      <w:pPr>
        <w:rPr>
          <w:lang w:eastAsia="ja-JP"/>
        </w:rPr>
      </w:pPr>
      <w:r w:rsidRPr="000526AB">
        <w:rPr>
          <w:lang w:eastAsia="ja-JP"/>
        </w:rPr>
        <w:t>The most commonly occurring CRVO disease-related TEAEs in the three</w:t>
      </w:r>
      <w:r w:rsidR="00DC55E6">
        <w:rPr>
          <w:lang w:eastAsia="ja-JP"/>
        </w:rPr>
        <w:t xml:space="preserve"> </w:t>
      </w:r>
      <w:r w:rsidRPr="000526AB">
        <w:rPr>
          <w:lang w:eastAsia="ja-JP"/>
        </w:rPr>
        <w:t xml:space="preserve">injection groups are </w:t>
      </w:r>
      <w:r w:rsidR="00301349">
        <w:rPr>
          <w:lang w:eastAsia="ja-JP"/>
        </w:rPr>
        <w:t>summarised</w:t>
      </w:r>
      <w:r w:rsidRPr="000526AB">
        <w:rPr>
          <w:lang w:eastAsia="ja-JP"/>
        </w:rPr>
        <w:t xml:space="preserve"> below in Table 3</w:t>
      </w:r>
      <w:r w:rsidR="00DC55E6">
        <w:rPr>
          <w:lang w:eastAsia="ja-JP"/>
        </w:rPr>
        <w:t>6</w:t>
      </w:r>
      <w:r w:rsidRPr="000526AB">
        <w:rPr>
          <w:lang w:eastAsia="ja-JP"/>
        </w:rPr>
        <w:t>. The most noteworthy differences between the 2</w:t>
      </w:r>
      <w:r w:rsidR="00DC55E6">
        <w:rPr>
          <w:lang w:eastAsia="ja-JP"/>
        </w:rPr>
        <w:t xml:space="preserve"> to </w:t>
      </w:r>
      <w:r w:rsidRPr="000526AB">
        <w:rPr>
          <w:lang w:eastAsia="ja-JP"/>
        </w:rPr>
        <w:t xml:space="preserve">3 injections and </w:t>
      </w:r>
      <w:r w:rsidR="00DC55E6">
        <w:rPr>
          <w:lang w:eastAsia="ja-JP"/>
        </w:rPr>
        <w:t xml:space="preserve">≥ </w:t>
      </w:r>
      <w:r w:rsidRPr="000526AB">
        <w:rPr>
          <w:lang w:eastAsia="ja-JP"/>
        </w:rPr>
        <w:t>4 injections sub</w:t>
      </w:r>
      <w:r w:rsidR="00DC55E6">
        <w:rPr>
          <w:lang w:eastAsia="ja-JP"/>
        </w:rPr>
        <w:t xml:space="preserve"> </w:t>
      </w:r>
      <w:r w:rsidRPr="000526AB">
        <w:rPr>
          <w:lang w:eastAsia="ja-JP"/>
        </w:rPr>
        <w:t>groups relate to the greater proportion of subjects with macular oedema in subjects in the 2</w:t>
      </w:r>
      <w:r w:rsidR="00DC55E6">
        <w:rPr>
          <w:lang w:eastAsia="ja-JP"/>
        </w:rPr>
        <w:t xml:space="preserve"> to </w:t>
      </w:r>
      <w:r w:rsidRPr="000526AB">
        <w:rPr>
          <w:lang w:eastAsia="ja-JP"/>
        </w:rPr>
        <w:t xml:space="preserve">3 injections sub-group compared with the </w:t>
      </w:r>
      <w:r w:rsidR="00DC55E6">
        <w:rPr>
          <w:lang w:eastAsia="ja-JP"/>
        </w:rPr>
        <w:t>≥</w:t>
      </w:r>
      <w:r w:rsidRPr="000526AB">
        <w:rPr>
          <w:lang w:eastAsia="ja-JP"/>
        </w:rPr>
        <w:t xml:space="preserve"> 4 injections sub</w:t>
      </w:r>
      <w:r w:rsidR="00DC55E6">
        <w:rPr>
          <w:lang w:eastAsia="ja-JP"/>
        </w:rPr>
        <w:t xml:space="preserve"> </w:t>
      </w:r>
      <w:r w:rsidRPr="000526AB">
        <w:rPr>
          <w:lang w:eastAsia="ja-JP"/>
        </w:rPr>
        <w:t>group</w:t>
      </w:r>
      <w:r w:rsidR="00DC55E6">
        <w:rPr>
          <w:lang w:eastAsia="ja-JP"/>
        </w:rPr>
        <w:t xml:space="preserve"> </w:t>
      </w:r>
      <w:r w:rsidRPr="000526AB">
        <w:rPr>
          <w:lang w:eastAsia="ja-JP"/>
        </w:rPr>
        <w:t xml:space="preserve">and the greater proportion of patients with reduced visual acuity in the </w:t>
      </w:r>
      <w:r w:rsidR="00DC55E6">
        <w:rPr>
          <w:lang w:eastAsia="ja-JP"/>
        </w:rPr>
        <w:t>≥ 4 injections sub g</w:t>
      </w:r>
      <w:r w:rsidRPr="000526AB">
        <w:rPr>
          <w:lang w:eastAsia="ja-JP"/>
        </w:rPr>
        <w:t>roup compared with the 2</w:t>
      </w:r>
      <w:r w:rsidR="00DC55E6">
        <w:rPr>
          <w:lang w:eastAsia="ja-JP"/>
        </w:rPr>
        <w:t xml:space="preserve"> to </w:t>
      </w:r>
      <w:r w:rsidRPr="000526AB">
        <w:rPr>
          <w:lang w:eastAsia="ja-JP"/>
        </w:rPr>
        <w:t>3 injections sub</w:t>
      </w:r>
      <w:r w:rsidR="00DC55E6">
        <w:rPr>
          <w:lang w:eastAsia="ja-JP"/>
        </w:rPr>
        <w:t xml:space="preserve"> </w:t>
      </w:r>
      <w:r w:rsidRPr="000526AB">
        <w:rPr>
          <w:lang w:eastAsia="ja-JP"/>
        </w:rPr>
        <w:t>group. There were no marked differences between the 2</w:t>
      </w:r>
      <w:r w:rsidR="00DC55E6">
        <w:rPr>
          <w:lang w:eastAsia="ja-JP"/>
        </w:rPr>
        <w:t xml:space="preserve"> to </w:t>
      </w:r>
      <w:r w:rsidRPr="000526AB">
        <w:rPr>
          <w:lang w:eastAsia="ja-JP"/>
        </w:rPr>
        <w:t xml:space="preserve">3 injections and </w:t>
      </w:r>
      <w:r w:rsidR="00DC55E6">
        <w:rPr>
          <w:lang w:eastAsia="ja-JP"/>
        </w:rPr>
        <w:t>≥</w:t>
      </w:r>
      <w:r w:rsidRPr="000526AB">
        <w:rPr>
          <w:lang w:eastAsia="ja-JP"/>
        </w:rPr>
        <w:t xml:space="preserve"> 4 injections sub-groups for other common CRVO disease-related TEAEs. Serious CRVO disease-re</w:t>
      </w:r>
      <w:r w:rsidR="00DC55E6">
        <w:rPr>
          <w:lang w:eastAsia="ja-JP"/>
        </w:rPr>
        <w:t xml:space="preserve">lated TEAEs of the study eye (2 to </w:t>
      </w:r>
      <w:r w:rsidRPr="000526AB">
        <w:rPr>
          <w:lang w:eastAsia="ja-JP"/>
        </w:rPr>
        <w:t>3</w:t>
      </w:r>
      <w:r w:rsidR="0091044A">
        <w:rPr>
          <w:lang w:eastAsia="ja-JP"/>
        </w:rPr>
        <w:t xml:space="preserve"> versus </w:t>
      </w:r>
      <w:r w:rsidR="00DC55E6">
        <w:rPr>
          <w:lang w:eastAsia="ja-JP"/>
        </w:rPr>
        <w:t>≥</w:t>
      </w:r>
      <w:r w:rsidRPr="000526AB">
        <w:rPr>
          <w:lang w:eastAsia="ja-JP"/>
        </w:rPr>
        <w:t xml:space="preserve"> 4 sub-groups) were macular oedema (3.4%</w:t>
      </w:r>
      <w:r w:rsidR="0091044A">
        <w:rPr>
          <w:lang w:eastAsia="ja-JP"/>
        </w:rPr>
        <w:t xml:space="preserve"> versus </w:t>
      </w:r>
      <w:r w:rsidRPr="000526AB">
        <w:rPr>
          <w:lang w:eastAsia="ja-JP"/>
        </w:rPr>
        <w:t>1.7%), cystoid macular oedema (1.1%</w:t>
      </w:r>
      <w:r w:rsidR="0091044A">
        <w:rPr>
          <w:lang w:eastAsia="ja-JP"/>
        </w:rPr>
        <w:t xml:space="preserve"> versus </w:t>
      </w:r>
      <w:r w:rsidRPr="000526AB">
        <w:rPr>
          <w:lang w:eastAsia="ja-JP"/>
        </w:rPr>
        <w:t>0%), and visual acuity reduced (1.1%</w:t>
      </w:r>
      <w:r w:rsidR="0091044A">
        <w:rPr>
          <w:lang w:eastAsia="ja-JP"/>
        </w:rPr>
        <w:t xml:space="preserve"> versus </w:t>
      </w:r>
      <w:r w:rsidR="004A4E0A">
        <w:rPr>
          <w:lang w:eastAsia="ja-JP"/>
        </w:rPr>
        <w:t>0%).</w:t>
      </w:r>
    </w:p>
    <w:p w:rsidR="000526AB" w:rsidRPr="000526AB" w:rsidRDefault="000526AB" w:rsidP="004A4E0A">
      <w:pPr>
        <w:pStyle w:val="TableTitle"/>
        <w:rPr>
          <w:lang w:eastAsia="ja-JP"/>
        </w:rPr>
      </w:pPr>
      <w:bookmarkStart w:id="189" w:name="_Toc221767089"/>
      <w:r w:rsidRPr="000526AB">
        <w:rPr>
          <w:lang w:eastAsia="ja-JP"/>
        </w:rPr>
        <w:t>Table</w:t>
      </w:r>
      <w:r w:rsidR="00DC55E6">
        <w:rPr>
          <w:lang w:eastAsia="ja-JP"/>
        </w:rPr>
        <w:t xml:space="preserve"> 36</w:t>
      </w:r>
      <w:r w:rsidRPr="000526AB">
        <w:rPr>
          <w:lang w:eastAsia="ja-JP"/>
        </w:rPr>
        <w:t>: Integrated Analysis – Common CRVO disease-related TEAEs by dosing sub-group from</w:t>
      </w:r>
      <w:r w:rsidR="00300BDB">
        <w:rPr>
          <w:lang w:eastAsia="ja-JP"/>
        </w:rPr>
        <w:t xml:space="preserve"> Week 2</w:t>
      </w:r>
      <w:r w:rsidRPr="000526AB">
        <w:rPr>
          <w:lang w:eastAsia="ja-JP"/>
        </w:rPr>
        <w:t>4 to</w:t>
      </w:r>
      <w:r w:rsidR="00300BDB">
        <w:rPr>
          <w:lang w:eastAsia="ja-JP"/>
        </w:rPr>
        <w:t xml:space="preserve"> Week 5</w:t>
      </w:r>
      <w:r w:rsidRPr="000526AB">
        <w:rPr>
          <w:lang w:eastAsia="ja-JP"/>
        </w:rPr>
        <w:t>2; subjects completing</w:t>
      </w:r>
      <w:r w:rsidR="00300BDB">
        <w:rPr>
          <w:lang w:eastAsia="ja-JP"/>
        </w:rPr>
        <w:t xml:space="preserve"> Week 5</w:t>
      </w:r>
      <w:r w:rsidRPr="000526AB">
        <w:rPr>
          <w:lang w:eastAsia="ja-JP"/>
        </w:rPr>
        <w:t>2.</w:t>
      </w:r>
      <w:bookmarkEnd w:id="189"/>
    </w:p>
    <w:tbl>
      <w:tblPr>
        <w:tblStyle w:val="TableTGAblue"/>
        <w:tblW w:w="0" w:type="auto"/>
        <w:tblLook w:val="00A0" w:firstRow="1" w:lastRow="0" w:firstColumn="1" w:lastColumn="0" w:noHBand="0" w:noVBand="0"/>
      </w:tblPr>
      <w:tblGrid>
        <w:gridCol w:w="2375"/>
        <w:gridCol w:w="2175"/>
        <w:gridCol w:w="2292"/>
        <w:gridCol w:w="2089"/>
      </w:tblGrid>
      <w:tr w:rsidR="000526AB" w:rsidRPr="000526AB" w:rsidTr="004A4E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rsidR="000526AB" w:rsidRPr="004E0EF5" w:rsidRDefault="000526AB" w:rsidP="004A4E0A">
            <w:pPr>
              <w:rPr>
                <w:sz w:val="20"/>
                <w:szCs w:val="20"/>
                <w:lang w:eastAsia="ja-JP"/>
              </w:rPr>
            </w:pPr>
          </w:p>
        </w:tc>
        <w:tc>
          <w:tcPr>
            <w:tcW w:w="2175" w:type="dxa"/>
          </w:tcPr>
          <w:p w:rsidR="000526AB" w:rsidRPr="004E0EF5" w:rsidRDefault="000526AB" w:rsidP="004A4E0A">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 3 injections (n=139)</w:t>
            </w:r>
          </w:p>
        </w:tc>
        <w:tc>
          <w:tcPr>
            <w:tcW w:w="2292" w:type="dxa"/>
          </w:tcPr>
          <w:p w:rsidR="000526AB" w:rsidRPr="004E0EF5" w:rsidRDefault="000526AB" w:rsidP="004A4E0A">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2-3 injections (n=68)</w:t>
            </w:r>
          </w:p>
        </w:tc>
        <w:tc>
          <w:tcPr>
            <w:tcW w:w="2089" w:type="dxa"/>
          </w:tcPr>
          <w:p w:rsidR="000526AB" w:rsidRPr="004E0EF5" w:rsidRDefault="000526AB" w:rsidP="004A4E0A">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 4 injections (n=59)</w:t>
            </w:r>
          </w:p>
        </w:tc>
      </w:tr>
      <w:tr w:rsidR="000526AB" w:rsidRPr="000526AB" w:rsidTr="004A4E0A">
        <w:tc>
          <w:tcPr>
            <w:cnfStyle w:val="001000000000" w:firstRow="0" w:lastRow="0" w:firstColumn="1" w:lastColumn="0" w:oddVBand="0" w:evenVBand="0" w:oddHBand="0" w:evenHBand="0" w:firstRowFirstColumn="0" w:firstRowLastColumn="0" w:lastRowFirstColumn="0" w:lastRowLastColumn="0"/>
            <w:tcW w:w="2375" w:type="dxa"/>
          </w:tcPr>
          <w:p w:rsidR="000526AB" w:rsidRPr="004E0EF5" w:rsidRDefault="000526AB" w:rsidP="004A4E0A">
            <w:pPr>
              <w:rPr>
                <w:sz w:val="20"/>
                <w:szCs w:val="20"/>
                <w:lang w:eastAsia="ja-JP"/>
              </w:rPr>
            </w:pPr>
            <w:r w:rsidRPr="004E0EF5">
              <w:rPr>
                <w:sz w:val="20"/>
                <w:szCs w:val="20"/>
                <w:lang w:eastAsia="ja-JP"/>
              </w:rPr>
              <w:t>Macular oedema</w:t>
            </w:r>
          </w:p>
        </w:tc>
        <w:tc>
          <w:tcPr>
            <w:tcW w:w="2175"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23.7% (n=33)</w:t>
            </w:r>
          </w:p>
        </w:tc>
        <w:tc>
          <w:tcPr>
            <w:tcW w:w="2292"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34.1% (n=30)</w:t>
            </w:r>
          </w:p>
        </w:tc>
        <w:tc>
          <w:tcPr>
            <w:tcW w:w="2089"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18.6% (n=11)</w:t>
            </w:r>
          </w:p>
        </w:tc>
      </w:tr>
      <w:tr w:rsidR="000526AB" w:rsidRPr="000526AB" w:rsidTr="004A4E0A">
        <w:tc>
          <w:tcPr>
            <w:cnfStyle w:val="001000000000" w:firstRow="0" w:lastRow="0" w:firstColumn="1" w:lastColumn="0" w:oddVBand="0" w:evenVBand="0" w:oddHBand="0" w:evenHBand="0" w:firstRowFirstColumn="0" w:firstRowLastColumn="0" w:lastRowFirstColumn="0" w:lastRowLastColumn="0"/>
            <w:tcW w:w="2375" w:type="dxa"/>
          </w:tcPr>
          <w:p w:rsidR="000526AB" w:rsidRPr="004E0EF5" w:rsidRDefault="000526AB" w:rsidP="004A4E0A">
            <w:pPr>
              <w:rPr>
                <w:sz w:val="20"/>
                <w:szCs w:val="20"/>
                <w:lang w:eastAsia="ja-JP"/>
              </w:rPr>
            </w:pPr>
            <w:r w:rsidRPr="004E0EF5">
              <w:rPr>
                <w:sz w:val="20"/>
                <w:szCs w:val="20"/>
                <w:lang w:eastAsia="ja-JP"/>
              </w:rPr>
              <w:t>Visual acuity reduced</w:t>
            </w:r>
          </w:p>
        </w:tc>
        <w:tc>
          <w:tcPr>
            <w:tcW w:w="2175"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10.1% (n=14)</w:t>
            </w:r>
          </w:p>
        </w:tc>
        <w:tc>
          <w:tcPr>
            <w:tcW w:w="2292"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13.6% (n=12)</w:t>
            </w:r>
          </w:p>
        </w:tc>
        <w:tc>
          <w:tcPr>
            <w:tcW w:w="2089"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20.3% (n=12)</w:t>
            </w:r>
          </w:p>
        </w:tc>
      </w:tr>
      <w:tr w:rsidR="000526AB" w:rsidRPr="000526AB" w:rsidTr="004A4E0A">
        <w:tc>
          <w:tcPr>
            <w:cnfStyle w:val="001000000000" w:firstRow="0" w:lastRow="0" w:firstColumn="1" w:lastColumn="0" w:oddVBand="0" w:evenVBand="0" w:oddHBand="0" w:evenHBand="0" w:firstRowFirstColumn="0" w:firstRowLastColumn="0" w:lastRowFirstColumn="0" w:lastRowLastColumn="0"/>
            <w:tcW w:w="2375" w:type="dxa"/>
          </w:tcPr>
          <w:p w:rsidR="000526AB" w:rsidRPr="004E0EF5" w:rsidRDefault="000526AB" w:rsidP="004A4E0A">
            <w:pPr>
              <w:rPr>
                <w:sz w:val="20"/>
                <w:szCs w:val="20"/>
                <w:lang w:eastAsia="ja-JP"/>
              </w:rPr>
            </w:pPr>
            <w:r w:rsidRPr="004E0EF5">
              <w:rPr>
                <w:sz w:val="20"/>
                <w:szCs w:val="20"/>
                <w:lang w:eastAsia="ja-JP"/>
              </w:rPr>
              <w:t>Cystoid macular oedema</w:t>
            </w:r>
          </w:p>
        </w:tc>
        <w:tc>
          <w:tcPr>
            <w:tcW w:w="2175"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5.0% (n=7)</w:t>
            </w:r>
          </w:p>
        </w:tc>
        <w:tc>
          <w:tcPr>
            <w:tcW w:w="2292"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8.0% (n=7)</w:t>
            </w:r>
          </w:p>
        </w:tc>
        <w:tc>
          <w:tcPr>
            <w:tcW w:w="2089"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8.5% (n=5)</w:t>
            </w:r>
          </w:p>
        </w:tc>
      </w:tr>
      <w:tr w:rsidR="000526AB" w:rsidRPr="000526AB" w:rsidTr="004A4E0A">
        <w:tc>
          <w:tcPr>
            <w:cnfStyle w:val="001000000000" w:firstRow="0" w:lastRow="0" w:firstColumn="1" w:lastColumn="0" w:oddVBand="0" w:evenVBand="0" w:oddHBand="0" w:evenHBand="0" w:firstRowFirstColumn="0" w:firstRowLastColumn="0" w:lastRowFirstColumn="0" w:lastRowLastColumn="0"/>
            <w:tcW w:w="2375" w:type="dxa"/>
          </w:tcPr>
          <w:p w:rsidR="000526AB" w:rsidRPr="004E0EF5" w:rsidRDefault="000526AB" w:rsidP="004A4E0A">
            <w:pPr>
              <w:rPr>
                <w:sz w:val="20"/>
                <w:szCs w:val="20"/>
                <w:lang w:eastAsia="ja-JP"/>
              </w:rPr>
            </w:pPr>
            <w:r w:rsidRPr="004E0EF5">
              <w:rPr>
                <w:sz w:val="20"/>
                <w:szCs w:val="20"/>
                <w:lang w:eastAsia="ja-JP"/>
              </w:rPr>
              <w:t>Macular degeneration</w:t>
            </w:r>
          </w:p>
        </w:tc>
        <w:tc>
          <w:tcPr>
            <w:tcW w:w="2175"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1.4% (n=2)</w:t>
            </w:r>
          </w:p>
        </w:tc>
        <w:tc>
          <w:tcPr>
            <w:tcW w:w="2292"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2.3% (n=2)</w:t>
            </w:r>
          </w:p>
        </w:tc>
        <w:tc>
          <w:tcPr>
            <w:tcW w:w="2089"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0%</w:t>
            </w:r>
          </w:p>
        </w:tc>
      </w:tr>
      <w:tr w:rsidR="000526AB" w:rsidRPr="000526AB" w:rsidTr="004A4E0A">
        <w:tc>
          <w:tcPr>
            <w:cnfStyle w:val="001000000000" w:firstRow="0" w:lastRow="0" w:firstColumn="1" w:lastColumn="0" w:oddVBand="0" w:evenVBand="0" w:oddHBand="0" w:evenHBand="0" w:firstRowFirstColumn="0" w:firstRowLastColumn="0" w:lastRowFirstColumn="0" w:lastRowLastColumn="0"/>
            <w:tcW w:w="2375" w:type="dxa"/>
          </w:tcPr>
          <w:p w:rsidR="000526AB" w:rsidRPr="004E0EF5" w:rsidRDefault="004E0EF5" w:rsidP="004A4E0A">
            <w:pPr>
              <w:rPr>
                <w:sz w:val="20"/>
                <w:szCs w:val="20"/>
                <w:lang w:eastAsia="ja-JP"/>
              </w:rPr>
            </w:pPr>
            <w:r>
              <w:rPr>
                <w:sz w:val="20"/>
                <w:szCs w:val="20"/>
                <w:lang w:eastAsia="ja-JP"/>
              </w:rPr>
              <w:t>Retinal haemorrhage</w:t>
            </w:r>
          </w:p>
        </w:tc>
        <w:tc>
          <w:tcPr>
            <w:tcW w:w="2175"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5.8% (n=8)</w:t>
            </w:r>
          </w:p>
        </w:tc>
        <w:tc>
          <w:tcPr>
            <w:tcW w:w="2292"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4.5% (n=4)</w:t>
            </w:r>
          </w:p>
        </w:tc>
        <w:tc>
          <w:tcPr>
            <w:tcW w:w="2089"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6.8% (n=4)</w:t>
            </w:r>
          </w:p>
        </w:tc>
      </w:tr>
      <w:tr w:rsidR="000526AB" w:rsidRPr="000526AB" w:rsidTr="004A4E0A">
        <w:tc>
          <w:tcPr>
            <w:cnfStyle w:val="001000000000" w:firstRow="0" w:lastRow="0" w:firstColumn="1" w:lastColumn="0" w:oddVBand="0" w:evenVBand="0" w:oddHBand="0" w:evenHBand="0" w:firstRowFirstColumn="0" w:firstRowLastColumn="0" w:lastRowFirstColumn="0" w:lastRowLastColumn="0"/>
            <w:tcW w:w="2375" w:type="dxa"/>
          </w:tcPr>
          <w:p w:rsidR="000526AB" w:rsidRPr="004E0EF5" w:rsidRDefault="000526AB" w:rsidP="004A4E0A">
            <w:pPr>
              <w:rPr>
                <w:sz w:val="20"/>
                <w:szCs w:val="20"/>
                <w:lang w:eastAsia="ja-JP"/>
              </w:rPr>
            </w:pPr>
            <w:r w:rsidRPr="004E0EF5">
              <w:rPr>
                <w:sz w:val="20"/>
                <w:szCs w:val="20"/>
                <w:lang w:eastAsia="ja-JP"/>
              </w:rPr>
              <w:t>Retinal pigment epitheliopathy</w:t>
            </w:r>
          </w:p>
        </w:tc>
        <w:tc>
          <w:tcPr>
            <w:tcW w:w="2175"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2.2% (n=3)</w:t>
            </w:r>
          </w:p>
        </w:tc>
        <w:tc>
          <w:tcPr>
            <w:tcW w:w="2292"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2.3% (n=2)</w:t>
            </w:r>
          </w:p>
        </w:tc>
        <w:tc>
          <w:tcPr>
            <w:tcW w:w="2089"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 xml:space="preserve">0% </w:t>
            </w:r>
          </w:p>
        </w:tc>
      </w:tr>
      <w:tr w:rsidR="000526AB" w:rsidRPr="000526AB" w:rsidTr="004A4E0A">
        <w:tc>
          <w:tcPr>
            <w:cnfStyle w:val="001000000000" w:firstRow="0" w:lastRow="0" w:firstColumn="1" w:lastColumn="0" w:oddVBand="0" w:evenVBand="0" w:oddHBand="0" w:evenHBand="0" w:firstRowFirstColumn="0" w:firstRowLastColumn="0" w:lastRowFirstColumn="0" w:lastRowLastColumn="0"/>
            <w:tcW w:w="2375" w:type="dxa"/>
          </w:tcPr>
          <w:p w:rsidR="000526AB" w:rsidRPr="004E0EF5" w:rsidRDefault="000526AB" w:rsidP="004A4E0A">
            <w:pPr>
              <w:rPr>
                <w:sz w:val="20"/>
                <w:szCs w:val="20"/>
                <w:lang w:eastAsia="ja-JP"/>
              </w:rPr>
            </w:pPr>
            <w:r w:rsidRPr="004E0EF5">
              <w:rPr>
                <w:sz w:val="20"/>
                <w:szCs w:val="20"/>
                <w:lang w:eastAsia="ja-JP"/>
              </w:rPr>
              <w:t xml:space="preserve">Retinal </w:t>
            </w:r>
            <w:r w:rsidR="00ED3DEB" w:rsidRPr="004E0EF5">
              <w:rPr>
                <w:sz w:val="20"/>
                <w:szCs w:val="20"/>
                <w:lang w:eastAsia="ja-JP"/>
              </w:rPr>
              <w:t>neovascularisation</w:t>
            </w:r>
          </w:p>
        </w:tc>
        <w:tc>
          <w:tcPr>
            <w:tcW w:w="2175"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0.7% (n=1)</w:t>
            </w:r>
          </w:p>
        </w:tc>
        <w:tc>
          <w:tcPr>
            <w:tcW w:w="2292"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1.1% (n=1)</w:t>
            </w:r>
          </w:p>
        </w:tc>
        <w:tc>
          <w:tcPr>
            <w:tcW w:w="2089" w:type="dxa"/>
          </w:tcPr>
          <w:p w:rsidR="000526AB" w:rsidRPr="004E0EF5" w:rsidRDefault="000526AB" w:rsidP="004A4E0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E0EF5">
              <w:rPr>
                <w:sz w:val="20"/>
                <w:szCs w:val="20"/>
                <w:lang w:eastAsia="ja-JP"/>
              </w:rPr>
              <w:t>1.7% (n=1)</w:t>
            </w:r>
          </w:p>
        </w:tc>
      </w:tr>
    </w:tbl>
    <w:p w:rsidR="00C22678" w:rsidRPr="00586F98" w:rsidRDefault="000526AB" w:rsidP="004A4E0A">
      <w:pPr>
        <w:rPr>
          <w:lang w:eastAsia="ja-JP"/>
        </w:rPr>
      </w:pPr>
      <w:r w:rsidRPr="000526AB">
        <w:rPr>
          <w:lang w:eastAsia="ja-JP"/>
        </w:rPr>
        <w:t xml:space="preserve">TEAEs of interest occurred in a higher proportion of subjects in the </w:t>
      </w:r>
      <w:r w:rsidR="00DC55E6">
        <w:rPr>
          <w:lang w:eastAsia="ja-JP"/>
        </w:rPr>
        <w:t>≥</w:t>
      </w:r>
      <w:r w:rsidRPr="000526AB">
        <w:rPr>
          <w:lang w:eastAsia="ja-JP"/>
        </w:rPr>
        <w:t xml:space="preserve"> 4 injections sub-group (27/59 [45.8%]) compared with the 2</w:t>
      </w:r>
      <w:r w:rsidR="00DC55E6">
        <w:rPr>
          <w:lang w:eastAsia="ja-JP"/>
        </w:rPr>
        <w:t xml:space="preserve"> to </w:t>
      </w:r>
      <w:r w:rsidRPr="000526AB">
        <w:rPr>
          <w:lang w:eastAsia="ja-JP"/>
        </w:rPr>
        <w:t>3 injections sub</w:t>
      </w:r>
      <w:r w:rsidR="00DC55E6">
        <w:rPr>
          <w:lang w:eastAsia="ja-JP"/>
        </w:rPr>
        <w:t xml:space="preserve"> </w:t>
      </w:r>
      <w:r w:rsidRPr="000526AB">
        <w:rPr>
          <w:lang w:eastAsia="ja-JP"/>
        </w:rPr>
        <w:t>group (31.8% [28/88]). TEAEs of interest occurring in ≥ 2% of subjects in the ≥ 4 injections sub-group and in ≥ 2% more subjects than in the 2-3 injections sub-group were: visual acuity reduced (20.3%</w:t>
      </w:r>
      <w:r w:rsidR="0091044A">
        <w:rPr>
          <w:lang w:eastAsia="ja-JP"/>
        </w:rPr>
        <w:t xml:space="preserve"> versus </w:t>
      </w:r>
      <w:r w:rsidRPr="000526AB">
        <w:rPr>
          <w:lang w:eastAsia="ja-JP"/>
        </w:rPr>
        <w:t>13.6%); visual impairment (3.4%</w:t>
      </w:r>
      <w:r w:rsidR="0091044A">
        <w:rPr>
          <w:lang w:eastAsia="ja-JP"/>
        </w:rPr>
        <w:t xml:space="preserve"> versus </w:t>
      </w:r>
      <w:r w:rsidRPr="000526AB">
        <w:rPr>
          <w:lang w:eastAsia="ja-JP"/>
        </w:rPr>
        <w:t>1.1%); conjunctival haemorrhage (11.9%</w:t>
      </w:r>
      <w:r w:rsidR="0091044A">
        <w:rPr>
          <w:lang w:eastAsia="ja-JP"/>
        </w:rPr>
        <w:t xml:space="preserve"> versus </w:t>
      </w:r>
      <w:r w:rsidRPr="000526AB">
        <w:rPr>
          <w:lang w:eastAsia="ja-JP"/>
        </w:rPr>
        <w:t>5.7%); and eye pain (8.5%</w:t>
      </w:r>
      <w:r w:rsidR="0091044A">
        <w:rPr>
          <w:lang w:eastAsia="ja-JP"/>
        </w:rPr>
        <w:t xml:space="preserve"> versus </w:t>
      </w:r>
      <w:r w:rsidRPr="000526AB">
        <w:rPr>
          <w:lang w:eastAsia="ja-JP"/>
        </w:rPr>
        <w:t>3.3%).</w:t>
      </w:r>
    </w:p>
    <w:p w:rsidR="00C22678" w:rsidRDefault="00C22678" w:rsidP="004A4E0A">
      <w:pPr>
        <w:pStyle w:val="Heading2"/>
      </w:pPr>
      <w:bookmarkStart w:id="190" w:name="_Toc396651364"/>
      <w:r>
        <w:lastRenderedPageBreak/>
        <w:t>First round benefit-risk assessment</w:t>
      </w:r>
      <w:bookmarkEnd w:id="190"/>
    </w:p>
    <w:p w:rsidR="000526AB" w:rsidRDefault="000526AB" w:rsidP="004A4E0A">
      <w:pPr>
        <w:pStyle w:val="Heading3"/>
      </w:pPr>
      <w:bookmarkStart w:id="191" w:name="_Toc236802592"/>
      <w:bookmarkStart w:id="192" w:name="_Toc241374331"/>
      <w:bookmarkStart w:id="193" w:name="_Ref272160836"/>
      <w:bookmarkStart w:id="194" w:name="_Toc272414693"/>
      <w:bookmarkStart w:id="195" w:name="_Toc290846331"/>
      <w:bookmarkStart w:id="196" w:name="_Toc221697338"/>
      <w:bookmarkStart w:id="197" w:name="_Toc396651365"/>
      <w:r>
        <w:t>First round assessment of benefits</w:t>
      </w:r>
      <w:bookmarkEnd w:id="191"/>
      <w:bookmarkEnd w:id="192"/>
      <w:bookmarkEnd w:id="193"/>
      <w:bookmarkEnd w:id="194"/>
      <w:bookmarkEnd w:id="195"/>
      <w:bookmarkEnd w:id="196"/>
      <w:bookmarkEnd w:id="197"/>
    </w:p>
    <w:p w:rsidR="000526AB" w:rsidRDefault="000526AB" w:rsidP="004A4E0A">
      <w:r w:rsidRPr="00641E0E">
        <w:t>The benefits of treatment for the proposed usage primarily relate to improvement in BCVA and reduction in CRT. In both COPERNICUS and GALILEO, the proportion of subjects gaining 15 or more letter</w:t>
      </w:r>
      <w:r>
        <w:t>s in the ETDRS letter score at</w:t>
      </w:r>
      <w:r w:rsidR="00300BDB">
        <w:t xml:space="preserve"> Week 2</w:t>
      </w:r>
      <w:r w:rsidRPr="00641E0E">
        <w:t xml:space="preserve">4 (pre-specified primary efficacy analysis adjusted for baseline region and BCVA) was clinically and statistically significantly greater in the VTE2Q4 </w:t>
      </w:r>
      <w:r>
        <w:t>group</w:t>
      </w:r>
      <w:r w:rsidRPr="00641E0E">
        <w:t xml:space="preserve"> than in the sham </w:t>
      </w:r>
      <w:r>
        <w:t>group</w:t>
      </w:r>
      <w:r w:rsidRPr="00641E0E">
        <w:t xml:space="preserve">. </w:t>
      </w:r>
      <w:r>
        <w:t>In both COPERNICUS and GALILEO, the improvements in BCVA observed at</w:t>
      </w:r>
      <w:r w:rsidR="00300BDB">
        <w:t xml:space="preserve"> Week 2</w:t>
      </w:r>
      <w:r>
        <w:t>4 in the VTE2Q4 groups were largely maintained through to</w:t>
      </w:r>
      <w:r w:rsidR="00300BDB">
        <w:t xml:space="preserve"> Week 5</w:t>
      </w:r>
      <w:r>
        <w:t>2 following a switch to VTE PRN at</w:t>
      </w:r>
      <w:r w:rsidR="00300BDB">
        <w:t xml:space="preserve"> Week 2</w:t>
      </w:r>
      <w:r w:rsidR="004A4E0A">
        <w:t>4.</w:t>
      </w:r>
    </w:p>
    <w:p w:rsidR="000526AB" w:rsidRPr="00641E0E" w:rsidRDefault="000526AB" w:rsidP="004A4E0A">
      <w:r w:rsidRPr="00641E0E">
        <w:t xml:space="preserve">In COPERNICUS, 56.1% (64/114) of subjects in the VTE2Q4 </w:t>
      </w:r>
      <w:r>
        <w:t>group gained 15 or more letters at</w:t>
      </w:r>
      <w:r w:rsidR="00300BDB">
        <w:t xml:space="preserve"> Week 2</w:t>
      </w:r>
      <w:r w:rsidRPr="00641E0E">
        <w:t xml:space="preserve">4 compared with 12.3% (9/73) of subjects in the sham </w:t>
      </w:r>
      <w:r>
        <w:t>group</w:t>
      </w:r>
      <w:r w:rsidRPr="00641E0E">
        <w:t xml:space="preserve">, with the adjusted difference between the two </w:t>
      </w:r>
      <w:r>
        <w:t>group</w:t>
      </w:r>
      <w:r w:rsidRPr="00641E0E">
        <w:t xml:space="preserve">s being 44.8% (95% CI: 33.0, 56.6), p&lt;0.0001. In GALILEO, 60.2% (62/103) of subjects in the VTE2Q4 </w:t>
      </w:r>
      <w:r>
        <w:t>group gained 15 or more letters at</w:t>
      </w:r>
      <w:r w:rsidR="00300BDB">
        <w:t xml:space="preserve"> Week 2</w:t>
      </w:r>
      <w:r w:rsidRPr="00641E0E">
        <w:t xml:space="preserve">4 compared with 22.1% (15/68) in the sham </w:t>
      </w:r>
      <w:r>
        <w:t>group</w:t>
      </w:r>
      <w:r w:rsidRPr="00641E0E">
        <w:t xml:space="preserve">, with the adjusted difference between the two </w:t>
      </w:r>
      <w:r>
        <w:t>group</w:t>
      </w:r>
      <w:r w:rsidRPr="00641E0E">
        <w:t xml:space="preserve">s being 38.3% </w:t>
      </w:r>
      <w:r>
        <w:t>(95% CI: 24.4, 52.1), p&lt;0.0001. In the primary efficacy analysis, in COPERNICUS discontinued subjects before</w:t>
      </w:r>
      <w:r w:rsidR="00300BDB">
        <w:t xml:space="preserve"> Week 2</w:t>
      </w:r>
      <w:r w:rsidRPr="00641E0E">
        <w:t xml:space="preserve">4 with &lt; 5 injections </w:t>
      </w:r>
      <w:r>
        <w:t xml:space="preserve">were assessed </w:t>
      </w:r>
      <w:r w:rsidRPr="00641E0E">
        <w:t xml:space="preserve">as </w:t>
      </w:r>
      <w:r>
        <w:t xml:space="preserve">treatment </w:t>
      </w:r>
      <w:r w:rsidRPr="00641E0E">
        <w:t>failures (o</w:t>
      </w:r>
      <w:r>
        <w:t>therwise LOCF), while in GALILEO discontinued subjects before</w:t>
      </w:r>
      <w:r w:rsidR="00300BDB">
        <w:t xml:space="preserve"> Week 2</w:t>
      </w:r>
      <w:r w:rsidRPr="00641E0E">
        <w:t xml:space="preserve">4 </w:t>
      </w:r>
      <w:r>
        <w:t xml:space="preserve">were assessed </w:t>
      </w:r>
      <w:r w:rsidRPr="00641E0E">
        <w:t>as treatment failures.</w:t>
      </w:r>
    </w:p>
    <w:p w:rsidR="000526AB" w:rsidRPr="00641E0E" w:rsidRDefault="000526AB" w:rsidP="004A4E0A">
      <w:r w:rsidRPr="00641E0E">
        <w:t>In COPERNICUS, the results for all four s</w:t>
      </w:r>
      <w:r>
        <w:t>econdary efficacy endpoints at</w:t>
      </w:r>
      <w:r w:rsidR="00300BDB">
        <w:t xml:space="preserve"> Week 2</w:t>
      </w:r>
      <w:r w:rsidRPr="00641E0E">
        <w:t>4 (analysed in a pre</w:t>
      </w:r>
      <w:r w:rsidR="007932BD">
        <w:t xml:space="preserve"> </w:t>
      </w:r>
      <w:r w:rsidRPr="00641E0E">
        <w:t>specified hierarchical manner to account for multiplicity) clinically and statistically significantly favoured VTE2Q4 compared with sham (</w:t>
      </w:r>
      <w:r w:rsidR="007932BD">
        <w:t>that is</w:t>
      </w:r>
      <w:r w:rsidRPr="00641E0E">
        <w:t xml:space="preserve">, change </w:t>
      </w:r>
      <w:r>
        <w:t>from baseline in BCVA score at</w:t>
      </w:r>
      <w:r w:rsidR="00300BDB">
        <w:t xml:space="preserve"> Week 2</w:t>
      </w:r>
      <w:r w:rsidRPr="00641E0E">
        <w:t xml:space="preserve">4, </w:t>
      </w:r>
      <w:r>
        <w:t>change from baseline in CRT at</w:t>
      </w:r>
      <w:r w:rsidR="00300BDB">
        <w:t xml:space="preserve"> Week 2</w:t>
      </w:r>
      <w:r w:rsidRPr="00641E0E">
        <w:t>4, progressio</w:t>
      </w:r>
      <w:r>
        <w:t xml:space="preserve">n to any </w:t>
      </w:r>
      <w:r w:rsidR="00ED3DEB">
        <w:t>neovascularisation</w:t>
      </w:r>
      <w:r>
        <w:t xml:space="preserve"> at</w:t>
      </w:r>
      <w:r w:rsidR="00300BDB">
        <w:t xml:space="preserve"> Week 2</w:t>
      </w:r>
      <w:r w:rsidRPr="00641E0E">
        <w:t>4, and change from baseline in</w:t>
      </w:r>
      <w:r>
        <w:t xml:space="preserve"> the NEI VFQ-25 total score at</w:t>
      </w:r>
      <w:r w:rsidR="00300BDB">
        <w:t xml:space="preserve"> Week 2</w:t>
      </w:r>
      <w:r w:rsidRPr="00641E0E">
        <w:t xml:space="preserve">4). In GALILEO, there were five secondary efficacy endpoints and clinically and statistically significant differences in favour of VTE2Q4 compared with sham were seen for the first two endpoints tested using </w:t>
      </w:r>
      <w:r>
        <w:t xml:space="preserve">the </w:t>
      </w:r>
      <w:r w:rsidRPr="00641E0E">
        <w:t>pre-specified hierarchical sequence</w:t>
      </w:r>
      <w:r>
        <w:t xml:space="preserve"> (</w:t>
      </w:r>
      <w:r w:rsidR="007932BD">
        <w:t>that is</w:t>
      </w:r>
      <w:r>
        <w:t xml:space="preserve">, </w:t>
      </w:r>
      <w:r w:rsidRPr="00641E0E">
        <w:t>change from baseline in BCVA score at</w:t>
      </w:r>
      <w:r w:rsidR="00300BDB">
        <w:t xml:space="preserve"> Week 2</w:t>
      </w:r>
      <w:r w:rsidRPr="00641E0E">
        <w:t xml:space="preserve">4 and </w:t>
      </w:r>
      <w:r>
        <w:t>change from baseline in CRT at</w:t>
      </w:r>
      <w:r w:rsidR="00300BDB">
        <w:t xml:space="preserve"> Week 2</w:t>
      </w:r>
      <w:r w:rsidRPr="00641E0E">
        <w:t xml:space="preserve">4). However, as there was no statistically significant difference between the two treatments for </w:t>
      </w:r>
      <w:r>
        <w:t xml:space="preserve">the third </w:t>
      </w:r>
      <w:r w:rsidRPr="00641E0E">
        <w:t xml:space="preserve">secondary efficacy endpoint </w:t>
      </w:r>
      <w:r>
        <w:t xml:space="preserve">in the testing sequence </w:t>
      </w:r>
      <w:r w:rsidRPr="00641E0E">
        <w:t>(</w:t>
      </w:r>
      <w:r w:rsidR="007932BD">
        <w:t>that is,</w:t>
      </w:r>
      <w:r w:rsidRPr="00641E0E">
        <w:t xml:space="preserve"> progression to any </w:t>
      </w:r>
      <w:r w:rsidR="00ED3DEB">
        <w:t>neovascularisation</w:t>
      </w:r>
      <w:r w:rsidRPr="00641E0E">
        <w:t xml:space="preserve"> at</w:t>
      </w:r>
      <w:r w:rsidR="00300BDB">
        <w:t xml:space="preserve"> Week 2</w:t>
      </w:r>
      <w:r w:rsidRPr="00641E0E">
        <w:t xml:space="preserve">4) hypothesis testing was stopped. Therefore, for the sequential fourth and fifth secondary efficacy endpoints, the p-values for the comparisons between the two treatment </w:t>
      </w:r>
      <w:r>
        <w:t>group</w:t>
      </w:r>
      <w:r w:rsidRPr="00641E0E">
        <w:t>s were nominal rather than confirmatory (</w:t>
      </w:r>
      <w:r w:rsidR="007932BD">
        <w:t>that is,</w:t>
      </w:r>
      <w:r w:rsidRPr="00641E0E">
        <w:t xml:space="preserve"> changes from baseline in the NEI VFQ-25 total score [</w:t>
      </w:r>
      <w:r w:rsidR="007932BD">
        <w:t>fourth</w:t>
      </w:r>
      <w:r w:rsidRPr="00641E0E">
        <w:t xml:space="preserve"> endpoint] and the EQ-5D total score [</w:t>
      </w:r>
      <w:r w:rsidR="007932BD">
        <w:t>fifth</w:t>
      </w:r>
      <w:r w:rsidRPr="00641E0E">
        <w:rPr>
          <w:vertAlign w:val="superscript"/>
        </w:rPr>
        <w:t xml:space="preserve"> </w:t>
      </w:r>
      <w:r>
        <w:t>endpoint] at</w:t>
      </w:r>
      <w:r w:rsidR="00300BDB">
        <w:t xml:space="preserve"> Week 2</w:t>
      </w:r>
      <w:r w:rsidRPr="00641E0E">
        <w:t>4).</w:t>
      </w:r>
    </w:p>
    <w:p w:rsidR="000526AB" w:rsidRDefault="000526AB" w:rsidP="004A4E0A">
      <w:r w:rsidRPr="00454A83">
        <w:t xml:space="preserve">Following </w:t>
      </w:r>
      <w:r>
        <w:t xml:space="preserve">switching to VTE PRN </w:t>
      </w:r>
      <w:r w:rsidRPr="00454A83">
        <w:t>at</w:t>
      </w:r>
      <w:r w:rsidR="00300BDB">
        <w:t xml:space="preserve"> Week 2</w:t>
      </w:r>
      <w:r w:rsidRPr="00454A83">
        <w:t>4, BCVA was largely maintained through to</w:t>
      </w:r>
      <w:r w:rsidR="00300BDB">
        <w:t xml:space="preserve"> Week 5</w:t>
      </w:r>
      <w:r w:rsidRPr="00454A83">
        <w:t xml:space="preserve">2 in the VTE2Q4+PRN </w:t>
      </w:r>
      <w:r>
        <w:t>group</w:t>
      </w:r>
      <w:r w:rsidRPr="00454A83">
        <w:t xml:space="preserve">s in both COPERNICUS and GALILEO. In COPERNICUS, the proportion of subjects </w:t>
      </w:r>
      <w:r>
        <w:t xml:space="preserve">in the VTE2Q4+PRN group </w:t>
      </w:r>
      <w:r w:rsidRPr="00454A83">
        <w:t xml:space="preserve">who gained at least 15 letters from baseline at </w:t>
      </w:r>
      <w:r w:rsidR="007932BD">
        <w:t>W</w:t>
      </w:r>
      <w:r w:rsidRPr="00454A83">
        <w:t>eek</w:t>
      </w:r>
      <w:r>
        <w:t>s</w:t>
      </w:r>
      <w:r w:rsidRPr="00454A83">
        <w:t xml:space="preserve"> 24 </w:t>
      </w:r>
      <w:r>
        <w:t xml:space="preserve">and 52 were </w:t>
      </w:r>
      <w:r w:rsidRPr="00454A83">
        <w:t>56.1% and</w:t>
      </w:r>
      <w:r>
        <w:t xml:space="preserve"> </w:t>
      </w:r>
      <w:r w:rsidRPr="00454A83">
        <w:t xml:space="preserve">55.3%, </w:t>
      </w:r>
      <w:r>
        <w:t xml:space="preserve">respectively. In GALILEO, the proportion </w:t>
      </w:r>
      <w:r w:rsidRPr="00454A83">
        <w:t xml:space="preserve">of subjects </w:t>
      </w:r>
      <w:r>
        <w:t xml:space="preserve">in the VTE2Q4+PRN group </w:t>
      </w:r>
      <w:r w:rsidRPr="00454A83">
        <w:t xml:space="preserve">who gained at least 15 letters from baseline at </w:t>
      </w:r>
      <w:r w:rsidR="007932BD">
        <w:t>W</w:t>
      </w:r>
      <w:r w:rsidRPr="00454A83">
        <w:t>eek</w:t>
      </w:r>
      <w:r>
        <w:t>s</w:t>
      </w:r>
      <w:r w:rsidRPr="00454A83">
        <w:t xml:space="preserve"> 24 </w:t>
      </w:r>
      <w:r>
        <w:t xml:space="preserve">and 52 were </w:t>
      </w:r>
      <w:r w:rsidRPr="00454A83">
        <w:t>60.2% and 58.</w:t>
      </w:r>
      <w:r>
        <w:t>3%, respectively. In COPERNICUS, the mean improvement from baseline in the B</w:t>
      </w:r>
      <w:r w:rsidR="007932BD">
        <w:t>CVA in the VTE2Q4+PRN group at W</w:t>
      </w:r>
      <w:r>
        <w:t>eeks 24 and 52 was 17.3 and 16.2 letters, respectively (</w:t>
      </w:r>
      <w:r w:rsidR="007932BD">
        <w:t>that is,</w:t>
      </w:r>
      <w:r>
        <w:t xml:space="preserve"> a loss of approximately 1 letter between the two time-points). In GALILEO, the mean improvement from baseline in the B</w:t>
      </w:r>
      <w:r w:rsidR="007932BD">
        <w:t>CVA in the VTE2Q4+PRN group at W</w:t>
      </w:r>
      <w:r>
        <w:t>eeks 24 and 52 was 18 and 16.9 letters, respectively (</w:t>
      </w:r>
      <w:r w:rsidR="007932BD">
        <w:t>that is,</w:t>
      </w:r>
      <w:r>
        <w:t xml:space="preserve"> a loss of approximately 1 letter between the two time-points). </w:t>
      </w:r>
      <w:r w:rsidRPr="00454A83">
        <w:t xml:space="preserve">In both studies, subjects in the VTE2Q4 </w:t>
      </w:r>
      <w:r>
        <w:t>group</w:t>
      </w:r>
      <w:r w:rsidRPr="00454A83">
        <w:t xml:space="preserve"> experienced</w:t>
      </w:r>
      <w:r w:rsidR="00301349">
        <w:t xml:space="preserve"> </w:t>
      </w:r>
      <w:r>
        <w:t xml:space="preserve">improvement in </w:t>
      </w:r>
      <w:r w:rsidRPr="00454A83">
        <w:t>the BCVA letter score by the first post</w:t>
      </w:r>
      <w:r w:rsidR="007932BD">
        <w:t xml:space="preserve"> </w:t>
      </w:r>
      <w:r w:rsidRPr="00454A83">
        <w:t>baseline measurement at Week 4, which continued over the course of treatme</w:t>
      </w:r>
      <w:r>
        <w:t>nt until about</w:t>
      </w:r>
      <w:r w:rsidR="00300BDB">
        <w:t xml:space="preserve"> Week 1</w:t>
      </w:r>
      <w:r>
        <w:t>6/</w:t>
      </w:r>
      <w:r w:rsidR="007932BD">
        <w:t>W</w:t>
      </w:r>
      <w:r>
        <w:t xml:space="preserve">eek 20 </w:t>
      </w:r>
      <w:r w:rsidR="007932BD">
        <w:t>after which BCVA stabilis</w:t>
      </w:r>
      <w:r w:rsidRPr="00454A83">
        <w:t xml:space="preserve">ed at a mean improvement of about 17 to 18 letters </w:t>
      </w:r>
      <w:r>
        <w:t xml:space="preserve">compared with </w:t>
      </w:r>
      <w:r w:rsidRPr="00454A83">
        <w:t>baseline. In contrast, in sub</w:t>
      </w:r>
      <w:r>
        <w:t xml:space="preserve">jects </w:t>
      </w:r>
      <w:r w:rsidRPr="00454A83">
        <w:t xml:space="preserve">in the sham </w:t>
      </w:r>
      <w:r>
        <w:t>group</w:t>
      </w:r>
      <w:r w:rsidRPr="00454A83">
        <w:t xml:space="preserve"> </w:t>
      </w:r>
      <w:r>
        <w:t xml:space="preserve">in GALILEO </w:t>
      </w:r>
      <w:r w:rsidRPr="00454A83">
        <w:t xml:space="preserve">there was only a minor improvement in </w:t>
      </w:r>
      <w:r>
        <w:t>BCVA letter score from baseline to</w:t>
      </w:r>
      <w:r w:rsidR="00300BDB">
        <w:t xml:space="preserve"> Week 2</w:t>
      </w:r>
      <w:r>
        <w:t xml:space="preserve">4 </w:t>
      </w:r>
      <w:r>
        <w:lastRenderedPageBreak/>
        <w:t>(gain of 3.3 letters), and in COPERNICUS there was no improvement in BCVA from baseline to</w:t>
      </w:r>
      <w:r w:rsidR="00300BDB">
        <w:t xml:space="preserve"> Week 2</w:t>
      </w:r>
      <w:r w:rsidR="004A4E0A">
        <w:t>4 (loss of 4.0 letters).</w:t>
      </w:r>
    </w:p>
    <w:p w:rsidR="000526AB" w:rsidRDefault="000526AB" w:rsidP="004A4E0A">
      <w:r>
        <w:t>Following switching to VTE PRN at</w:t>
      </w:r>
      <w:r w:rsidR="00300BDB">
        <w:t xml:space="preserve"> Week 2</w:t>
      </w:r>
      <w:r>
        <w:t>4, in the VTE2Q4+PRN groups the mean CRT increased from week 48 to</w:t>
      </w:r>
      <w:r w:rsidR="00300BDB">
        <w:t xml:space="preserve"> Week 5</w:t>
      </w:r>
      <w:r>
        <w:t>2 by approximately 44 µm in COPERNICUS (from 204.5 to 248.7 µm), and by approximately 25 µm in GALILEO (from 234.6 to 259.7 µm). These results suggest de-stabilisation of the disease following switching, and are consistent with the increased risk of macular oedema in the reactive (PRN) dosing phase compared with the proactive (VTE2Q4) dos</w:t>
      </w:r>
      <w:r w:rsidR="004A4E0A">
        <w:t>ing phase.</w:t>
      </w:r>
    </w:p>
    <w:p w:rsidR="000526AB" w:rsidRDefault="000526AB" w:rsidP="004A4E0A">
      <w:r>
        <w:t>In both studies, BCVA decreased and CRT increased from</w:t>
      </w:r>
      <w:r w:rsidR="00300BDB">
        <w:t xml:space="preserve"> Week 5</w:t>
      </w:r>
      <w:r>
        <w:t>2 in the VTE2Q4+PRN groups through to</w:t>
      </w:r>
      <w:r w:rsidR="00300BDB">
        <w:t xml:space="preserve"> Week 1</w:t>
      </w:r>
      <w:r>
        <w:t>00 in COPERNICUS and through to</w:t>
      </w:r>
      <w:r w:rsidR="00300BDB">
        <w:t xml:space="preserve"> Week 7</w:t>
      </w:r>
      <w:r>
        <w:t>6 in GALILEO. In both studies, the changes from</w:t>
      </w:r>
      <w:r w:rsidR="00300BDB">
        <w:t xml:space="preserve"> Week 5</w:t>
      </w:r>
      <w:r>
        <w:t>2 to study end in the VTE2Q4+PRN group was more marked than the changes from</w:t>
      </w:r>
      <w:r w:rsidR="00300BDB">
        <w:t xml:space="preserve"> Week 2</w:t>
      </w:r>
      <w:r>
        <w:t>4 to</w:t>
      </w:r>
      <w:r w:rsidR="00300BDB">
        <w:t xml:space="preserve"> Week 5</w:t>
      </w:r>
      <w:r>
        <w:t xml:space="preserve">2, which reflects the longer period between assessments in the 52 weeks onwards reactive PRN phase, 3 months in COPERNICUS and 2 months in GALILEO, compared with 4 weeks in the </w:t>
      </w:r>
      <w:r w:rsidR="00D02A01">
        <w:t>Week 0</w:t>
      </w:r>
      <w:r>
        <w:t xml:space="preserve"> to</w:t>
      </w:r>
      <w:r w:rsidR="00300BDB">
        <w:t xml:space="preserve"> Week 2</w:t>
      </w:r>
      <w:r>
        <w:t>4 proactive phas</w:t>
      </w:r>
      <w:r w:rsidR="004A4E0A">
        <w:t>e in both studies.</w:t>
      </w:r>
    </w:p>
    <w:p w:rsidR="000526AB" w:rsidRDefault="000526AB" w:rsidP="004A4E0A">
      <w:pPr>
        <w:pStyle w:val="Heading3"/>
      </w:pPr>
      <w:bookmarkStart w:id="198" w:name="_Toc236802596"/>
      <w:bookmarkStart w:id="199" w:name="_Toc241374334"/>
      <w:bookmarkStart w:id="200" w:name="_Ref272160964"/>
      <w:bookmarkStart w:id="201" w:name="_Toc272414694"/>
      <w:bookmarkStart w:id="202" w:name="_Toc290846332"/>
      <w:bookmarkStart w:id="203" w:name="_Toc221697339"/>
      <w:bookmarkStart w:id="204" w:name="_Toc396651366"/>
      <w:r>
        <w:t>First round assessment of risks</w:t>
      </w:r>
      <w:bookmarkEnd w:id="198"/>
      <w:bookmarkEnd w:id="199"/>
      <w:bookmarkEnd w:id="200"/>
      <w:bookmarkEnd w:id="201"/>
      <w:bookmarkEnd w:id="202"/>
      <w:bookmarkEnd w:id="203"/>
      <w:bookmarkEnd w:id="204"/>
    </w:p>
    <w:p w:rsidR="000526AB" w:rsidRDefault="000526AB" w:rsidP="004A4E0A">
      <w:r>
        <w:t>Eylea</w:t>
      </w:r>
      <w:r w:rsidRPr="00456027">
        <w:t xml:space="preserve"> </w:t>
      </w:r>
      <w:r>
        <w:t>(VTE) administered</w:t>
      </w:r>
      <w:r w:rsidRPr="00456027">
        <w:t xml:space="preserve"> by IVT injection (2 mg) was generally well tolerated and the safety profile of </w:t>
      </w:r>
      <w:r>
        <w:t>the drug</w:t>
      </w:r>
      <w:r w:rsidRPr="00456027">
        <w:t xml:space="preserve"> for the treatment of CRVO is </w:t>
      </w:r>
      <w:r>
        <w:t xml:space="preserve">consistent with the known safety profile </w:t>
      </w:r>
      <w:r w:rsidRPr="00456027">
        <w:t xml:space="preserve">for the treatment of wet AMD. The main risks associated with VTE </w:t>
      </w:r>
      <w:r>
        <w:t xml:space="preserve">in the treated eye </w:t>
      </w:r>
      <w:r w:rsidRPr="00456027">
        <w:t>relate</w:t>
      </w:r>
      <w:r>
        <w:t>d</w:t>
      </w:r>
      <w:r w:rsidRPr="00456027">
        <w:t xml:space="preserve"> to o</w:t>
      </w:r>
      <w:r>
        <w:t>cular TEAEs, injection</w:t>
      </w:r>
      <w:r w:rsidR="007932BD">
        <w:t xml:space="preserve"> </w:t>
      </w:r>
      <w:r>
        <w:t xml:space="preserve">related TEAEs </w:t>
      </w:r>
      <w:r w:rsidRPr="00456027">
        <w:t xml:space="preserve">and </w:t>
      </w:r>
      <w:r>
        <w:t xml:space="preserve">increased incidence of CRVO disease-related TEAEs following switching </w:t>
      </w:r>
      <w:r w:rsidRPr="00456027">
        <w:t xml:space="preserve">to a reactive </w:t>
      </w:r>
      <w:r>
        <w:t xml:space="preserve">treatment </w:t>
      </w:r>
      <w:r w:rsidRPr="00456027">
        <w:t xml:space="preserve">regimen (VTE </w:t>
      </w:r>
      <w:r>
        <w:t xml:space="preserve">2 mg </w:t>
      </w:r>
      <w:r w:rsidRPr="00456027">
        <w:t>PR</w:t>
      </w:r>
      <w:r>
        <w:t>N</w:t>
      </w:r>
      <w:r w:rsidRPr="00456027">
        <w:t>)</w:t>
      </w:r>
      <w:r>
        <w:t xml:space="preserve"> following the first 6 months of proactive treatment with VTE2Q4. VTE had </w:t>
      </w:r>
      <w:r w:rsidRPr="00456027">
        <w:t>no notable effects on ocular TEAEs in the fellow eye</w:t>
      </w:r>
      <w:r>
        <w:t xml:space="preserve"> compared with sham or sham+VTE PRN</w:t>
      </w:r>
      <w:r w:rsidRPr="00456027">
        <w:t>. VTE ha</w:t>
      </w:r>
      <w:r>
        <w:t>d</w:t>
      </w:r>
      <w:r w:rsidRPr="00456027">
        <w:t xml:space="preserve"> no significant clinical effects on </w:t>
      </w:r>
      <w:r w:rsidR="00D74B64">
        <w:t xml:space="preserve">non-ocular </w:t>
      </w:r>
      <w:r w:rsidRPr="00456027">
        <w:t>TEAEs, including arterial thromboembolic events</w:t>
      </w:r>
      <w:r>
        <w:t>, compared with sham or sham+VTE PRN. There were no apparent clinically significant changes in l</w:t>
      </w:r>
      <w:r w:rsidRPr="00456027">
        <w:t>aboratory param</w:t>
      </w:r>
      <w:r>
        <w:t>e</w:t>
      </w:r>
      <w:r w:rsidRPr="00456027">
        <w:t>ters (haem</w:t>
      </w:r>
      <w:r>
        <w:t>atology</w:t>
      </w:r>
      <w:r w:rsidRPr="00456027">
        <w:t>, clinical chemist</w:t>
      </w:r>
      <w:r>
        <w:t>ry, urinalysis), vital signs or the ECG associated with VTE treatment.</w:t>
      </w:r>
    </w:p>
    <w:p w:rsidR="000526AB" w:rsidRPr="00466635" w:rsidRDefault="000526AB" w:rsidP="004A4E0A">
      <w:pPr>
        <w:pStyle w:val="Heading4"/>
      </w:pPr>
      <w:r w:rsidRPr="00466635">
        <w:t>Risks in the first 24 weeks of treatment (integrated analy</w:t>
      </w:r>
      <w:r w:rsidR="004E0EF5">
        <w:t>sis)</w:t>
      </w:r>
    </w:p>
    <w:p w:rsidR="000526AB" w:rsidRPr="004A4E0A" w:rsidRDefault="000526AB" w:rsidP="004A4E0A">
      <w:pPr>
        <w:pStyle w:val="ListBullet"/>
      </w:pPr>
      <w:r w:rsidRPr="004A4E0A">
        <w:t>the highest incidence of ocular TEAEs in the study eye occurred in subjects in the sham/COPERNICUS group (67.6%) followed by the sham/GALILEO (64.7%) and the combined VTE2Q4 (59.2%) groups. Commonly occurring ocular TEAEs in the study eye reported more frequently in subjects in the combined VTE2Q4 group than in subjects in both the sham/GALILEO and sham/COPERNICUS groups, respectively, were: eye pain (12.8%</w:t>
      </w:r>
      <w:r w:rsidR="0091044A" w:rsidRPr="004A4E0A">
        <w:t xml:space="preserve"> versus </w:t>
      </w:r>
      <w:r w:rsidRPr="004A4E0A">
        <w:t>4.4%</w:t>
      </w:r>
      <w:r w:rsidR="0091044A" w:rsidRPr="004A4E0A">
        <w:t xml:space="preserve"> versus </w:t>
      </w:r>
      <w:r w:rsidRPr="004A4E0A">
        <w:t>5.4%); macular fibrosis (4.1%</w:t>
      </w:r>
      <w:r w:rsidR="0091044A" w:rsidRPr="004A4E0A">
        <w:t xml:space="preserve"> versus </w:t>
      </w:r>
      <w:r w:rsidRPr="004A4E0A">
        <w:t>1.5%</w:t>
      </w:r>
      <w:r w:rsidR="0091044A" w:rsidRPr="004A4E0A">
        <w:t xml:space="preserve"> versus </w:t>
      </w:r>
      <w:r w:rsidRPr="004A4E0A">
        <w:t>1.4%); optic disc vascular disorder (6.0%</w:t>
      </w:r>
      <w:r w:rsidR="0091044A" w:rsidRPr="004A4E0A">
        <w:t xml:space="preserve"> versus </w:t>
      </w:r>
      <w:r w:rsidRPr="004A4E0A">
        <w:t>4.4%</w:t>
      </w:r>
      <w:r w:rsidR="0091044A" w:rsidRPr="004A4E0A">
        <w:t xml:space="preserve"> versus </w:t>
      </w:r>
      <w:r w:rsidRPr="004A4E0A">
        <w:t>1.4%); and vitreous floaters (5.0%</w:t>
      </w:r>
      <w:r w:rsidR="0091044A" w:rsidRPr="004A4E0A">
        <w:t xml:space="preserve"> versus </w:t>
      </w:r>
      <w:r w:rsidRPr="004A4E0A">
        <w:t>0%</w:t>
      </w:r>
      <w:r w:rsidR="0091044A" w:rsidRPr="004A4E0A">
        <w:t xml:space="preserve"> versus </w:t>
      </w:r>
      <w:r w:rsidRPr="004A4E0A">
        <w:t>2.7%). Macular oedema occurred notably more commonly in the sham/GALILEO (16.2%) group than in the sham/COPERNICUS and the combined VTE2Q4 groups (1.4% in each group</w:t>
      </w:r>
      <w:r w:rsidR="004A4E0A">
        <w:t>).</w:t>
      </w:r>
    </w:p>
    <w:p w:rsidR="000526AB" w:rsidRPr="004A4E0A" w:rsidRDefault="000526AB" w:rsidP="004A4E0A">
      <w:pPr>
        <w:pStyle w:val="ListBullet"/>
      </w:pPr>
      <w:r w:rsidRPr="004A4E0A">
        <w:t>ocular injection</w:t>
      </w:r>
      <w:r w:rsidR="007932BD" w:rsidRPr="004A4E0A">
        <w:t xml:space="preserve"> </w:t>
      </w:r>
      <w:r w:rsidRPr="004A4E0A">
        <w:t>related TEAEs in the study eye were reported in a higher proportion of subjects in the combined VTE2Q4 group than in the combined sham group (31.2%</w:t>
      </w:r>
      <w:r w:rsidR="0091044A" w:rsidRPr="004A4E0A">
        <w:t xml:space="preserve"> versus </w:t>
      </w:r>
      <w:r w:rsidRPr="004A4E0A">
        <w:t xml:space="preserve">22.5%). The most commonly reported ocular injection-related TEAEs occurring in </w:t>
      </w:r>
      <w:r w:rsidR="007932BD" w:rsidRPr="004A4E0A">
        <w:t>≥</w:t>
      </w:r>
      <w:r w:rsidRPr="004A4E0A">
        <w:t xml:space="preserve"> 2% more subjects in the combined VTE2Q4 group than in the combined sham group were eye pain (11.0%</w:t>
      </w:r>
      <w:r w:rsidR="0091044A" w:rsidRPr="004A4E0A">
        <w:t xml:space="preserve"> versus </w:t>
      </w:r>
      <w:r w:rsidRPr="004A4E0A">
        <w:t>3.5%) and IOP increased (5.5%</w:t>
      </w:r>
      <w:r w:rsidR="0091044A" w:rsidRPr="004A4E0A">
        <w:t xml:space="preserve"> versus </w:t>
      </w:r>
      <w:r w:rsidR="004A4E0A">
        <w:t>1.4%).</w:t>
      </w:r>
    </w:p>
    <w:p w:rsidR="000526AB" w:rsidRPr="004A4E0A" w:rsidRDefault="000526AB" w:rsidP="004A4E0A">
      <w:pPr>
        <w:pStyle w:val="ListBullet"/>
      </w:pPr>
      <w:r w:rsidRPr="004A4E0A">
        <w:t>serious ocular TEAEs in the study eye were reported in a higher proportion of subjects in the combined sham group than in the combined VTE2Q4 group (10.6%</w:t>
      </w:r>
      <w:r w:rsidR="0091044A" w:rsidRPr="004A4E0A">
        <w:t xml:space="preserve"> versus </w:t>
      </w:r>
      <w:r w:rsidRPr="004A4E0A">
        <w:t xml:space="preserve">2.8%). Serious ocular TEAEs in the study eye reported in 2 or more subjects occurred only in the sham group. One (1) subject (0.5%) in the VTE2Q4 group experienced an SAE of endophthalmitis. There were 2 deaths (1 acute myocardial infarction; 1 arrhythmia), both of </w:t>
      </w:r>
      <w:r w:rsidRPr="004A4E0A">
        <w:lastRenderedPageBreak/>
        <w:t xml:space="preserve">which occurred in COPERNICUS in patients treated with sham and both of which were </w:t>
      </w:r>
      <w:r w:rsidR="004A4E0A">
        <w:t>adjudicated as ATE/APTC events.</w:t>
      </w:r>
    </w:p>
    <w:p w:rsidR="000526AB" w:rsidRPr="004A4E0A" w:rsidRDefault="000526AB" w:rsidP="004A4E0A">
      <w:pPr>
        <w:pStyle w:val="ListBullet"/>
      </w:pPr>
      <w:r w:rsidRPr="004A4E0A">
        <w:t>ocular TEAEs of interest in the study eye were reported in a higher proportion of subjects in the combined sham group than in the combined VTE2Q4 group (35.9%</w:t>
      </w:r>
      <w:r w:rsidR="0091044A" w:rsidRPr="004A4E0A">
        <w:t xml:space="preserve"> versus </w:t>
      </w:r>
      <w:r w:rsidRPr="004A4E0A">
        <w:t>29.4%). Ocular TEAEs of interest (</w:t>
      </w:r>
      <w:r w:rsidR="00B93F13" w:rsidRPr="004A4E0A">
        <w:t>≥</w:t>
      </w:r>
      <w:r w:rsidRPr="004A4E0A">
        <w:t xml:space="preserve"> 5% overall) in subjects in the combined VTE2Q4 group occurring more commonly than in the combined sham group were mild transient pain at the injection site (11.9%</w:t>
      </w:r>
      <w:r w:rsidR="0091044A" w:rsidRPr="004A4E0A">
        <w:t xml:space="preserve"> versus </w:t>
      </w:r>
      <w:r w:rsidRPr="004A4E0A">
        <w:t>4.9%), and transient increase in IOP (6.0%</w:t>
      </w:r>
      <w:r w:rsidR="0091044A" w:rsidRPr="004A4E0A">
        <w:t xml:space="preserve"> versus </w:t>
      </w:r>
      <w:r w:rsidRPr="004A4E0A">
        <w:t>1.4%).</w:t>
      </w:r>
    </w:p>
    <w:p w:rsidR="000526AB" w:rsidRPr="004A4E0A" w:rsidRDefault="000526AB" w:rsidP="004A4E0A">
      <w:pPr>
        <w:pStyle w:val="ListBullet"/>
      </w:pPr>
      <w:r w:rsidRPr="004A4E0A">
        <w:t xml:space="preserve">the proportion of subjects with at least one </w:t>
      </w:r>
      <w:r w:rsidR="00D74B64" w:rsidRPr="004A4E0A">
        <w:t xml:space="preserve">non-ocular </w:t>
      </w:r>
      <w:r w:rsidRPr="004A4E0A">
        <w:t xml:space="preserve">TEAE was higher in subjects in the sham/GALILEO group (54.4%) than in both the sham/COPERNICUS group (51.4%) and the combined VTE2Q4 group (48.6%). Overall, the most common </w:t>
      </w:r>
      <w:r w:rsidR="00D74B64" w:rsidRPr="004A4E0A">
        <w:t xml:space="preserve">non-ocular </w:t>
      </w:r>
      <w:r w:rsidRPr="004A4E0A">
        <w:t>TEAE was nasopharyngitis and this event was reported in a similar proportion of subjects in the combined sham and the combined VTE2Q4 groups (7.0%</w:t>
      </w:r>
      <w:r w:rsidR="0091044A" w:rsidRPr="004A4E0A">
        <w:t xml:space="preserve"> versus </w:t>
      </w:r>
      <w:r w:rsidRPr="004A4E0A">
        <w:t>6.0%, respectively). Hypertension occurred in a higher proportion of subjects in the combined VTE2Q4 group than in the combined sham group (6.4%</w:t>
      </w:r>
      <w:r w:rsidR="0091044A" w:rsidRPr="004A4E0A">
        <w:t xml:space="preserve"> versus </w:t>
      </w:r>
      <w:r w:rsidRPr="004A4E0A">
        <w:t xml:space="preserve">4.9%). The incidence of serious </w:t>
      </w:r>
      <w:r w:rsidR="00D74B64" w:rsidRPr="004A4E0A">
        <w:t xml:space="preserve">non-ocular </w:t>
      </w:r>
      <w:r w:rsidRPr="004A4E0A">
        <w:t>TEAEs was higher in subjects in the combined sham group than in the combined VTE24 group (7.7%</w:t>
      </w:r>
      <w:r w:rsidR="0091044A" w:rsidRPr="004A4E0A">
        <w:t xml:space="preserve"> versus </w:t>
      </w:r>
      <w:r w:rsidRPr="004A4E0A">
        <w:t>5.5%, respectively). In COPERNICUS, there were no ATE/APTC events in the VTE2Q4 group, while 2 subjects in the sham group experienced ATE/APTC events. In GALILEO, there were no ATE/APTC events in either the sham or</w:t>
      </w:r>
      <w:r w:rsidR="004A4E0A">
        <w:t xml:space="preserve"> VTE2Q4 treatment groups.</w:t>
      </w:r>
    </w:p>
    <w:p w:rsidR="000526AB" w:rsidRPr="00456027" w:rsidRDefault="000526AB" w:rsidP="00FC6235">
      <w:pPr>
        <w:pStyle w:val="Heading4"/>
      </w:pPr>
      <w:r>
        <w:t xml:space="preserve">Risks from </w:t>
      </w:r>
      <w:r w:rsidR="00D02A01">
        <w:t>Week 0</w:t>
      </w:r>
      <w:r w:rsidRPr="00456027">
        <w:t xml:space="preserve"> through to</w:t>
      </w:r>
      <w:r w:rsidR="00300BDB">
        <w:t xml:space="preserve"> Week 7</w:t>
      </w:r>
      <w:r w:rsidR="004E0EF5">
        <w:t>6 (GALILEO)</w:t>
      </w:r>
    </w:p>
    <w:p w:rsidR="000526AB" w:rsidRPr="00FC6235" w:rsidRDefault="000526AB" w:rsidP="00FC6235">
      <w:pPr>
        <w:pStyle w:val="ListBullet"/>
      </w:pPr>
      <w:r w:rsidRPr="00FC6235">
        <w:t>ocular TEAEs in the study eye were reported in a similar proportion of subjects in both treatment groups (75.0%, sham+VTE PRN</w:t>
      </w:r>
      <w:r w:rsidR="0091044A" w:rsidRPr="00FC6235">
        <w:t xml:space="preserve"> versus </w:t>
      </w:r>
      <w:r w:rsidRPr="00FC6235">
        <w:t xml:space="preserve">78.8%, VTE2Q4+PRN]). Ocular TEAEs occurring in </w:t>
      </w:r>
      <w:r w:rsidR="00B93F13" w:rsidRPr="00FC6235">
        <w:t>≥</w:t>
      </w:r>
      <w:r w:rsidRPr="00FC6235">
        <w:t xml:space="preserve"> 5% of subjects in the VTE2Q4+VTE group and in </w:t>
      </w:r>
      <w:r w:rsidR="00B93F13" w:rsidRPr="00FC6235">
        <w:t>≥</w:t>
      </w:r>
      <w:r w:rsidRPr="00FC6235">
        <w:t xml:space="preserve"> 2% more subjects than in the sham+VTE PRN group were: macular oedema (39.4%</w:t>
      </w:r>
      <w:r w:rsidR="0091044A" w:rsidRPr="00FC6235">
        <w:t xml:space="preserve"> versus </w:t>
      </w:r>
      <w:r w:rsidRPr="00FC6235">
        <w:t>25.0%); IOP increased (17.3%</w:t>
      </w:r>
      <w:r w:rsidR="0091044A" w:rsidRPr="00FC6235">
        <w:t xml:space="preserve"> versus </w:t>
      </w:r>
      <w:r w:rsidRPr="00FC6235">
        <w:t>5.9%); conjunctival haemorrhage (17.3%</w:t>
      </w:r>
      <w:r w:rsidR="0091044A" w:rsidRPr="00FC6235">
        <w:t xml:space="preserve"> versus </w:t>
      </w:r>
      <w:r w:rsidRPr="00FC6235">
        <w:t>7.4%); retinal haemorrhage (15.4%</w:t>
      </w:r>
      <w:r w:rsidR="0091044A" w:rsidRPr="00FC6235">
        <w:t xml:space="preserve"> versus </w:t>
      </w:r>
      <w:r w:rsidRPr="00FC6235">
        <w:t>11.8%); eye pain (14.4%</w:t>
      </w:r>
      <w:r w:rsidR="0091044A" w:rsidRPr="00FC6235">
        <w:t xml:space="preserve"> versus </w:t>
      </w:r>
      <w:r w:rsidRPr="00FC6235">
        <w:t>5.9%); ocular hyperaemia (8.7%</w:t>
      </w:r>
      <w:r w:rsidR="0091044A" w:rsidRPr="00FC6235">
        <w:t xml:space="preserve"> versus </w:t>
      </w:r>
      <w:r w:rsidRPr="00FC6235">
        <w:t>5.9%); vitreous detachment (6.7%</w:t>
      </w:r>
      <w:r w:rsidR="0091044A" w:rsidRPr="00FC6235">
        <w:t xml:space="preserve"> versus </w:t>
      </w:r>
      <w:r w:rsidRPr="00FC6235">
        <w:t>1.5%); vitreous floaters (6.7%</w:t>
      </w:r>
      <w:r w:rsidR="0091044A" w:rsidRPr="00FC6235">
        <w:t xml:space="preserve"> versus </w:t>
      </w:r>
      <w:r w:rsidRPr="00FC6235">
        <w:t xml:space="preserve">1.5%); iris </w:t>
      </w:r>
      <w:r w:rsidR="00ED3DEB" w:rsidRPr="00FC6235">
        <w:t>neovascularisation</w:t>
      </w:r>
      <w:r w:rsidRPr="00FC6235">
        <w:t xml:space="preserve"> (6.7%</w:t>
      </w:r>
      <w:r w:rsidR="0091044A" w:rsidRPr="00FC6235">
        <w:t xml:space="preserve"> versus </w:t>
      </w:r>
      <w:r w:rsidRPr="00FC6235">
        <w:t>0%); retinal vein occlusion (6.7%</w:t>
      </w:r>
      <w:r w:rsidR="0091044A" w:rsidRPr="00FC6235">
        <w:t xml:space="preserve"> versus </w:t>
      </w:r>
      <w:r w:rsidRPr="00FC6235">
        <w:t>0%); cystoid macular oedema (5.8%</w:t>
      </w:r>
      <w:r w:rsidR="0091044A" w:rsidRPr="00FC6235">
        <w:t xml:space="preserve"> versus </w:t>
      </w:r>
      <w:r w:rsidRPr="00FC6235">
        <w:t>1.5%); and injection site pain (5.8%</w:t>
      </w:r>
      <w:r w:rsidR="0091044A" w:rsidRPr="00FC6235">
        <w:t xml:space="preserve"> versus </w:t>
      </w:r>
      <w:r w:rsidRPr="00FC6235">
        <w:t>2.9%).</w:t>
      </w:r>
    </w:p>
    <w:p w:rsidR="000526AB" w:rsidRPr="00FC6235" w:rsidRDefault="000526AB" w:rsidP="00FC6235">
      <w:pPr>
        <w:pStyle w:val="ListBullet"/>
      </w:pPr>
      <w:r w:rsidRPr="00FC6235">
        <w:t>injection-related TEAEs in the study eye were reported in a marginally higher proportion of subjects in the VTE2Q4+PRN group than in the sham+VTE PRN group (42.3%</w:t>
      </w:r>
      <w:r w:rsidR="0091044A" w:rsidRPr="00FC6235">
        <w:t xml:space="preserve"> versus </w:t>
      </w:r>
      <w:r w:rsidRPr="00FC6235">
        <w:t>39.7%). Injection</w:t>
      </w:r>
      <w:r w:rsidR="00B93F13" w:rsidRPr="00FC6235">
        <w:t xml:space="preserve"> </w:t>
      </w:r>
      <w:r w:rsidRPr="00FC6235">
        <w:t xml:space="preserve">related TEAEs in the study eye occurring in </w:t>
      </w:r>
      <w:r w:rsidR="00B93F13" w:rsidRPr="00FC6235">
        <w:t>≥</w:t>
      </w:r>
      <w:r w:rsidRPr="00FC6235">
        <w:t xml:space="preserve"> 2% of subjects in the VTE2Q4+PRN group and in </w:t>
      </w:r>
      <w:r w:rsidR="00B93F13" w:rsidRPr="00FC6235">
        <w:t>≥</w:t>
      </w:r>
      <w:r w:rsidRPr="00FC6235">
        <w:t xml:space="preserve"> 2% more subjects than in the sham+VTE PRN group were: conjunctival haemorrhage (17.3%</w:t>
      </w:r>
      <w:r w:rsidR="0091044A" w:rsidRPr="00FC6235">
        <w:t xml:space="preserve"> versus </w:t>
      </w:r>
      <w:r w:rsidRPr="00FC6235">
        <w:t>7.4%); eye pain (13.5%</w:t>
      </w:r>
      <w:r w:rsidR="0091044A" w:rsidRPr="00FC6235">
        <w:t xml:space="preserve"> versus </w:t>
      </w:r>
      <w:r w:rsidRPr="00FC6235">
        <w:t>5.9%); IOP increased (12.5%</w:t>
      </w:r>
      <w:r w:rsidR="0091044A" w:rsidRPr="00FC6235">
        <w:t xml:space="preserve"> versus </w:t>
      </w:r>
      <w:r w:rsidRPr="00FC6235">
        <w:t>4.4%); foreign body sensation in eye (6.7%</w:t>
      </w:r>
      <w:r w:rsidR="0091044A" w:rsidRPr="00FC6235">
        <w:t xml:space="preserve"> versus </w:t>
      </w:r>
      <w:r w:rsidRPr="00FC6235">
        <w:t>4.4%); vitreous floaters (3.8%</w:t>
      </w:r>
      <w:r w:rsidR="0091044A" w:rsidRPr="00FC6235">
        <w:t xml:space="preserve"> versus </w:t>
      </w:r>
      <w:r w:rsidRPr="00FC6235">
        <w:t>1.5%); and ocular hypertension (2.9%</w:t>
      </w:r>
      <w:r w:rsidR="0091044A" w:rsidRPr="00FC6235">
        <w:t xml:space="preserve"> versus </w:t>
      </w:r>
      <w:r w:rsidRPr="00FC6235">
        <w:t>0%). All other injection-related TEAEs occurred in a similar proportion of subjects in both treatment group</w:t>
      </w:r>
      <w:r w:rsidR="00FC6235">
        <w:t>s.</w:t>
      </w:r>
    </w:p>
    <w:p w:rsidR="000526AB" w:rsidRPr="00FC6235" w:rsidRDefault="000526AB" w:rsidP="00FC6235">
      <w:pPr>
        <w:pStyle w:val="ListBullet"/>
      </w:pPr>
      <w:r w:rsidRPr="00FC6235">
        <w:t>ocular TEAEs of interest in the study eye were reported in a similar proportion of subjects in the VTE2Q4+PRN and sham+VTE PRN groups (43.3%</w:t>
      </w:r>
      <w:r w:rsidR="0091044A" w:rsidRPr="00FC6235">
        <w:t xml:space="preserve"> versus </w:t>
      </w:r>
      <w:r w:rsidRPr="00FC6235">
        <w:t xml:space="preserve">42.6%, respectively). Ocular TEAEs of pre-specified interest in the study eye reported in </w:t>
      </w:r>
      <w:r w:rsidR="00B93F13" w:rsidRPr="00FC6235">
        <w:t>≥</w:t>
      </w:r>
      <w:r w:rsidRPr="00FC6235">
        <w:t xml:space="preserve"> 2% of subjects in the VTE2Q4+PRN group and in </w:t>
      </w:r>
      <w:r w:rsidR="00B93F13" w:rsidRPr="00FC6235">
        <w:t>≥</w:t>
      </w:r>
      <w:r w:rsidRPr="00FC6235">
        <w:t xml:space="preserve"> 2% more subjects than in the sham+VTE PRN group were: conjunctival haemorrhage (16.3%</w:t>
      </w:r>
      <w:r w:rsidR="0091044A" w:rsidRPr="00FC6235">
        <w:t xml:space="preserve"> versus </w:t>
      </w:r>
      <w:r w:rsidRPr="00FC6235">
        <w:t>4.4%); eye pain (13.5%</w:t>
      </w:r>
      <w:r w:rsidR="0091044A" w:rsidRPr="00FC6235">
        <w:t xml:space="preserve"> versus </w:t>
      </w:r>
      <w:r w:rsidRPr="00FC6235">
        <w:t>5.9%); IOP increased (12.5%</w:t>
      </w:r>
      <w:r w:rsidR="0091044A" w:rsidRPr="00FC6235">
        <w:t xml:space="preserve"> versus </w:t>
      </w:r>
      <w:r w:rsidRPr="00FC6235">
        <w:t>4.4%); visual impairment (4.8%</w:t>
      </w:r>
      <w:r w:rsidR="0091044A" w:rsidRPr="00FC6235">
        <w:t xml:space="preserve"> versus </w:t>
      </w:r>
      <w:r w:rsidRPr="00FC6235">
        <w:t>0%); vitreous floaters (3.8%</w:t>
      </w:r>
      <w:r w:rsidR="0091044A" w:rsidRPr="00FC6235">
        <w:t xml:space="preserve"> versus </w:t>
      </w:r>
      <w:r w:rsidRPr="00FC6235">
        <w:t>1.5%); and ocular hypertension (2.9%</w:t>
      </w:r>
      <w:r w:rsidR="0091044A" w:rsidRPr="00FC6235">
        <w:t xml:space="preserve"> versus </w:t>
      </w:r>
      <w:r w:rsidR="00FC6235">
        <w:t>0%).</w:t>
      </w:r>
    </w:p>
    <w:p w:rsidR="000526AB" w:rsidRPr="00FC6235" w:rsidRDefault="000526AB" w:rsidP="00FC6235">
      <w:pPr>
        <w:pStyle w:val="ListBullet"/>
      </w:pPr>
      <w:r w:rsidRPr="00FC6235">
        <w:t>ocular SAEs in the study eye were reported in a marginally higher proportion of subjects in the VTE2Q4+PRN group than in the sham+VTE PRN group (10.6%</w:t>
      </w:r>
      <w:r w:rsidR="0091044A" w:rsidRPr="00FC6235">
        <w:t xml:space="preserve"> versus </w:t>
      </w:r>
      <w:r w:rsidRPr="00FC6235">
        <w:t>8.8%). The only ocular SAEs occurring in at least 2 subjects in the VTE2Q4+PRN group (vs sham+VTE PRN) were macular oedema (4 [3.8%]</w:t>
      </w:r>
      <w:r w:rsidR="0091044A" w:rsidRPr="00FC6235">
        <w:t xml:space="preserve"> versus </w:t>
      </w:r>
      <w:r w:rsidRPr="00FC6235">
        <w:t>2 [2.9%]), and visual acuity reduced (2 [1.9%]</w:t>
      </w:r>
      <w:r w:rsidR="0091044A" w:rsidRPr="00FC6235">
        <w:t xml:space="preserve"> versus </w:t>
      </w:r>
      <w:r w:rsidRPr="00FC6235">
        <w:t>1 [1.5%].</w:t>
      </w:r>
    </w:p>
    <w:p w:rsidR="000526AB" w:rsidRPr="00FC6235" w:rsidRDefault="00D74B64" w:rsidP="00FC6235">
      <w:pPr>
        <w:pStyle w:val="ListBullet"/>
      </w:pPr>
      <w:r w:rsidRPr="00FC6235">
        <w:lastRenderedPageBreak/>
        <w:t xml:space="preserve">non-ocular </w:t>
      </w:r>
      <w:r w:rsidR="000526AB" w:rsidRPr="00FC6235">
        <w:t>TEAEs occurred in a higher proportion of subjects in the sham+VTE PRN group than in the VTE2Q4+PRN group (73.5%</w:t>
      </w:r>
      <w:r w:rsidR="0091044A" w:rsidRPr="00FC6235">
        <w:t xml:space="preserve"> versus </w:t>
      </w:r>
      <w:r w:rsidR="000526AB" w:rsidRPr="00FC6235">
        <w:t xml:space="preserve">68.3%). </w:t>
      </w:r>
      <w:r w:rsidRPr="00FC6235">
        <w:t xml:space="preserve">Non-ocular </w:t>
      </w:r>
      <w:r w:rsidR="000526AB" w:rsidRPr="00FC6235">
        <w:t xml:space="preserve">TEAEs reported in </w:t>
      </w:r>
      <w:r w:rsidR="00B93F13" w:rsidRPr="00FC6235">
        <w:t>≥</w:t>
      </w:r>
      <w:r w:rsidR="000526AB" w:rsidRPr="00FC6235">
        <w:t xml:space="preserve"> 5% of subjects in the VTE2Q4+PRN group and in </w:t>
      </w:r>
      <w:r w:rsidR="00B93F13" w:rsidRPr="00FC6235">
        <w:t>≥</w:t>
      </w:r>
      <w:r w:rsidR="000526AB" w:rsidRPr="00FC6235">
        <w:t xml:space="preserve"> 2% more subjects than in the sham+VTE PRN group were influenza (7.7%</w:t>
      </w:r>
      <w:r w:rsidR="0091044A" w:rsidRPr="00FC6235">
        <w:t xml:space="preserve"> versus </w:t>
      </w:r>
      <w:r w:rsidR="000526AB" w:rsidRPr="00FC6235">
        <w:t>2.9%) and back pain (6.7%</w:t>
      </w:r>
      <w:r w:rsidR="0091044A" w:rsidRPr="00FC6235">
        <w:t xml:space="preserve"> versus </w:t>
      </w:r>
      <w:r w:rsidR="000526AB" w:rsidRPr="00FC6235">
        <w:t xml:space="preserve">4.4%). The proportion of </w:t>
      </w:r>
      <w:r w:rsidRPr="00FC6235">
        <w:t xml:space="preserve">non-ocular </w:t>
      </w:r>
      <w:r w:rsidR="000526AB" w:rsidRPr="00FC6235">
        <w:t>SAEs was higher in subjects in the sham+VTE group than in the VTE2Q4+PRN group (14.7%</w:t>
      </w:r>
      <w:r w:rsidR="0091044A" w:rsidRPr="00FC6235">
        <w:t xml:space="preserve"> versus </w:t>
      </w:r>
      <w:r w:rsidR="000526AB" w:rsidRPr="00FC6235">
        <w:t xml:space="preserve">11.5%). There were no </w:t>
      </w:r>
      <w:r w:rsidRPr="00FC6235">
        <w:t xml:space="preserve">non-ocular </w:t>
      </w:r>
      <w:r w:rsidR="000526AB" w:rsidRPr="00FC6235">
        <w:t>SAEs reported in more than 1 subject in the VTE2Q4+PRN group. No subjects experienced ATE/A</w:t>
      </w:r>
      <w:r w:rsidR="00FC6235">
        <w:t>PTC events. No deaths occurred.</w:t>
      </w:r>
    </w:p>
    <w:p w:rsidR="000526AB" w:rsidRPr="00FC6235" w:rsidRDefault="00D74B64" w:rsidP="00FC6235">
      <w:pPr>
        <w:pStyle w:val="ListBullet"/>
      </w:pPr>
      <w:r w:rsidRPr="00FC6235">
        <w:t xml:space="preserve">non-ocular </w:t>
      </w:r>
      <w:r w:rsidR="000526AB" w:rsidRPr="00FC6235">
        <w:t>TEAEs of pre-specified interest were reported in</w:t>
      </w:r>
      <w:r w:rsidR="00301349" w:rsidRPr="00FC6235">
        <w:t xml:space="preserve"> </w:t>
      </w:r>
      <w:r w:rsidR="000526AB" w:rsidRPr="00FC6235">
        <w:t>similar proportion of subjects in the sham+VTE PRN and VTE2Q4+PRN groups (11.8%</w:t>
      </w:r>
      <w:r w:rsidR="0091044A" w:rsidRPr="00FC6235">
        <w:t xml:space="preserve"> versus </w:t>
      </w:r>
      <w:r w:rsidR="000526AB" w:rsidRPr="00FC6235">
        <w:t xml:space="preserve">12.5%, respectively). The only </w:t>
      </w:r>
      <w:r w:rsidRPr="00FC6235">
        <w:t xml:space="preserve">non-ocular </w:t>
      </w:r>
      <w:r w:rsidR="000526AB" w:rsidRPr="00FC6235">
        <w:t xml:space="preserve">TEAE of interest occurring in </w:t>
      </w:r>
      <w:r w:rsidR="00B93F13" w:rsidRPr="00FC6235">
        <w:t>≥</w:t>
      </w:r>
      <w:r w:rsidR="000526AB" w:rsidRPr="00FC6235">
        <w:t xml:space="preserve"> 10% of subjects in either treatment group was hypertension, and this event was reported in a similar proportion of subjects in the sham+VTE PRN and VTE2Q4+PRN groups (10.3%</w:t>
      </w:r>
      <w:r w:rsidR="0091044A" w:rsidRPr="00FC6235">
        <w:t xml:space="preserve"> versus </w:t>
      </w:r>
      <w:r w:rsidR="000526AB" w:rsidRPr="00FC6235">
        <w:t xml:space="preserve">9.6%). No </w:t>
      </w:r>
      <w:r w:rsidRPr="00FC6235">
        <w:t xml:space="preserve">non-ocular </w:t>
      </w:r>
      <w:r w:rsidR="000526AB" w:rsidRPr="00FC6235">
        <w:t xml:space="preserve">TEAEs of interest were reported in </w:t>
      </w:r>
      <w:r w:rsidR="00B93F13" w:rsidRPr="00FC6235">
        <w:t>≥</w:t>
      </w:r>
      <w:r w:rsidR="000526AB" w:rsidRPr="00FC6235">
        <w:t xml:space="preserve"> 2% more subjects in the VTE2Q4+PRN group than in the sham+VTE PRN group.</w:t>
      </w:r>
    </w:p>
    <w:p w:rsidR="000526AB" w:rsidRPr="00FC6235" w:rsidRDefault="000526AB" w:rsidP="00FC6235">
      <w:pPr>
        <w:pStyle w:val="ListBullet"/>
      </w:pPr>
      <w:r w:rsidRPr="00FC6235">
        <w:t>immunogenicity was assessed at</w:t>
      </w:r>
      <w:r w:rsidR="00300BDB" w:rsidRPr="00FC6235">
        <w:t xml:space="preserve"> Week 5</w:t>
      </w:r>
      <w:r w:rsidRPr="00FC6235">
        <w:t>2 and showed that 3/104 (2.9%) subjects in the VTE2Q4+PRN group were treatment-emergent ADA positive but were negative for neutralizing antibodies.</w:t>
      </w:r>
    </w:p>
    <w:p w:rsidR="000526AB" w:rsidRPr="008B540F" w:rsidRDefault="000526AB" w:rsidP="00FC6235">
      <w:pPr>
        <w:pStyle w:val="Heading4"/>
      </w:pPr>
      <w:r>
        <w:t xml:space="preserve">Risks in </w:t>
      </w:r>
      <w:r w:rsidR="00D02A01">
        <w:t>Week 0</w:t>
      </w:r>
      <w:r w:rsidRPr="008B540F">
        <w:t xml:space="preserve"> through to</w:t>
      </w:r>
      <w:r w:rsidR="00300BDB">
        <w:t xml:space="preserve"> Week 1</w:t>
      </w:r>
      <w:r w:rsidRPr="008B540F">
        <w:t>00</w:t>
      </w:r>
      <w:r>
        <w:t xml:space="preserve"> (COPERNICUS)</w:t>
      </w:r>
    </w:p>
    <w:p w:rsidR="000526AB" w:rsidRPr="00FC6235" w:rsidRDefault="000526AB" w:rsidP="00FC6235">
      <w:pPr>
        <w:pStyle w:val="ListBullet"/>
      </w:pPr>
      <w:r w:rsidRPr="00FC6235">
        <w:t>ocular TEAEs in the study eye were reported in a similar proportion of subjects in the sham+VTE PRN and VTE2Q4+PRN groups (85.1%</w:t>
      </w:r>
      <w:r w:rsidR="0091044A" w:rsidRPr="00FC6235">
        <w:t xml:space="preserve"> versus </w:t>
      </w:r>
      <w:r w:rsidRPr="00FC6235">
        <w:t xml:space="preserve">87.7%, respectively). Ocular TEAEs occurring in </w:t>
      </w:r>
      <w:r w:rsidR="00B93F13" w:rsidRPr="00FC6235">
        <w:t>≥</w:t>
      </w:r>
      <w:r w:rsidRPr="00FC6235">
        <w:t xml:space="preserve"> 5% of subjects in the VTE2Q4+PRN group and in </w:t>
      </w:r>
      <w:r w:rsidR="00B93F13" w:rsidRPr="00FC6235">
        <w:t>≥</w:t>
      </w:r>
      <w:r w:rsidRPr="00FC6235">
        <w:t xml:space="preserve"> 2% more subjects than in the sham+VTE PRN group were: macular oedema (18.4%</w:t>
      </w:r>
      <w:r w:rsidR="0091044A" w:rsidRPr="00FC6235">
        <w:t xml:space="preserve"> versus </w:t>
      </w:r>
      <w:r w:rsidRPr="00FC6235">
        <w:t>4.1%); eye pain (18.4%</w:t>
      </w:r>
      <w:r w:rsidR="0091044A" w:rsidRPr="00FC6235">
        <w:t xml:space="preserve"> versus </w:t>
      </w:r>
      <w:r w:rsidRPr="00FC6235">
        <w:t>9.5%); retinal vascular disorder (12.3%</w:t>
      </w:r>
      <w:r w:rsidR="0091044A" w:rsidRPr="00FC6235">
        <w:t xml:space="preserve"> versus </w:t>
      </w:r>
      <w:r w:rsidRPr="00FC6235">
        <w:t>9.5%); cystoid macular oedema (13.2%</w:t>
      </w:r>
      <w:r w:rsidR="0091044A" w:rsidRPr="00FC6235">
        <w:t xml:space="preserve"> versus </w:t>
      </w:r>
      <w:r w:rsidRPr="00FC6235">
        <w:t>6.8%); optic disc vascular disorder (12.3%</w:t>
      </w:r>
      <w:r w:rsidR="0091044A" w:rsidRPr="00FC6235">
        <w:t xml:space="preserve"> versus </w:t>
      </w:r>
      <w:r w:rsidRPr="00FC6235">
        <w:t>8.1%); macular fibrosis (10.5%</w:t>
      </w:r>
      <w:r w:rsidR="0091044A" w:rsidRPr="00FC6235">
        <w:t xml:space="preserve"> versus </w:t>
      </w:r>
      <w:r w:rsidRPr="00FC6235">
        <w:t>8.1%); retinal exudates (11.4%</w:t>
      </w:r>
      <w:r w:rsidR="0091044A" w:rsidRPr="00FC6235">
        <w:t xml:space="preserve"> versus </w:t>
      </w:r>
      <w:r w:rsidRPr="00FC6235">
        <w:t>6.8%); eye irritation (7.9%</w:t>
      </w:r>
      <w:r w:rsidR="0091044A" w:rsidRPr="00FC6235">
        <w:t xml:space="preserve"> versus </w:t>
      </w:r>
      <w:r w:rsidRPr="00FC6235">
        <w:t>5.4%); vitreous floaters (7.9%</w:t>
      </w:r>
      <w:r w:rsidR="0091044A" w:rsidRPr="00FC6235">
        <w:t xml:space="preserve"> versus </w:t>
      </w:r>
      <w:r w:rsidRPr="00FC6235">
        <w:t>5.4%); cataract (7.0%</w:t>
      </w:r>
      <w:r w:rsidR="0091044A" w:rsidRPr="00FC6235">
        <w:t xml:space="preserve"> versus </w:t>
      </w:r>
      <w:r w:rsidRPr="00FC6235">
        <w:t>4.1%); maculopathy (6.1%</w:t>
      </w:r>
      <w:r w:rsidR="0091044A" w:rsidRPr="00FC6235">
        <w:t xml:space="preserve"> versus </w:t>
      </w:r>
      <w:r w:rsidRPr="00FC6235">
        <w:t>2.7%); and ocular hyperaemia (5.3%</w:t>
      </w:r>
      <w:r w:rsidR="0091044A" w:rsidRPr="00FC6235">
        <w:t xml:space="preserve"> versus </w:t>
      </w:r>
      <w:r w:rsidR="00FC6235">
        <w:t>0%).</w:t>
      </w:r>
    </w:p>
    <w:p w:rsidR="000526AB" w:rsidRPr="00FC6235" w:rsidRDefault="000526AB" w:rsidP="00FC6235">
      <w:pPr>
        <w:pStyle w:val="ListBullet"/>
      </w:pPr>
      <w:r w:rsidRPr="00FC6235">
        <w:t>injection-related TEAEs in the study eye were reported in a higher proportion of subjects in the VTE2Q4+PRN group than in the sham+VTE PRN group (39.5%</w:t>
      </w:r>
      <w:r w:rsidR="0091044A" w:rsidRPr="00FC6235">
        <w:t xml:space="preserve"> versus </w:t>
      </w:r>
      <w:r w:rsidRPr="00FC6235">
        <w:t xml:space="preserve">28.4%). Injection-related TEAEs in the study eye occurring in </w:t>
      </w:r>
      <w:r w:rsidR="00B93F13" w:rsidRPr="00FC6235">
        <w:t>≥</w:t>
      </w:r>
      <w:r w:rsidRPr="00FC6235">
        <w:t xml:space="preserve"> 2% of subjects in the VTE2Q4+PRN group and in </w:t>
      </w:r>
      <w:r w:rsidR="00B93F13" w:rsidRPr="00FC6235">
        <w:t>≥</w:t>
      </w:r>
      <w:r w:rsidRPr="00FC6235">
        <w:t xml:space="preserve"> 2% more subjects than in the sham+VTE PRN group were: eye pain (13.2%</w:t>
      </w:r>
      <w:r w:rsidR="0091044A" w:rsidRPr="00FC6235">
        <w:t xml:space="preserve"> versus </w:t>
      </w:r>
      <w:r w:rsidRPr="00FC6235">
        <w:t>5.4%); vitreous floaters (4.4%</w:t>
      </w:r>
      <w:r w:rsidR="0091044A" w:rsidRPr="00FC6235">
        <w:t xml:space="preserve"> versus </w:t>
      </w:r>
      <w:r w:rsidRPr="00FC6235">
        <w:t>1.4%); ocular hyperaemia (4.4%</w:t>
      </w:r>
      <w:r w:rsidR="0091044A" w:rsidRPr="00FC6235">
        <w:t xml:space="preserve"> versus </w:t>
      </w:r>
      <w:r w:rsidRPr="00FC6235">
        <w:t>0%); IOP increased (2.6%</w:t>
      </w:r>
      <w:r w:rsidR="0091044A" w:rsidRPr="00FC6235">
        <w:t xml:space="preserve"> versus </w:t>
      </w:r>
      <w:r w:rsidRPr="00FC6235">
        <w:t>0%); punctate keratitis (2.6%</w:t>
      </w:r>
      <w:r w:rsidR="0091044A" w:rsidRPr="00FC6235">
        <w:t xml:space="preserve"> versus </w:t>
      </w:r>
      <w:r w:rsidRPr="00FC6235">
        <w:t>0%); and vitreous detachment (2.6%</w:t>
      </w:r>
      <w:r w:rsidR="0091044A" w:rsidRPr="00FC6235">
        <w:t xml:space="preserve"> versus </w:t>
      </w:r>
      <w:r w:rsidRPr="00FC6235">
        <w:t>0%). All other injection-related TEAEs occurred in a similar proportion of subjects in both treatment group</w:t>
      </w:r>
      <w:r w:rsidR="00FC6235">
        <w:t>s.</w:t>
      </w:r>
    </w:p>
    <w:p w:rsidR="000526AB" w:rsidRPr="00FC6235" w:rsidRDefault="000526AB" w:rsidP="00FC6235">
      <w:pPr>
        <w:pStyle w:val="ListBullet"/>
      </w:pPr>
      <w:r w:rsidRPr="00FC6235">
        <w:t>ocular TEAEs of pre</w:t>
      </w:r>
      <w:r w:rsidR="00B93F13" w:rsidRPr="00FC6235">
        <w:t xml:space="preserve"> </w:t>
      </w:r>
      <w:r w:rsidRPr="00FC6235">
        <w:t>specified interest in the study eye were reported in a similar proportion of subjects in the sham+VTE PRN and VTE2Q4+PRN groups (52.7%</w:t>
      </w:r>
      <w:r w:rsidR="0091044A" w:rsidRPr="00FC6235">
        <w:t xml:space="preserve"> versus </w:t>
      </w:r>
      <w:r w:rsidRPr="00FC6235">
        <w:t xml:space="preserve">50.9%, respectively). Ocular TEAEs of interest in the study eye occurring in </w:t>
      </w:r>
      <w:r w:rsidR="00B93F13" w:rsidRPr="00FC6235">
        <w:t>≥</w:t>
      </w:r>
      <w:r w:rsidRPr="00FC6235">
        <w:t xml:space="preserve"> 2% of subjects in the VTE2Q4+PRN group and in </w:t>
      </w:r>
      <w:r w:rsidR="00B93F13" w:rsidRPr="00FC6235">
        <w:t>≥</w:t>
      </w:r>
      <w:r w:rsidRPr="00FC6235">
        <w:t xml:space="preserve"> 2% more subjects than in the sham+VTE PRN group were: eye pain (13.2%</w:t>
      </w:r>
      <w:r w:rsidR="0091044A" w:rsidRPr="00FC6235">
        <w:t xml:space="preserve"> versus </w:t>
      </w:r>
      <w:r w:rsidRPr="00FC6235">
        <w:t>5.4%); vitreous floaters (4.4%</w:t>
      </w:r>
      <w:r w:rsidR="0091044A" w:rsidRPr="00FC6235">
        <w:t xml:space="preserve"> versus </w:t>
      </w:r>
      <w:r w:rsidRPr="00FC6235">
        <w:t>1.4%); and IOP increased (2.6%</w:t>
      </w:r>
      <w:r w:rsidR="0091044A" w:rsidRPr="00FC6235">
        <w:t xml:space="preserve"> versus </w:t>
      </w:r>
      <w:r w:rsidRPr="00FC6235">
        <w:t>0%). The proportion of subjects who experienced at least one ocular SAE of interest was low in both treatment groups (1.4%, sham+VTE PRN</w:t>
      </w:r>
      <w:r w:rsidR="0091044A" w:rsidRPr="00FC6235">
        <w:t xml:space="preserve"> versus </w:t>
      </w:r>
      <w:r w:rsidRPr="00FC6235">
        <w:t>1.8%, VTE2Q4+PRN). In the sham+VTE PRN group, the SAE was visual acuity reduced, and in the VTE2Q4+PRN group the 2 SAEs were visual acuity reduced and endophthalmiti</w:t>
      </w:r>
      <w:r w:rsidR="00FC6235">
        <w:t>s.</w:t>
      </w:r>
    </w:p>
    <w:p w:rsidR="000526AB" w:rsidRPr="00FC6235" w:rsidRDefault="000526AB" w:rsidP="00FC6235">
      <w:pPr>
        <w:pStyle w:val="ListBullet"/>
      </w:pPr>
      <w:r w:rsidRPr="00FC6235">
        <w:t>ocular SAEs in the study eye were reported about twice as frequently in subjects in the sham+VTE PRN group than in the VTE2Q4+PRN group (16.2%</w:t>
      </w:r>
      <w:r w:rsidR="0091044A" w:rsidRPr="00FC6235">
        <w:t xml:space="preserve"> versus </w:t>
      </w:r>
      <w:r w:rsidRPr="00FC6235">
        <w:t>8.8%). The most commonly reported ocular SAE in the study eye in the VTE2Q4+PRN group was cataract (3.5% VTE2Q4+PRN</w:t>
      </w:r>
      <w:r w:rsidR="0091044A" w:rsidRPr="00FC6235">
        <w:t xml:space="preserve"> versus </w:t>
      </w:r>
      <w:r w:rsidRPr="00FC6235">
        <w:t xml:space="preserve">1.4% sham+VTE PRN). The only other ocular SAE in the study </w:t>
      </w:r>
      <w:r w:rsidRPr="00FC6235">
        <w:lastRenderedPageBreak/>
        <w:t xml:space="preserve">eye reported in </w:t>
      </w:r>
      <w:r w:rsidR="00B93F13" w:rsidRPr="00FC6235">
        <w:t>≥</w:t>
      </w:r>
      <w:r w:rsidRPr="00FC6235">
        <w:t xml:space="preserve"> 1 % of subjects in the VTE2Q4+PRN group and more commonly than in the sham+VTE PRN group was cystoid macular oedema (1.8%</w:t>
      </w:r>
      <w:r w:rsidR="0091044A" w:rsidRPr="00FC6235">
        <w:t xml:space="preserve"> versus </w:t>
      </w:r>
      <w:r w:rsidRPr="00FC6235">
        <w:t>0%</w:t>
      </w:r>
      <w:r w:rsidR="00FC6235">
        <w:t>).</w:t>
      </w:r>
    </w:p>
    <w:p w:rsidR="000526AB" w:rsidRPr="00FC6235" w:rsidRDefault="00D74B64" w:rsidP="00FC6235">
      <w:pPr>
        <w:pStyle w:val="ListBullet"/>
      </w:pPr>
      <w:r w:rsidRPr="00FC6235">
        <w:t xml:space="preserve">non-ocular </w:t>
      </w:r>
      <w:r w:rsidR="000526AB" w:rsidRPr="00FC6235">
        <w:t>TEAEs were reported in a similar proportion of subjects in the sham+VTE PRN and VTR2Q4+PRN groups (81.1%</w:t>
      </w:r>
      <w:r w:rsidR="0091044A" w:rsidRPr="00FC6235">
        <w:t xml:space="preserve"> versus </w:t>
      </w:r>
      <w:r w:rsidR="000526AB" w:rsidRPr="00FC6235">
        <w:t xml:space="preserve">77.2%, respectively). </w:t>
      </w:r>
      <w:r w:rsidRPr="00FC6235">
        <w:t xml:space="preserve">Non-ocular </w:t>
      </w:r>
      <w:r w:rsidR="000526AB" w:rsidRPr="00FC6235">
        <w:t xml:space="preserve">TEAEs reported in </w:t>
      </w:r>
      <w:r w:rsidR="00B93F13" w:rsidRPr="00FC6235">
        <w:t>≥</w:t>
      </w:r>
      <w:r w:rsidR="000526AB" w:rsidRPr="00FC6235">
        <w:t xml:space="preserve"> 5% of subjects in the VTE2Q4+PRN group and in </w:t>
      </w:r>
      <w:r w:rsidR="00B93F13" w:rsidRPr="00FC6235">
        <w:t>≥</w:t>
      </w:r>
      <w:r w:rsidR="000526AB" w:rsidRPr="00FC6235">
        <w:t xml:space="preserve"> 2% more subjects than in the sham+VTE PRN group were: hypertension (19.3%</w:t>
      </w:r>
      <w:r w:rsidR="0091044A" w:rsidRPr="00FC6235">
        <w:t xml:space="preserve"> versus </w:t>
      </w:r>
      <w:r w:rsidR="000526AB" w:rsidRPr="00FC6235">
        <w:t>16.2%); nasopharyngitis (8.8%</w:t>
      </w:r>
      <w:r w:rsidR="0091044A" w:rsidRPr="00FC6235">
        <w:t xml:space="preserve"> versus </w:t>
      </w:r>
      <w:r w:rsidR="000526AB" w:rsidRPr="00FC6235">
        <w:t>6.8%); upper respiratory tract infection (8.8%</w:t>
      </w:r>
      <w:r w:rsidR="0091044A" w:rsidRPr="00FC6235">
        <w:t xml:space="preserve"> versus </w:t>
      </w:r>
      <w:r w:rsidR="000526AB" w:rsidRPr="00FC6235">
        <w:t>5.4%); influenza (7.9%</w:t>
      </w:r>
      <w:r w:rsidR="0091044A" w:rsidRPr="00FC6235">
        <w:t xml:space="preserve"> versus </w:t>
      </w:r>
      <w:r w:rsidR="000526AB" w:rsidRPr="00FC6235">
        <w:t>5.4%); bronchitis (6.1%</w:t>
      </w:r>
      <w:r w:rsidR="0091044A" w:rsidRPr="00FC6235">
        <w:t xml:space="preserve"> versus </w:t>
      </w:r>
      <w:r w:rsidR="000526AB" w:rsidRPr="00FC6235">
        <w:t>4.1%); sinusitis (6.1%</w:t>
      </w:r>
      <w:r w:rsidR="0091044A" w:rsidRPr="00FC6235">
        <w:t xml:space="preserve"> versus </w:t>
      </w:r>
      <w:r w:rsidR="000526AB" w:rsidRPr="00FC6235">
        <w:t>4.1%); urinary tract infection (6.1%</w:t>
      </w:r>
      <w:r w:rsidR="0091044A" w:rsidRPr="00FC6235">
        <w:t xml:space="preserve"> versus </w:t>
      </w:r>
      <w:r w:rsidR="000526AB" w:rsidRPr="00FC6235">
        <w:t>4.1%); and anaemia (5.3%</w:t>
      </w:r>
      <w:r w:rsidR="0091044A" w:rsidRPr="00FC6235">
        <w:t xml:space="preserve"> versus </w:t>
      </w:r>
      <w:r w:rsidR="00FC6235">
        <w:t>2.7%).</w:t>
      </w:r>
    </w:p>
    <w:p w:rsidR="000526AB" w:rsidRPr="00FC6235" w:rsidRDefault="00D74B64" w:rsidP="00FC6235">
      <w:pPr>
        <w:pStyle w:val="ListBullet"/>
      </w:pPr>
      <w:r w:rsidRPr="00FC6235">
        <w:t xml:space="preserve">non-ocular </w:t>
      </w:r>
      <w:r w:rsidR="000526AB" w:rsidRPr="00FC6235">
        <w:t>SAEs were reported in a marginally higher proportion of subjects in the sham+VTE group than in the VTE2Q4+PRN group (25.7%</w:t>
      </w:r>
      <w:r w:rsidR="0091044A" w:rsidRPr="00FC6235">
        <w:t xml:space="preserve"> versus </w:t>
      </w:r>
      <w:r w:rsidR="000526AB" w:rsidRPr="00FC6235">
        <w:t xml:space="preserve">21.1%). </w:t>
      </w:r>
      <w:r w:rsidRPr="00FC6235">
        <w:t xml:space="preserve">Non-ocular </w:t>
      </w:r>
      <w:r w:rsidR="000526AB" w:rsidRPr="00FC6235">
        <w:t xml:space="preserve">SAEs reported in </w:t>
      </w:r>
      <w:r w:rsidR="00B93F13" w:rsidRPr="00FC6235">
        <w:t>≥</w:t>
      </w:r>
      <w:r w:rsidR="000526AB" w:rsidRPr="00FC6235">
        <w:t xml:space="preserve"> 2 subjects in the VTE2Q4+PRN group (v</w:t>
      </w:r>
      <w:r w:rsidR="00B93F13" w:rsidRPr="00FC6235">
        <w:t>ersu</w:t>
      </w:r>
      <w:r w:rsidR="000526AB" w:rsidRPr="00FC6235">
        <w:t>s the sham+VTE PRN group) were: inguinal hernia (2 [1.8%]</w:t>
      </w:r>
      <w:r w:rsidR="0091044A" w:rsidRPr="00FC6235">
        <w:t xml:space="preserve"> versus </w:t>
      </w:r>
      <w:r w:rsidR="000526AB" w:rsidRPr="00FC6235">
        <w:t>0 [0%]); urinary tract infection (2 [1.8%]</w:t>
      </w:r>
      <w:r w:rsidR="0091044A" w:rsidRPr="00FC6235">
        <w:t xml:space="preserve"> versus </w:t>
      </w:r>
      <w:r w:rsidR="000526AB" w:rsidRPr="00FC6235">
        <w:t>0 [0%]); and coronary artery stenosis (2 [1.8%]</w:t>
      </w:r>
      <w:r w:rsidR="0091044A" w:rsidRPr="00FC6235">
        <w:t xml:space="preserve"> versus </w:t>
      </w:r>
      <w:r w:rsidR="000526AB" w:rsidRPr="00FC6235">
        <w:t xml:space="preserve">0 [0%]). There were 4 deaths reported over the 100 weeks of the study and all occurred in the sham+VTE PRN group (1 arrhythmia; 1 </w:t>
      </w:r>
      <w:r w:rsidR="00B93F13" w:rsidRPr="00FC6235">
        <w:t xml:space="preserve">acute MI; 1 </w:t>
      </w:r>
      <w:r w:rsidR="000526AB" w:rsidRPr="00FC6235">
        <w:t>oesophageal adenoca</w:t>
      </w:r>
      <w:r w:rsidR="00FC6235">
        <w:t>rcinoma stage IV; 1 pneumonia).</w:t>
      </w:r>
    </w:p>
    <w:p w:rsidR="000526AB" w:rsidRPr="00FC6235" w:rsidRDefault="00D74B64" w:rsidP="00FC6235">
      <w:pPr>
        <w:pStyle w:val="ListBullet"/>
      </w:pPr>
      <w:r w:rsidRPr="00FC6235">
        <w:t xml:space="preserve">non-ocular </w:t>
      </w:r>
      <w:r w:rsidR="000526AB" w:rsidRPr="00FC6235">
        <w:t>TEAEs of pre-specified interest were reported in a similar proportion of subjects in the sham+VTE PRN and VTE2Q4+PRN groups (67.6%</w:t>
      </w:r>
      <w:r w:rsidR="0091044A" w:rsidRPr="00FC6235">
        <w:t xml:space="preserve"> versus </w:t>
      </w:r>
      <w:r w:rsidR="000526AB" w:rsidRPr="00FC6235">
        <w:t xml:space="preserve">63.2%, respectively). Hypertension was the only reported </w:t>
      </w:r>
      <w:r w:rsidRPr="00FC6235">
        <w:t xml:space="preserve">non-ocular </w:t>
      </w:r>
      <w:r w:rsidR="000526AB" w:rsidRPr="00FC6235">
        <w:t xml:space="preserve">TEAE of interest reported in </w:t>
      </w:r>
      <w:r w:rsidR="00B93F13" w:rsidRPr="00FC6235">
        <w:t>≥</w:t>
      </w:r>
      <w:r w:rsidR="000526AB" w:rsidRPr="00FC6235">
        <w:t xml:space="preserve"> 10% of subjects in both treatment groups and was reported in a higher proportion of subjects in the VTE2Q4+PRN group than in the sham+VTE PRN group (19.3%</w:t>
      </w:r>
      <w:r w:rsidR="0091044A" w:rsidRPr="00FC6235">
        <w:t xml:space="preserve"> versus </w:t>
      </w:r>
      <w:r w:rsidR="000526AB" w:rsidRPr="00FC6235">
        <w:t xml:space="preserve">16.2%). Hypertension was the only </w:t>
      </w:r>
      <w:r w:rsidRPr="00FC6235">
        <w:t xml:space="preserve">non-ocular </w:t>
      </w:r>
      <w:r w:rsidR="000526AB" w:rsidRPr="00FC6235">
        <w:t xml:space="preserve">TEAE of interest reported in </w:t>
      </w:r>
      <w:r w:rsidR="00B93F13" w:rsidRPr="00FC6235">
        <w:t xml:space="preserve">≥ </w:t>
      </w:r>
      <w:r w:rsidR="000526AB" w:rsidRPr="00FC6235">
        <w:t xml:space="preserve">2% more subjects in the VTE2Q4 group </w:t>
      </w:r>
      <w:r w:rsidR="00FC6235">
        <w:t>than in the sham+VTE PRN group.</w:t>
      </w:r>
    </w:p>
    <w:p w:rsidR="000526AB" w:rsidRPr="00FC6235" w:rsidRDefault="000526AB" w:rsidP="00FC6235">
      <w:pPr>
        <w:pStyle w:val="ListBullet"/>
      </w:pPr>
      <w:r w:rsidRPr="00FC6235">
        <w:t>immunogenicity was assessed at</w:t>
      </w:r>
      <w:r w:rsidR="00300BDB" w:rsidRPr="00FC6235">
        <w:t xml:space="preserve"> Week 5</w:t>
      </w:r>
      <w:r w:rsidRPr="00FC6235">
        <w:t>2 and showed that 3/114 (2.6%) subjects in the VTE2Q4+PRN group were treatment-emergent ADA positive, but were negative for neutrali</w:t>
      </w:r>
      <w:r w:rsidR="00B93F13" w:rsidRPr="00FC6235">
        <w:t>s</w:t>
      </w:r>
      <w:r w:rsidRPr="00FC6235">
        <w:t>ing antibodies.</w:t>
      </w:r>
    </w:p>
    <w:p w:rsidR="000526AB" w:rsidRPr="00DD2C6F" w:rsidRDefault="000526AB" w:rsidP="00FC6235">
      <w:pPr>
        <w:pStyle w:val="Heading4"/>
      </w:pPr>
      <w:r w:rsidRPr="00DD2C6F">
        <w:t>Risk of CRVO disease regression following switch from proactive to reactive regimen</w:t>
      </w:r>
    </w:p>
    <w:p w:rsidR="000526AB" w:rsidRDefault="000526AB" w:rsidP="00FC6235">
      <w:r w:rsidRPr="00DD2C6F">
        <w:t>In subjects switching from VTE2Q4 to VTE PRN</w:t>
      </w:r>
      <w:r>
        <w:t xml:space="preserve"> after the first 6 months of proactive treatment</w:t>
      </w:r>
      <w:r w:rsidR="00301349">
        <w:t xml:space="preserve"> </w:t>
      </w:r>
      <w:r w:rsidRPr="00DD2C6F">
        <w:t>the</w:t>
      </w:r>
      <w:r>
        <w:t>re</w:t>
      </w:r>
      <w:r w:rsidRPr="00DD2C6F">
        <w:t xml:space="preserve"> </w:t>
      </w:r>
      <w:r>
        <w:t xml:space="preserve">was an </w:t>
      </w:r>
      <w:r w:rsidRPr="00DD2C6F">
        <w:t>increased incidence of CRVO disease</w:t>
      </w:r>
      <w:r w:rsidR="00B93F13">
        <w:t xml:space="preserve"> </w:t>
      </w:r>
      <w:r w:rsidRPr="00DD2C6F">
        <w:t xml:space="preserve">related TEAEs (particularly marked for macular oedema and reduced </w:t>
      </w:r>
      <w:r>
        <w:t xml:space="preserve">visual acuity). This observation suggests that CRVO </w:t>
      </w:r>
      <w:r w:rsidRPr="00DD2C6F">
        <w:t>regresses when proactive treatment is discontinued and reactive treatment is instituted.</w:t>
      </w:r>
      <w:r>
        <w:t xml:space="preserve"> Consequently, a </w:t>
      </w:r>
      <w:r w:rsidRPr="00DD2C6F">
        <w:t xml:space="preserve">continuous proactive treatment regimen </w:t>
      </w:r>
      <w:r>
        <w:t>might</w:t>
      </w:r>
      <w:r w:rsidRPr="00DD2C6F">
        <w:t xml:space="preserve"> mitigate the risk of disease regression associated with switching from a proactive regimen (VTE2Q4) to a reactive </w:t>
      </w:r>
      <w:r>
        <w:t xml:space="preserve">VTE </w:t>
      </w:r>
      <w:r w:rsidRPr="00DD2C6F">
        <w:t>PRN treatment regimen</w:t>
      </w:r>
      <w:r>
        <w:t xml:space="preserve"> after the first 6 months of treatment</w:t>
      </w:r>
      <w:r w:rsidRPr="00DD2C6F">
        <w:t xml:space="preserve">. </w:t>
      </w:r>
      <w:r>
        <w:t>The sponsor proposes that proactive VTE2Q8 be administered from the sixth month of treatment onwards rather tha</w:t>
      </w:r>
      <w:r w:rsidR="00FC6235">
        <w:t>n reactive VTE PRN.</w:t>
      </w:r>
    </w:p>
    <w:p w:rsidR="009E5AF9" w:rsidRDefault="001962A6" w:rsidP="00FC6235">
      <w:pPr>
        <w:rPr>
          <w:lang w:eastAsia="ja-JP"/>
        </w:rPr>
      </w:pPr>
      <w:r>
        <w:rPr>
          <w:lang w:eastAsia="ja-JP"/>
        </w:rPr>
        <w:t>[information redacted]</w:t>
      </w:r>
    </w:p>
    <w:p w:rsidR="000526AB" w:rsidRDefault="000526AB" w:rsidP="00FC6235">
      <w:r>
        <w:t>There are no confirmatory data indicating that a proactive regimen from six months onwards will prevent an increase in CRVO disease</w:t>
      </w:r>
      <w:r w:rsidR="00B93F13">
        <w:t xml:space="preserve"> </w:t>
      </w:r>
      <w:r>
        <w:t>related TEAEs (in particular macular oedema and reductions in visual acuity). However, there are data from which it can be inferred that a VTE2Q4 regimen might be effective in reducing CRVO disease</w:t>
      </w:r>
      <w:r w:rsidR="00B93F13">
        <w:t xml:space="preserve"> </w:t>
      </w:r>
      <w:r>
        <w:t>related TEAEs following a switch from proac</w:t>
      </w:r>
      <w:r w:rsidR="00B93F13">
        <w:t>tive to reactive dosing (that is, W</w:t>
      </w:r>
      <w:r>
        <w:t>eek 0-24 data for VTE2Q4</w:t>
      </w:r>
      <w:r w:rsidR="0091044A">
        <w:t xml:space="preserve"> versus </w:t>
      </w:r>
      <w:r>
        <w:t xml:space="preserve">sham and </w:t>
      </w:r>
      <w:r w:rsidRPr="00B93F13">
        <w:t>post</w:t>
      </w:r>
      <w:r w:rsidR="00B93F13">
        <w:t xml:space="preserve"> </w:t>
      </w:r>
      <w:r w:rsidRPr="00B93F13">
        <w:t xml:space="preserve">hoc </w:t>
      </w:r>
      <w:r>
        <w:t xml:space="preserve">justification analysis for </w:t>
      </w:r>
      <w:r w:rsidR="00B93F13">
        <w:t>≥</w:t>
      </w:r>
      <w:r>
        <w:t xml:space="preserve"> 4 VTE injections sub-group). The data for a proactive VTE2Q4 regimen from six months onwards is considered to be stronger than for the sponsor’s pro</w:t>
      </w:r>
      <w:r w:rsidR="00FC6235">
        <w:t>posed proactive VTE2Q8 regimen.</w:t>
      </w:r>
    </w:p>
    <w:p w:rsidR="000526AB" w:rsidRDefault="000526AB" w:rsidP="00FC6235">
      <w:pPr>
        <w:pStyle w:val="Heading3"/>
      </w:pPr>
      <w:bookmarkStart w:id="205" w:name="_Toc236802597"/>
      <w:bookmarkStart w:id="206" w:name="_Toc241374335"/>
      <w:bookmarkStart w:id="207" w:name="_Toc272414695"/>
      <w:bookmarkStart w:id="208" w:name="_Toc290846333"/>
      <w:bookmarkStart w:id="209" w:name="_Toc221697340"/>
      <w:bookmarkStart w:id="210" w:name="_Toc396651367"/>
      <w:r>
        <w:t>First round assessment of benefit-risk balance</w:t>
      </w:r>
      <w:bookmarkEnd w:id="205"/>
      <w:bookmarkEnd w:id="206"/>
      <w:bookmarkEnd w:id="207"/>
      <w:bookmarkEnd w:id="208"/>
      <w:bookmarkEnd w:id="209"/>
      <w:bookmarkEnd w:id="210"/>
    </w:p>
    <w:p w:rsidR="00C22678" w:rsidRPr="00586F98" w:rsidRDefault="000526AB" w:rsidP="00FC6235">
      <w:pPr>
        <w:rPr>
          <w:lang w:eastAsia="ja-JP"/>
        </w:rPr>
      </w:pPr>
      <w:r>
        <w:t>The benefit-risk balance of Eylea, given the proposed usage, is favourable.</w:t>
      </w:r>
    </w:p>
    <w:p w:rsidR="00C22678" w:rsidRDefault="00C22678" w:rsidP="00FC6235">
      <w:pPr>
        <w:pStyle w:val="Heading2"/>
      </w:pPr>
      <w:bookmarkStart w:id="211" w:name="_Toc396651368"/>
      <w:r>
        <w:lastRenderedPageBreak/>
        <w:t>First round recommendation regarding authorisation</w:t>
      </w:r>
      <w:bookmarkEnd w:id="211"/>
    </w:p>
    <w:p w:rsidR="000526AB" w:rsidRDefault="000526AB" w:rsidP="00FC6235">
      <w:pPr>
        <w:pStyle w:val="Numberbullet2"/>
      </w:pPr>
      <w:r>
        <w:t xml:space="preserve">It is recommended that EYLEA be approved for the </w:t>
      </w:r>
      <w:r w:rsidRPr="00D45597">
        <w:rPr>
          <w:b/>
        </w:rPr>
        <w:t>treatment of visual impairment due to macular oedema secondary to central retinal vein occlusion (CRV0).</w:t>
      </w:r>
      <w:r>
        <w:t xml:space="preserve"> The inclusion criteria for both COPERNICUS and GALILEO included subjects with visual impairment in addition to macular oedema secondary to CRVO, and the primary efficacy outcome in both studies was improvement in BCVA following treatment. Therefore, it is considered that treatment should only be initiated in subjects with visual impairment due to macular oedema secondary to CRVO. There are no data on whether treatment with Eylea in subjects with macular oedema secondary to CRVO but without visual impairment will prevent the de</w:t>
      </w:r>
      <w:r w:rsidR="00FC6235">
        <w:t>velopment of visual impairment.</w:t>
      </w:r>
    </w:p>
    <w:p w:rsidR="00C22678" w:rsidRPr="00586F98" w:rsidRDefault="000526AB" w:rsidP="00FC6235">
      <w:pPr>
        <w:pStyle w:val="Numberbullet2"/>
        <w:rPr>
          <w:lang w:eastAsia="ja-JP"/>
        </w:rPr>
      </w:pPr>
      <w:r>
        <w:t>It is recommended that the approved dosage be one IVT injection (2 mg) every 4 weeks (VTE2Q4) rather than one IVT injection (2 mg) every two months (</w:t>
      </w:r>
      <w:r w:rsidR="00271148">
        <w:t>that is,</w:t>
      </w:r>
      <w:r>
        <w:t xml:space="preserve"> VTE2Q8) following the first six months of treatment with VTE2Q4. The recommendation for a continuous VTE2Q4 treatment regimen has been inferred from the available safety data from COPERNICUS and GALILEO.</w:t>
      </w:r>
    </w:p>
    <w:p w:rsidR="00C22678" w:rsidRDefault="00C22678" w:rsidP="00FC6235">
      <w:pPr>
        <w:pStyle w:val="Heading2"/>
      </w:pPr>
      <w:bookmarkStart w:id="212" w:name="_Toc396651369"/>
      <w:r>
        <w:t>Clinical questions</w:t>
      </w:r>
      <w:bookmarkEnd w:id="212"/>
    </w:p>
    <w:p w:rsidR="00C22678" w:rsidRDefault="00C618F7" w:rsidP="00FC6235">
      <w:pPr>
        <w:pStyle w:val="Heading3"/>
      </w:pPr>
      <w:bookmarkStart w:id="213" w:name="_Toc396651370"/>
      <w:r>
        <w:t>Pharmacokinetics</w:t>
      </w:r>
      <w:bookmarkEnd w:id="213"/>
    </w:p>
    <w:p w:rsidR="00C618F7" w:rsidRPr="00586F98" w:rsidRDefault="000526AB" w:rsidP="00FC6235">
      <w:pPr>
        <w:rPr>
          <w:lang w:eastAsia="ja-JP"/>
        </w:rPr>
      </w:pPr>
      <w:r>
        <w:rPr>
          <w:lang w:eastAsia="ja-JP"/>
        </w:rPr>
        <w:t>No questions.</w:t>
      </w:r>
    </w:p>
    <w:p w:rsidR="00C618F7" w:rsidRDefault="00C618F7" w:rsidP="00FC6235">
      <w:pPr>
        <w:pStyle w:val="Heading3"/>
      </w:pPr>
      <w:bookmarkStart w:id="214" w:name="_Toc396651371"/>
      <w:r>
        <w:t>Pharmacodynamics</w:t>
      </w:r>
      <w:bookmarkEnd w:id="214"/>
    </w:p>
    <w:p w:rsidR="00C618F7" w:rsidRPr="00586F98" w:rsidRDefault="000526AB" w:rsidP="00FC6235">
      <w:pPr>
        <w:rPr>
          <w:lang w:eastAsia="ja-JP"/>
        </w:rPr>
      </w:pPr>
      <w:r>
        <w:rPr>
          <w:lang w:eastAsia="ja-JP"/>
        </w:rPr>
        <w:t>No questions.</w:t>
      </w:r>
    </w:p>
    <w:p w:rsidR="00C618F7" w:rsidRDefault="00C618F7" w:rsidP="00FC6235">
      <w:pPr>
        <w:pStyle w:val="Heading3"/>
      </w:pPr>
      <w:bookmarkStart w:id="215" w:name="_Toc396651372"/>
      <w:r>
        <w:t>Efficacy</w:t>
      </w:r>
      <w:bookmarkEnd w:id="215"/>
    </w:p>
    <w:p w:rsidR="000526AB" w:rsidRPr="00FC6235" w:rsidRDefault="00271148" w:rsidP="00FC6235">
      <w:pPr>
        <w:pStyle w:val="Numberbullet2"/>
      </w:pPr>
      <w:r w:rsidRPr="00FC6235">
        <w:t>In GALILEO, the W</w:t>
      </w:r>
      <w:r w:rsidR="000526AB" w:rsidRPr="00FC6235">
        <w:t>eek</w:t>
      </w:r>
      <w:r w:rsidRPr="00FC6235">
        <w:t xml:space="preserve"> </w:t>
      </w:r>
      <w:r w:rsidR="000526AB" w:rsidRPr="00FC6235">
        <w:t>76 data indicate</w:t>
      </w:r>
      <w:r w:rsidRPr="00FC6235">
        <w:t xml:space="preserve"> that from baseline to W</w:t>
      </w:r>
      <w:r w:rsidR="000526AB" w:rsidRPr="00FC6235">
        <w:t>eek-76, 39 (36.8%) subjects in the VTE2Q4+PRN group had major</w:t>
      </w:r>
      <w:r w:rsidRPr="00FC6235">
        <w:t xml:space="preserve"> protocol deviations characteris</w:t>
      </w:r>
      <w:r w:rsidR="000526AB" w:rsidRPr="00FC6235">
        <w:t>ed by treatment deviations compared with 11 (15.5%) subjects in the sham+VTE PRN group. What w</w:t>
      </w:r>
      <w:r w:rsidRPr="00FC6235">
        <w:t>as</w:t>
      </w:r>
      <w:r w:rsidR="000526AB" w:rsidRPr="00FC6235">
        <w:t xml:space="preserve"> the nature of the treatment deviations reported in each treatment group, and what was the reason for the notable difference in treatment deviations between the two treatment group</w:t>
      </w:r>
      <w:r w:rsidR="00FC6235">
        <w:t>s?</w:t>
      </w:r>
    </w:p>
    <w:p w:rsidR="00C618F7" w:rsidRPr="00FC6235" w:rsidRDefault="000526AB" w:rsidP="00FC6235">
      <w:pPr>
        <w:pStyle w:val="Numberbullet2"/>
      </w:pPr>
      <w:r w:rsidRPr="00FC6235">
        <w:t>The proportion of subjects with major protocol deviations over the course of the study was notably higher in GALILEO than in COPERNICUS (40.1% [71/17] through to</w:t>
      </w:r>
      <w:r w:rsidR="00300BDB" w:rsidRPr="00FC6235">
        <w:t xml:space="preserve"> Week 7</w:t>
      </w:r>
      <w:r w:rsidRPr="00FC6235">
        <w:t>6</w:t>
      </w:r>
      <w:r w:rsidR="0091044A" w:rsidRPr="00FC6235">
        <w:t xml:space="preserve"> versus </w:t>
      </w:r>
      <w:r w:rsidRPr="00FC6235">
        <w:t>4.8% [9/189] through to</w:t>
      </w:r>
      <w:r w:rsidR="00300BDB" w:rsidRPr="00FC6235">
        <w:t xml:space="preserve"> Week 1</w:t>
      </w:r>
      <w:r w:rsidRPr="00FC6235">
        <w:t>00, respectively). Please comment on the reasons for the difference between the two studies.</w:t>
      </w:r>
    </w:p>
    <w:p w:rsidR="00C618F7" w:rsidRDefault="00C618F7" w:rsidP="00FC6235">
      <w:pPr>
        <w:pStyle w:val="Heading3"/>
      </w:pPr>
      <w:bookmarkStart w:id="216" w:name="_Toc396651373"/>
      <w:r>
        <w:t>Safety</w:t>
      </w:r>
      <w:bookmarkEnd w:id="216"/>
    </w:p>
    <w:p w:rsidR="000526AB" w:rsidRPr="00FC6235" w:rsidRDefault="000526AB" w:rsidP="00FC6235">
      <w:pPr>
        <w:pStyle w:val="Numberbullet2"/>
      </w:pPr>
      <w:r w:rsidRPr="00FC6235">
        <w:t>In the integrated analysis, macular oedema was reported</w:t>
      </w:r>
      <w:r w:rsidR="00301349" w:rsidRPr="00FC6235">
        <w:t xml:space="preserve"> </w:t>
      </w:r>
      <w:r w:rsidRPr="00FC6235">
        <w:t>more commonly in subjects in the</w:t>
      </w:r>
      <w:r w:rsidR="00300BDB" w:rsidRPr="00FC6235">
        <w:t xml:space="preserve"> Week 2</w:t>
      </w:r>
      <w:r w:rsidRPr="00FC6235">
        <w:t>4</w:t>
      </w:r>
      <w:r w:rsidR="00271148" w:rsidRPr="00FC6235">
        <w:t xml:space="preserve"> to </w:t>
      </w:r>
      <w:r w:rsidRPr="00FC6235">
        <w:t xml:space="preserve">52 period than in the </w:t>
      </w:r>
      <w:r w:rsidR="00271148" w:rsidRPr="00FC6235">
        <w:t>W</w:t>
      </w:r>
      <w:r w:rsidRPr="00FC6235">
        <w:t>eek 0</w:t>
      </w:r>
      <w:r w:rsidR="00271148" w:rsidRPr="00FC6235">
        <w:t xml:space="preserve"> to </w:t>
      </w:r>
      <w:r w:rsidRPr="00FC6235">
        <w:t>24 period (21.3%</w:t>
      </w:r>
      <w:r w:rsidR="0091044A" w:rsidRPr="00FC6235">
        <w:t xml:space="preserve"> versus </w:t>
      </w:r>
      <w:r w:rsidRPr="00FC6235">
        <w:t>1.4%, respectively), as was reduced visual acuity (13.0%</w:t>
      </w:r>
      <w:r w:rsidR="0091044A" w:rsidRPr="00FC6235">
        <w:t xml:space="preserve"> versus </w:t>
      </w:r>
      <w:r w:rsidRPr="00FC6235">
        <w:t xml:space="preserve">4.1%, respectively). The differences may reflect the switch from proactive VTE2Q4 dosing from </w:t>
      </w:r>
      <w:r w:rsidR="00271148" w:rsidRPr="00FC6235">
        <w:t>W</w:t>
      </w:r>
      <w:r w:rsidRPr="00FC6235">
        <w:t>eek 0 to</w:t>
      </w:r>
      <w:r w:rsidR="00300BDB" w:rsidRPr="00FC6235">
        <w:t xml:space="preserve"> Week 2</w:t>
      </w:r>
      <w:r w:rsidRPr="00FC6235">
        <w:t>4 to reactive VTE PRN dosing from</w:t>
      </w:r>
      <w:r w:rsidR="00300BDB" w:rsidRPr="00FC6235">
        <w:t xml:space="preserve"> Week 2</w:t>
      </w:r>
      <w:r w:rsidRPr="00FC6235">
        <w:t>4</w:t>
      </w:r>
      <w:r w:rsidR="00271148" w:rsidRPr="00FC6235">
        <w:t xml:space="preserve"> to </w:t>
      </w:r>
      <w:r w:rsidRPr="00FC6235">
        <w:t xml:space="preserve">52 and raises the possibility that rebound macular oedema occurs when VTE dosing is changed from proactive to reactive. However, the sponsor appears to consider that the observed results do not reflect a rebound effect. Please comment on the possibility that the higher incidence of </w:t>
      </w:r>
      <w:r w:rsidRPr="00FC6235">
        <w:lastRenderedPageBreak/>
        <w:t>macular oedema in</w:t>
      </w:r>
      <w:r w:rsidR="00300BDB" w:rsidRPr="00FC6235">
        <w:t xml:space="preserve"> Week 2</w:t>
      </w:r>
      <w:r w:rsidR="00271148" w:rsidRPr="00FC6235">
        <w:t xml:space="preserve">4 to </w:t>
      </w:r>
      <w:r w:rsidRPr="00FC6235">
        <w:t xml:space="preserve">52 compared with </w:t>
      </w:r>
      <w:r w:rsidR="00271148" w:rsidRPr="00FC6235">
        <w:t>W</w:t>
      </w:r>
      <w:r w:rsidRPr="00FC6235">
        <w:t>eek 0</w:t>
      </w:r>
      <w:r w:rsidR="00271148" w:rsidRPr="00FC6235">
        <w:t xml:space="preserve"> to </w:t>
      </w:r>
      <w:r w:rsidRPr="00FC6235">
        <w:t>24 does reflect a rebound effect due to the switch from proacti</w:t>
      </w:r>
      <w:r w:rsidR="00FC6235">
        <w:t>ve to reactive dosing.</w:t>
      </w:r>
    </w:p>
    <w:p w:rsidR="000526AB" w:rsidRPr="00FC6235" w:rsidRDefault="000526AB" w:rsidP="00FC6235">
      <w:pPr>
        <w:pStyle w:val="Numberbullet2"/>
      </w:pPr>
      <w:r w:rsidRPr="00FC6235">
        <w:t xml:space="preserve">In the </w:t>
      </w:r>
      <w:r w:rsidR="00271148" w:rsidRPr="00FC6235">
        <w:t xml:space="preserve">sponsor’s </w:t>
      </w:r>
      <w:r w:rsidRPr="00FC6235">
        <w:t xml:space="preserve">Summary of Clinical Safety </w:t>
      </w:r>
      <w:r w:rsidR="00271148" w:rsidRPr="00FC6235">
        <w:t>(Table 22</w:t>
      </w:r>
      <w:r w:rsidR="00271148" w:rsidRPr="004E0EF5">
        <w:rPr>
          <w:rStyle w:val="FootnoteReference"/>
        </w:rPr>
        <w:footnoteReference w:id="11"/>
      </w:r>
      <w:r w:rsidR="00271148" w:rsidRPr="00FC6235">
        <w:t>; W</w:t>
      </w:r>
      <w:r w:rsidRPr="00FC6235">
        <w:t>eek 24</w:t>
      </w:r>
      <w:r w:rsidR="00271148" w:rsidRPr="00FC6235">
        <w:t xml:space="preserve"> to </w:t>
      </w:r>
      <w:r w:rsidRPr="00FC6235">
        <w:t xml:space="preserve">52) </w:t>
      </w:r>
      <w:r w:rsidR="00D74B64" w:rsidRPr="00FC6235">
        <w:t xml:space="preserve">non-ocular </w:t>
      </w:r>
      <w:r w:rsidRPr="00FC6235">
        <w:t>TEAEs are stated to be sourced from Module 5.3.5.3 GIA_VEGF Trap-Eye_CRVO_1y data Table 14.3.1.2/6. However, the total number of subjects in each of the groups in the source table differs from the corresponding numbers in Table 22 (</w:t>
      </w:r>
      <w:r w:rsidR="00271148" w:rsidRPr="00FC6235">
        <w:t>that is,</w:t>
      </w:r>
      <w:r w:rsidRPr="00FC6235">
        <w:t xml:space="preserve"> sham 57, not 68; sham+VTE 60, not 64; VTE2Q4 207, not 218; and Total 324 not 360). Furthermore, the number and percentages given in Table 22 relate to the total number of subjects in each group in the source table and not in each group in Table 22, and the percentage of subjects given for the number of subjects with at least one </w:t>
      </w:r>
      <w:r w:rsidR="00D74B64" w:rsidRPr="00FC6235">
        <w:t xml:space="preserve">non-ocular </w:t>
      </w:r>
      <w:r w:rsidRPr="00FC6235">
        <w:t>TEAE in the sham group (59.9%) appears to be incorrect (should be 50.9% [29/57]). It appears that the total numbers in Table 22 reflect the SAF population rather than the population who completed</w:t>
      </w:r>
      <w:r w:rsidR="00300BDB" w:rsidRPr="00FC6235">
        <w:t xml:space="preserve"> Week 2</w:t>
      </w:r>
      <w:r w:rsidRPr="00FC6235">
        <w:t>4 and were treated through to</w:t>
      </w:r>
      <w:r w:rsidR="00300BDB" w:rsidRPr="00FC6235">
        <w:t xml:space="preserve"> Week 5</w:t>
      </w:r>
      <w:r w:rsidRPr="00FC6235">
        <w:t>2. Please comment o</w:t>
      </w:r>
      <w:r w:rsidR="00FC6235">
        <w:t>n these apparent discrepancies.</w:t>
      </w:r>
    </w:p>
    <w:p w:rsidR="000526AB" w:rsidRPr="00FC6235" w:rsidRDefault="000526AB" w:rsidP="00FC6235">
      <w:pPr>
        <w:pStyle w:val="Numberbullet2"/>
      </w:pPr>
      <w:r w:rsidRPr="00FC6235">
        <w:t>In the COPERNICUS CSR (Week 100), it is stated (“Prespecified ocular adverse events of special interest”) that “From baseline to</w:t>
      </w:r>
      <w:r w:rsidR="00300BDB" w:rsidRPr="00FC6235">
        <w:t xml:space="preserve"> Week 1</w:t>
      </w:r>
      <w:r w:rsidRPr="00FC6235">
        <w:t>00, the overall incidence of subjects who experienced at least 1 ocular TEAE of interest in the study eye was similar in the sham+VTE PRN group (67.6%) and the VEGF Trap-Eye 2Q4+PRN group (63.2%)”. However, the</w:t>
      </w:r>
      <w:r w:rsidR="00301349" w:rsidRPr="00FC6235">
        <w:t xml:space="preserve"> </w:t>
      </w:r>
      <w:r w:rsidRPr="00FC6235">
        <w:t>summary in Table 56</w:t>
      </w:r>
      <w:r w:rsidR="00271148" w:rsidRPr="00FC6235">
        <w:rPr>
          <w:rStyle w:val="FootnoteReference"/>
          <w:vertAlign w:val="baseline"/>
        </w:rPr>
        <w:footnoteReference w:id="12"/>
      </w:r>
      <w:r w:rsidRPr="00FC6235">
        <w:t xml:space="preserve"> suggests that these percentages refer to all TEAEs of interest and that the relevant proportions for ocular TEAEs of interest are 52.7% and 50.9%. Similarly, on page 128 it is stated that “[f]rom weeks 24 to 100, the number of subjects with at least 1 ocular TEAE of interest in the study eye was similar between the Sham+PRN and VEGF Trap-Eye 2Q4+PRN groups (51.7% and 48.2%, respectively)”. However, the</w:t>
      </w:r>
      <w:r w:rsidR="00301349" w:rsidRPr="00FC6235">
        <w:t xml:space="preserve"> </w:t>
      </w:r>
      <w:r w:rsidRPr="00FC6235">
        <w:t>summary</w:t>
      </w:r>
      <w:r w:rsidR="00301349" w:rsidRPr="00FC6235">
        <w:t xml:space="preserve"> </w:t>
      </w:r>
      <w:r w:rsidRPr="00FC6235">
        <w:t>in Table 57</w:t>
      </w:r>
      <w:r w:rsidR="00271148" w:rsidRPr="00FC6235">
        <w:rPr>
          <w:rStyle w:val="FootnoteReference"/>
          <w:vertAlign w:val="baseline"/>
        </w:rPr>
        <w:footnoteReference w:id="13"/>
      </w:r>
      <w:r w:rsidRPr="00FC6235">
        <w:t xml:space="preserve"> suggests that these percentages refer to all TEAEs of interest, and that the relevant proportions for ocular TEAEs of interest</w:t>
      </w:r>
      <w:r w:rsidR="00301349" w:rsidRPr="00FC6235">
        <w:t xml:space="preserve"> </w:t>
      </w:r>
      <w:r w:rsidRPr="00FC6235">
        <w:t>are 33.3% and 38.2%. Please comment o</w:t>
      </w:r>
      <w:r w:rsidR="00FC6235">
        <w:t>n these apparent discrepancies.</w:t>
      </w:r>
    </w:p>
    <w:p w:rsidR="00C618F7" w:rsidRPr="00FC6235" w:rsidRDefault="000526AB" w:rsidP="00FC6235">
      <w:pPr>
        <w:pStyle w:val="Numberbullet2"/>
      </w:pPr>
      <w:r w:rsidRPr="00FC6235">
        <w:t xml:space="preserve">In the COPERNICUS CSR (Week 100), it is stated (“Prespecified </w:t>
      </w:r>
      <w:r w:rsidR="00D74B64" w:rsidRPr="00FC6235">
        <w:t xml:space="preserve">non-ocular </w:t>
      </w:r>
      <w:r w:rsidRPr="00FC6235">
        <w:t>adverse events of special interest”) that “From baseline to</w:t>
      </w:r>
      <w:r w:rsidR="00300BDB" w:rsidRPr="00FC6235">
        <w:t xml:space="preserve"> Week 1</w:t>
      </w:r>
      <w:r w:rsidRPr="00FC6235">
        <w:t xml:space="preserve">00, the overall incidence of subjects who experienced at least 1 </w:t>
      </w:r>
      <w:r w:rsidR="00D74B64" w:rsidRPr="00FC6235">
        <w:t xml:space="preserve">non-ocular </w:t>
      </w:r>
      <w:r w:rsidRPr="00FC6235">
        <w:t>TEAE of interest in the study eye was similar in the Sham+PRN group (67.6%) and the VEGF Trap-Eye 2Q4+PRN group (63.2%)”. However, the</w:t>
      </w:r>
      <w:r w:rsidR="00301349" w:rsidRPr="00FC6235">
        <w:t xml:space="preserve"> </w:t>
      </w:r>
      <w:r w:rsidRPr="00FC6235">
        <w:t>summary</w:t>
      </w:r>
      <w:r w:rsidR="00301349" w:rsidRPr="00FC6235">
        <w:t xml:space="preserve"> </w:t>
      </w:r>
      <w:r w:rsidRPr="00FC6235">
        <w:t>in Table 59</w:t>
      </w:r>
      <w:r w:rsidR="00271148" w:rsidRPr="00FC6235">
        <w:rPr>
          <w:rStyle w:val="FootnoteReference"/>
          <w:vertAlign w:val="baseline"/>
        </w:rPr>
        <w:footnoteReference w:id="14"/>
      </w:r>
      <w:r w:rsidRPr="00FC6235">
        <w:t xml:space="preserve"> suggests that these percentages refer to all TEAEs of interest and that the relevant proportions for </w:t>
      </w:r>
      <w:r w:rsidR="00D74B64" w:rsidRPr="00FC6235">
        <w:t xml:space="preserve">non-ocular </w:t>
      </w:r>
      <w:r w:rsidRPr="00FC6235">
        <w:t>TEAEs of interest are 31.1% and 25.4%, respectively. Similarly, on page 128 it is stated that “From weeks 24 to 100, the number of subjects with at least 1 ocular TEAE of interest in the study eye was similar between the Sham+PRN and VEGF Trap-Eye 2Q4+PRN groups (51.7% and 48.2%, respectively)”. However, the</w:t>
      </w:r>
      <w:r w:rsidR="00301349" w:rsidRPr="00FC6235">
        <w:t xml:space="preserve"> </w:t>
      </w:r>
      <w:r w:rsidRPr="00FC6235">
        <w:t>summary</w:t>
      </w:r>
      <w:r w:rsidR="00301349" w:rsidRPr="00FC6235">
        <w:t xml:space="preserve"> </w:t>
      </w:r>
      <w:r w:rsidRPr="00FC6235">
        <w:t>in Table 60</w:t>
      </w:r>
      <w:r w:rsidR="00271148" w:rsidRPr="00FC6235">
        <w:rPr>
          <w:rStyle w:val="FootnoteReference"/>
          <w:vertAlign w:val="baseline"/>
        </w:rPr>
        <w:footnoteReference w:id="15"/>
      </w:r>
      <w:r w:rsidRPr="00FC6235">
        <w:t xml:space="preserve"> indicates that these percentages refer to all TEAEs of interest and that the relevant proportions for ocular TEAEs of interest are 28.3% and 16.4%, respectively. Please comment on these apparent discrepancies.</w:t>
      </w:r>
    </w:p>
    <w:p w:rsidR="000526AB" w:rsidRPr="00951B2D" w:rsidRDefault="000526AB" w:rsidP="00FC6235">
      <w:pPr>
        <w:pStyle w:val="Heading4"/>
      </w:pPr>
      <w:bookmarkStart w:id="217" w:name="_Toc221697352"/>
      <w:r>
        <w:t>Dosing regimen</w:t>
      </w:r>
      <w:bookmarkEnd w:id="217"/>
    </w:p>
    <w:p w:rsidR="000526AB" w:rsidRPr="00FC6235" w:rsidRDefault="000526AB" w:rsidP="00FC6235">
      <w:pPr>
        <w:pStyle w:val="Numberbullet2"/>
      </w:pPr>
      <w:r w:rsidRPr="00FC6235">
        <w:t xml:space="preserve">The recommended Eylea dose in the US for the treatment of macular oedema following central retinal vein occlusion (CRVO) is 2 mg (0.05 mL) administered every 4 weeks (monthly). However, in Australian the sponsor proposes that treatment with Eylea for the same indication be initiated with one injection per month (2 mg, 5 </w:t>
      </w:r>
      <w:r w:rsidR="00271148" w:rsidRPr="00FC6235">
        <w:t>µ</w:t>
      </w:r>
      <w:r w:rsidRPr="00FC6235">
        <w:t xml:space="preserve">L) for the first </w:t>
      </w:r>
      <w:r w:rsidRPr="00FC6235">
        <w:lastRenderedPageBreak/>
        <w:t xml:space="preserve">six months, followed by one injection (2 mg, 5 </w:t>
      </w:r>
      <w:r w:rsidR="00271148" w:rsidRPr="00FC6235">
        <w:t>µ</w:t>
      </w:r>
      <w:r w:rsidRPr="00FC6235">
        <w:t xml:space="preserve">L) every two months. Please comment on </w:t>
      </w:r>
      <w:r w:rsidR="00FC6235">
        <w:t>the reason for this difference.</w:t>
      </w:r>
    </w:p>
    <w:p w:rsidR="000526AB" w:rsidRPr="00FC6235" w:rsidRDefault="000526AB" w:rsidP="00FC6235">
      <w:pPr>
        <w:pStyle w:val="Numberbullet2"/>
      </w:pPr>
      <w:r w:rsidRPr="00FC6235">
        <w:t>There are no confirmatory data indicating that a proactive regimen from six months onwards will prevent an increased in CRVO disease</w:t>
      </w:r>
      <w:r w:rsidR="00D02A01" w:rsidRPr="00FC6235">
        <w:t xml:space="preserve"> </w:t>
      </w:r>
      <w:r w:rsidRPr="00FC6235">
        <w:t>related TEAEs (in particular macular oedema and reduction in visual acuity). However, there are data from which it can be inferred that a VTE2Q4 regimen might be effective in reducing CRVO disease-related TEAEs following a switch from proactive to reactive dosing (</w:t>
      </w:r>
      <w:r w:rsidR="00D02A01" w:rsidRPr="00FC6235">
        <w:t>that is, W</w:t>
      </w:r>
      <w:r w:rsidRPr="00FC6235">
        <w:t>eek 0</w:t>
      </w:r>
      <w:r w:rsidR="00D02A01" w:rsidRPr="00FC6235">
        <w:t xml:space="preserve"> to </w:t>
      </w:r>
      <w:r w:rsidRPr="00FC6235">
        <w:t>24 data for VTE2Q4</w:t>
      </w:r>
      <w:r w:rsidR="0091044A" w:rsidRPr="00FC6235">
        <w:t xml:space="preserve"> versus </w:t>
      </w:r>
      <w:r w:rsidRPr="00FC6235">
        <w:t xml:space="preserve">sham, and posology justification analysis for the </w:t>
      </w:r>
      <w:r w:rsidR="00D02A01" w:rsidRPr="00FC6235">
        <w:t>≥ </w:t>
      </w:r>
      <w:r w:rsidRPr="00FC6235">
        <w:t>4 VTE injections sub-group). The data for a proactive VTE2Q4 regimen from six months onwards is considered to be stronger than for the sponsor’s proposed proactive VTE2Q8 regimen. Please comment on why the sponsor proposes a VTE2Q8 regimen rather than a VTE2Q4 regimen from six months onwards.</w:t>
      </w:r>
    </w:p>
    <w:p w:rsidR="00C618F7" w:rsidRDefault="00C618F7" w:rsidP="00FC6235">
      <w:pPr>
        <w:pStyle w:val="Heading2"/>
      </w:pPr>
      <w:bookmarkStart w:id="218" w:name="_Toc396651374"/>
      <w:r>
        <w:t>Second round evaluation of clinical data submitted in response to questions</w:t>
      </w:r>
      <w:bookmarkEnd w:id="218"/>
    </w:p>
    <w:p w:rsidR="00F7558D" w:rsidRPr="00630832" w:rsidRDefault="00F7558D" w:rsidP="00FC6235">
      <w:r>
        <w:t xml:space="preserve">This is the second round clinical evaluation report (CER2) of the sponsor’s Category 1 </w:t>
      </w:r>
      <w:r>
        <w:rPr>
          <w:position w:val="2"/>
        </w:rPr>
        <w:t>(PM-2012-03146-</w:t>
      </w:r>
      <w:r w:rsidR="00D02A01">
        <w:rPr>
          <w:position w:val="2"/>
        </w:rPr>
        <w:t>3</w:t>
      </w:r>
      <w:r>
        <w:rPr>
          <w:position w:val="2"/>
        </w:rPr>
        <w:t xml:space="preserve">-5) </w:t>
      </w:r>
      <w:r>
        <w:t xml:space="preserve">submission to “extend the Indication” to include </w:t>
      </w:r>
      <w:r w:rsidRPr="00A166A5">
        <w:rPr>
          <w:b/>
        </w:rPr>
        <w:t>macular oedema following central retinal vein occlusion (</w:t>
      </w:r>
      <w:r>
        <w:rPr>
          <w:b/>
        </w:rPr>
        <w:t>CRVO</w:t>
      </w:r>
      <w:r w:rsidRPr="00A166A5">
        <w:rPr>
          <w:b/>
        </w:rPr>
        <w:t>)</w:t>
      </w:r>
      <w:r w:rsidR="00FC6235">
        <w:rPr>
          <w:b/>
        </w:rPr>
        <w:t>.</w:t>
      </w:r>
    </w:p>
    <w:p w:rsidR="00F7558D" w:rsidRDefault="00F7558D" w:rsidP="00FC6235">
      <w:pPr>
        <w:rPr>
          <w:position w:val="2"/>
        </w:rPr>
      </w:pPr>
      <w:r>
        <w:rPr>
          <w:position w:val="2"/>
        </w:rPr>
        <w:t>Th</w:t>
      </w:r>
      <w:r w:rsidR="00D02A01">
        <w:rPr>
          <w:position w:val="2"/>
        </w:rPr>
        <w:t>is section of the</w:t>
      </w:r>
      <w:r>
        <w:rPr>
          <w:position w:val="2"/>
        </w:rPr>
        <w:t xml:space="preserve"> report reviews the sponsor’s </w:t>
      </w:r>
      <w:r w:rsidR="00D02A01">
        <w:rPr>
          <w:position w:val="2"/>
        </w:rPr>
        <w:t>r</w:t>
      </w:r>
      <w:r>
        <w:rPr>
          <w:position w:val="2"/>
        </w:rPr>
        <w:t>esponse of 26 April 2013 addressing the clinical questions raised following the first round clinical evalu</w:t>
      </w:r>
      <w:r w:rsidR="00FC6235">
        <w:rPr>
          <w:position w:val="2"/>
        </w:rPr>
        <w:t>ation (CER1) of the submission.</w:t>
      </w:r>
    </w:p>
    <w:p w:rsidR="00F7558D" w:rsidRDefault="00F7558D" w:rsidP="00FC6235">
      <w:pPr>
        <w:rPr>
          <w:position w:val="2"/>
        </w:rPr>
      </w:pPr>
      <w:r>
        <w:rPr>
          <w:position w:val="2"/>
        </w:rPr>
        <w:t xml:space="preserve">The major clinical issue raised in the </w:t>
      </w:r>
      <w:r w:rsidR="00D02A01">
        <w:rPr>
          <w:position w:val="2"/>
        </w:rPr>
        <w:t>sponsor’s r</w:t>
      </w:r>
      <w:r>
        <w:rPr>
          <w:position w:val="2"/>
        </w:rPr>
        <w:t>esponse relates to the sponsor’s revised “</w:t>
      </w:r>
      <w:r w:rsidRPr="00D02A01">
        <w:rPr>
          <w:i/>
          <w:position w:val="2"/>
        </w:rPr>
        <w:t>posology recommendation for the proposed CRVO indication</w:t>
      </w:r>
      <w:r>
        <w:rPr>
          <w:position w:val="2"/>
        </w:rPr>
        <w:t>” The re</w:t>
      </w:r>
      <w:r w:rsidR="00FC6235">
        <w:rPr>
          <w:position w:val="2"/>
        </w:rPr>
        <w:t>vised dosage recommendation is:</w:t>
      </w:r>
    </w:p>
    <w:p w:rsidR="00F7558D" w:rsidRPr="004E0EF5" w:rsidRDefault="00F7558D" w:rsidP="004E0EF5">
      <w:pPr>
        <w:ind w:left="567"/>
        <w:rPr>
          <w:i/>
        </w:rPr>
      </w:pPr>
      <w:r w:rsidRPr="004E0EF5">
        <w:rPr>
          <w:i/>
        </w:rPr>
        <w:t>“EYLEA treatment is performed with one intravitreal injection per mon</w:t>
      </w:r>
      <w:r w:rsidR="00FC6235" w:rsidRPr="004E0EF5">
        <w:rPr>
          <w:i/>
        </w:rPr>
        <w:t>th for three consecutive doses.</w:t>
      </w:r>
    </w:p>
    <w:p w:rsidR="00F7558D" w:rsidRPr="00FC6235" w:rsidRDefault="00F7558D" w:rsidP="004E0EF5">
      <w:pPr>
        <w:ind w:left="567"/>
      </w:pPr>
      <w:r w:rsidRPr="004E0EF5">
        <w:rPr>
          <w:i/>
        </w:rPr>
        <w:t>The treatment interval may then be extended beyond one month based on visual and ana</w:t>
      </w:r>
      <w:r w:rsidR="00FC6235" w:rsidRPr="004E0EF5">
        <w:rPr>
          <w:i/>
        </w:rPr>
        <w:t>tomic outcomes</w:t>
      </w:r>
      <w:r w:rsidR="00FC6235">
        <w:t>.”</w:t>
      </w:r>
    </w:p>
    <w:p w:rsidR="00F7558D" w:rsidRPr="00941EE3" w:rsidRDefault="00F7558D" w:rsidP="00FC6235">
      <w:pPr>
        <w:rPr>
          <w:rFonts w:eastAsiaTheme="minorHAnsi"/>
        </w:rPr>
      </w:pPr>
      <w:r w:rsidRPr="00941EE3">
        <w:t xml:space="preserve">The sponsor </w:t>
      </w:r>
      <w:r>
        <w:t xml:space="preserve">indicates </w:t>
      </w:r>
      <w:r w:rsidRPr="00941EE3">
        <w:t xml:space="preserve">that in proposing the revised posology it has </w:t>
      </w:r>
      <w:r>
        <w:t>considered</w:t>
      </w:r>
      <w:r w:rsidRPr="00941EE3">
        <w:t xml:space="preserve"> the </w:t>
      </w:r>
      <w:r>
        <w:t xml:space="preserve">clinical evaluator’s comments relating to dosage </w:t>
      </w:r>
      <w:r w:rsidRPr="00941EE3">
        <w:t xml:space="preserve">provided </w:t>
      </w:r>
      <w:r w:rsidR="00D02A01">
        <w:t xml:space="preserve">to the TGA </w:t>
      </w:r>
      <w:r w:rsidRPr="00941EE3">
        <w:t>and the c</w:t>
      </w:r>
      <w:r>
        <w:t xml:space="preserve">omments from the European Medicines Agency (EMA) concerning the same application. </w:t>
      </w:r>
      <w:r w:rsidRPr="00941EE3">
        <w:t>The sponsor states that the “</w:t>
      </w:r>
      <w:r w:rsidRPr="00D02A01">
        <w:rPr>
          <w:rFonts w:eastAsiaTheme="minorHAnsi"/>
          <w:i/>
        </w:rPr>
        <w:t>revised posology recommendation proposed in the present response submission to the TGA is the same as that currently being proposed in Europe for consideration</w:t>
      </w:r>
      <w:r w:rsidR="00FC6235">
        <w:rPr>
          <w:rFonts w:eastAsiaTheme="minorHAnsi"/>
        </w:rPr>
        <w:t>”.</w:t>
      </w:r>
    </w:p>
    <w:p w:rsidR="00F7558D" w:rsidRDefault="00F7558D" w:rsidP="00FC6235">
      <w:pPr>
        <w:rPr>
          <w:position w:val="2"/>
        </w:rPr>
      </w:pPr>
      <w:r>
        <w:rPr>
          <w:position w:val="2"/>
        </w:rPr>
        <w:t xml:space="preserve">The </w:t>
      </w:r>
      <w:r w:rsidR="00D02A01">
        <w:rPr>
          <w:position w:val="2"/>
        </w:rPr>
        <w:t>sponsor’s r</w:t>
      </w:r>
      <w:r>
        <w:rPr>
          <w:position w:val="2"/>
        </w:rPr>
        <w:t>esponse did not include amended Product Information (PI) and Consumer Medicine Information (CMI) documents. The sponsor plans to submit an amended PI following second round clinical evaluation comments on its revised “</w:t>
      </w:r>
      <w:r w:rsidRPr="00D02A01">
        <w:rPr>
          <w:i/>
          <w:position w:val="2"/>
        </w:rPr>
        <w:t>treat-and-extend posology</w:t>
      </w:r>
      <w:r>
        <w:rPr>
          <w:position w:val="2"/>
        </w:rPr>
        <w:t>”.</w:t>
      </w:r>
    </w:p>
    <w:p w:rsidR="00D02A01" w:rsidRDefault="00F7558D" w:rsidP="00FC6235">
      <w:pPr>
        <w:rPr>
          <w:position w:val="2"/>
        </w:rPr>
      </w:pPr>
      <w:r>
        <w:rPr>
          <w:position w:val="2"/>
        </w:rPr>
        <w:t xml:space="preserve">In this second round CER, the sponsor’s responses have been provided in full or have been </w:t>
      </w:r>
      <w:r w:rsidR="00301349">
        <w:rPr>
          <w:position w:val="2"/>
        </w:rPr>
        <w:t>summarised</w:t>
      </w:r>
      <w:r>
        <w:rPr>
          <w:position w:val="2"/>
        </w:rPr>
        <w:t xml:space="preserve"> to include the key data and relevant information h</w:t>
      </w:r>
      <w:r w:rsidR="00FC6235">
        <w:rPr>
          <w:position w:val="2"/>
        </w:rPr>
        <w:t>as been included in the report.</w:t>
      </w:r>
    </w:p>
    <w:p w:rsidR="00F7558D" w:rsidRDefault="00F7558D" w:rsidP="00FC6235">
      <w:pPr>
        <w:rPr>
          <w:position w:val="2"/>
        </w:rPr>
      </w:pPr>
      <w:r>
        <w:rPr>
          <w:position w:val="2"/>
        </w:rPr>
        <w:t>The first (CER1) and second (CER2) round clinical evaluations have been undertaken by the same clinical evaluator. The two reports are complementary and should be reviewed together when considering the sponsor’s Category 1 submission to extend the indication to include</w:t>
      </w:r>
      <w:r w:rsidR="00FC6235">
        <w:rPr>
          <w:position w:val="2"/>
        </w:rPr>
        <w:t xml:space="preserve"> macular oedema following CRVO.</w:t>
      </w:r>
    </w:p>
    <w:p w:rsidR="00F7558D" w:rsidRDefault="00D02A01" w:rsidP="008B6887">
      <w:pPr>
        <w:pStyle w:val="Heading3"/>
      </w:pPr>
      <w:bookmarkStart w:id="219" w:name="_Toc229805902"/>
      <w:bookmarkStart w:id="220" w:name="_Toc396651375"/>
      <w:r>
        <w:t>Evaluation of the sponsor’s response</w:t>
      </w:r>
      <w:bookmarkEnd w:id="219"/>
      <w:bookmarkEnd w:id="220"/>
    </w:p>
    <w:p w:rsidR="00F7558D" w:rsidRDefault="00F7558D" w:rsidP="008B6887">
      <w:pPr>
        <w:pStyle w:val="Heading4"/>
      </w:pPr>
      <w:bookmarkStart w:id="221" w:name="_Toc229805903"/>
      <w:r>
        <w:t>Efficacy</w:t>
      </w:r>
      <w:bookmarkEnd w:id="221"/>
    </w:p>
    <w:p w:rsidR="00F7558D" w:rsidRPr="0014710E" w:rsidRDefault="00F7558D" w:rsidP="008B6887">
      <w:pPr>
        <w:pStyle w:val="Heading5"/>
      </w:pPr>
      <w:bookmarkStart w:id="222" w:name="_Toc229805904"/>
      <w:r>
        <w:t>Question a</w:t>
      </w:r>
      <w:bookmarkEnd w:id="222"/>
    </w:p>
    <w:p w:rsidR="00F7558D" w:rsidRPr="008B6887" w:rsidRDefault="00D02A01" w:rsidP="008B6887">
      <w:pPr>
        <w:pStyle w:val="Heading6"/>
      </w:pPr>
      <w:r w:rsidRPr="008B6887">
        <w:rPr>
          <w:rFonts w:eastAsia="Cambria"/>
        </w:rPr>
        <w:t xml:space="preserve">Sponsor’s </w:t>
      </w:r>
      <w:r w:rsidR="008B6887" w:rsidRPr="008B6887">
        <w:rPr>
          <w:rFonts w:eastAsia="Cambria"/>
        </w:rPr>
        <w:t>r</w:t>
      </w:r>
      <w:r w:rsidRPr="008B6887">
        <w:rPr>
          <w:rFonts w:eastAsia="Cambria"/>
        </w:rPr>
        <w:t>esponse</w:t>
      </w:r>
    </w:p>
    <w:p w:rsidR="00F7558D" w:rsidRPr="002B3023" w:rsidRDefault="00F7558D" w:rsidP="008B6887">
      <w:r w:rsidRPr="002B3023">
        <w:t>The notable difference in treatment deviations between the two groups was due to the fact that in the GALILEO study, every patient who was not treated with VTE when indicated by the predefined retreatment criteria in the PRN phase was counted</w:t>
      </w:r>
      <w:r w:rsidR="004E0EF5">
        <w:t xml:space="preserve"> as a major protocol deviation.</w:t>
      </w:r>
    </w:p>
    <w:p w:rsidR="00F7558D" w:rsidRPr="002B3023" w:rsidRDefault="00F7558D" w:rsidP="008B6887">
      <w:r w:rsidRPr="002B3023">
        <w:t>This reason is further supported by the observed evolution of the differences over the study duration, where a more clear connection becomes visible between the number of major</w:t>
      </w:r>
      <w:r w:rsidR="00D02A01">
        <w:t xml:space="preserve"> protocol deviations characteris</w:t>
      </w:r>
      <w:r w:rsidRPr="002B3023">
        <w:t>ed by treatment deviations and the VTE treatment given under a PRN regimen</w:t>
      </w:r>
      <w:r>
        <w:t>.</w:t>
      </w:r>
    </w:p>
    <w:p w:rsidR="00F7558D" w:rsidRPr="002B3023" w:rsidRDefault="00F7558D" w:rsidP="008B6887">
      <w:r w:rsidRPr="002B3023">
        <w:t xml:space="preserve">As seen in the </w:t>
      </w:r>
      <w:r w:rsidR="00D02A01">
        <w:t>W</w:t>
      </w:r>
      <w:r w:rsidRPr="002B3023">
        <w:t>eek 0</w:t>
      </w:r>
      <w:r w:rsidR="00D02A01">
        <w:t xml:space="preserve"> to </w:t>
      </w:r>
      <w:r w:rsidRPr="002B3023">
        <w:t>24 data (during the fixed regimen), almost no major treatment deviations are seen in both groups.</w:t>
      </w:r>
    </w:p>
    <w:p w:rsidR="00F7558D" w:rsidRPr="002B3023" w:rsidRDefault="00F7558D" w:rsidP="008B6887">
      <w:r w:rsidRPr="002B3023">
        <w:t xml:space="preserve">Comparison of the </w:t>
      </w:r>
      <w:r w:rsidR="00D02A01">
        <w:t>W</w:t>
      </w:r>
      <w:r w:rsidRPr="002B3023">
        <w:t>eek 0</w:t>
      </w:r>
      <w:r w:rsidR="00D02A01">
        <w:t xml:space="preserve"> to </w:t>
      </w:r>
      <w:r w:rsidRPr="002B3023">
        <w:t xml:space="preserve">24 data and the </w:t>
      </w:r>
      <w:r w:rsidR="00D02A01">
        <w:t>W</w:t>
      </w:r>
      <w:r w:rsidRPr="002B3023">
        <w:t>eek 0</w:t>
      </w:r>
      <w:r w:rsidR="00D02A01">
        <w:t xml:space="preserve"> to </w:t>
      </w:r>
      <w:r w:rsidRPr="002B3023">
        <w:t>52 data shows an apparent increase in the number of major treatment deviations in the VTE2Q4 group as the study enters into its PRN phase. The number of subjects with major treatment deviations in the VTE2Q4 group was increased to 29 (0</w:t>
      </w:r>
      <w:r w:rsidR="00D02A01">
        <w:t xml:space="preserve"> to </w:t>
      </w:r>
      <w:r w:rsidRPr="002B3023">
        <w:t>52 week); whereas the number of subjects with major treatment deviations in the Sham g</w:t>
      </w:r>
      <w:r w:rsidR="008B6887">
        <w:t>roup remains largely unchanged.</w:t>
      </w:r>
    </w:p>
    <w:p w:rsidR="00F7558D" w:rsidRPr="002B3023" w:rsidRDefault="00D02A01" w:rsidP="008B6887">
      <w:r>
        <w:t>Further comparison with the W</w:t>
      </w:r>
      <w:r w:rsidR="00F7558D" w:rsidRPr="002B3023">
        <w:t>eek 0</w:t>
      </w:r>
      <w:r>
        <w:t xml:space="preserve"> to </w:t>
      </w:r>
      <w:r w:rsidR="00F7558D" w:rsidRPr="002B3023">
        <w:t>76 data shows that an increase in major “</w:t>
      </w:r>
      <w:r w:rsidR="00F7558D" w:rsidRPr="00D02A01">
        <w:rPr>
          <w:i/>
        </w:rPr>
        <w:t>treatment deviation</w:t>
      </w:r>
      <w:r w:rsidR="00F7558D" w:rsidRPr="002B3023">
        <w:t xml:space="preserve">” is also observed in the Sham group that has been switched to VTE PRN treatment at </w:t>
      </w:r>
      <w:r>
        <w:t>W</w:t>
      </w:r>
      <w:r w:rsidR="00F7558D" w:rsidRPr="002B3023">
        <w:t xml:space="preserve">eek 52. The number of subjects with major treatment deviations in the Sham+VTE PRN group </w:t>
      </w:r>
      <w:r>
        <w:t>increased from 2 (Week 0-52) to 11 (W</w:t>
      </w:r>
      <w:r w:rsidR="00F7558D" w:rsidRPr="002B3023">
        <w:t>eek 0</w:t>
      </w:r>
      <w:r>
        <w:t xml:space="preserve"> to </w:t>
      </w:r>
      <w:r w:rsidR="00F7558D" w:rsidRPr="002B3023">
        <w:t>72). The increase observed in the VTE2Q4+PRN group was of</w:t>
      </w:r>
      <w:r>
        <w:t xml:space="preserve"> a very similar magnitude: 29 (W</w:t>
      </w:r>
      <w:r w:rsidR="00F7558D" w:rsidRPr="002B3023">
        <w:t>eek 0</w:t>
      </w:r>
      <w:r>
        <w:t xml:space="preserve"> to 52) and 39 (Week 0 to </w:t>
      </w:r>
      <w:r w:rsidR="008B6887">
        <w:t>72).</w:t>
      </w:r>
    </w:p>
    <w:p w:rsidR="00F7558D" w:rsidRDefault="00D02A01" w:rsidP="008B6887">
      <w:pPr>
        <w:pStyle w:val="Heading6"/>
      </w:pPr>
      <w:r w:rsidRPr="004D600D">
        <w:t xml:space="preserve">Evaluator’s </w:t>
      </w:r>
      <w:r w:rsidR="008B6887">
        <w:t>c</w:t>
      </w:r>
      <w:r w:rsidRPr="004D600D">
        <w:t>omment</w:t>
      </w:r>
    </w:p>
    <w:p w:rsidR="00F7558D" w:rsidRDefault="00F7558D" w:rsidP="008B6887">
      <w:r w:rsidRPr="004D600D">
        <w:t xml:space="preserve">The sponsor’s explanation </w:t>
      </w:r>
      <w:r>
        <w:t xml:space="preserve">for the discrepancy </w:t>
      </w:r>
      <w:r w:rsidRPr="004D600D">
        <w:t>is satisfactory.</w:t>
      </w:r>
      <w:r>
        <w:t xml:space="preserve"> The data indicate that the increased percentage of treatment deviations from </w:t>
      </w:r>
      <w:r w:rsidR="00D02A01">
        <w:t>Week 0</w:t>
      </w:r>
      <w:r>
        <w:t xml:space="preserve"> to</w:t>
      </w:r>
      <w:r w:rsidR="00300BDB">
        <w:t xml:space="preserve"> Week 7</w:t>
      </w:r>
      <w:r>
        <w:t xml:space="preserve">6 in subjects in the VTE2Q4+PRN group compared with the sham+PRN VTE group was related to the increased chance of being treated with VTE PRN in the former </w:t>
      </w:r>
      <w:r w:rsidR="008B6887">
        <w:t>compared with the latter group.</w:t>
      </w:r>
    </w:p>
    <w:p w:rsidR="00F7558D" w:rsidRPr="004D600D" w:rsidRDefault="00F7558D" w:rsidP="008B6887">
      <w:r w:rsidRPr="004D600D">
        <w:t xml:space="preserve">In the </w:t>
      </w:r>
      <w:r w:rsidR="00D02A01">
        <w:t xml:space="preserve">Week 0 to </w:t>
      </w:r>
      <w:r w:rsidRPr="004D600D">
        <w:t xml:space="preserve">24 data (during the fixed dose regimen) the percentage of subjects with major protocol deviations was similar in both the sham and VTE2Q4 groups (14.1%, 10/71 and 14.2%, 15/106; respectively). </w:t>
      </w:r>
      <w:r>
        <w:t xml:space="preserve">Furthermore, </w:t>
      </w:r>
      <w:r w:rsidRPr="004D600D">
        <w:t>treatment deviations resulting in major protocol deviations were reported in 0 subjects in the sham group an</w:t>
      </w:r>
      <w:r>
        <w:t>d 1 subject in the VTE2Q4 group</w:t>
      </w:r>
      <w:r w:rsidRPr="004D600D">
        <w:t>.</w:t>
      </w:r>
    </w:p>
    <w:p w:rsidR="00F7558D" w:rsidRPr="004D600D" w:rsidRDefault="00F7558D" w:rsidP="008B6887">
      <w:r w:rsidRPr="004D600D">
        <w:rPr>
          <w:rFonts w:eastAsiaTheme="minorHAnsi"/>
        </w:rPr>
        <w:t xml:space="preserve">In the sham group, subjects received sham injections every 4 weeks from </w:t>
      </w:r>
      <w:r w:rsidR="00D02A01">
        <w:rPr>
          <w:rFonts w:eastAsiaTheme="minorHAnsi"/>
        </w:rPr>
        <w:t>Week 0 to W</w:t>
      </w:r>
      <w:r w:rsidRPr="004D600D">
        <w:rPr>
          <w:rFonts w:eastAsiaTheme="minorHAnsi"/>
        </w:rPr>
        <w:t xml:space="preserve">eek 48, while in the VTE2Q4+PRN group subjects received VTE 2 mg every 4 weeks from </w:t>
      </w:r>
      <w:r w:rsidR="00D02A01">
        <w:rPr>
          <w:rFonts w:eastAsiaTheme="minorHAnsi"/>
        </w:rPr>
        <w:t>Week 0</w:t>
      </w:r>
      <w:r w:rsidRPr="004D600D">
        <w:rPr>
          <w:rFonts w:eastAsiaTheme="minorHAnsi"/>
        </w:rPr>
        <w:t xml:space="preserve"> to</w:t>
      </w:r>
      <w:r w:rsidR="00300BDB">
        <w:rPr>
          <w:rFonts w:eastAsiaTheme="minorHAnsi"/>
        </w:rPr>
        <w:t xml:space="preserve"> Week 2</w:t>
      </w:r>
      <w:r w:rsidRPr="004D600D">
        <w:rPr>
          <w:rFonts w:eastAsiaTheme="minorHAnsi"/>
        </w:rPr>
        <w:t>0 and were then eligible for PRN treatment with VTE from</w:t>
      </w:r>
      <w:r w:rsidR="00300BDB">
        <w:rPr>
          <w:rFonts w:eastAsiaTheme="minorHAnsi"/>
        </w:rPr>
        <w:t xml:space="preserve"> Week 2</w:t>
      </w:r>
      <w:r w:rsidRPr="004D600D">
        <w:rPr>
          <w:rFonts w:eastAsiaTheme="minorHAnsi"/>
        </w:rPr>
        <w:t>4 to week 48. Therefore, in the</w:t>
      </w:r>
      <w:r w:rsidR="00300BDB">
        <w:rPr>
          <w:rFonts w:eastAsiaTheme="minorHAnsi"/>
        </w:rPr>
        <w:t xml:space="preserve"> Week 2</w:t>
      </w:r>
      <w:r w:rsidRPr="004D600D">
        <w:rPr>
          <w:rFonts w:eastAsiaTheme="minorHAnsi"/>
        </w:rPr>
        <w:t>4</w:t>
      </w:r>
      <w:r w:rsidR="00D02A01">
        <w:rPr>
          <w:rFonts w:eastAsiaTheme="minorHAnsi"/>
        </w:rPr>
        <w:t xml:space="preserve"> to </w:t>
      </w:r>
      <w:r w:rsidRPr="004D600D">
        <w:rPr>
          <w:rFonts w:eastAsiaTheme="minorHAnsi"/>
        </w:rPr>
        <w:t xml:space="preserve">52 period patients in the sham group had a lower risk of being treatment deviators because they were not exposed to PRN VTE. This would account for the smaller number of treatment deviations in the </w:t>
      </w:r>
      <w:r w:rsidR="00D02A01">
        <w:rPr>
          <w:rFonts w:eastAsiaTheme="minorHAnsi"/>
        </w:rPr>
        <w:t xml:space="preserve">Week 0 to </w:t>
      </w:r>
      <w:r w:rsidRPr="004D600D">
        <w:rPr>
          <w:rFonts w:eastAsiaTheme="minorHAnsi"/>
        </w:rPr>
        <w:t>52 period in the sham group compared with the VTE2Q4+PRN group (</w:t>
      </w:r>
      <w:r w:rsidRPr="004D600D">
        <w:t>2 [2.8%]</w:t>
      </w:r>
      <w:r w:rsidR="0091044A">
        <w:t xml:space="preserve"> versus </w:t>
      </w:r>
      <w:r w:rsidR="008B6887">
        <w:t>29 [27.4%]).</w:t>
      </w:r>
    </w:p>
    <w:p w:rsidR="00F7558D" w:rsidRPr="004D600D" w:rsidRDefault="00F7558D" w:rsidP="008B6887">
      <w:r w:rsidRPr="004D600D">
        <w:t>However, from</w:t>
      </w:r>
      <w:r w:rsidR="00300BDB">
        <w:t xml:space="preserve"> Week 5</w:t>
      </w:r>
      <w:r w:rsidRPr="004D600D">
        <w:t>2 to</w:t>
      </w:r>
      <w:r w:rsidR="00300BDB">
        <w:t xml:space="preserve"> Week 7</w:t>
      </w:r>
      <w:r w:rsidRPr="004D600D">
        <w:t xml:space="preserve">6 subjects in both the sham and VTE2Q4+PRN groups were eligible to receive VTE 2 mg or sham according to </w:t>
      </w:r>
      <w:r w:rsidR="00427821">
        <w:t xml:space="preserve">re </w:t>
      </w:r>
      <w:r w:rsidR="00C84038">
        <w:t>treatment</w:t>
      </w:r>
      <w:r w:rsidRPr="004D600D">
        <w:t xml:space="preserve"> criteria. The </w:t>
      </w:r>
      <w:r w:rsidR="00D02A01">
        <w:t xml:space="preserve">Week 0 to </w:t>
      </w:r>
      <w:r w:rsidRPr="004D600D">
        <w:t>76 data indicate that 11 (15.5%) treatment deviations occurred in the sham+VTE PRN group compared with 3</w:t>
      </w:r>
      <w:r>
        <w:t xml:space="preserve">9 (36.8%) in the VTE+PRN group. </w:t>
      </w:r>
      <w:r w:rsidRPr="004D600D">
        <w:t xml:space="preserve">Comparison of the </w:t>
      </w:r>
      <w:r w:rsidR="00D02A01">
        <w:t xml:space="preserve">Week 0 to </w:t>
      </w:r>
      <w:r w:rsidRPr="004D600D">
        <w:t xml:space="preserve">52 and </w:t>
      </w:r>
      <w:r w:rsidR="00D02A01">
        <w:t xml:space="preserve">Week 0 to </w:t>
      </w:r>
      <w:r w:rsidRPr="004D600D">
        <w:t xml:space="preserve">76 data </w:t>
      </w:r>
      <w:r>
        <w:t>indicate that in the</w:t>
      </w:r>
      <w:r w:rsidR="00300BDB">
        <w:t xml:space="preserve"> Week 5</w:t>
      </w:r>
      <w:r>
        <w:t xml:space="preserve">2 to </w:t>
      </w:r>
      <w:r w:rsidRPr="004D600D">
        <w:t>76 period (when subjects in both treatment groups could have been treated with VTE PRN), treatment deviations were reported in 9 (12.7%) subjects in the sham+VTE PRN group and 10 (9.4%) su</w:t>
      </w:r>
      <w:r w:rsidR="008B6887">
        <w:t>bjects in the VTE2Q4+PRN group.</w:t>
      </w:r>
    </w:p>
    <w:p w:rsidR="00F7558D" w:rsidRDefault="00F7558D" w:rsidP="008B6887">
      <w:pPr>
        <w:pStyle w:val="Heading5"/>
      </w:pPr>
      <w:bookmarkStart w:id="223" w:name="_Toc229805905"/>
      <w:r>
        <w:t>Question b</w:t>
      </w:r>
      <w:bookmarkEnd w:id="223"/>
    </w:p>
    <w:p w:rsidR="00F7558D" w:rsidRPr="00662ABA" w:rsidRDefault="00D02A01" w:rsidP="008B6887">
      <w:pPr>
        <w:pStyle w:val="Heading6"/>
      </w:pPr>
      <w:r w:rsidRPr="00662ABA">
        <w:t xml:space="preserve">Sponsor’s </w:t>
      </w:r>
      <w:r w:rsidR="008B6887">
        <w:t>r</w:t>
      </w:r>
      <w:r w:rsidRPr="00662ABA">
        <w:t>esponse</w:t>
      </w:r>
    </w:p>
    <w:p w:rsidR="00F7558D" w:rsidRPr="00662ABA" w:rsidRDefault="00F7558D" w:rsidP="008B6887">
      <w:r w:rsidRPr="00662ABA">
        <w:t>The notable difference between the two studies is due to different handling of deviation from the retrea</w:t>
      </w:r>
      <w:r w:rsidR="008B6887">
        <w:t>tment criteria in both studies.</w:t>
      </w:r>
    </w:p>
    <w:p w:rsidR="00F7558D" w:rsidRPr="00662ABA" w:rsidRDefault="00F7558D" w:rsidP="008B6887">
      <w:r w:rsidRPr="00662ABA">
        <w:t>In case a subject had received treatment in the PRN period that was not in accordance with what he/she was supposed to receive according to the predefined retreatment criteria, this was counted as a protocol deviation in</w:t>
      </w:r>
      <w:r w:rsidR="008B6887">
        <w:t xml:space="preserve"> GALILEO but not in COPERNICUS.</w:t>
      </w:r>
    </w:p>
    <w:p w:rsidR="009E5AF9" w:rsidRDefault="001962A6" w:rsidP="008B6887">
      <w:pPr>
        <w:rPr>
          <w:lang w:eastAsia="ja-JP"/>
        </w:rPr>
      </w:pPr>
      <w:r>
        <w:rPr>
          <w:lang w:eastAsia="ja-JP"/>
        </w:rPr>
        <w:t>[information redacted]</w:t>
      </w:r>
    </w:p>
    <w:p w:rsidR="00F7558D" w:rsidRPr="00662ABA" w:rsidRDefault="00C44EA2" w:rsidP="008B6887">
      <w:pPr>
        <w:pStyle w:val="Heading6"/>
        <w:rPr>
          <w:rFonts w:eastAsiaTheme="minorHAnsi"/>
        </w:rPr>
      </w:pPr>
      <w:r w:rsidRPr="00662ABA">
        <w:rPr>
          <w:rFonts w:eastAsiaTheme="minorHAnsi"/>
        </w:rPr>
        <w:t xml:space="preserve">Evaluator’s </w:t>
      </w:r>
      <w:r w:rsidR="008B6887">
        <w:rPr>
          <w:rFonts w:eastAsiaTheme="minorHAnsi"/>
        </w:rPr>
        <w:t>c</w:t>
      </w:r>
      <w:r w:rsidR="004E0EF5">
        <w:rPr>
          <w:rFonts w:eastAsiaTheme="minorHAnsi"/>
        </w:rPr>
        <w:t>omment</w:t>
      </w:r>
    </w:p>
    <w:p w:rsidR="009E5AF9" w:rsidRDefault="00F7558D" w:rsidP="008B6887">
      <w:r w:rsidRPr="00662ABA">
        <w:t>The sponsor’s response is acceptable. The data provided in the fourth paragraph of the sponsor’s response refers to the pooled VTE2Q4+PRN group</w:t>
      </w:r>
      <w:r w:rsidR="00C83F10">
        <w:t xml:space="preserve"> [information redacted]</w:t>
      </w:r>
      <w:r w:rsidRPr="00662ABA">
        <w:t>. Overall, the data are similar for the two treatment groups and show that the prop</w:t>
      </w:r>
      <w:r>
        <w:t>ortion of subj</w:t>
      </w:r>
      <w:r w:rsidRPr="00662ABA">
        <w:t xml:space="preserve">ect with at least one mismatch between PRN injection and </w:t>
      </w:r>
      <w:r w:rsidR="00427821">
        <w:t xml:space="preserve">re </w:t>
      </w:r>
      <w:r w:rsidR="00C84038">
        <w:t>treatment</w:t>
      </w:r>
      <w:r w:rsidRPr="00662ABA">
        <w:t xml:space="preserve"> criteria was similar in the sham+VTE PRN and VTE2Q4+PRN treatment groups (33.3% [33/99] and</w:t>
      </w:r>
      <w:r w:rsidR="008B6887">
        <w:t xml:space="preserve"> 34.8% [72/207], respectively).</w:t>
      </w:r>
    </w:p>
    <w:p w:rsidR="009E5AF9" w:rsidRDefault="001962A6" w:rsidP="008B6887">
      <w:r>
        <w:t>[information redacted]</w:t>
      </w:r>
      <w:bookmarkStart w:id="224" w:name="_Toc229805906"/>
    </w:p>
    <w:p w:rsidR="00F7558D" w:rsidRDefault="00F7558D" w:rsidP="008B6887">
      <w:pPr>
        <w:pStyle w:val="Heading4"/>
      </w:pPr>
      <w:r>
        <w:t>Safety</w:t>
      </w:r>
      <w:bookmarkEnd w:id="224"/>
    </w:p>
    <w:p w:rsidR="00F7558D" w:rsidRDefault="00F7558D" w:rsidP="008B6887">
      <w:pPr>
        <w:pStyle w:val="Heading5"/>
      </w:pPr>
      <w:bookmarkStart w:id="225" w:name="_Toc229805907"/>
      <w:r>
        <w:t xml:space="preserve">Question </w:t>
      </w:r>
      <w:bookmarkEnd w:id="225"/>
      <w:r w:rsidR="00C44EA2">
        <w:t>c</w:t>
      </w:r>
    </w:p>
    <w:p w:rsidR="00F7558D" w:rsidRPr="00B105E6" w:rsidRDefault="00F7558D" w:rsidP="008B6887">
      <w:pPr>
        <w:pStyle w:val="Heading6"/>
        <w:rPr>
          <w:rFonts w:eastAsiaTheme="minorHAnsi"/>
        </w:rPr>
      </w:pPr>
      <w:r w:rsidRPr="00B105E6">
        <w:rPr>
          <w:rFonts w:eastAsiaTheme="minorHAnsi"/>
        </w:rPr>
        <w:t xml:space="preserve">Sponsor’s </w:t>
      </w:r>
      <w:r w:rsidR="008B6887">
        <w:rPr>
          <w:rFonts w:eastAsiaTheme="minorHAnsi"/>
        </w:rPr>
        <w:t>r</w:t>
      </w:r>
      <w:r w:rsidR="00C44EA2" w:rsidRPr="00B105E6">
        <w:rPr>
          <w:rFonts w:eastAsiaTheme="minorHAnsi"/>
        </w:rPr>
        <w:t>esponse</w:t>
      </w:r>
    </w:p>
    <w:p w:rsidR="00F7558D" w:rsidRPr="00B105E6" w:rsidRDefault="00F7558D" w:rsidP="008B6887">
      <w:r w:rsidRPr="00B105E6">
        <w:t>As stated in the Summary of Clinical Safety, the changes in the VTE2Q4 group at</w:t>
      </w:r>
      <w:r w:rsidR="00300BDB">
        <w:t xml:space="preserve"> Week 5</w:t>
      </w:r>
      <w:r w:rsidRPr="00B105E6">
        <w:t>2 from the incidence noted at</w:t>
      </w:r>
      <w:r w:rsidR="00300BDB">
        <w:t xml:space="preserve"> Week 2</w:t>
      </w:r>
      <w:r w:rsidRPr="00B105E6">
        <w:t>4, especially for macular oedema (1.4% to 21.3%, respectively) and visual acuity reduced (4.1% to 13.0%, respectively) reflect the change from fixed monthly dosing to PRN dosing, the latter of which allowed for dosing only upon the observation of disease recurrence. Thus, it is not unexpected that disease</w:t>
      </w:r>
      <w:r w:rsidR="00C44EA2">
        <w:t xml:space="preserve"> </w:t>
      </w:r>
      <w:r w:rsidRPr="00B105E6">
        <w:t>related events would increase when treatment is reduced to t</w:t>
      </w:r>
      <w:r w:rsidR="008B6887">
        <w:t>he point of disease recurrence.</w:t>
      </w:r>
    </w:p>
    <w:p w:rsidR="00F7558D" w:rsidRPr="00B105E6" w:rsidRDefault="00F7558D" w:rsidP="008B6887">
      <w:r w:rsidRPr="00B105E6">
        <w:t xml:space="preserve">As noted by the </w:t>
      </w:r>
      <w:r w:rsidR="00C44EA2">
        <w:t>e</w:t>
      </w:r>
      <w:r w:rsidRPr="00B105E6">
        <w:t>valuator, macular oedema and reduced visual acuity was reported as a TEAE in 44 (21.3%) patients and 27 (13%) patients, respectively, in</w:t>
      </w:r>
      <w:r w:rsidR="00300BDB">
        <w:t xml:space="preserve"> Week 2</w:t>
      </w:r>
      <w:r w:rsidRPr="00B105E6">
        <w:t>4</w:t>
      </w:r>
      <w:r w:rsidR="00C44EA2">
        <w:t xml:space="preserve"> to </w:t>
      </w:r>
      <w:r w:rsidRPr="00B105E6">
        <w:t>52 according to the integrated analysis submitted with the original dossier. In</w:t>
      </w:r>
      <w:r w:rsidR="00C44EA2">
        <w:t xml:space="preserve"> </w:t>
      </w:r>
      <w:r w:rsidRPr="00B105E6">
        <w:t>depth analysis of all these cases of treatment emergent adverse event (TEAE) of macular edema and visual acuity revealed that in the treated patients, these events tended to occur after a longer period where no active injection was given and resolved quickly after adm</w:t>
      </w:r>
      <w:r w:rsidR="008B6887">
        <w:t>inistration of a VTE treatment.</w:t>
      </w:r>
    </w:p>
    <w:p w:rsidR="00F7558D" w:rsidRPr="00B105E6" w:rsidRDefault="00C44EA2" w:rsidP="008B6887">
      <w:r>
        <w:t>The sponsor</w:t>
      </w:r>
      <w:r w:rsidR="00F7558D" w:rsidRPr="00B105E6">
        <w:t xml:space="preserve"> therefore does not consider the higher incidence of macular oedema in</w:t>
      </w:r>
      <w:r w:rsidR="00300BDB">
        <w:t xml:space="preserve"> Week 2</w:t>
      </w:r>
      <w:r w:rsidR="00F7558D" w:rsidRPr="00B105E6">
        <w:t>4</w:t>
      </w:r>
      <w:r>
        <w:t xml:space="preserve"> to </w:t>
      </w:r>
      <w:r w:rsidR="00F7558D" w:rsidRPr="00B105E6">
        <w:t xml:space="preserve">52 compared with </w:t>
      </w:r>
      <w:r w:rsidR="00D02A01">
        <w:t>Week 0</w:t>
      </w:r>
      <w:r>
        <w:t xml:space="preserve"> to </w:t>
      </w:r>
      <w:r w:rsidR="00F7558D" w:rsidRPr="00B105E6">
        <w:t>24 in the integrated analysis reflects a rebound effect due to the switch fro</w:t>
      </w:r>
      <w:r w:rsidR="008B6887">
        <w:t>m proactive to reactive dosing.</w:t>
      </w:r>
    </w:p>
    <w:p w:rsidR="00F7558D" w:rsidRPr="00B105E6" w:rsidRDefault="00F7558D" w:rsidP="008B6887">
      <w:r w:rsidRPr="00B105E6">
        <w:t xml:space="preserve">Furthermore, results from the integrated efficacy analysis demonstrates that majority of the subjects were able to maintain the improvements in vision and morphology achieved with proactive dosing of VTE2Q4 despite switching to a less frequent dosing in the PRN phase. There was little difference in the proportions of subjects who gained at least 15 letters in </w:t>
      </w:r>
      <w:r w:rsidR="00D02A01">
        <w:t>Week 0</w:t>
      </w:r>
      <w:r w:rsidR="00C44EA2">
        <w:t xml:space="preserve"> to </w:t>
      </w:r>
      <w:r w:rsidRPr="00B105E6">
        <w:t>24 (56.1% with proactive fixed VTE2Q4) compared to</w:t>
      </w:r>
      <w:r w:rsidR="00300BDB">
        <w:t xml:space="preserve"> Week 2</w:t>
      </w:r>
      <w:r w:rsidRPr="00B105E6">
        <w:t>4</w:t>
      </w:r>
      <w:r w:rsidR="00C44EA2">
        <w:t xml:space="preserve"> to </w:t>
      </w:r>
      <w:r w:rsidRPr="00B105E6">
        <w:t>52 (55.3% following a switch to reactive dosing based on t</w:t>
      </w:r>
      <w:r w:rsidR="008B6887">
        <w:t>he study retreatment criteria).</w:t>
      </w:r>
    </w:p>
    <w:p w:rsidR="00F7558D" w:rsidRPr="00B105E6" w:rsidRDefault="00F7558D" w:rsidP="008B6887">
      <w:r w:rsidRPr="00B105E6">
        <w:t>Similarly, significant improvement in BCVA was maintained in the VTE2Q4 group through to</w:t>
      </w:r>
      <w:r w:rsidR="00300BDB">
        <w:t xml:space="preserve"> Week 5</w:t>
      </w:r>
      <w:r w:rsidRPr="00B105E6">
        <w:t>2. Although there was a loss of approximately 1 letter in BVCA from</w:t>
      </w:r>
      <w:r w:rsidR="00300BDB">
        <w:t xml:space="preserve"> Week 2</w:t>
      </w:r>
      <w:r w:rsidRPr="00B105E6">
        <w:t>4 to</w:t>
      </w:r>
      <w:r w:rsidR="00300BDB">
        <w:t xml:space="preserve"> 5</w:t>
      </w:r>
      <w:r w:rsidRPr="00B105E6">
        <w:t>2, the increase in ETDRS letter score by 16.2 from baseline observed at the end of</w:t>
      </w:r>
      <w:r w:rsidR="00300BDB">
        <w:t xml:space="preserve"> Week 5</w:t>
      </w:r>
      <w:r w:rsidRPr="00B105E6">
        <w:t>2 remains statistically significant despite switching from a fixed VTE2Q4 dosing regimen</w:t>
      </w:r>
      <w:r>
        <w:t xml:space="preserve"> </w:t>
      </w:r>
      <w:r w:rsidRPr="00B105E6">
        <w:t>to</w:t>
      </w:r>
      <w:r>
        <w:t xml:space="preserve"> </w:t>
      </w:r>
      <w:r w:rsidRPr="00B105E6">
        <w:t>a</w:t>
      </w:r>
      <w:r>
        <w:t xml:space="preserve"> </w:t>
      </w:r>
      <w:r w:rsidRPr="00B105E6">
        <w:t>reactive</w:t>
      </w:r>
      <w:r>
        <w:t xml:space="preserve"> </w:t>
      </w:r>
      <w:r w:rsidRPr="00B105E6">
        <w:t>dosing. The</w:t>
      </w:r>
      <w:r>
        <w:t xml:space="preserve"> </w:t>
      </w:r>
      <w:r w:rsidRPr="00B105E6">
        <w:t>magnitude</w:t>
      </w:r>
      <w:r>
        <w:t xml:space="preserve"> </w:t>
      </w:r>
      <w:r w:rsidRPr="00B105E6">
        <w:t>of</w:t>
      </w:r>
      <w:r>
        <w:t xml:space="preserve"> </w:t>
      </w:r>
      <w:r w:rsidRPr="00B105E6">
        <w:t>a</w:t>
      </w:r>
      <w:r>
        <w:t xml:space="preserve"> </w:t>
      </w:r>
      <w:r w:rsidRPr="00B105E6">
        <w:t>change</w:t>
      </w:r>
      <w:r>
        <w:t xml:space="preserve"> </w:t>
      </w:r>
      <w:r w:rsidRPr="00B105E6">
        <w:t>in</w:t>
      </w:r>
      <w:r>
        <w:t xml:space="preserve"> </w:t>
      </w:r>
      <w:r w:rsidRPr="00B105E6">
        <w:t>ETDRS</w:t>
      </w:r>
      <w:r>
        <w:t xml:space="preserve"> </w:t>
      </w:r>
      <w:r w:rsidRPr="00B105E6">
        <w:t>letter</w:t>
      </w:r>
      <w:r>
        <w:t xml:space="preserve"> </w:t>
      </w:r>
      <w:r w:rsidRPr="00B105E6">
        <w:t>score</w:t>
      </w:r>
      <w:r>
        <w:t xml:space="preserve"> </w:t>
      </w:r>
      <w:r w:rsidRPr="00B105E6">
        <w:t>by</w:t>
      </w:r>
      <w:r>
        <w:t xml:space="preserve"> </w:t>
      </w:r>
      <w:r w:rsidRPr="00B105E6">
        <w:t>16.2</w:t>
      </w:r>
      <w:r>
        <w:t xml:space="preserve"> </w:t>
      </w:r>
      <w:r w:rsidRPr="00B105E6">
        <w:t>is considered</w:t>
      </w:r>
      <w:r>
        <w:t xml:space="preserve"> </w:t>
      </w:r>
      <w:r w:rsidRPr="00B105E6">
        <w:t>clinically</w:t>
      </w:r>
      <w:r>
        <w:t xml:space="preserve"> </w:t>
      </w:r>
      <w:r w:rsidRPr="00B105E6">
        <w:t>relevant. See</w:t>
      </w:r>
      <w:r>
        <w:t xml:space="preserve"> </w:t>
      </w:r>
      <w:r w:rsidRPr="00B105E6">
        <w:t>Figure</w:t>
      </w:r>
      <w:r>
        <w:t xml:space="preserve"> </w:t>
      </w:r>
      <w:r w:rsidR="00C83F10">
        <w:t>5</w:t>
      </w:r>
      <w:r>
        <w:t xml:space="preserve"> </w:t>
      </w:r>
      <w:r w:rsidR="008B6887">
        <w:t>below.</w:t>
      </w:r>
    </w:p>
    <w:p w:rsidR="00F7558D" w:rsidRDefault="00F7558D" w:rsidP="008B6887">
      <w:pPr>
        <w:pStyle w:val="FigureTitle"/>
      </w:pPr>
      <w:r w:rsidRPr="00B105E6">
        <w:t xml:space="preserve">Figure </w:t>
      </w:r>
      <w:r w:rsidR="00C83F10">
        <w:t>5</w:t>
      </w:r>
      <w:r w:rsidR="00C44EA2">
        <w:t>. Change in BCVA Letter Score f</w:t>
      </w:r>
      <w:r w:rsidRPr="00B105E6">
        <w:t>rom</w:t>
      </w:r>
      <w:r>
        <w:t xml:space="preserve"> </w:t>
      </w:r>
      <w:r w:rsidRPr="00B105E6">
        <w:t>Baseline Through</w:t>
      </w:r>
      <w:r w:rsidR="00300BDB">
        <w:t xml:space="preserve"> Week 5</w:t>
      </w:r>
      <w:r w:rsidR="008B6887">
        <w:t>2</w:t>
      </w:r>
    </w:p>
    <w:p w:rsidR="00F7558D" w:rsidRPr="00B105E6" w:rsidRDefault="00F7558D" w:rsidP="008B6887">
      <w:r w:rsidRPr="00B105E6">
        <w:rPr>
          <w:noProof/>
          <w:lang w:eastAsia="en-AU"/>
        </w:rPr>
        <w:drawing>
          <wp:inline distT="0" distB="0" distL="0" distR="0" wp14:anchorId="4513270E" wp14:editId="0ACE0A99">
            <wp:extent cx="5305425" cy="3481685"/>
            <wp:effectExtent l="0" t="0" r="0" b="5080"/>
            <wp:docPr id="70" name="Picture 2" descr="Figure 5. Change in BCVA Letter Score from Baseline Through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duotone>
                        <a:prstClr val="black"/>
                        <a:schemeClr val="bg1">
                          <a:tint val="45000"/>
                          <a:satMod val="400000"/>
                        </a:schemeClr>
                      </a:duotone>
                    </a:blip>
                    <a:srcRect l="1091" t="2989"/>
                    <a:stretch>
                      <a:fillRect/>
                    </a:stretch>
                  </pic:blipFill>
                  <pic:spPr bwMode="auto">
                    <a:xfrm>
                      <a:off x="0" y="0"/>
                      <a:ext cx="5305425" cy="3481685"/>
                    </a:xfrm>
                    <a:prstGeom prst="rect">
                      <a:avLst/>
                    </a:prstGeom>
                    <a:noFill/>
                    <a:ln w="9525">
                      <a:noFill/>
                      <a:miter lim="800000"/>
                      <a:headEnd/>
                      <a:tailEnd/>
                    </a:ln>
                  </pic:spPr>
                </pic:pic>
              </a:graphicData>
            </a:graphic>
          </wp:inline>
        </w:drawing>
      </w:r>
    </w:p>
    <w:p w:rsidR="00F7558D" w:rsidRPr="00B105E6" w:rsidRDefault="00F7558D" w:rsidP="008B6887">
      <w:pPr>
        <w:rPr>
          <w:sz w:val="20"/>
          <w:szCs w:val="20"/>
        </w:rPr>
      </w:pPr>
      <w:r w:rsidRPr="00B105E6">
        <w:t>These efficacy findings further support the conclusion that there is no rebound effect when the dosing frequency of VTE is reduced to a reactive regimen in subjects w</w:t>
      </w:r>
      <w:r w:rsidR="008B6887">
        <w:t>ho have reached stable disease.</w:t>
      </w:r>
    </w:p>
    <w:p w:rsidR="00F7558D" w:rsidRPr="00B105E6" w:rsidRDefault="00C44EA2" w:rsidP="008B6887">
      <w:pPr>
        <w:pStyle w:val="Heading6"/>
      </w:pPr>
      <w:r w:rsidRPr="00B105E6">
        <w:t xml:space="preserve">Evaluator’s </w:t>
      </w:r>
      <w:r w:rsidR="008B6887">
        <w:t>c</w:t>
      </w:r>
      <w:r w:rsidR="004E0EF5">
        <w:t>omment</w:t>
      </w:r>
    </w:p>
    <w:p w:rsidR="00F7558D" w:rsidRPr="00B105E6" w:rsidRDefault="00F7558D" w:rsidP="008B6887">
      <w:r>
        <w:t>The spon</w:t>
      </w:r>
      <w:r w:rsidR="008B6887">
        <w:t>sor’s response is satisfactory.</w:t>
      </w:r>
    </w:p>
    <w:p w:rsidR="00F7558D" w:rsidRDefault="00F7558D" w:rsidP="008B6887">
      <w:pPr>
        <w:pStyle w:val="Heading5"/>
      </w:pPr>
      <w:bookmarkStart w:id="226" w:name="_Toc229805908"/>
      <w:r>
        <w:t xml:space="preserve">Question </w:t>
      </w:r>
      <w:bookmarkEnd w:id="226"/>
      <w:r w:rsidR="00C44EA2">
        <w:t>d</w:t>
      </w:r>
    </w:p>
    <w:p w:rsidR="00F7558D" w:rsidRPr="00224FBD" w:rsidRDefault="00C44EA2" w:rsidP="008B6887">
      <w:pPr>
        <w:pStyle w:val="Heading6"/>
        <w:rPr>
          <w:rFonts w:eastAsiaTheme="minorHAnsi"/>
        </w:rPr>
      </w:pPr>
      <w:r w:rsidRPr="00224FBD">
        <w:rPr>
          <w:rFonts w:eastAsiaTheme="minorHAnsi"/>
        </w:rPr>
        <w:t xml:space="preserve">Sponsor’s </w:t>
      </w:r>
      <w:r w:rsidR="004E0EF5">
        <w:rPr>
          <w:rFonts w:eastAsiaTheme="minorHAnsi"/>
        </w:rPr>
        <w:t>response</w:t>
      </w:r>
    </w:p>
    <w:p w:rsidR="00F7558D" w:rsidRPr="00224FBD" w:rsidRDefault="00F7558D" w:rsidP="008B6887">
      <w:r w:rsidRPr="00224FBD">
        <w:t>The apparent discrepancies were due to an error in Table 22 in the Summary of Clinical Safety. The figures presented in the source data from Module 5.3.5.3 GIA_VEGF Trap- Eye_CRVO_1y dat</w:t>
      </w:r>
      <w:r w:rsidR="008B6887">
        <w:t>a Table 14.3.1.2/6 are correct.</w:t>
      </w:r>
    </w:p>
    <w:p w:rsidR="005867B3" w:rsidRDefault="00F7558D" w:rsidP="008B6887">
      <w:r w:rsidRPr="00224FBD">
        <w:t xml:space="preserve">Meanwhile, </w:t>
      </w:r>
      <w:r w:rsidR="00C44EA2">
        <w:t>the sponsor</w:t>
      </w:r>
      <w:r w:rsidRPr="00224FBD">
        <w:t xml:space="preserve"> has also become aware of a small discrepancy between Table 23 in the Summary of Clinical Safety and the source data from Module 5.3.5.3 Integrated Efficacy and Safety Analysis (</w:t>
      </w:r>
      <w:r w:rsidR="008B6887">
        <w:t>1-year data) Table 14.3.1.4/16.</w:t>
      </w:r>
    </w:p>
    <w:p w:rsidR="00F7558D" w:rsidRDefault="00F7558D" w:rsidP="008B6887">
      <w:r w:rsidRPr="005867B3">
        <w:t xml:space="preserve">The corrected Table 22 and Table 23 </w:t>
      </w:r>
      <w:r w:rsidR="00C44EA2" w:rsidRPr="005867B3">
        <w:t>were</w:t>
      </w:r>
      <w:r w:rsidRPr="005867B3">
        <w:t xml:space="preserve"> provided </w:t>
      </w:r>
      <w:r w:rsidR="00C44EA2" w:rsidRPr="005867B3">
        <w:t>to the TGA w</w:t>
      </w:r>
      <w:r w:rsidRPr="005867B3">
        <w:t>ith matching the source data</w:t>
      </w:r>
      <w:r w:rsidR="008B6887">
        <w:t>.</w:t>
      </w:r>
    </w:p>
    <w:p w:rsidR="00F7558D" w:rsidRPr="00224FBD" w:rsidRDefault="00C44EA2" w:rsidP="008B6887">
      <w:pPr>
        <w:pStyle w:val="Heading6"/>
      </w:pPr>
      <w:r w:rsidRPr="00224FBD">
        <w:t xml:space="preserve">Evaluator’s </w:t>
      </w:r>
      <w:r w:rsidR="008B6887">
        <w:t>c</w:t>
      </w:r>
      <w:r w:rsidR="004E0EF5">
        <w:t>omment</w:t>
      </w:r>
    </w:p>
    <w:p w:rsidR="00F7558D" w:rsidRDefault="00F7558D" w:rsidP="008B6887">
      <w:r w:rsidRPr="00224FBD">
        <w:t xml:space="preserve">The sponsor’s response is satisfactory. The </w:t>
      </w:r>
      <w:r>
        <w:t>amended safety</w:t>
      </w:r>
      <w:r w:rsidRPr="00224FBD">
        <w:t xml:space="preserve"> data provided above in Tables 22 and 23 do</w:t>
      </w:r>
      <w:r>
        <w:t xml:space="preserve"> </w:t>
      </w:r>
      <w:r w:rsidRPr="00224FBD">
        <w:t xml:space="preserve">not affect </w:t>
      </w:r>
      <w:r>
        <w:t>th</w:t>
      </w:r>
      <w:r w:rsidR="008B6887">
        <w:t>e assessment of safety in CER1.</w:t>
      </w:r>
    </w:p>
    <w:p w:rsidR="00F7558D" w:rsidRDefault="00F7558D" w:rsidP="008B6887">
      <w:pPr>
        <w:pStyle w:val="Heading3"/>
      </w:pPr>
      <w:bookmarkStart w:id="227" w:name="_Toc229805911"/>
      <w:bookmarkStart w:id="228" w:name="_Toc396651376"/>
      <w:r>
        <w:t>Dosing regimen</w:t>
      </w:r>
      <w:bookmarkEnd w:id="227"/>
      <w:bookmarkEnd w:id="228"/>
    </w:p>
    <w:p w:rsidR="00F7558D" w:rsidRDefault="00F7558D" w:rsidP="008B6887">
      <w:pPr>
        <w:pStyle w:val="Heading4"/>
      </w:pPr>
      <w:bookmarkStart w:id="229" w:name="_Toc229805912"/>
      <w:r>
        <w:t xml:space="preserve">Question </w:t>
      </w:r>
      <w:bookmarkEnd w:id="229"/>
      <w:r w:rsidR="008B6887">
        <w:t>e</w:t>
      </w:r>
    </w:p>
    <w:p w:rsidR="00F7558D" w:rsidRPr="008B6887" w:rsidRDefault="00863641" w:rsidP="008B6887">
      <w:pPr>
        <w:pStyle w:val="Heading5"/>
        <w:rPr>
          <w:rFonts w:eastAsiaTheme="minorHAnsi"/>
        </w:rPr>
      </w:pPr>
      <w:r w:rsidRPr="008B6887">
        <w:rPr>
          <w:rFonts w:eastAsiaTheme="minorHAnsi"/>
        </w:rPr>
        <w:t xml:space="preserve">Sponsor’s </w:t>
      </w:r>
      <w:r w:rsidR="008B6887">
        <w:rPr>
          <w:rFonts w:eastAsiaTheme="minorHAnsi"/>
        </w:rPr>
        <w:t>r</w:t>
      </w:r>
      <w:r w:rsidRPr="008B6887">
        <w:rPr>
          <w:rFonts w:eastAsiaTheme="minorHAnsi"/>
        </w:rPr>
        <w:t>esponse</w:t>
      </w:r>
    </w:p>
    <w:p w:rsidR="00F7558D" w:rsidRDefault="00F7558D" w:rsidP="008B6887">
      <w:r w:rsidRPr="00A87A97">
        <w:t xml:space="preserve">The US submission of EYLEA in 2012 for the treatment of macular oedema following central retinal vein occlusion (CRVO) was based only on the 24 weeks data from both the GALILEO and COPERNICUS studies, in which a fixed posology </w:t>
      </w:r>
      <w:r>
        <w:t xml:space="preserve">of VTE2Q4 dosing was evaluated. </w:t>
      </w:r>
      <w:r w:rsidRPr="00A87A97">
        <w:t>Results of the COPERNICUS and GALILEO studies beyond 24 weeks (which assessed the reactive posology of VTE PRN dosing) have no</w:t>
      </w:r>
      <w:r w:rsidR="008B6887">
        <w:t>t yet been reviewed by the FDA.</w:t>
      </w:r>
    </w:p>
    <w:p w:rsidR="00F7558D" w:rsidRPr="00842AD8" w:rsidRDefault="00863641" w:rsidP="008B6887">
      <w:pPr>
        <w:pStyle w:val="Heading5"/>
        <w:rPr>
          <w:rFonts w:eastAsiaTheme="minorHAnsi"/>
        </w:rPr>
      </w:pPr>
      <w:r w:rsidRPr="00842AD8">
        <w:rPr>
          <w:rFonts w:eastAsiaTheme="minorHAnsi"/>
        </w:rPr>
        <w:t xml:space="preserve">Evaluator’s </w:t>
      </w:r>
      <w:r w:rsidR="008B6887">
        <w:rPr>
          <w:rFonts w:eastAsiaTheme="minorHAnsi"/>
        </w:rPr>
        <w:t>c</w:t>
      </w:r>
      <w:r w:rsidR="004E0EF5">
        <w:rPr>
          <w:rFonts w:eastAsiaTheme="minorHAnsi"/>
        </w:rPr>
        <w:t>omment</w:t>
      </w:r>
    </w:p>
    <w:p w:rsidR="00F7558D" w:rsidRPr="00842AD8" w:rsidRDefault="00F7558D" w:rsidP="008B6887">
      <w:r w:rsidRPr="00842AD8">
        <w:t>The spon</w:t>
      </w:r>
      <w:r w:rsidR="008B6887">
        <w:t>sor’s response is satisfactory.</w:t>
      </w:r>
    </w:p>
    <w:p w:rsidR="00F7558D" w:rsidRDefault="00F7558D" w:rsidP="008B6887">
      <w:pPr>
        <w:pStyle w:val="Heading4"/>
      </w:pPr>
      <w:bookmarkStart w:id="230" w:name="_Toc229805913"/>
      <w:r>
        <w:t xml:space="preserve">Question </w:t>
      </w:r>
      <w:bookmarkEnd w:id="230"/>
      <w:r w:rsidR="00EC0261">
        <w:t>f</w:t>
      </w:r>
    </w:p>
    <w:p w:rsidR="00F7558D" w:rsidRPr="008B6887" w:rsidRDefault="00863641" w:rsidP="008B6887">
      <w:pPr>
        <w:pStyle w:val="Heading5"/>
        <w:rPr>
          <w:rFonts w:eastAsiaTheme="minorHAnsi"/>
        </w:rPr>
      </w:pPr>
      <w:r w:rsidRPr="008B6887">
        <w:rPr>
          <w:rFonts w:eastAsiaTheme="minorHAnsi"/>
        </w:rPr>
        <w:t xml:space="preserve">Sponsor’s </w:t>
      </w:r>
      <w:r w:rsidR="008B6887">
        <w:rPr>
          <w:rFonts w:eastAsiaTheme="minorHAnsi"/>
        </w:rPr>
        <w:t>r</w:t>
      </w:r>
      <w:r w:rsidRPr="008B6887">
        <w:rPr>
          <w:rFonts w:eastAsiaTheme="minorHAnsi"/>
        </w:rPr>
        <w:t>esponse</w:t>
      </w:r>
    </w:p>
    <w:p w:rsidR="00F7558D" w:rsidRPr="00842AD8" w:rsidRDefault="00863641" w:rsidP="008B6887">
      <w:r>
        <w:t>The sponsor has considered the e</w:t>
      </w:r>
      <w:r w:rsidR="00F7558D" w:rsidRPr="00842AD8">
        <w:t xml:space="preserve">valuator’s concerns about the proposed posology of a VTE2Q8 regimen from six months onwards, and has taken the </w:t>
      </w:r>
      <w:r>
        <w:t>e</w:t>
      </w:r>
      <w:r w:rsidR="00F7558D" w:rsidRPr="00842AD8">
        <w:t xml:space="preserve">valuator’s comments into consideration to re-consider the appropriate dosing posology for CRVO taking into account all data from the entire study period, </w:t>
      </w:r>
      <w:r>
        <w:t>that is,</w:t>
      </w:r>
      <w:r w:rsidR="00F7558D" w:rsidRPr="00842AD8">
        <w:t xml:space="preserve"> the</w:t>
      </w:r>
      <w:r w:rsidR="00300BDB">
        <w:t xml:space="preserve"> Week 7</w:t>
      </w:r>
      <w:r w:rsidR="00F7558D" w:rsidRPr="00842AD8">
        <w:t>6/100 data from the GALILEO and COPERNICUS studies, respectively, which were provided in our submission dossier, see Study 14130</w:t>
      </w:r>
      <w:r w:rsidR="00300BDB">
        <w:t xml:space="preserve"> Week 7</w:t>
      </w:r>
      <w:r w:rsidR="00F7558D" w:rsidRPr="00842AD8">
        <w:t>6 CSR and Study VGFT-OD-0819</w:t>
      </w:r>
      <w:r w:rsidR="00300BDB">
        <w:t xml:space="preserve"> Week 1</w:t>
      </w:r>
      <w:r w:rsidR="008B6887">
        <w:t>00 CSR.</w:t>
      </w:r>
    </w:p>
    <w:p w:rsidR="00F7558D" w:rsidRPr="00842AD8" w:rsidRDefault="00F7558D" w:rsidP="008B6887">
      <w:r w:rsidRPr="00842AD8">
        <w:t>Of note from the</w:t>
      </w:r>
      <w:r w:rsidR="00300BDB">
        <w:t xml:space="preserve"> Week 7</w:t>
      </w:r>
      <w:r w:rsidRPr="00842AD8">
        <w:t xml:space="preserve">6/100 data from the GALILEO and COPERNICUS studies are that the treatment interval has been extended successfully in the PRN phase of the studies, resulting in a mean number of injections of 6.0 </w:t>
      </w:r>
      <w:r w:rsidR="00863641">
        <w:t>±</w:t>
      </w:r>
      <w:r w:rsidRPr="00842AD8">
        <w:t xml:space="preserve"> 3.4 active injections over the course of 100 weeks (median = 6.0; range of 0 to 15; Study VGFT-OD-0819,</w:t>
      </w:r>
      <w:r w:rsidR="00300BDB">
        <w:t xml:space="preserve"> Week 1</w:t>
      </w:r>
      <w:r w:rsidRPr="00842AD8">
        <w:t xml:space="preserve">00 CSR 14.1.4/4d) in COPERNICUS and of 3.7 </w:t>
      </w:r>
      <w:r w:rsidR="00863641">
        <w:t>±</w:t>
      </w:r>
      <w:r w:rsidRPr="00842AD8">
        <w:t xml:space="preserve"> 2.6 active injections over the course of 76 weeks (median = 4.0; range of 0 to 9; Study 14130</w:t>
      </w:r>
      <w:r w:rsidR="00300BDB">
        <w:t xml:space="preserve"> Week 7</w:t>
      </w:r>
      <w:r w:rsidR="008B6887">
        <w:t>6 CSR 14.1.4/20) in GALILEO.</w:t>
      </w:r>
    </w:p>
    <w:p w:rsidR="00F7558D" w:rsidRPr="009E5AF9" w:rsidRDefault="00F7558D" w:rsidP="008B6887">
      <w:pPr>
        <w:rPr>
          <w:lang w:eastAsia="ja-JP"/>
        </w:rPr>
      </w:pPr>
      <w:r w:rsidRPr="00842AD8">
        <w:t>The posology justification analysis that was provided in the submission dossier was based on the data as of</w:t>
      </w:r>
      <w:r w:rsidR="00300BDB">
        <w:t xml:space="preserve"> Week 5</w:t>
      </w:r>
      <w:r w:rsidRPr="00842AD8">
        <w:t>2 from the two pivotal studies.</w:t>
      </w:r>
      <w:r w:rsidR="00D74B64">
        <w:t xml:space="preserve"> </w:t>
      </w:r>
      <w:r w:rsidR="00790FF0">
        <w:rPr>
          <w:lang w:eastAsia="ja-JP"/>
        </w:rPr>
        <w:t>[information redacted]</w:t>
      </w:r>
      <w:r w:rsidR="008B6887">
        <w:rPr>
          <w:lang w:eastAsia="ja-JP"/>
        </w:rPr>
        <w:t>.</w:t>
      </w:r>
    </w:p>
    <w:p w:rsidR="00F7558D" w:rsidRPr="00842AD8" w:rsidRDefault="00F7558D" w:rsidP="008B6887">
      <w:r w:rsidRPr="00842AD8">
        <w:t xml:space="preserve">To further address the question raised by the </w:t>
      </w:r>
      <w:r w:rsidR="00863641">
        <w:t>e</w:t>
      </w:r>
      <w:r w:rsidRPr="00842AD8">
        <w:t>valuator, additional analysis has been conducted to also include the long-term data from</w:t>
      </w:r>
      <w:r w:rsidR="00300BDB">
        <w:t xml:space="preserve"> Week 5</w:t>
      </w:r>
      <w:r w:rsidRPr="00842AD8">
        <w:t>2 to the end of the GALILEO and COPERNICUS studies to further refine the posology recommendation to optimise the response to treatment with regards to vision wh</w:t>
      </w:r>
      <w:r w:rsidR="008B6887">
        <w:t>ilst minimising over-treatment.</w:t>
      </w:r>
    </w:p>
    <w:p w:rsidR="00F7558D" w:rsidRPr="00842AD8" w:rsidRDefault="00F7558D" w:rsidP="008B6887">
      <w:r w:rsidRPr="00842AD8">
        <w:t xml:space="preserve">Based on the results of this analysis, </w:t>
      </w:r>
      <w:r w:rsidR="00863641">
        <w:t>the sponsor</w:t>
      </w:r>
      <w:r w:rsidRPr="00842AD8">
        <w:t xml:space="preserve"> hereby proposes a “treat-and-extend” dosing schedule to allow for a flexible dosing interval after the initial monthly doses instead of a switch from a fixed monthly to a fixed every</w:t>
      </w:r>
      <w:r w:rsidR="00863641">
        <w:t xml:space="preserve"> </w:t>
      </w:r>
      <w:r w:rsidRPr="00842AD8">
        <w:t xml:space="preserve">two-months dosing schedule. In such setting, the treating physician would need to determine based on visual and anatomic outcomes whether it is appropriate to extend the interval in order to </w:t>
      </w:r>
      <w:r w:rsidR="008B6887">
        <w:t>avoid under- or over-treatment.</w:t>
      </w:r>
    </w:p>
    <w:p w:rsidR="00F7558D" w:rsidRPr="00842AD8" w:rsidRDefault="00F7558D" w:rsidP="008B6887">
      <w:r w:rsidRPr="00842AD8">
        <w:t>Practically, the treatment would be initiated on a monthly schedule (details on duration discussed below). If the disease appears to be inactive according to the physician’s judgment, the time interval to the next visit is extended in small increments (typically 1 to 2 weeks). If at the next visit after the extended interval the disease is still quiescent, the patient receives treatment and the time to the next visit is even further pushed out. If there are some signs of re-activation of the disease, the time interval between the visits is reduced to the last interval without disease re-activation. With a treat-and-extend paradigm, the disease is treated proactively at most visits. At the same time, the treatment interval is adjusted to avoid over</w:t>
      </w:r>
      <w:r w:rsidR="00863641">
        <w:t xml:space="preserve"> </w:t>
      </w:r>
      <w:r w:rsidRPr="00842AD8">
        <w:t>or under</w:t>
      </w:r>
      <w:r w:rsidR="00863641">
        <w:t xml:space="preserve"> </w:t>
      </w:r>
      <w:r w:rsidRPr="00842AD8">
        <w:t>treatment and also ascertains that pat</w:t>
      </w:r>
      <w:r w:rsidR="008B6887">
        <w:t>ient safety is well controlled.</w:t>
      </w:r>
    </w:p>
    <w:p w:rsidR="00F7558D" w:rsidRPr="00842AD8" w:rsidRDefault="00F7558D" w:rsidP="008B6887">
      <w:r w:rsidRPr="00842AD8">
        <w:t>This “treat-and-extend” dosing schedule therefore enables the treatment interval be adjusted individually based on the individual treatment response. Compared to the classical “PRN” treatment, where monitoring visits are scheduled on a fixed basis, a treat-and-extend schedule allows a more precise adjustment of the treatment interval in smaller increments, and, thereby aims treating towards optimised efficacy outcomes. In those patients, where the disease state allows, treatment is faded out</w:t>
      </w:r>
      <w:r w:rsidR="008B6887">
        <w:t xml:space="preserve"> and may ultimately be stopped.</w:t>
      </w:r>
    </w:p>
    <w:p w:rsidR="00F7558D" w:rsidRPr="00354E56" w:rsidRDefault="00F7558D" w:rsidP="00252B9B">
      <w:pPr>
        <w:pStyle w:val="Heading6"/>
        <w:rPr>
          <w:rFonts w:eastAsiaTheme="minorHAnsi"/>
        </w:rPr>
      </w:pPr>
      <w:r w:rsidRPr="00354E56">
        <w:rPr>
          <w:rFonts w:eastAsiaTheme="minorHAnsi"/>
        </w:rPr>
        <w:t>GALILEO and COPERNICUS Integrated analysis – early treatment phase – to determine the optimal timeframe to</w:t>
      </w:r>
      <w:r w:rsidR="004E0EF5">
        <w:rPr>
          <w:rFonts w:eastAsiaTheme="minorHAnsi"/>
        </w:rPr>
        <w:t xml:space="preserve"> extend the treatment interval</w:t>
      </w:r>
    </w:p>
    <w:p w:rsidR="00F7558D" w:rsidRPr="00842AD8" w:rsidRDefault="00F7558D" w:rsidP="00252B9B">
      <w:r w:rsidRPr="00842AD8">
        <w:t>In the context of the proposed treat-and-extend regimen, re-analyses of the early treatment phase were conducted to determine the optimal timeframe to extend the treatment interval after being initially treat</w:t>
      </w:r>
      <w:r w:rsidR="00252B9B">
        <w:t>ed at a fixed monthly interval.</w:t>
      </w:r>
    </w:p>
    <w:p w:rsidR="00F7558D" w:rsidRDefault="00F7558D" w:rsidP="00252B9B">
      <w:r w:rsidRPr="00842AD8">
        <w:t xml:space="preserve">In both the GALILEO and COPERNICUS studies, the progression of the improvement in visual acuity over time showed a very steep initial rise, with most of the improvement becoming evident after the first 3 injections. This can be seen on the evaluation presenting 3 line gainer (Figure </w:t>
      </w:r>
      <w:r w:rsidR="00C83F10">
        <w:t>6</w:t>
      </w:r>
      <w:r w:rsidRPr="00842AD8">
        <w:t xml:space="preserve">) as well as on the time course of mean changes in BCVA (Figure </w:t>
      </w:r>
      <w:r w:rsidR="00C83F10">
        <w:t>7</w:t>
      </w:r>
      <w:r w:rsidR="00252B9B">
        <w:t>).</w:t>
      </w:r>
    </w:p>
    <w:p w:rsidR="00863641" w:rsidRPr="00842AD8" w:rsidRDefault="00863641" w:rsidP="00252B9B">
      <w:pPr>
        <w:pStyle w:val="FigureTitle"/>
      </w:pPr>
      <w:r>
        <w:t xml:space="preserve">Figure </w:t>
      </w:r>
      <w:r w:rsidR="00C83F10">
        <w:t>6</w:t>
      </w:r>
      <w:r>
        <w:t>: Percent patients who gained ≥ 15 letters</w:t>
      </w:r>
    </w:p>
    <w:p w:rsidR="00F7558D" w:rsidRDefault="00F7558D" w:rsidP="00252B9B">
      <w:r>
        <w:rPr>
          <w:noProof/>
          <w:lang w:eastAsia="en-AU"/>
        </w:rPr>
        <w:drawing>
          <wp:inline distT="0" distB="0" distL="0" distR="0" wp14:anchorId="1D794023" wp14:editId="4F9E4D2A">
            <wp:extent cx="3216297" cy="2390400"/>
            <wp:effectExtent l="0" t="0" r="3175" b="0"/>
            <wp:docPr id="77" name="Picture 1" descr="Figure 6: Percent patients who gained ≥ 15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2796" t="13801" r="18421"/>
                    <a:stretch>
                      <a:fillRect/>
                    </a:stretch>
                  </pic:blipFill>
                  <pic:spPr bwMode="auto">
                    <a:xfrm>
                      <a:off x="0" y="0"/>
                      <a:ext cx="3215382" cy="2389720"/>
                    </a:xfrm>
                    <a:prstGeom prst="rect">
                      <a:avLst/>
                    </a:prstGeom>
                    <a:noFill/>
                    <a:ln w="9525">
                      <a:noFill/>
                      <a:miter lim="800000"/>
                      <a:headEnd/>
                      <a:tailEnd/>
                    </a:ln>
                  </pic:spPr>
                </pic:pic>
              </a:graphicData>
            </a:graphic>
          </wp:inline>
        </w:drawing>
      </w:r>
    </w:p>
    <w:p w:rsidR="00863641" w:rsidRDefault="00863641" w:rsidP="00252B9B">
      <w:pPr>
        <w:pStyle w:val="FigureTitle"/>
      </w:pPr>
      <w:r>
        <w:t xml:space="preserve">Figure </w:t>
      </w:r>
      <w:r w:rsidR="00C83F10">
        <w:t>7</w:t>
      </w:r>
      <w:r>
        <w:t>. Mean change in visual acuity</w:t>
      </w:r>
    </w:p>
    <w:p w:rsidR="00F7558D" w:rsidRDefault="00F7558D" w:rsidP="00252B9B">
      <w:r>
        <w:rPr>
          <w:noProof/>
          <w:lang w:eastAsia="en-AU"/>
        </w:rPr>
        <w:drawing>
          <wp:inline distT="0" distB="0" distL="0" distR="0" wp14:anchorId="070324EB" wp14:editId="1EAC0AFD">
            <wp:extent cx="3651533" cy="2966400"/>
            <wp:effectExtent l="0" t="0" r="6350" b="0"/>
            <wp:docPr id="78" name="Picture 2" descr="Figure 7. Mean change in visual ac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l="979" t="10658" r="19902"/>
                    <a:stretch>
                      <a:fillRect/>
                    </a:stretch>
                  </pic:blipFill>
                  <pic:spPr bwMode="auto">
                    <a:xfrm>
                      <a:off x="0" y="0"/>
                      <a:ext cx="3650164" cy="2965288"/>
                    </a:xfrm>
                    <a:prstGeom prst="rect">
                      <a:avLst/>
                    </a:prstGeom>
                    <a:noFill/>
                    <a:ln w="9525">
                      <a:noFill/>
                      <a:miter lim="800000"/>
                      <a:headEnd/>
                      <a:tailEnd/>
                    </a:ln>
                  </pic:spPr>
                </pic:pic>
              </a:graphicData>
            </a:graphic>
          </wp:inline>
        </w:drawing>
      </w:r>
    </w:p>
    <w:p w:rsidR="00790FF0" w:rsidRDefault="00790FF0" w:rsidP="004E0EF5">
      <w:pPr>
        <w:rPr>
          <w:lang w:eastAsia="ja-JP"/>
        </w:rPr>
      </w:pPr>
      <w:r>
        <w:rPr>
          <w:lang w:eastAsia="ja-JP"/>
        </w:rPr>
        <w:t>[information redacted]</w:t>
      </w:r>
    </w:p>
    <w:p w:rsidR="00F7558D" w:rsidRPr="008860DA" w:rsidRDefault="00F7558D" w:rsidP="00252B9B">
      <w:pPr>
        <w:pStyle w:val="Heading6"/>
        <w:rPr>
          <w:rFonts w:eastAsiaTheme="minorHAnsi"/>
        </w:rPr>
      </w:pPr>
      <w:r w:rsidRPr="008860DA">
        <w:rPr>
          <w:rFonts w:eastAsiaTheme="minorHAnsi"/>
        </w:rPr>
        <w:t>Summary findings for the optimal duratio</w:t>
      </w:r>
      <w:r w:rsidR="004E0EF5">
        <w:rPr>
          <w:rFonts w:eastAsiaTheme="minorHAnsi"/>
        </w:rPr>
        <w:t>n for initial VTE2Q4 treatment</w:t>
      </w:r>
    </w:p>
    <w:p w:rsidR="00F7558D" w:rsidRPr="00842AD8" w:rsidRDefault="00F7558D" w:rsidP="00252B9B">
      <w:r w:rsidRPr="00842AD8">
        <w:t>Due to the fast onset of the treatment effect, it appears appropriate to recommend that physicians may consider extension of the treatment interval aft</w:t>
      </w:r>
      <w:r w:rsidR="00252B9B">
        <w:t>er the third injection onwards.</w:t>
      </w:r>
    </w:p>
    <w:p w:rsidR="00F7558D" w:rsidRPr="00354E56" w:rsidRDefault="00F7558D" w:rsidP="00252B9B">
      <w:pPr>
        <w:pStyle w:val="Heading6"/>
        <w:rPr>
          <w:rFonts w:eastAsiaTheme="minorHAnsi"/>
        </w:rPr>
      </w:pPr>
      <w:r w:rsidRPr="00354E56">
        <w:rPr>
          <w:rFonts w:eastAsiaTheme="minorHAnsi"/>
        </w:rPr>
        <w:t>GALILEO and COPERNICUS Integrated analysis –</w:t>
      </w:r>
      <w:r w:rsidR="00300BDB" w:rsidRPr="00354E56">
        <w:rPr>
          <w:rFonts w:eastAsiaTheme="minorHAnsi"/>
        </w:rPr>
        <w:t xml:space="preserve"> Week 2</w:t>
      </w:r>
      <w:r w:rsidRPr="00354E56">
        <w:rPr>
          <w:rFonts w:eastAsiaTheme="minorHAnsi"/>
        </w:rPr>
        <w:t>4 to</w:t>
      </w:r>
      <w:r w:rsidR="00300BDB" w:rsidRPr="00354E56">
        <w:rPr>
          <w:rFonts w:eastAsiaTheme="minorHAnsi"/>
        </w:rPr>
        <w:t xml:space="preserve"> Week 5</w:t>
      </w:r>
      <w:r w:rsidRPr="00354E56">
        <w:rPr>
          <w:rFonts w:eastAsiaTheme="minorHAnsi"/>
        </w:rPr>
        <w:t>2 and</w:t>
      </w:r>
      <w:r w:rsidR="00300BDB" w:rsidRPr="00354E56">
        <w:rPr>
          <w:rFonts w:eastAsiaTheme="minorHAnsi"/>
        </w:rPr>
        <w:t xml:space="preserve"> Week 2</w:t>
      </w:r>
      <w:r w:rsidRPr="00354E56">
        <w:rPr>
          <w:rFonts w:eastAsiaTheme="minorHAnsi"/>
        </w:rPr>
        <w:t>4 to</w:t>
      </w:r>
      <w:r w:rsidR="00300BDB" w:rsidRPr="00354E56">
        <w:rPr>
          <w:rFonts w:eastAsiaTheme="minorHAnsi"/>
        </w:rPr>
        <w:t xml:space="preserve"> Week 7</w:t>
      </w:r>
      <w:r w:rsidRPr="00354E56">
        <w:rPr>
          <w:rFonts w:eastAsiaTheme="minorHAnsi"/>
        </w:rPr>
        <w:t>6/100 – to determine the change in BVCA achieved with a proactive fixed (Q4) dosing regimen compared to</w:t>
      </w:r>
      <w:r w:rsidR="004E0EF5">
        <w:rPr>
          <w:rFonts w:eastAsiaTheme="minorHAnsi"/>
        </w:rPr>
        <w:t xml:space="preserve"> a reactive prn dosing regimen</w:t>
      </w:r>
    </w:p>
    <w:p w:rsidR="00F7558D" w:rsidRPr="00842AD8" w:rsidRDefault="00F7558D" w:rsidP="00252B9B">
      <w:r w:rsidRPr="00842AD8">
        <w:t>To assess the BCVA behavio</w:t>
      </w:r>
      <w:r w:rsidR="00354E56">
        <w:t>u</w:t>
      </w:r>
      <w:r w:rsidRPr="00842AD8">
        <w:t xml:space="preserve">r once subjects were switched from a proactive treatment regimen to a reactive treatment regimen in which dosing was based on </w:t>
      </w:r>
      <w:r w:rsidR="00D74B64">
        <w:t>pre-defined</w:t>
      </w:r>
      <w:r w:rsidRPr="00842AD8">
        <w:t xml:space="preserve"> retreatment criteria, the subjects were divided into categories of “vision stability” as demonstrated at the last three visits in the fixed-dosing phase (</w:t>
      </w:r>
      <w:r w:rsidR="00354E56">
        <w:t>that is,</w:t>
      </w:r>
      <w:r w:rsidR="00300BDB">
        <w:t xml:space="preserve"> Week 1</w:t>
      </w:r>
      <w:r w:rsidRPr="00842AD8">
        <w:t>6,</w:t>
      </w:r>
      <w:r w:rsidR="00300BDB">
        <w:t xml:space="preserve"> Week 2</w:t>
      </w:r>
      <w:r w:rsidRPr="00842AD8">
        <w:t>0 and</w:t>
      </w:r>
      <w:r w:rsidR="00300BDB">
        <w:t xml:space="preserve"> Week 2</w:t>
      </w:r>
      <w:r w:rsidRPr="00842AD8">
        <w:t>4). Note that the first 3 months of the fixed-dosing phase were not included in this comparison because the very steep rise in BCVA that is observed at the start of anti-VEGF therapy may have biased the comparison. The following categories of “vision stability” were defined (same as that used in the posology justification analyses originally submit</w:t>
      </w:r>
      <w:r w:rsidR="00252B9B">
        <w:t>ted in the submission dossier):</w:t>
      </w:r>
    </w:p>
    <w:p w:rsidR="00F7558D" w:rsidRPr="00252B9B" w:rsidRDefault="00F7558D" w:rsidP="00252B9B">
      <w:pPr>
        <w:pStyle w:val="ListBullet"/>
      </w:pPr>
      <w:r w:rsidRPr="00252B9B">
        <w:rPr>
          <w:b/>
        </w:rPr>
        <w:t>Excellent</w:t>
      </w:r>
      <w:r w:rsidRPr="00252B9B">
        <w:t>: subject demonstrated a stable gain of 15 or more letters (</w:t>
      </w:r>
      <w:r w:rsidR="00354E56" w:rsidRPr="00252B9B">
        <w:t xml:space="preserve">that is, </w:t>
      </w:r>
      <w:r w:rsidRPr="00252B9B">
        <w:t>a gain of 15 or more letters over baselin</w:t>
      </w:r>
      <w:r w:rsidR="00252B9B">
        <w:t>e) at the three assessed visits</w:t>
      </w:r>
    </w:p>
    <w:p w:rsidR="00F7558D" w:rsidRPr="00252B9B" w:rsidRDefault="00F7558D" w:rsidP="00252B9B">
      <w:pPr>
        <w:pStyle w:val="ListBullet"/>
      </w:pPr>
      <w:r w:rsidRPr="00252B9B">
        <w:rPr>
          <w:b/>
        </w:rPr>
        <w:t>Good</w:t>
      </w:r>
      <w:r w:rsidRPr="00252B9B">
        <w:t>: subject demonstrated a stable gain of 10 or more letters with all visits not showing a 15 letter or more gain (</w:t>
      </w:r>
      <w:r w:rsidR="00354E56" w:rsidRPr="00252B9B">
        <w:t>that is,</w:t>
      </w:r>
      <w:r w:rsidRPr="00252B9B">
        <w:t xml:space="preserve"> a gain of 10 or more letters over baseline at the three assessed visits and the criteri</w:t>
      </w:r>
      <w:r w:rsidR="00252B9B">
        <w:t>a for “excellent” were not met)</w:t>
      </w:r>
    </w:p>
    <w:p w:rsidR="00F7558D" w:rsidRPr="00252B9B" w:rsidRDefault="00F7558D" w:rsidP="00252B9B">
      <w:pPr>
        <w:pStyle w:val="ListBullet"/>
      </w:pPr>
      <w:r w:rsidRPr="00252B9B">
        <w:rPr>
          <w:b/>
        </w:rPr>
        <w:t>Modest</w:t>
      </w:r>
      <w:r w:rsidRPr="00252B9B">
        <w:t>: subject demonstrated a stable gain of 5 or more letters with all visits not showing a 10 letter or more gain (</w:t>
      </w:r>
      <w:r w:rsidR="00354E56" w:rsidRPr="00252B9B">
        <w:t>that is,</w:t>
      </w:r>
      <w:r w:rsidRPr="00252B9B">
        <w:t xml:space="preserve"> a gain of 5 or more letters over baseline at the three assessed visits and the criteria for “exce</w:t>
      </w:r>
      <w:r w:rsidR="00252B9B">
        <w:t>llent” and “good” were not met)</w:t>
      </w:r>
    </w:p>
    <w:p w:rsidR="00F7558D" w:rsidRPr="00252B9B" w:rsidRDefault="00F7558D" w:rsidP="00252B9B">
      <w:pPr>
        <w:pStyle w:val="ListBullet"/>
      </w:pPr>
      <w:r w:rsidRPr="00252B9B">
        <w:rPr>
          <w:b/>
        </w:rPr>
        <w:t>Poor</w:t>
      </w:r>
      <w:r w:rsidRPr="00252B9B">
        <w:t>: subject demonstrated a stable gain of 0 or more letters with all visits not showing a 5 letter or more gain (ie, a gain of 0 or more letters over baseline at the three assessed visits and the criteria for “excellent”, “go</w:t>
      </w:r>
      <w:r w:rsidR="00252B9B">
        <w:t>od”, and “modest” were not met)</w:t>
      </w:r>
    </w:p>
    <w:p w:rsidR="00F7558D" w:rsidRPr="00252B9B" w:rsidRDefault="00F7558D" w:rsidP="00252B9B">
      <w:pPr>
        <w:pStyle w:val="ListBullet"/>
      </w:pPr>
      <w:r w:rsidRPr="00252B9B">
        <w:rPr>
          <w:b/>
        </w:rPr>
        <w:t>No stable gain</w:t>
      </w:r>
      <w:r w:rsidRPr="00252B9B">
        <w:t>: subject had at least one visit (in the three assessed visits) with</w:t>
      </w:r>
      <w:r w:rsidR="00252B9B">
        <w:t xml:space="preserve"> a gain of fewer than 0 letters</w:t>
      </w:r>
    </w:p>
    <w:p w:rsidR="00F7558D" w:rsidRPr="00252B9B" w:rsidRDefault="00F7558D" w:rsidP="00252B9B">
      <w:pPr>
        <w:pStyle w:val="ListBullet"/>
      </w:pPr>
      <w:r w:rsidRPr="00252B9B">
        <w:rPr>
          <w:b/>
        </w:rPr>
        <w:t>Missing</w:t>
      </w:r>
      <w:r w:rsidRPr="00252B9B">
        <w:t xml:space="preserve">: Subject had at least one visit (in the three assessed visits) with missing data and no visit with </w:t>
      </w:r>
      <w:r w:rsidR="00252B9B">
        <w:t>a gain of fewer than 0 letters.</w:t>
      </w:r>
    </w:p>
    <w:p w:rsidR="00F7558D" w:rsidRPr="008860DA" w:rsidRDefault="00F7558D" w:rsidP="00252B9B">
      <w:r w:rsidRPr="008860DA">
        <w:t>An investigation was undertaken to compare the slopes of regression lines derived from regression analyses within individual subjects and examined the slope of the change in BCVA (</w:t>
      </w:r>
      <w:r w:rsidR="00354E56">
        <w:t>that is,</w:t>
      </w:r>
      <w:r w:rsidRPr="008860DA">
        <w:t xml:space="preserve"> BCVA could continue to improve [positive slope] or decline [negative slope]) at the end of the fixed-dosing phase (Weeks 16 to 24) as compared to the slope of the change in BCVA through the full PRN phase of the studies for the five categories of vision stability (as well t</w:t>
      </w:r>
      <w:r w:rsidR="00252B9B">
        <w:t>he missing and total subjects).</w:t>
      </w:r>
    </w:p>
    <w:p w:rsidR="00F7558D" w:rsidRPr="008860DA" w:rsidRDefault="00F7558D" w:rsidP="00252B9B">
      <w:r w:rsidRPr="00354E56">
        <w:rPr>
          <w:rStyle w:val="Heading6Char"/>
          <w:rFonts w:eastAsiaTheme="minorHAnsi"/>
        </w:rPr>
        <w:t xml:space="preserve">As seen in Table </w:t>
      </w:r>
      <w:r w:rsidR="00354E56" w:rsidRPr="00354E56">
        <w:rPr>
          <w:rStyle w:val="Heading6Char"/>
          <w:rFonts w:eastAsiaTheme="minorHAnsi"/>
        </w:rPr>
        <w:t>3</w:t>
      </w:r>
      <w:r w:rsidR="00C83F10">
        <w:rPr>
          <w:rStyle w:val="Heading6Char"/>
          <w:rFonts w:eastAsiaTheme="minorHAnsi"/>
        </w:rPr>
        <w:t>7</w:t>
      </w:r>
      <w:r w:rsidRPr="00354E56">
        <w:rPr>
          <w:rStyle w:val="Heading6Char"/>
          <w:rFonts w:eastAsiaTheme="minorHAnsi"/>
        </w:rPr>
        <w:t xml:space="preserve"> [NB: fixed-dosing phase stability category</w:t>
      </w:r>
      <w:r w:rsidR="00300BDB" w:rsidRPr="00354E56">
        <w:rPr>
          <w:rStyle w:val="Heading6Char"/>
          <w:rFonts w:eastAsiaTheme="minorHAnsi"/>
        </w:rPr>
        <w:t xml:space="preserve"> Week 1</w:t>
      </w:r>
      <w:r w:rsidRPr="00354E56">
        <w:rPr>
          <w:rStyle w:val="Heading6Char"/>
          <w:rFonts w:eastAsiaTheme="minorHAnsi"/>
        </w:rPr>
        <w:t>6 to</w:t>
      </w:r>
      <w:r w:rsidR="00300BDB" w:rsidRPr="00354E56">
        <w:rPr>
          <w:rStyle w:val="Heading6Char"/>
          <w:rFonts w:eastAsiaTheme="minorHAnsi"/>
        </w:rPr>
        <w:t xml:space="preserve"> Week 2</w:t>
      </w:r>
      <w:r w:rsidRPr="00354E56">
        <w:rPr>
          <w:rStyle w:val="Heading6Char"/>
          <w:rFonts w:eastAsiaTheme="minorHAnsi"/>
        </w:rPr>
        <w:t>4 BCVA behaviour</w:t>
      </w:r>
      <w:r w:rsidR="0091044A" w:rsidRPr="00354E56">
        <w:rPr>
          <w:rStyle w:val="Heading6Char"/>
          <w:rFonts w:eastAsiaTheme="minorHAnsi"/>
        </w:rPr>
        <w:t xml:space="preserve"> versus </w:t>
      </w:r>
      <w:r w:rsidRPr="00354E56">
        <w:rPr>
          <w:rStyle w:val="Heading6Char"/>
          <w:rFonts w:eastAsiaTheme="minorHAnsi"/>
        </w:rPr>
        <w:t>reactive PRN dosing phase</w:t>
      </w:r>
      <w:r w:rsidR="00300BDB" w:rsidRPr="00354E56">
        <w:rPr>
          <w:rStyle w:val="Heading6Char"/>
          <w:rFonts w:eastAsiaTheme="minorHAnsi"/>
        </w:rPr>
        <w:t xml:space="preserve"> Week 2</w:t>
      </w:r>
      <w:r w:rsidRPr="00354E56">
        <w:rPr>
          <w:rStyle w:val="Heading6Char"/>
          <w:rFonts w:eastAsiaTheme="minorHAnsi"/>
        </w:rPr>
        <w:t>4 to</w:t>
      </w:r>
      <w:r w:rsidR="00300BDB" w:rsidRPr="00354E56">
        <w:rPr>
          <w:rStyle w:val="Heading6Char"/>
          <w:rFonts w:eastAsiaTheme="minorHAnsi"/>
        </w:rPr>
        <w:t xml:space="preserve"> Week 5</w:t>
      </w:r>
      <w:r w:rsidRPr="00354E56">
        <w:rPr>
          <w:rStyle w:val="Heading6Char"/>
          <w:rFonts w:eastAsiaTheme="minorHAnsi"/>
        </w:rPr>
        <w:t>2 BCVA behaviour]</w:t>
      </w:r>
      <w:r w:rsidRPr="00354E56">
        <w:t>,</w:t>
      </w:r>
      <w:r>
        <w:rPr>
          <w:b/>
        </w:rPr>
        <w:t xml:space="preserve"> </w:t>
      </w:r>
      <w:r w:rsidRPr="008860DA">
        <w:t>about 32% (41 of 129 [88+41] subjects) of the subjects who demonstrated a positive slope i</w:t>
      </w:r>
      <w:r w:rsidR="00354E56">
        <w:t xml:space="preserve">n the fixed </w:t>
      </w:r>
      <w:r w:rsidRPr="008860DA">
        <w:t>dosing phase experienced a</w:t>
      </w:r>
      <w:r w:rsidR="00354E56">
        <w:t xml:space="preserve"> decline in BCVA during the PRN </w:t>
      </w:r>
      <w:r w:rsidRPr="008860DA">
        <w:t>dosing phase while receiving a median of 3 active injections. Conversely, about 68% of subjects who demonstrated a positive slope in the fixed-dosing phase experienced an improvement (or no change) in BCVA during the PRN-dosing phase, while receiving a median of 2 a</w:t>
      </w:r>
      <w:r w:rsidR="00252B9B">
        <w:t>ctive injections.</w:t>
      </w:r>
    </w:p>
    <w:p w:rsidR="00F7558D" w:rsidRPr="008860DA" w:rsidRDefault="00F7558D" w:rsidP="00252B9B">
      <w:r w:rsidRPr="008860DA">
        <w:t>On the other hand, about 61% (43 of 70 [27+43] subjects) of the subjects who demonstrated a negative slope in the fixed</w:t>
      </w:r>
      <w:r w:rsidR="00354E56">
        <w:t xml:space="preserve"> </w:t>
      </w:r>
      <w:r w:rsidRPr="008860DA">
        <w:t>dosing phase experienced a continued decline during the PRN</w:t>
      </w:r>
      <w:r w:rsidR="00354E56">
        <w:t xml:space="preserve"> </w:t>
      </w:r>
      <w:r w:rsidRPr="008860DA">
        <w:t>dosing phase while receiving a median of 3 active injections. Conversely, about 38% of subjects who demonstrated a negative slope in the fixed</w:t>
      </w:r>
      <w:r w:rsidR="00354E56">
        <w:t xml:space="preserve"> </w:t>
      </w:r>
      <w:r w:rsidRPr="008860DA">
        <w:t>dosing phase experienced an improvement (or no change) during the PRN</w:t>
      </w:r>
      <w:r w:rsidR="00354E56">
        <w:t xml:space="preserve"> </w:t>
      </w:r>
      <w:r w:rsidRPr="008860DA">
        <w:t>dosing phase, while receiving a</w:t>
      </w:r>
      <w:r w:rsidR="00252B9B">
        <w:t xml:space="preserve"> median of 2 active injections.</w:t>
      </w:r>
    </w:p>
    <w:p w:rsidR="00F7558D" w:rsidRPr="008860DA" w:rsidRDefault="00F7558D" w:rsidP="00252B9B">
      <w:r w:rsidRPr="008860DA">
        <w:t>Taken together, these data would appear to confirm that it was largely possible to maintain the gains achieved in the first 6 months through the end of the second 6 months. There is no clear trend in terms of the number of injections administered. Overall, subjects receiving fewer injections and those receiving more injections in the PRN phase both show deterioration of as well as improvements in BCVA. However, because many of</w:t>
      </w:r>
      <w:r w:rsidR="00354E56">
        <w:t xml:space="preserve"> the groups displayed in Table 3</w:t>
      </w:r>
      <w:r w:rsidR="00C83F10">
        <w:t>7</w:t>
      </w:r>
      <w:r w:rsidRPr="008860DA">
        <w:t xml:space="preserve"> are relatively small, any conclusi</w:t>
      </w:r>
      <w:r w:rsidR="00252B9B">
        <w:t>ons must be drawn with caution.</w:t>
      </w:r>
    </w:p>
    <w:p w:rsidR="00F7558D" w:rsidRPr="00AB5531" w:rsidRDefault="00F7558D" w:rsidP="00252B9B">
      <w:pPr>
        <w:pStyle w:val="Heading6"/>
        <w:rPr>
          <w:rFonts w:eastAsiaTheme="minorHAnsi"/>
        </w:rPr>
      </w:pPr>
      <w:r w:rsidRPr="00AB5531">
        <w:rPr>
          <w:rFonts w:eastAsiaTheme="minorHAnsi"/>
        </w:rPr>
        <w:t xml:space="preserve">Table </w:t>
      </w:r>
      <w:r w:rsidR="00354E56">
        <w:rPr>
          <w:rFonts w:eastAsiaTheme="minorHAnsi"/>
        </w:rPr>
        <w:t>3</w:t>
      </w:r>
      <w:r w:rsidR="00C83F10">
        <w:rPr>
          <w:rFonts w:eastAsiaTheme="minorHAnsi"/>
        </w:rPr>
        <w:t>8</w:t>
      </w:r>
      <w:r w:rsidRPr="00AB5531">
        <w:rPr>
          <w:rFonts w:eastAsiaTheme="minorHAnsi"/>
        </w:rPr>
        <w:t xml:space="preserve"> shows the comparison between slopes at the end of the fixed</w:t>
      </w:r>
      <w:r w:rsidR="00354E56">
        <w:rPr>
          <w:rFonts w:eastAsiaTheme="minorHAnsi"/>
        </w:rPr>
        <w:t xml:space="preserve"> </w:t>
      </w:r>
      <w:r w:rsidRPr="00AB5531">
        <w:rPr>
          <w:rFonts w:eastAsiaTheme="minorHAnsi"/>
        </w:rPr>
        <w:t>dosing phase (Weeks 16 to 24) and the slope of the change in BCVA through the end of the studies (</w:t>
      </w:r>
      <w:r w:rsidR="00300BDB">
        <w:rPr>
          <w:rFonts w:eastAsiaTheme="minorHAnsi"/>
        </w:rPr>
        <w:t>Week 7</w:t>
      </w:r>
      <w:r w:rsidR="00252B9B">
        <w:rPr>
          <w:rFonts w:eastAsiaTheme="minorHAnsi"/>
        </w:rPr>
        <w:t>6/100).</w:t>
      </w:r>
    </w:p>
    <w:p w:rsidR="00F7558D" w:rsidRPr="008860DA" w:rsidRDefault="00F7558D" w:rsidP="00252B9B">
      <w:r w:rsidRPr="008860DA">
        <w:t>A total of 129 subjects demonstrated a positive slope in the fixed</w:t>
      </w:r>
      <w:r w:rsidR="00354E56">
        <w:t xml:space="preserve"> </w:t>
      </w:r>
      <w:r w:rsidRPr="008860DA">
        <w:t>dosing phase, of which 39% (50 subjects) experienced a decline in BCVA during the PRN-dosing phase. This is a deterioration from</w:t>
      </w:r>
      <w:r w:rsidR="00300BDB">
        <w:t xml:space="preserve"> Week 5</w:t>
      </w:r>
      <w:r w:rsidRPr="008860DA">
        <w:t>2 were the decline was 32%. Conversely, about 61% (79 subjects) who demonstrated a positive slope in the fixed-dosing phase experienced an improvement (or no change) in BCVA during the PRN-dosing phase, thus fewer subjects than at</w:t>
      </w:r>
      <w:r w:rsidR="00300BDB">
        <w:t xml:space="preserve"> Week 5</w:t>
      </w:r>
      <w:r w:rsidR="00252B9B">
        <w:t>2 where the number was 68%.</w:t>
      </w:r>
    </w:p>
    <w:p w:rsidR="00F7558D" w:rsidRPr="008860DA" w:rsidRDefault="00F7558D" w:rsidP="00252B9B">
      <w:r w:rsidRPr="008860DA">
        <w:t>On the other hand, of the 70 subjects who demonstrated a negative slope in the fixed</w:t>
      </w:r>
      <w:r w:rsidR="00354E56">
        <w:t xml:space="preserve"> </w:t>
      </w:r>
      <w:r w:rsidRPr="008860DA">
        <w:t>dosing phase, 70% (49 subjects) experienced a continued decline during the as needed treatment phase, again a deterioration compared to only 61% at</w:t>
      </w:r>
      <w:r w:rsidR="00300BDB">
        <w:t xml:space="preserve"> Week 5</w:t>
      </w:r>
      <w:r w:rsidRPr="008860DA">
        <w:t>2. Conversely, about 30% (21 subjects) who demonstrated a negative slope in the fixed- dosing phase experienced an improvement (or no change) during the PRN-dosing phase. This number was also better at</w:t>
      </w:r>
      <w:r w:rsidR="00300BDB">
        <w:t xml:space="preserve"> Week 5</w:t>
      </w:r>
      <w:r w:rsidR="00252B9B">
        <w:t>2 with 39%.</w:t>
      </w:r>
    </w:p>
    <w:p w:rsidR="00F7558D" w:rsidRPr="008860DA" w:rsidRDefault="00F7558D" w:rsidP="00252B9B">
      <w:r w:rsidRPr="008860DA">
        <w:t>Taken together, these data would appear to confirm that the slightly negative trend seen between</w:t>
      </w:r>
      <w:r w:rsidR="00300BDB">
        <w:t xml:space="preserve"> Week 2</w:t>
      </w:r>
      <w:r w:rsidRPr="008860DA">
        <w:t>4 to 52 is further enhanced with extension of the monitoring intervals under a reactive treatment regimen up to</w:t>
      </w:r>
      <w:r w:rsidR="00300BDB">
        <w:t xml:space="preserve"> Week 7</w:t>
      </w:r>
      <w:r w:rsidR="00252B9B">
        <w:t>6/100.</w:t>
      </w:r>
    </w:p>
    <w:p w:rsidR="00F7558D" w:rsidRDefault="00F7558D" w:rsidP="00252B9B">
      <w:r w:rsidRPr="008860DA">
        <w:t xml:space="preserve">Again, there is no clear trend in terms of the number of injections administered. Overall, subjects receiving fewer injections and those receiving more injections in the PRN phase both show deterioration of as well as improvements in BCVA. However, because many of the groups displayed in Table </w:t>
      </w:r>
      <w:r w:rsidR="00354E56">
        <w:t>3</w:t>
      </w:r>
      <w:r w:rsidR="00C83F10">
        <w:t>8</w:t>
      </w:r>
      <w:r w:rsidRPr="008860DA">
        <w:t xml:space="preserve"> are relatively small, again any conclusi</w:t>
      </w:r>
      <w:r w:rsidR="00252B9B">
        <w:t>ons must be drawn with caution.</w:t>
      </w:r>
    </w:p>
    <w:p w:rsidR="00354E56" w:rsidRPr="008860DA" w:rsidRDefault="00354E56" w:rsidP="001A4E65">
      <w:pPr>
        <w:pStyle w:val="TableTitle"/>
      </w:pPr>
      <w:r>
        <w:t>Table 3</w:t>
      </w:r>
      <w:r w:rsidR="00C83F10">
        <w:t>7</w:t>
      </w:r>
      <w:r>
        <w:t xml:space="preserve">: Integrated analysis. BCVA behaviour in the fixed dosing phase versus the reactive dosing phase </w:t>
      </w:r>
      <w:r w:rsidR="001A4E65">
        <w:t>by stability categories achieved with fixed dosing (subjects completing Week 24)</w:t>
      </w:r>
    </w:p>
    <w:p w:rsidR="00F7558D" w:rsidRDefault="00F7558D" w:rsidP="00F7558D">
      <w:r>
        <w:rPr>
          <w:noProof/>
          <w:lang w:eastAsia="en-AU"/>
        </w:rPr>
        <w:drawing>
          <wp:inline distT="0" distB="0" distL="0" distR="0" wp14:anchorId="492E478E" wp14:editId="0F7BDC8B">
            <wp:extent cx="3368783" cy="3708000"/>
            <wp:effectExtent l="0" t="0" r="3175" b="6985"/>
            <wp:docPr id="81" name="Picture 9" descr="Table 37: Integrated analysis. BCVA behaviour in the fixed dosing phase versus the reactive dosing phase by stability categories achieved with fixed dosing (subjects completing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l="1174" t="14092" r="2181"/>
                    <a:stretch>
                      <a:fillRect/>
                    </a:stretch>
                  </pic:blipFill>
                  <pic:spPr bwMode="auto">
                    <a:xfrm>
                      <a:off x="0" y="0"/>
                      <a:ext cx="3373970" cy="3713709"/>
                    </a:xfrm>
                    <a:prstGeom prst="rect">
                      <a:avLst/>
                    </a:prstGeom>
                    <a:noFill/>
                    <a:ln w="9525">
                      <a:noFill/>
                      <a:miter lim="800000"/>
                      <a:headEnd/>
                      <a:tailEnd/>
                    </a:ln>
                  </pic:spPr>
                </pic:pic>
              </a:graphicData>
            </a:graphic>
          </wp:inline>
        </w:drawing>
      </w:r>
    </w:p>
    <w:p w:rsidR="001A4E65" w:rsidRDefault="001A4E65" w:rsidP="00252B9B">
      <w:pPr>
        <w:pStyle w:val="TableTitle"/>
      </w:pPr>
      <w:r>
        <w:t>Table 3</w:t>
      </w:r>
      <w:r w:rsidR="00C83F10">
        <w:t>8</w:t>
      </w:r>
      <w:r>
        <w:t>: Integrated analysis. BCVA behaviour in the fixed dosing phase versus the reactive dosing (Week 24 to Week 76/100) phase by stability categories achieved with fixed dosing (subjects completing Week 24).</w:t>
      </w:r>
    </w:p>
    <w:p w:rsidR="00F7558D" w:rsidRDefault="00F7558D" w:rsidP="00252B9B">
      <w:r>
        <w:rPr>
          <w:noProof/>
          <w:lang w:eastAsia="en-AU"/>
        </w:rPr>
        <w:drawing>
          <wp:inline distT="0" distB="0" distL="0" distR="0" wp14:anchorId="1DC87EB0" wp14:editId="2FB0F6A3">
            <wp:extent cx="3501439" cy="4161600"/>
            <wp:effectExtent l="0" t="0" r="3810" b="0"/>
            <wp:docPr id="82" name="Picture 10" descr="Table 38: Integrated analysis. BCVA behaviour in the fixed dosing phase versus the reactive dosing (Week 24 to Week 76/100) phase by stability categories achieved with fixed dosing (subjects completing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l="1149" t="13874" r="10016" b="1963"/>
                    <a:stretch>
                      <a:fillRect/>
                    </a:stretch>
                  </pic:blipFill>
                  <pic:spPr bwMode="auto">
                    <a:xfrm>
                      <a:off x="0" y="0"/>
                      <a:ext cx="3500108" cy="4160018"/>
                    </a:xfrm>
                    <a:prstGeom prst="rect">
                      <a:avLst/>
                    </a:prstGeom>
                    <a:noFill/>
                    <a:ln w="9525">
                      <a:noFill/>
                      <a:miter lim="800000"/>
                      <a:headEnd/>
                      <a:tailEnd/>
                    </a:ln>
                  </pic:spPr>
                </pic:pic>
              </a:graphicData>
            </a:graphic>
          </wp:inline>
        </w:drawing>
      </w:r>
    </w:p>
    <w:p w:rsidR="00F7558D" w:rsidRDefault="00F7558D" w:rsidP="00252B9B">
      <w:pPr>
        <w:pStyle w:val="TableDescription"/>
      </w:pPr>
      <w:r w:rsidRPr="00CB137D">
        <w:t xml:space="preserve">[NB - Evaluator Comment: The superscript “b” for Table </w:t>
      </w:r>
      <w:r w:rsidR="001A4E65">
        <w:t>3</w:t>
      </w:r>
      <w:r w:rsidR="00C83F10">
        <w:t>8</w:t>
      </w:r>
      <w:r w:rsidRPr="00CB137D">
        <w:t xml:space="preserve"> appears to relate to</w:t>
      </w:r>
      <w:r w:rsidR="00300BDB">
        <w:t xml:space="preserve"> Week 2</w:t>
      </w:r>
      <w:r w:rsidRPr="00CB137D">
        <w:rPr>
          <w:i/>
        </w:rPr>
        <w:t>4 to</w:t>
      </w:r>
      <w:r w:rsidR="00300BDB">
        <w:rPr>
          <w:i/>
        </w:rPr>
        <w:t xml:space="preserve"> Week 7</w:t>
      </w:r>
      <w:r w:rsidRPr="00CB137D">
        <w:rPr>
          <w:i/>
        </w:rPr>
        <w:t>6/100</w:t>
      </w:r>
      <w:r w:rsidRPr="00CB137D">
        <w:t>, not</w:t>
      </w:r>
      <w:r w:rsidR="00300BDB">
        <w:t xml:space="preserve"> Week 2</w:t>
      </w:r>
      <w:r w:rsidRPr="00CB137D">
        <w:rPr>
          <w:i/>
        </w:rPr>
        <w:t>4 to</w:t>
      </w:r>
      <w:r w:rsidR="00300BDB">
        <w:rPr>
          <w:i/>
        </w:rPr>
        <w:t xml:space="preserve"> Week 5</w:t>
      </w:r>
      <w:r w:rsidRPr="00CB137D">
        <w:rPr>
          <w:i/>
        </w:rPr>
        <w:t>2</w:t>
      </w:r>
      <w:r w:rsidRPr="00CB137D">
        <w:t xml:space="preserve"> as stated immediately under the Table in the </w:t>
      </w:r>
      <w:r w:rsidR="001A4E65">
        <w:t>sponsor’s</w:t>
      </w:r>
      <w:r w:rsidRPr="00CB137D">
        <w:t xml:space="preserve"> Response.]</w:t>
      </w:r>
    </w:p>
    <w:p w:rsidR="00F7558D" w:rsidRPr="00CB137D" w:rsidRDefault="00F7558D" w:rsidP="00252B9B">
      <w:pPr>
        <w:pStyle w:val="Heading6"/>
        <w:rPr>
          <w:rFonts w:eastAsiaTheme="minorHAnsi"/>
        </w:rPr>
      </w:pPr>
      <w:r w:rsidRPr="00CB137D">
        <w:rPr>
          <w:rFonts w:eastAsiaTheme="minorHAnsi"/>
        </w:rPr>
        <w:t xml:space="preserve">Conclusion of the findings from the </w:t>
      </w:r>
      <w:r w:rsidR="004E750A">
        <w:rPr>
          <w:rFonts w:eastAsiaTheme="minorHAnsi"/>
        </w:rPr>
        <w:t>i</w:t>
      </w:r>
      <w:r w:rsidRPr="00CB137D">
        <w:rPr>
          <w:rFonts w:eastAsiaTheme="minorHAnsi"/>
        </w:rPr>
        <w:t xml:space="preserve">ntegrated </w:t>
      </w:r>
      <w:r w:rsidR="004E750A">
        <w:rPr>
          <w:rFonts w:eastAsiaTheme="minorHAnsi"/>
        </w:rPr>
        <w:t>a</w:t>
      </w:r>
      <w:r w:rsidRPr="00CB137D">
        <w:rPr>
          <w:rFonts w:eastAsiaTheme="minorHAnsi"/>
        </w:rPr>
        <w:t>nalysis including</w:t>
      </w:r>
      <w:r w:rsidR="004E0EF5">
        <w:rPr>
          <w:rFonts w:eastAsiaTheme="minorHAnsi"/>
        </w:rPr>
        <w:t xml:space="preserve"> the complete 76/100 week data</w:t>
      </w:r>
    </w:p>
    <w:p w:rsidR="00F7558D" w:rsidRPr="00CB137D" w:rsidRDefault="00F7558D" w:rsidP="004E750A">
      <w:r w:rsidRPr="00CB137D">
        <w:t>The GALILEO and COPERNICUS studies have shown that VEGF Trap-Eye treatment resulted in fast and sustainable gains in visual acuity. Most of the treatment effect is established early and stability is reached in the majority of patients after the first 3 injections. The studies have shown that the efficacy gains were maintained even under an extended treatment interval after the initial monthly dosing phase. The studies have furthermore demonstrated that the success of a PRN regimen is very much co</w:t>
      </w:r>
      <w:r w:rsidR="004E750A">
        <w:t>ntingent on monthly monitoring.</w:t>
      </w:r>
    </w:p>
    <w:p w:rsidR="00F7558D" w:rsidRPr="00CB137D" w:rsidRDefault="00F7558D" w:rsidP="004E750A">
      <w:r w:rsidRPr="00CB137D">
        <w:t xml:space="preserve">During the entire study period treatment, the overall incidence of ocular and </w:t>
      </w:r>
      <w:r w:rsidR="00D74B64">
        <w:t xml:space="preserve">non-ocular </w:t>
      </w:r>
      <w:r w:rsidRPr="00CB137D">
        <w:t xml:space="preserve">TEAEs and SAEs of interest was similar between treatment groups. Overall, the incidence of subjects experiencing the </w:t>
      </w:r>
      <w:r w:rsidR="00D74B64">
        <w:t xml:space="preserve">non-ocular </w:t>
      </w:r>
      <w:r w:rsidRPr="00CB137D">
        <w:t>TEAE of interest of Hypertension was similar between treatment groups and did not suggest a relationship between this AE and treatment. Similarly, no association was observed between APTC even</w:t>
      </w:r>
      <w:r w:rsidR="004E750A">
        <w:t>ts and treatment.</w:t>
      </w:r>
    </w:p>
    <w:p w:rsidR="00F7558D" w:rsidRPr="00CB137D" w:rsidRDefault="00F7558D" w:rsidP="004E750A">
      <w:r w:rsidRPr="00CB137D">
        <w:t xml:space="preserve">As noted also in </w:t>
      </w:r>
      <w:r w:rsidR="001A4E65">
        <w:t>the sponsor’s</w:t>
      </w:r>
      <w:r w:rsidRPr="00CB137D">
        <w:t xml:space="preserve"> response provided previously to Efficacy </w:t>
      </w:r>
      <w:r w:rsidR="001A4E65">
        <w:t xml:space="preserve">(b), it is apparent from the in </w:t>
      </w:r>
      <w:r w:rsidRPr="00CB137D">
        <w:t>depth analysis provided that mismatches between retreatment and treatment criteria and treatment affects about one third of patients over the full study duration of GALILEO and COPERNICUS. This demonstrates that the subjects tend to be under-treated more often than over</w:t>
      </w:r>
      <w:r w:rsidR="001A4E65">
        <w:t xml:space="preserve"> </w:t>
      </w:r>
      <w:r w:rsidRPr="00CB137D">
        <w:t>treated even under controll</w:t>
      </w:r>
      <w:r w:rsidR="001A4E65">
        <w:t xml:space="preserve">ed study conditions. Such under </w:t>
      </w:r>
      <w:r w:rsidRPr="00CB137D">
        <w:t>treatment presents a potential downfall for the PRN dosing regimen that is evaluated in the studies. This p</w:t>
      </w:r>
      <w:r w:rsidR="001A4E65">
        <w:t xml:space="preserve">otential risk of under </w:t>
      </w:r>
      <w:r w:rsidRPr="00CB137D">
        <w:t>treatment might become more severe when controlled study conditions are exchanged for real-life situations in clinical</w:t>
      </w:r>
      <w:r w:rsidR="001A4E65">
        <w:t xml:space="preserve"> practice, leading to destabilis</w:t>
      </w:r>
      <w:r w:rsidR="004E750A">
        <w:t>ation of disease condition.</w:t>
      </w:r>
    </w:p>
    <w:p w:rsidR="00F7558D" w:rsidRPr="00351A0F" w:rsidRDefault="00F7558D" w:rsidP="004E750A">
      <w:pPr>
        <w:pStyle w:val="Heading6"/>
        <w:rPr>
          <w:rFonts w:eastAsiaTheme="minorHAnsi"/>
        </w:rPr>
      </w:pPr>
      <w:r w:rsidRPr="00351A0F">
        <w:rPr>
          <w:rFonts w:eastAsiaTheme="minorHAnsi"/>
        </w:rPr>
        <w:t xml:space="preserve">Proposed changes to </w:t>
      </w:r>
      <w:r w:rsidR="004E750A">
        <w:rPr>
          <w:rFonts w:eastAsiaTheme="minorHAnsi"/>
        </w:rPr>
        <w:t>the recomm</w:t>
      </w:r>
      <w:r w:rsidR="004E0EF5">
        <w:rPr>
          <w:rFonts w:eastAsiaTheme="minorHAnsi"/>
        </w:rPr>
        <w:t>ended dosage regimen</w:t>
      </w:r>
    </w:p>
    <w:p w:rsidR="00F7558D" w:rsidRPr="009E5AF9" w:rsidRDefault="00F7558D" w:rsidP="004E750A">
      <w:pPr>
        <w:rPr>
          <w:lang w:eastAsia="ja-JP"/>
        </w:rPr>
      </w:pPr>
      <w:r w:rsidRPr="00351A0F">
        <w:t xml:space="preserve">Based on all of the above, </w:t>
      </w:r>
      <w:r w:rsidR="001A4E65">
        <w:t>the sponsor</w:t>
      </w:r>
      <w:r w:rsidRPr="00351A0F">
        <w:t xml:space="preserve"> hereby proposes </w:t>
      </w:r>
      <w:r w:rsidR="00790FF0">
        <w:rPr>
          <w:lang w:eastAsia="ja-JP"/>
        </w:rPr>
        <w:t xml:space="preserve">[information redacted] </w:t>
      </w:r>
      <w:r w:rsidRPr="00351A0F">
        <w:t>a treat-and-extend label, where the treatment interval may be extended based o</w:t>
      </w:r>
      <w:r w:rsidR="004E750A">
        <w:t>n visual and anatomic outcomes.</w:t>
      </w:r>
    </w:p>
    <w:p w:rsidR="00F7558D" w:rsidRPr="00351A0F" w:rsidRDefault="00F7558D" w:rsidP="004E750A">
      <w:r w:rsidRPr="00351A0F">
        <w:t xml:space="preserve">The following recommended dosage </w:t>
      </w:r>
      <w:r w:rsidRPr="00351A0F">
        <w:rPr>
          <w:i/>
        </w:rPr>
        <w:t>regimen</w:t>
      </w:r>
      <w:r w:rsidRPr="00351A0F">
        <w:t xml:space="preserve"> for the treatment of macular oedema following CRVO is proposed i</w:t>
      </w:r>
      <w:r w:rsidR="004E750A">
        <w:t>n the present response package:</w:t>
      </w:r>
    </w:p>
    <w:p w:rsidR="00F7558D" w:rsidRPr="004E0EF5" w:rsidRDefault="00F7558D" w:rsidP="004E0EF5">
      <w:pPr>
        <w:ind w:left="567"/>
        <w:rPr>
          <w:i/>
        </w:rPr>
      </w:pPr>
      <w:r w:rsidRPr="004E0EF5">
        <w:rPr>
          <w:i/>
        </w:rPr>
        <w:t>“EYLEA treatment is performed with one intravitreal injection per mon</w:t>
      </w:r>
      <w:r w:rsidR="004E750A" w:rsidRPr="004E0EF5">
        <w:rPr>
          <w:i/>
        </w:rPr>
        <w:t>th for three consecutive doses.</w:t>
      </w:r>
    </w:p>
    <w:p w:rsidR="00F7558D" w:rsidRPr="004E0EF5" w:rsidRDefault="00F7558D" w:rsidP="004E0EF5">
      <w:pPr>
        <w:ind w:left="567"/>
        <w:rPr>
          <w:i/>
        </w:rPr>
      </w:pPr>
      <w:r w:rsidRPr="004E0EF5">
        <w:rPr>
          <w:i/>
        </w:rPr>
        <w:t>The treatment interval may then be extended beyond one month based on visual and anatomic</w:t>
      </w:r>
      <w:r w:rsidR="001A4E65" w:rsidRPr="004E0EF5">
        <w:rPr>
          <w:i/>
        </w:rPr>
        <w:t xml:space="preserve"> </w:t>
      </w:r>
      <w:r w:rsidRPr="004E0EF5">
        <w:rPr>
          <w:i/>
        </w:rPr>
        <w:t>outcomes.”</w:t>
      </w:r>
    </w:p>
    <w:p w:rsidR="004E750A" w:rsidRDefault="00790FF0" w:rsidP="004E750A">
      <w:pPr>
        <w:rPr>
          <w:lang w:eastAsia="ja-JP"/>
        </w:rPr>
      </w:pPr>
      <w:r>
        <w:rPr>
          <w:lang w:eastAsia="ja-JP"/>
        </w:rPr>
        <w:t>[information redacted]</w:t>
      </w:r>
    </w:p>
    <w:p w:rsidR="00F7558D" w:rsidRPr="009E5AF9" w:rsidRDefault="00F7558D" w:rsidP="004E750A">
      <w:pPr>
        <w:rPr>
          <w:lang w:eastAsia="ja-JP"/>
        </w:rPr>
      </w:pPr>
      <w:r w:rsidRPr="00351A0F">
        <w:t>The potential risk of under</w:t>
      </w:r>
      <w:r w:rsidR="001A4E65">
        <w:t xml:space="preserve"> </w:t>
      </w:r>
      <w:r w:rsidRPr="00351A0F">
        <w:t>treatment is also mitigated as the decision on the extension of the treatment interval depends on the overall visual and anatomic outcomes assessed by the physician. If after the initial three consecutive doses at monthly interval, the physician considers that the patient condition is not adequately stabilised clinically to warrant an extension in the treatment interval, the physician can continue to provide continual treatment to the patient at monthly interval thereafter based on clinical assess</w:t>
      </w:r>
      <w:r w:rsidR="004E750A">
        <w:t>ment at each subsequent visits.</w:t>
      </w:r>
    </w:p>
    <w:p w:rsidR="00F7558D" w:rsidRPr="00351A0F" w:rsidRDefault="00F7558D" w:rsidP="004E750A">
      <w:pPr>
        <w:rPr>
          <w:sz w:val="20"/>
          <w:szCs w:val="20"/>
        </w:rPr>
      </w:pPr>
      <w:r w:rsidRPr="00351A0F">
        <w:t>Following c</w:t>
      </w:r>
      <w:r w:rsidR="001A4E65">
        <w:t>omment from the e</w:t>
      </w:r>
      <w:r w:rsidRPr="00351A0F">
        <w:t xml:space="preserve">valuator on our proposal for a treat-and-extend posology after three initial monthly doses for the treatment of macular oedema following CRVO, an update to the proposed PI </w:t>
      </w:r>
      <w:r w:rsidRPr="001A4E65">
        <w:rPr>
          <w:i/>
        </w:rPr>
        <w:t>Dosage and Administration</w:t>
      </w:r>
      <w:r w:rsidRPr="00351A0F">
        <w:t xml:space="preserve"> will be provided as part of </w:t>
      </w:r>
      <w:r w:rsidR="001A4E65">
        <w:t>the sponsor’s</w:t>
      </w:r>
      <w:r w:rsidRPr="00351A0F">
        <w:t xml:space="preserve"> comments to </w:t>
      </w:r>
      <w:r w:rsidR="001A4E65">
        <w:t>R</w:t>
      </w:r>
      <w:r w:rsidR="004E750A">
        <w:t>ound 2 of CER.</w:t>
      </w:r>
    </w:p>
    <w:p w:rsidR="00F7558D" w:rsidRPr="00561099" w:rsidRDefault="001A4E65" w:rsidP="004E750A">
      <w:pPr>
        <w:pStyle w:val="Heading5"/>
      </w:pPr>
      <w:r w:rsidRPr="00561099">
        <w:t xml:space="preserve">Evaluator’s </w:t>
      </w:r>
      <w:r w:rsidR="004E0EF5">
        <w:t>comment</w:t>
      </w:r>
    </w:p>
    <w:p w:rsidR="004E750A" w:rsidRDefault="00790FF0" w:rsidP="004E750A">
      <w:pPr>
        <w:rPr>
          <w:lang w:eastAsia="ja-JP"/>
        </w:rPr>
      </w:pPr>
      <w:r>
        <w:rPr>
          <w:lang w:eastAsia="ja-JP"/>
        </w:rPr>
        <w:t>[information redacted]</w:t>
      </w:r>
    </w:p>
    <w:p w:rsidR="00F7558D" w:rsidRPr="00561099" w:rsidRDefault="00F7558D" w:rsidP="004E750A">
      <w:r w:rsidRPr="00561099">
        <w:t xml:space="preserve">The revised “treat and extend” dosage regimen has not been tested in a pivotal Phase III study specifically designed to evaluate its efficacy. In the two pivotal Phase III studies submitted by the sponsor (COPERNICUS and GALILEO), the primary efficacy endpoint was the proportion of subjects gaining </w:t>
      </w:r>
      <w:r w:rsidR="00427821">
        <w:t>≥</w:t>
      </w:r>
      <w:r w:rsidRPr="00561099">
        <w:t>15 letters at</w:t>
      </w:r>
      <w:r w:rsidR="00300BDB">
        <w:t xml:space="preserve"> Week 2</w:t>
      </w:r>
      <w:r w:rsidRPr="00561099">
        <w:t>4 following monthly IVT injections of Eylea (2 mg) (</w:t>
      </w:r>
      <w:r w:rsidR="00427821">
        <w:t>that is,</w:t>
      </w:r>
      <w:r w:rsidRPr="00561099">
        <w:t xml:space="preserve"> dosing at </w:t>
      </w:r>
      <w:r w:rsidR="00427821">
        <w:t>W</w:t>
      </w:r>
      <w:r w:rsidRPr="00561099">
        <w:t>eeks 0, 4, 8, 12, 16 and 20). From</w:t>
      </w:r>
      <w:r w:rsidR="00300BDB">
        <w:t xml:space="preserve"> Week 2</w:t>
      </w:r>
      <w:r w:rsidRPr="00561099">
        <w:t>4 to</w:t>
      </w:r>
      <w:r w:rsidR="00300BDB">
        <w:t xml:space="preserve"> Week 5</w:t>
      </w:r>
      <w:r w:rsidRPr="00561099">
        <w:t>2, both studies adopted a PRN approach to re</w:t>
      </w:r>
      <w:r w:rsidR="00427821">
        <w:t xml:space="preserve"> </w:t>
      </w:r>
      <w:r w:rsidRPr="00561099">
        <w:t>treatment with aflibercept based on monthly evaluation and protocol specified re</w:t>
      </w:r>
      <w:r w:rsidR="00427821">
        <w:t xml:space="preserve"> </w:t>
      </w:r>
      <w:r w:rsidRPr="00561099">
        <w:t>treatment criteria, while from</w:t>
      </w:r>
      <w:r w:rsidR="00300BDB">
        <w:t xml:space="preserve"> Week 5</w:t>
      </w:r>
      <w:r w:rsidRPr="00561099">
        <w:t>2 to</w:t>
      </w:r>
      <w:r w:rsidR="00300BDB">
        <w:t xml:space="preserve"> Week 1</w:t>
      </w:r>
      <w:r w:rsidRPr="00561099">
        <w:t xml:space="preserve">00 in COPERNICUS the PRN approach to treatment with aflibercept was continued based on quarterly evaluation and protocol specified </w:t>
      </w:r>
      <w:r w:rsidR="00427821">
        <w:t xml:space="preserve">re </w:t>
      </w:r>
      <w:r w:rsidR="00C84038">
        <w:t>treatment</w:t>
      </w:r>
      <w:r w:rsidRPr="00561099">
        <w:t xml:space="preserve"> criteria and from</w:t>
      </w:r>
      <w:r w:rsidR="00300BDB">
        <w:t xml:space="preserve"> Week 5</w:t>
      </w:r>
      <w:r w:rsidRPr="00561099">
        <w:t xml:space="preserve">2 to 76 in GALILEO and the PRN approach to treatment with aflibercept was continued based on assessment every 8 weeks and protocol specified </w:t>
      </w:r>
      <w:r w:rsidR="00427821">
        <w:t xml:space="preserve">re </w:t>
      </w:r>
      <w:r w:rsidR="00C84038">
        <w:t>treatment</w:t>
      </w:r>
      <w:r w:rsidRPr="00561099">
        <w:t xml:space="preserve"> criteria. The designs of the two pivotal studies are outlined below in Figures </w:t>
      </w:r>
      <w:r w:rsidR="00C83F10">
        <w:t>8</w:t>
      </w:r>
      <w:r w:rsidRPr="00561099">
        <w:t xml:space="preserve"> and </w:t>
      </w:r>
      <w:r w:rsidR="00C83F10">
        <w:t>9</w:t>
      </w:r>
      <w:r w:rsidRPr="00561099">
        <w:t>.</w:t>
      </w:r>
    </w:p>
    <w:p w:rsidR="00F7558D" w:rsidRPr="0057370E" w:rsidRDefault="00F7558D" w:rsidP="004E750A">
      <w:pPr>
        <w:pStyle w:val="FigureTitle"/>
      </w:pPr>
      <w:r>
        <w:t>Figure</w:t>
      </w:r>
      <w:r w:rsidR="00C83F10">
        <w:t xml:space="preserve"> 8</w:t>
      </w:r>
      <w:r>
        <w:t xml:space="preserve">: </w:t>
      </w:r>
      <w:r w:rsidRPr="00070D82">
        <w:t>Copernicus – S</w:t>
      </w:r>
      <w:r w:rsidR="004E750A">
        <w:t>tudy design.</w:t>
      </w:r>
    </w:p>
    <w:p w:rsidR="00F7558D" w:rsidRDefault="00F7558D" w:rsidP="004E0EF5">
      <w:r>
        <w:rPr>
          <w:noProof/>
          <w:lang w:eastAsia="en-AU"/>
        </w:rPr>
        <w:drawing>
          <wp:inline distT="0" distB="0" distL="0" distR="0" wp14:anchorId="32F296BE" wp14:editId="1F8DD476">
            <wp:extent cx="3751200" cy="1753705"/>
            <wp:effectExtent l="0" t="0" r="1905" b="0"/>
            <wp:docPr id="83" name="Picture 2" descr="Figure 8: Copernicus – Study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757748" cy="1756766"/>
                    </a:xfrm>
                    <a:prstGeom prst="rect">
                      <a:avLst/>
                    </a:prstGeom>
                    <a:noFill/>
                    <a:ln w="9525">
                      <a:noFill/>
                      <a:miter lim="800000"/>
                      <a:headEnd/>
                      <a:tailEnd/>
                    </a:ln>
                  </pic:spPr>
                </pic:pic>
              </a:graphicData>
            </a:graphic>
          </wp:inline>
        </w:drawing>
      </w:r>
    </w:p>
    <w:p w:rsidR="00F7558D" w:rsidRDefault="00F7558D" w:rsidP="004E750A">
      <w:pPr>
        <w:pStyle w:val="FigureTitle"/>
      </w:pPr>
      <w:r>
        <w:t xml:space="preserve">Figure </w:t>
      </w:r>
      <w:r w:rsidR="00C83F10">
        <w:t>9</w:t>
      </w:r>
      <w:r w:rsidR="004E750A">
        <w:t>: GALILEO – Study design</w:t>
      </w:r>
    </w:p>
    <w:p w:rsidR="00F7558D" w:rsidRPr="00BC13D9" w:rsidRDefault="00F7558D" w:rsidP="004E0EF5">
      <w:r>
        <w:rPr>
          <w:noProof/>
          <w:lang w:eastAsia="en-AU"/>
        </w:rPr>
        <w:drawing>
          <wp:inline distT="0" distB="0" distL="0" distR="0" wp14:anchorId="1F1C79C0" wp14:editId="22778E26">
            <wp:extent cx="4097696" cy="1872000"/>
            <wp:effectExtent l="0" t="0" r="0" b="0"/>
            <wp:docPr id="84" name="Picture 3" descr="Figure 9: GALILEO – Study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101144" cy="1873575"/>
                    </a:xfrm>
                    <a:prstGeom prst="rect">
                      <a:avLst/>
                    </a:prstGeom>
                    <a:noFill/>
                    <a:ln w="9525">
                      <a:noFill/>
                      <a:miter lim="800000"/>
                      <a:headEnd/>
                      <a:tailEnd/>
                    </a:ln>
                  </pic:spPr>
                </pic:pic>
              </a:graphicData>
            </a:graphic>
          </wp:inline>
        </w:drawing>
      </w:r>
    </w:p>
    <w:p w:rsidR="00F7558D" w:rsidRPr="00561099" w:rsidRDefault="00F7558D" w:rsidP="004E750A">
      <w:pPr>
        <w:rPr>
          <w:lang w:eastAsia="ja-JP"/>
        </w:rPr>
      </w:pPr>
      <w:r w:rsidRPr="00561099">
        <w:t>The initial assessment of the two pivotal studies suggested that treatment should be initiated with 6 injections administered at monthly intervals. However, the optimal dosing regimen from</w:t>
      </w:r>
      <w:r w:rsidR="00300BDB">
        <w:t xml:space="preserve"> Week 2</w:t>
      </w:r>
      <w:r w:rsidRPr="00561099">
        <w:t>4 onwards was unclear with the options being: (i) a reactive PRN regimen with assessment at monthly intervals from</w:t>
      </w:r>
      <w:r w:rsidR="00300BDB">
        <w:t xml:space="preserve"> Week 2</w:t>
      </w:r>
      <w:r w:rsidRPr="00561099">
        <w:t>4 to</w:t>
      </w:r>
      <w:r w:rsidR="00300BDB">
        <w:t xml:space="preserve"> Week 5</w:t>
      </w:r>
      <w:r w:rsidRPr="00561099">
        <w:t>2 and at two to three monthly intervals from</w:t>
      </w:r>
      <w:r w:rsidR="00300BDB">
        <w:t xml:space="preserve"> Week 5</w:t>
      </w:r>
      <w:r w:rsidRPr="00561099">
        <w:t xml:space="preserve">2 with </w:t>
      </w:r>
      <w:r w:rsidR="00427821">
        <w:t xml:space="preserve">re </w:t>
      </w:r>
      <w:r w:rsidR="00C84038">
        <w:t>treatment</w:t>
      </w:r>
      <w:r w:rsidRPr="00561099">
        <w:t xml:space="preserve"> at each assessment time point being according to specified re</w:t>
      </w:r>
      <w:r w:rsidR="00427821">
        <w:t xml:space="preserve"> </w:t>
      </w:r>
      <w:r w:rsidRPr="00561099">
        <w:t xml:space="preserve">treatment criteria consistent with those in the pivotal studies; (ii) a proactive regimen with monthly injections; or (iii) a proactive regimen with injection every two months. </w:t>
      </w:r>
      <w:r w:rsidR="00EC0261">
        <w:rPr>
          <w:lang w:eastAsia="ja-JP"/>
        </w:rPr>
        <w:t>[information redacted]</w:t>
      </w:r>
      <w:r w:rsidRPr="00561099">
        <w:t>“</w:t>
      </w:r>
      <w:r w:rsidR="00EC0261">
        <w:rPr>
          <w:i/>
        </w:rPr>
        <w:t>P</w:t>
      </w:r>
      <w:r w:rsidRPr="00427821">
        <w:rPr>
          <w:i/>
        </w:rPr>
        <w:t>otential risk of under-treatment might become more severe when controlled study conditions are exchanged for real-life situations in clinical practice, leading to destabilization of disease condition</w:t>
      </w:r>
      <w:r w:rsidRPr="00561099">
        <w:t xml:space="preserve">”. The sponsor’s discussed its concern about under-treatment with a PRN regimen and the </w:t>
      </w:r>
      <w:r w:rsidR="00427821">
        <w:t>potential for disease destabilis</w:t>
      </w:r>
      <w:r w:rsidRPr="00561099">
        <w:t>ation with such a regimen in the original submission (</w:t>
      </w:r>
      <w:r w:rsidRPr="00427821">
        <w:rPr>
          <w:i/>
        </w:rPr>
        <w:t>Justification for Recommended Posology</w:t>
      </w:r>
      <w:r w:rsidRPr="00561099">
        <w:t>). The sponsor’s concerns about the PRN regimen was one of the main reasons for the sponsor initially proposing a fixed-dose regimen of aflibercept (2 mg) every two months to follow the initial fixed-dose regimen of aflibercept (2 mg) every month for six injections. The other main reason stated by the sponsor in the original submission for the fixed-dose regimen from month 24 was that a PRN regimen “</w:t>
      </w:r>
      <w:r w:rsidRPr="00427821">
        <w:rPr>
          <w:i/>
        </w:rPr>
        <w:t>appeared no more efficacious or safe than the consistent proactive dosing used in the first 6 months of the [pivotal] studies</w:t>
      </w:r>
      <w:r w:rsidRPr="00561099">
        <w:t>”.</w:t>
      </w:r>
    </w:p>
    <w:p w:rsidR="009E5AF9" w:rsidRDefault="00F7558D" w:rsidP="004E750A">
      <w:pPr>
        <w:rPr>
          <w:lang w:eastAsia="ja-JP"/>
        </w:rPr>
      </w:pPr>
      <w:r w:rsidRPr="00561099">
        <w:t>In the revised treatment regimen, following the initial regimen of 1 injection each month for three months for all patients, the spon</w:t>
      </w:r>
      <w:r w:rsidR="00427821">
        <w:t>sor has proposed an individualis</w:t>
      </w:r>
      <w:r w:rsidRPr="00561099">
        <w:t>ed PRN regimen based on variable time</w:t>
      </w:r>
      <w:r w:rsidR="00427821">
        <w:t xml:space="preserve"> </w:t>
      </w:r>
      <w:r w:rsidRPr="00561099">
        <w:t>periods for assessment and re</w:t>
      </w:r>
      <w:r w:rsidR="00427821">
        <w:t xml:space="preserve"> </w:t>
      </w:r>
      <w:r w:rsidRPr="00561099">
        <w:t xml:space="preserve">treatment. However, it is unclear how the revised PRN regimen addresses the sponsor’s concerns regarding PRN treatment expressed in the initial submission. </w:t>
      </w:r>
      <w:r>
        <w:t>T</w:t>
      </w:r>
      <w:r w:rsidRPr="00561099">
        <w:t>he minimum time</w:t>
      </w:r>
      <w:r w:rsidR="00427821">
        <w:t xml:space="preserve"> </w:t>
      </w:r>
      <w:r w:rsidRPr="00561099">
        <w:t xml:space="preserve">interval between </w:t>
      </w:r>
      <w:r>
        <w:t>assessments and potential re</w:t>
      </w:r>
      <w:r w:rsidR="00427821">
        <w:t xml:space="preserve"> </w:t>
      </w:r>
      <w:r>
        <w:t xml:space="preserve">treatments </w:t>
      </w:r>
      <w:r w:rsidRPr="00561099">
        <w:t>in the PRN phase</w:t>
      </w:r>
      <w:r>
        <w:t xml:space="preserve"> appears to be one month and can be increased based on visual and anatomic outcomes. </w:t>
      </w:r>
      <w:r w:rsidRPr="00561099">
        <w:t>The sponsor postulates that the disease will be treated proactively at most visits</w:t>
      </w:r>
      <w:r w:rsidR="00427821">
        <w:t xml:space="preserve"> </w:t>
      </w:r>
      <w:r w:rsidRPr="00561099">
        <w:t>”with the “</w:t>
      </w:r>
      <w:r w:rsidRPr="00427821">
        <w:rPr>
          <w:i/>
        </w:rPr>
        <w:t>treat and extend paradigm</w:t>
      </w:r>
      <w:r w:rsidRPr="00561099">
        <w:t>”</w:t>
      </w:r>
      <w:r w:rsidR="00EC0261">
        <w:t>.</w:t>
      </w:r>
      <w:r w:rsidR="00EC0261" w:rsidRPr="00EC0261">
        <w:rPr>
          <w:lang w:eastAsia="ja-JP"/>
        </w:rPr>
        <w:t xml:space="preserve"> </w:t>
      </w:r>
      <w:r w:rsidR="00EC0261">
        <w:rPr>
          <w:lang w:eastAsia="ja-JP"/>
        </w:rPr>
        <w:t>[information redacted]</w:t>
      </w:r>
      <w:r w:rsidR="004E750A">
        <w:rPr>
          <w:lang w:eastAsia="ja-JP"/>
        </w:rPr>
        <w:t>.</w:t>
      </w:r>
    </w:p>
    <w:p w:rsidR="00C618F7" w:rsidRPr="00586F98" w:rsidRDefault="00F7558D" w:rsidP="004E750A">
      <w:pPr>
        <w:rPr>
          <w:lang w:eastAsia="ja-JP"/>
        </w:rPr>
      </w:pPr>
      <w:r w:rsidRPr="00D21EB1">
        <w:t xml:space="preserve">Overall, it is considered that introducing a markedly revised treatment regimen at this stage of the evaluation process raises uncertainty about the optimal dosing regimen for the proposed </w:t>
      </w:r>
      <w:r w:rsidRPr="00EC0261">
        <w:t>indication</w:t>
      </w:r>
      <w:r w:rsidRPr="009E5AF9">
        <w:t>.</w:t>
      </w:r>
      <w:r w:rsidR="00EC0261" w:rsidRPr="009E5AF9">
        <w:t xml:space="preserve"> </w:t>
      </w:r>
      <w:r w:rsidR="00EC0261" w:rsidRPr="00EC0261">
        <w:rPr>
          <w:lang w:eastAsia="ja-JP"/>
        </w:rPr>
        <w:t>[information redacted]</w:t>
      </w:r>
      <w:r w:rsidRPr="009E5AF9">
        <w:t xml:space="preserve"> </w:t>
      </w:r>
      <w:r w:rsidR="007D5BF7" w:rsidRPr="00EC0261">
        <w:t>J</w:t>
      </w:r>
      <w:r w:rsidRPr="00EC0261">
        <w:t>ustification</w:t>
      </w:r>
      <w:r w:rsidRPr="00D21EB1">
        <w:t xml:space="preserve"> should take the form of the detailed and comprehensive “</w:t>
      </w:r>
      <w:r w:rsidRPr="00427821">
        <w:rPr>
          <w:i/>
        </w:rPr>
        <w:t>Justification for the Recommended Posology</w:t>
      </w:r>
      <w:r w:rsidRPr="00D21EB1">
        <w:t xml:space="preserve">” document included in the original submission. The justification </w:t>
      </w:r>
      <w:r w:rsidRPr="00EC0261">
        <w:t xml:space="preserve">should </w:t>
      </w:r>
      <w:r w:rsidRPr="00D21EB1">
        <w:t>co</w:t>
      </w:r>
      <w:r w:rsidR="00427821">
        <w:t>mprehensively compare and analys</w:t>
      </w:r>
      <w:r w:rsidRPr="00D21EB1">
        <w:t>e the primary and secondary efficacy outcomes at</w:t>
      </w:r>
      <w:r w:rsidR="00300BDB">
        <w:t xml:space="preserve"> Week 1</w:t>
      </w:r>
      <w:r w:rsidRPr="00D21EB1">
        <w:t>2 (</w:t>
      </w:r>
      <w:r w:rsidR="00427821">
        <w:t>that is,</w:t>
      </w:r>
      <w:r w:rsidRPr="00D21EB1">
        <w:t xml:space="preserve"> afte</w:t>
      </w:r>
      <w:r w:rsidR="00427821">
        <w:t>r the first 3 injections at W</w:t>
      </w:r>
      <w:r w:rsidRPr="00D21EB1">
        <w:t>eeks 0, 4 and 8) and</w:t>
      </w:r>
      <w:r w:rsidR="00300BDB">
        <w:t xml:space="preserve"> Week 2</w:t>
      </w:r>
      <w:r w:rsidRPr="00D21EB1">
        <w:t>4 (</w:t>
      </w:r>
      <w:r w:rsidR="00427821">
        <w:t>that is,</w:t>
      </w:r>
      <w:r w:rsidRPr="00D21EB1">
        <w:t xml:space="preserve"> a</w:t>
      </w:r>
      <w:r w:rsidR="00427821">
        <w:t>fter the first 6 injections at W</w:t>
      </w:r>
      <w:r w:rsidRPr="00D21EB1">
        <w:t xml:space="preserve">eeks 0, 4, 8, 12, 16 and 20) separately in both pivotal studies and in an integrated analysis of both studies. In addition, the justification should also examine the primary and key secondary endpoints using the methodology described in the </w:t>
      </w:r>
      <w:r w:rsidR="00427821">
        <w:t>sponsor’s</w:t>
      </w:r>
      <w:r w:rsidRPr="00D21EB1">
        <w:t xml:space="preserve"> </w:t>
      </w:r>
      <w:r w:rsidR="00427821">
        <w:t>r</w:t>
      </w:r>
      <w:r w:rsidRPr="00D21EB1">
        <w:t>esponse to compare outcomes in the fixed-dosing phase with th</w:t>
      </w:r>
      <w:r>
        <w:t>e reactive-</w:t>
      </w:r>
      <w:r w:rsidRPr="00D21EB1">
        <w:t>dosing phase separately for each pivotal Phase III study and in the integrated database of both studies.</w:t>
      </w:r>
    </w:p>
    <w:p w:rsidR="00C618F7" w:rsidRDefault="00C618F7" w:rsidP="0093561D">
      <w:pPr>
        <w:pStyle w:val="Heading2"/>
      </w:pPr>
      <w:bookmarkStart w:id="231" w:name="_Toc396651377"/>
      <w:r>
        <w:t>Second round recommendation regarding authorisation</w:t>
      </w:r>
      <w:bookmarkEnd w:id="231"/>
    </w:p>
    <w:p w:rsidR="00F7558D" w:rsidRDefault="00F7558D" w:rsidP="0093561D">
      <w:r>
        <w:t>The sponsor’s proposal to revise the initially proposed dosage regimen gives rise to significant uncertainty relating to the optimal dosing regimen for aflibercept for the proposed indication. In particular, the sponsor has expressed concerns about the potential of the dosage regimen it initially proposed to potentially over</w:t>
      </w:r>
      <w:r w:rsidR="00427821">
        <w:t xml:space="preserve"> </w:t>
      </w:r>
      <w:r>
        <w:t>tre</w:t>
      </w:r>
      <w:r w:rsidR="0093561D">
        <w:t>at or undertreat the condition.</w:t>
      </w:r>
    </w:p>
    <w:p w:rsidR="00F7558D" w:rsidRDefault="00F7558D" w:rsidP="0093561D">
      <w:r>
        <w:t>The dosage regimen recommended by the clinical evaluator is provided immediately below and is consistent with the regimens tested in the</w:t>
      </w:r>
      <w:r w:rsidR="0093561D">
        <w:t xml:space="preserve"> two pivotal Phase III studies:</w:t>
      </w:r>
    </w:p>
    <w:p w:rsidR="00F7558D" w:rsidRPr="0093561D" w:rsidRDefault="00F7558D" w:rsidP="0093561D">
      <w:pPr>
        <w:pStyle w:val="ListBullet"/>
      </w:pPr>
      <w:r w:rsidRPr="0093561D">
        <w:t>an initial fixed-dose regimen of one injection a month for six months (</w:t>
      </w:r>
      <w:r w:rsidR="00427821" w:rsidRPr="0093561D">
        <w:t>that is,</w:t>
      </w:r>
      <w:r w:rsidRPr="0093561D">
        <w:t xml:space="preserve"> a total of 6 injections</w:t>
      </w:r>
      <w:r w:rsidR="0093561D">
        <w:t>);</w:t>
      </w:r>
    </w:p>
    <w:p w:rsidR="00F7558D" w:rsidRPr="0093561D" w:rsidRDefault="00F7558D" w:rsidP="0093561D">
      <w:pPr>
        <w:pStyle w:val="ListBullet"/>
      </w:pPr>
      <w:r w:rsidRPr="0093561D">
        <w:t xml:space="preserve">followed by a PRN once monthly </w:t>
      </w:r>
      <w:r w:rsidR="00427821" w:rsidRPr="0093561D">
        <w:t>re treatment</w:t>
      </w:r>
      <w:r w:rsidRPr="0093561D">
        <w:t xml:space="preserve"> regimen from</w:t>
      </w:r>
      <w:r w:rsidR="00300BDB" w:rsidRPr="0093561D">
        <w:t xml:space="preserve"> Week 2</w:t>
      </w:r>
      <w:r w:rsidRPr="0093561D">
        <w:t>4 to</w:t>
      </w:r>
      <w:r w:rsidR="00300BDB" w:rsidRPr="0093561D">
        <w:t xml:space="preserve"> Week 5</w:t>
      </w:r>
      <w:r w:rsidRPr="0093561D">
        <w:t>2 based on re-treatment criteria consistent with those in the pivotal studies (</w:t>
      </w:r>
      <w:r w:rsidR="00427821" w:rsidRPr="0093561D">
        <w:t>that is,</w:t>
      </w:r>
      <w:r w:rsidRPr="0093561D">
        <w:t xml:space="preserve"> regular assessment at monthly</w:t>
      </w:r>
      <w:r w:rsidR="00427821" w:rsidRPr="0093561D">
        <w:t xml:space="preserve"> </w:t>
      </w:r>
      <w:r w:rsidRPr="0093561D">
        <w:t>intervals);</w:t>
      </w:r>
    </w:p>
    <w:p w:rsidR="00F7558D" w:rsidRPr="0093561D" w:rsidRDefault="00427821" w:rsidP="0093561D">
      <w:pPr>
        <w:pStyle w:val="ListBullet"/>
      </w:pPr>
      <w:r w:rsidRPr="0093561D">
        <w:t>f</w:t>
      </w:r>
      <w:r w:rsidR="00F7558D" w:rsidRPr="0093561D">
        <w:t>ollowed by a PRN once every two or three months regimen from</w:t>
      </w:r>
      <w:r w:rsidR="00300BDB" w:rsidRPr="0093561D">
        <w:t xml:space="preserve"> Week 5</w:t>
      </w:r>
      <w:r w:rsidR="00F7558D" w:rsidRPr="0093561D">
        <w:t>2 onwards based on re</w:t>
      </w:r>
      <w:r w:rsidRPr="0093561D">
        <w:t xml:space="preserve"> </w:t>
      </w:r>
      <w:r w:rsidR="00F7558D" w:rsidRPr="0093561D">
        <w:t>treatment criteria consistent with those in the pivotal studies (</w:t>
      </w:r>
      <w:r w:rsidRPr="0093561D">
        <w:t>that is,</w:t>
      </w:r>
      <w:r w:rsidR="00F7558D" w:rsidRPr="0093561D">
        <w:t xml:space="preserve"> regular assessment at two to three month intervals).</w:t>
      </w:r>
    </w:p>
    <w:p w:rsidR="00F7558D" w:rsidRDefault="00F7558D" w:rsidP="0093561D">
      <w:r>
        <w:t xml:space="preserve">However, the data in sponsor’s </w:t>
      </w:r>
      <w:r w:rsidR="00427821">
        <w:t>r</w:t>
      </w:r>
      <w:r>
        <w:t xml:space="preserve">esponse to </w:t>
      </w:r>
      <w:r w:rsidRPr="00427821">
        <w:rPr>
          <w:i/>
        </w:rPr>
        <w:t>Dosing Regimen Question</w:t>
      </w:r>
      <w:r>
        <w:t xml:space="preserve"> </w:t>
      </w:r>
      <w:r w:rsidR="007535DD">
        <w:rPr>
          <w:i/>
        </w:rPr>
        <w:t>f</w:t>
      </w:r>
      <w:r>
        <w:t xml:space="preserve"> (see above) suggests that the clinical evaluator’s recommended treatment re</w:t>
      </w:r>
      <w:r w:rsidR="00427821">
        <w:t xml:space="preserve">gimen has the potential to over </w:t>
      </w:r>
      <w:r>
        <w:t>treat in the initial fixed</w:t>
      </w:r>
      <w:r w:rsidR="00427821">
        <w:t xml:space="preserve"> </w:t>
      </w:r>
      <w:r>
        <w:t>dose phase and under</w:t>
      </w:r>
      <w:r w:rsidR="00427821">
        <w:t xml:space="preserve"> </w:t>
      </w:r>
      <w:r>
        <w:t>treat in the subsequen</w:t>
      </w:r>
      <w:r w:rsidR="0093561D">
        <w:t>t reactive PRN treatment phase.</w:t>
      </w:r>
    </w:p>
    <w:p w:rsidR="00F7558D" w:rsidRDefault="00F7558D" w:rsidP="0093561D">
      <w:r>
        <w:t>In the absence of a comprehensive review of the efficacy data comparing and analy</w:t>
      </w:r>
      <w:r w:rsidR="00427821">
        <w:t>s</w:t>
      </w:r>
      <w:r>
        <w:t>ing initial 3 and 6 injection fixed-dose monthly injection regimens, and outcome data comparing the initial fixed-dose regimen (</w:t>
      </w:r>
      <w:r w:rsidR="00D02A01">
        <w:t>Week 0</w:t>
      </w:r>
      <w:r w:rsidR="00427821">
        <w:t xml:space="preserve"> to </w:t>
      </w:r>
      <w:r>
        <w:t>24) with the subsequent reactive regimen (</w:t>
      </w:r>
      <w:r w:rsidR="00427821">
        <w:t>W</w:t>
      </w:r>
      <w:r>
        <w:t>eek 24 through to study end), it is not possible to make a meaningful benefit-risk assessment of</w:t>
      </w:r>
      <w:r w:rsidR="0093561D">
        <w:t xml:space="preserve"> the revised treatment regimen.</w:t>
      </w:r>
    </w:p>
    <w:p w:rsidR="00C618F7" w:rsidRPr="00586F98" w:rsidRDefault="00F7558D" w:rsidP="0093561D">
      <w:pPr>
        <w:rPr>
          <w:lang w:eastAsia="ja-JP"/>
        </w:rPr>
      </w:pPr>
      <w:r w:rsidRPr="009E5AF9">
        <w:t xml:space="preserve">Consequently, it is recommended that the submission to extend the indication of aflibercept for the treatment of macular oedema following central retinal vein obstruction be </w:t>
      </w:r>
      <w:r w:rsidR="00427821" w:rsidRPr="009E5AF9">
        <w:rPr>
          <w:b/>
        </w:rPr>
        <w:t xml:space="preserve">rejected </w:t>
      </w:r>
      <w:r w:rsidRPr="009E5AF9">
        <w:t>on the grounds of inadequate demonstration of the efficacy of the proposed revised “</w:t>
      </w:r>
      <w:r w:rsidRPr="009E5AF9">
        <w:rPr>
          <w:i/>
        </w:rPr>
        <w:t>treat and extend</w:t>
      </w:r>
      <w:r w:rsidRPr="009E5AF9">
        <w:t>” regimen. The provided</w:t>
      </w:r>
      <w:r>
        <w:t xml:space="preserve"> data relating to BCVA </w:t>
      </w:r>
      <w:r w:rsidR="00427821">
        <w:t>≥</w:t>
      </w:r>
      <w:r>
        <w:t xml:space="preserve"> 15 letters suggests that the proposed revised “</w:t>
      </w:r>
      <w:r w:rsidRPr="00427821">
        <w:rPr>
          <w:i/>
        </w:rPr>
        <w:t>treat and extend</w:t>
      </w:r>
      <w:r>
        <w:t>” regimen might reduce the risk of over</w:t>
      </w:r>
      <w:r w:rsidR="00427821">
        <w:t xml:space="preserve"> </w:t>
      </w:r>
      <w:r>
        <w:t>treatment in the initial fixed</w:t>
      </w:r>
      <w:r w:rsidR="00427821">
        <w:t xml:space="preserve"> </w:t>
      </w:r>
      <w:r>
        <w:t>dose phase and potentially reduce the risk of under or over treatment in the subsequent reactive PRN phase compared with the sponsor’s initially proposed treatment regimen. However, adequate confirmatory data satisfactorily establishing the efficacy of the proposed revised regimen compared with the initially proposed regimen is required.</w:t>
      </w:r>
    </w:p>
    <w:bookmarkEnd w:id="2"/>
    <w:bookmarkEnd w:id="1"/>
    <w:bookmarkEnd w:id="3"/>
    <w:p w:rsidR="003D1E62" w:rsidRPr="001D043B" w:rsidRDefault="008E7846" w:rsidP="002666AC">
      <w:pPr>
        <w:sectPr w:rsidR="003D1E62" w:rsidRPr="001D043B" w:rsidSect="008D770F">
          <w:headerReference w:type="even" r:id="rId54"/>
          <w:headerReference w:type="default" r:id="rId55"/>
          <w:footerReference w:type="default" r:id="rId56"/>
          <w:headerReference w:type="first" r:id="rId57"/>
          <w:footerReference w:type="first" r:id="rId58"/>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0526AB">
        <w:trPr>
          <w:trHeight w:hRule="exact" w:val="564"/>
        </w:trPr>
        <w:tc>
          <w:tcPr>
            <w:tcW w:w="9175" w:type="dxa"/>
          </w:tcPr>
          <w:p w:rsidR="00B3567E" w:rsidRPr="00487162" w:rsidRDefault="00B3567E" w:rsidP="000526AB">
            <w:pPr>
              <w:pStyle w:val="TGASignoff"/>
            </w:pPr>
            <w:r w:rsidRPr="00487162">
              <w:t>Therapeutic Goods Administration</w:t>
            </w:r>
          </w:p>
        </w:tc>
      </w:tr>
      <w:tr w:rsidR="00B3567E" w:rsidRPr="00487162" w:rsidTr="000526AB">
        <w:trPr>
          <w:trHeight w:val="1221"/>
        </w:trPr>
        <w:tc>
          <w:tcPr>
            <w:tcW w:w="9175" w:type="dxa"/>
            <w:tcMar>
              <w:top w:w="28" w:type="dxa"/>
            </w:tcMar>
          </w:tcPr>
          <w:p w:rsidR="00B3567E" w:rsidRPr="00487162" w:rsidRDefault="00B3567E" w:rsidP="000526AB">
            <w:pPr>
              <w:pStyle w:val="Address"/>
            </w:pPr>
            <w:r w:rsidRPr="00487162">
              <w:t>PO Box 100 Woden ACT 2606 Australia</w:t>
            </w:r>
          </w:p>
          <w:p w:rsidR="00B3567E" w:rsidRPr="00487162" w:rsidRDefault="00B3567E" w:rsidP="000526AB">
            <w:pPr>
              <w:pStyle w:val="Address"/>
            </w:pPr>
            <w:r w:rsidRPr="00487162">
              <w:t xml:space="preserve">Email: </w:t>
            </w:r>
            <w:hyperlink r:id="rId59" w:history="1">
              <w:r w:rsidRPr="008D770F">
                <w:rPr>
                  <w:rStyle w:val="Hyperlink"/>
                </w:rPr>
                <w:t>info@tga.gov.au</w:t>
              </w:r>
            </w:hyperlink>
            <w:r w:rsidR="00301349">
              <w:t xml:space="preserve"> </w:t>
            </w:r>
            <w:r w:rsidRPr="00487162">
              <w:t>Phone: 1800 020 653</w:t>
            </w:r>
            <w:r w:rsidR="00301349">
              <w:t xml:space="preserve"> </w:t>
            </w:r>
            <w:r w:rsidRPr="00487162">
              <w:t>Fax: 02 6232 8605</w:t>
            </w:r>
          </w:p>
          <w:p w:rsidR="00B3567E" w:rsidRPr="008D770F" w:rsidRDefault="00B4120F" w:rsidP="000526AB">
            <w:pPr>
              <w:pStyle w:val="Address"/>
              <w:spacing w:line="260" w:lineRule="atLeast"/>
              <w:rPr>
                <w:b/>
                <w:color w:val="0000FF"/>
                <w:u w:val="single"/>
              </w:rPr>
            </w:pPr>
            <w:hyperlink r:id="rId60"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61"/>
      <w:headerReference w:type="default" r:id="rId62"/>
      <w:footerReference w:type="default" r:id="rId63"/>
      <w:headerReference w:type="first" r:id="rId64"/>
      <w:footerReference w:type="first" r:id="rId6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20F" w:rsidRDefault="00B4120F" w:rsidP="00C40A36">
      <w:pPr>
        <w:spacing w:after="0"/>
      </w:pPr>
      <w:r>
        <w:separator/>
      </w:r>
    </w:p>
  </w:endnote>
  <w:endnote w:type="continuationSeparator" w:id="0">
    <w:p w:rsidR="00B4120F" w:rsidRDefault="00B4120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BE349B" w:rsidRPr="00487162" w:rsidTr="0053625B">
      <w:trPr>
        <w:trHeight w:val="269"/>
      </w:trPr>
      <w:tc>
        <w:tcPr>
          <w:tcW w:w="7938" w:type="dxa"/>
          <w:tcMar>
            <w:top w:w="142" w:type="dxa"/>
            <w:bottom w:w="0" w:type="dxa"/>
          </w:tcMar>
        </w:tcPr>
        <w:p w:rsidR="00BE349B" w:rsidRPr="00487162" w:rsidRDefault="00BE349B" w:rsidP="005B6DC7">
          <w:pPr>
            <w:pStyle w:val="Footer"/>
          </w:pPr>
          <w:r>
            <w:t>Submission</w:t>
          </w:r>
          <w:r w:rsidRPr="00487162">
            <w:t xml:space="preserve"> PM-20</w:t>
          </w:r>
          <w:r>
            <w:t>12</w:t>
          </w:r>
          <w:r w:rsidRPr="00487162">
            <w:t>-</w:t>
          </w:r>
          <w:r>
            <w:t>03146</w:t>
          </w:r>
          <w:r w:rsidRPr="00487162">
            <w:t>-</w:t>
          </w:r>
          <w:r>
            <w:t>3</w:t>
          </w:r>
          <w:r w:rsidRPr="00487162">
            <w:t>-</w:t>
          </w:r>
          <w:r>
            <w:t>5 Extract from the Clinical Evaluation Report for Eylea</w:t>
          </w:r>
        </w:p>
      </w:tc>
      <w:tc>
        <w:tcPr>
          <w:tcW w:w="923" w:type="dxa"/>
          <w:tcMar>
            <w:top w:w="142" w:type="dxa"/>
            <w:bottom w:w="0" w:type="dxa"/>
          </w:tcMar>
        </w:tcPr>
        <w:p w:rsidR="00BE349B" w:rsidRPr="00487162" w:rsidRDefault="00BE349B" w:rsidP="00D855D4">
          <w:pPr>
            <w:pStyle w:val="Footer"/>
            <w:jc w:val="right"/>
          </w:pPr>
          <w:r w:rsidRPr="00487162">
            <w:t xml:space="preserve">Page </w:t>
          </w:r>
          <w:r>
            <w:t>2</w:t>
          </w:r>
          <w:r w:rsidRPr="00487162">
            <w:t xml:space="preserve"> of </w:t>
          </w:r>
          <w:fldSimple w:instr=" NUMPAGES  \* Arabic ">
            <w:r w:rsidR="003C7DDE">
              <w:rPr>
                <w:noProof/>
              </w:rPr>
              <w:t>4</w:t>
            </w:r>
          </w:fldSimple>
        </w:p>
      </w:tc>
    </w:tr>
  </w:tbl>
  <w:p w:rsidR="00BE349B" w:rsidRDefault="00BE349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BE349B" w:rsidRPr="00487162" w:rsidTr="00586F98">
      <w:trPr>
        <w:trHeight w:val="269"/>
      </w:trPr>
      <w:tc>
        <w:tcPr>
          <w:tcW w:w="7655" w:type="dxa"/>
          <w:tcMar>
            <w:top w:w="142" w:type="dxa"/>
            <w:bottom w:w="0" w:type="dxa"/>
          </w:tcMar>
        </w:tcPr>
        <w:p w:rsidR="00BE349B" w:rsidRPr="00487162" w:rsidRDefault="00BE349B" w:rsidP="008A5259">
          <w:pPr>
            <w:pStyle w:val="Footer"/>
          </w:pPr>
          <w:r>
            <w:t>Submission</w:t>
          </w:r>
          <w:r w:rsidRPr="00487162">
            <w:t xml:space="preserve"> PM-20</w:t>
          </w:r>
          <w:r>
            <w:t>12</w:t>
          </w:r>
          <w:r w:rsidRPr="00487162">
            <w:t>-</w:t>
          </w:r>
          <w:r>
            <w:t>03146</w:t>
          </w:r>
          <w:r w:rsidRPr="00487162">
            <w:t>-</w:t>
          </w:r>
          <w:r>
            <w:t>3</w:t>
          </w:r>
          <w:r w:rsidRPr="00487162">
            <w:t>-</w:t>
          </w:r>
          <w:r>
            <w:t>5 Extract from the Clinical Evaluation Report for Eylea</w:t>
          </w:r>
        </w:p>
      </w:tc>
      <w:tc>
        <w:tcPr>
          <w:tcW w:w="1206" w:type="dxa"/>
          <w:tcMar>
            <w:top w:w="142" w:type="dxa"/>
            <w:bottom w:w="0" w:type="dxa"/>
          </w:tcMar>
        </w:tcPr>
        <w:p w:rsidR="00BE349B" w:rsidRPr="00487162" w:rsidRDefault="00BE349B" w:rsidP="00E45619">
          <w:pPr>
            <w:pStyle w:val="Footer"/>
            <w:jc w:val="right"/>
          </w:pPr>
          <w:r w:rsidRPr="00487162">
            <w:t xml:space="preserve">Page </w:t>
          </w:r>
          <w:r>
            <w:fldChar w:fldCharType="begin"/>
          </w:r>
          <w:r>
            <w:instrText>PAGE</w:instrText>
          </w:r>
          <w:r>
            <w:fldChar w:fldCharType="separate"/>
          </w:r>
          <w:r w:rsidR="003C7DDE">
            <w:rPr>
              <w:noProof/>
            </w:rPr>
            <w:t>87</w:t>
          </w:r>
          <w:r>
            <w:rPr>
              <w:noProof/>
            </w:rPr>
            <w:fldChar w:fldCharType="end"/>
          </w:r>
          <w:r w:rsidRPr="00487162">
            <w:t xml:space="preserve"> of </w:t>
          </w:r>
          <w:fldSimple w:instr=" NUMPAGES  \* Arabic ">
            <w:r w:rsidR="003C7DDE">
              <w:rPr>
                <w:noProof/>
              </w:rPr>
              <w:t>87</w:t>
            </w:r>
          </w:fldSimple>
        </w:p>
      </w:tc>
    </w:tr>
  </w:tbl>
  <w:p w:rsidR="00BE349B" w:rsidRDefault="00BE349B"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E349B" w:rsidRPr="00487162" w:rsidTr="00E45619">
      <w:trPr>
        <w:trHeight w:val="269"/>
      </w:trPr>
      <w:tc>
        <w:tcPr>
          <w:tcW w:w="4519" w:type="dxa"/>
          <w:tcBorders>
            <w:top w:val="single" w:sz="4" w:space="0" w:color="auto"/>
          </w:tcBorders>
          <w:tcMar>
            <w:top w:w="142" w:type="dxa"/>
            <w:bottom w:w="0" w:type="dxa"/>
          </w:tcMar>
        </w:tcPr>
        <w:p w:rsidR="00BE349B" w:rsidRPr="00487162" w:rsidRDefault="00BE349B" w:rsidP="00FE1DEE">
          <w:pPr>
            <w:pStyle w:val="Footer"/>
          </w:pPr>
          <w:r w:rsidRPr="00487162">
            <w:t>Document title, Part #, Section # - Section title</w:t>
          </w:r>
        </w:p>
        <w:p w:rsidR="00BE349B" w:rsidRPr="00487162" w:rsidRDefault="00BE349B" w:rsidP="00FE1DEE">
          <w:pPr>
            <w:pStyle w:val="Footer"/>
          </w:pPr>
          <w:r w:rsidRPr="00487162">
            <w:t>V1.0 October 2010</w:t>
          </w:r>
        </w:p>
      </w:tc>
      <w:tc>
        <w:tcPr>
          <w:tcW w:w="4342" w:type="dxa"/>
          <w:tcBorders>
            <w:top w:val="single" w:sz="4" w:space="0" w:color="auto"/>
          </w:tcBorders>
          <w:tcMar>
            <w:top w:w="142" w:type="dxa"/>
            <w:bottom w:w="0" w:type="dxa"/>
          </w:tcMar>
        </w:tcPr>
        <w:p w:rsidR="00BE349B" w:rsidRPr="00487162" w:rsidRDefault="00BE349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BE349B" w:rsidRDefault="00BE34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49B" w:rsidRDefault="00BE349B"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E349B" w:rsidTr="0010601F">
      <w:trPr>
        <w:trHeight w:val="108"/>
      </w:trPr>
      <w:tc>
        <w:tcPr>
          <w:tcW w:w="8875" w:type="dxa"/>
          <w:gridSpan w:val="2"/>
          <w:tcBorders>
            <w:bottom w:val="single" w:sz="4" w:space="0" w:color="auto"/>
          </w:tcBorders>
          <w:tcMar>
            <w:right w:w="284" w:type="dxa"/>
          </w:tcMar>
        </w:tcPr>
        <w:p w:rsidR="00BE349B" w:rsidRDefault="00BE349B" w:rsidP="006E08B3">
          <w:pPr>
            <w:pStyle w:val="Heading3"/>
          </w:pPr>
          <w:r>
            <w:t>Copyright</w:t>
          </w:r>
        </w:p>
        <w:p w:rsidR="00BE349B" w:rsidRDefault="00BE349B" w:rsidP="006E08B3">
          <w:r>
            <w:rPr>
              <w:rFonts w:cs="Arial"/>
            </w:rPr>
            <w:t>©</w:t>
          </w:r>
          <w:r>
            <w:t xml:space="preserve"> Commonwealth of Australia [add year]</w:t>
          </w:r>
        </w:p>
        <w:p w:rsidR="00BE349B" w:rsidRDefault="00BE349B" w:rsidP="006E08B3"/>
        <w:p w:rsidR="00BE349B" w:rsidRDefault="00BE349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E349B" w:rsidRDefault="00BE349B" w:rsidP="006E08B3"/>
        <w:p w:rsidR="00BE349B" w:rsidRDefault="00BE349B" w:rsidP="006E08B3">
          <w:pPr>
            <w:pStyle w:val="Heading3"/>
          </w:pPr>
          <w:r>
            <w:t>Confidentiality</w:t>
          </w:r>
        </w:p>
        <w:p w:rsidR="00BE349B" w:rsidRDefault="00BE349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E349B" w:rsidRDefault="00BE349B" w:rsidP="006E08B3"/>
        <w:p w:rsidR="00BE349B" w:rsidRDefault="00BE349B" w:rsidP="006E08B3">
          <w:r>
            <w:t>For submission made by individuals, all personal details, other than your name, will be removed from your submission before it is published on the TGA’s Internet site.</w:t>
          </w:r>
        </w:p>
        <w:p w:rsidR="00BE349B" w:rsidRDefault="00BE349B" w:rsidP="006E08B3"/>
        <w:p w:rsidR="00BE349B" w:rsidRDefault="00BE349B" w:rsidP="006E08B3">
          <w:r>
            <w:t>In addition, a list of parties making submissions will be published. If you do not wish to be identified with your submission you must specifically request this in the space provided ib the submission coversheet.</w:t>
          </w:r>
        </w:p>
      </w:tc>
    </w:tr>
    <w:tr w:rsidR="00BE349B" w:rsidTr="0010601F">
      <w:trPr>
        <w:trHeight w:val="417"/>
      </w:trPr>
      <w:tc>
        <w:tcPr>
          <w:tcW w:w="4519" w:type="dxa"/>
          <w:tcBorders>
            <w:top w:val="single" w:sz="4" w:space="0" w:color="auto"/>
          </w:tcBorders>
          <w:tcMar>
            <w:top w:w="142" w:type="dxa"/>
            <w:bottom w:w="0" w:type="dxa"/>
          </w:tcMar>
        </w:tcPr>
        <w:p w:rsidR="00BE349B" w:rsidRDefault="00BE349B" w:rsidP="006E08B3">
          <w:r>
            <w:t>Document title, Part #, Section # - Section title</w:t>
          </w:r>
        </w:p>
        <w:p w:rsidR="00BE349B" w:rsidRDefault="00BE349B" w:rsidP="006E08B3">
          <w:r>
            <w:t>V1.0 October 2010</w:t>
          </w:r>
        </w:p>
      </w:tc>
      <w:tc>
        <w:tcPr>
          <w:tcW w:w="4356" w:type="dxa"/>
          <w:tcBorders>
            <w:top w:val="single" w:sz="4" w:space="0" w:color="auto"/>
          </w:tcBorders>
          <w:tcMar>
            <w:top w:w="142" w:type="dxa"/>
            <w:bottom w:w="0" w:type="dxa"/>
          </w:tcMar>
        </w:tcPr>
        <w:p w:rsidR="00BE349B" w:rsidRDefault="00BE349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BE349B" w:rsidRDefault="00BE34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20F" w:rsidRDefault="00B4120F" w:rsidP="00C40A36">
      <w:pPr>
        <w:spacing w:after="0"/>
      </w:pPr>
      <w:r>
        <w:separator/>
      </w:r>
    </w:p>
  </w:footnote>
  <w:footnote w:type="continuationSeparator" w:id="0">
    <w:p w:rsidR="00B4120F" w:rsidRDefault="00B4120F" w:rsidP="00C40A36">
      <w:pPr>
        <w:spacing w:after="0"/>
      </w:pPr>
      <w:r>
        <w:continuationSeparator/>
      </w:r>
    </w:p>
  </w:footnote>
  <w:footnote w:id="1">
    <w:p w:rsidR="00BE349B" w:rsidRPr="008D763C" w:rsidRDefault="00BE349B" w:rsidP="008D763C">
      <w:pPr>
        <w:pStyle w:val="FootnoteText"/>
      </w:pPr>
      <w:r>
        <w:rPr>
          <w:rStyle w:val="FootnoteReference"/>
        </w:rPr>
        <w:footnoteRef/>
      </w:r>
      <w:r>
        <w:t xml:space="preserve"> </w:t>
      </w:r>
      <w:r w:rsidRPr="008D763C">
        <w:t>Wong TY and Scott IU. Retinal-vein occlusion. N Engl J Med. 2010; 363:2135-44.</w:t>
      </w:r>
    </w:p>
  </w:footnote>
  <w:footnote w:id="2">
    <w:p w:rsidR="00BE349B" w:rsidRPr="008D763C" w:rsidRDefault="00BE349B" w:rsidP="008D763C">
      <w:pPr>
        <w:pStyle w:val="FootnoteText"/>
      </w:pPr>
      <w:r w:rsidRPr="008D763C">
        <w:rPr>
          <w:rStyle w:val="FootnoteReference"/>
        </w:rPr>
        <w:footnoteRef/>
      </w:r>
      <w:r w:rsidRPr="008D763C">
        <w:t xml:space="preserve"> Mitchell P, Smith W, and Chang A. Prevalence and associations of retinal vein occlusion in Australia: the Blue Mountains Eye Study. Arch Ophthalmol. 1996;114:1243-1247</w:t>
      </w:r>
    </w:p>
  </w:footnote>
  <w:footnote w:id="3">
    <w:p w:rsidR="00BE349B" w:rsidRPr="008D763C" w:rsidRDefault="00BE349B" w:rsidP="008D763C">
      <w:pPr>
        <w:pStyle w:val="FootnoteText"/>
      </w:pPr>
      <w:r w:rsidRPr="008D763C">
        <w:rPr>
          <w:rStyle w:val="FootnoteReference"/>
        </w:rPr>
        <w:footnoteRef/>
      </w:r>
      <w:r w:rsidRPr="008D763C">
        <w:t xml:space="preserve"> Laouri M, Chen E, Looman M, Gallagher M. The burden of disease of retinal vein occlusion: review of the literature. Eye. 2011, 1–8.</w:t>
      </w:r>
    </w:p>
  </w:footnote>
  <w:footnote w:id="4">
    <w:p w:rsidR="00BE349B" w:rsidRPr="006125E9" w:rsidRDefault="00BE349B" w:rsidP="006125E9">
      <w:pPr>
        <w:pStyle w:val="FootnoteText"/>
      </w:pPr>
      <w:r w:rsidRPr="008D763C">
        <w:rPr>
          <w:rStyle w:val="FootnoteReference"/>
        </w:rPr>
        <w:footnoteRef/>
      </w:r>
      <w:r w:rsidRPr="006125E9">
        <w:t xml:space="preserve"> Cugati S et al. Ten-year incidence if retinal vein occlusion in an older population: the Blue Mountains Eye Study. Arch Ophthalmol. 2006;124:726-732.</w:t>
      </w:r>
    </w:p>
  </w:footnote>
  <w:footnote w:id="5">
    <w:p w:rsidR="00BE349B" w:rsidRPr="006125E9" w:rsidRDefault="00BE349B" w:rsidP="006125E9">
      <w:pPr>
        <w:pStyle w:val="FootnoteText"/>
      </w:pPr>
      <w:r w:rsidRPr="00BE349B">
        <w:rPr>
          <w:rStyle w:val="FootnoteReference"/>
        </w:rPr>
        <w:footnoteRef/>
      </w:r>
      <w:r w:rsidRPr="006125E9">
        <w:t xml:space="preserve"> Aref AA, Scott IU. Management of macular edema secondary to central retinal vein occlusion: an evidence-based update. Adv Ther</w:t>
      </w:r>
      <w:r>
        <w:t>. 2011; 28(1):40-50.</w:t>
      </w:r>
    </w:p>
  </w:footnote>
  <w:footnote w:id="6">
    <w:p w:rsidR="00BE349B" w:rsidRPr="006125E9" w:rsidRDefault="00BE349B" w:rsidP="006125E9">
      <w:pPr>
        <w:pStyle w:val="FootnoteText"/>
      </w:pPr>
      <w:r w:rsidRPr="00BE349B">
        <w:rPr>
          <w:rStyle w:val="FootnoteReference"/>
        </w:rPr>
        <w:footnoteRef/>
      </w:r>
      <w:r w:rsidRPr="006125E9">
        <w:t xml:space="preserve"> Channa R, Smith M, Campochiaro PA. Treatment of macular edema due to retinal vein occlusions. Clinical</w:t>
      </w:r>
      <w:r>
        <w:t xml:space="preserve"> Ophthalmology. 2011;5:705–713.</w:t>
      </w:r>
    </w:p>
  </w:footnote>
  <w:footnote w:id="7">
    <w:p w:rsidR="00BE349B" w:rsidRPr="006125E9" w:rsidRDefault="00BE349B" w:rsidP="006125E9">
      <w:pPr>
        <w:pStyle w:val="FootnoteText"/>
      </w:pPr>
      <w:r w:rsidRPr="00BE349B">
        <w:rPr>
          <w:rStyle w:val="FootnoteReference"/>
        </w:rPr>
        <w:footnoteRef/>
      </w:r>
      <w:r w:rsidRPr="006125E9">
        <w:t xml:space="preserve"> London NJS, Brown G. Update and review of central retinal vein occlusion. Curr Opin Ophthalmol</w:t>
      </w:r>
      <w:r>
        <w:t>. 2011; 22:159–165.</w:t>
      </w:r>
    </w:p>
  </w:footnote>
  <w:footnote w:id="8">
    <w:p w:rsidR="00BE349B" w:rsidRPr="006125E9" w:rsidRDefault="00BE349B" w:rsidP="006125E9">
      <w:pPr>
        <w:pStyle w:val="FootnoteText"/>
      </w:pPr>
      <w:r w:rsidRPr="00BE349B">
        <w:rPr>
          <w:rStyle w:val="FootnoteReference"/>
        </w:rPr>
        <w:footnoteRef/>
      </w:r>
      <w:r w:rsidRPr="006125E9">
        <w:t xml:space="preserve"> McIntosh RL, Rogers SL, Lim L, et al. Natural history of central retinal vein occlusion: an evidence-based systemic review. Ophthalmology</w:t>
      </w:r>
      <w:r>
        <w:t>. 2010; 117:1113-23.</w:t>
      </w:r>
    </w:p>
  </w:footnote>
  <w:footnote w:id="9">
    <w:p w:rsidR="00BE349B" w:rsidRPr="006125E9" w:rsidRDefault="00BE349B" w:rsidP="006125E9">
      <w:pPr>
        <w:pStyle w:val="FootnoteText"/>
      </w:pPr>
      <w:r w:rsidRPr="00BE349B">
        <w:rPr>
          <w:rStyle w:val="FootnoteReference"/>
        </w:rPr>
        <w:footnoteRef/>
      </w:r>
      <w:r w:rsidRPr="006125E9">
        <w:t xml:space="preserve"> Campochiaro PA, Hafiz G, Shah SM, Nguyen QD, Ying H, Do DV, et al. Ranibizumab for Macular Edema Due to Retinal Vein Occlusions: Implication of VEGF as a Critical Stimulator. Mol Ther. 2008;16(4):791-9.</w:t>
      </w:r>
    </w:p>
  </w:footnote>
  <w:footnote w:id="10">
    <w:p w:rsidR="00BE349B" w:rsidRDefault="00BE349B" w:rsidP="00317079">
      <w:pPr>
        <w:pStyle w:val="FootnoteText"/>
      </w:pPr>
      <w:r>
        <w:rPr>
          <w:rStyle w:val="FootnoteReference"/>
        </w:rPr>
        <w:footnoteRef/>
      </w:r>
      <w:r w:rsidR="00317079">
        <w:t xml:space="preserve"> </w:t>
      </w:r>
      <w:r w:rsidRPr="005867B3">
        <w:t xml:space="preserve">The Central Vein Occlusion Study Group. Evaluation of Grid Pattern Photocoagulation for Macular Edema in Central Vein Occlusion. </w:t>
      </w:r>
      <w:r w:rsidRPr="005867B3">
        <w:rPr>
          <w:i/>
        </w:rPr>
        <w:t>Ophthalmology</w:t>
      </w:r>
      <w:r w:rsidRPr="005867B3">
        <w:t>. 1995;102:1425-1433.</w:t>
      </w:r>
    </w:p>
  </w:footnote>
  <w:footnote w:id="11">
    <w:p w:rsidR="00BE349B" w:rsidRPr="00FC6235" w:rsidRDefault="00BE349B" w:rsidP="00FC6235">
      <w:pPr>
        <w:pStyle w:val="FootnoteText"/>
      </w:pPr>
      <w:r w:rsidRPr="004E0EF5">
        <w:rPr>
          <w:rStyle w:val="FootnoteReference"/>
        </w:rPr>
        <w:footnoteRef/>
      </w:r>
      <w:r w:rsidRPr="00FC6235">
        <w:t xml:space="preserve"> Not in this AusPAR</w:t>
      </w:r>
    </w:p>
  </w:footnote>
  <w:footnote w:id="12">
    <w:p w:rsidR="00BE349B" w:rsidRPr="00FC6235" w:rsidRDefault="00BE349B" w:rsidP="00FC6235">
      <w:pPr>
        <w:pStyle w:val="FootnoteText"/>
      </w:pPr>
      <w:r w:rsidRPr="004E0EF5">
        <w:rPr>
          <w:rStyle w:val="FootnoteReference"/>
        </w:rPr>
        <w:footnoteRef/>
      </w:r>
      <w:r w:rsidRPr="00FC6235">
        <w:t xml:space="preserve"> Not in this AusPAR</w:t>
      </w:r>
    </w:p>
  </w:footnote>
  <w:footnote w:id="13">
    <w:p w:rsidR="00BE349B" w:rsidRPr="00FC6235" w:rsidRDefault="00BE349B" w:rsidP="00FC6235">
      <w:pPr>
        <w:pStyle w:val="FootnoteText"/>
      </w:pPr>
      <w:r w:rsidRPr="004E0EF5">
        <w:rPr>
          <w:rStyle w:val="FootnoteReference"/>
        </w:rPr>
        <w:footnoteRef/>
      </w:r>
      <w:r w:rsidRPr="00FC6235">
        <w:t xml:space="preserve"> Not in this AusPAR</w:t>
      </w:r>
    </w:p>
  </w:footnote>
  <w:footnote w:id="14">
    <w:p w:rsidR="00BE349B" w:rsidRPr="00FC6235" w:rsidRDefault="00BE349B" w:rsidP="00FC6235">
      <w:pPr>
        <w:pStyle w:val="FootnoteText"/>
      </w:pPr>
      <w:r w:rsidRPr="004E0EF5">
        <w:rPr>
          <w:rStyle w:val="FootnoteReference"/>
        </w:rPr>
        <w:footnoteRef/>
      </w:r>
      <w:r w:rsidRPr="00FC6235">
        <w:t xml:space="preserve"> Not in this AusPAR</w:t>
      </w:r>
    </w:p>
  </w:footnote>
  <w:footnote w:id="15">
    <w:p w:rsidR="00BE349B" w:rsidRPr="00FC6235" w:rsidRDefault="00BE349B" w:rsidP="00FC6235">
      <w:pPr>
        <w:pStyle w:val="FootnoteText"/>
      </w:pPr>
      <w:r w:rsidRPr="004E0EF5">
        <w:rPr>
          <w:rStyle w:val="FootnoteReference"/>
        </w:rPr>
        <w:footnoteRef/>
      </w:r>
      <w:r w:rsidRPr="00FC6235">
        <w:t xml:space="preserve"> Not in this AusPAR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49B" w:rsidRDefault="00BE349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49B" w:rsidRDefault="00BE349B">
    <w:pPr>
      <w:rPr>
        <w:noProof/>
        <w:lang w:eastAsia="en-AU"/>
      </w:rPr>
    </w:pPr>
    <w:r w:rsidRPr="002D545C">
      <w:rPr>
        <w:noProof/>
        <w:lang w:eastAsia="en-AU"/>
      </w:rPr>
      <w:drawing>
        <wp:anchor distT="0" distB="0" distL="114300" distR="114300" simplePos="0" relativeHeight="251659264" behindDoc="1" locked="0" layoutInCell="1" allowOverlap="1" wp14:anchorId="6C067136" wp14:editId="4E321289">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E349B" w:rsidRDefault="00BE349B" w:rsidP="00593AD1">
    <w:pPr>
      <w:pStyle w:val="HeaderNoLine"/>
    </w:pPr>
    <w:r>
      <w:rPr>
        <w:noProof/>
        <w:lang w:eastAsia="en-AU"/>
      </w:rPr>
      <w:drawing>
        <wp:inline distT="0" distB="0" distL="0" distR="0" wp14:anchorId="71FDFD97" wp14:editId="37F6724E">
          <wp:extent cx="5400040" cy="7634605"/>
          <wp:effectExtent l="0" t="0" r="0" b="4445"/>
          <wp:docPr id="2"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49B" w:rsidRDefault="00BE34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49B" w:rsidRDefault="00BE349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49B" w:rsidRDefault="00BE349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49B" w:rsidRDefault="00BE349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49B" w:rsidRDefault="00BE349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49B" w:rsidRDefault="00BE349B" w:rsidP="006E08B3">
    <w:r>
      <w:t>Therapeutic Goods Administration</w:t>
    </w:r>
  </w:p>
  <w:p w:rsidR="00BE349B" w:rsidRDefault="00BE349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1DCA264"/>
    <w:lvl w:ilvl="0">
      <w:start w:val="1"/>
      <w:numFmt w:val="decimal"/>
      <w:lvlText w:val="%1."/>
      <w:lvlJc w:val="left"/>
      <w:pPr>
        <w:tabs>
          <w:tab w:val="num" w:pos="1492"/>
        </w:tabs>
        <w:ind w:left="1492" w:hanging="360"/>
      </w:pPr>
    </w:lvl>
  </w:abstractNum>
  <w:abstractNum w:abstractNumId="1">
    <w:nsid w:val="FFFFFF7D"/>
    <w:multiLevelType w:val="singleLevel"/>
    <w:tmpl w:val="4874F13A"/>
    <w:lvl w:ilvl="0">
      <w:start w:val="1"/>
      <w:numFmt w:val="decimal"/>
      <w:lvlText w:val="%1."/>
      <w:lvlJc w:val="left"/>
      <w:pPr>
        <w:tabs>
          <w:tab w:val="num" w:pos="1209"/>
        </w:tabs>
        <w:ind w:left="1209" w:hanging="360"/>
      </w:pPr>
    </w:lvl>
  </w:abstractNum>
  <w:abstractNum w:abstractNumId="2">
    <w:nsid w:val="FFFFFF7E"/>
    <w:multiLevelType w:val="singleLevel"/>
    <w:tmpl w:val="307679CE"/>
    <w:lvl w:ilvl="0">
      <w:start w:val="1"/>
      <w:numFmt w:val="decimal"/>
      <w:lvlText w:val="%1."/>
      <w:lvlJc w:val="left"/>
      <w:pPr>
        <w:tabs>
          <w:tab w:val="num" w:pos="926"/>
        </w:tabs>
        <w:ind w:left="926" w:hanging="360"/>
      </w:pPr>
    </w:lvl>
  </w:abstractNum>
  <w:abstractNum w:abstractNumId="3">
    <w:nsid w:val="FFFFFF7F"/>
    <w:multiLevelType w:val="singleLevel"/>
    <w:tmpl w:val="87B6FC4A"/>
    <w:lvl w:ilvl="0">
      <w:start w:val="1"/>
      <w:numFmt w:val="decimal"/>
      <w:lvlText w:val="%1."/>
      <w:lvlJc w:val="left"/>
      <w:pPr>
        <w:tabs>
          <w:tab w:val="num" w:pos="643"/>
        </w:tabs>
        <w:ind w:left="643" w:hanging="360"/>
      </w:pPr>
    </w:lvl>
  </w:abstractNum>
  <w:abstractNum w:abstractNumId="4">
    <w:nsid w:val="FFFFFF80"/>
    <w:multiLevelType w:val="singleLevel"/>
    <w:tmpl w:val="7846B3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28CD58"/>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3C4A58F0"/>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Arial"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Arial"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Arial"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1F21A7A"/>
    <w:multiLevelType w:val="hybridMultilevel"/>
    <w:tmpl w:val="109EC9D4"/>
    <w:lvl w:ilvl="0" w:tplc="E21CE31A">
      <w:start w:val="1"/>
      <w:numFmt w:val="lowerLetter"/>
      <w:lvlText w:val="(%1)"/>
      <w:lvlJc w:val="left"/>
      <w:pPr>
        <w:ind w:left="1080" w:hanging="720"/>
      </w:pPr>
      <w:rPr>
        <w:rFonts w:hint="default"/>
        <w:b/>
        <w:i/>
        <w:color w:val="0015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Aria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Arial"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Arial"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482243D"/>
    <w:multiLevelType w:val="hybridMultilevel"/>
    <w:tmpl w:val="1C10F032"/>
    <w:lvl w:ilvl="0" w:tplc="20E8C14C">
      <w:start w:val="1"/>
      <w:numFmt w:val="lowerLetter"/>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Aria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Arial"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Arial"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55D22144"/>
    <w:multiLevelType w:val="hybridMultilevel"/>
    <w:tmpl w:val="9CEE0442"/>
    <w:lvl w:ilvl="0" w:tplc="C80E65BE">
      <w:start w:val="1"/>
      <w:numFmt w:val="lowerLetter"/>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5">
    <w:nsid w:val="5DF42A24"/>
    <w:multiLevelType w:val="hybridMultilevel"/>
    <w:tmpl w:val="28D001CC"/>
    <w:lvl w:ilvl="0" w:tplc="E144876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63F595D"/>
    <w:multiLevelType w:val="hybridMultilevel"/>
    <w:tmpl w:val="86B69502"/>
    <w:lvl w:ilvl="0" w:tplc="2188AD6C">
      <w:start w:val="1"/>
      <w:numFmt w:val="bullet"/>
      <w:pStyle w:val="Instructions2"/>
      <w:lvlText w:val="­"/>
      <w:lvlJc w:val="left"/>
      <w:pPr>
        <w:ind w:left="644" w:hanging="360"/>
      </w:pPr>
      <w:rPr>
        <w:rFonts w:ascii="Calibri" w:hAnsi="Calibri" w:hint="default"/>
      </w:rPr>
    </w:lvl>
    <w:lvl w:ilvl="1" w:tplc="BDAE72BC" w:tentative="1">
      <w:start w:val="1"/>
      <w:numFmt w:val="bullet"/>
      <w:lvlText w:val="o"/>
      <w:lvlJc w:val="left"/>
      <w:pPr>
        <w:ind w:left="1610" w:hanging="360"/>
      </w:pPr>
      <w:rPr>
        <w:rFonts w:ascii="Courier New" w:hAnsi="Courier New" w:cs="Arial" w:hint="default"/>
      </w:rPr>
    </w:lvl>
    <w:lvl w:ilvl="2" w:tplc="2C504F52" w:tentative="1">
      <w:start w:val="1"/>
      <w:numFmt w:val="bullet"/>
      <w:lvlText w:val=""/>
      <w:lvlJc w:val="left"/>
      <w:pPr>
        <w:ind w:left="2330" w:hanging="360"/>
      </w:pPr>
      <w:rPr>
        <w:rFonts w:ascii="Wingdings" w:hAnsi="Wingdings" w:hint="default"/>
      </w:rPr>
    </w:lvl>
    <w:lvl w:ilvl="3" w:tplc="73B66FF0" w:tentative="1">
      <w:start w:val="1"/>
      <w:numFmt w:val="bullet"/>
      <w:lvlText w:val=""/>
      <w:lvlJc w:val="left"/>
      <w:pPr>
        <w:ind w:left="3050" w:hanging="360"/>
      </w:pPr>
      <w:rPr>
        <w:rFonts w:ascii="Symbol" w:hAnsi="Symbol" w:hint="default"/>
      </w:rPr>
    </w:lvl>
    <w:lvl w:ilvl="4" w:tplc="BBA409A6" w:tentative="1">
      <w:start w:val="1"/>
      <w:numFmt w:val="bullet"/>
      <w:lvlText w:val="o"/>
      <w:lvlJc w:val="left"/>
      <w:pPr>
        <w:ind w:left="3770" w:hanging="360"/>
      </w:pPr>
      <w:rPr>
        <w:rFonts w:ascii="Courier New" w:hAnsi="Courier New" w:cs="Arial" w:hint="default"/>
      </w:rPr>
    </w:lvl>
    <w:lvl w:ilvl="5" w:tplc="A0D464D0" w:tentative="1">
      <w:start w:val="1"/>
      <w:numFmt w:val="bullet"/>
      <w:lvlText w:val=""/>
      <w:lvlJc w:val="left"/>
      <w:pPr>
        <w:ind w:left="4490" w:hanging="360"/>
      </w:pPr>
      <w:rPr>
        <w:rFonts w:ascii="Wingdings" w:hAnsi="Wingdings" w:hint="default"/>
      </w:rPr>
    </w:lvl>
    <w:lvl w:ilvl="6" w:tplc="0332EC3E" w:tentative="1">
      <w:start w:val="1"/>
      <w:numFmt w:val="bullet"/>
      <w:lvlText w:val=""/>
      <w:lvlJc w:val="left"/>
      <w:pPr>
        <w:ind w:left="5210" w:hanging="360"/>
      </w:pPr>
      <w:rPr>
        <w:rFonts w:ascii="Symbol" w:hAnsi="Symbol" w:hint="default"/>
      </w:rPr>
    </w:lvl>
    <w:lvl w:ilvl="7" w:tplc="90824842" w:tentative="1">
      <w:start w:val="1"/>
      <w:numFmt w:val="bullet"/>
      <w:lvlText w:val="o"/>
      <w:lvlJc w:val="left"/>
      <w:pPr>
        <w:ind w:left="5930" w:hanging="360"/>
      </w:pPr>
      <w:rPr>
        <w:rFonts w:ascii="Courier New" w:hAnsi="Courier New" w:cs="Arial" w:hint="default"/>
      </w:rPr>
    </w:lvl>
    <w:lvl w:ilvl="8" w:tplc="7F846794" w:tentative="1">
      <w:start w:val="1"/>
      <w:numFmt w:val="bullet"/>
      <w:lvlText w:val=""/>
      <w:lvlJc w:val="left"/>
      <w:pPr>
        <w:ind w:left="6650" w:hanging="360"/>
      </w:pPr>
      <w:rPr>
        <w:rFonts w:ascii="Wingdings" w:hAnsi="Wingdings" w:hint="default"/>
      </w:rPr>
    </w:lvl>
  </w:abstractNum>
  <w:abstractNum w:abstractNumId="17">
    <w:nsid w:val="6D0B1B75"/>
    <w:multiLevelType w:val="multilevel"/>
    <w:tmpl w:val="543E32D2"/>
    <w:lvl w:ilvl="0">
      <w:start w:val="1"/>
      <w:numFmt w:val="decimal"/>
      <w:pStyle w:val="Heading2"/>
      <w:lvlText w:val="%1."/>
      <w:lvlJc w:val="left"/>
      <w:pPr>
        <w:tabs>
          <w:tab w:val="num" w:pos="2836"/>
        </w:tabs>
        <w:ind w:left="2836"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843"/>
        </w:tabs>
        <w:ind w:left="1843"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8">
    <w:nsid w:val="6D214E8B"/>
    <w:multiLevelType w:val="hybridMultilevel"/>
    <w:tmpl w:val="4426C4F8"/>
    <w:lvl w:ilvl="0" w:tplc="0310CC48">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19" w:tentative="1">
      <w:start w:val="1"/>
      <w:numFmt w:val="bullet"/>
      <w:lvlText w:val="o"/>
      <w:lvlJc w:val="left"/>
      <w:pPr>
        <w:tabs>
          <w:tab w:val="num" w:pos="1440"/>
        </w:tabs>
        <w:ind w:left="1440" w:hanging="360"/>
      </w:pPr>
      <w:rPr>
        <w:rFonts w:ascii="Courier New" w:hAnsi="Courier New" w:cs="Arial"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Arial"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Arial"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10"/>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7"/>
  </w:num>
  <w:num w:numId="6">
    <w:abstractNumId w:val="18"/>
  </w:num>
  <w:num w:numId="7">
    <w:abstractNumId w:val="11"/>
  </w:num>
  <w:num w:numId="8">
    <w:abstractNumId w:val="13"/>
  </w:num>
  <w:num w:numId="9">
    <w:abstractNumId w:val="7"/>
  </w:num>
  <w:num w:numId="10">
    <w:abstractNumId w:val="16"/>
  </w:num>
  <w:num w:numId="11">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4"/>
  </w:num>
  <w:num w:numId="14">
    <w:abstractNumId w:val="12"/>
  </w:num>
  <w:num w:numId="15">
    <w:abstractNumId w:val="9"/>
  </w:num>
  <w:num w:numId="16">
    <w:abstractNumId w:val="15"/>
  </w:num>
  <w:num w:numId="17">
    <w:abstractNumId w:val="5"/>
  </w:num>
  <w:num w:numId="18">
    <w:abstractNumId w:val="4"/>
  </w:num>
  <w:num w:numId="19">
    <w:abstractNumId w:val="6"/>
  </w:num>
  <w:num w:numId="20">
    <w:abstractNumId w:val="3"/>
  </w:num>
  <w:num w:numId="21">
    <w:abstractNumId w:val="2"/>
  </w:num>
  <w:num w:numId="22">
    <w:abstractNumId w:val="1"/>
  </w:num>
  <w:num w:numId="2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58D"/>
    <w:rsid w:val="00002031"/>
    <w:rsid w:val="00004734"/>
    <w:rsid w:val="00006B22"/>
    <w:rsid w:val="0001276A"/>
    <w:rsid w:val="00014BC7"/>
    <w:rsid w:val="000246AE"/>
    <w:rsid w:val="00025C67"/>
    <w:rsid w:val="00040ACB"/>
    <w:rsid w:val="000526AB"/>
    <w:rsid w:val="0005559E"/>
    <w:rsid w:val="00077775"/>
    <w:rsid w:val="00081138"/>
    <w:rsid w:val="00084ED5"/>
    <w:rsid w:val="00085007"/>
    <w:rsid w:val="00090471"/>
    <w:rsid w:val="000A3AED"/>
    <w:rsid w:val="000A63AF"/>
    <w:rsid w:val="000B2776"/>
    <w:rsid w:val="000B2A99"/>
    <w:rsid w:val="000B3532"/>
    <w:rsid w:val="000B3A75"/>
    <w:rsid w:val="000C690F"/>
    <w:rsid w:val="000D1295"/>
    <w:rsid w:val="000D391B"/>
    <w:rsid w:val="000D3D6D"/>
    <w:rsid w:val="000D4FC7"/>
    <w:rsid w:val="000F02F9"/>
    <w:rsid w:val="000F4869"/>
    <w:rsid w:val="000F5B42"/>
    <w:rsid w:val="000F6E6F"/>
    <w:rsid w:val="001006D2"/>
    <w:rsid w:val="00104613"/>
    <w:rsid w:val="00104D1A"/>
    <w:rsid w:val="0010601F"/>
    <w:rsid w:val="0010788A"/>
    <w:rsid w:val="00107A31"/>
    <w:rsid w:val="00110EA5"/>
    <w:rsid w:val="00112F56"/>
    <w:rsid w:val="00125318"/>
    <w:rsid w:val="001305A2"/>
    <w:rsid w:val="00133238"/>
    <w:rsid w:val="0013792D"/>
    <w:rsid w:val="0014197B"/>
    <w:rsid w:val="001447CD"/>
    <w:rsid w:val="00147E04"/>
    <w:rsid w:val="001516B1"/>
    <w:rsid w:val="00154EBB"/>
    <w:rsid w:val="00156316"/>
    <w:rsid w:val="00165389"/>
    <w:rsid w:val="0017078F"/>
    <w:rsid w:val="0017693F"/>
    <w:rsid w:val="0018110E"/>
    <w:rsid w:val="00181684"/>
    <w:rsid w:val="00182DBC"/>
    <w:rsid w:val="001843C6"/>
    <w:rsid w:val="001850E0"/>
    <w:rsid w:val="001962A6"/>
    <w:rsid w:val="001A2158"/>
    <w:rsid w:val="001A4E65"/>
    <w:rsid w:val="001A525F"/>
    <w:rsid w:val="001B02F8"/>
    <w:rsid w:val="001B09F9"/>
    <w:rsid w:val="001B5D98"/>
    <w:rsid w:val="001B6448"/>
    <w:rsid w:val="001D5DB7"/>
    <w:rsid w:val="001E07CF"/>
    <w:rsid w:val="001E1176"/>
    <w:rsid w:val="001E59F1"/>
    <w:rsid w:val="001F49EB"/>
    <w:rsid w:val="001F6CBA"/>
    <w:rsid w:val="00201D4E"/>
    <w:rsid w:val="002076C9"/>
    <w:rsid w:val="00220B8A"/>
    <w:rsid w:val="002257F3"/>
    <w:rsid w:val="00233456"/>
    <w:rsid w:val="002339A5"/>
    <w:rsid w:val="00252B9B"/>
    <w:rsid w:val="00253F67"/>
    <w:rsid w:val="00257848"/>
    <w:rsid w:val="002666AC"/>
    <w:rsid w:val="0027084A"/>
    <w:rsid w:val="00271148"/>
    <w:rsid w:val="00272B14"/>
    <w:rsid w:val="002756DF"/>
    <w:rsid w:val="00286434"/>
    <w:rsid w:val="00286C59"/>
    <w:rsid w:val="00292113"/>
    <w:rsid w:val="002942D1"/>
    <w:rsid w:val="0029501A"/>
    <w:rsid w:val="00296501"/>
    <w:rsid w:val="002B1638"/>
    <w:rsid w:val="002C63ED"/>
    <w:rsid w:val="002D3ECD"/>
    <w:rsid w:val="002D545C"/>
    <w:rsid w:val="002D6161"/>
    <w:rsid w:val="002E4C9A"/>
    <w:rsid w:val="002F0147"/>
    <w:rsid w:val="002F11F8"/>
    <w:rsid w:val="002F27A1"/>
    <w:rsid w:val="002F3F56"/>
    <w:rsid w:val="002F44B5"/>
    <w:rsid w:val="002F54CE"/>
    <w:rsid w:val="00300308"/>
    <w:rsid w:val="00300BDB"/>
    <w:rsid w:val="00301349"/>
    <w:rsid w:val="00311AC0"/>
    <w:rsid w:val="00317079"/>
    <w:rsid w:val="00320FF0"/>
    <w:rsid w:val="0032583B"/>
    <w:rsid w:val="00327883"/>
    <w:rsid w:val="00335504"/>
    <w:rsid w:val="003357A3"/>
    <w:rsid w:val="003521E8"/>
    <w:rsid w:val="00354E40"/>
    <w:rsid w:val="00354E56"/>
    <w:rsid w:val="003728F3"/>
    <w:rsid w:val="0037496E"/>
    <w:rsid w:val="0037623D"/>
    <w:rsid w:val="00386150"/>
    <w:rsid w:val="003874CE"/>
    <w:rsid w:val="0039029E"/>
    <w:rsid w:val="00390900"/>
    <w:rsid w:val="00396C92"/>
    <w:rsid w:val="003A7F6C"/>
    <w:rsid w:val="003B1113"/>
    <w:rsid w:val="003B4D60"/>
    <w:rsid w:val="003B634F"/>
    <w:rsid w:val="003B6380"/>
    <w:rsid w:val="003B7E39"/>
    <w:rsid w:val="003C58DC"/>
    <w:rsid w:val="003C7DDE"/>
    <w:rsid w:val="003D0A3B"/>
    <w:rsid w:val="003D1E62"/>
    <w:rsid w:val="003D389D"/>
    <w:rsid w:val="003E2486"/>
    <w:rsid w:val="003E3208"/>
    <w:rsid w:val="003E72C1"/>
    <w:rsid w:val="003F0B04"/>
    <w:rsid w:val="003F2E97"/>
    <w:rsid w:val="0040134E"/>
    <w:rsid w:val="00415D59"/>
    <w:rsid w:val="00427821"/>
    <w:rsid w:val="00434B2B"/>
    <w:rsid w:val="004378DF"/>
    <w:rsid w:val="0043797D"/>
    <w:rsid w:val="00440A2D"/>
    <w:rsid w:val="004564A7"/>
    <w:rsid w:val="004617BF"/>
    <w:rsid w:val="00463658"/>
    <w:rsid w:val="004722CC"/>
    <w:rsid w:val="004936E4"/>
    <w:rsid w:val="00494E60"/>
    <w:rsid w:val="00497487"/>
    <w:rsid w:val="004A4E0A"/>
    <w:rsid w:val="004A7E13"/>
    <w:rsid w:val="004B6CC6"/>
    <w:rsid w:val="004B7B76"/>
    <w:rsid w:val="004C2DCA"/>
    <w:rsid w:val="004C7492"/>
    <w:rsid w:val="004D1110"/>
    <w:rsid w:val="004D7873"/>
    <w:rsid w:val="004E0EF5"/>
    <w:rsid w:val="004E5073"/>
    <w:rsid w:val="004E750A"/>
    <w:rsid w:val="004F0F38"/>
    <w:rsid w:val="004F29F5"/>
    <w:rsid w:val="004F4AF5"/>
    <w:rsid w:val="00501921"/>
    <w:rsid w:val="00530354"/>
    <w:rsid w:val="0053625B"/>
    <w:rsid w:val="005434C6"/>
    <w:rsid w:val="00543B39"/>
    <w:rsid w:val="00550096"/>
    <w:rsid w:val="00557FF9"/>
    <w:rsid w:val="00565CF9"/>
    <w:rsid w:val="0057246D"/>
    <w:rsid w:val="00576378"/>
    <w:rsid w:val="00577945"/>
    <w:rsid w:val="00577E38"/>
    <w:rsid w:val="00585322"/>
    <w:rsid w:val="005857C6"/>
    <w:rsid w:val="005867B3"/>
    <w:rsid w:val="00586F98"/>
    <w:rsid w:val="00592F6E"/>
    <w:rsid w:val="0059369D"/>
    <w:rsid w:val="00593AD1"/>
    <w:rsid w:val="005A68B6"/>
    <w:rsid w:val="005A71F9"/>
    <w:rsid w:val="005A77E1"/>
    <w:rsid w:val="005B6DC7"/>
    <w:rsid w:val="005C5570"/>
    <w:rsid w:val="005C79A4"/>
    <w:rsid w:val="005D5442"/>
    <w:rsid w:val="005F0F80"/>
    <w:rsid w:val="00603F32"/>
    <w:rsid w:val="0060454A"/>
    <w:rsid w:val="006125E9"/>
    <w:rsid w:val="00612EA4"/>
    <w:rsid w:val="00616847"/>
    <w:rsid w:val="00620406"/>
    <w:rsid w:val="00632398"/>
    <w:rsid w:val="00640FC3"/>
    <w:rsid w:val="00642020"/>
    <w:rsid w:val="00646206"/>
    <w:rsid w:val="0065337B"/>
    <w:rsid w:val="0065419D"/>
    <w:rsid w:val="006604D8"/>
    <w:rsid w:val="00664A5B"/>
    <w:rsid w:val="006746B5"/>
    <w:rsid w:val="006763D2"/>
    <w:rsid w:val="006809D5"/>
    <w:rsid w:val="00680C08"/>
    <w:rsid w:val="006931B1"/>
    <w:rsid w:val="006A15C0"/>
    <w:rsid w:val="006A7D88"/>
    <w:rsid w:val="006C130C"/>
    <w:rsid w:val="006C3E2A"/>
    <w:rsid w:val="006C642F"/>
    <w:rsid w:val="006D03E5"/>
    <w:rsid w:val="006D5D3E"/>
    <w:rsid w:val="006E08B3"/>
    <w:rsid w:val="006E66E0"/>
    <w:rsid w:val="006F17AC"/>
    <w:rsid w:val="006F1D37"/>
    <w:rsid w:val="006F1D83"/>
    <w:rsid w:val="006F2796"/>
    <w:rsid w:val="006F572E"/>
    <w:rsid w:val="007046D6"/>
    <w:rsid w:val="00705DB0"/>
    <w:rsid w:val="00706C51"/>
    <w:rsid w:val="00722B57"/>
    <w:rsid w:val="00724381"/>
    <w:rsid w:val="0074253D"/>
    <w:rsid w:val="0074429B"/>
    <w:rsid w:val="00745C7F"/>
    <w:rsid w:val="007513B4"/>
    <w:rsid w:val="007535DD"/>
    <w:rsid w:val="00757B40"/>
    <w:rsid w:val="007615BC"/>
    <w:rsid w:val="00762F05"/>
    <w:rsid w:val="007652FF"/>
    <w:rsid w:val="00770EF1"/>
    <w:rsid w:val="00773EF7"/>
    <w:rsid w:val="00774E1D"/>
    <w:rsid w:val="0077675A"/>
    <w:rsid w:val="00780355"/>
    <w:rsid w:val="00785721"/>
    <w:rsid w:val="00790FF0"/>
    <w:rsid w:val="0079268F"/>
    <w:rsid w:val="007932BD"/>
    <w:rsid w:val="00793A59"/>
    <w:rsid w:val="007A1D29"/>
    <w:rsid w:val="007B42DC"/>
    <w:rsid w:val="007B6E9F"/>
    <w:rsid w:val="007C1216"/>
    <w:rsid w:val="007C1AF7"/>
    <w:rsid w:val="007D1E07"/>
    <w:rsid w:val="007D5BF7"/>
    <w:rsid w:val="007D6583"/>
    <w:rsid w:val="007D7630"/>
    <w:rsid w:val="007E6E27"/>
    <w:rsid w:val="007F009A"/>
    <w:rsid w:val="00805A16"/>
    <w:rsid w:val="00805D27"/>
    <w:rsid w:val="00821776"/>
    <w:rsid w:val="008321F5"/>
    <w:rsid w:val="00832369"/>
    <w:rsid w:val="00834660"/>
    <w:rsid w:val="00836BC2"/>
    <w:rsid w:val="008414A0"/>
    <w:rsid w:val="0085641B"/>
    <w:rsid w:val="00857136"/>
    <w:rsid w:val="00863641"/>
    <w:rsid w:val="00884BCD"/>
    <w:rsid w:val="00886D15"/>
    <w:rsid w:val="00887DD8"/>
    <w:rsid w:val="00896018"/>
    <w:rsid w:val="008960DD"/>
    <w:rsid w:val="0089635C"/>
    <w:rsid w:val="00896E48"/>
    <w:rsid w:val="008A2B9D"/>
    <w:rsid w:val="008A5259"/>
    <w:rsid w:val="008A5E0B"/>
    <w:rsid w:val="008A6D59"/>
    <w:rsid w:val="008B4B03"/>
    <w:rsid w:val="008B596F"/>
    <w:rsid w:val="008B5A3E"/>
    <w:rsid w:val="008B6887"/>
    <w:rsid w:val="008C159F"/>
    <w:rsid w:val="008C1623"/>
    <w:rsid w:val="008C1850"/>
    <w:rsid w:val="008C51A9"/>
    <w:rsid w:val="008D763C"/>
    <w:rsid w:val="008D770F"/>
    <w:rsid w:val="008E7846"/>
    <w:rsid w:val="008F1CCC"/>
    <w:rsid w:val="008F2967"/>
    <w:rsid w:val="008F6943"/>
    <w:rsid w:val="00902A21"/>
    <w:rsid w:val="0091044A"/>
    <w:rsid w:val="009170A7"/>
    <w:rsid w:val="00920330"/>
    <w:rsid w:val="009219D7"/>
    <w:rsid w:val="00922D53"/>
    <w:rsid w:val="00923B70"/>
    <w:rsid w:val="00923B8D"/>
    <w:rsid w:val="00924482"/>
    <w:rsid w:val="00930237"/>
    <w:rsid w:val="0093561D"/>
    <w:rsid w:val="00946EA5"/>
    <w:rsid w:val="0095160F"/>
    <w:rsid w:val="00963C08"/>
    <w:rsid w:val="00972180"/>
    <w:rsid w:val="0098585A"/>
    <w:rsid w:val="0098669D"/>
    <w:rsid w:val="009941E9"/>
    <w:rsid w:val="009A4CED"/>
    <w:rsid w:val="009A690D"/>
    <w:rsid w:val="009B1D12"/>
    <w:rsid w:val="009B416B"/>
    <w:rsid w:val="009C4BD5"/>
    <w:rsid w:val="009D57EF"/>
    <w:rsid w:val="009D7B77"/>
    <w:rsid w:val="009E0BB0"/>
    <w:rsid w:val="009E3FBB"/>
    <w:rsid w:val="009E4973"/>
    <w:rsid w:val="009E5AF9"/>
    <w:rsid w:val="00A102E4"/>
    <w:rsid w:val="00A12C42"/>
    <w:rsid w:val="00A140CF"/>
    <w:rsid w:val="00A14DF7"/>
    <w:rsid w:val="00A235D9"/>
    <w:rsid w:val="00A3246D"/>
    <w:rsid w:val="00A36FA7"/>
    <w:rsid w:val="00A41709"/>
    <w:rsid w:val="00A47517"/>
    <w:rsid w:val="00A475B7"/>
    <w:rsid w:val="00A47AF7"/>
    <w:rsid w:val="00A47C3E"/>
    <w:rsid w:val="00A50226"/>
    <w:rsid w:val="00A60BAD"/>
    <w:rsid w:val="00A723E5"/>
    <w:rsid w:val="00A964D1"/>
    <w:rsid w:val="00AA0ED0"/>
    <w:rsid w:val="00AA2378"/>
    <w:rsid w:val="00AA3499"/>
    <w:rsid w:val="00AC2B40"/>
    <w:rsid w:val="00AC2BB2"/>
    <w:rsid w:val="00AC2C3C"/>
    <w:rsid w:val="00AC512D"/>
    <w:rsid w:val="00AE01C2"/>
    <w:rsid w:val="00AE65EB"/>
    <w:rsid w:val="00AE67A7"/>
    <w:rsid w:val="00AF1D94"/>
    <w:rsid w:val="00AF60C5"/>
    <w:rsid w:val="00B009C6"/>
    <w:rsid w:val="00B01548"/>
    <w:rsid w:val="00B02208"/>
    <w:rsid w:val="00B1020F"/>
    <w:rsid w:val="00B1425E"/>
    <w:rsid w:val="00B15F15"/>
    <w:rsid w:val="00B21D29"/>
    <w:rsid w:val="00B25034"/>
    <w:rsid w:val="00B33588"/>
    <w:rsid w:val="00B33863"/>
    <w:rsid w:val="00B3567E"/>
    <w:rsid w:val="00B37D17"/>
    <w:rsid w:val="00B4120F"/>
    <w:rsid w:val="00B4175E"/>
    <w:rsid w:val="00B452CE"/>
    <w:rsid w:val="00B50950"/>
    <w:rsid w:val="00B54C25"/>
    <w:rsid w:val="00B76B91"/>
    <w:rsid w:val="00B77EB1"/>
    <w:rsid w:val="00B811C6"/>
    <w:rsid w:val="00B82C73"/>
    <w:rsid w:val="00B84D36"/>
    <w:rsid w:val="00B85A87"/>
    <w:rsid w:val="00B92E08"/>
    <w:rsid w:val="00B93F13"/>
    <w:rsid w:val="00B96EBE"/>
    <w:rsid w:val="00BA4C5B"/>
    <w:rsid w:val="00BC1794"/>
    <w:rsid w:val="00BC622A"/>
    <w:rsid w:val="00BD45E3"/>
    <w:rsid w:val="00BE0A78"/>
    <w:rsid w:val="00BE349B"/>
    <w:rsid w:val="00BE6252"/>
    <w:rsid w:val="00BE79F0"/>
    <w:rsid w:val="00BF046D"/>
    <w:rsid w:val="00BF1190"/>
    <w:rsid w:val="00BF5D04"/>
    <w:rsid w:val="00C109EC"/>
    <w:rsid w:val="00C1164D"/>
    <w:rsid w:val="00C16358"/>
    <w:rsid w:val="00C16861"/>
    <w:rsid w:val="00C169CC"/>
    <w:rsid w:val="00C22678"/>
    <w:rsid w:val="00C404A6"/>
    <w:rsid w:val="00C40A36"/>
    <w:rsid w:val="00C42C2F"/>
    <w:rsid w:val="00C44419"/>
    <w:rsid w:val="00C44EA2"/>
    <w:rsid w:val="00C45E7B"/>
    <w:rsid w:val="00C465E2"/>
    <w:rsid w:val="00C471B1"/>
    <w:rsid w:val="00C5306A"/>
    <w:rsid w:val="00C618F7"/>
    <w:rsid w:val="00C6316B"/>
    <w:rsid w:val="00C63433"/>
    <w:rsid w:val="00C634A9"/>
    <w:rsid w:val="00C64586"/>
    <w:rsid w:val="00C67B04"/>
    <w:rsid w:val="00C70D53"/>
    <w:rsid w:val="00C71888"/>
    <w:rsid w:val="00C73D0B"/>
    <w:rsid w:val="00C772FF"/>
    <w:rsid w:val="00C801AF"/>
    <w:rsid w:val="00C80256"/>
    <w:rsid w:val="00C811C0"/>
    <w:rsid w:val="00C83F10"/>
    <w:rsid w:val="00C84038"/>
    <w:rsid w:val="00CA3BF5"/>
    <w:rsid w:val="00CB6BC0"/>
    <w:rsid w:val="00CC1B7C"/>
    <w:rsid w:val="00CC727F"/>
    <w:rsid w:val="00CF15C3"/>
    <w:rsid w:val="00CF2B6F"/>
    <w:rsid w:val="00CF58B6"/>
    <w:rsid w:val="00D017ED"/>
    <w:rsid w:val="00D02A01"/>
    <w:rsid w:val="00D040D3"/>
    <w:rsid w:val="00D04C65"/>
    <w:rsid w:val="00D224FE"/>
    <w:rsid w:val="00D46FFA"/>
    <w:rsid w:val="00D53A31"/>
    <w:rsid w:val="00D56960"/>
    <w:rsid w:val="00D6493E"/>
    <w:rsid w:val="00D7301E"/>
    <w:rsid w:val="00D74B64"/>
    <w:rsid w:val="00D83AE1"/>
    <w:rsid w:val="00D855D4"/>
    <w:rsid w:val="00D93466"/>
    <w:rsid w:val="00DA1068"/>
    <w:rsid w:val="00DA1124"/>
    <w:rsid w:val="00DB75B7"/>
    <w:rsid w:val="00DC55E6"/>
    <w:rsid w:val="00DC6E02"/>
    <w:rsid w:val="00DE02AE"/>
    <w:rsid w:val="00DE22F3"/>
    <w:rsid w:val="00DF0238"/>
    <w:rsid w:val="00DF1D7F"/>
    <w:rsid w:val="00DF4BE4"/>
    <w:rsid w:val="00E02FB4"/>
    <w:rsid w:val="00E07F15"/>
    <w:rsid w:val="00E20571"/>
    <w:rsid w:val="00E21226"/>
    <w:rsid w:val="00E235F7"/>
    <w:rsid w:val="00E23659"/>
    <w:rsid w:val="00E239D4"/>
    <w:rsid w:val="00E25F74"/>
    <w:rsid w:val="00E26130"/>
    <w:rsid w:val="00E2741C"/>
    <w:rsid w:val="00E40B22"/>
    <w:rsid w:val="00E45619"/>
    <w:rsid w:val="00E4588F"/>
    <w:rsid w:val="00E46DA3"/>
    <w:rsid w:val="00E51BB1"/>
    <w:rsid w:val="00E624A5"/>
    <w:rsid w:val="00E705D3"/>
    <w:rsid w:val="00E7344E"/>
    <w:rsid w:val="00E936E3"/>
    <w:rsid w:val="00EA44F2"/>
    <w:rsid w:val="00EB0798"/>
    <w:rsid w:val="00EB1D43"/>
    <w:rsid w:val="00EB40AD"/>
    <w:rsid w:val="00EB586E"/>
    <w:rsid w:val="00EB5FC8"/>
    <w:rsid w:val="00EC0261"/>
    <w:rsid w:val="00ED3CAD"/>
    <w:rsid w:val="00ED3DEB"/>
    <w:rsid w:val="00ED5A41"/>
    <w:rsid w:val="00ED62C8"/>
    <w:rsid w:val="00EE1DE8"/>
    <w:rsid w:val="00EE716B"/>
    <w:rsid w:val="00EE7959"/>
    <w:rsid w:val="00F033EC"/>
    <w:rsid w:val="00F04F68"/>
    <w:rsid w:val="00F12670"/>
    <w:rsid w:val="00F14B27"/>
    <w:rsid w:val="00F158EC"/>
    <w:rsid w:val="00F2667C"/>
    <w:rsid w:val="00F3148D"/>
    <w:rsid w:val="00F325C5"/>
    <w:rsid w:val="00F32FE0"/>
    <w:rsid w:val="00F35298"/>
    <w:rsid w:val="00F47333"/>
    <w:rsid w:val="00F47D95"/>
    <w:rsid w:val="00F47E37"/>
    <w:rsid w:val="00F53C07"/>
    <w:rsid w:val="00F54B65"/>
    <w:rsid w:val="00F640B6"/>
    <w:rsid w:val="00F7558D"/>
    <w:rsid w:val="00F80E40"/>
    <w:rsid w:val="00F827FB"/>
    <w:rsid w:val="00F848D9"/>
    <w:rsid w:val="00FA5B82"/>
    <w:rsid w:val="00FA639E"/>
    <w:rsid w:val="00FA6EB0"/>
    <w:rsid w:val="00FC25E4"/>
    <w:rsid w:val="00FC2978"/>
    <w:rsid w:val="00FC4EF7"/>
    <w:rsid w:val="00FC6235"/>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8D763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3F2E97"/>
    <w:pPr>
      <w:keepNext/>
      <w:keepLines/>
      <w:numPr>
        <w:numId w:val="5"/>
      </w:numPr>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0526AB"/>
    <w:pPr>
      <w:keepNext/>
      <w:spacing w:before="0" w:line="240" w:lineRule="auto"/>
      <w:jc w:val="both"/>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0526AB"/>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3F2E97"/>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47517"/>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9D57EF"/>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NormalWeb">
    <w:name w:val="Normal (Web)"/>
    <w:basedOn w:val="Normal"/>
    <w:uiPriority w:val="99"/>
    <w:rsid w:val="000526AB"/>
    <w:pPr>
      <w:spacing w:beforeLines="1" w:afterLines="1" w:line="240" w:lineRule="auto"/>
    </w:pPr>
    <w:rPr>
      <w:rFonts w:ascii="Times" w:eastAsia="Times New Roman" w:hAnsi="Times"/>
      <w:sz w:val="20"/>
      <w:szCs w:val="20"/>
    </w:rPr>
  </w:style>
  <w:style w:type="character" w:customStyle="1" w:styleId="Heading8Char">
    <w:name w:val="Heading 8 Char"/>
    <w:basedOn w:val="DefaultParagraphFont"/>
    <w:link w:val="Heading8"/>
    <w:rsid w:val="000526AB"/>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0526AB"/>
    <w:rPr>
      <w:rFonts w:ascii="Arial" w:eastAsia="Times New Roman" w:hAnsi="Arial" w:cs="Arial"/>
      <w:kern w:val="16"/>
      <w:u w:val="single"/>
      <w:lang w:eastAsia="en-AU"/>
    </w:rPr>
  </w:style>
  <w:style w:type="paragraph" w:customStyle="1" w:styleId="Bullet1">
    <w:name w:val="Bullet 1"/>
    <w:basedOn w:val="Normal"/>
    <w:rsid w:val="000526AB"/>
    <w:pPr>
      <w:numPr>
        <w:numId w:val="7"/>
      </w:numPr>
      <w:spacing w:line="240" w:lineRule="auto"/>
      <w:jc w:val="both"/>
    </w:pPr>
    <w:rPr>
      <w:rFonts w:eastAsia="Times New Roman"/>
      <w:kern w:val="24"/>
      <w:szCs w:val="24"/>
      <w:lang w:eastAsia="en-AU"/>
    </w:rPr>
  </w:style>
  <w:style w:type="paragraph" w:customStyle="1" w:styleId="Bullet2">
    <w:name w:val="Bullet 2"/>
    <w:basedOn w:val="Bullet1"/>
    <w:rsid w:val="000526AB"/>
    <w:pPr>
      <w:numPr>
        <w:numId w:val="8"/>
      </w:numPr>
      <w:tabs>
        <w:tab w:val="clear" w:pos="567"/>
        <w:tab w:val="num" w:pos="284"/>
      </w:tabs>
      <w:ind w:left="284" w:hanging="284"/>
    </w:pPr>
  </w:style>
  <w:style w:type="paragraph" w:customStyle="1" w:styleId="Heading0inTOC">
    <w:name w:val="Heading 0 (in TOC)"/>
    <w:basedOn w:val="Heading1"/>
    <w:next w:val="Normal"/>
    <w:rsid w:val="000526AB"/>
    <w:pPr>
      <w:keepLines w:val="0"/>
      <w:numPr>
        <w:numId w:val="0"/>
      </w:numPr>
      <w:adjustRightInd/>
      <w:snapToGrid/>
      <w:spacing w:before="0" w:after="120" w:line="240" w:lineRule="auto"/>
      <w:jc w:val="both"/>
    </w:pPr>
    <w:rPr>
      <w:rFonts w:ascii="Arial" w:hAnsi="Arial" w:cs="Times New Roman"/>
      <w:bCs w:val="0"/>
      <w:kern w:val="16"/>
      <w:sz w:val="28"/>
      <w:szCs w:val="24"/>
      <w:lang w:eastAsia="en-AU"/>
    </w:rPr>
  </w:style>
  <w:style w:type="character" w:styleId="PageNumber">
    <w:name w:val="page number"/>
    <w:rsid w:val="000526AB"/>
    <w:rPr>
      <w:sz w:val="20"/>
    </w:rPr>
  </w:style>
  <w:style w:type="paragraph" w:customStyle="1" w:styleId="TableBullet">
    <w:name w:val="Table Bullet"/>
    <w:basedOn w:val="Normal"/>
    <w:rsid w:val="000526AB"/>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4"/>
      <w:lang w:eastAsia="en-AU"/>
    </w:rPr>
  </w:style>
  <w:style w:type="paragraph" w:styleId="TOC4">
    <w:name w:val="toc 4"/>
    <w:basedOn w:val="Normal"/>
    <w:next w:val="Normal"/>
    <w:uiPriority w:val="39"/>
    <w:rsid w:val="000526AB"/>
    <w:pPr>
      <w:tabs>
        <w:tab w:val="left" w:pos="1247"/>
        <w:tab w:val="right" w:leader="dot" w:pos="9356"/>
      </w:tabs>
      <w:spacing w:before="0" w:line="240" w:lineRule="auto"/>
      <w:ind w:left="1247" w:hanging="907"/>
      <w:jc w:val="both"/>
    </w:pPr>
    <w:rPr>
      <w:rFonts w:eastAsia="Times New Roman"/>
      <w:kern w:val="16"/>
      <w:sz w:val="20"/>
      <w:szCs w:val="24"/>
      <w:lang w:eastAsia="en-AU"/>
    </w:rPr>
  </w:style>
  <w:style w:type="paragraph" w:styleId="TOC5">
    <w:name w:val="toc 5"/>
    <w:basedOn w:val="Normal"/>
    <w:next w:val="Normal"/>
    <w:uiPriority w:val="39"/>
    <w:rsid w:val="000526AB"/>
    <w:pPr>
      <w:spacing w:before="0" w:line="240" w:lineRule="auto"/>
      <w:ind w:left="454"/>
      <w:jc w:val="both"/>
    </w:pPr>
    <w:rPr>
      <w:rFonts w:eastAsia="Times New Roman"/>
      <w:kern w:val="16"/>
      <w:sz w:val="20"/>
      <w:szCs w:val="24"/>
      <w:lang w:eastAsia="en-AU"/>
    </w:rPr>
  </w:style>
  <w:style w:type="paragraph" w:styleId="TOC6">
    <w:name w:val="toc 6"/>
    <w:basedOn w:val="Normal"/>
    <w:next w:val="Normal"/>
    <w:uiPriority w:val="39"/>
    <w:rsid w:val="000526AB"/>
    <w:pPr>
      <w:spacing w:before="0" w:line="240" w:lineRule="auto"/>
      <w:ind w:left="567"/>
      <w:jc w:val="both"/>
    </w:pPr>
    <w:rPr>
      <w:rFonts w:eastAsia="Times New Roman"/>
      <w:kern w:val="16"/>
      <w:sz w:val="20"/>
      <w:szCs w:val="24"/>
      <w:lang w:eastAsia="en-AU"/>
    </w:rPr>
  </w:style>
  <w:style w:type="paragraph" w:styleId="TOC7">
    <w:name w:val="toc 7"/>
    <w:basedOn w:val="Normal"/>
    <w:next w:val="Normal"/>
    <w:uiPriority w:val="39"/>
    <w:rsid w:val="000526AB"/>
    <w:pPr>
      <w:spacing w:before="0" w:line="240" w:lineRule="auto"/>
      <w:ind w:left="680"/>
      <w:jc w:val="both"/>
    </w:pPr>
    <w:rPr>
      <w:rFonts w:eastAsia="Times New Roman"/>
      <w:kern w:val="16"/>
      <w:sz w:val="20"/>
      <w:szCs w:val="24"/>
      <w:lang w:eastAsia="en-AU"/>
    </w:rPr>
  </w:style>
  <w:style w:type="paragraph" w:styleId="TOC8">
    <w:name w:val="toc 8"/>
    <w:basedOn w:val="Normal"/>
    <w:next w:val="Normal"/>
    <w:uiPriority w:val="39"/>
    <w:rsid w:val="000526AB"/>
    <w:pPr>
      <w:spacing w:before="0" w:line="240" w:lineRule="auto"/>
      <w:ind w:left="907"/>
      <w:jc w:val="both"/>
    </w:pPr>
    <w:rPr>
      <w:rFonts w:eastAsia="Times New Roman"/>
      <w:kern w:val="16"/>
      <w:sz w:val="20"/>
      <w:szCs w:val="24"/>
      <w:lang w:eastAsia="en-AU"/>
    </w:rPr>
  </w:style>
  <w:style w:type="paragraph" w:styleId="TOC9">
    <w:name w:val="toc 9"/>
    <w:basedOn w:val="Normal"/>
    <w:next w:val="Normal"/>
    <w:uiPriority w:val="39"/>
    <w:rsid w:val="000526AB"/>
    <w:pPr>
      <w:spacing w:before="0" w:line="240" w:lineRule="auto"/>
      <w:ind w:left="1134"/>
      <w:jc w:val="both"/>
    </w:pPr>
    <w:rPr>
      <w:rFonts w:eastAsia="Times New Roman"/>
      <w:kern w:val="16"/>
      <w:sz w:val="20"/>
      <w:szCs w:val="24"/>
      <w:lang w:eastAsia="en-AU"/>
    </w:rPr>
  </w:style>
  <w:style w:type="paragraph" w:styleId="EndnoteText">
    <w:name w:val="endnote text"/>
    <w:basedOn w:val="Normal"/>
    <w:link w:val="EndnoteTextChar"/>
    <w:semiHidden/>
    <w:rsid w:val="000526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0526AB"/>
    <w:rPr>
      <w:rFonts w:ascii="Cambria" w:eastAsia="Times New Roman" w:hAnsi="Cambria" w:cs="Times New Roman"/>
      <w:kern w:val="16"/>
      <w:sz w:val="20"/>
      <w:szCs w:val="20"/>
      <w:lang w:eastAsia="en-AU"/>
    </w:rPr>
  </w:style>
  <w:style w:type="character" w:styleId="EndnoteReference">
    <w:name w:val="endnote reference"/>
    <w:semiHidden/>
    <w:rsid w:val="000526AB"/>
    <w:rPr>
      <w:dstrike w:val="0"/>
      <w:vertAlign w:val="baseline"/>
    </w:rPr>
  </w:style>
  <w:style w:type="paragraph" w:styleId="FootnoteText">
    <w:name w:val="footnote text"/>
    <w:basedOn w:val="Normal"/>
    <w:link w:val="FootnoteTextChar"/>
    <w:semiHidden/>
    <w:rsid w:val="00757B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757B40"/>
    <w:rPr>
      <w:rFonts w:ascii="Cambria" w:eastAsia="Times New Roman" w:hAnsi="Cambria" w:cs="Times New Roman"/>
      <w:kern w:val="16"/>
      <w:sz w:val="18"/>
      <w:szCs w:val="20"/>
      <w:lang w:eastAsia="en-AU"/>
    </w:rPr>
  </w:style>
  <w:style w:type="character" w:styleId="FootnoteReference">
    <w:name w:val="footnote reference"/>
    <w:semiHidden/>
    <w:rsid w:val="000526AB"/>
    <w:rPr>
      <w:vertAlign w:val="superscript"/>
    </w:rPr>
  </w:style>
  <w:style w:type="paragraph" w:customStyle="1" w:styleId="Abbreviations">
    <w:name w:val="Abbreviations"/>
    <w:basedOn w:val="Normal"/>
    <w:rsid w:val="000526A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Cs w:val="24"/>
      <w:lang w:eastAsia="en-AU"/>
    </w:rPr>
  </w:style>
  <w:style w:type="paragraph" w:styleId="TableofFigures">
    <w:name w:val="table of figures"/>
    <w:basedOn w:val="Normal"/>
    <w:next w:val="Normal"/>
    <w:uiPriority w:val="99"/>
    <w:rsid w:val="000526AB"/>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0526A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F2667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eastAsia="Times New Roman" w:cs="Arial"/>
      <w:kern w:val="16"/>
      <w:szCs w:val="20"/>
      <w:lang w:eastAsia="en-AU"/>
    </w:rPr>
  </w:style>
  <w:style w:type="paragraph" w:customStyle="1" w:styleId="CommentDot">
    <w:name w:val="Comment Dot"/>
    <w:basedOn w:val="Comment2"/>
    <w:qFormat/>
    <w:rsid w:val="000526AB"/>
    <w:pPr>
      <w:numPr>
        <w:numId w:val="9"/>
      </w:numPr>
      <w:ind w:left="1134" w:firstLine="0"/>
    </w:pPr>
  </w:style>
  <w:style w:type="paragraph" w:customStyle="1" w:styleId="Instructions1">
    <w:name w:val="Instructions 1"/>
    <w:basedOn w:val="Normal"/>
    <w:qFormat/>
    <w:rsid w:val="000526AB"/>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0526AB"/>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character" w:styleId="CommentReference">
    <w:name w:val="annotation reference"/>
    <w:rsid w:val="000526AB"/>
    <w:rPr>
      <w:sz w:val="16"/>
      <w:szCs w:val="16"/>
    </w:rPr>
  </w:style>
  <w:style w:type="paragraph" w:styleId="CommentText">
    <w:name w:val="annotation text"/>
    <w:basedOn w:val="Normal"/>
    <w:link w:val="CommentTextChar"/>
    <w:rsid w:val="000526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CommentTextChar">
    <w:name w:val="Comment Text Char"/>
    <w:basedOn w:val="DefaultParagraphFont"/>
    <w:link w:val="CommentText"/>
    <w:rsid w:val="000526AB"/>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0526AB"/>
    <w:rPr>
      <w:b/>
      <w:bCs/>
    </w:rPr>
  </w:style>
  <w:style w:type="character" w:customStyle="1" w:styleId="CommentSubjectChar">
    <w:name w:val="Comment Subject Char"/>
    <w:basedOn w:val="CommentTextChar"/>
    <w:link w:val="CommentSubject"/>
    <w:rsid w:val="000526AB"/>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0526AB"/>
    <w:pPr>
      <w:tabs>
        <w:tab w:val="right" w:leader="dot" w:pos="9356"/>
      </w:tabs>
      <w:spacing w:line="240" w:lineRule="auto"/>
      <w:jc w:val="both"/>
    </w:pPr>
    <w:rPr>
      <w:rFonts w:eastAsia="Times New Roman"/>
      <w:b/>
      <w:kern w:val="16"/>
      <w:sz w:val="20"/>
      <w:szCs w:val="24"/>
      <w:lang w:eastAsia="en-AU"/>
    </w:rPr>
  </w:style>
  <w:style w:type="paragraph" w:customStyle="1" w:styleId="Contentslist2">
    <w:name w:val="Contents list 2"/>
    <w:basedOn w:val="Contentslist1"/>
    <w:qFormat/>
    <w:rsid w:val="000526AB"/>
    <w:pPr>
      <w:spacing w:before="0" w:after="0"/>
    </w:pPr>
    <w:rPr>
      <w:b w:val="0"/>
    </w:rPr>
  </w:style>
  <w:style w:type="character" w:customStyle="1" w:styleId="ti">
    <w:name w:val="ti"/>
    <w:basedOn w:val="DefaultParagraphFont"/>
    <w:rsid w:val="000526AB"/>
  </w:style>
  <w:style w:type="character" w:customStyle="1" w:styleId="w1">
    <w:name w:val="w1"/>
    <w:basedOn w:val="DefaultParagraphFont"/>
    <w:rsid w:val="000526AB"/>
    <w:rPr>
      <w:color w:val="0000CC"/>
    </w:rPr>
  </w:style>
  <w:style w:type="character" w:customStyle="1" w:styleId="a">
    <w:name w:val="a"/>
    <w:basedOn w:val="DefaultParagraphFont"/>
    <w:rsid w:val="000526AB"/>
  </w:style>
  <w:style w:type="paragraph" w:customStyle="1" w:styleId="Source">
    <w:name w:val="Source"/>
    <w:basedOn w:val="Normal"/>
    <w:qFormat/>
    <w:rsid w:val="000526AB"/>
    <w:pPr>
      <w:spacing w:before="0" w:after="0" w:line="240" w:lineRule="auto"/>
    </w:pPr>
    <w:rPr>
      <w:rFonts w:asciiTheme="minorHAnsi" w:eastAsiaTheme="minorHAnsi" w:hAnsiTheme="minorHAnsi" w:cstheme="minorBidi"/>
      <w:sz w:val="16"/>
      <w:szCs w:val="24"/>
      <w:lang w:val="en-US"/>
    </w:rPr>
  </w:style>
  <w:style w:type="paragraph" w:styleId="DocumentMap">
    <w:name w:val="Document Map"/>
    <w:basedOn w:val="Normal"/>
    <w:link w:val="DocumentMapChar"/>
    <w:rsid w:val="000526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0526AB"/>
    <w:rPr>
      <w:rFonts w:ascii="Lucida Grande" w:eastAsia="Times New Roman" w:hAnsi="Lucida Grande" w:cs="Times New Roman"/>
      <w:kern w:val="16"/>
      <w:sz w:val="24"/>
      <w:szCs w:val="24"/>
      <w:lang w:eastAsia="en-AU"/>
    </w:rPr>
  </w:style>
  <w:style w:type="paragraph" w:styleId="ListParagraph">
    <w:name w:val="List Paragraph"/>
    <w:basedOn w:val="Normal"/>
    <w:uiPriority w:val="34"/>
    <w:rsid w:val="003013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8D763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3F2E97"/>
    <w:pPr>
      <w:keepNext/>
      <w:keepLines/>
      <w:numPr>
        <w:numId w:val="5"/>
      </w:numPr>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0526AB"/>
    <w:pPr>
      <w:keepNext/>
      <w:spacing w:before="0" w:line="240" w:lineRule="auto"/>
      <w:jc w:val="both"/>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0526AB"/>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3F2E97"/>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47517"/>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9D57EF"/>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NormalWeb">
    <w:name w:val="Normal (Web)"/>
    <w:basedOn w:val="Normal"/>
    <w:uiPriority w:val="99"/>
    <w:rsid w:val="000526AB"/>
    <w:pPr>
      <w:spacing w:beforeLines="1" w:afterLines="1" w:line="240" w:lineRule="auto"/>
    </w:pPr>
    <w:rPr>
      <w:rFonts w:ascii="Times" w:eastAsia="Times New Roman" w:hAnsi="Times"/>
      <w:sz w:val="20"/>
      <w:szCs w:val="20"/>
    </w:rPr>
  </w:style>
  <w:style w:type="character" w:customStyle="1" w:styleId="Heading8Char">
    <w:name w:val="Heading 8 Char"/>
    <w:basedOn w:val="DefaultParagraphFont"/>
    <w:link w:val="Heading8"/>
    <w:rsid w:val="000526AB"/>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0526AB"/>
    <w:rPr>
      <w:rFonts w:ascii="Arial" w:eastAsia="Times New Roman" w:hAnsi="Arial" w:cs="Arial"/>
      <w:kern w:val="16"/>
      <w:u w:val="single"/>
      <w:lang w:eastAsia="en-AU"/>
    </w:rPr>
  </w:style>
  <w:style w:type="paragraph" w:customStyle="1" w:styleId="Bullet1">
    <w:name w:val="Bullet 1"/>
    <w:basedOn w:val="Normal"/>
    <w:rsid w:val="000526AB"/>
    <w:pPr>
      <w:numPr>
        <w:numId w:val="7"/>
      </w:numPr>
      <w:spacing w:line="240" w:lineRule="auto"/>
      <w:jc w:val="both"/>
    </w:pPr>
    <w:rPr>
      <w:rFonts w:eastAsia="Times New Roman"/>
      <w:kern w:val="24"/>
      <w:szCs w:val="24"/>
      <w:lang w:eastAsia="en-AU"/>
    </w:rPr>
  </w:style>
  <w:style w:type="paragraph" w:customStyle="1" w:styleId="Bullet2">
    <w:name w:val="Bullet 2"/>
    <w:basedOn w:val="Bullet1"/>
    <w:rsid w:val="000526AB"/>
    <w:pPr>
      <w:numPr>
        <w:numId w:val="8"/>
      </w:numPr>
      <w:tabs>
        <w:tab w:val="clear" w:pos="567"/>
        <w:tab w:val="num" w:pos="284"/>
      </w:tabs>
      <w:ind w:left="284" w:hanging="284"/>
    </w:pPr>
  </w:style>
  <w:style w:type="paragraph" w:customStyle="1" w:styleId="Heading0inTOC">
    <w:name w:val="Heading 0 (in TOC)"/>
    <w:basedOn w:val="Heading1"/>
    <w:next w:val="Normal"/>
    <w:rsid w:val="000526AB"/>
    <w:pPr>
      <w:keepLines w:val="0"/>
      <w:numPr>
        <w:numId w:val="0"/>
      </w:numPr>
      <w:adjustRightInd/>
      <w:snapToGrid/>
      <w:spacing w:before="0" w:after="120" w:line="240" w:lineRule="auto"/>
      <w:jc w:val="both"/>
    </w:pPr>
    <w:rPr>
      <w:rFonts w:ascii="Arial" w:hAnsi="Arial" w:cs="Times New Roman"/>
      <w:bCs w:val="0"/>
      <w:kern w:val="16"/>
      <w:sz w:val="28"/>
      <w:szCs w:val="24"/>
      <w:lang w:eastAsia="en-AU"/>
    </w:rPr>
  </w:style>
  <w:style w:type="character" w:styleId="PageNumber">
    <w:name w:val="page number"/>
    <w:rsid w:val="000526AB"/>
    <w:rPr>
      <w:sz w:val="20"/>
    </w:rPr>
  </w:style>
  <w:style w:type="paragraph" w:customStyle="1" w:styleId="TableBullet">
    <w:name w:val="Table Bullet"/>
    <w:basedOn w:val="Normal"/>
    <w:rsid w:val="000526AB"/>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4"/>
      <w:lang w:eastAsia="en-AU"/>
    </w:rPr>
  </w:style>
  <w:style w:type="paragraph" w:styleId="TOC4">
    <w:name w:val="toc 4"/>
    <w:basedOn w:val="Normal"/>
    <w:next w:val="Normal"/>
    <w:uiPriority w:val="39"/>
    <w:rsid w:val="000526AB"/>
    <w:pPr>
      <w:tabs>
        <w:tab w:val="left" w:pos="1247"/>
        <w:tab w:val="right" w:leader="dot" w:pos="9356"/>
      </w:tabs>
      <w:spacing w:before="0" w:line="240" w:lineRule="auto"/>
      <w:ind w:left="1247" w:hanging="907"/>
      <w:jc w:val="both"/>
    </w:pPr>
    <w:rPr>
      <w:rFonts w:eastAsia="Times New Roman"/>
      <w:kern w:val="16"/>
      <w:sz w:val="20"/>
      <w:szCs w:val="24"/>
      <w:lang w:eastAsia="en-AU"/>
    </w:rPr>
  </w:style>
  <w:style w:type="paragraph" w:styleId="TOC5">
    <w:name w:val="toc 5"/>
    <w:basedOn w:val="Normal"/>
    <w:next w:val="Normal"/>
    <w:uiPriority w:val="39"/>
    <w:rsid w:val="000526AB"/>
    <w:pPr>
      <w:spacing w:before="0" w:line="240" w:lineRule="auto"/>
      <w:ind w:left="454"/>
      <w:jc w:val="both"/>
    </w:pPr>
    <w:rPr>
      <w:rFonts w:eastAsia="Times New Roman"/>
      <w:kern w:val="16"/>
      <w:sz w:val="20"/>
      <w:szCs w:val="24"/>
      <w:lang w:eastAsia="en-AU"/>
    </w:rPr>
  </w:style>
  <w:style w:type="paragraph" w:styleId="TOC6">
    <w:name w:val="toc 6"/>
    <w:basedOn w:val="Normal"/>
    <w:next w:val="Normal"/>
    <w:uiPriority w:val="39"/>
    <w:rsid w:val="000526AB"/>
    <w:pPr>
      <w:spacing w:before="0" w:line="240" w:lineRule="auto"/>
      <w:ind w:left="567"/>
      <w:jc w:val="both"/>
    </w:pPr>
    <w:rPr>
      <w:rFonts w:eastAsia="Times New Roman"/>
      <w:kern w:val="16"/>
      <w:sz w:val="20"/>
      <w:szCs w:val="24"/>
      <w:lang w:eastAsia="en-AU"/>
    </w:rPr>
  </w:style>
  <w:style w:type="paragraph" w:styleId="TOC7">
    <w:name w:val="toc 7"/>
    <w:basedOn w:val="Normal"/>
    <w:next w:val="Normal"/>
    <w:uiPriority w:val="39"/>
    <w:rsid w:val="000526AB"/>
    <w:pPr>
      <w:spacing w:before="0" w:line="240" w:lineRule="auto"/>
      <w:ind w:left="680"/>
      <w:jc w:val="both"/>
    </w:pPr>
    <w:rPr>
      <w:rFonts w:eastAsia="Times New Roman"/>
      <w:kern w:val="16"/>
      <w:sz w:val="20"/>
      <w:szCs w:val="24"/>
      <w:lang w:eastAsia="en-AU"/>
    </w:rPr>
  </w:style>
  <w:style w:type="paragraph" w:styleId="TOC8">
    <w:name w:val="toc 8"/>
    <w:basedOn w:val="Normal"/>
    <w:next w:val="Normal"/>
    <w:uiPriority w:val="39"/>
    <w:rsid w:val="000526AB"/>
    <w:pPr>
      <w:spacing w:before="0" w:line="240" w:lineRule="auto"/>
      <w:ind w:left="907"/>
      <w:jc w:val="both"/>
    </w:pPr>
    <w:rPr>
      <w:rFonts w:eastAsia="Times New Roman"/>
      <w:kern w:val="16"/>
      <w:sz w:val="20"/>
      <w:szCs w:val="24"/>
      <w:lang w:eastAsia="en-AU"/>
    </w:rPr>
  </w:style>
  <w:style w:type="paragraph" w:styleId="TOC9">
    <w:name w:val="toc 9"/>
    <w:basedOn w:val="Normal"/>
    <w:next w:val="Normal"/>
    <w:uiPriority w:val="39"/>
    <w:rsid w:val="000526AB"/>
    <w:pPr>
      <w:spacing w:before="0" w:line="240" w:lineRule="auto"/>
      <w:ind w:left="1134"/>
      <w:jc w:val="both"/>
    </w:pPr>
    <w:rPr>
      <w:rFonts w:eastAsia="Times New Roman"/>
      <w:kern w:val="16"/>
      <w:sz w:val="20"/>
      <w:szCs w:val="24"/>
      <w:lang w:eastAsia="en-AU"/>
    </w:rPr>
  </w:style>
  <w:style w:type="paragraph" w:styleId="EndnoteText">
    <w:name w:val="endnote text"/>
    <w:basedOn w:val="Normal"/>
    <w:link w:val="EndnoteTextChar"/>
    <w:semiHidden/>
    <w:rsid w:val="000526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0526AB"/>
    <w:rPr>
      <w:rFonts w:ascii="Cambria" w:eastAsia="Times New Roman" w:hAnsi="Cambria" w:cs="Times New Roman"/>
      <w:kern w:val="16"/>
      <w:sz w:val="20"/>
      <w:szCs w:val="20"/>
      <w:lang w:eastAsia="en-AU"/>
    </w:rPr>
  </w:style>
  <w:style w:type="character" w:styleId="EndnoteReference">
    <w:name w:val="endnote reference"/>
    <w:semiHidden/>
    <w:rsid w:val="000526AB"/>
    <w:rPr>
      <w:dstrike w:val="0"/>
      <w:vertAlign w:val="baseline"/>
    </w:rPr>
  </w:style>
  <w:style w:type="paragraph" w:styleId="FootnoteText">
    <w:name w:val="footnote text"/>
    <w:basedOn w:val="Normal"/>
    <w:link w:val="FootnoteTextChar"/>
    <w:semiHidden/>
    <w:rsid w:val="00757B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757B40"/>
    <w:rPr>
      <w:rFonts w:ascii="Cambria" w:eastAsia="Times New Roman" w:hAnsi="Cambria" w:cs="Times New Roman"/>
      <w:kern w:val="16"/>
      <w:sz w:val="18"/>
      <w:szCs w:val="20"/>
      <w:lang w:eastAsia="en-AU"/>
    </w:rPr>
  </w:style>
  <w:style w:type="character" w:styleId="FootnoteReference">
    <w:name w:val="footnote reference"/>
    <w:semiHidden/>
    <w:rsid w:val="000526AB"/>
    <w:rPr>
      <w:vertAlign w:val="superscript"/>
    </w:rPr>
  </w:style>
  <w:style w:type="paragraph" w:customStyle="1" w:styleId="Abbreviations">
    <w:name w:val="Abbreviations"/>
    <w:basedOn w:val="Normal"/>
    <w:rsid w:val="000526A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Cs w:val="24"/>
      <w:lang w:eastAsia="en-AU"/>
    </w:rPr>
  </w:style>
  <w:style w:type="paragraph" w:styleId="TableofFigures">
    <w:name w:val="table of figures"/>
    <w:basedOn w:val="Normal"/>
    <w:next w:val="Normal"/>
    <w:uiPriority w:val="99"/>
    <w:rsid w:val="000526AB"/>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0526A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F2667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eastAsia="Times New Roman" w:cs="Arial"/>
      <w:kern w:val="16"/>
      <w:szCs w:val="20"/>
      <w:lang w:eastAsia="en-AU"/>
    </w:rPr>
  </w:style>
  <w:style w:type="paragraph" w:customStyle="1" w:styleId="CommentDot">
    <w:name w:val="Comment Dot"/>
    <w:basedOn w:val="Comment2"/>
    <w:qFormat/>
    <w:rsid w:val="000526AB"/>
    <w:pPr>
      <w:numPr>
        <w:numId w:val="9"/>
      </w:numPr>
      <w:ind w:left="1134" w:firstLine="0"/>
    </w:pPr>
  </w:style>
  <w:style w:type="paragraph" w:customStyle="1" w:styleId="Instructions1">
    <w:name w:val="Instructions 1"/>
    <w:basedOn w:val="Normal"/>
    <w:qFormat/>
    <w:rsid w:val="000526AB"/>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0526AB"/>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character" w:styleId="CommentReference">
    <w:name w:val="annotation reference"/>
    <w:rsid w:val="000526AB"/>
    <w:rPr>
      <w:sz w:val="16"/>
      <w:szCs w:val="16"/>
    </w:rPr>
  </w:style>
  <w:style w:type="paragraph" w:styleId="CommentText">
    <w:name w:val="annotation text"/>
    <w:basedOn w:val="Normal"/>
    <w:link w:val="CommentTextChar"/>
    <w:rsid w:val="000526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CommentTextChar">
    <w:name w:val="Comment Text Char"/>
    <w:basedOn w:val="DefaultParagraphFont"/>
    <w:link w:val="CommentText"/>
    <w:rsid w:val="000526AB"/>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0526AB"/>
    <w:rPr>
      <w:b/>
      <w:bCs/>
    </w:rPr>
  </w:style>
  <w:style w:type="character" w:customStyle="1" w:styleId="CommentSubjectChar">
    <w:name w:val="Comment Subject Char"/>
    <w:basedOn w:val="CommentTextChar"/>
    <w:link w:val="CommentSubject"/>
    <w:rsid w:val="000526AB"/>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0526AB"/>
    <w:pPr>
      <w:tabs>
        <w:tab w:val="right" w:leader="dot" w:pos="9356"/>
      </w:tabs>
      <w:spacing w:line="240" w:lineRule="auto"/>
      <w:jc w:val="both"/>
    </w:pPr>
    <w:rPr>
      <w:rFonts w:eastAsia="Times New Roman"/>
      <w:b/>
      <w:kern w:val="16"/>
      <w:sz w:val="20"/>
      <w:szCs w:val="24"/>
      <w:lang w:eastAsia="en-AU"/>
    </w:rPr>
  </w:style>
  <w:style w:type="paragraph" w:customStyle="1" w:styleId="Contentslist2">
    <w:name w:val="Contents list 2"/>
    <w:basedOn w:val="Contentslist1"/>
    <w:qFormat/>
    <w:rsid w:val="000526AB"/>
    <w:pPr>
      <w:spacing w:before="0" w:after="0"/>
    </w:pPr>
    <w:rPr>
      <w:b w:val="0"/>
    </w:rPr>
  </w:style>
  <w:style w:type="character" w:customStyle="1" w:styleId="ti">
    <w:name w:val="ti"/>
    <w:basedOn w:val="DefaultParagraphFont"/>
    <w:rsid w:val="000526AB"/>
  </w:style>
  <w:style w:type="character" w:customStyle="1" w:styleId="w1">
    <w:name w:val="w1"/>
    <w:basedOn w:val="DefaultParagraphFont"/>
    <w:rsid w:val="000526AB"/>
    <w:rPr>
      <w:color w:val="0000CC"/>
    </w:rPr>
  </w:style>
  <w:style w:type="character" w:customStyle="1" w:styleId="a">
    <w:name w:val="a"/>
    <w:basedOn w:val="DefaultParagraphFont"/>
    <w:rsid w:val="000526AB"/>
  </w:style>
  <w:style w:type="paragraph" w:customStyle="1" w:styleId="Source">
    <w:name w:val="Source"/>
    <w:basedOn w:val="Normal"/>
    <w:qFormat/>
    <w:rsid w:val="000526AB"/>
    <w:pPr>
      <w:spacing w:before="0" w:after="0" w:line="240" w:lineRule="auto"/>
    </w:pPr>
    <w:rPr>
      <w:rFonts w:asciiTheme="minorHAnsi" w:eastAsiaTheme="minorHAnsi" w:hAnsiTheme="minorHAnsi" w:cstheme="minorBidi"/>
      <w:sz w:val="16"/>
      <w:szCs w:val="24"/>
      <w:lang w:val="en-US"/>
    </w:rPr>
  </w:style>
  <w:style w:type="paragraph" w:styleId="DocumentMap">
    <w:name w:val="Document Map"/>
    <w:basedOn w:val="Normal"/>
    <w:link w:val="DocumentMapChar"/>
    <w:rsid w:val="000526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0526AB"/>
    <w:rPr>
      <w:rFonts w:ascii="Lucida Grande" w:eastAsia="Times New Roman" w:hAnsi="Lucida Grande" w:cs="Times New Roman"/>
      <w:kern w:val="16"/>
      <w:sz w:val="24"/>
      <w:szCs w:val="24"/>
      <w:lang w:eastAsia="en-AU"/>
    </w:rPr>
  </w:style>
  <w:style w:type="paragraph" w:styleId="ListParagraph">
    <w:name w:val="List Paragraph"/>
    <w:basedOn w:val="Normal"/>
    <w:uiPriority w:val="34"/>
    <w:rsid w:val="003013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77031">
      <w:bodyDiv w:val="1"/>
      <w:marLeft w:val="0"/>
      <w:marRight w:val="0"/>
      <w:marTop w:val="0"/>
      <w:marBottom w:val="0"/>
      <w:divBdr>
        <w:top w:val="none" w:sz="0" w:space="0" w:color="auto"/>
        <w:left w:val="none" w:sz="0" w:space="0" w:color="auto"/>
        <w:bottom w:val="none" w:sz="0" w:space="0" w:color="auto"/>
        <w:right w:val="none" w:sz="0" w:space="0" w:color="auto"/>
      </w:divBdr>
    </w:div>
    <w:div w:id="78646161">
      <w:bodyDiv w:val="1"/>
      <w:marLeft w:val="0"/>
      <w:marRight w:val="0"/>
      <w:marTop w:val="0"/>
      <w:marBottom w:val="0"/>
      <w:divBdr>
        <w:top w:val="none" w:sz="0" w:space="0" w:color="auto"/>
        <w:left w:val="none" w:sz="0" w:space="0" w:color="auto"/>
        <w:bottom w:val="none" w:sz="0" w:space="0" w:color="auto"/>
        <w:right w:val="none" w:sz="0" w:space="0" w:color="auto"/>
      </w:divBdr>
    </w:div>
    <w:div w:id="85925745">
      <w:bodyDiv w:val="1"/>
      <w:marLeft w:val="0"/>
      <w:marRight w:val="0"/>
      <w:marTop w:val="0"/>
      <w:marBottom w:val="0"/>
      <w:divBdr>
        <w:top w:val="none" w:sz="0" w:space="0" w:color="auto"/>
        <w:left w:val="none" w:sz="0" w:space="0" w:color="auto"/>
        <w:bottom w:val="none" w:sz="0" w:space="0" w:color="auto"/>
        <w:right w:val="none" w:sz="0" w:space="0" w:color="auto"/>
      </w:divBdr>
    </w:div>
    <w:div w:id="86191524">
      <w:bodyDiv w:val="1"/>
      <w:marLeft w:val="0"/>
      <w:marRight w:val="0"/>
      <w:marTop w:val="0"/>
      <w:marBottom w:val="0"/>
      <w:divBdr>
        <w:top w:val="none" w:sz="0" w:space="0" w:color="auto"/>
        <w:left w:val="none" w:sz="0" w:space="0" w:color="auto"/>
        <w:bottom w:val="none" w:sz="0" w:space="0" w:color="auto"/>
        <w:right w:val="none" w:sz="0" w:space="0" w:color="auto"/>
      </w:divBdr>
    </w:div>
    <w:div w:id="100614064">
      <w:bodyDiv w:val="1"/>
      <w:marLeft w:val="0"/>
      <w:marRight w:val="0"/>
      <w:marTop w:val="0"/>
      <w:marBottom w:val="0"/>
      <w:divBdr>
        <w:top w:val="none" w:sz="0" w:space="0" w:color="auto"/>
        <w:left w:val="none" w:sz="0" w:space="0" w:color="auto"/>
        <w:bottom w:val="none" w:sz="0" w:space="0" w:color="auto"/>
        <w:right w:val="none" w:sz="0" w:space="0" w:color="auto"/>
      </w:divBdr>
    </w:div>
    <w:div w:id="148912853">
      <w:bodyDiv w:val="1"/>
      <w:marLeft w:val="0"/>
      <w:marRight w:val="0"/>
      <w:marTop w:val="0"/>
      <w:marBottom w:val="0"/>
      <w:divBdr>
        <w:top w:val="none" w:sz="0" w:space="0" w:color="auto"/>
        <w:left w:val="none" w:sz="0" w:space="0" w:color="auto"/>
        <w:bottom w:val="none" w:sz="0" w:space="0" w:color="auto"/>
        <w:right w:val="none" w:sz="0" w:space="0" w:color="auto"/>
      </w:divBdr>
    </w:div>
    <w:div w:id="238947887">
      <w:bodyDiv w:val="1"/>
      <w:marLeft w:val="0"/>
      <w:marRight w:val="0"/>
      <w:marTop w:val="0"/>
      <w:marBottom w:val="0"/>
      <w:divBdr>
        <w:top w:val="none" w:sz="0" w:space="0" w:color="auto"/>
        <w:left w:val="none" w:sz="0" w:space="0" w:color="auto"/>
        <w:bottom w:val="none" w:sz="0" w:space="0" w:color="auto"/>
        <w:right w:val="none" w:sz="0" w:space="0" w:color="auto"/>
      </w:divBdr>
    </w:div>
    <w:div w:id="314183509">
      <w:bodyDiv w:val="1"/>
      <w:marLeft w:val="0"/>
      <w:marRight w:val="0"/>
      <w:marTop w:val="0"/>
      <w:marBottom w:val="0"/>
      <w:divBdr>
        <w:top w:val="none" w:sz="0" w:space="0" w:color="auto"/>
        <w:left w:val="none" w:sz="0" w:space="0" w:color="auto"/>
        <w:bottom w:val="none" w:sz="0" w:space="0" w:color="auto"/>
        <w:right w:val="none" w:sz="0" w:space="0" w:color="auto"/>
      </w:divBdr>
    </w:div>
    <w:div w:id="315762679">
      <w:bodyDiv w:val="1"/>
      <w:marLeft w:val="0"/>
      <w:marRight w:val="0"/>
      <w:marTop w:val="0"/>
      <w:marBottom w:val="0"/>
      <w:divBdr>
        <w:top w:val="none" w:sz="0" w:space="0" w:color="auto"/>
        <w:left w:val="none" w:sz="0" w:space="0" w:color="auto"/>
        <w:bottom w:val="none" w:sz="0" w:space="0" w:color="auto"/>
        <w:right w:val="none" w:sz="0" w:space="0" w:color="auto"/>
      </w:divBdr>
    </w:div>
    <w:div w:id="351146776">
      <w:bodyDiv w:val="1"/>
      <w:marLeft w:val="0"/>
      <w:marRight w:val="0"/>
      <w:marTop w:val="0"/>
      <w:marBottom w:val="0"/>
      <w:divBdr>
        <w:top w:val="none" w:sz="0" w:space="0" w:color="auto"/>
        <w:left w:val="none" w:sz="0" w:space="0" w:color="auto"/>
        <w:bottom w:val="none" w:sz="0" w:space="0" w:color="auto"/>
        <w:right w:val="none" w:sz="0" w:space="0" w:color="auto"/>
      </w:divBdr>
    </w:div>
    <w:div w:id="383141036">
      <w:bodyDiv w:val="1"/>
      <w:marLeft w:val="0"/>
      <w:marRight w:val="0"/>
      <w:marTop w:val="0"/>
      <w:marBottom w:val="0"/>
      <w:divBdr>
        <w:top w:val="none" w:sz="0" w:space="0" w:color="auto"/>
        <w:left w:val="none" w:sz="0" w:space="0" w:color="auto"/>
        <w:bottom w:val="none" w:sz="0" w:space="0" w:color="auto"/>
        <w:right w:val="none" w:sz="0" w:space="0" w:color="auto"/>
      </w:divBdr>
    </w:div>
    <w:div w:id="425733082">
      <w:bodyDiv w:val="1"/>
      <w:marLeft w:val="0"/>
      <w:marRight w:val="0"/>
      <w:marTop w:val="0"/>
      <w:marBottom w:val="0"/>
      <w:divBdr>
        <w:top w:val="none" w:sz="0" w:space="0" w:color="auto"/>
        <w:left w:val="none" w:sz="0" w:space="0" w:color="auto"/>
        <w:bottom w:val="none" w:sz="0" w:space="0" w:color="auto"/>
        <w:right w:val="none" w:sz="0" w:space="0" w:color="auto"/>
      </w:divBdr>
    </w:div>
    <w:div w:id="446388471">
      <w:bodyDiv w:val="1"/>
      <w:marLeft w:val="0"/>
      <w:marRight w:val="0"/>
      <w:marTop w:val="0"/>
      <w:marBottom w:val="0"/>
      <w:divBdr>
        <w:top w:val="none" w:sz="0" w:space="0" w:color="auto"/>
        <w:left w:val="none" w:sz="0" w:space="0" w:color="auto"/>
        <w:bottom w:val="none" w:sz="0" w:space="0" w:color="auto"/>
        <w:right w:val="none" w:sz="0" w:space="0" w:color="auto"/>
      </w:divBdr>
    </w:div>
    <w:div w:id="512962552">
      <w:bodyDiv w:val="1"/>
      <w:marLeft w:val="0"/>
      <w:marRight w:val="0"/>
      <w:marTop w:val="0"/>
      <w:marBottom w:val="0"/>
      <w:divBdr>
        <w:top w:val="none" w:sz="0" w:space="0" w:color="auto"/>
        <w:left w:val="none" w:sz="0" w:space="0" w:color="auto"/>
        <w:bottom w:val="none" w:sz="0" w:space="0" w:color="auto"/>
        <w:right w:val="none" w:sz="0" w:space="0" w:color="auto"/>
      </w:divBdr>
    </w:div>
    <w:div w:id="529299705">
      <w:bodyDiv w:val="1"/>
      <w:marLeft w:val="0"/>
      <w:marRight w:val="0"/>
      <w:marTop w:val="0"/>
      <w:marBottom w:val="0"/>
      <w:divBdr>
        <w:top w:val="none" w:sz="0" w:space="0" w:color="auto"/>
        <w:left w:val="none" w:sz="0" w:space="0" w:color="auto"/>
        <w:bottom w:val="none" w:sz="0" w:space="0" w:color="auto"/>
        <w:right w:val="none" w:sz="0" w:space="0" w:color="auto"/>
      </w:divBdr>
    </w:div>
    <w:div w:id="536310818">
      <w:bodyDiv w:val="1"/>
      <w:marLeft w:val="0"/>
      <w:marRight w:val="0"/>
      <w:marTop w:val="0"/>
      <w:marBottom w:val="0"/>
      <w:divBdr>
        <w:top w:val="none" w:sz="0" w:space="0" w:color="auto"/>
        <w:left w:val="none" w:sz="0" w:space="0" w:color="auto"/>
        <w:bottom w:val="none" w:sz="0" w:space="0" w:color="auto"/>
        <w:right w:val="none" w:sz="0" w:space="0" w:color="auto"/>
      </w:divBdr>
    </w:div>
    <w:div w:id="577054753">
      <w:bodyDiv w:val="1"/>
      <w:marLeft w:val="0"/>
      <w:marRight w:val="0"/>
      <w:marTop w:val="0"/>
      <w:marBottom w:val="0"/>
      <w:divBdr>
        <w:top w:val="none" w:sz="0" w:space="0" w:color="auto"/>
        <w:left w:val="none" w:sz="0" w:space="0" w:color="auto"/>
        <w:bottom w:val="none" w:sz="0" w:space="0" w:color="auto"/>
        <w:right w:val="none" w:sz="0" w:space="0" w:color="auto"/>
      </w:divBdr>
    </w:div>
    <w:div w:id="637999386">
      <w:bodyDiv w:val="1"/>
      <w:marLeft w:val="0"/>
      <w:marRight w:val="0"/>
      <w:marTop w:val="0"/>
      <w:marBottom w:val="0"/>
      <w:divBdr>
        <w:top w:val="none" w:sz="0" w:space="0" w:color="auto"/>
        <w:left w:val="none" w:sz="0" w:space="0" w:color="auto"/>
        <w:bottom w:val="none" w:sz="0" w:space="0" w:color="auto"/>
        <w:right w:val="none" w:sz="0" w:space="0" w:color="auto"/>
      </w:divBdr>
    </w:div>
    <w:div w:id="651836555">
      <w:bodyDiv w:val="1"/>
      <w:marLeft w:val="0"/>
      <w:marRight w:val="0"/>
      <w:marTop w:val="0"/>
      <w:marBottom w:val="0"/>
      <w:divBdr>
        <w:top w:val="none" w:sz="0" w:space="0" w:color="auto"/>
        <w:left w:val="none" w:sz="0" w:space="0" w:color="auto"/>
        <w:bottom w:val="none" w:sz="0" w:space="0" w:color="auto"/>
        <w:right w:val="none" w:sz="0" w:space="0" w:color="auto"/>
      </w:divBdr>
    </w:div>
    <w:div w:id="657416271">
      <w:bodyDiv w:val="1"/>
      <w:marLeft w:val="0"/>
      <w:marRight w:val="0"/>
      <w:marTop w:val="0"/>
      <w:marBottom w:val="0"/>
      <w:divBdr>
        <w:top w:val="none" w:sz="0" w:space="0" w:color="auto"/>
        <w:left w:val="none" w:sz="0" w:space="0" w:color="auto"/>
        <w:bottom w:val="none" w:sz="0" w:space="0" w:color="auto"/>
        <w:right w:val="none" w:sz="0" w:space="0" w:color="auto"/>
      </w:divBdr>
    </w:div>
    <w:div w:id="690298916">
      <w:bodyDiv w:val="1"/>
      <w:marLeft w:val="0"/>
      <w:marRight w:val="0"/>
      <w:marTop w:val="0"/>
      <w:marBottom w:val="0"/>
      <w:divBdr>
        <w:top w:val="none" w:sz="0" w:space="0" w:color="auto"/>
        <w:left w:val="none" w:sz="0" w:space="0" w:color="auto"/>
        <w:bottom w:val="none" w:sz="0" w:space="0" w:color="auto"/>
        <w:right w:val="none" w:sz="0" w:space="0" w:color="auto"/>
      </w:divBdr>
    </w:div>
    <w:div w:id="703596517">
      <w:bodyDiv w:val="1"/>
      <w:marLeft w:val="0"/>
      <w:marRight w:val="0"/>
      <w:marTop w:val="0"/>
      <w:marBottom w:val="0"/>
      <w:divBdr>
        <w:top w:val="none" w:sz="0" w:space="0" w:color="auto"/>
        <w:left w:val="none" w:sz="0" w:space="0" w:color="auto"/>
        <w:bottom w:val="none" w:sz="0" w:space="0" w:color="auto"/>
        <w:right w:val="none" w:sz="0" w:space="0" w:color="auto"/>
      </w:divBdr>
    </w:div>
    <w:div w:id="703868339">
      <w:bodyDiv w:val="1"/>
      <w:marLeft w:val="0"/>
      <w:marRight w:val="0"/>
      <w:marTop w:val="0"/>
      <w:marBottom w:val="0"/>
      <w:divBdr>
        <w:top w:val="none" w:sz="0" w:space="0" w:color="auto"/>
        <w:left w:val="none" w:sz="0" w:space="0" w:color="auto"/>
        <w:bottom w:val="none" w:sz="0" w:space="0" w:color="auto"/>
        <w:right w:val="none" w:sz="0" w:space="0" w:color="auto"/>
      </w:divBdr>
    </w:div>
    <w:div w:id="710225834">
      <w:bodyDiv w:val="1"/>
      <w:marLeft w:val="0"/>
      <w:marRight w:val="0"/>
      <w:marTop w:val="0"/>
      <w:marBottom w:val="0"/>
      <w:divBdr>
        <w:top w:val="none" w:sz="0" w:space="0" w:color="auto"/>
        <w:left w:val="none" w:sz="0" w:space="0" w:color="auto"/>
        <w:bottom w:val="none" w:sz="0" w:space="0" w:color="auto"/>
        <w:right w:val="none" w:sz="0" w:space="0" w:color="auto"/>
      </w:divBdr>
    </w:div>
    <w:div w:id="765806898">
      <w:bodyDiv w:val="1"/>
      <w:marLeft w:val="0"/>
      <w:marRight w:val="0"/>
      <w:marTop w:val="0"/>
      <w:marBottom w:val="0"/>
      <w:divBdr>
        <w:top w:val="none" w:sz="0" w:space="0" w:color="auto"/>
        <w:left w:val="none" w:sz="0" w:space="0" w:color="auto"/>
        <w:bottom w:val="none" w:sz="0" w:space="0" w:color="auto"/>
        <w:right w:val="none" w:sz="0" w:space="0" w:color="auto"/>
      </w:divBdr>
    </w:div>
    <w:div w:id="842739376">
      <w:bodyDiv w:val="1"/>
      <w:marLeft w:val="0"/>
      <w:marRight w:val="0"/>
      <w:marTop w:val="0"/>
      <w:marBottom w:val="0"/>
      <w:divBdr>
        <w:top w:val="none" w:sz="0" w:space="0" w:color="auto"/>
        <w:left w:val="none" w:sz="0" w:space="0" w:color="auto"/>
        <w:bottom w:val="none" w:sz="0" w:space="0" w:color="auto"/>
        <w:right w:val="none" w:sz="0" w:space="0" w:color="auto"/>
      </w:divBdr>
    </w:div>
    <w:div w:id="869680363">
      <w:bodyDiv w:val="1"/>
      <w:marLeft w:val="0"/>
      <w:marRight w:val="0"/>
      <w:marTop w:val="0"/>
      <w:marBottom w:val="0"/>
      <w:divBdr>
        <w:top w:val="none" w:sz="0" w:space="0" w:color="auto"/>
        <w:left w:val="none" w:sz="0" w:space="0" w:color="auto"/>
        <w:bottom w:val="none" w:sz="0" w:space="0" w:color="auto"/>
        <w:right w:val="none" w:sz="0" w:space="0" w:color="auto"/>
      </w:divBdr>
    </w:div>
    <w:div w:id="1021934419">
      <w:bodyDiv w:val="1"/>
      <w:marLeft w:val="0"/>
      <w:marRight w:val="0"/>
      <w:marTop w:val="0"/>
      <w:marBottom w:val="0"/>
      <w:divBdr>
        <w:top w:val="none" w:sz="0" w:space="0" w:color="auto"/>
        <w:left w:val="none" w:sz="0" w:space="0" w:color="auto"/>
        <w:bottom w:val="none" w:sz="0" w:space="0" w:color="auto"/>
        <w:right w:val="none" w:sz="0" w:space="0" w:color="auto"/>
      </w:divBdr>
    </w:div>
    <w:div w:id="1066301740">
      <w:bodyDiv w:val="1"/>
      <w:marLeft w:val="0"/>
      <w:marRight w:val="0"/>
      <w:marTop w:val="0"/>
      <w:marBottom w:val="0"/>
      <w:divBdr>
        <w:top w:val="none" w:sz="0" w:space="0" w:color="auto"/>
        <w:left w:val="none" w:sz="0" w:space="0" w:color="auto"/>
        <w:bottom w:val="none" w:sz="0" w:space="0" w:color="auto"/>
        <w:right w:val="none" w:sz="0" w:space="0" w:color="auto"/>
      </w:divBdr>
    </w:div>
    <w:div w:id="1086538979">
      <w:bodyDiv w:val="1"/>
      <w:marLeft w:val="0"/>
      <w:marRight w:val="0"/>
      <w:marTop w:val="0"/>
      <w:marBottom w:val="0"/>
      <w:divBdr>
        <w:top w:val="none" w:sz="0" w:space="0" w:color="auto"/>
        <w:left w:val="none" w:sz="0" w:space="0" w:color="auto"/>
        <w:bottom w:val="none" w:sz="0" w:space="0" w:color="auto"/>
        <w:right w:val="none" w:sz="0" w:space="0" w:color="auto"/>
      </w:divBdr>
    </w:div>
    <w:div w:id="1092513855">
      <w:bodyDiv w:val="1"/>
      <w:marLeft w:val="0"/>
      <w:marRight w:val="0"/>
      <w:marTop w:val="0"/>
      <w:marBottom w:val="0"/>
      <w:divBdr>
        <w:top w:val="none" w:sz="0" w:space="0" w:color="auto"/>
        <w:left w:val="none" w:sz="0" w:space="0" w:color="auto"/>
        <w:bottom w:val="none" w:sz="0" w:space="0" w:color="auto"/>
        <w:right w:val="none" w:sz="0" w:space="0" w:color="auto"/>
      </w:divBdr>
    </w:div>
    <w:div w:id="1265378035">
      <w:bodyDiv w:val="1"/>
      <w:marLeft w:val="0"/>
      <w:marRight w:val="0"/>
      <w:marTop w:val="0"/>
      <w:marBottom w:val="0"/>
      <w:divBdr>
        <w:top w:val="none" w:sz="0" w:space="0" w:color="auto"/>
        <w:left w:val="none" w:sz="0" w:space="0" w:color="auto"/>
        <w:bottom w:val="none" w:sz="0" w:space="0" w:color="auto"/>
        <w:right w:val="none" w:sz="0" w:space="0" w:color="auto"/>
      </w:divBdr>
    </w:div>
    <w:div w:id="1287277937">
      <w:bodyDiv w:val="1"/>
      <w:marLeft w:val="0"/>
      <w:marRight w:val="0"/>
      <w:marTop w:val="0"/>
      <w:marBottom w:val="0"/>
      <w:divBdr>
        <w:top w:val="none" w:sz="0" w:space="0" w:color="auto"/>
        <w:left w:val="none" w:sz="0" w:space="0" w:color="auto"/>
        <w:bottom w:val="none" w:sz="0" w:space="0" w:color="auto"/>
        <w:right w:val="none" w:sz="0" w:space="0" w:color="auto"/>
      </w:divBdr>
    </w:div>
    <w:div w:id="1418793757">
      <w:bodyDiv w:val="1"/>
      <w:marLeft w:val="0"/>
      <w:marRight w:val="0"/>
      <w:marTop w:val="0"/>
      <w:marBottom w:val="0"/>
      <w:divBdr>
        <w:top w:val="none" w:sz="0" w:space="0" w:color="auto"/>
        <w:left w:val="none" w:sz="0" w:space="0" w:color="auto"/>
        <w:bottom w:val="none" w:sz="0" w:space="0" w:color="auto"/>
        <w:right w:val="none" w:sz="0" w:space="0" w:color="auto"/>
      </w:divBdr>
    </w:div>
    <w:div w:id="1484614876">
      <w:bodyDiv w:val="1"/>
      <w:marLeft w:val="0"/>
      <w:marRight w:val="0"/>
      <w:marTop w:val="0"/>
      <w:marBottom w:val="0"/>
      <w:divBdr>
        <w:top w:val="none" w:sz="0" w:space="0" w:color="auto"/>
        <w:left w:val="none" w:sz="0" w:space="0" w:color="auto"/>
        <w:bottom w:val="none" w:sz="0" w:space="0" w:color="auto"/>
        <w:right w:val="none" w:sz="0" w:space="0" w:color="auto"/>
      </w:divBdr>
    </w:div>
    <w:div w:id="1488938509">
      <w:bodyDiv w:val="1"/>
      <w:marLeft w:val="0"/>
      <w:marRight w:val="0"/>
      <w:marTop w:val="0"/>
      <w:marBottom w:val="0"/>
      <w:divBdr>
        <w:top w:val="none" w:sz="0" w:space="0" w:color="auto"/>
        <w:left w:val="none" w:sz="0" w:space="0" w:color="auto"/>
        <w:bottom w:val="none" w:sz="0" w:space="0" w:color="auto"/>
        <w:right w:val="none" w:sz="0" w:space="0" w:color="auto"/>
      </w:divBdr>
    </w:div>
    <w:div w:id="1513492773">
      <w:bodyDiv w:val="1"/>
      <w:marLeft w:val="0"/>
      <w:marRight w:val="0"/>
      <w:marTop w:val="0"/>
      <w:marBottom w:val="0"/>
      <w:divBdr>
        <w:top w:val="none" w:sz="0" w:space="0" w:color="auto"/>
        <w:left w:val="none" w:sz="0" w:space="0" w:color="auto"/>
        <w:bottom w:val="none" w:sz="0" w:space="0" w:color="auto"/>
        <w:right w:val="none" w:sz="0" w:space="0" w:color="auto"/>
      </w:divBdr>
    </w:div>
    <w:div w:id="1535849447">
      <w:bodyDiv w:val="1"/>
      <w:marLeft w:val="0"/>
      <w:marRight w:val="0"/>
      <w:marTop w:val="0"/>
      <w:marBottom w:val="0"/>
      <w:divBdr>
        <w:top w:val="none" w:sz="0" w:space="0" w:color="auto"/>
        <w:left w:val="none" w:sz="0" w:space="0" w:color="auto"/>
        <w:bottom w:val="none" w:sz="0" w:space="0" w:color="auto"/>
        <w:right w:val="none" w:sz="0" w:space="0" w:color="auto"/>
      </w:divBdr>
    </w:div>
    <w:div w:id="1601253136">
      <w:bodyDiv w:val="1"/>
      <w:marLeft w:val="0"/>
      <w:marRight w:val="0"/>
      <w:marTop w:val="0"/>
      <w:marBottom w:val="0"/>
      <w:divBdr>
        <w:top w:val="none" w:sz="0" w:space="0" w:color="auto"/>
        <w:left w:val="none" w:sz="0" w:space="0" w:color="auto"/>
        <w:bottom w:val="none" w:sz="0" w:space="0" w:color="auto"/>
        <w:right w:val="none" w:sz="0" w:space="0" w:color="auto"/>
      </w:divBdr>
    </w:div>
    <w:div w:id="1604728142">
      <w:bodyDiv w:val="1"/>
      <w:marLeft w:val="0"/>
      <w:marRight w:val="0"/>
      <w:marTop w:val="0"/>
      <w:marBottom w:val="0"/>
      <w:divBdr>
        <w:top w:val="none" w:sz="0" w:space="0" w:color="auto"/>
        <w:left w:val="none" w:sz="0" w:space="0" w:color="auto"/>
        <w:bottom w:val="none" w:sz="0" w:space="0" w:color="auto"/>
        <w:right w:val="none" w:sz="0" w:space="0" w:color="auto"/>
      </w:divBdr>
    </w:div>
    <w:div w:id="1605960715">
      <w:bodyDiv w:val="1"/>
      <w:marLeft w:val="0"/>
      <w:marRight w:val="0"/>
      <w:marTop w:val="0"/>
      <w:marBottom w:val="0"/>
      <w:divBdr>
        <w:top w:val="none" w:sz="0" w:space="0" w:color="auto"/>
        <w:left w:val="none" w:sz="0" w:space="0" w:color="auto"/>
        <w:bottom w:val="none" w:sz="0" w:space="0" w:color="auto"/>
        <w:right w:val="none" w:sz="0" w:space="0" w:color="auto"/>
      </w:divBdr>
    </w:div>
    <w:div w:id="1617053968">
      <w:bodyDiv w:val="1"/>
      <w:marLeft w:val="0"/>
      <w:marRight w:val="0"/>
      <w:marTop w:val="0"/>
      <w:marBottom w:val="0"/>
      <w:divBdr>
        <w:top w:val="none" w:sz="0" w:space="0" w:color="auto"/>
        <w:left w:val="none" w:sz="0" w:space="0" w:color="auto"/>
        <w:bottom w:val="none" w:sz="0" w:space="0" w:color="auto"/>
        <w:right w:val="none" w:sz="0" w:space="0" w:color="auto"/>
      </w:divBdr>
    </w:div>
    <w:div w:id="1642465540">
      <w:bodyDiv w:val="1"/>
      <w:marLeft w:val="0"/>
      <w:marRight w:val="0"/>
      <w:marTop w:val="0"/>
      <w:marBottom w:val="0"/>
      <w:divBdr>
        <w:top w:val="none" w:sz="0" w:space="0" w:color="auto"/>
        <w:left w:val="none" w:sz="0" w:space="0" w:color="auto"/>
        <w:bottom w:val="none" w:sz="0" w:space="0" w:color="auto"/>
        <w:right w:val="none" w:sz="0" w:space="0" w:color="auto"/>
      </w:divBdr>
    </w:div>
    <w:div w:id="1661157412">
      <w:bodyDiv w:val="1"/>
      <w:marLeft w:val="0"/>
      <w:marRight w:val="0"/>
      <w:marTop w:val="0"/>
      <w:marBottom w:val="0"/>
      <w:divBdr>
        <w:top w:val="none" w:sz="0" w:space="0" w:color="auto"/>
        <w:left w:val="none" w:sz="0" w:space="0" w:color="auto"/>
        <w:bottom w:val="none" w:sz="0" w:space="0" w:color="auto"/>
        <w:right w:val="none" w:sz="0" w:space="0" w:color="auto"/>
      </w:divBdr>
    </w:div>
    <w:div w:id="1675259142">
      <w:bodyDiv w:val="1"/>
      <w:marLeft w:val="0"/>
      <w:marRight w:val="0"/>
      <w:marTop w:val="0"/>
      <w:marBottom w:val="0"/>
      <w:divBdr>
        <w:top w:val="none" w:sz="0" w:space="0" w:color="auto"/>
        <w:left w:val="none" w:sz="0" w:space="0" w:color="auto"/>
        <w:bottom w:val="none" w:sz="0" w:space="0" w:color="auto"/>
        <w:right w:val="none" w:sz="0" w:space="0" w:color="auto"/>
      </w:divBdr>
    </w:div>
    <w:div w:id="1688364235">
      <w:bodyDiv w:val="1"/>
      <w:marLeft w:val="0"/>
      <w:marRight w:val="0"/>
      <w:marTop w:val="0"/>
      <w:marBottom w:val="0"/>
      <w:divBdr>
        <w:top w:val="none" w:sz="0" w:space="0" w:color="auto"/>
        <w:left w:val="none" w:sz="0" w:space="0" w:color="auto"/>
        <w:bottom w:val="none" w:sz="0" w:space="0" w:color="auto"/>
        <w:right w:val="none" w:sz="0" w:space="0" w:color="auto"/>
      </w:divBdr>
    </w:div>
    <w:div w:id="1694723777">
      <w:bodyDiv w:val="1"/>
      <w:marLeft w:val="0"/>
      <w:marRight w:val="0"/>
      <w:marTop w:val="0"/>
      <w:marBottom w:val="0"/>
      <w:divBdr>
        <w:top w:val="none" w:sz="0" w:space="0" w:color="auto"/>
        <w:left w:val="none" w:sz="0" w:space="0" w:color="auto"/>
        <w:bottom w:val="none" w:sz="0" w:space="0" w:color="auto"/>
        <w:right w:val="none" w:sz="0" w:space="0" w:color="auto"/>
      </w:divBdr>
    </w:div>
    <w:div w:id="1704018909">
      <w:bodyDiv w:val="1"/>
      <w:marLeft w:val="0"/>
      <w:marRight w:val="0"/>
      <w:marTop w:val="0"/>
      <w:marBottom w:val="0"/>
      <w:divBdr>
        <w:top w:val="none" w:sz="0" w:space="0" w:color="auto"/>
        <w:left w:val="none" w:sz="0" w:space="0" w:color="auto"/>
        <w:bottom w:val="none" w:sz="0" w:space="0" w:color="auto"/>
        <w:right w:val="none" w:sz="0" w:space="0" w:color="auto"/>
      </w:divBdr>
    </w:div>
    <w:div w:id="1723014620">
      <w:bodyDiv w:val="1"/>
      <w:marLeft w:val="0"/>
      <w:marRight w:val="0"/>
      <w:marTop w:val="0"/>
      <w:marBottom w:val="0"/>
      <w:divBdr>
        <w:top w:val="none" w:sz="0" w:space="0" w:color="auto"/>
        <w:left w:val="none" w:sz="0" w:space="0" w:color="auto"/>
        <w:bottom w:val="none" w:sz="0" w:space="0" w:color="auto"/>
        <w:right w:val="none" w:sz="0" w:space="0" w:color="auto"/>
      </w:divBdr>
    </w:div>
    <w:div w:id="1727298381">
      <w:bodyDiv w:val="1"/>
      <w:marLeft w:val="0"/>
      <w:marRight w:val="0"/>
      <w:marTop w:val="0"/>
      <w:marBottom w:val="0"/>
      <w:divBdr>
        <w:top w:val="none" w:sz="0" w:space="0" w:color="auto"/>
        <w:left w:val="none" w:sz="0" w:space="0" w:color="auto"/>
        <w:bottom w:val="none" w:sz="0" w:space="0" w:color="auto"/>
        <w:right w:val="none" w:sz="0" w:space="0" w:color="auto"/>
      </w:divBdr>
    </w:div>
    <w:div w:id="1809055779">
      <w:bodyDiv w:val="1"/>
      <w:marLeft w:val="0"/>
      <w:marRight w:val="0"/>
      <w:marTop w:val="0"/>
      <w:marBottom w:val="0"/>
      <w:divBdr>
        <w:top w:val="none" w:sz="0" w:space="0" w:color="auto"/>
        <w:left w:val="none" w:sz="0" w:space="0" w:color="auto"/>
        <w:bottom w:val="none" w:sz="0" w:space="0" w:color="auto"/>
        <w:right w:val="none" w:sz="0" w:space="0" w:color="auto"/>
      </w:divBdr>
    </w:div>
    <w:div w:id="1816021730">
      <w:bodyDiv w:val="1"/>
      <w:marLeft w:val="0"/>
      <w:marRight w:val="0"/>
      <w:marTop w:val="0"/>
      <w:marBottom w:val="0"/>
      <w:divBdr>
        <w:top w:val="none" w:sz="0" w:space="0" w:color="auto"/>
        <w:left w:val="none" w:sz="0" w:space="0" w:color="auto"/>
        <w:bottom w:val="none" w:sz="0" w:space="0" w:color="auto"/>
        <w:right w:val="none" w:sz="0" w:space="0" w:color="auto"/>
      </w:divBdr>
    </w:div>
    <w:div w:id="1826193152">
      <w:bodyDiv w:val="1"/>
      <w:marLeft w:val="0"/>
      <w:marRight w:val="0"/>
      <w:marTop w:val="0"/>
      <w:marBottom w:val="0"/>
      <w:divBdr>
        <w:top w:val="none" w:sz="0" w:space="0" w:color="auto"/>
        <w:left w:val="none" w:sz="0" w:space="0" w:color="auto"/>
        <w:bottom w:val="none" w:sz="0" w:space="0" w:color="auto"/>
        <w:right w:val="none" w:sz="0" w:space="0" w:color="auto"/>
      </w:divBdr>
    </w:div>
    <w:div w:id="1918008862">
      <w:bodyDiv w:val="1"/>
      <w:marLeft w:val="0"/>
      <w:marRight w:val="0"/>
      <w:marTop w:val="0"/>
      <w:marBottom w:val="0"/>
      <w:divBdr>
        <w:top w:val="none" w:sz="0" w:space="0" w:color="auto"/>
        <w:left w:val="none" w:sz="0" w:space="0" w:color="auto"/>
        <w:bottom w:val="none" w:sz="0" w:space="0" w:color="auto"/>
        <w:right w:val="none" w:sz="0" w:space="0" w:color="auto"/>
      </w:divBdr>
    </w:div>
    <w:div w:id="1932003462">
      <w:bodyDiv w:val="1"/>
      <w:marLeft w:val="0"/>
      <w:marRight w:val="0"/>
      <w:marTop w:val="0"/>
      <w:marBottom w:val="0"/>
      <w:divBdr>
        <w:top w:val="none" w:sz="0" w:space="0" w:color="auto"/>
        <w:left w:val="none" w:sz="0" w:space="0" w:color="auto"/>
        <w:bottom w:val="none" w:sz="0" w:space="0" w:color="auto"/>
        <w:right w:val="none" w:sz="0" w:space="0" w:color="auto"/>
      </w:divBdr>
    </w:div>
    <w:div w:id="1951622232">
      <w:bodyDiv w:val="1"/>
      <w:marLeft w:val="0"/>
      <w:marRight w:val="0"/>
      <w:marTop w:val="0"/>
      <w:marBottom w:val="0"/>
      <w:divBdr>
        <w:top w:val="none" w:sz="0" w:space="0" w:color="auto"/>
        <w:left w:val="none" w:sz="0" w:space="0" w:color="auto"/>
        <w:bottom w:val="none" w:sz="0" w:space="0" w:color="auto"/>
        <w:right w:val="none" w:sz="0" w:space="0" w:color="auto"/>
      </w:divBdr>
    </w:div>
    <w:div w:id="1983343724">
      <w:bodyDiv w:val="1"/>
      <w:marLeft w:val="0"/>
      <w:marRight w:val="0"/>
      <w:marTop w:val="0"/>
      <w:marBottom w:val="0"/>
      <w:divBdr>
        <w:top w:val="none" w:sz="0" w:space="0" w:color="auto"/>
        <w:left w:val="none" w:sz="0" w:space="0" w:color="auto"/>
        <w:bottom w:val="none" w:sz="0" w:space="0" w:color="auto"/>
        <w:right w:val="none" w:sz="0" w:space="0" w:color="auto"/>
      </w:divBdr>
    </w:div>
    <w:div w:id="2002275825">
      <w:bodyDiv w:val="1"/>
      <w:marLeft w:val="0"/>
      <w:marRight w:val="0"/>
      <w:marTop w:val="0"/>
      <w:marBottom w:val="0"/>
      <w:divBdr>
        <w:top w:val="none" w:sz="0" w:space="0" w:color="auto"/>
        <w:left w:val="none" w:sz="0" w:space="0" w:color="auto"/>
        <w:bottom w:val="none" w:sz="0" w:space="0" w:color="auto"/>
        <w:right w:val="none" w:sz="0" w:space="0" w:color="auto"/>
      </w:divBdr>
    </w:div>
    <w:div w:id="2011835688">
      <w:bodyDiv w:val="1"/>
      <w:marLeft w:val="0"/>
      <w:marRight w:val="0"/>
      <w:marTop w:val="0"/>
      <w:marBottom w:val="0"/>
      <w:divBdr>
        <w:top w:val="none" w:sz="0" w:space="0" w:color="auto"/>
        <w:left w:val="none" w:sz="0" w:space="0" w:color="auto"/>
        <w:bottom w:val="none" w:sz="0" w:space="0" w:color="auto"/>
        <w:right w:val="none" w:sz="0" w:space="0" w:color="auto"/>
      </w:divBdr>
    </w:div>
    <w:div w:id="2063675943">
      <w:bodyDiv w:val="1"/>
      <w:marLeft w:val="0"/>
      <w:marRight w:val="0"/>
      <w:marTop w:val="0"/>
      <w:marBottom w:val="0"/>
      <w:divBdr>
        <w:top w:val="none" w:sz="0" w:space="0" w:color="auto"/>
        <w:left w:val="none" w:sz="0" w:space="0" w:color="auto"/>
        <w:bottom w:val="none" w:sz="0" w:space="0" w:color="auto"/>
        <w:right w:val="none" w:sz="0" w:space="0" w:color="auto"/>
      </w:divBdr>
    </w:div>
    <w:div w:id="2104064635">
      <w:bodyDiv w:val="1"/>
      <w:marLeft w:val="0"/>
      <w:marRight w:val="0"/>
      <w:marTop w:val="0"/>
      <w:marBottom w:val="0"/>
      <w:divBdr>
        <w:top w:val="none" w:sz="0" w:space="0" w:color="auto"/>
        <w:left w:val="none" w:sz="0" w:space="0" w:color="auto"/>
        <w:bottom w:val="none" w:sz="0" w:space="0" w:color="auto"/>
        <w:right w:val="none" w:sz="0" w:space="0" w:color="auto"/>
      </w:divBdr>
    </w:div>
    <w:div w:id="210476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4.xml"/><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oter" Target="footer3.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5.xml"/><Relationship Id="rId61" Type="http://schemas.openxmlformats.org/officeDocument/2006/relationships/header" Target="header6.xm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www.tga.gov.au" TargetMode="External"/><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2.xml"/><Relationship Id="rId64"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mailto:info@tga.gov.au"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eader" Target="header3.xml"/><Relationship Id="rId62"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940\t0NMJM9K.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1FA28-F3C2-4336-8919-2F1CB4374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t0NMJM9K.DOTX</Template>
  <TotalTime>457</TotalTime>
  <Pages>88</Pages>
  <Words>48750</Words>
  <Characters>254968</Characters>
  <Application>Microsoft Office Word</Application>
  <DocSecurity>0</DocSecurity>
  <Lines>4249</Lines>
  <Paragraphs>1439</Paragraphs>
  <ScaleCrop>false</ScaleCrop>
  <HeadingPairs>
    <vt:vector size="2" baseType="variant">
      <vt:variant>
        <vt:lpstr>Title</vt:lpstr>
      </vt:variant>
      <vt:variant>
        <vt:i4>1</vt:i4>
      </vt:variant>
    </vt:vector>
  </HeadingPairs>
  <TitlesOfParts>
    <vt:vector size="1" baseType="lpstr">
      <vt:lpstr>AusPARAttachment 2: Extract from the Clinical Evaluation Report for Eylea</vt:lpstr>
    </vt:vector>
  </TitlesOfParts>
  <Company>Department of Health Therapeutic Goods Administration</Company>
  <LinksUpToDate>false</LinksUpToDate>
  <CharactersWithSpaces>302279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Eylea</dc:title>
  <dc:subject>prescription medicine regulation</dc:subject>
  <dc:creator>Therapeutic Goods Administration</dc:creator>
  <cp:keywords>clinical, evaluation, report, medicine, assessment, regulation, australia, aflibercept, eylea, bayer</cp:keywords>
  <cp:lastModifiedBy>Sheppard, Fran</cp:lastModifiedBy>
  <cp:revision>25</cp:revision>
  <cp:lastPrinted>2010-12-20T22:59:00Z</cp:lastPrinted>
  <dcterms:created xsi:type="dcterms:W3CDTF">2014-08-04T00:48:00Z</dcterms:created>
  <dcterms:modified xsi:type="dcterms:W3CDTF">2014-08-24T04:21:00Z</dcterms:modified>
</cp:coreProperties>
</file>