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D65027E" w14:textId="77777777" w:rsidTr="00BF1190">
        <w:trPr>
          <w:trHeight w:val="1863"/>
        </w:trPr>
        <w:tc>
          <w:tcPr>
            <w:tcW w:w="3652" w:type="dxa"/>
            <w:tcBorders>
              <w:top w:val="nil"/>
              <w:left w:val="nil"/>
              <w:bottom w:val="nil"/>
              <w:right w:val="nil"/>
            </w:tcBorders>
          </w:tcPr>
          <w:p w14:paraId="04160FB3" w14:textId="77777777" w:rsidR="008E7846" w:rsidRPr="00096AA7" w:rsidRDefault="00512FFD" w:rsidP="00096AA7">
            <w:pPr>
              <w:rPr>
                <w:rFonts w:ascii="Arial" w:hAnsi="Arial" w:cs="Arial"/>
                <w:b/>
                <w:color w:val="002C47"/>
                <w:sz w:val="36"/>
                <w:szCs w:val="36"/>
              </w:rPr>
            </w:pPr>
            <w:r>
              <w:rPr>
                <w:rFonts w:ascii="Arial" w:hAnsi="Arial" w:cs="Arial"/>
                <w:b/>
                <w:color w:val="002C47"/>
                <w:sz w:val="36"/>
                <w:szCs w:val="36"/>
              </w:rPr>
              <w:t>March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391530B" w14:textId="77777777" w:rsidTr="0032583B">
        <w:trPr>
          <w:trHeight w:val="868"/>
        </w:trPr>
        <w:tc>
          <w:tcPr>
            <w:tcW w:w="9079" w:type="dxa"/>
          </w:tcPr>
          <w:p w14:paraId="071D8C05" w14:textId="77777777" w:rsidR="0032583B" w:rsidRPr="00A964D1" w:rsidRDefault="0032583B" w:rsidP="00512FFD">
            <w:pPr>
              <w:pStyle w:val="Title"/>
              <w:rPr>
                <w:color w:val="FFFFFF" w:themeColor="background1"/>
              </w:rPr>
            </w:pPr>
            <w:r w:rsidRPr="00A964D1">
              <w:rPr>
                <w:color w:val="FFFFFF" w:themeColor="background1"/>
              </w:rPr>
              <w:t xml:space="preserve">Australian Public Assessment Report for </w:t>
            </w:r>
            <w:proofErr w:type="spellStart"/>
            <w:r w:rsidR="00512FFD" w:rsidRPr="00512FFD">
              <w:rPr>
                <w:color w:val="FFFFFF" w:themeColor="background1"/>
              </w:rPr>
              <w:t>Alectinib</w:t>
            </w:r>
            <w:proofErr w:type="spellEnd"/>
          </w:p>
        </w:tc>
      </w:tr>
      <w:tr w:rsidR="0032583B" w:rsidRPr="00B64760" w14:paraId="242BDC4C" w14:textId="77777777" w:rsidTr="0032583B">
        <w:tc>
          <w:tcPr>
            <w:tcW w:w="9079" w:type="dxa"/>
          </w:tcPr>
          <w:p w14:paraId="492B7B74" w14:textId="77777777" w:rsidR="0032583B" w:rsidRPr="008E7846" w:rsidRDefault="0032583B" w:rsidP="00512FFD">
            <w:pPr>
              <w:pStyle w:val="Subtitle"/>
              <w:rPr>
                <w:color w:val="FFFFFF" w:themeColor="background1"/>
              </w:rPr>
            </w:pPr>
            <w:r w:rsidRPr="008E7846">
              <w:rPr>
                <w:color w:val="FFFFFF" w:themeColor="background1"/>
              </w:rPr>
              <w:t>Proprietary Product Name:</w:t>
            </w:r>
            <w:r w:rsidR="004232F7">
              <w:rPr>
                <w:color w:val="FFFFFF" w:themeColor="background1"/>
              </w:rPr>
              <w:t xml:space="preserve"> </w:t>
            </w:r>
            <w:proofErr w:type="spellStart"/>
            <w:r w:rsidR="00512FFD">
              <w:rPr>
                <w:color w:val="FFFFFF" w:themeColor="background1"/>
              </w:rPr>
              <w:t>Alecensa</w:t>
            </w:r>
            <w:proofErr w:type="spellEnd"/>
          </w:p>
        </w:tc>
      </w:tr>
      <w:tr w:rsidR="0032583B" w:rsidRPr="00B64760" w14:paraId="73274860" w14:textId="77777777" w:rsidTr="0032583B">
        <w:trPr>
          <w:trHeight w:val="486"/>
        </w:trPr>
        <w:tc>
          <w:tcPr>
            <w:tcW w:w="9079" w:type="dxa"/>
          </w:tcPr>
          <w:p w14:paraId="41AF0A34" w14:textId="079ED72E" w:rsidR="0032583B" w:rsidRPr="008E7846" w:rsidRDefault="0032583B" w:rsidP="0032583B">
            <w:pPr>
              <w:pStyle w:val="Subtitle"/>
              <w:rPr>
                <w:color w:val="FFFFFF" w:themeColor="background1"/>
              </w:rPr>
            </w:pPr>
            <w:r w:rsidRPr="008E7846">
              <w:rPr>
                <w:color w:val="FFFFFF" w:themeColor="background1"/>
              </w:rPr>
              <w:t>Sponsor:</w:t>
            </w:r>
            <w:r w:rsidR="004232F7">
              <w:rPr>
                <w:color w:val="FFFFFF" w:themeColor="background1"/>
              </w:rPr>
              <w:t xml:space="preserve"> </w:t>
            </w:r>
            <w:r w:rsidR="00512FFD" w:rsidRPr="00512FFD">
              <w:rPr>
                <w:color w:val="FFFFFF" w:themeColor="background1"/>
              </w:rPr>
              <w:t>Roche Australia Pty Ltd</w:t>
            </w:r>
          </w:p>
        </w:tc>
      </w:tr>
    </w:tbl>
    <w:p w14:paraId="451082C3" w14:textId="77777777" w:rsidR="008E7846" w:rsidRPr="0085156D" w:rsidRDefault="008E7846" w:rsidP="0085156D">
      <w:r w:rsidRPr="0085156D">
        <w:br w:type="page"/>
      </w:r>
    </w:p>
    <w:p w14:paraId="25753E4B" w14:textId="77777777" w:rsidR="008E7846" w:rsidRPr="001F6CBA" w:rsidRDefault="008E7846" w:rsidP="008E7846">
      <w:pPr>
        <w:pStyle w:val="NonTOCHeading2"/>
      </w:pPr>
      <w:r w:rsidRPr="001F6CBA">
        <w:lastRenderedPageBreak/>
        <w:t>About the Therapeutic Goods Administration (TGA)</w:t>
      </w:r>
    </w:p>
    <w:p w14:paraId="1DE399B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F8CCC7C"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78D841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B1063E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ED58C0E"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516AC795" w14:textId="77777777" w:rsidR="008E7846" w:rsidRDefault="008E7846" w:rsidP="00875A6B">
      <w:pPr>
        <w:pStyle w:val="NonTOCHeading2"/>
      </w:pPr>
      <w:r>
        <w:t xml:space="preserve">About </w:t>
      </w:r>
      <w:proofErr w:type="spellStart"/>
      <w:r>
        <w:t>AusPARs</w:t>
      </w:r>
      <w:proofErr w:type="spellEnd"/>
    </w:p>
    <w:p w14:paraId="08777872"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A5474AB"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450CBA5C"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456270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823F595"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6913E41" w14:textId="77777777" w:rsidR="00924482" w:rsidRPr="00DF1D7F" w:rsidRDefault="00924482" w:rsidP="00F54B65">
      <w:pPr>
        <w:pStyle w:val="LegalSubheading"/>
        <w:spacing w:before="3120"/>
      </w:pPr>
      <w:r w:rsidRPr="00DF1D7F">
        <w:t>Copyright</w:t>
      </w:r>
    </w:p>
    <w:p w14:paraId="2D0E1762" w14:textId="032B6A80" w:rsidR="00924482" w:rsidRDefault="00924482" w:rsidP="00924482">
      <w:pPr>
        <w:pStyle w:val="LegalCopy"/>
      </w:pPr>
      <w:r w:rsidRPr="00191B3B">
        <w:rPr>
          <w:rFonts w:cs="Arial"/>
          <w:lang w:val="en-GB"/>
        </w:rPr>
        <w:t>© Comm</w:t>
      </w:r>
      <w:r>
        <w:rPr>
          <w:rFonts w:cs="Arial"/>
          <w:lang w:val="en-GB"/>
        </w:rPr>
        <w:t>onwealth of Australia 201</w:t>
      </w:r>
      <w:r w:rsidR="00407466">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10A3E74B"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AECCFCE" w14:textId="77777777" w:rsidR="0089635C" w:rsidRPr="0089635C" w:rsidRDefault="0089635C" w:rsidP="0010788A">
          <w:pPr>
            <w:pStyle w:val="Contents"/>
          </w:pPr>
          <w:r w:rsidRPr="0010788A">
            <w:t>Cont</w:t>
          </w:r>
          <w:bookmarkStart w:id="2" w:name="_GoBack"/>
          <w:bookmarkEnd w:id="2"/>
          <w:r w:rsidRPr="0010788A">
            <w:t>ents</w:t>
          </w:r>
        </w:p>
        <w:p w14:paraId="7E346D15" w14:textId="77777777" w:rsidR="004C430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9821954" w:history="1">
            <w:r w:rsidR="004C4300" w:rsidRPr="00A8101B">
              <w:rPr>
                <w:rStyle w:val="Hyperlink"/>
                <w:noProof/>
              </w:rPr>
              <w:t>Common abbreviations</w:t>
            </w:r>
            <w:r w:rsidR="004C4300">
              <w:rPr>
                <w:noProof/>
                <w:webHidden/>
              </w:rPr>
              <w:tab/>
            </w:r>
            <w:r w:rsidR="004C4300">
              <w:rPr>
                <w:noProof/>
                <w:webHidden/>
              </w:rPr>
              <w:fldChar w:fldCharType="begin"/>
            </w:r>
            <w:r w:rsidR="004C4300">
              <w:rPr>
                <w:noProof/>
                <w:webHidden/>
              </w:rPr>
              <w:instrText xml:space="preserve"> PAGEREF _Toc509821954 \h </w:instrText>
            </w:r>
            <w:r w:rsidR="004C4300">
              <w:rPr>
                <w:noProof/>
                <w:webHidden/>
              </w:rPr>
            </w:r>
            <w:r w:rsidR="004C4300">
              <w:rPr>
                <w:noProof/>
                <w:webHidden/>
              </w:rPr>
              <w:fldChar w:fldCharType="separate"/>
            </w:r>
            <w:r w:rsidR="004C4300">
              <w:rPr>
                <w:noProof/>
                <w:webHidden/>
              </w:rPr>
              <w:t>4</w:t>
            </w:r>
            <w:r w:rsidR="004C4300">
              <w:rPr>
                <w:noProof/>
                <w:webHidden/>
              </w:rPr>
              <w:fldChar w:fldCharType="end"/>
            </w:r>
          </w:hyperlink>
        </w:p>
        <w:p w14:paraId="3C49AF66" w14:textId="77777777" w:rsidR="004C4300" w:rsidRDefault="004C4300">
          <w:pPr>
            <w:pStyle w:val="TOC2"/>
            <w:rPr>
              <w:rFonts w:asciiTheme="minorHAnsi" w:eastAsiaTheme="minorEastAsia" w:hAnsiTheme="minorHAnsi" w:cstheme="minorBidi"/>
              <w:b w:val="0"/>
              <w:noProof/>
              <w:sz w:val="22"/>
              <w:lang w:eastAsia="en-AU"/>
            </w:rPr>
          </w:pPr>
          <w:hyperlink w:anchor="_Toc509821955" w:history="1">
            <w:r w:rsidRPr="00A8101B">
              <w:rPr>
                <w:rStyle w:val="Hyperlink"/>
                <w:noProof/>
              </w:rPr>
              <w:t>I. Introduction to product submission</w:t>
            </w:r>
            <w:r>
              <w:rPr>
                <w:noProof/>
                <w:webHidden/>
              </w:rPr>
              <w:tab/>
            </w:r>
            <w:r>
              <w:rPr>
                <w:noProof/>
                <w:webHidden/>
              </w:rPr>
              <w:fldChar w:fldCharType="begin"/>
            </w:r>
            <w:r>
              <w:rPr>
                <w:noProof/>
                <w:webHidden/>
              </w:rPr>
              <w:instrText xml:space="preserve"> PAGEREF _Toc509821955 \h </w:instrText>
            </w:r>
            <w:r>
              <w:rPr>
                <w:noProof/>
                <w:webHidden/>
              </w:rPr>
            </w:r>
            <w:r>
              <w:rPr>
                <w:noProof/>
                <w:webHidden/>
              </w:rPr>
              <w:fldChar w:fldCharType="separate"/>
            </w:r>
            <w:r>
              <w:rPr>
                <w:noProof/>
                <w:webHidden/>
              </w:rPr>
              <w:t>6</w:t>
            </w:r>
            <w:r>
              <w:rPr>
                <w:noProof/>
                <w:webHidden/>
              </w:rPr>
              <w:fldChar w:fldCharType="end"/>
            </w:r>
          </w:hyperlink>
        </w:p>
        <w:p w14:paraId="71DA9DC4" w14:textId="77777777" w:rsidR="004C4300" w:rsidRDefault="004C4300">
          <w:pPr>
            <w:pStyle w:val="TOC3"/>
            <w:rPr>
              <w:rFonts w:asciiTheme="minorHAnsi" w:eastAsiaTheme="minorEastAsia" w:hAnsiTheme="minorHAnsi" w:cstheme="minorBidi"/>
              <w:noProof/>
              <w:lang w:eastAsia="en-AU"/>
            </w:rPr>
          </w:pPr>
          <w:hyperlink w:anchor="_Toc509821956" w:history="1">
            <w:r w:rsidRPr="00A8101B">
              <w:rPr>
                <w:rStyle w:val="Hyperlink"/>
                <w:noProof/>
                <w:lang w:eastAsia="en-AU"/>
              </w:rPr>
              <w:t>Submission details</w:t>
            </w:r>
            <w:r>
              <w:rPr>
                <w:noProof/>
                <w:webHidden/>
              </w:rPr>
              <w:tab/>
            </w:r>
            <w:r>
              <w:rPr>
                <w:noProof/>
                <w:webHidden/>
              </w:rPr>
              <w:fldChar w:fldCharType="begin"/>
            </w:r>
            <w:r>
              <w:rPr>
                <w:noProof/>
                <w:webHidden/>
              </w:rPr>
              <w:instrText xml:space="preserve"> PAGEREF _Toc509821956 \h </w:instrText>
            </w:r>
            <w:r>
              <w:rPr>
                <w:noProof/>
                <w:webHidden/>
              </w:rPr>
            </w:r>
            <w:r>
              <w:rPr>
                <w:noProof/>
                <w:webHidden/>
              </w:rPr>
              <w:fldChar w:fldCharType="separate"/>
            </w:r>
            <w:r>
              <w:rPr>
                <w:noProof/>
                <w:webHidden/>
              </w:rPr>
              <w:t>6</w:t>
            </w:r>
            <w:r>
              <w:rPr>
                <w:noProof/>
                <w:webHidden/>
              </w:rPr>
              <w:fldChar w:fldCharType="end"/>
            </w:r>
          </w:hyperlink>
        </w:p>
        <w:p w14:paraId="6AE34D81" w14:textId="77777777" w:rsidR="004C4300" w:rsidRDefault="004C4300">
          <w:pPr>
            <w:pStyle w:val="TOC3"/>
            <w:rPr>
              <w:rFonts w:asciiTheme="minorHAnsi" w:eastAsiaTheme="minorEastAsia" w:hAnsiTheme="minorHAnsi" w:cstheme="minorBidi"/>
              <w:noProof/>
              <w:lang w:eastAsia="en-AU"/>
            </w:rPr>
          </w:pPr>
          <w:hyperlink w:anchor="_Toc509821957" w:history="1">
            <w:r w:rsidRPr="00A8101B">
              <w:rPr>
                <w:rStyle w:val="Hyperlink"/>
                <w:noProof/>
              </w:rPr>
              <w:t>Product background</w:t>
            </w:r>
            <w:r>
              <w:rPr>
                <w:noProof/>
                <w:webHidden/>
              </w:rPr>
              <w:tab/>
            </w:r>
            <w:r>
              <w:rPr>
                <w:noProof/>
                <w:webHidden/>
              </w:rPr>
              <w:fldChar w:fldCharType="begin"/>
            </w:r>
            <w:r>
              <w:rPr>
                <w:noProof/>
                <w:webHidden/>
              </w:rPr>
              <w:instrText xml:space="preserve"> PAGEREF _Toc509821957 \h </w:instrText>
            </w:r>
            <w:r>
              <w:rPr>
                <w:noProof/>
                <w:webHidden/>
              </w:rPr>
            </w:r>
            <w:r>
              <w:rPr>
                <w:noProof/>
                <w:webHidden/>
              </w:rPr>
              <w:fldChar w:fldCharType="separate"/>
            </w:r>
            <w:r>
              <w:rPr>
                <w:noProof/>
                <w:webHidden/>
              </w:rPr>
              <w:t>6</w:t>
            </w:r>
            <w:r>
              <w:rPr>
                <w:noProof/>
                <w:webHidden/>
              </w:rPr>
              <w:fldChar w:fldCharType="end"/>
            </w:r>
          </w:hyperlink>
        </w:p>
        <w:p w14:paraId="2D213DE2" w14:textId="77777777" w:rsidR="004C4300" w:rsidRDefault="004C4300">
          <w:pPr>
            <w:pStyle w:val="TOC3"/>
            <w:rPr>
              <w:rFonts w:asciiTheme="minorHAnsi" w:eastAsiaTheme="minorEastAsia" w:hAnsiTheme="minorHAnsi" w:cstheme="minorBidi"/>
              <w:noProof/>
              <w:lang w:eastAsia="en-AU"/>
            </w:rPr>
          </w:pPr>
          <w:hyperlink w:anchor="_Toc509821958" w:history="1">
            <w:r w:rsidRPr="00A8101B">
              <w:rPr>
                <w:rStyle w:val="Hyperlink"/>
                <w:noProof/>
              </w:rPr>
              <w:t>Regulatory status</w:t>
            </w:r>
            <w:r>
              <w:rPr>
                <w:noProof/>
                <w:webHidden/>
              </w:rPr>
              <w:tab/>
            </w:r>
            <w:r>
              <w:rPr>
                <w:noProof/>
                <w:webHidden/>
              </w:rPr>
              <w:fldChar w:fldCharType="begin"/>
            </w:r>
            <w:r>
              <w:rPr>
                <w:noProof/>
                <w:webHidden/>
              </w:rPr>
              <w:instrText xml:space="preserve"> PAGEREF _Toc509821958 \h </w:instrText>
            </w:r>
            <w:r>
              <w:rPr>
                <w:noProof/>
                <w:webHidden/>
              </w:rPr>
            </w:r>
            <w:r>
              <w:rPr>
                <w:noProof/>
                <w:webHidden/>
              </w:rPr>
              <w:fldChar w:fldCharType="separate"/>
            </w:r>
            <w:r>
              <w:rPr>
                <w:noProof/>
                <w:webHidden/>
              </w:rPr>
              <w:t>8</w:t>
            </w:r>
            <w:r>
              <w:rPr>
                <w:noProof/>
                <w:webHidden/>
              </w:rPr>
              <w:fldChar w:fldCharType="end"/>
            </w:r>
          </w:hyperlink>
        </w:p>
        <w:p w14:paraId="6F4FCFDB" w14:textId="77777777" w:rsidR="004C4300" w:rsidRDefault="004C4300">
          <w:pPr>
            <w:pStyle w:val="TOC3"/>
            <w:rPr>
              <w:rFonts w:asciiTheme="minorHAnsi" w:eastAsiaTheme="minorEastAsia" w:hAnsiTheme="minorHAnsi" w:cstheme="minorBidi"/>
              <w:noProof/>
              <w:lang w:eastAsia="en-AU"/>
            </w:rPr>
          </w:pPr>
          <w:hyperlink w:anchor="_Toc509821959" w:history="1">
            <w:r w:rsidRPr="00A8101B">
              <w:rPr>
                <w:rStyle w:val="Hyperlink"/>
                <w:noProof/>
              </w:rPr>
              <w:t>Product Information</w:t>
            </w:r>
            <w:r>
              <w:rPr>
                <w:noProof/>
                <w:webHidden/>
              </w:rPr>
              <w:tab/>
            </w:r>
            <w:r>
              <w:rPr>
                <w:noProof/>
                <w:webHidden/>
              </w:rPr>
              <w:fldChar w:fldCharType="begin"/>
            </w:r>
            <w:r>
              <w:rPr>
                <w:noProof/>
                <w:webHidden/>
              </w:rPr>
              <w:instrText xml:space="preserve"> PAGEREF _Toc509821959 \h </w:instrText>
            </w:r>
            <w:r>
              <w:rPr>
                <w:noProof/>
                <w:webHidden/>
              </w:rPr>
            </w:r>
            <w:r>
              <w:rPr>
                <w:noProof/>
                <w:webHidden/>
              </w:rPr>
              <w:fldChar w:fldCharType="separate"/>
            </w:r>
            <w:r>
              <w:rPr>
                <w:noProof/>
                <w:webHidden/>
              </w:rPr>
              <w:t>9</w:t>
            </w:r>
            <w:r>
              <w:rPr>
                <w:noProof/>
                <w:webHidden/>
              </w:rPr>
              <w:fldChar w:fldCharType="end"/>
            </w:r>
          </w:hyperlink>
        </w:p>
        <w:p w14:paraId="63E5ECB5" w14:textId="77777777" w:rsidR="004C4300" w:rsidRDefault="004C4300">
          <w:pPr>
            <w:pStyle w:val="TOC2"/>
            <w:rPr>
              <w:rFonts w:asciiTheme="minorHAnsi" w:eastAsiaTheme="minorEastAsia" w:hAnsiTheme="minorHAnsi" w:cstheme="minorBidi"/>
              <w:b w:val="0"/>
              <w:noProof/>
              <w:sz w:val="22"/>
              <w:lang w:eastAsia="en-AU"/>
            </w:rPr>
          </w:pPr>
          <w:hyperlink w:anchor="_Toc509821960" w:history="1">
            <w:r w:rsidRPr="00A8101B">
              <w:rPr>
                <w:rStyle w:val="Hyperlink"/>
                <w:noProof/>
              </w:rPr>
              <w:t>II. Quality findings</w:t>
            </w:r>
            <w:r>
              <w:rPr>
                <w:noProof/>
                <w:webHidden/>
              </w:rPr>
              <w:tab/>
            </w:r>
            <w:r>
              <w:rPr>
                <w:noProof/>
                <w:webHidden/>
              </w:rPr>
              <w:fldChar w:fldCharType="begin"/>
            </w:r>
            <w:r>
              <w:rPr>
                <w:noProof/>
                <w:webHidden/>
              </w:rPr>
              <w:instrText xml:space="preserve"> PAGEREF _Toc509821960 \h </w:instrText>
            </w:r>
            <w:r>
              <w:rPr>
                <w:noProof/>
                <w:webHidden/>
              </w:rPr>
            </w:r>
            <w:r>
              <w:rPr>
                <w:noProof/>
                <w:webHidden/>
              </w:rPr>
              <w:fldChar w:fldCharType="separate"/>
            </w:r>
            <w:r>
              <w:rPr>
                <w:noProof/>
                <w:webHidden/>
              </w:rPr>
              <w:t>9</w:t>
            </w:r>
            <w:r>
              <w:rPr>
                <w:noProof/>
                <w:webHidden/>
              </w:rPr>
              <w:fldChar w:fldCharType="end"/>
            </w:r>
          </w:hyperlink>
        </w:p>
        <w:p w14:paraId="06B6C807" w14:textId="77777777" w:rsidR="004C4300" w:rsidRDefault="004C4300">
          <w:pPr>
            <w:pStyle w:val="TOC2"/>
            <w:rPr>
              <w:rFonts w:asciiTheme="minorHAnsi" w:eastAsiaTheme="minorEastAsia" w:hAnsiTheme="minorHAnsi" w:cstheme="minorBidi"/>
              <w:b w:val="0"/>
              <w:noProof/>
              <w:sz w:val="22"/>
              <w:lang w:eastAsia="en-AU"/>
            </w:rPr>
          </w:pPr>
          <w:hyperlink w:anchor="_Toc509821961" w:history="1">
            <w:r w:rsidRPr="00A8101B">
              <w:rPr>
                <w:rStyle w:val="Hyperlink"/>
                <w:noProof/>
              </w:rPr>
              <w:t>III. Nonclinical findings</w:t>
            </w:r>
            <w:r>
              <w:rPr>
                <w:noProof/>
                <w:webHidden/>
              </w:rPr>
              <w:tab/>
            </w:r>
            <w:r>
              <w:rPr>
                <w:noProof/>
                <w:webHidden/>
              </w:rPr>
              <w:fldChar w:fldCharType="begin"/>
            </w:r>
            <w:r>
              <w:rPr>
                <w:noProof/>
                <w:webHidden/>
              </w:rPr>
              <w:instrText xml:space="preserve"> PAGEREF _Toc509821961 \h </w:instrText>
            </w:r>
            <w:r>
              <w:rPr>
                <w:noProof/>
                <w:webHidden/>
              </w:rPr>
            </w:r>
            <w:r>
              <w:rPr>
                <w:noProof/>
                <w:webHidden/>
              </w:rPr>
              <w:fldChar w:fldCharType="separate"/>
            </w:r>
            <w:r>
              <w:rPr>
                <w:noProof/>
                <w:webHidden/>
              </w:rPr>
              <w:t>9</w:t>
            </w:r>
            <w:r>
              <w:rPr>
                <w:noProof/>
                <w:webHidden/>
              </w:rPr>
              <w:fldChar w:fldCharType="end"/>
            </w:r>
          </w:hyperlink>
        </w:p>
        <w:p w14:paraId="2D247A14" w14:textId="77777777" w:rsidR="004C4300" w:rsidRDefault="004C4300">
          <w:pPr>
            <w:pStyle w:val="TOC2"/>
            <w:rPr>
              <w:rFonts w:asciiTheme="minorHAnsi" w:eastAsiaTheme="minorEastAsia" w:hAnsiTheme="minorHAnsi" w:cstheme="minorBidi"/>
              <w:b w:val="0"/>
              <w:noProof/>
              <w:sz w:val="22"/>
              <w:lang w:eastAsia="en-AU"/>
            </w:rPr>
          </w:pPr>
          <w:hyperlink w:anchor="_Toc509821962" w:history="1">
            <w:r w:rsidRPr="00A8101B">
              <w:rPr>
                <w:rStyle w:val="Hyperlink"/>
                <w:noProof/>
              </w:rPr>
              <w:t>IV. Clinical findings</w:t>
            </w:r>
            <w:r>
              <w:rPr>
                <w:noProof/>
                <w:webHidden/>
              </w:rPr>
              <w:tab/>
            </w:r>
            <w:r>
              <w:rPr>
                <w:noProof/>
                <w:webHidden/>
              </w:rPr>
              <w:fldChar w:fldCharType="begin"/>
            </w:r>
            <w:r>
              <w:rPr>
                <w:noProof/>
                <w:webHidden/>
              </w:rPr>
              <w:instrText xml:space="preserve"> PAGEREF _Toc509821962 \h </w:instrText>
            </w:r>
            <w:r>
              <w:rPr>
                <w:noProof/>
                <w:webHidden/>
              </w:rPr>
            </w:r>
            <w:r>
              <w:rPr>
                <w:noProof/>
                <w:webHidden/>
              </w:rPr>
              <w:fldChar w:fldCharType="separate"/>
            </w:r>
            <w:r>
              <w:rPr>
                <w:noProof/>
                <w:webHidden/>
              </w:rPr>
              <w:t>9</w:t>
            </w:r>
            <w:r>
              <w:rPr>
                <w:noProof/>
                <w:webHidden/>
              </w:rPr>
              <w:fldChar w:fldCharType="end"/>
            </w:r>
          </w:hyperlink>
        </w:p>
        <w:p w14:paraId="6B6C1A52" w14:textId="77777777" w:rsidR="004C4300" w:rsidRDefault="004C4300">
          <w:pPr>
            <w:pStyle w:val="TOC3"/>
            <w:rPr>
              <w:rFonts w:asciiTheme="minorHAnsi" w:eastAsiaTheme="minorEastAsia" w:hAnsiTheme="minorHAnsi" w:cstheme="minorBidi"/>
              <w:noProof/>
              <w:lang w:eastAsia="en-AU"/>
            </w:rPr>
          </w:pPr>
          <w:hyperlink w:anchor="_Toc509821963" w:history="1">
            <w:r w:rsidRPr="00A8101B">
              <w:rPr>
                <w:rStyle w:val="Hyperlink"/>
                <w:noProof/>
              </w:rPr>
              <w:t>Introduction</w:t>
            </w:r>
            <w:r>
              <w:rPr>
                <w:noProof/>
                <w:webHidden/>
              </w:rPr>
              <w:tab/>
            </w:r>
            <w:r>
              <w:rPr>
                <w:noProof/>
                <w:webHidden/>
              </w:rPr>
              <w:fldChar w:fldCharType="begin"/>
            </w:r>
            <w:r>
              <w:rPr>
                <w:noProof/>
                <w:webHidden/>
              </w:rPr>
              <w:instrText xml:space="preserve"> PAGEREF _Toc509821963 \h </w:instrText>
            </w:r>
            <w:r>
              <w:rPr>
                <w:noProof/>
                <w:webHidden/>
              </w:rPr>
            </w:r>
            <w:r>
              <w:rPr>
                <w:noProof/>
                <w:webHidden/>
              </w:rPr>
              <w:fldChar w:fldCharType="separate"/>
            </w:r>
            <w:r>
              <w:rPr>
                <w:noProof/>
                <w:webHidden/>
              </w:rPr>
              <w:t>9</w:t>
            </w:r>
            <w:r>
              <w:rPr>
                <w:noProof/>
                <w:webHidden/>
              </w:rPr>
              <w:fldChar w:fldCharType="end"/>
            </w:r>
          </w:hyperlink>
        </w:p>
        <w:p w14:paraId="2D3A9973" w14:textId="77777777" w:rsidR="004C4300" w:rsidRDefault="004C4300">
          <w:pPr>
            <w:pStyle w:val="TOC3"/>
            <w:rPr>
              <w:rFonts w:asciiTheme="minorHAnsi" w:eastAsiaTheme="minorEastAsia" w:hAnsiTheme="minorHAnsi" w:cstheme="minorBidi"/>
              <w:noProof/>
              <w:lang w:eastAsia="en-AU"/>
            </w:rPr>
          </w:pPr>
          <w:hyperlink w:anchor="_Toc509821964" w:history="1">
            <w:r w:rsidRPr="00A8101B">
              <w:rPr>
                <w:rStyle w:val="Hyperlink"/>
                <w:noProof/>
              </w:rPr>
              <w:t>Pharmacokinetics</w:t>
            </w:r>
            <w:r>
              <w:rPr>
                <w:noProof/>
                <w:webHidden/>
              </w:rPr>
              <w:tab/>
            </w:r>
            <w:r>
              <w:rPr>
                <w:noProof/>
                <w:webHidden/>
              </w:rPr>
              <w:fldChar w:fldCharType="begin"/>
            </w:r>
            <w:r>
              <w:rPr>
                <w:noProof/>
                <w:webHidden/>
              </w:rPr>
              <w:instrText xml:space="preserve"> PAGEREF _Toc509821964 \h </w:instrText>
            </w:r>
            <w:r>
              <w:rPr>
                <w:noProof/>
                <w:webHidden/>
              </w:rPr>
            </w:r>
            <w:r>
              <w:rPr>
                <w:noProof/>
                <w:webHidden/>
              </w:rPr>
              <w:fldChar w:fldCharType="separate"/>
            </w:r>
            <w:r>
              <w:rPr>
                <w:noProof/>
                <w:webHidden/>
              </w:rPr>
              <w:t>13</w:t>
            </w:r>
            <w:r>
              <w:rPr>
                <w:noProof/>
                <w:webHidden/>
              </w:rPr>
              <w:fldChar w:fldCharType="end"/>
            </w:r>
          </w:hyperlink>
        </w:p>
        <w:p w14:paraId="3C1DAC91" w14:textId="77777777" w:rsidR="004C4300" w:rsidRDefault="004C4300">
          <w:pPr>
            <w:pStyle w:val="TOC3"/>
            <w:rPr>
              <w:rFonts w:asciiTheme="minorHAnsi" w:eastAsiaTheme="minorEastAsia" w:hAnsiTheme="minorHAnsi" w:cstheme="minorBidi"/>
              <w:noProof/>
              <w:lang w:eastAsia="en-AU"/>
            </w:rPr>
          </w:pPr>
          <w:hyperlink w:anchor="_Toc509821965" w:history="1">
            <w:r w:rsidRPr="00A8101B">
              <w:rPr>
                <w:rStyle w:val="Hyperlink"/>
                <w:noProof/>
              </w:rPr>
              <w:t>Pharmacodynamics</w:t>
            </w:r>
            <w:r>
              <w:rPr>
                <w:noProof/>
                <w:webHidden/>
              </w:rPr>
              <w:tab/>
            </w:r>
            <w:r>
              <w:rPr>
                <w:noProof/>
                <w:webHidden/>
              </w:rPr>
              <w:fldChar w:fldCharType="begin"/>
            </w:r>
            <w:r>
              <w:rPr>
                <w:noProof/>
                <w:webHidden/>
              </w:rPr>
              <w:instrText xml:space="preserve"> PAGEREF _Toc509821965 \h </w:instrText>
            </w:r>
            <w:r>
              <w:rPr>
                <w:noProof/>
                <w:webHidden/>
              </w:rPr>
            </w:r>
            <w:r>
              <w:rPr>
                <w:noProof/>
                <w:webHidden/>
              </w:rPr>
              <w:fldChar w:fldCharType="separate"/>
            </w:r>
            <w:r>
              <w:rPr>
                <w:noProof/>
                <w:webHidden/>
              </w:rPr>
              <w:t>14</w:t>
            </w:r>
            <w:r>
              <w:rPr>
                <w:noProof/>
                <w:webHidden/>
              </w:rPr>
              <w:fldChar w:fldCharType="end"/>
            </w:r>
          </w:hyperlink>
        </w:p>
        <w:p w14:paraId="5971FDB5" w14:textId="77777777" w:rsidR="004C4300" w:rsidRDefault="004C4300">
          <w:pPr>
            <w:pStyle w:val="TOC3"/>
            <w:rPr>
              <w:rFonts w:asciiTheme="minorHAnsi" w:eastAsiaTheme="minorEastAsia" w:hAnsiTheme="minorHAnsi" w:cstheme="minorBidi"/>
              <w:noProof/>
              <w:lang w:eastAsia="en-AU"/>
            </w:rPr>
          </w:pPr>
          <w:hyperlink w:anchor="_Toc509821966" w:history="1">
            <w:r w:rsidRPr="00A8101B">
              <w:rPr>
                <w:rStyle w:val="Hyperlink"/>
                <w:noProof/>
              </w:rPr>
              <w:t>Dosage selection for the pivotal studies</w:t>
            </w:r>
            <w:r>
              <w:rPr>
                <w:noProof/>
                <w:webHidden/>
              </w:rPr>
              <w:tab/>
            </w:r>
            <w:r>
              <w:rPr>
                <w:noProof/>
                <w:webHidden/>
              </w:rPr>
              <w:fldChar w:fldCharType="begin"/>
            </w:r>
            <w:r>
              <w:rPr>
                <w:noProof/>
                <w:webHidden/>
              </w:rPr>
              <w:instrText xml:space="preserve"> PAGEREF _Toc509821966 \h </w:instrText>
            </w:r>
            <w:r>
              <w:rPr>
                <w:noProof/>
                <w:webHidden/>
              </w:rPr>
            </w:r>
            <w:r>
              <w:rPr>
                <w:noProof/>
                <w:webHidden/>
              </w:rPr>
              <w:fldChar w:fldCharType="separate"/>
            </w:r>
            <w:r>
              <w:rPr>
                <w:noProof/>
                <w:webHidden/>
              </w:rPr>
              <w:t>14</w:t>
            </w:r>
            <w:r>
              <w:rPr>
                <w:noProof/>
                <w:webHidden/>
              </w:rPr>
              <w:fldChar w:fldCharType="end"/>
            </w:r>
          </w:hyperlink>
        </w:p>
        <w:p w14:paraId="051EEA17" w14:textId="77777777" w:rsidR="004C4300" w:rsidRDefault="004C4300">
          <w:pPr>
            <w:pStyle w:val="TOC3"/>
            <w:rPr>
              <w:rFonts w:asciiTheme="minorHAnsi" w:eastAsiaTheme="minorEastAsia" w:hAnsiTheme="minorHAnsi" w:cstheme="minorBidi"/>
              <w:noProof/>
              <w:lang w:eastAsia="en-AU"/>
            </w:rPr>
          </w:pPr>
          <w:hyperlink w:anchor="_Toc509821967" w:history="1">
            <w:r w:rsidRPr="00A8101B">
              <w:rPr>
                <w:rStyle w:val="Hyperlink"/>
                <w:noProof/>
              </w:rPr>
              <w:t>Efficacy</w:t>
            </w:r>
            <w:r>
              <w:rPr>
                <w:noProof/>
                <w:webHidden/>
              </w:rPr>
              <w:tab/>
            </w:r>
            <w:r>
              <w:rPr>
                <w:noProof/>
                <w:webHidden/>
              </w:rPr>
              <w:fldChar w:fldCharType="begin"/>
            </w:r>
            <w:r>
              <w:rPr>
                <w:noProof/>
                <w:webHidden/>
              </w:rPr>
              <w:instrText xml:space="preserve"> PAGEREF _Toc509821967 \h </w:instrText>
            </w:r>
            <w:r>
              <w:rPr>
                <w:noProof/>
                <w:webHidden/>
              </w:rPr>
            </w:r>
            <w:r>
              <w:rPr>
                <w:noProof/>
                <w:webHidden/>
              </w:rPr>
              <w:fldChar w:fldCharType="separate"/>
            </w:r>
            <w:r>
              <w:rPr>
                <w:noProof/>
                <w:webHidden/>
              </w:rPr>
              <w:t>14</w:t>
            </w:r>
            <w:r>
              <w:rPr>
                <w:noProof/>
                <w:webHidden/>
              </w:rPr>
              <w:fldChar w:fldCharType="end"/>
            </w:r>
          </w:hyperlink>
        </w:p>
        <w:p w14:paraId="0E0725F6" w14:textId="77777777" w:rsidR="004C4300" w:rsidRDefault="004C4300">
          <w:pPr>
            <w:pStyle w:val="TOC3"/>
            <w:rPr>
              <w:rFonts w:asciiTheme="minorHAnsi" w:eastAsiaTheme="minorEastAsia" w:hAnsiTheme="minorHAnsi" w:cstheme="minorBidi"/>
              <w:noProof/>
              <w:lang w:eastAsia="en-AU"/>
            </w:rPr>
          </w:pPr>
          <w:hyperlink w:anchor="_Toc509821968" w:history="1">
            <w:r w:rsidRPr="00A8101B">
              <w:rPr>
                <w:rStyle w:val="Hyperlink"/>
                <w:noProof/>
              </w:rPr>
              <w:t>Safety</w:t>
            </w:r>
            <w:r>
              <w:rPr>
                <w:noProof/>
                <w:webHidden/>
              </w:rPr>
              <w:tab/>
            </w:r>
            <w:r>
              <w:rPr>
                <w:noProof/>
                <w:webHidden/>
              </w:rPr>
              <w:fldChar w:fldCharType="begin"/>
            </w:r>
            <w:r>
              <w:rPr>
                <w:noProof/>
                <w:webHidden/>
              </w:rPr>
              <w:instrText xml:space="preserve"> PAGEREF _Toc509821968 \h </w:instrText>
            </w:r>
            <w:r>
              <w:rPr>
                <w:noProof/>
                <w:webHidden/>
              </w:rPr>
            </w:r>
            <w:r>
              <w:rPr>
                <w:noProof/>
                <w:webHidden/>
              </w:rPr>
              <w:fldChar w:fldCharType="separate"/>
            </w:r>
            <w:r>
              <w:rPr>
                <w:noProof/>
                <w:webHidden/>
              </w:rPr>
              <w:t>16</w:t>
            </w:r>
            <w:r>
              <w:rPr>
                <w:noProof/>
                <w:webHidden/>
              </w:rPr>
              <w:fldChar w:fldCharType="end"/>
            </w:r>
          </w:hyperlink>
        </w:p>
        <w:p w14:paraId="43480B49" w14:textId="77777777" w:rsidR="004C4300" w:rsidRDefault="004C4300">
          <w:pPr>
            <w:pStyle w:val="TOC3"/>
            <w:rPr>
              <w:rFonts w:asciiTheme="minorHAnsi" w:eastAsiaTheme="minorEastAsia" w:hAnsiTheme="minorHAnsi" w:cstheme="minorBidi"/>
              <w:noProof/>
              <w:lang w:eastAsia="en-AU"/>
            </w:rPr>
          </w:pPr>
          <w:hyperlink w:anchor="_Toc509821969" w:history="1">
            <w:r w:rsidRPr="00A8101B">
              <w:rPr>
                <w:rStyle w:val="Hyperlink"/>
                <w:noProof/>
              </w:rPr>
              <w:t>First round benefit-risk assessment</w:t>
            </w:r>
            <w:r>
              <w:rPr>
                <w:noProof/>
                <w:webHidden/>
              </w:rPr>
              <w:tab/>
            </w:r>
            <w:r>
              <w:rPr>
                <w:noProof/>
                <w:webHidden/>
              </w:rPr>
              <w:fldChar w:fldCharType="begin"/>
            </w:r>
            <w:r>
              <w:rPr>
                <w:noProof/>
                <w:webHidden/>
              </w:rPr>
              <w:instrText xml:space="preserve"> PAGEREF _Toc509821969 \h </w:instrText>
            </w:r>
            <w:r>
              <w:rPr>
                <w:noProof/>
                <w:webHidden/>
              </w:rPr>
            </w:r>
            <w:r>
              <w:rPr>
                <w:noProof/>
                <w:webHidden/>
              </w:rPr>
              <w:fldChar w:fldCharType="separate"/>
            </w:r>
            <w:r>
              <w:rPr>
                <w:noProof/>
                <w:webHidden/>
              </w:rPr>
              <w:t>18</w:t>
            </w:r>
            <w:r>
              <w:rPr>
                <w:noProof/>
                <w:webHidden/>
              </w:rPr>
              <w:fldChar w:fldCharType="end"/>
            </w:r>
          </w:hyperlink>
        </w:p>
        <w:p w14:paraId="3DE5BCD9" w14:textId="77777777" w:rsidR="004C4300" w:rsidRDefault="004C4300">
          <w:pPr>
            <w:pStyle w:val="TOC3"/>
            <w:rPr>
              <w:rFonts w:asciiTheme="minorHAnsi" w:eastAsiaTheme="minorEastAsia" w:hAnsiTheme="minorHAnsi" w:cstheme="minorBidi"/>
              <w:noProof/>
              <w:lang w:eastAsia="en-AU"/>
            </w:rPr>
          </w:pPr>
          <w:hyperlink w:anchor="_Toc509821970" w:history="1">
            <w:r w:rsidRPr="00A8101B">
              <w:rPr>
                <w:rStyle w:val="Hyperlink"/>
                <w:noProof/>
              </w:rPr>
              <w:t>First round recommendation regarding authorisation</w:t>
            </w:r>
            <w:r>
              <w:rPr>
                <w:noProof/>
                <w:webHidden/>
              </w:rPr>
              <w:tab/>
            </w:r>
            <w:r>
              <w:rPr>
                <w:noProof/>
                <w:webHidden/>
              </w:rPr>
              <w:fldChar w:fldCharType="begin"/>
            </w:r>
            <w:r>
              <w:rPr>
                <w:noProof/>
                <w:webHidden/>
              </w:rPr>
              <w:instrText xml:space="preserve"> PAGEREF _Toc509821970 \h </w:instrText>
            </w:r>
            <w:r>
              <w:rPr>
                <w:noProof/>
                <w:webHidden/>
              </w:rPr>
            </w:r>
            <w:r>
              <w:rPr>
                <w:noProof/>
                <w:webHidden/>
              </w:rPr>
              <w:fldChar w:fldCharType="separate"/>
            </w:r>
            <w:r>
              <w:rPr>
                <w:noProof/>
                <w:webHidden/>
              </w:rPr>
              <w:t>19</w:t>
            </w:r>
            <w:r>
              <w:rPr>
                <w:noProof/>
                <w:webHidden/>
              </w:rPr>
              <w:fldChar w:fldCharType="end"/>
            </w:r>
          </w:hyperlink>
        </w:p>
        <w:p w14:paraId="318A95B1" w14:textId="77777777" w:rsidR="004C4300" w:rsidRDefault="004C4300">
          <w:pPr>
            <w:pStyle w:val="TOC2"/>
            <w:rPr>
              <w:rFonts w:asciiTheme="minorHAnsi" w:eastAsiaTheme="minorEastAsia" w:hAnsiTheme="minorHAnsi" w:cstheme="minorBidi"/>
              <w:b w:val="0"/>
              <w:noProof/>
              <w:sz w:val="22"/>
              <w:lang w:eastAsia="en-AU"/>
            </w:rPr>
          </w:pPr>
          <w:hyperlink w:anchor="_Toc509821971" w:history="1">
            <w:r w:rsidRPr="00A8101B">
              <w:rPr>
                <w:rStyle w:val="Hyperlink"/>
                <w:noProof/>
              </w:rPr>
              <w:t>V. Pharmacovigilance findings</w:t>
            </w:r>
            <w:r>
              <w:rPr>
                <w:noProof/>
                <w:webHidden/>
              </w:rPr>
              <w:tab/>
            </w:r>
            <w:r>
              <w:rPr>
                <w:noProof/>
                <w:webHidden/>
              </w:rPr>
              <w:fldChar w:fldCharType="begin"/>
            </w:r>
            <w:r>
              <w:rPr>
                <w:noProof/>
                <w:webHidden/>
              </w:rPr>
              <w:instrText xml:space="preserve"> PAGEREF _Toc509821971 \h </w:instrText>
            </w:r>
            <w:r>
              <w:rPr>
                <w:noProof/>
                <w:webHidden/>
              </w:rPr>
            </w:r>
            <w:r>
              <w:rPr>
                <w:noProof/>
                <w:webHidden/>
              </w:rPr>
              <w:fldChar w:fldCharType="separate"/>
            </w:r>
            <w:r>
              <w:rPr>
                <w:noProof/>
                <w:webHidden/>
              </w:rPr>
              <w:t>19</w:t>
            </w:r>
            <w:r>
              <w:rPr>
                <w:noProof/>
                <w:webHidden/>
              </w:rPr>
              <w:fldChar w:fldCharType="end"/>
            </w:r>
          </w:hyperlink>
        </w:p>
        <w:p w14:paraId="2C9D7E5E" w14:textId="77777777" w:rsidR="004C4300" w:rsidRDefault="004C4300">
          <w:pPr>
            <w:pStyle w:val="TOC3"/>
            <w:rPr>
              <w:rFonts w:asciiTheme="minorHAnsi" w:eastAsiaTheme="minorEastAsia" w:hAnsiTheme="minorHAnsi" w:cstheme="minorBidi"/>
              <w:noProof/>
              <w:lang w:eastAsia="en-AU"/>
            </w:rPr>
          </w:pPr>
          <w:hyperlink w:anchor="_Toc509821972" w:history="1">
            <w:r w:rsidRPr="00A8101B">
              <w:rPr>
                <w:rStyle w:val="Hyperlink"/>
                <w:noProof/>
              </w:rPr>
              <w:t>Summary</w:t>
            </w:r>
            <w:r>
              <w:rPr>
                <w:noProof/>
                <w:webHidden/>
              </w:rPr>
              <w:tab/>
            </w:r>
            <w:r>
              <w:rPr>
                <w:noProof/>
                <w:webHidden/>
              </w:rPr>
              <w:fldChar w:fldCharType="begin"/>
            </w:r>
            <w:r>
              <w:rPr>
                <w:noProof/>
                <w:webHidden/>
              </w:rPr>
              <w:instrText xml:space="preserve"> PAGEREF _Toc509821972 \h </w:instrText>
            </w:r>
            <w:r>
              <w:rPr>
                <w:noProof/>
                <w:webHidden/>
              </w:rPr>
            </w:r>
            <w:r>
              <w:rPr>
                <w:noProof/>
                <w:webHidden/>
              </w:rPr>
              <w:fldChar w:fldCharType="separate"/>
            </w:r>
            <w:r>
              <w:rPr>
                <w:noProof/>
                <w:webHidden/>
              </w:rPr>
              <w:t>19</w:t>
            </w:r>
            <w:r>
              <w:rPr>
                <w:noProof/>
                <w:webHidden/>
              </w:rPr>
              <w:fldChar w:fldCharType="end"/>
            </w:r>
          </w:hyperlink>
        </w:p>
        <w:p w14:paraId="3105B889" w14:textId="77777777" w:rsidR="004C4300" w:rsidRDefault="004C4300">
          <w:pPr>
            <w:pStyle w:val="TOC2"/>
            <w:rPr>
              <w:rFonts w:asciiTheme="minorHAnsi" w:eastAsiaTheme="minorEastAsia" w:hAnsiTheme="minorHAnsi" w:cstheme="minorBidi"/>
              <w:b w:val="0"/>
              <w:noProof/>
              <w:sz w:val="22"/>
              <w:lang w:eastAsia="en-AU"/>
            </w:rPr>
          </w:pPr>
          <w:hyperlink w:anchor="_Toc509821973" w:history="1">
            <w:r w:rsidRPr="00A8101B">
              <w:rPr>
                <w:rStyle w:val="Hyperlink"/>
                <w:noProof/>
              </w:rPr>
              <w:t>VI. Overall conclusion and risk/benefit assessment</w:t>
            </w:r>
            <w:r>
              <w:rPr>
                <w:noProof/>
                <w:webHidden/>
              </w:rPr>
              <w:tab/>
            </w:r>
            <w:r>
              <w:rPr>
                <w:noProof/>
                <w:webHidden/>
              </w:rPr>
              <w:fldChar w:fldCharType="begin"/>
            </w:r>
            <w:r>
              <w:rPr>
                <w:noProof/>
                <w:webHidden/>
              </w:rPr>
              <w:instrText xml:space="preserve"> PAGEREF _Toc509821973 \h </w:instrText>
            </w:r>
            <w:r>
              <w:rPr>
                <w:noProof/>
                <w:webHidden/>
              </w:rPr>
            </w:r>
            <w:r>
              <w:rPr>
                <w:noProof/>
                <w:webHidden/>
              </w:rPr>
              <w:fldChar w:fldCharType="separate"/>
            </w:r>
            <w:r>
              <w:rPr>
                <w:noProof/>
                <w:webHidden/>
              </w:rPr>
              <w:t>21</w:t>
            </w:r>
            <w:r>
              <w:rPr>
                <w:noProof/>
                <w:webHidden/>
              </w:rPr>
              <w:fldChar w:fldCharType="end"/>
            </w:r>
          </w:hyperlink>
        </w:p>
        <w:p w14:paraId="4385382F" w14:textId="77777777" w:rsidR="004C4300" w:rsidRDefault="004C4300">
          <w:pPr>
            <w:pStyle w:val="TOC3"/>
            <w:rPr>
              <w:rFonts w:asciiTheme="minorHAnsi" w:eastAsiaTheme="minorEastAsia" w:hAnsiTheme="minorHAnsi" w:cstheme="minorBidi"/>
              <w:noProof/>
              <w:lang w:eastAsia="en-AU"/>
            </w:rPr>
          </w:pPr>
          <w:hyperlink w:anchor="_Toc509821974" w:history="1">
            <w:r w:rsidRPr="00A8101B">
              <w:rPr>
                <w:rStyle w:val="Hyperlink"/>
                <w:noProof/>
              </w:rPr>
              <w:t>Quality</w:t>
            </w:r>
            <w:r>
              <w:rPr>
                <w:noProof/>
                <w:webHidden/>
              </w:rPr>
              <w:tab/>
            </w:r>
            <w:r>
              <w:rPr>
                <w:noProof/>
                <w:webHidden/>
              </w:rPr>
              <w:fldChar w:fldCharType="begin"/>
            </w:r>
            <w:r>
              <w:rPr>
                <w:noProof/>
                <w:webHidden/>
              </w:rPr>
              <w:instrText xml:space="preserve"> PAGEREF _Toc509821974 \h </w:instrText>
            </w:r>
            <w:r>
              <w:rPr>
                <w:noProof/>
                <w:webHidden/>
              </w:rPr>
            </w:r>
            <w:r>
              <w:rPr>
                <w:noProof/>
                <w:webHidden/>
              </w:rPr>
              <w:fldChar w:fldCharType="separate"/>
            </w:r>
            <w:r>
              <w:rPr>
                <w:noProof/>
                <w:webHidden/>
              </w:rPr>
              <w:t>21</w:t>
            </w:r>
            <w:r>
              <w:rPr>
                <w:noProof/>
                <w:webHidden/>
              </w:rPr>
              <w:fldChar w:fldCharType="end"/>
            </w:r>
          </w:hyperlink>
        </w:p>
        <w:p w14:paraId="68C949CC" w14:textId="77777777" w:rsidR="004C4300" w:rsidRDefault="004C4300">
          <w:pPr>
            <w:pStyle w:val="TOC3"/>
            <w:rPr>
              <w:rFonts w:asciiTheme="minorHAnsi" w:eastAsiaTheme="minorEastAsia" w:hAnsiTheme="minorHAnsi" w:cstheme="minorBidi"/>
              <w:noProof/>
              <w:lang w:eastAsia="en-AU"/>
            </w:rPr>
          </w:pPr>
          <w:hyperlink w:anchor="_Toc509821975" w:history="1">
            <w:r w:rsidRPr="00A8101B">
              <w:rPr>
                <w:rStyle w:val="Hyperlink"/>
                <w:noProof/>
              </w:rPr>
              <w:t>Nonclinical</w:t>
            </w:r>
            <w:r>
              <w:rPr>
                <w:noProof/>
                <w:webHidden/>
              </w:rPr>
              <w:tab/>
            </w:r>
            <w:r>
              <w:rPr>
                <w:noProof/>
                <w:webHidden/>
              </w:rPr>
              <w:fldChar w:fldCharType="begin"/>
            </w:r>
            <w:r>
              <w:rPr>
                <w:noProof/>
                <w:webHidden/>
              </w:rPr>
              <w:instrText xml:space="preserve"> PAGEREF _Toc509821975 \h </w:instrText>
            </w:r>
            <w:r>
              <w:rPr>
                <w:noProof/>
                <w:webHidden/>
              </w:rPr>
            </w:r>
            <w:r>
              <w:rPr>
                <w:noProof/>
                <w:webHidden/>
              </w:rPr>
              <w:fldChar w:fldCharType="separate"/>
            </w:r>
            <w:r>
              <w:rPr>
                <w:noProof/>
                <w:webHidden/>
              </w:rPr>
              <w:t>21</w:t>
            </w:r>
            <w:r>
              <w:rPr>
                <w:noProof/>
                <w:webHidden/>
              </w:rPr>
              <w:fldChar w:fldCharType="end"/>
            </w:r>
          </w:hyperlink>
        </w:p>
        <w:p w14:paraId="0D211870" w14:textId="77777777" w:rsidR="004C4300" w:rsidRDefault="004C4300">
          <w:pPr>
            <w:pStyle w:val="TOC3"/>
            <w:rPr>
              <w:rFonts w:asciiTheme="minorHAnsi" w:eastAsiaTheme="minorEastAsia" w:hAnsiTheme="minorHAnsi" w:cstheme="minorBidi"/>
              <w:noProof/>
              <w:lang w:eastAsia="en-AU"/>
            </w:rPr>
          </w:pPr>
          <w:hyperlink w:anchor="_Toc509821976" w:history="1">
            <w:r w:rsidRPr="00A8101B">
              <w:rPr>
                <w:rStyle w:val="Hyperlink"/>
                <w:noProof/>
              </w:rPr>
              <w:t>Clinical</w:t>
            </w:r>
            <w:r>
              <w:rPr>
                <w:noProof/>
                <w:webHidden/>
              </w:rPr>
              <w:tab/>
            </w:r>
            <w:r>
              <w:rPr>
                <w:noProof/>
                <w:webHidden/>
              </w:rPr>
              <w:fldChar w:fldCharType="begin"/>
            </w:r>
            <w:r>
              <w:rPr>
                <w:noProof/>
                <w:webHidden/>
              </w:rPr>
              <w:instrText xml:space="preserve"> PAGEREF _Toc509821976 \h </w:instrText>
            </w:r>
            <w:r>
              <w:rPr>
                <w:noProof/>
                <w:webHidden/>
              </w:rPr>
            </w:r>
            <w:r>
              <w:rPr>
                <w:noProof/>
                <w:webHidden/>
              </w:rPr>
              <w:fldChar w:fldCharType="separate"/>
            </w:r>
            <w:r>
              <w:rPr>
                <w:noProof/>
                <w:webHidden/>
              </w:rPr>
              <w:t>21</w:t>
            </w:r>
            <w:r>
              <w:rPr>
                <w:noProof/>
                <w:webHidden/>
              </w:rPr>
              <w:fldChar w:fldCharType="end"/>
            </w:r>
          </w:hyperlink>
        </w:p>
        <w:p w14:paraId="49B347CB" w14:textId="77777777" w:rsidR="004C4300" w:rsidRDefault="004C4300">
          <w:pPr>
            <w:pStyle w:val="TOC3"/>
            <w:rPr>
              <w:rFonts w:asciiTheme="minorHAnsi" w:eastAsiaTheme="minorEastAsia" w:hAnsiTheme="minorHAnsi" w:cstheme="minorBidi"/>
              <w:noProof/>
              <w:lang w:eastAsia="en-AU"/>
            </w:rPr>
          </w:pPr>
          <w:hyperlink w:anchor="_Toc509821977" w:history="1">
            <w:r w:rsidRPr="00A8101B">
              <w:rPr>
                <w:rStyle w:val="Hyperlink"/>
                <w:noProof/>
              </w:rPr>
              <w:t>Risk-benefit analysis</w:t>
            </w:r>
            <w:r>
              <w:rPr>
                <w:noProof/>
                <w:webHidden/>
              </w:rPr>
              <w:tab/>
            </w:r>
            <w:r>
              <w:rPr>
                <w:noProof/>
                <w:webHidden/>
              </w:rPr>
              <w:fldChar w:fldCharType="begin"/>
            </w:r>
            <w:r>
              <w:rPr>
                <w:noProof/>
                <w:webHidden/>
              </w:rPr>
              <w:instrText xml:space="preserve"> PAGEREF _Toc509821977 \h </w:instrText>
            </w:r>
            <w:r>
              <w:rPr>
                <w:noProof/>
                <w:webHidden/>
              </w:rPr>
            </w:r>
            <w:r>
              <w:rPr>
                <w:noProof/>
                <w:webHidden/>
              </w:rPr>
              <w:fldChar w:fldCharType="separate"/>
            </w:r>
            <w:r>
              <w:rPr>
                <w:noProof/>
                <w:webHidden/>
              </w:rPr>
              <w:t>28</w:t>
            </w:r>
            <w:r>
              <w:rPr>
                <w:noProof/>
                <w:webHidden/>
              </w:rPr>
              <w:fldChar w:fldCharType="end"/>
            </w:r>
          </w:hyperlink>
        </w:p>
        <w:p w14:paraId="7DD61F0B" w14:textId="77777777" w:rsidR="004C4300" w:rsidRDefault="004C4300">
          <w:pPr>
            <w:pStyle w:val="TOC3"/>
            <w:rPr>
              <w:rFonts w:asciiTheme="minorHAnsi" w:eastAsiaTheme="minorEastAsia" w:hAnsiTheme="minorHAnsi" w:cstheme="minorBidi"/>
              <w:noProof/>
              <w:lang w:eastAsia="en-AU"/>
            </w:rPr>
          </w:pPr>
          <w:hyperlink w:anchor="_Toc509821978" w:history="1">
            <w:r w:rsidRPr="00A8101B">
              <w:rPr>
                <w:rStyle w:val="Hyperlink"/>
                <w:noProof/>
              </w:rPr>
              <w:t>Outcome</w:t>
            </w:r>
            <w:r>
              <w:rPr>
                <w:noProof/>
                <w:webHidden/>
              </w:rPr>
              <w:tab/>
            </w:r>
            <w:r>
              <w:rPr>
                <w:noProof/>
                <w:webHidden/>
              </w:rPr>
              <w:fldChar w:fldCharType="begin"/>
            </w:r>
            <w:r>
              <w:rPr>
                <w:noProof/>
                <w:webHidden/>
              </w:rPr>
              <w:instrText xml:space="preserve"> PAGEREF _Toc509821978 \h </w:instrText>
            </w:r>
            <w:r>
              <w:rPr>
                <w:noProof/>
                <w:webHidden/>
              </w:rPr>
            </w:r>
            <w:r>
              <w:rPr>
                <w:noProof/>
                <w:webHidden/>
              </w:rPr>
              <w:fldChar w:fldCharType="separate"/>
            </w:r>
            <w:r>
              <w:rPr>
                <w:noProof/>
                <w:webHidden/>
              </w:rPr>
              <w:t>30</w:t>
            </w:r>
            <w:r>
              <w:rPr>
                <w:noProof/>
                <w:webHidden/>
              </w:rPr>
              <w:fldChar w:fldCharType="end"/>
            </w:r>
          </w:hyperlink>
        </w:p>
        <w:p w14:paraId="1A71E335" w14:textId="77777777" w:rsidR="004C4300" w:rsidRDefault="004C4300">
          <w:pPr>
            <w:pStyle w:val="TOC2"/>
            <w:rPr>
              <w:rFonts w:asciiTheme="minorHAnsi" w:eastAsiaTheme="minorEastAsia" w:hAnsiTheme="minorHAnsi" w:cstheme="minorBidi"/>
              <w:b w:val="0"/>
              <w:noProof/>
              <w:sz w:val="22"/>
              <w:lang w:eastAsia="en-AU"/>
            </w:rPr>
          </w:pPr>
          <w:hyperlink w:anchor="_Toc509821979" w:history="1">
            <w:r w:rsidRPr="00A8101B">
              <w:rPr>
                <w:rStyle w:val="Hyperlink"/>
                <w:noProof/>
              </w:rPr>
              <w:t>Attachment 1. Product Information</w:t>
            </w:r>
            <w:r>
              <w:rPr>
                <w:noProof/>
                <w:webHidden/>
              </w:rPr>
              <w:tab/>
            </w:r>
            <w:r>
              <w:rPr>
                <w:noProof/>
                <w:webHidden/>
              </w:rPr>
              <w:fldChar w:fldCharType="begin"/>
            </w:r>
            <w:r>
              <w:rPr>
                <w:noProof/>
                <w:webHidden/>
              </w:rPr>
              <w:instrText xml:space="preserve"> PAGEREF _Toc509821979 \h </w:instrText>
            </w:r>
            <w:r>
              <w:rPr>
                <w:noProof/>
                <w:webHidden/>
              </w:rPr>
            </w:r>
            <w:r>
              <w:rPr>
                <w:noProof/>
                <w:webHidden/>
              </w:rPr>
              <w:fldChar w:fldCharType="separate"/>
            </w:r>
            <w:r>
              <w:rPr>
                <w:noProof/>
                <w:webHidden/>
              </w:rPr>
              <w:t>30</w:t>
            </w:r>
            <w:r>
              <w:rPr>
                <w:noProof/>
                <w:webHidden/>
              </w:rPr>
              <w:fldChar w:fldCharType="end"/>
            </w:r>
          </w:hyperlink>
        </w:p>
        <w:p w14:paraId="1E26259F" w14:textId="77777777" w:rsidR="004C4300" w:rsidRDefault="004C4300">
          <w:pPr>
            <w:pStyle w:val="TOC2"/>
            <w:rPr>
              <w:rFonts w:asciiTheme="minorHAnsi" w:eastAsiaTheme="minorEastAsia" w:hAnsiTheme="minorHAnsi" w:cstheme="minorBidi"/>
              <w:b w:val="0"/>
              <w:noProof/>
              <w:sz w:val="22"/>
              <w:lang w:eastAsia="en-AU"/>
            </w:rPr>
          </w:pPr>
          <w:hyperlink w:anchor="_Toc509821980" w:history="1">
            <w:r w:rsidRPr="00A8101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_Toc509821980 \h </w:instrText>
            </w:r>
            <w:r>
              <w:rPr>
                <w:noProof/>
                <w:webHidden/>
              </w:rPr>
            </w:r>
            <w:r>
              <w:rPr>
                <w:noProof/>
                <w:webHidden/>
              </w:rPr>
              <w:fldChar w:fldCharType="separate"/>
            </w:r>
            <w:r>
              <w:rPr>
                <w:noProof/>
                <w:webHidden/>
              </w:rPr>
              <w:t>31</w:t>
            </w:r>
            <w:r>
              <w:rPr>
                <w:noProof/>
                <w:webHidden/>
              </w:rPr>
              <w:fldChar w:fldCharType="end"/>
            </w:r>
          </w:hyperlink>
        </w:p>
        <w:p w14:paraId="3D2E7052" w14:textId="77777777" w:rsidR="003A7F6C" w:rsidRPr="00B811C6" w:rsidRDefault="00DB6124" w:rsidP="00B811C6">
          <w:pPr>
            <w:pStyle w:val="TOC2"/>
          </w:pPr>
          <w:r>
            <w:fldChar w:fldCharType="end"/>
          </w:r>
        </w:p>
      </w:sdtContent>
    </w:sdt>
    <w:bookmarkStart w:id="3" w:name="_Toc314842482" w:displacedByCustomXml="prev"/>
    <w:p w14:paraId="3997C757" w14:textId="77777777" w:rsidR="00FD119B" w:rsidRDefault="00FD119B">
      <w:pPr>
        <w:spacing w:before="0" w:after="200" w:line="0" w:lineRule="auto"/>
      </w:pPr>
      <w:r>
        <w:br w:type="page"/>
      </w:r>
    </w:p>
    <w:p w14:paraId="0EC72E5F"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982195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5903E39F"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0A4ABD38"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7049C47D" w14:textId="77777777" w:rsidR="00FD119B" w:rsidRPr="00FD119B" w:rsidRDefault="00FD119B" w:rsidP="00FD119B">
            <w:pPr>
              <w:keepNext w:val="0"/>
              <w:ind w:left="0" w:right="0"/>
              <w:rPr>
                <w:szCs w:val="22"/>
                <w:lang w:eastAsia="en-US"/>
              </w:rPr>
            </w:pPr>
            <w:r w:rsidRPr="00FD119B">
              <w:rPr>
                <w:szCs w:val="22"/>
                <w:lang w:eastAsia="en-US"/>
              </w:rPr>
              <w:t>Meaning</w:t>
            </w:r>
          </w:p>
        </w:tc>
      </w:tr>
      <w:tr w:rsidR="009F3E4B" w:rsidRPr="00FD119B" w14:paraId="5F6EDB1D" w14:textId="77777777" w:rsidTr="00FD119B">
        <w:tc>
          <w:tcPr>
            <w:tcW w:w="1809" w:type="dxa"/>
          </w:tcPr>
          <w:p w14:paraId="0540407A" w14:textId="77777777" w:rsidR="009F3E4B" w:rsidRPr="006B1F36" w:rsidRDefault="009F3E4B" w:rsidP="001F7691">
            <w:pPr>
              <w:rPr>
                <w:lang w:val="en-US"/>
              </w:rPr>
            </w:pPr>
            <w:r w:rsidRPr="006B1F36">
              <w:rPr>
                <w:lang w:val="en-US"/>
              </w:rPr>
              <w:t xml:space="preserve">AE </w:t>
            </w:r>
          </w:p>
        </w:tc>
        <w:tc>
          <w:tcPr>
            <w:tcW w:w="6911" w:type="dxa"/>
          </w:tcPr>
          <w:p w14:paraId="0CF64983" w14:textId="77777777" w:rsidR="009F3E4B" w:rsidRPr="006B1F36" w:rsidRDefault="007209DE" w:rsidP="001F7691">
            <w:pPr>
              <w:rPr>
                <w:lang w:val="en-US"/>
              </w:rPr>
            </w:pPr>
            <w:r w:rsidRPr="006B1F36">
              <w:rPr>
                <w:lang w:val="en-US"/>
              </w:rPr>
              <w:t>Adverse event</w:t>
            </w:r>
          </w:p>
        </w:tc>
      </w:tr>
      <w:tr w:rsidR="009F3E4B" w:rsidRPr="00FD119B" w14:paraId="03E428C6" w14:textId="77777777" w:rsidTr="00FD119B">
        <w:tc>
          <w:tcPr>
            <w:tcW w:w="1809" w:type="dxa"/>
          </w:tcPr>
          <w:p w14:paraId="3AD8CE0A" w14:textId="77777777" w:rsidR="009F3E4B" w:rsidRPr="006B1F36" w:rsidRDefault="009F3E4B" w:rsidP="001F7691">
            <w:pPr>
              <w:rPr>
                <w:lang w:val="en-US"/>
              </w:rPr>
            </w:pPr>
            <w:r w:rsidRPr="006B1F36">
              <w:rPr>
                <w:lang w:val="en-US"/>
              </w:rPr>
              <w:t xml:space="preserve">ALK </w:t>
            </w:r>
          </w:p>
        </w:tc>
        <w:tc>
          <w:tcPr>
            <w:tcW w:w="6911" w:type="dxa"/>
          </w:tcPr>
          <w:p w14:paraId="2A651BB1" w14:textId="77777777" w:rsidR="009F3E4B" w:rsidRPr="006B1F36" w:rsidRDefault="007209DE" w:rsidP="001F7691">
            <w:pPr>
              <w:rPr>
                <w:lang w:val="en-US"/>
              </w:rPr>
            </w:pPr>
            <w:r w:rsidRPr="006B1F36">
              <w:rPr>
                <w:lang w:val="en-US"/>
              </w:rPr>
              <w:t>Anaplastic lymphoma kinase</w:t>
            </w:r>
          </w:p>
        </w:tc>
      </w:tr>
      <w:tr w:rsidR="009F3E4B" w:rsidRPr="00FD119B" w14:paraId="20CBA612" w14:textId="77777777" w:rsidTr="00FD119B">
        <w:tc>
          <w:tcPr>
            <w:tcW w:w="1809" w:type="dxa"/>
          </w:tcPr>
          <w:p w14:paraId="62FCF4BE" w14:textId="77777777" w:rsidR="009F3E4B" w:rsidRPr="006B1F36" w:rsidRDefault="009F3E4B" w:rsidP="001F7691">
            <w:pPr>
              <w:rPr>
                <w:lang w:val="en-US"/>
              </w:rPr>
            </w:pPr>
            <w:r w:rsidRPr="006B1F36">
              <w:rPr>
                <w:lang w:val="en-US"/>
              </w:rPr>
              <w:t xml:space="preserve">ALP </w:t>
            </w:r>
          </w:p>
        </w:tc>
        <w:tc>
          <w:tcPr>
            <w:tcW w:w="6911" w:type="dxa"/>
          </w:tcPr>
          <w:p w14:paraId="1D45FB6F" w14:textId="77777777" w:rsidR="009F3E4B" w:rsidRPr="006B1F36" w:rsidRDefault="007209DE" w:rsidP="001F7691">
            <w:pPr>
              <w:rPr>
                <w:lang w:val="en-US"/>
              </w:rPr>
            </w:pPr>
            <w:r w:rsidRPr="006B1F36">
              <w:rPr>
                <w:lang w:val="en-US"/>
              </w:rPr>
              <w:t>Alkaline phosphatase</w:t>
            </w:r>
          </w:p>
        </w:tc>
      </w:tr>
      <w:tr w:rsidR="009F3E4B" w:rsidRPr="00FD119B" w14:paraId="433915A2" w14:textId="77777777" w:rsidTr="00FD119B">
        <w:tc>
          <w:tcPr>
            <w:tcW w:w="1809" w:type="dxa"/>
          </w:tcPr>
          <w:p w14:paraId="3FAEC4B9" w14:textId="77777777" w:rsidR="009F3E4B" w:rsidRPr="006B1F36" w:rsidRDefault="009F3E4B" w:rsidP="001F7691">
            <w:pPr>
              <w:rPr>
                <w:lang w:val="en-US"/>
              </w:rPr>
            </w:pPr>
            <w:r w:rsidRPr="006B1F36">
              <w:rPr>
                <w:lang w:val="en-US"/>
              </w:rPr>
              <w:t xml:space="preserve">BID </w:t>
            </w:r>
          </w:p>
        </w:tc>
        <w:tc>
          <w:tcPr>
            <w:tcW w:w="6911" w:type="dxa"/>
          </w:tcPr>
          <w:p w14:paraId="2EBDD249" w14:textId="77777777" w:rsidR="009F3E4B" w:rsidRPr="006B1F36" w:rsidRDefault="007209DE" w:rsidP="001F7691">
            <w:pPr>
              <w:rPr>
                <w:lang w:val="en-US"/>
              </w:rPr>
            </w:pPr>
            <w:r w:rsidRPr="006B1F36">
              <w:rPr>
                <w:lang w:val="en-US"/>
              </w:rPr>
              <w:t>Twice daily</w:t>
            </w:r>
          </w:p>
        </w:tc>
      </w:tr>
      <w:tr w:rsidR="009F3E4B" w:rsidRPr="00FD119B" w14:paraId="0E17D4FF" w14:textId="77777777" w:rsidTr="00FD119B">
        <w:tc>
          <w:tcPr>
            <w:tcW w:w="1809" w:type="dxa"/>
          </w:tcPr>
          <w:p w14:paraId="7FFFBCE4" w14:textId="77777777" w:rsidR="009F3E4B" w:rsidRPr="006B1F36" w:rsidRDefault="009F3E4B" w:rsidP="001F7691">
            <w:pPr>
              <w:rPr>
                <w:lang w:val="en-US"/>
              </w:rPr>
            </w:pPr>
            <w:r w:rsidRPr="006B1F36">
              <w:rPr>
                <w:lang w:val="en-US"/>
              </w:rPr>
              <w:t xml:space="preserve">C-DOR </w:t>
            </w:r>
          </w:p>
        </w:tc>
        <w:tc>
          <w:tcPr>
            <w:tcW w:w="6911" w:type="dxa"/>
          </w:tcPr>
          <w:p w14:paraId="10FE7D41" w14:textId="77777777" w:rsidR="009F3E4B" w:rsidRPr="006B1F36" w:rsidRDefault="009F3E4B" w:rsidP="001F7691">
            <w:pPr>
              <w:rPr>
                <w:lang w:val="en-US"/>
              </w:rPr>
            </w:pPr>
            <w:r w:rsidRPr="006B1F36">
              <w:rPr>
                <w:lang w:val="en-US"/>
              </w:rPr>
              <w:t>CNS duration of response</w:t>
            </w:r>
          </w:p>
        </w:tc>
      </w:tr>
      <w:tr w:rsidR="009F3E4B" w:rsidRPr="00FD119B" w14:paraId="33B62843" w14:textId="77777777" w:rsidTr="00FD119B">
        <w:tc>
          <w:tcPr>
            <w:tcW w:w="1809" w:type="dxa"/>
          </w:tcPr>
          <w:p w14:paraId="4352FED2" w14:textId="77777777" w:rsidR="009F3E4B" w:rsidRPr="006B1F36" w:rsidRDefault="009F3E4B" w:rsidP="001F7691">
            <w:pPr>
              <w:rPr>
                <w:lang w:val="en-US"/>
              </w:rPr>
            </w:pPr>
            <w:r w:rsidRPr="006B1F36">
              <w:rPr>
                <w:lang w:val="en-US"/>
              </w:rPr>
              <w:t xml:space="preserve">C-ORR </w:t>
            </w:r>
          </w:p>
        </w:tc>
        <w:tc>
          <w:tcPr>
            <w:tcW w:w="6911" w:type="dxa"/>
          </w:tcPr>
          <w:p w14:paraId="6206A35E" w14:textId="77777777" w:rsidR="009F3E4B" w:rsidRPr="006B1F36" w:rsidRDefault="009F3E4B" w:rsidP="001F7691">
            <w:pPr>
              <w:rPr>
                <w:lang w:val="en-US"/>
              </w:rPr>
            </w:pPr>
            <w:r w:rsidRPr="006B1F36">
              <w:rPr>
                <w:lang w:val="en-US"/>
              </w:rPr>
              <w:t>CNS objective response rate</w:t>
            </w:r>
          </w:p>
        </w:tc>
      </w:tr>
      <w:tr w:rsidR="009F3E4B" w:rsidRPr="00FD119B" w14:paraId="5DC9FA23" w14:textId="77777777" w:rsidTr="00FD119B">
        <w:tc>
          <w:tcPr>
            <w:tcW w:w="1809" w:type="dxa"/>
          </w:tcPr>
          <w:p w14:paraId="6E336762" w14:textId="77777777" w:rsidR="009F3E4B" w:rsidRPr="006B1F36" w:rsidRDefault="009F3E4B" w:rsidP="001F7691">
            <w:pPr>
              <w:rPr>
                <w:lang w:val="en-US"/>
              </w:rPr>
            </w:pPr>
            <w:r w:rsidRPr="006B1F36">
              <w:rPr>
                <w:lang w:val="en-US"/>
              </w:rPr>
              <w:t xml:space="preserve">C-PR </w:t>
            </w:r>
          </w:p>
        </w:tc>
        <w:tc>
          <w:tcPr>
            <w:tcW w:w="6911" w:type="dxa"/>
          </w:tcPr>
          <w:p w14:paraId="4511FAA9" w14:textId="77777777" w:rsidR="009F3E4B" w:rsidRPr="006B1F36" w:rsidRDefault="009F3E4B" w:rsidP="001F7691">
            <w:pPr>
              <w:rPr>
                <w:lang w:val="en-US"/>
              </w:rPr>
            </w:pPr>
            <w:r w:rsidRPr="006B1F36">
              <w:rPr>
                <w:lang w:val="en-US"/>
              </w:rPr>
              <w:t>CNS progression rate</w:t>
            </w:r>
          </w:p>
        </w:tc>
      </w:tr>
      <w:tr w:rsidR="009F3E4B" w:rsidRPr="00FD119B" w14:paraId="48B4C9FC" w14:textId="77777777" w:rsidTr="00FD119B">
        <w:tc>
          <w:tcPr>
            <w:tcW w:w="1809" w:type="dxa"/>
          </w:tcPr>
          <w:p w14:paraId="288DFB44" w14:textId="77777777" w:rsidR="009F3E4B" w:rsidRPr="006B1F36" w:rsidRDefault="009F3E4B" w:rsidP="001F7691">
            <w:pPr>
              <w:rPr>
                <w:lang w:val="en-US"/>
              </w:rPr>
            </w:pPr>
            <w:r w:rsidRPr="006B1F36">
              <w:rPr>
                <w:lang w:val="en-US"/>
              </w:rPr>
              <w:t xml:space="preserve">CR </w:t>
            </w:r>
          </w:p>
        </w:tc>
        <w:tc>
          <w:tcPr>
            <w:tcW w:w="6911" w:type="dxa"/>
          </w:tcPr>
          <w:p w14:paraId="69ED1E6A" w14:textId="77777777" w:rsidR="009F3E4B" w:rsidRPr="006B1F36" w:rsidRDefault="007209DE" w:rsidP="001F7691">
            <w:pPr>
              <w:rPr>
                <w:lang w:val="en-US"/>
              </w:rPr>
            </w:pPr>
            <w:r w:rsidRPr="006B1F36">
              <w:rPr>
                <w:lang w:val="en-US"/>
              </w:rPr>
              <w:t>Complete response</w:t>
            </w:r>
          </w:p>
        </w:tc>
      </w:tr>
      <w:tr w:rsidR="009F3E4B" w:rsidRPr="00FD119B" w14:paraId="2C96AA9A" w14:textId="77777777" w:rsidTr="00FD119B">
        <w:tc>
          <w:tcPr>
            <w:tcW w:w="1809" w:type="dxa"/>
          </w:tcPr>
          <w:p w14:paraId="5AB59D97" w14:textId="77777777" w:rsidR="009F3E4B" w:rsidRPr="006B1F36" w:rsidRDefault="009F3E4B" w:rsidP="001F7691">
            <w:pPr>
              <w:rPr>
                <w:lang w:val="en-US"/>
              </w:rPr>
            </w:pPr>
            <w:r w:rsidRPr="006B1F36">
              <w:rPr>
                <w:lang w:val="en-US"/>
              </w:rPr>
              <w:t xml:space="preserve">CT </w:t>
            </w:r>
          </w:p>
        </w:tc>
        <w:tc>
          <w:tcPr>
            <w:tcW w:w="6911" w:type="dxa"/>
          </w:tcPr>
          <w:p w14:paraId="046B89EB" w14:textId="77777777" w:rsidR="009F3E4B" w:rsidRPr="006B1F36" w:rsidRDefault="007209DE" w:rsidP="001F7691">
            <w:pPr>
              <w:rPr>
                <w:lang w:val="en-US"/>
              </w:rPr>
            </w:pPr>
            <w:r w:rsidRPr="006B1F36">
              <w:rPr>
                <w:lang w:val="en-US"/>
              </w:rPr>
              <w:t>Computed tomography</w:t>
            </w:r>
          </w:p>
        </w:tc>
      </w:tr>
      <w:tr w:rsidR="009F3E4B" w:rsidRPr="00FD119B" w14:paraId="237D44A6" w14:textId="77777777" w:rsidTr="00FD119B">
        <w:tc>
          <w:tcPr>
            <w:tcW w:w="1809" w:type="dxa"/>
          </w:tcPr>
          <w:p w14:paraId="2B1BB28F" w14:textId="77777777" w:rsidR="009F3E4B" w:rsidRPr="006B1F36" w:rsidRDefault="009F3E4B" w:rsidP="001F7691">
            <w:pPr>
              <w:rPr>
                <w:lang w:val="en-US"/>
              </w:rPr>
            </w:pPr>
            <w:r w:rsidRPr="006B1F36">
              <w:rPr>
                <w:lang w:val="en-US"/>
              </w:rPr>
              <w:t xml:space="preserve">CTCAE </w:t>
            </w:r>
          </w:p>
        </w:tc>
        <w:tc>
          <w:tcPr>
            <w:tcW w:w="6911" w:type="dxa"/>
          </w:tcPr>
          <w:p w14:paraId="609DDEE8" w14:textId="77777777" w:rsidR="009F3E4B" w:rsidRPr="006B1F36" w:rsidRDefault="009F3E4B" w:rsidP="001F7691">
            <w:pPr>
              <w:rPr>
                <w:lang w:val="en-US"/>
              </w:rPr>
            </w:pPr>
            <w:r w:rsidRPr="006B1F36">
              <w:rPr>
                <w:lang w:val="en-US"/>
              </w:rPr>
              <w:t>Common Terminology Criteria for Adverse Events</w:t>
            </w:r>
          </w:p>
        </w:tc>
      </w:tr>
      <w:tr w:rsidR="009F3E4B" w:rsidRPr="00FD119B" w14:paraId="157AF9A1" w14:textId="77777777" w:rsidTr="00FD119B">
        <w:tc>
          <w:tcPr>
            <w:tcW w:w="1809" w:type="dxa"/>
          </w:tcPr>
          <w:p w14:paraId="17BF4A08" w14:textId="77777777" w:rsidR="009F3E4B" w:rsidRPr="006B1F36" w:rsidRDefault="009F3E4B" w:rsidP="001F7691">
            <w:pPr>
              <w:rPr>
                <w:lang w:val="en-US"/>
              </w:rPr>
            </w:pPr>
            <w:r w:rsidRPr="006B1F36">
              <w:rPr>
                <w:lang w:val="en-US"/>
              </w:rPr>
              <w:t xml:space="preserve">DOR </w:t>
            </w:r>
          </w:p>
        </w:tc>
        <w:tc>
          <w:tcPr>
            <w:tcW w:w="6911" w:type="dxa"/>
          </w:tcPr>
          <w:p w14:paraId="2087D173" w14:textId="77777777" w:rsidR="009F3E4B" w:rsidRPr="006B1F36" w:rsidRDefault="007209DE" w:rsidP="001F7691">
            <w:pPr>
              <w:rPr>
                <w:lang w:val="en-US"/>
              </w:rPr>
            </w:pPr>
            <w:r w:rsidRPr="006B1F36">
              <w:rPr>
                <w:lang w:val="en-US"/>
              </w:rPr>
              <w:t>Duration of response</w:t>
            </w:r>
          </w:p>
        </w:tc>
      </w:tr>
      <w:tr w:rsidR="009F3E4B" w:rsidRPr="00FD119B" w14:paraId="6014205A" w14:textId="77777777" w:rsidTr="00FD119B">
        <w:tc>
          <w:tcPr>
            <w:tcW w:w="1809" w:type="dxa"/>
          </w:tcPr>
          <w:p w14:paraId="29C74897" w14:textId="77777777" w:rsidR="009F3E4B" w:rsidRPr="006B1F36" w:rsidRDefault="009F3E4B" w:rsidP="001F7691">
            <w:pPr>
              <w:rPr>
                <w:lang w:val="en-US"/>
              </w:rPr>
            </w:pPr>
            <w:r w:rsidRPr="006B1F36">
              <w:rPr>
                <w:lang w:val="en-US"/>
              </w:rPr>
              <w:t xml:space="preserve">DOT </w:t>
            </w:r>
          </w:p>
        </w:tc>
        <w:tc>
          <w:tcPr>
            <w:tcW w:w="6911" w:type="dxa"/>
          </w:tcPr>
          <w:p w14:paraId="5D389E0C" w14:textId="77777777" w:rsidR="009F3E4B" w:rsidRPr="006B1F36" w:rsidRDefault="007209DE" w:rsidP="001F7691">
            <w:pPr>
              <w:rPr>
                <w:lang w:val="en-US"/>
              </w:rPr>
            </w:pPr>
            <w:r w:rsidRPr="006B1F36">
              <w:rPr>
                <w:lang w:val="en-US"/>
              </w:rPr>
              <w:t>Duration of treatmen</w:t>
            </w:r>
            <w:r w:rsidR="009F3E4B" w:rsidRPr="006B1F36">
              <w:rPr>
                <w:lang w:val="en-US"/>
              </w:rPr>
              <w:t>t</w:t>
            </w:r>
          </w:p>
        </w:tc>
      </w:tr>
      <w:tr w:rsidR="009F3E4B" w:rsidRPr="00FD119B" w14:paraId="4952974A" w14:textId="77777777" w:rsidTr="00FD119B">
        <w:tc>
          <w:tcPr>
            <w:tcW w:w="1809" w:type="dxa"/>
          </w:tcPr>
          <w:p w14:paraId="7F2A0F68" w14:textId="77777777" w:rsidR="009F3E4B" w:rsidRPr="006B1F36" w:rsidRDefault="009F3E4B" w:rsidP="001F7691">
            <w:pPr>
              <w:rPr>
                <w:lang w:val="en-US"/>
              </w:rPr>
            </w:pPr>
            <w:r w:rsidRPr="006B1F36">
              <w:rPr>
                <w:lang w:val="en-US"/>
              </w:rPr>
              <w:t xml:space="preserve">ECOG PS </w:t>
            </w:r>
          </w:p>
        </w:tc>
        <w:tc>
          <w:tcPr>
            <w:tcW w:w="6911" w:type="dxa"/>
          </w:tcPr>
          <w:p w14:paraId="0B9E0C82" w14:textId="77777777" w:rsidR="009F3E4B" w:rsidRPr="006B1F36" w:rsidRDefault="007209DE" w:rsidP="001F7691">
            <w:pPr>
              <w:rPr>
                <w:lang w:val="en-US"/>
              </w:rPr>
            </w:pPr>
            <w:r w:rsidRPr="006B1F36">
              <w:rPr>
                <w:lang w:val="en-US"/>
              </w:rPr>
              <w:t>Eastern cooperative oncology group performance status</w:t>
            </w:r>
          </w:p>
        </w:tc>
      </w:tr>
      <w:tr w:rsidR="009F3E4B" w:rsidRPr="00FD119B" w14:paraId="2D97332F" w14:textId="77777777" w:rsidTr="00FD119B">
        <w:tc>
          <w:tcPr>
            <w:tcW w:w="1809" w:type="dxa"/>
          </w:tcPr>
          <w:p w14:paraId="0082D757" w14:textId="77777777" w:rsidR="009F3E4B" w:rsidRPr="006B1F36" w:rsidRDefault="009F3E4B" w:rsidP="001F7691">
            <w:pPr>
              <w:rPr>
                <w:lang w:val="en-US"/>
              </w:rPr>
            </w:pPr>
            <w:proofErr w:type="spellStart"/>
            <w:r w:rsidRPr="006B1F36">
              <w:rPr>
                <w:lang w:val="en-US"/>
              </w:rPr>
              <w:t>eGFR</w:t>
            </w:r>
            <w:proofErr w:type="spellEnd"/>
            <w:r w:rsidRPr="006B1F36">
              <w:rPr>
                <w:lang w:val="en-US"/>
              </w:rPr>
              <w:t xml:space="preserve"> </w:t>
            </w:r>
          </w:p>
        </w:tc>
        <w:tc>
          <w:tcPr>
            <w:tcW w:w="6911" w:type="dxa"/>
          </w:tcPr>
          <w:p w14:paraId="368BD5D6" w14:textId="77777777" w:rsidR="009F3E4B" w:rsidRPr="006B1F36" w:rsidRDefault="007209DE" w:rsidP="001F7691">
            <w:pPr>
              <w:rPr>
                <w:lang w:val="en-US"/>
              </w:rPr>
            </w:pPr>
            <w:r w:rsidRPr="006B1F36">
              <w:rPr>
                <w:lang w:val="en-US"/>
              </w:rPr>
              <w:t>Estimated glomerular filtration rate</w:t>
            </w:r>
          </w:p>
        </w:tc>
      </w:tr>
      <w:tr w:rsidR="009F3E4B" w:rsidRPr="00FD119B" w14:paraId="12CC370C" w14:textId="77777777" w:rsidTr="00FD119B">
        <w:tc>
          <w:tcPr>
            <w:tcW w:w="1809" w:type="dxa"/>
          </w:tcPr>
          <w:p w14:paraId="1C93591C" w14:textId="77777777" w:rsidR="009F3E4B" w:rsidRPr="006B1F36" w:rsidRDefault="009F3E4B" w:rsidP="001F7691">
            <w:pPr>
              <w:rPr>
                <w:lang w:val="en-US"/>
              </w:rPr>
            </w:pPr>
            <w:r w:rsidRPr="006B1F36">
              <w:rPr>
                <w:lang w:val="en-US"/>
              </w:rPr>
              <w:t xml:space="preserve">EGFR </w:t>
            </w:r>
          </w:p>
        </w:tc>
        <w:tc>
          <w:tcPr>
            <w:tcW w:w="6911" w:type="dxa"/>
          </w:tcPr>
          <w:p w14:paraId="5BCE4224" w14:textId="77777777" w:rsidR="009F3E4B" w:rsidRPr="006B1F36" w:rsidRDefault="007209DE" w:rsidP="001F7691">
            <w:pPr>
              <w:rPr>
                <w:lang w:val="en-US"/>
              </w:rPr>
            </w:pPr>
            <w:r w:rsidRPr="006B1F36">
              <w:rPr>
                <w:lang w:val="en-US"/>
              </w:rPr>
              <w:t>Epidermal growth factor receptor</w:t>
            </w:r>
          </w:p>
        </w:tc>
      </w:tr>
      <w:tr w:rsidR="009F3E4B" w:rsidRPr="00FD119B" w14:paraId="5BDF1B1F" w14:textId="77777777" w:rsidTr="00FD119B">
        <w:tc>
          <w:tcPr>
            <w:tcW w:w="1809" w:type="dxa"/>
          </w:tcPr>
          <w:p w14:paraId="3F688447" w14:textId="77777777" w:rsidR="009F3E4B" w:rsidRPr="006B1F36" w:rsidRDefault="009F3E4B" w:rsidP="001F7691">
            <w:pPr>
              <w:rPr>
                <w:lang w:val="en-US"/>
              </w:rPr>
            </w:pPr>
            <w:r w:rsidRPr="006B1F36">
              <w:rPr>
                <w:lang w:val="en-US"/>
              </w:rPr>
              <w:t xml:space="preserve">EORTC </w:t>
            </w:r>
          </w:p>
        </w:tc>
        <w:tc>
          <w:tcPr>
            <w:tcW w:w="6911" w:type="dxa"/>
          </w:tcPr>
          <w:p w14:paraId="27A7651F" w14:textId="77777777" w:rsidR="009F3E4B" w:rsidRPr="006B1F36" w:rsidRDefault="009F3E4B" w:rsidP="001F7691">
            <w:pPr>
              <w:rPr>
                <w:lang w:val="en-US"/>
              </w:rPr>
            </w:pPr>
            <w:r w:rsidRPr="006B1F36">
              <w:rPr>
                <w:lang w:val="en-US"/>
              </w:rPr>
              <w:t>European Organization for the Research and Treatment of Cancer</w:t>
            </w:r>
          </w:p>
        </w:tc>
      </w:tr>
      <w:tr w:rsidR="009F3E4B" w:rsidRPr="00FD119B" w14:paraId="4113C355" w14:textId="77777777" w:rsidTr="00FD119B">
        <w:tc>
          <w:tcPr>
            <w:tcW w:w="1809" w:type="dxa"/>
          </w:tcPr>
          <w:p w14:paraId="19204B55" w14:textId="77777777" w:rsidR="009F3E4B" w:rsidRPr="006B1F36" w:rsidRDefault="009F3E4B" w:rsidP="001F7691">
            <w:pPr>
              <w:rPr>
                <w:lang w:val="en-US"/>
              </w:rPr>
            </w:pPr>
            <w:r w:rsidRPr="006B1F36">
              <w:rPr>
                <w:lang w:val="en-US"/>
              </w:rPr>
              <w:t xml:space="preserve">FDA </w:t>
            </w:r>
          </w:p>
        </w:tc>
        <w:tc>
          <w:tcPr>
            <w:tcW w:w="6911" w:type="dxa"/>
          </w:tcPr>
          <w:p w14:paraId="06F6B1E8" w14:textId="77777777" w:rsidR="009F3E4B" w:rsidRPr="006B1F36" w:rsidRDefault="009F3E4B" w:rsidP="001F7691">
            <w:pPr>
              <w:rPr>
                <w:lang w:val="en-US"/>
              </w:rPr>
            </w:pPr>
            <w:r w:rsidRPr="006B1F36">
              <w:rPr>
                <w:lang w:val="en-US"/>
              </w:rPr>
              <w:t>U.S. Food and Drug Administration</w:t>
            </w:r>
          </w:p>
        </w:tc>
      </w:tr>
      <w:tr w:rsidR="009F3E4B" w:rsidRPr="00FD119B" w14:paraId="1283AF8A" w14:textId="77777777" w:rsidTr="00FD119B">
        <w:tc>
          <w:tcPr>
            <w:tcW w:w="1809" w:type="dxa"/>
          </w:tcPr>
          <w:p w14:paraId="2E397A9B" w14:textId="77777777" w:rsidR="009F3E4B" w:rsidRPr="006B1F36" w:rsidRDefault="009F3E4B" w:rsidP="001F7691">
            <w:pPr>
              <w:rPr>
                <w:lang w:val="en-US"/>
              </w:rPr>
            </w:pPr>
            <w:r w:rsidRPr="006B1F36">
              <w:rPr>
                <w:lang w:val="en-US"/>
              </w:rPr>
              <w:t>FISH</w:t>
            </w:r>
          </w:p>
        </w:tc>
        <w:tc>
          <w:tcPr>
            <w:tcW w:w="6911" w:type="dxa"/>
          </w:tcPr>
          <w:p w14:paraId="6E216745" w14:textId="77777777" w:rsidR="009F3E4B" w:rsidRPr="006B1F36" w:rsidRDefault="007209DE" w:rsidP="001F7691">
            <w:pPr>
              <w:rPr>
                <w:lang w:val="en-US"/>
              </w:rPr>
            </w:pPr>
            <w:r w:rsidRPr="006B1F36">
              <w:rPr>
                <w:lang w:val="en-US"/>
              </w:rPr>
              <w:t>Fluorescence in situ hybridi</w:t>
            </w:r>
            <w:r w:rsidR="009F3E4B" w:rsidRPr="006B1F36">
              <w:rPr>
                <w:lang w:val="en-US"/>
              </w:rPr>
              <w:t>zation</w:t>
            </w:r>
          </w:p>
        </w:tc>
      </w:tr>
      <w:tr w:rsidR="009F3E4B" w:rsidRPr="00FD119B" w14:paraId="33250626" w14:textId="77777777" w:rsidTr="00FD119B">
        <w:tc>
          <w:tcPr>
            <w:tcW w:w="1809" w:type="dxa"/>
          </w:tcPr>
          <w:p w14:paraId="60F20325" w14:textId="77777777" w:rsidR="009F3E4B" w:rsidRPr="006B1F36" w:rsidRDefault="009F3E4B" w:rsidP="001F7691">
            <w:pPr>
              <w:rPr>
                <w:lang w:val="en-US"/>
              </w:rPr>
            </w:pPr>
            <w:r w:rsidRPr="006B1F36">
              <w:rPr>
                <w:lang w:val="en-US"/>
              </w:rPr>
              <w:t xml:space="preserve">FSH </w:t>
            </w:r>
          </w:p>
        </w:tc>
        <w:tc>
          <w:tcPr>
            <w:tcW w:w="6911" w:type="dxa"/>
          </w:tcPr>
          <w:p w14:paraId="3F6F7D41" w14:textId="77777777" w:rsidR="009F3E4B" w:rsidRPr="006B1F36" w:rsidRDefault="007209DE" w:rsidP="001F7691">
            <w:pPr>
              <w:rPr>
                <w:lang w:val="en-US"/>
              </w:rPr>
            </w:pPr>
            <w:r w:rsidRPr="006B1F36">
              <w:rPr>
                <w:lang w:val="en-US"/>
              </w:rPr>
              <w:t>Follicle-stimulating hormone</w:t>
            </w:r>
          </w:p>
        </w:tc>
      </w:tr>
      <w:tr w:rsidR="009F3E4B" w:rsidRPr="00FD119B" w14:paraId="0884AD48" w14:textId="77777777" w:rsidTr="00FD119B">
        <w:tc>
          <w:tcPr>
            <w:tcW w:w="1809" w:type="dxa"/>
          </w:tcPr>
          <w:p w14:paraId="2E69A9FC" w14:textId="77777777" w:rsidR="009F3E4B" w:rsidRPr="006B1F36" w:rsidRDefault="009F3E4B" w:rsidP="001F7691">
            <w:pPr>
              <w:rPr>
                <w:lang w:val="en-US"/>
              </w:rPr>
            </w:pPr>
            <w:r w:rsidRPr="006B1F36">
              <w:rPr>
                <w:lang w:val="en-US"/>
              </w:rPr>
              <w:t xml:space="preserve">GGT </w:t>
            </w:r>
          </w:p>
        </w:tc>
        <w:tc>
          <w:tcPr>
            <w:tcW w:w="6911" w:type="dxa"/>
          </w:tcPr>
          <w:p w14:paraId="26AAFBA5" w14:textId="77777777" w:rsidR="009F3E4B" w:rsidRPr="006B1F36" w:rsidRDefault="007209DE" w:rsidP="001F7691">
            <w:pPr>
              <w:rPr>
                <w:lang w:val="en-US"/>
              </w:rPr>
            </w:pPr>
            <w:r w:rsidRPr="006B1F36">
              <w:rPr>
                <w:lang w:val="en-US"/>
              </w:rPr>
              <w:t>Gamma-</w:t>
            </w:r>
            <w:proofErr w:type="spellStart"/>
            <w:r w:rsidRPr="006B1F36">
              <w:rPr>
                <w:lang w:val="en-US"/>
              </w:rPr>
              <w:t>glutamyl</w:t>
            </w:r>
            <w:proofErr w:type="spellEnd"/>
            <w:r w:rsidRPr="006B1F36">
              <w:rPr>
                <w:lang w:val="en-US"/>
              </w:rPr>
              <w:t xml:space="preserve"> transferase</w:t>
            </w:r>
          </w:p>
        </w:tc>
      </w:tr>
      <w:tr w:rsidR="009F3E4B" w:rsidRPr="00FD119B" w14:paraId="713B5F4F" w14:textId="77777777" w:rsidTr="00FD119B">
        <w:tc>
          <w:tcPr>
            <w:tcW w:w="1809" w:type="dxa"/>
          </w:tcPr>
          <w:p w14:paraId="64F84971" w14:textId="77777777" w:rsidR="009F3E4B" w:rsidRPr="006B1F36" w:rsidRDefault="009F3E4B" w:rsidP="001F7691">
            <w:pPr>
              <w:rPr>
                <w:lang w:val="en-US"/>
              </w:rPr>
            </w:pPr>
            <w:r w:rsidRPr="006B1F36">
              <w:rPr>
                <w:lang w:val="en-US"/>
              </w:rPr>
              <w:t xml:space="preserve">GI </w:t>
            </w:r>
          </w:p>
        </w:tc>
        <w:tc>
          <w:tcPr>
            <w:tcW w:w="6911" w:type="dxa"/>
          </w:tcPr>
          <w:p w14:paraId="24266D49" w14:textId="77777777" w:rsidR="009F3E4B" w:rsidRPr="006B1F36" w:rsidRDefault="007209DE" w:rsidP="001F7691">
            <w:pPr>
              <w:rPr>
                <w:lang w:val="en-US"/>
              </w:rPr>
            </w:pPr>
            <w:r w:rsidRPr="006B1F36">
              <w:rPr>
                <w:lang w:val="en-US"/>
              </w:rPr>
              <w:t>Gastrointestinal</w:t>
            </w:r>
          </w:p>
        </w:tc>
      </w:tr>
      <w:tr w:rsidR="009F3E4B" w:rsidRPr="00FD119B" w14:paraId="74B12172" w14:textId="77777777" w:rsidTr="00FD119B">
        <w:tc>
          <w:tcPr>
            <w:tcW w:w="1809" w:type="dxa"/>
          </w:tcPr>
          <w:p w14:paraId="0DC45915" w14:textId="77777777" w:rsidR="009F3E4B" w:rsidRPr="006B1F36" w:rsidRDefault="009F3E4B" w:rsidP="001F7691">
            <w:pPr>
              <w:rPr>
                <w:lang w:val="en-US"/>
              </w:rPr>
            </w:pPr>
            <w:r w:rsidRPr="006B1F36">
              <w:rPr>
                <w:lang w:val="en-US"/>
              </w:rPr>
              <w:t xml:space="preserve">HR </w:t>
            </w:r>
          </w:p>
        </w:tc>
        <w:tc>
          <w:tcPr>
            <w:tcW w:w="6911" w:type="dxa"/>
          </w:tcPr>
          <w:p w14:paraId="409A2603" w14:textId="77777777" w:rsidR="009F3E4B" w:rsidRPr="006B1F36" w:rsidRDefault="007209DE" w:rsidP="001F7691">
            <w:pPr>
              <w:rPr>
                <w:lang w:val="en-US"/>
              </w:rPr>
            </w:pPr>
            <w:r w:rsidRPr="006B1F36">
              <w:rPr>
                <w:lang w:val="en-US"/>
              </w:rPr>
              <w:t>Hazard ratio</w:t>
            </w:r>
          </w:p>
        </w:tc>
      </w:tr>
      <w:tr w:rsidR="009F3E4B" w:rsidRPr="00FD119B" w14:paraId="73C8D3C2" w14:textId="77777777" w:rsidTr="00FD119B">
        <w:tc>
          <w:tcPr>
            <w:tcW w:w="1809" w:type="dxa"/>
          </w:tcPr>
          <w:p w14:paraId="4A5D02E2" w14:textId="77777777" w:rsidR="009F3E4B" w:rsidRPr="006B1F36" w:rsidRDefault="009F3E4B" w:rsidP="001F7691">
            <w:pPr>
              <w:rPr>
                <w:lang w:val="en-US"/>
              </w:rPr>
            </w:pPr>
            <w:proofErr w:type="spellStart"/>
            <w:r w:rsidRPr="006B1F36">
              <w:rPr>
                <w:lang w:val="en-US"/>
              </w:rPr>
              <w:t>HRQoL</w:t>
            </w:r>
            <w:proofErr w:type="spellEnd"/>
            <w:r w:rsidRPr="006B1F36">
              <w:rPr>
                <w:lang w:val="en-US"/>
              </w:rPr>
              <w:t xml:space="preserve"> </w:t>
            </w:r>
          </w:p>
        </w:tc>
        <w:tc>
          <w:tcPr>
            <w:tcW w:w="6911" w:type="dxa"/>
          </w:tcPr>
          <w:p w14:paraId="6D44644D" w14:textId="77777777" w:rsidR="009F3E4B" w:rsidRPr="006B1F36" w:rsidRDefault="007209DE" w:rsidP="001F7691">
            <w:pPr>
              <w:rPr>
                <w:lang w:val="en-US"/>
              </w:rPr>
            </w:pPr>
            <w:r w:rsidRPr="006B1F36">
              <w:rPr>
                <w:lang w:val="en-US"/>
              </w:rPr>
              <w:t>Health-related quality of life</w:t>
            </w:r>
          </w:p>
        </w:tc>
      </w:tr>
      <w:tr w:rsidR="009F3E4B" w:rsidRPr="00FD119B" w14:paraId="77570E3D" w14:textId="77777777" w:rsidTr="00FD119B">
        <w:tc>
          <w:tcPr>
            <w:tcW w:w="1809" w:type="dxa"/>
          </w:tcPr>
          <w:p w14:paraId="7A70A7FE" w14:textId="77777777" w:rsidR="009F3E4B" w:rsidRPr="006B1F36" w:rsidRDefault="009F3E4B" w:rsidP="001F7691">
            <w:pPr>
              <w:rPr>
                <w:lang w:val="en-US"/>
              </w:rPr>
            </w:pPr>
            <w:r w:rsidRPr="006B1F36">
              <w:rPr>
                <w:lang w:val="en-US"/>
              </w:rPr>
              <w:t xml:space="preserve">ICH </w:t>
            </w:r>
          </w:p>
        </w:tc>
        <w:tc>
          <w:tcPr>
            <w:tcW w:w="6911" w:type="dxa"/>
          </w:tcPr>
          <w:p w14:paraId="4EE9B87A" w14:textId="77777777" w:rsidR="009F3E4B" w:rsidRPr="006B1F36" w:rsidRDefault="009F3E4B" w:rsidP="001F7691">
            <w:pPr>
              <w:rPr>
                <w:lang w:val="en-US"/>
              </w:rPr>
            </w:pPr>
            <w:r w:rsidRPr="006B1F36">
              <w:rPr>
                <w:lang w:val="en-US"/>
              </w:rPr>
              <w:t xml:space="preserve">International Conference on </w:t>
            </w:r>
            <w:proofErr w:type="spellStart"/>
            <w:r w:rsidRPr="006B1F36">
              <w:rPr>
                <w:lang w:val="en-US"/>
              </w:rPr>
              <w:t>Harmonisation</w:t>
            </w:r>
            <w:proofErr w:type="spellEnd"/>
          </w:p>
        </w:tc>
      </w:tr>
      <w:tr w:rsidR="009F3E4B" w:rsidRPr="00FD119B" w14:paraId="2E04DC7C" w14:textId="77777777" w:rsidTr="00FD119B">
        <w:tc>
          <w:tcPr>
            <w:tcW w:w="1809" w:type="dxa"/>
          </w:tcPr>
          <w:p w14:paraId="61CA25E8" w14:textId="77777777" w:rsidR="009F3E4B" w:rsidRPr="006B1F36" w:rsidRDefault="009F3E4B" w:rsidP="001F7691">
            <w:pPr>
              <w:rPr>
                <w:lang w:val="en-US"/>
              </w:rPr>
            </w:pPr>
            <w:r w:rsidRPr="006B1F36">
              <w:rPr>
                <w:lang w:val="en-US"/>
              </w:rPr>
              <w:t xml:space="preserve">IHC </w:t>
            </w:r>
          </w:p>
        </w:tc>
        <w:tc>
          <w:tcPr>
            <w:tcW w:w="6911" w:type="dxa"/>
          </w:tcPr>
          <w:p w14:paraId="231D16EA" w14:textId="77777777" w:rsidR="009F3E4B" w:rsidRPr="006B1F36" w:rsidRDefault="007209DE" w:rsidP="001F7691">
            <w:pPr>
              <w:rPr>
                <w:lang w:val="en-US"/>
              </w:rPr>
            </w:pPr>
            <w:r w:rsidRPr="006B1F36">
              <w:rPr>
                <w:lang w:val="en-US"/>
              </w:rPr>
              <w:t>Immunohistochemistry</w:t>
            </w:r>
          </w:p>
        </w:tc>
      </w:tr>
      <w:tr w:rsidR="009F3E4B" w:rsidRPr="00FD119B" w14:paraId="08DA9E63" w14:textId="77777777" w:rsidTr="00FD119B">
        <w:tc>
          <w:tcPr>
            <w:tcW w:w="1809" w:type="dxa"/>
          </w:tcPr>
          <w:p w14:paraId="0B8B53D9" w14:textId="77777777" w:rsidR="009F3E4B" w:rsidRPr="006B1F36" w:rsidRDefault="009F3E4B" w:rsidP="001F7691">
            <w:pPr>
              <w:rPr>
                <w:lang w:val="en-US"/>
              </w:rPr>
            </w:pPr>
            <w:r w:rsidRPr="006B1F36">
              <w:rPr>
                <w:lang w:val="en-US"/>
              </w:rPr>
              <w:lastRenderedPageBreak/>
              <w:t xml:space="preserve">ILD </w:t>
            </w:r>
          </w:p>
        </w:tc>
        <w:tc>
          <w:tcPr>
            <w:tcW w:w="6911" w:type="dxa"/>
          </w:tcPr>
          <w:p w14:paraId="7B1C544A" w14:textId="77777777" w:rsidR="009F3E4B" w:rsidRPr="006B1F36" w:rsidRDefault="007209DE" w:rsidP="001F7691">
            <w:pPr>
              <w:rPr>
                <w:lang w:val="en-US"/>
              </w:rPr>
            </w:pPr>
            <w:r w:rsidRPr="006B1F36">
              <w:rPr>
                <w:lang w:val="en-US"/>
              </w:rPr>
              <w:t>Interstitial lung disease</w:t>
            </w:r>
          </w:p>
        </w:tc>
      </w:tr>
      <w:tr w:rsidR="009F3E4B" w:rsidRPr="00FD119B" w14:paraId="2621A5D8" w14:textId="77777777" w:rsidTr="00FD119B">
        <w:tc>
          <w:tcPr>
            <w:tcW w:w="1809" w:type="dxa"/>
          </w:tcPr>
          <w:p w14:paraId="45FAE70C" w14:textId="77777777" w:rsidR="009F3E4B" w:rsidRPr="006B1F36" w:rsidRDefault="009F3E4B" w:rsidP="001F7691">
            <w:pPr>
              <w:rPr>
                <w:lang w:val="en-US"/>
              </w:rPr>
            </w:pPr>
            <w:r w:rsidRPr="006B1F36">
              <w:rPr>
                <w:lang w:val="en-US"/>
              </w:rPr>
              <w:t xml:space="preserve">IRB </w:t>
            </w:r>
          </w:p>
        </w:tc>
        <w:tc>
          <w:tcPr>
            <w:tcW w:w="6911" w:type="dxa"/>
          </w:tcPr>
          <w:p w14:paraId="457EA235" w14:textId="77777777" w:rsidR="009F3E4B" w:rsidRPr="006B1F36" w:rsidRDefault="007209DE" w:rsidP="001F7691">
            <w:pPr>
              <w:rPr>
                <w:lang w:val="en-US"/>
              </w:rPr>
            </w:pPr>
            <w:r w:rsidRPr="006B1F36">
              <w:rPr>
                <w:lang w:val="en-US"/>
              </w:rPr>
              <w:t>Institutional review board</w:t>
            </w:r>
          </w:p>
        </w:tc>
      </w:tr>
      <w:tr w:rsidR="009F3E4B" w:rsidRPr="00FD119B" w14:paraId="3193572C" w14:textId="77777777" w:rsidTr="00FD119B">
        <w:tc>
          <w:tcPr>
            <w:tcW w:w="1809" w:type="dxa"/>
          </w:tcPr>
          <w:p w14:paraId="73E41A18" w14:textId="77777777" w:rsidR="009F3E4B" w:rsidRPr="006B1F36" w:rsidRDefault="009F3E4B" w:rsidP="001F7691">
            <w:pPr>
              <w:rPr>
                <w:lang w:val="en-US"/>
              </w:rPr>
            </w:pPr>
            <w:r w:rsidRPr="006B1F36">
              <w:rPr>
                <w:lang w:val="en-US"/>
              </w:rPr>
              <w:t>IRC</w:t>
            </w:r>
          </w:p>
        </w:tc>
        <w:tc>
          <w:tcPr>
            <w:tcW w:w="6911" w:type="dxa"/>
          </w:tcPr>
          <w:p w14:paraId="10CA07A1" w14:textId="77777777" w:rsidR="009F3E4B" w:rsidRPr="006B1F36" w:rsidRDefault="007209DE" w:rsidP="001F7691">
            <w:pPr>
              <w:rPr>
                <w:lang w:val="en-US"/>
              </w:rPr>
            </w:pPr>
            <w:r w:rsidRPr="006B1F36">
              <w:rPr>
                <w:lang w:val="en-US"/>
              </w:rPr>
              <w:t>Independent review commi</w:t>
            </w:r>
            <w:r w:rsidR="009F3E4B" w:rsidRPr="006B1F36">
              <w:rPr>
                <w:lang w:val="en-US"/>
              </w:rPr>
              <w:t>ttee</w:t>
            </w:r>
          </w:p>
        </w:tc>
      </w:tr>
      <w:tr w:rsidR="009F3E4B" w:rsidRPr="00FD119B" w14:paraId="72D37969" w14:textId="77777777" w:rsidTr="00FD119B">
        <w:tc>
          <w:tcPr>
            <w:tcW w:w="1809" w:type="dxa"/>
          </w:tcPr>
          <w:p w14:paraId="7C8408D9" w14:textId="77777777" w:rsidR="009F3E4B" w:rsidRPr="006B1F36" w:rsidRDefault="009F3E4B" w:rsidP="001F7691">
            <w:pPr>
              <w:rPr>
                <w:lang w:val="en-US"/>
              </w:rPr>
            </w:pPr>
            <w:r w:rsidRPr="006B1F36">
              <w:rPr>
                <w:lang w:val="en-US"/>
              </w:rPr>
              <w:t xml:space="preserve">ITT </w:t>
            </w:r>
          </w:p>
        </w:tc>
        <w:tc>
          <w:tcPr>
            <w:tcW w:w="6911" w:type="dxa"/>
          </w:tcPr>
          <w:p w14:paraId="7054732D" w14:textId="77777777" w:rsidR="009F3E4B" w:rsidRPr="006B1F36" w:rsidRDefault="007209DE" w:rsidP="001F7691">
            <w:pPr>
              <w:rPr>
                <w:lang w:val="en-US"/>
              </w:rPr>
            </w:pPr>
            <w:r w:rsidRPr="006B1F36">
              <w:rPr>
                <w:lang w:val="en-US"/>
              </w:rPr>
              <w:t>Intent-to-treat</w:t>
            </w:r>
          </w:p>
        </w:tc>
      </w:tr>
      <w:tr w:rsidR="009F3E4B" w:rsidRPr="00FD119B" w14:paraId="5BDA8844" w14:textId="77777777" w:rsidTr="00FD119B">
        <w:tc>
          <w:tcPr>
            <w:tcW w:w="1809" w:type="dxa"/>
          </w:tcPr>
          <w:p w14:paraId="35E598EC" w14:textId="77777777" w:rsidR="009F3E4B" w:rsidRPr="006B1F36" w:rsidRDefault="009F3E4B" w:rsidP="001F7691">
            <w:pPr>
              <w:rPr>
                <w:lang w:val="en-US"/>
              </w:rPr>
            </w:pPr>
            <w:r w:rsidRPr="006B1F36">
              <w:rPr>
                <w:lang w:val="en-US"/>
              </w:rPr>
              <w:t xml:space="preserve">KRAS </w:t>
            </w:r>
          </w:p>
        </w:tc>
        <w:tc>
          <w:tcPr>
            <w:tcW w:w="6911" w:type="dxa"/>
          </w:tcPr>
          <w:p w14:paraId="44285F3D" w14:textId="77777777" w:rsidR="009F3E4B" w:rsidRPr="006B1F36" w:rsidRDefault="009F3E4B" w:rsidP="001F7691">
            <w:pPr>
              <w:rPr>
                <w:lang w:val="en-US"/>
              </w:rPr>
            </w:pPr>
            <w:r w:rsidRPr="006B1F36">
              <w:rPr>
                <w:lang w:val="en-US"/>
              </w:rPr>
              <w:t>Kirsten rat sarcoma viral oncogene homolog</w:t>
            </w:r>
          </w:p>
        </w:tc>
      </w:tr>
      <w:tr w:rsidR="009F3E4B" w:rsidRPr="00FD119B" w14:paraId="69242444" w14:textId="77777777" w:rsidTr="00FD119B">
        <w:tc>
          <w:tcPr>
            <w:tcW w:w="1809" w:type="dxa"/>
          </w:tcPr>
          <w:p w14:paraId="69AA8220" w14:textId="77777777" w:rsidR="009F3E4B" w:rsidRPr="006B1F36" w:rsidRDefault="009F3E4B" w:rsidP="001F7691">
            <w:pPr>
              <w:rPr>
                <w:lang w:val="en-US"/>
              </w:rPr>
            </w:pPr>
            <w:r w:rsidRPr="006B1F36">
              <w:rPr>
                <w:lang w:val="en-US"/>
              </w:rPr>
              <w:t xml:space="preserve">MET </w:t>
            </w:r>
          </w:p>
        </w:tc>
        <w:tc>
          <w:tcPr>
            <w:tcW w:w="6911" w:type="dxa"/>
          </w:tcPr>
          <w:p w14:paraId="4D4EF545" w14:textId="77777777" w:rsidR="009F3E4B" w:rsidRPr="006B1F36" w:rsidRDefault="007209DE" w:rsidP="001F7691">
            <w:pPr>
              <w:rPr>
                <w:lang w:val="en-US"/>
              </w:rPr>
            </w:pPr>
            <w:r w:rsidRPr="006B1F36">
              <w:rPr>
                <w:lang w:val="en-US"/>
              </w:rPr>
              <w:t>Mesenchymal-epithelial transition factor</w:t>
            </w:r>
          </w:p>
        </w:tc>
      </w:tr>
      <w:tr w:rsidR="009F3E4B" w:rsidRPr="00FD119B" w14:paraId="54D6703A" w14:textId="77777777" w:rsidTr="00FD119B">
        <w:tc>
          <w:tcPr>
            <w:tcW w:w="1809" w:type="dxa"/>
          </w:tcPr>
          <w:p w14:paraId="2A903A7E" w14:textId="77777777" w:rsidR="009F3E4B" w:rsidRPr="006B1F36" w:rsidRDefault="009F3E4B" w:rsidP="001F7691">
            <w:pPr>
              <w:rPr>
                <w:lang w:val="en-US"/>
              </w:rPr>
            </w:pPr>
            <w:r w:rsidRPr="006B1F36">
              <w:rPr>
                <w:lang w:val="en-US"/>
              </w:rPr>
              <w:t xml:space="preserve">MRI </w:t>
            </w:r>
          </w:p>
        </w:tc>
        <w:tc>
          <w:tcPr>
            <w:tcW w:w="6911" w:type="dxa"/>
          </w:tcPr>
          <w:p w14:paraId="7A20BBED" w14:textId="77777777" w:rsidR="009F3E4B" w:rsidRPr="006B1F36" w:rsidRDefault="007209DE" w:rsidP="001F7691">
            <w:pPr>
              <w:rPr>
                <w:lang w:val="en-US"/>
              </w:rPr>
            </w:pPr>
            <w:r w:rsidRPr="006B1F36">
              <w:rPr>
                <w:lang w:val="en-US"/>
              </w:rPr>
              <w:t>Magnetic resonance imaging</w:t>
            </w:r>
          </w:p>
        </w:tc>
      </w:tr>
      <w:tr w:rsidR="009F3E4B" w:rsidRPr="00FD119B" w14:paraId="023C9F93" w14:textId="77777777" w:rsidTr="00FD119B">
        <w:tc>
          <w:tcPr>
            <w:tcW w:w="1809" w:type="dxa"/>
          </w:tcPr>
          <w:p w14:paraId="419C4819" w14:textId="77777777" w:rsidR="009F3E4B" w:rsidRPr="006B1F36" w:rsidRDefault="009F3E4B" w:rsidP="001F7691">
            <w:pPr>
              <w:rPr>
                <w:lang w:val="en-US"/>
              </w:rPr>
            </w:pPr>
            <w:r w:rsidRPr="006B1F36">
              <w:rPr>
                <w:lang w:val="en-US"/>
              </w:rPr>
              <w:t xml:space="preserve">NSCLC </w:t>
            </w:r>
          </w:p>
        </w:tc>
        <w:tc>
          <w:tcPr>
            <w:tcW w:w="6911" w:type="dxa"/>
          </w:tcPr>
          <w:p w14:paraId="2386B78F" w14:textId="77777777" w:rsidR="009F3E4B" w:rsidRPr="006B1F36" w:rsidRDefault="007209DE" w:rsidP="001F7691">
            <w:pPr>
              <w:rPr>
                <w:lang w:val="en-US"/>
              </w:rPr>
            </w:pPr>
            <w:r w:rsidRPr="006B1F36">
              <w:rPr>
                <w:lang w:val="en-US"/>
              </w:rPr>
              <w:t>Non−small cell lung cancer</w:t>
            </w:r>
          </w:p>
        </w:tc>
      </w:tr>
      <w:tr w:rsidR="009F3E4B" w:rsidRPr="00FD119B" w14:paraId="4FEDB13F" w14:textId="77777777" w:rsidTr="00FD119B">
        <w:tc>
          <w:tcPr>
            <w:tcW w:w="1809" w:type="dxa"/>
          </w:tcPr>
          <w:p w14:paraId="6AC28DD6" w14:textId="77777777" w:rsidR="009F3E4B" w:rsidRPr="006B1F36" w:rsidRDefault="009F3E4B" w:rsidP="001F7691">
            <w:pPr>
              <w:rPr>
                <w:lang w:val="en-US"/>
              </w:rPr>
            </w:pPr>
            <w:r w:rsidRPr="006B1F36">
              <w:rPr>
                <w:lang w:val="en-US"/>
              </w:rPr>
              <w:t xml:space="preserve">ORR </w:t>
            </w:r>
          </w:p>
        </w:tc>
        <w:tc>
          <w:tcPr>
            <w:tcW w:w="6911" w:type="dxa"/>
          </w:tcPr>
          <w:p w14:paraId="44C836DE" w14:textId="77777777" w:rsidR="009F3E4B" w:rsidRPr="006B1F36" w:rsidRDefault="007209DE" w:rsidP="001F7691">
            <w:pPr>
              <w:rPr>
                <w:lang w:val="en-US"/>
              </w:rPr>
            </w:pPr>
            <w:r w:rsidRPr="006B1F36">
              <w:rPr>
                <w:lang w:val="en-US"/>
              </w:rPr>
              <w:t>Objective response rate</w:t>
            </w:r>
          </w:p>
        </w:tc>
      </w:tr>
      <w:tr w:rsidR="009F3E4B" w:rsidRPr="00FD119B" w14:paraId="696393B3" w14:textId="77777777" w:rsidTr="00FD119B">
        <w:tc>
          <w:tcPr>
            <w:tcW w:w="1809" w:type="dxa"/>
          </w:tcPr>
          <w:p w14:paraId="6CB5AC7A" w14:textId="77777777" w:rsidR="009F3E4B" w:rsidRPr="006B1F36" w:rsidRDefault="009F3E4B" w:rsidP="001F7691">
            <w:pPr>
              <w:rPr>
                <w:lang w:val="en-US"/>
              </w:rPr>
            </w:pPr>
            <w:r w:rsidRPr="006B1F36">
              <w:rPr>
                <w:lang w:val="en-US"/>
              </w:rPr>
              <w:t xml:space="preserve">OS </w:t>
            </w:r>
          </w:p>
        </w:tc>
        <w:tc>
          <w:tcPr>
            <w:tcW w:w="6911" w:type="dxa"/>
          </w:tcPr>
          <w:p w14:paraId="10A6C86C" w14:textId="77777777" w:rsidR="009F3E4B" w:rsidRPr="006B1F36" w:rsidRDefault="007209DE" w:rsidP="001F7691">
            <w:pPr>
              <w:rPr>
                <w:lang w:val="en-US"/>
              </w:rPr>
            </w:pPr>
            <w:r w:rsidRPr="006B1F36">
              <w:rPr>
                <w:lang w:val="en-US"/>
              </w:rPr>
              <w:t>Overall survival</w:t>
            </w:r>
          </w:p>
        </w:tc>
      </w:tr>
      <w:tr w:rsidR="009F3E4B" w:rsidRPr="00FD119B" w14:paraId="1144B97D" w14:textId="77777777" w:rsidTr="00FD119B">
        <w:tc>
          <w:tcPr>
            <w:tcW w:w="1809" w:type="dxa"/>
          </w:tcPr>
          <w:p w14:paraId="2C262A45" w14:textId="77777777" w:rsidR="009F3E4B" w:rsidRPr="006B1F36" w:rsidRDefault="009F3E4B" w:rsidP="001F7691">
            <w:pPr>
              <w:rPr>
                <w:lang w:val="en-US"/>
              </w:rPr>
            </w:pPr>
            <w:r w:rsidRPr="006B1F36">
              <w:rPr>
                <w:lang w:val="en-US"/>
              </w:rPr>
              <w:t>P-</w:t>
            </w:r>
            <w:proofErr w:type="spellStart"/>
            <w:r w:rsidRPr="006B1F36">
              <w:rPr>
                <w:lang w:val="en-US"/>
              </w:rPr>
              <w:t>gp</w:t>
            </w:r>
            <w:proofErr w:type="spellEnd"/>
            <w:r w:rsidRPr="006B1F36">
              <w:rPr>
                <w:lang w:val="en-US"/>
              </w:rPr>
              <w:t xml:space="preserve"> </w:t>
            </w:r>
          </w:p>
        </w:tc>
        <w:tc>
          <w:tcPr>
            <w:tcW w:w="6911" w:type="dxa"/>
          </w:tcPr>
          <w:p w14:paraId="4F3076A7" w14:textId="77777777" w:rsidR="009F3E4B" w:rsidRPr="006B1F36" w:rsidRDefault="009F3E4B" w:rsidP="001F7691">
            <w:pPr>
              <w:rPr>
                <w:lang w:val="en-US"/>
              </w:rPr>
            </w:pPr>
            <w:r w:rsidRPr="006B1F36">
              <w:rPr>
                <w:lang w:val="en-US"/>
              </w:rPr>
              <w:t>P-glycoprotein</w:t>
            </w:r>
          </w:p>
        </w:tc>
      </w:tr>
      <w:tr w:rsidR="009F3E4B" w:rsidRPr="00FD119B" w14:paraId="2187868E" w14:textId="77777777" w:rsidTr="00FD119B">
        <w:tc>
          <w:tcPr>
            <w:tcW w:w="1809" w:type="dxa"/>
          </w:tcPr>
          <w:p w14:paraId="148CBB91" w14:textId="77777777" w:rsidR="009F3E4B" w:rsidRPr="006B1F36" w:rsidRDefault="009F3E4B" w:rsidP="001F7691">
            <w:pPr>
              <w:rPr>
                <w:lang w:val="en-US"/>
              </w:rPr>
            </w:pPr>
            <w:r w:rsidRPr="006B1F36">
              <w:rPr>
                <w:lang w:val="en-US"/>
              </w:rPr>
              <w:t>PD</w:t>
            </w:r>
          </w:p>
        </w:tc>
        <w:tc>
          <w:tcPr>
            <w:tcW w:w="6911" w:type="dxa"/>
          </w:tcPr>
          <w:p w14:paraId="76046444" w14:textId="77777777" w:rsidR="009F3E4B" w:rsidRPr="006B1F36" w:rsidRDefault="007209DE" w:rsidP="001F7691">
            <w:pPr>
              <w:rPr>
                <w:lang w:val="en-US"/>
              </w:rPr>
            </w:pPr>
            <w:r w:rsidRPr="006B1F36">
              <w:rPr>
                <w:lang w:val="en-US"/>
              </w:rPr>
              <w:t>Progressive disease</w:t>
            </w:r>
          </w:p>
        </w:tc>
      </w:tr>
      <w:tr w:rsidR="009F3E4B" w:rsidRPr="00FD119B" w14:paraId="7FB5627B" w14:textId="77777777" w:rsidTr="00FD119B">
        <w:tc>
          <w:tcPr>
            <w:tcW w:w="1809" w:type="dxa"/>
          </w:tcPr>
          <w:p w14:paraId="6741C72E" w14:textId="77777777" w:rsidR="009F3E4B" w:rsidRPr="006B1F36" w:rsidRDefault="009F3E4B" w:rsidP="001F7691">
            <w:pPr>
              <w:rPr>
                <w:lang w:val="en-US"/>
              </w:rPr>
            </w:pPr>
            <w:r w:rsidRPr="006B1F36">
              <w:rPr>
                <w:lang w:val="en-US"/>
              </w:rPr>
              <w:t xml:space="preserve">PFS </w:t>
            </w:r>
          </w:p>
        </w:tc>
        <w:tc>
          <w:tcPr>
            <w:tcW w:w="6911" w:type="dxa"/>
          </w:tcPr>
          <w:p w14:paraId="6183287E" w14:textId="77777777" w:rsidR="009F3E4B" w:rsidRPr="006B1F36" w:rsidRDefault="007209DE" w:rsidP="001F7691">
            <w:pPr>
              <w:rPr>
                <w:lang w:val="en-US"/>
              </w:rPr>
            </w:pPr>
            <w:r w:rsidRPr="006B1F36">
              <w:rPr>
                <w:lang w:val="en-US"/>
              </w:rPr>
              <w:t>Progression-free survival</w:t>
            </w:r>
          </w:p>
        </w:tc>
      </w:tr>
      <w:tr w:rsidR="009F3E4B" w:rsidRPr="00FD119B" w14:paraId="56C80906" w14:textId="77777777" w:rsidTr="00FD119B">
        <w:tc>
          <w:tcPr>
            <w:tcW w:w="1809" w:type="dxa"/>
          </w:tcPr>
          <w:p w14:paraId="6C8FFA6C" w14:textId="77777777" w:rsidR="009F3E4B" w:rsidRPr="006B1F36" w:rsidRDefault="009F3E4B" w:rsidP="001F7691">
            <w:pPr>
              <w:rPr>
                <w:lang w:val="en-US"/>
              </w:rPr>
            </w:pPr>
            <w:r w:rsidRPr="006B1F36">
              <w:rPr>
                <w:lang w:val="en-US"/>
              </w:rPr>
              <w:t xml:space="preserve">PK </w:t>
            </w:r>
          </w:p>
        </w:tc>
        <w:tc>
          <w:tcPr>
            <w:tcW w:w="6911" w:type="dxa"/>
          </w:tcPr>
          <w:p w14:paraId="6A86F73F" w14:textId="77777777" w:rsidR="009F3E4B" w:rsidRPr="006B1F36" w:rsidRDefault="007209DE" w:rsidP="001F7691">
            <w:pPr>
              <w:rPr>
                <w:lang w:val="en-US"/>
              </w:rPr>
            </w:pPr>
            <w:r w:rsidRPr="006B1F36">
              <w:rPr>
                <w:lang w:val="en-US"/>
              </w:rPr>
              <w:t>Pharmacokinetic</w:t>
            </w:r>
          </w:p>
        </w:tc>
      </w:tr>
      <w:tr w:rsidR="009F3E4B" w:rsidRPr="00FD119B" w14:paraId="4DFA7127" w14:textId="77777777" w:rsidTr="00FD119B">
        <w:tc>
          <w:tcPr>
            <w:tcW w:w="1809" w:type="dxa"/>
          </w:tcPr>
          <w:p w14:paraId="530EFC8D" w14:textId="77777777" w:rsidR="009F3E4B" w:rsidRPr="006B1F36" w:rsidRDefault="009F3E4B" w:rsidP="001F7691">
            <w:pPr>
              <w:rPr>
                <w:lang w:val="en-US"/>
              </w:rPr>
            </w:pPr>
            <w:r w:rsidRPr="006B1F36">
              <w:rPr>
                <w:lang w:val="en-US"/>
              </w:rPr>
              <w:t xml:space="preserve">PS </w:t>
            </w:r>
          </w:p>
        </w:tc>
        <w:tc>
          <w:tcPr>
            <w:tcW w:w="6911" w:type="dxa"/>
          </w:tcPr>
          <w:p w14:paraId="00FB911B" w14:textId="77777777" w:rsidR="009F3E4B" w:rsidRPr="006B1F36" w:rsidRDefault="007209DE" w:rsidP="001F7691">
            <w:pPr>
              <w:rPr>
                <w:lang w:val="en-US"/>
              </w:rPr>
            </w:pPr>
            <w:r w:rsidRPr="006B1F36">
              <w:rPr>
                <w:lang w:val="en-US"/>
              </w:rPr>
              <w:t>Performance status</w:t>
            </w:r>
          </w:p>
        </w:tc>
      </w:tr>
      <w:tr w:rsidR="009F3E4B" w:rsidRPr="00FD119B" w14:paraId="04ED8A6C" w14:textId="77777777" w:rsidTr="00FD119B">
        <w:tc>
          <w:tcPr>
            <w:tcW w:w="1809" w:type="dxa"/>
          </w:tcPr>
          <w:p w14:paraId="1BD3D5CA" w14:textId="77777777" w:rsidR="009F3E4B" w:rsidRPr="006B1F36" w:rsidRDefault="009F3E4B" w:rsidP="001F7691">
            <w:pPr>
              <w:rPr>
                <w:lang w:val="en-US"/>
              </w:rPr>
            </w:pPr>
            <w:r w:rsidRPr="006B1F36">
              <w:rPr>
                <w:lang w:val="en-US"/>
              </w:rPr>
              <w:t xml:space="preserve">QLQ-C30 </w:t>
            </w:r>
          </w:p>
        </w:tc>
        <w:tc>
          <w:tcPr>
            <w:tcW w:w="6911" w:type="dxa"/>
          </w:tcPr>
          <w:p w14:paraId="28BD658D" w14:textId="77777777" w:rsidR="009F3E4B" w:rsidRPr="006B1F36" w:rsidRDefault="009F3E4B" w:rsidP="001F7691">
            <w:pPr>
              <w:rPr>
                <w:lang w:val="en-US"/>
              </w:rPr>
            </w:pPr>
            <w:r w:rsidRPr="006B1F36">
              <w:rPr>
                <w:lang w:val="en-US"/>
              </w:rPr>
              <w:t>Quality of Life Questionnaire−Core</w:t>
            </w:r>
          </w:p>
        </w:tc>
      </w:tr>
      <w:tr w:rsidR="009F3E4B" w:rsidRPr="00FD119B" w14:paraId="65956CDE" w14:textId="77777777" w:rsidTr="00FD119B">
        <w:tc>
          <w:tcPr>
            <w:tcW w:w="1809" w:type="dxa"/>
          </w:tcPr>
          <w:p w14:paraId="27E40D8E" w14:textId="77777777" w:rsidR="009F3E4B" w:rsidRPr="006B1F36" w:rsidRDefault="009F3E4B" w:rsidP="001F7691">
            <w:pPr>
              <w:rPr>
                <w:lang w:val="en-US"/>
              </w:rPr>
            </w:pPr>
            <w:r w:rsidRPr="006B1F36">
              <w:rPr>
                <w:lang w:val="en-US"/>
              </w:rPr>
              <w:t>QLQ-LC13</w:t>
            </w:r>
          </w:p>
        </w:tc>
        <w:tc>
          <w:tcPr>
            <w:tcW w:w="6911" w:type="dxa"/>
          </w:tcPr>
          <w:p w14:paraId="72E8BC87" w14:textId="77777777" w:rsidR="009F3E4B" w:rsidRPr="006B1F36" w:rsidRDefault="009F3E4B" w:rsidP="001F7691">
            <w:pPr>
              <w:rPr>
                <w:lang w:val="en-US"/>
              </w:rPr>
            </w:pPr>
            <w:r w:rsidRPr="006B1F36">
              <w:rPr>
                <w:lang w:val="en-US"/>
              </w:rPr>
              <w:t>Quality of Life Questionnaire lung cancer module</w:t>
            </w:r>
          </w:p>
        </w:tc>
      </w:tr>
      <w:tr w:rsidR="009F3E4B" w:rsidRPr="00FD119B" w14:paraId="76073A58" w14:textId="77777777" w:rsidTr="00FD119B">
        <w:tc>
          <w:tcPr>
            <w:tcW w:w="1809" w:type="dxa"/>
          </w:tcPr>
          <w:p w14:paraId="307E7B28" w14:textId="77777777" w:rsidR="009F3E4B" w:rsidRPr="006B1F36" w:rsidRDefault="009F3E4B" w:rsidP="001F7691">
            <w:pPr>
              <w:rPr>
                <w:lang w:val="en-US"/>
              </w:rPr>
            </w:pPr>
            <w:proofErr w:type="spellStart"/>
            <w:r w:rsidRPr="006B1F36">
              <w:rPr>
                <w:lang w:val="en-US"/>
              </w:rPr>
              <w:t>QTcF</w:t>
            </w:r>
            <w:proofErr w:type="spellEnd"/>
            <w:r w:rsidRPr="006B1F36">
              <w:rPr>
                <w:lang w:val="en-US"/>
              </w:rPr>
              <w:t xml:space="preserve"> </w:t>
            </w:r>
          </w:p>
        </w:tc>
        <w:tc>
          <w:tcPr>
            <w:tcW w:w="6911" w:type="dxa"/>
          </w:tcPr>
          <w:p w14:paraId="7F4786B1" w14:textId="77777777" w:rsidR="009F3E4B" w:rsidRPr="006B1F36" w:rsidRDefault="009F3E4B" w:rsidP="001F7691">
            <w:pPr>
              <w:rPr>
                <w:lang w:val="en-US"/>
              </w:rPr>
            </w:pPr>
            <w:r w:rsidRPr="006B1F36">
              <w:rPr>
                <w:lang w:val="en-US"/>
              </w:rPr>
              <w:t xml:space="preserve">QT interval corrected using </w:t>
            </w:r>
            <w:proofErr w:type="spellStart"/>
            <w:r w:rsidRPr="006B1F36">
              <w:rPr>
                <w:lang w:val="en-US"/>
              </w:rPr>
              <w:t>Fridericia’s</w:t>
            </w:r>
            <w:proofErr w:type="spellEnd"/>
            <w:r w:rsidRPr="006B1F36">
              <w:rPr>
                <w:lang w:val="en-US"/>
              </w:rPr>
              <w:t xml:space="preserve"> formula</w:t>
            </w:r>
          </w:p>
        </w:tc>
      </w:tr>
      <w:tr w:rsidR="009F3E4B" w:rsidRPr="00FD119B" w14:paraId="0732C3B3" w14:textId="77777777" w:rsidTr="00FD119B">
        <w:tc>
          <w:tcPr>
            <w:tcW w:w="1809" w:type="dxa"/>
          </w:tcPr>
          <w:p w14:paraId="0E564087" w14:textId="77777777" w:rsidR="009F3E4B" w:rsidRPr="006B1F36" w:rsidRDefault="009F3E4B" w:rsidP="001F7691">
            <w:pPr>
              <w:rPr>
                <w:lang w:val="en-US"/>
              </w:rPr>
            </w:pPr>
            <w:r w:rsidRPr="006B1F36">
              <w:rPr>
                <w:lang w:val="en-US"/>
              </w:rPr>
              <w:t xml:space="preserve">RANO </w:t>
            </w:r>
          </w:p>
        </w:tc>
        <w:tc>
          <w:tcPr>
            <w:tcW w:w="6911" w:type="dxa"/>
          </w:tcPr>
          <w:p w14:paraId="1DF62694" w14:textId="77777777" w:rsidR="009F3E4B" w:rsidRPr="006B1F36" w:rsidRDefault="009F3E4B" w:rsidP="001F7691">
            <w:pPr>
              <w:rPr>
                <w:lang w:val="en-US"/>
              </w:rPr>
            </w:pPr>
            <w:r w:rsidRPr="006B1F36">
              <w:rPr>
                <w:lang w:val="en-US"/>
              </w:rPr>
              <w:t>Revised Assessment in Neuro Oncology</w:t>
            </w:r>
          </w:p>
        </w:tc>
      </w:tr>
      <w:tr w:rsidR="009F3E4B" w:rsidRPr="00FD119B" w14:paraId="6F8E9F2A" w14:textId="77777777" w:rsidTr="00FD119B">
        <w:tc>
          <w:tcPr>
            <w:tcW w:w="1809" w:type="dxa"/>
          </w:tcPr>
          <w:p w14:paraId="418A6BE4" w14:textId="77777777" w:rsidR="009F3E4B" w:rsidRPr="006B1F36" w:rsidRDefault="009F3E4B" w:rsidP="001F7691">
            <w:pPr>
              <w:rPr>
                <w:lang w:val="en-US"/>
              </w:rPr>
            </w:pPr>
            <w:r w:rsidRPr="006B1F36">
              <w:rPr>
                <w:lang w:val="en-US"/>
              </w:rPr>
              <w:t xml:space="preserve">RCR </w:t>
            </w:r>
          </w:p>
        </w:tc>
        <w:tc>
          <w:tcPr>
            <w:tcW w:w="6911" w:type="dxa"/>
          </w:tcPr>
          <w:p w14:paraId="7659D6B4" w14:textId="77777777" w:rsidR="009F3E4B" w:rsidRPr="006B1F36" w:rsidRDefault="007209DE" w:rsidP="001F7691">
            <w:pPr>
              <w:rPr>
                <w:lang w:val="en-US"/>
              </w:rPr>
            </w:pPr>
            <w:r w:rsidRPr="006B1F36">
              <w:rPr>
                <w:lang w:val="en-US"/>
              </w:rPr>
              <w:t>Roche clinical repository</w:t>
            </w:r>
          </w:p>
        </w:tc>
      </w:tr>
      <w:tr w:rsidR="009F3E4B" w:rsidRPr="00FD119B" w14:paraId="30C8B93B" w14:textId="77777777" w:rsidTr="00FD119B">
        <w:tc>
          <w:tcPr>
            <w:tcW w:w="1809" w:type="dxa"/>
          </w:tcPr>
          <w:p w14:paraId="4D7CFE20" w14:textId="77777777" w:rsidR="009F3E4B" w:rsidRPr="006B1F36" w:rsidRDefault="009F3E4B" w:rsidP="001F7691">
            <w:pPr>
              <w:rPr>
                <w:lang w:val="en-US"/>
              </w:rPr>
            </w:pPr>
            <w:r w:rsidRPr="006B1F36">
              <w:rPr>
                <w:lang w:val="en-US"/>
              </w:rPr>
              <w:t xml:space="preserve">RECIST </w:t>
            </w:r>
          </w:p>
        </w:tc>
        <w:tc>
          <w:tcPr>
            <w:tcW w:w="6911" w:type="dxa"/>
          </w:tcPr>
          <w:p w14:paraId="4F2DF2CE" w14:textId="77777777" w:rsidR="009F3E4B" w:rsidRPr="006B1F36" w:rsidRDefault="009F3E4B" w:rsidP="001F7691">
            <w:pPr>
              <w:rPr>
                <w:lang w:val="en-US"/>
              </w:rPr>
            </w:pPr>
            <w:r w:rsidRPr="006B1F36">
              <w:rPr>
                <w:lang w:val="en-US"/>
              </w:rPr>
              <w:t>Response Evaluation Criteria in Solid Tumors</w:t>
            </w:r>
          </w:p>
        </w:tc>
      </w:tr>
      <w:tr w:rsidR="009F3E4B" w:rsidRPr="00FD119B" w14:paraId="1A80DE04" w14:textId="77777777" w:rsidTr="00FD119B">
        <w:tc>
          <w:tcPr>
            <w:tcW w:w="1809" w:type="dxa"/>
          </w:tcPr>
          <w:p w14:paraId="1F76D198" w14:textId="77777777" w:rsidR="009F3E4B" w:rsidRPr="006B1F36" w:rsidRDefault="009F3E4B" w:rsidP="001F7691">
            <w:pPr>
              <w:rPr>
                <w:lang w:val="en-US"/>
              </w:rPr>
            </w:pPr>
            <w:r w:rsidRPr="006B1F36">
              <w:rPr>
                <w:lang w:val="en-US"/>
              </w:rPr>
              <w:t xml:space="preserve">ROS1 </w:t>
            </w:r>
          </w:p>
        </w:tc>
        <w:tc>
          <w:tcPr>
            <w:tcW w:w="6911" w:type="dxa"/>
          </w:tcPr>
          <w:p w14:paraId="2C5380CC" w14:textId="77777777" w:rsidR="009F3E4B" w:rsidRPr="006B1F36" w:rsidRDefault="007209DE" w:rsidP="001F7691">
            <w:pPr>
              <w:rPr>
                <w:lang w:val="en-US"/>
              </w:rPr>
            </w:pPr>
            <w:r w:rsidRPr="006B1F36">
              <w:rPr>
                <w:lang w:val="en-US"/>
              </w:rPr>
              <w:t>C-</w:t>
            </w:r>
            <w:proofErr w:type="spellStart"/>
            <w:r w:rsidRPr="006B1F36">
              <w:rPr>
                <w:lang w:val="en-US"/>
              </w:rPr>
              <w:t>ros</w:t>
            </w:r>
            <w:proofErr w:type="spellEnd"/>
            <w:r w:rsidRPr="006B1F36">
              <w:rPr>
                <w:lang w:val="en-US"/>
              </w:rPr>
              <w:t xml:space="preserve"> oncogene 1</w:t>
            </w:r>
          </w:p>
        </w:tc>
      </w:tr>
      <w:tr w:rsidR="009F3E4B" w:rsidRPr="00FD119B" w14:paraId="0ADE69A3" w14:textId="77777777" w:rsidTr="00FD119B">
        <w:tc>
          <w:tcPr>
            <w:tcW w:w="1809" w:type="dxa"/>
          </w:tcPr>
          <w:p w14:paraId="5CD1F301" w14:textId="77777777" w:rsidR="009F3E4B" w:rsidRPr="006B1F36" w:rsidRDefault="009F3E4B" w:rsidP="001F7691">
            <w:pPr>
              <w:rPr>
                <w:lang w:val="en-US"/>
              </w:rPr>
            </w:pPr>
            <w:r w:rsidRPr="006B1F36">
              <w:rPr>
                <w:lang w:val="en-US"/>
              </w:rPr>
              <w:t xml:space="preserve">SAE </w:t>
            </w:r>
          </w:p>
        </w:tc>
        <w:tc>
          <w:tcPr>
            <w:tcW w:w="6911" w:type="dxa"/>
          </w:tcPr>
          <w:p w14:paraId="7D644600" w14:textId="77777777" w:rsidR="009F3E4B" w:rsidRPr="006B1F36" w:rsidRDefault="007209DE" w:rsidP="001F7691">
            <w:pPr>
              <w:rPr>
                <w:lang w:val="en-US"/>
              </w:rPr>
            </w:pPr>
            <w:r w:rsidRPr="006B1F36">
              <w:rPr>
                <w:lang w:val="en-US"/>
              </w:rPr>
              <w:t>Serious adverse event</w:t>
            </w:r>
          </w:p>
        </w:tc>
      </w:tr>
    </w:tbl>
    <w:p w14:paraId="11873A9B" w14:textId="77777777" w:rsidR="00FD119B" w:rsidRDefault="00FD119B" w:rsidP="00FD119B"/>
    <w:p w14:paraId="0BDFFC1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AD7BA08" w14:textId="77777777" w:rsidR="008E7846" w:rsidRDefault="00F53C07" w:rsidP="008E7846">
      <w:pPr>
        <w:pStyle w:val="Heading2"/>
      </w:pPr>
      <w:bookmarkStart w:id="9" w:name="_Toc509821955"/>
      <w:r>
        <w:lastRenderedPageBreak/>
        <w:t>I.</w:t>
      </w:r>
      <w:r w:rsidR="008E7846">
        <w:t xml:space="preserve"> Introduction to product submission</w:t>
      </w:r>
      <w:bookmarkEnd w:id="3"/>
      <w:bookmarkEnd w:id="0"/>
      <w:bookmarkEnd w:id="9"/>
    </w:p>
    <w:p w14:paraId="3108820D" w14:textId="77777777" w:rsidR="008E7846" w:rsidRDefault="008E7846" w:rsidP="008E7846">
      <w:pPr>
        <w:pStyle w:val="Heading3"/>
        <w:rPr>
          <w:lang w:eastAsia="en-AU"/>
        </w:rPr>
      </w:pPr>
      <w:bookmarkStart w:id="10" w:name="_Toc247691502"/>
      <w:bookmarkStart w:id="11" w:name="_Toc314842483"/>
      <w:bookmarkStart w:id="12" w:name="_Toc50982195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39E8FAB" w14:textId="77777777" w:rsidTr="00407466">
        <w:trPr>
          <w:trHeight w:hRule="exact" w:val="454"/>
        </w:trPr>
        <w:tc>
          <w:tcPr>
            <w:tcW w:w="2907" w:type="dxa"/>
          </w:tcPr>
          <w:p w14:paraId="2E71E897"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2F4C7B6" w14:textId="77777777" w:rsidR="008E7846" w:rsidRPr="003D1E62" w:rsidRDefault="005F3542" w:rsidP="001B5C90">
            <w:r>
              <w:t>Extension of Indications</w:t>
            </w:r>
          </w:p>
        </w:tc>
      </w:tr>
      <w:tr w:rsidR="008E7846" w:rsidRPr="003D1E62" w14:paraId="7FD53DBD" w14:textId="77777777" w:rsidTr="00407466">
        <w:trPr>
          <w:trHeight w:hRule="exact" w:val="454"/>
        </w:trPr>
        <w:tc>
          <w:tcPr>
            <w:tcW w:w="2907" w:type="dxa"/>
          </w:tcPr>
          <w:p w14:paraId="54FA8B4E" w14:textId="77777777" w:rsidR="008E7846" w:rsidRPr="003D1E62" w:rsidRDefault="008E7846" w:rsidP="003D1E62">
            <w:r w:rsidRPr="003D1E62">
              <w:rPr>
                <w:i/>
              </w:rPr>
              <w:t>Decision</w:t>
            </w:r>
            <w:r w:rsidRPr="003D1E62">
              <w:t>:</w:t>
            </w:r>
          </w:p>
        </w:tc>
        <w:tc>
          <w:tcPr>
            <w:tcW w:w="6307" w:type="dxa"/>
          </w:tcPr>
          <w:p w14:paraId="2ABF16AA" w14:textId="77777777" w:rsidR="008E7846" w:rsidRPr="003D1E62" w:rsidRDefault="008E7846" w:rsidP="005F3542">
            <w:r w:rsidRPr="003D1E62">
              <w:t xml:space="preserve">Approved </w:t>
            </w:r>
          </w:p>
        </w:tc>
      </w:tr>
      <w:tr w:rsidR="008E7846" w:rsidRPr="003D1E62" w14:paraId="003635BB" w14:textId="77777777" w:rsidTr="00407466">
        <w:trPr>
          <w:trHeight w:hRule="exact" w:val="454"/>
        </w:trPr>
        <w:tc>
          <w:tcPr>
            <w:tcW w:w="2907" w:type="dxa"/>
          </w:tcPr>
          <w:p w14:paraId="32AE6E87"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68D2F60D" w14:textId="77777777" w:rsidR="008E7846" w:rsidRPr="003D1E62" w:rsidRDefault="00F33E05" w:rsidP="001B5C90">
            <w:r>
              <w:t>30 January 2018</w:t>
            </w:r>
          </w:p>
        </w:tc>
      </w:tr>
      <w:tr w:rsidR="00ED2922" w:rsidRPr="003D1E62" w14:paraId="68974D02" w14:textId="77777777" w:rsidTr="00407466">
        <w:trPr>
          <w:trHeight w:hRule="exact" w:val="454"/>
        </w:trPr>
        <w:tc>
          <w:tcPr>
            <w:tcW w:w="2907" w:type="dxa"/>
          </w:tcPr>
          <w:p w14:paraId="3AB7F4B7" w14:textId="77777777" w:rsidR="00ED2922" w:rsidRPr="00441C3F" w:rsidRDefault="00ED2922" w:rsidP="001B5C90">
            <w:pPr>
              <w:rPr>
                <w:i/>
              </w:rPr>
            </w:pPr>
            <w:r w:rsidRPr="00441C3F">
              <w:rPr>
                <w:i/>
              </w:rPr>
              <w:t>Date of entry onto ARTG</w:t>
            </w:r>
          </w:p>
        </w:tc>
        <w:tc>
          <w:tcPr>
            <w:tcW w:w="6307" w:type="dxa"/>
          </w:tcPr>
          <w:p w14:paraId="3E33E9A6" w14:textId="77777777" w:rsidR="00ED2922" w:rsidRPr="00441C3F" w:rsidRDefault="008C2DAC" w:rsidP="00EC463D">
            <w:pPr>
              <w:rPr>
                <w:i/>
              </w:rPr>
            </w:pPr>
            <w:r>
              <w:t>30 January 2018</w:t>
            </w:r>
          </w:p>
        </w:tc>
      </w:tr>
      <w:tr w:rsidR="008E7846" w:rsidRPr="00487162" w14:paraId="1645479C" w14:textId="77777777" w:rsidTr="00407466">
        <w:tc>
          <w:tcPr>
            <w:tcW w:w="2907" w:type="dxa"/>
          </w:tcPr>
          <w:p w14:paraId="2CF77863" w14:textId="77777777" w:rsidR="008E7846" w:rsidRPr="00487162" w:rsidRDefault="001B5C90" w:rsidP="00E45619">
            <w:pPr>
              <w:rPr>
                <w:i/>
              </w:rPr>
            </w:pPr>
            <w:r>
              <w:rPr>
                <w:i/>
              </w:rPr>
              <w:t>Active ingredient(s):</w:t>
            </w:r>
          </w:p>
        </w:tc>
        <w:tc>
          <w:tcPr>
            <w:tcW w:w="6307" w:type="dxa"/>
          </w:tcPr>
          <w:p w14:paraId="2CD22E41" w14:textId="77777777" w:rsidR="008E7846" w:rsidRPr="00487162" w:rsidRDefault="005F3542" w:rsidP="00E45619">
            <w:proofErr w:type="spellStart"/>
            <w:r>
              <w:t>A</w:t>
            </w:r>
            <w:r w:rsidRPr="005F3542">
              <w:t>lectinib</w:t>
            </w:r>
            <w:proofErr w:type="spellEnd"/>
          </w:p>
        </w:tc>
      </w:tr>
      <w:tr w:rsidR="008E7846" w:rsidRPr="00487162" w14:paraId="2F65EF20" w14:textId="77777777" w:rsidTr="00407466">
        <w:tc>
          <w:tcPr>
            <w:tcW w:w="2907" w:type="dxa"/>
          </w:tcPr>
          <w:p w14:paraId="7AD8F6E6" w14:textId="77777777" w:rsidR="008E7846" w:rsidRPr="00487162" w:rsidRDefault="008E7846" w:rsidP="001B5C90">
            <w:pPr>
              <w:rPr>
                <w:i/>
              </w:rPr>
            </w:pPr>
            <w:r w:rsidRPr="00487162">
              <w:rPr>
                <w:i/>
              </w:rPr>
              <w:t>Product</w:t>
            </w:r>
            <w:r w:rsidR="001B5C90">
              <w:rPr>
                <w:i/>
              </w:rPr>
              <w:t xml:space="preserve"> name(s):</w:t>
            </w:r>
          </w:p>
        </w:tc>
        <w:tc>
          <w:tcPr>
            <w:tcW w:w="6307" w:type="dxa"/>
          </w:tcPr>
          <w:p w14:paraId="7084BD7A" w14:textId="77777777" w:rsidR="008E7846" w:rsidRPr="00487162" w:rsidRDefault="005F3542" w:rsidP="00E45619">
            <w:proofErr w:type="spellStart"/>
            <w:r>
              <w:t>Alecensa</w:t>
            </w:r>
            <w:proofErr w:type="spellEnd"/>
          </w:p>
        </w:tc>
      </w:tr>
      <w:tr w:rsidR="008E7846" w:rsidRPr="00487162" w14:paraId="09B28B3C" w14:textId="77777777" w:rsidTr="00407466">
        <w:tc>
          <w:tcPr>
            <w:tcW w:w="2907" w:type="dxa"/>
          </w:tcPr>
          <w:p w14:paraId="7493779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85EC074" w14:textId="77777777" w:rsidR="008E7846" w:rsidRDefault="005F3542" w:rsidP="00E45619">
            <w:r w:rsidRPr="005F3542">
              <w:t>Roche Australia Pty Ltd</w:t>
            </w:r>
          </w:p>
          <w:p w14:paraId="460A06C5" w14:textId="2B454AEA" w:rsidR="00F33E05" w:rsidRPr="00487162" w:rsidRDefault="00C465A7" w:rsidP="00F33E05">
            <w:r>
              <w:t xml:space="preserve">30-34 </w:t>
            </w:r>
            <w:proofErr w:type="spellStart"/>
            <w:r>
              <w:t>Hickson</w:t>
            </w:r>
            <w:proofErr w:type="spellEnd"/>
            <w:r>
              <w:t xml:space="preserve"> Road, Sydney NSW 2000</w:t>
            </w:r>
          </w:p>
        </w:tc>
      </w:tr>
      <w:tr w:rsidR="008E7846" w:rsidRPr="00487162" w14:paraId="123628C1" w14:textId="77777777" w:rsidTr="00407466">
        <w:tc>
          <w:tcPr>
            <w:tcW w:w="2907" w:type="dxa"/>
          </w:tcPr>
          <w:p w14:paraId="21944435" w14:textId="77777777" w:rsidR="008E7846" w:rsidRPr="00487162" w:rsidRDefault="001B5C90" w:rsidP="00E45619">
            <w:pPr>
              <w:rPr>
                <w:i/>
              </w:rPr>
            </w:pPr>
            <w:r>
              <w:rPr>
                <w:i/>
              </w:rPr>
              <w:t>Dose form(s):</w:t>
            </w:r>
          </w:p>
        </w:tc>
        <w:tc>
          <w:tcPr>
            <w:tcW w:w="6307" w:type="dxa"/>
          </w:tcPr>
          <w:p w14:paraId="50095CB3" w14:textId="77777777" w:rsidR="008E7846" w:rsidRPr="00487162" w:rsidRDefault="005F3542" w:rsidP="008C2DAC">
            <w:r>
              <w:t>Hard capsule</w:t>
            </w:r>
          </w:p>
        </w:tc>
      </w:tr>
      <w:tr w:rsidR="008E7846" w:rsidRPr="00487162" w14:paraId="16D592ED" w14:textId="77777777" w:rsidTr="00407466">
        <w:tc>
          <w:tcPr>
            <w:tcW w:w="2907" w:type="dxa"/>
          </w:tcPr>
          <w:p w14:paraId="42C632E7" w14:textId="77777777" w:rsidR="008E7846" w:rsidRPr="00487162" w:rsidRDefault="008E7846" w:rsidP="00E45619">
            <w:pPr>
              <w:rPr>
                <w:i/>
              </w:rPr>
            </w:pPr>
            <w:r w:rsidRPr="00487162">
              <w:rPr>
                <w:i/>
              </w:rPr>
              <w:t xml:space="preserve">Strength(s): </w:t>
            </w:r>
          </w:p>
        </w:tc>
        <w:tc>
          <w:tcPr>
            <w:tcW w:w="6307" w:type="dxa"/>
          </w:tcPr>
          <w:p w14:paraId="489BAA00" w14:textId="77777777" w:rsidR="008E7846" w:rsidRPr="00487162" w:rsidRDefault="005F3542" w:rsidP="00E45619">
            <w:r w:rsidRPr="005F3542">
              <w:t>150 mg</w:t>
            </w:r>
          </w:p>
        </w:tc>
      </w:tr>
      <w:tr w:rsidR="008E7846" w:rsidRPr="00487162" w14:paraId="27D4F6AC" w14:textId="77777777" w:rsidTr="00407466">
        <w:tc>
          <w:tcPr>
            <w:tcW w:w="2907" w:type="dxa"/>
          </w:tcPr>
          <w:p w14:paraId="1A72482B" w14:textId="77777777" w:rsidR="008E7846" w:rsidRPr="00487162" w:rsidRDefault="008E7846" w:rsidP="00E45619">
            <w:pPr>
              <w:rPr>
                <w:i/>
              </w:rPr>
            </w:pPr>
            <w:r w:rsidRPr="00487162">
              <w:rPr>
                <w:i/>
              </w:rPr>
              <w:t>Container(s):</w:t>
            </w:r>
          </w:p>
        </w:tc>
        <w:tc>
          <w:tcPr>
            <w:tcW w:w="6307" w:type="dxa"/>
          </w:tcPr>
          <w:p w14:paraId="2D476AB2" w14:textId="77777777" w:rsidR="008E7846" w:rsidRPr="00487162" w:rsidRDefault="008C2DAC" w:rsidP="00E45619">
            <w:r>
              <w:t>Blister pack</w:t>
            </w:r>
          </w:p>
        </w:tc>
      </w:tr>
      <w:tr w:rsidR="008E7846" w:rsidRPr="00487162" w14:paraId="095B9DDD" w14:textId="77777777" w:rsidTr="00407466">
        <w:tc>
          <w:tcPr>
            <w:tcW w:w="2907" w:type="dxa"/>
          </w:tcPr>
          <w:p w14:paraId="3007ED51" w14:textId="77777777" w:rsidR="008E7846" w:rsidRPr="00487162" w:rsidRDefault="008E7846" w:rsidP="00E45619">
            <w:pPr>
              <w:rPr>
                <w:i/>
              </w:rPr>
            </w:pPr>
            <w:r w:rsidRPr="00487162">
              <w:rPr>
                <w:i/>
              </w:rPr>
              <w:t>Pack size(s):</w:t>
            </w:r>
          </w:p>
        </w:tc>
        <w:tc>
          <w:tcPr>
            <w:tcW w:w="6307" w:type="dxa"/>
          </w:tcPr>
          <w:p w14:paraId="3B28052F" w14:textId="77777777" w:rsidR="008E7846" w:rsidRPr="00487162" w:rsidRDefault="008C2DAC" w:rsidP="00E45619">
            <w:r>
              <w:t xml:space="preserve">8 capsules per blister pack. </w:t>
            </w:r>
            <w:r w:rsidRPr="008C2DAC">
              <w:t xml:space="preserve">Each </w:t>
            </w:r>
            <w:proofErr w:type="spellStart"/>
            <w:r w:rsidRPr="008C2DAC">
              <w:t>Alecensa</w:t>
            </w:r>
            <w:proofErr w:type="spellEnd"/>
            <w:r w:rsidRPr="008C2DAC">
              <w:t xml:space="preserve"> multipack contains 224 (4 packs of 56) capsules.</w:t>
            </w:r>
          </w:p>
        </w:tc>
      </w:tr>
      <w:tr w:rsidR="008E7846" w:rsidRPr="00487162" w14:paraId="70440814" w14:textId="77777777" w:rsidTr="00407466">
        <w:tc>
          <w:tcPr>
            <w:tcW w:w="2907" w:type="dxa"/>
          </w:tcPr>
          <w:p w14:paraId="1AC3ED32"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96F5CB2" w14:textId="77777777" w:rsidR="008E7846" w:rsidRPr="00E93F18" w:rsidRDefault="008C2DAC" w:rsidP="008C2DAC">
            <w:pPr>
              <w:rPr>
                <w:rFonts w:eastAsia="MS Mincho"/>
                <w:i/>
                <w:lang w:eastAsia="ja-JP"/>
              </w:rPr>
            </w:pPr>
            <w:proofErr w:type="spellStart"/>
            <w:r w:rsidRPr="00E93F18">
              <w:rPr>
                <w:i/>
              </w:rPr>
              <w:t>Alecensa</w:t>
            </w:r>
            <w:proofErr w:type="spellEnd"/>
            <w:r w:rsidRPr="00E93F18">
              <w:rPr>
                <w:i/>
              </w:rPr>
              <w:t xml:space="preserve"> is indicated for the treatment of patients with anaplastic lymphoma kinase (ALK)-positive, locally advanced or metastatic non-small cell lung cancer</w:t>
            </w:r>
            <w:r w:rsidR="00C558A5">
              <w:rPr>
                <w:i/>
              </w:rPr>
              <w:t xml:space="preserve"> </w:t>
            </w:r>
            <w:r w:rsidRPr="00E93F18">
              <w:rPr>
                <w:i/>
              </w:rPr>
              <w:t>(NSCLC)</w:t>
            </w:r>
            <w:r w:rsidR="00E93F18">
              <w:rPr>
                <w:i/>
              </w:rPr>
              <w:t>.</w:t>
            </w:r>
          </w:p>
        </w:tc>
      </w:tr>
      <w:tr w:rsidR="008E7846" w:rsidRPr="00487162" w14:paraId="3F28BA55" w14:textId="77777777" w:rsidTr="00407466">
        <w:tc>
          <w:tcPr>
            <w:tcW w:w="2907" w:type="dxa"/>
          </w:tcPr>
          <w:p w14:paraId="7CF6EB49" w14:textId="77777777" w:rsidR="008E7846" w:rsidRPr="00487162" w:rsidRDefault="008E7846" w:rsidP="00E45619">
            <w:pPr>
              <w:rPr>
                <w:i/>
              </w:rPr>
            </w:pPr>
            <w:r w:rsidRPr="00487162">
              <w:rPr>
                <w:i/>
              </w:rPr>
              <w:t>Route(s) of administration:</w:t>
            </w:r>
          </w:p>
        </w:tc>
        <w:tc>
          <w:tcPr>
            <w:tcW w:w="6307" w:type="dxa"/>
          </w:tcPr>
          <w:p w14:paraId="27AD51D2" w14:textId="77777777" w:rsidR="008E7846" w:rsidRPr="00487162" w:rsidRDefault="008C2DAC" w:rsidP="00E45619">
            <w:r>
              <w:t>Oral (PO)</w:t>
            </w:r>
          </w:p>
        </w:tc>
      </w:tr>
      <w:tr w:rsidR="008E7846" w:rsidRPr="00487162" w14:paraId="2869B245" w14:textId="77777777" w:rsidTr="00407466">
        <w:tc>
          <w:tcPr>
            <w:tcW w:w="2907" w:type="dxa"/>
          </w:tcPr>
          <w:p w14:paraId="18812EF1" w14:textId="77777777" w:rsidR="008E7846" w:rsidRPr="00487162" w:rsidRDefault="008E7846" w:rsidP="00E45619">
            <w:pPr>
              <w:rPr>
                <w:i/>
              </w:rPr>
            </w:pPr>
            <w:r w:rsidRPr="00487162">
              <w:rPr>
                <w:i/>
              </w:rPr>
              <w:t>Dosage:</w:t>
            </w:r>
          </w:p>
        </w:tc>
        <w:tc>
          <w:tcPr>
            <w:tcW w:w="6307" w:type="dxa"/>
          </w:tcPr>
          <w:p w14:paraId="2EF281C8" w14:textId="77777777" w:rsidR="008E7846" w:rsidRPr="00487162" w:rsidRDefault="008C2DAC" w:rsidP="008C2DAC">
            <w:r>
              <w:t xml:space="preserve">The recommended dose of </w:t>
            </w:r>
            <w:proofErr w:type="spellStart"/>
            <w:r>
              <w:t>Alecensa</w:t>
            </w:r>
            <w:proofErr w:type="spellEnd"/>
            <w:r>
              <w:t xml:space="preserve"> is 600 mg (four 150 mg capsules) given orally, twice daily with food (total daily dose of 1200 mg).</w:t>
            </w:r>
          </w:p>
        </w:tc>
      </w:tr>
      <w:tr w:rsidR="008E7846" w:rsidRPr="00487162" w14:paraId="450D78BC" w14:textId="77777777" w:rsidTr="00407466">
        <w:tc>
          <w:tcPr>
            <w:tcW w:w="2907" w:type="dxa"/>
          </w:tcPr>
          <w:p w14:paraId="79E8C805"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724E688A" w14:textId="77777777" w:rsidR="008E7846" w:rsidRPr="00487162" w:rsidRDefault="008C2DAC" w:rsidP="00E45619">
            <w:r w:rsidRPr="008C2DAC">
              <w:t>272115</w:t>
            </w:r>
          </w:p>
        </w:tc>
      </w:tr>
    </w:tbl>
    <w:p w14:paraId="30DD8EDA" w14:textId="77777777" w:rsidR="008E7846" w:rsidRDefault="008E7846" w:rsidP="008E7846">
      <w:pPr>
        <w:pStyle w:val="Heading3"/>
      </w:pPr>
      <w:bookmarkStart w:id="13" w:name="_Toc247691503"/>
      <w:bookmarkStart w:id="14" w:name="_Toc314842484"/>
      <w:bookmarkStart w:id="15" w:name="_Toc509821957"/>
      <w:r>
        <w:t>Product background</w:t>
      </w:r>
      <w:bookmarkEnd w:id="13"/>
      <w:bookmarkEnd w:id="14"/>
      <w:bookmarkEnd w:id="15"/>
    </w:p>
    <w:p w14:paraId="3EBE10C5" w14:textId="77777777" w:rsidR="00E93F18" w:rsidRDefault="00940A89" w:rsidP="00940A89">
      <w:r w:rsidRPr="00940A89">
        <w:t xml:space="preserve">This AusPAR describes </w:t>
      </w:r>
      <w:r w:rsidR="00C558A5">
        <w:t>the</w:t>
      </w:r>
      <w:r w:rsidRPr="00940A89">
        <w:t xml:space="preserve"> </w:t>
      </w:r>
      <w:r w:rsidR="003B679C">
        <w:t xml:space="preserve">Priority review </w:t>
      </w:r>
      <w:r w:rsidRPr="00940A89">
        <w:t xml:space="preserve">application by </w:t>
      </w:r>
      <w:r w:rsidR="00C558A5">
        <w:t>Roche Australia Pty Ltd</w:t>
      </w:r>
      <w:r w:rsidRPr="00940A89">
        <w:t xml:space="preserve"> to </w:t>
      </w:r>
      <w:r w:rsidR="00F33E05">
        <w:t xml:space="preserve">extend the indications of </w:t>
      </w:r>
      <w:proofErr w:type="spellStart"/>
      <w:r w:rsidR="00F33E05">
        <w:t>Alecensa</w:t>
      </w:r>
      <w:proofErr w:type="spellEnd"/>
      <w:r w:rsidR="00F33E05">
        <w:t xml:space="preserve"> </w:t>
      </w:r>
      <w:r w:rsidR="00D051D7">
        <w:t>(</w:t>
      </w:r>
      <w:r w:rsidR="00F33E05">
        <w:t xml:space="preserve">containing 150 mg (dry weight) </w:t>
      </w:r>
      <w:proofErr w:type="spellStart"/>
      <w:r w:rsidR="00F33E05">
        <w:t>a</w:t>
      </w:r>
      <w:r w:rsidR="00F33E05" w:rsidRPr="005F3542">
        <w:t>lectinib</w:t>
      </w:r>
      <w:proofErr w:type="spellEnd"/>
      <w:r w:rsidR="00D051D7">
        <w:t>)</w:t>
      </w:r>
      <w:r w:rsidR="00F33E05">
        <w:t xml:space="preserve"> </w:t>
      </w:r>
      <w:r w:rsidR="00D051D7" w:rsidRPr="00304661">
        <w:rPr>
          <w:lang w:val="en-US"/>
        </w:rPr>
        <w:t xml:space="preserve">to </w:t>
      </w:r>
      <w:r w:rsidR="00D051D7">
        <w:rPr>
          <w:lang w:val="en-US"/>
        </w:rPr>
        <w:t xml:space="preserve">also include </w:t>
      </w:r>
      <w:r w:rsidR="00D051D7" w:rsidRPr="00304661">
        <w:rPr>
          <w:lang w:val="en-US"/>
        </w:rPr>
        <w:t>first line treatment for the same patient group</w:t>
      </w:r>
      <w:r w:rsidR="00D051D7">
        <w:rPr>
          <w:lang w:val="en-US"/>
        </w:rPr>
        <w:t xml:space="preserve">. The sponsor proposes the following </w:t>
      </w:r>
      <w:r w:rsidR="009F71B8">
        <w:rPr>
          <w:lang w:val="en-US"/>
        </w:rPr>
        <w:t xml:space="preserve">new wording for the </w:t>
      </w:r>
      <w:r w:rsidR="00D051D7">
        <w:rPr>
          <w:lang w:val="en-US"/>
        </w:rPr>
        <w:t>indications</w:t>
      </w:r>
      <w:r w:rsidR="00C558A5">
        <w:t>:</w:t>
      </w:r>
    </w:p>
    <w:p w14:paraId="1C962BA9" w14:textId="3F13E35E" w:rsidR="008E7846" w:rsidRDefault="00E93F18" w:rsidP="00E93F18">
      <w:pPr>
        <w:ind w:left="720"/>
      </w:pPr>
      <w:proofErr w:type="spellStart"/>
      <w:r w:rsidRPr="00E93F18">
        <w:rPr>
          <w:i/>
        </w:rPr>
        <w:t>Alecensa</w:t>
      </w:r>
      <w:proofErr w:type="spellEnd"/>
      <w:r w:rsidRPr="00E93F18">
        <w:rPr>
          <w:i/>
        </w:rPr>
        <w:t xml:space="preserve"> is indicated for the treatment of patients with anaplastic lymphoma kinase (ALK)-positive, locally advanced or metastatic non-small cell lung cancer</w:t>
      </w:r>
      <w:r w:rsidR="003F09AB">
        <w:rPr>
          <w:i/>
        </w:rPr>
        <w:t xml:space="preserve"> </w:t>
      </w:r>
      <w:r w:rsidRPr="00E93F18">
        <w:rPr>
          <w:i/>
        </w:rPr>
        <w:t>(NSCLC)</w:t>
      </w:r>
      <w:r>
        <w:rPr>
          <w:i/>
        </w:rPr>
        <w:t>.</w:t>
      </w:r>
    </w:p>
    <w:p w14:paraId="4815C0EB" w14:textId="77777777" w:rsidR="00E93F18" w:rsidRPr="00EB337D" w:rsidRDefault="00E93F18" w:rsidP="00E93F18">
      <w:pPr>
        <w:widowControl w:val="0"/>
        <w:autoSpaceDE w:val="0"/>
        <w:autoSpaceDN w:val="0"/>
        <w:adjustRightInd w:val="0"/>
        <w:spacing w:before="0" w:after="0" w:line="240" w:lineRule="auto"/>
        <w:jc w:val="both"/>
        <w:rPr>
          <w:rFonts w:asciiTheme="minorHAnsi" w:eastAsiaTheme="minorHAnsi" w:hAnsiTheme="minorHAnsi"/>
          <w:color w:val="000000"/>
          <w:lang w:val="en-US"/>
        </w:rPr>
      </w:pPr>
      <w:bookmarkStart w:id="16" w:name="_Toc314842485"/>
      <w:bookmarkStart w:id="17" w:name="_Toc247691504"/>
      <w:r w:rsidRPr="00EB337D">
        <w:rPr>
          <w:rFonts w:asciiTheme="minorHAnsi" w:eastAsiaTheme="minorHAnsi" w:hAnsiTheme="minorHAnsi"/>
          <w:color w:val="000000"/>
          <w:lang w:val="en-US"/>
        </w:rPr>
        <w:t xml:space="preserve">The currently approved indication </w:t>
      </w:r>
      <w:r>
        <w:rPr>
          <w:rFonts w:asciiTheme="minorHAnsi" w:eastAsiaTheme="minorHAnsi" w:hAnsiTheme="minorHAnsi"/>
          <w:color w:val="000000"/>
          <w:lang w:val="en-US"/>
        </w:rPr>
        <w:t xml:space="preserve">in Australia </w:t>
      </w:r>
      <w:r w:rsidRPr="00EB337D">
        <w:rPr>
          <w:rFonts w:asciiTheme="minorHAnsi" w:eastAsiaTheme="minorHAnsi" w:hAnsiTheme="minorHAnsi"/>
          <w:color w:val="000000"/>
          <w:lang w:val="en-US"/>
        </w:rPr>
        <w:t xml:space="preserve">is </w:t>
      </w:r>
      <w:r w:rsidR="00C558A5">
        <w:rPr>
          <w:rFonts w:asciiTheme="minorHAnsi" w:eastAsiaTheme="minorHAnsi" w:hAnsiTheme="minorHAnsi"/>
          <w:color w:val="000000"/>
          <w:lang w:val="en-US"/>
        </w:rPr>
        <w:t>as follows:</w:t>
      </w:r>
    </w:p>
    <w:p w14:paraId="299FFF25" w14:textId="77777777" w:rsidR="00407466" w:rsidRDefault="00E93F18" w:rsidP="00E93F18">
      <w:pPr>
        <w:widowControl w:val="0"/>
        <w:autoSpaceDE w:val="0"/>
        <w:autoSpaceDN w:val="0"/>
        <w:adjustRightInd w:val="0"/>
        <w:spacing w:before="0" w:after="0" w:line="240" w:lineRule="auto"/>
        <w:ind w:left="720"/>
        <w:jc w:val="both"/>
        <w:rPr>
          <w:rFonts w:asciiTheme="minorHAnsi" w:eastAsiaTheme="minorHAnsi" w:hAnsiTheme="minorHAnsi"/>
          <w:i/>
          <w:color w:val="000000"/>
          <w:lang w:val="en-US"/>
        </w:rPr>
      </w:pPr>
      <w:proofErr w:type="spellStart"/>
      <w:r w:rsidRPr="00EB337D">
        <w:rPr>
          <w:rFonts w:asciiTheme="minorHAnsi" w:eastAsiaTheme="minorHAnsi" w:hAnsiTheme="minorHAnsi"/>
          <w:i/>
          <w:color w:val="000000"/>
          <w:lang w:val="en-US"/>
        </w:rPr>
        <w:t>Alecensa</w:t>
      </w:r>
      <w:proofErr w:type="spellEnd"/>
      <w:r w:rsidRPr="00EB337D">
        <w:rPr>
          <w:rFonts w:asciiTheme="minorHAnsi" w:eastAsiaTheme="minorHAnsi" w:hAnsiTheme="minorHAnsi"/>
          <w:i/>
          <w:color w:val="000000"/>
          <w:lang w:val="en-US"/>
        </w:rPr>
        <w:t xml:space="preserve"> is indicated for the treatment of patients with anaplastic lymphoma kinase (ALK)-positive, locally advanced or metastatic non-small cell lung </w:t>
      </w:r>
      <w:proofErr w:type="gramStart"/>
      <w:r w:rsidRPr="00EB337D">
        <w:rPr>
          <w:rFonts w:asciiTheme="minorHAnsi" w:eastAsiaTheme="minorHAnsi" w:hAnsiTheme="minorHAnsi"/>
          <w:i/>
          <w:color w:val="000000"/>
          <w:lang w:val="en-US"/>
        </w:rPr>
        <w:t>cancer</w:t>
      </w:r>
      <w:r w:rsidR="003F09AB">
        <w:rPr>
          <w:rFonts w:asciiTheme="minorHAnsi" w:eastAsiaTheme="minorHAnsi" w:hAnsiTheme="minorHAnsi"/>
          <w:i/>
          <w:color w:val="000000"/>
          <w:lang w:val="en-US"/>
        </w:rPr>
        <w:t xml:space="preserve"> </w:t>
      </w:r>
      <w:r w:rsidRPr="00EB337D">
        <w:rPr>
          <w:rFonts w:asciiTheme="minorHAnsi" w:eastAsiaTheme="minorHAnsi" w:hAnsiTheme="minorHAnsi"/>
          <w:i/>
          <w:color w:val="000000"/>
          <w:lang w:val="en-US"/>
        </w:rPr>
        <w:t>(NSCLC)</w:t>
      </w:r>
      <w:r w:rsidR="003F09AB">
        <w:rPr>
          <w:rFonts w:asciiTheme="minorHAnsi" w:eastAsiaTheme="minorHAnsi" w:hAnsiTheme="minorHAnsi"/>
          <w:i/>
          <w:color w:val="000000"/>
          <w:lang w:val="en-US"/>
        </w:rPr>
        <w:t xml:space="preserve"> </w:t>
      </w:r>
      <w:r w:rsidRPr="00EB337D">
        <w:rPr>
          <w:rFonts w:asciiTheme="minorHAnsi" w:eastAsiaTheme="minorHAnsi" w:hAnsiTheme="minorHAnsi"/>
          <w:i/>
          <w:color w:val="000000"/>
          <w:lang w:val="en-US"/>
        </w:rPr>
        <w:t>who have</w:t>
      </w:r>
      <w:proofErr w:type="gramEnd"/>
      <w:r w:rsidRPr="00EB337D">
        <w:rPr>
          <w:rFonts w:asciiTheme="minorHAnsi" w:eastAsiaTheme="minorHAnsi" w:hAnsiTheme="minorHAnsi"/>
          <w:i/>
          <w:color w:val="000000"/>
          <w:lang w:val="en-US"/>
        </w:rPr>
        <w:t xml:space="preserve"> progressed on or are intolerant to </w:t>
      </w:r>
      <w:proofErr w:type="spellStart"/>
      <w:r w:rsidRPr="00EB337D">
        <w:rPr>
          <w:rFonts w:asciiTheme="minorHAnsi" w:eastAsiaTheme="minorHAnsi" w:hAnsiTheme="minorHAnsi"/>
          <w:i/>
          <w:color w:val="000000"/>
          <w:lang w:val="en-US"/>
        </w:rPr>
        <w:t>crizotinib</w:t>
      </w:r>
      <w:proofErr w:type="spellEnd"/>
      <w:r w:rsidR="00407466">
        <w:rPr>
          <w:rFonts w:asciiTheme="minorHAnsi" w:eastAsiaTheme="minorHAnsi" w:hAnsiTheme="minorHAnsi"/>
          <w:i/>
          <w:color w:val="000000"/>
          <w:lang w:val="en-US"/>
        </w:rPr>
        <w:t>.</w:t>
      </w:r>
    </w:p>
    <w:p w14:paraId="07F5BE7F" w14:textId="30EDB0AF" w:rsidR="00E93F18" w:rsidRPr="00EB337D" w:rsidRDefault="00E93F18" w:rsidP="00E93F18">
      <w:pPr>
        <w:widowControl w:val="0"/>
        <w:autoSpaceDE w:val="0"/>
        <w:autoSpaceDN w:val="0"/>
        <w:adjustRightInd w:val="0"/>
        <w:spacing w:before="0" w:after="0" w:line="240" w:lineRule="auto"/>
        <w:ind w:left="720"/>
        <w:jc w:val="both"/>
        <w:rPr>
          <w:rFonts w:asciiTheme="minorHAnsi" w:eastAsiaTheme="minorHAnsi" w:hAnsiTheme="minorHAnsi"/>
          <w:i/>
          <w:color w:val="000000"/>
          <w:lang w:val="en-US"/>
        </w:rPr>
      </w:pPr>
      <w:r w:rsidRPr="00EB337D">
        <w:rPr>
          <w:rFonts w:asciiTheme="minorHAnsi" w:eastAsiaTheme="minorHAnsi" w:hAnsiTheme="minorHAnsi"/>
          <w:i/>
          <w:color w:val="000000"/>
          <w:lang w:val="en-US"/>
        </w:rPr>
        <w:t xml:space="preserve">Note to Indication: This indication is approved based on </w:t>
      </w:r>
      <w:proofErr w:type="spellStart"/>
      <w:r w:rsidRPr="00EB337D">
        <w:rPr>
          <w:rFonts w:asciiTheme="minorHAnsi" w:eastAsiaTheme="minorHAnsi" w:hAnsiTheme="minorHAnsi"/>
          <w:i/>
          <w:color w:val="000000"/>
          <w:lang w:val="en-US"/>
        </w:rPr>
        <w:t>tumour</w:t>
      </w:r>
      <w:proofErr w:type="spellEnd"/>
      <w:r w:rsidRPr="00EB337D">
        <w:rPr>
          <w:rFonts w:asciiTheme="minorHAnsi" w:eastAsiaTheme="minorHAnsi" w:hAnsiTheme="minorHAnsi"/>
          <w:i/>
          <w:color w:val="000000"/>
          <w:lang w:val="en-US"/>
        </w:rPr>
        <w:t xml:space="preserve"> response rates and </w:t>
      </w:r>
      <w:r w:rsidRPr="00EB337D">
        <w:rPr>
          <w:rFonts w:asciiTheme="minorHAnsi" w:eastAsiaTheme="minorHAnsi" w:hAnsiTheme="minorHAnsi"/>
          <w:i/>
          <w:color w:val="000000"/>
          <w:lang w:val="en-US"/>
        </w:rPr>
        <w:lastRenderedPageBreak/>
        <w:t>duration of response. An improvement in survival or disease-related symptoms has not been establishe</w:t>
      </w:r>
      <w:r>
        <w:rPr>
          <w:rFonts w:asciiTheme="minorHAnsi" w:eastAsiaTheme="minorHAnsi" w:hAnsiTheme="minorHAnsi"/>
          <w:i/>
          <w:color w:val="000000"/>
          <w:lang w:val="en-US"/>
        </w:rPr>
        <w:t>d.</w:t>
      </w:r>
    </w:p>
    <w:p w14:paraId="7999CA27" w14:textId="77777777" w:rsidR="003B4948" w:rsidRDefault="003B4948" w:rsidP="003B4948">
      <w:pPr>
        <w:rPr>
          <w:lang w:val="en-US"/>
        </w:rPr>
      </w:pPr>
      <w:r>
        <w:rPr>
          <w:lang w:val="en-US"/>
        </w:rPr>
        <w:t xml:space="preserve">The proposed dosage is </w:t>
      </w:r>
      <w:r w:rsidRPr="005F3542">
        <w:rPr>
          <w:lang w:val="en-US"/>
        </w:rPr>
        <w:t>600 mg (four 150 mg capsules) given orally, twice daily with food (total daily dose of 1200 mg)</w:t>
      </w:r>
      <w:r>
        <w:rPr>
          <w:lang w:val="en-US"/>
        </w:rPr>
        <w:t xml:space="preserve"> and is </w:t>
      </w:r>
      <w:r w:rsidRPr="005F3542">
        <w:rPr>
          <w:lang w:val="en-US"/>
        </w:rPr>
        <w:t>unchanged</w:t>
      </w:r>
      <w:r>
        <w:rPr>
          <w:lang w:val="en-US"/>
        </w:rPr>
        <w:t xml:space="preserve"> from the previous approval.</w:t>
      </w:r>
    </w:p>
    <w:p w14:paraId="3764E955" w14:textId="77777777" w:rsidR="00407466" w:rsidRDefault="00932B3B" w:rsidP="00932B3B">
      <w:pPr>
        <w:rPr>
          <w:lang w:val="en-US"/>
        </w:rPr>
      </w:pPr>
      <w:r w:rsidRPr="00EB337D">
        <w:rPr>
          <w:lang w:val="en-US"/>
        </w:rPr>
        <w:t>This application</w:t>
      </w:r>
      <w:r>
        <w:rPr>
          <w:lang w:val="en-US"/>
        </w:rPr>
        <w:t xml:space="preserve"> includes </w:t>
      </w:r>
      <w:r w:rsidRPr="00EB337D">
        <w:rPr>
          <w:lang w:val="en-US"/>
        </w:rPr>
        <w:t xml:space="preserve">Study BO28984 (ALEX), the confirmatory Phase III clinical trial for the initial registration on early data and its submission meets one of the conditions of the initial </w:t>
      </w:r>
      <w:r>
        <w:rPr>
          <w:lang w:val="en-US"/>
        </w:rPr>
        <w:t xml:space="preserve">TGA </w:t>
      </w:r>
      <w:r w:rsidRPr="00EB337D">
        <w:rPr>
          <w:lang w:val="en-US"/>
        </w:rPr>
        <w:t>registration</w:t>
      </w:r>
      <w:r w:rsidR="00407466">
        <w:rPr>
          <w:lang w:val="en-US"/>
        </w:rPr>
        <w:t>.</w:t>
      </w:r>
    </w:p>
    <w:p w14:paraId="73FCA1AD" w14:textId="7A0BF28C" w:rsidR="00501DF2" w:rsidRDefault="00501DF2" w:rsidP="00501DF2">
      <w:r>
        <w:t xml:space="preserve">The ALEX trial is a confirmatory Phase III trial in which </w:t>
      </w:r>
      <w:proofErr w:type="spellStart"/>
      <w:r>
        <w:t>alectinib</w:t>
      </w:r>
      <w:proofErr w:type="spellEnd"/>
      <w:r>
        <w:t xml:space="preserve"> was compared head-to-head against </w:t>
      </w:r>
      <w:proofErr w:type="spellStart"/>
      <w:r>
        <w:t>crizotinib</w:t>
      </w:r>
      <w:proofErr w:type="spellEnd"/>
      <w:r>
        <w:t xml:space="preserve"> in first line usage: in subjects who had no previous systemic therapy (approximately 8% had previous neoadjuvant systemic therapy). On the basis of the results from the ALEX trial, the current submission proposes removal of the restriction to later than first-line use, as well as removal of the note to the current indication regarding the limitations of the available efficacy dataset at the time of initial approval</w:t>
      </w:r>
      <w:r>
        <w:rPr>
          <w:rStyle w:val="FootnoteReference"/>
        </w:rPr>
        <w:footnoteReference w:id="1"/>
      </w:r>
      <w:r>
        <w:t>.</w:t>
      </w:r>
    </w:p>
    <w:p w14:paraId="3DD362C8" w14:textId="77777777" w:rsidR="00A064D5" w:rsidRPr="00EB337D" w:rsidRDefault="00A064D5" w:rsidP="00E93F18">
      <w:pPr>
        <w:rPr>
          <w:lang w:val="en-US"/>
        </w:rPr>
      </w:pPr>
      <w:proofErr w:type="spellStart"/>
      <w:r w:rsidRPr="00EB337D">
        <w:rPr>
          <w:lang w:val="en-US"/>
        </w:rPr>
        <w:t>Alectinib</w:t>
      </w:r>
      <w:proofErr w:type="spellEnd"/>
      <w:r w:rsidRPr="00EB337D">
        <w:rPr>
          <w:lang w:val="en-US"/>
        </w:rPr>
        <w:t xml:space="preserve"> is a tyrosine kinase inhibitor that targets anaplastic lymphoma kinase (ALK) and Rearranged during Transfection (RET) tyrosine kinase. In nonclinical studies, </w:t>
      </w:r>
      <w:proofErr w:type="spellStart"/>
      <w:r w:rsidRPr="00EB337D">
        <w:rPr>
          <w:lang w:val="en-US"/>
        </w:rPr>
        <w:t>alectinib</w:t>
      </w:r>
      <w:proofErr w:type="spellEnd"/>
      <w:r w:rsidRPr="00EB337D">
        <w:rPr>
          <w:lang w:val="en-US"/>
        </w:rPr>
        <w:t xml:space="preserve"> inhibits ALK tyrosine kinase activity, leading to blockage of downstream </w:t>
      </w:r>
      <w:proofErr w:type="spellStart"/>
      <w:r w:rsidR="00E93F18" w:rsidRPr="00EB337D">
        <w:rPr>
          <w:lang w:val="en-US"/>
        </w:rPr>
        <w:t>signal</w:t>
      </w:r>
      <w:r w:rsidR="00E93F18">
        <w:rPr>
          <w:lang w:val="en-US"/>
        </w:rPr>
        <w:t>l</w:t>
      </w:r>
      <w:r w:rsidR="00E93F18" w:rsidRPr="00EB337D">
        <w:rPr>
          <w:lang w:val="en-US"/>
        </w:rPr>
        <w:t>ing</w:t>
      </w:r>
      <w:proofErr w:type="spellEnd"/>
      <w:r w:rsidRPr="00EB337D">
        <w:rPr>
          <w:lang w:val="en-US"/>
        </w:rPr>
        <w:t xml:space="preserve"> pathways including </w:t>
      </w:r>
      <w:r w:rsidR="00932B3B" w:rsidRPr="00932B3B">
        <w:rPr>
          <w:lang w:val="en-US"/>
        </w:rPr>
        <w:t>Signal transducer and activator of transcription 3</w:t>
      </w:r>
      <w:r w:rsidR="004232F7">
        <w:rPr>
          <w:lang w:val="en-US"/>
        </w:rPr>
        <w:t xml:space="preserve"> </w:t>
      </w:r>
      <w:r w:rsidR="00932B3B">
        <w:rPr>
          <w:lang w:val="en-US"/>
        </w:rPr>
        <w:t>(</w:t>
      </w:r>
      <w:r w:rsidRPr="00EB337D">
        <w:rPr>
          <w:lang w:val="en-US"/>
        </w:rPr>
        <w:t>STAT3</w:t>
      </w:r>
      <w:r w:rsidR="00932B3B">
        <w:rPr>
          <w:lang w:val="en-US"/>
        </w:rPr>
        <w:t>)</w:t>
      </w:r>
      <w:r w:rsidRPr="00EB337D">
        <w:rPr>
          <w:lang w:val="en-US"/>
        </w:rPr>
        <w:t xml:space="preserve"> and </w:t>
      </w:r>
      <w:r w:rsidR="00932B3B">
        <w:rPr>
          <w:lang w:val="en-US"/>
        </w:rPr>
        <w:t>phosphoinositide 3-kinase (</w:t>
      </w:r>
      <w:r w:rsidRPr="00EB337D">
        <w:rPr>
          <w:lang w:val="en-US"/>
        </w:rPr>
        <w:t>PI3K</w:t>
      </w:r>
      <w:r w:rsidR="00932B3B">
        <w:rPr>
          <w:lang w:val="en-US"/>
        </w:rPr>
        <w:t>)</w:t>
      </w:r>
      <w:r w:rsidRPr="00EB337D">
        <w:rPr>
          <w:lang w:val="en-US"/>
        </w:rPr>
        <w:t>/</w:t>
      </w:r>
      <w:r w:rsidR="00932B3B" w:rsidRPr="00932B3B">
        <w:t xml:space="preserve"> </w:t>
      </w:r>
      <w:r w:rsidR="00932B3B" w:rsidRPr="00932B3B">
        <w:rPr>
          <w:lang w:val="en-US"/>
        </w:rPr>
        <w:t xml:space="preserve">protein kinase B (PKB </w:t>
      </w:r>
      <w:r w:rsidR="00932B3B">
        <w:rPr>
          <w:lang w:val="en-US"/>
        </w:rPr>
        <w:t xml:space="preserve">or </w:t>
      </w:r>
      <w:r w:rsidRPr="00EB337D">
        <w:rPr>
          <w:lang w:val="en-US"/>
        </w:rPr>
        <w:t>AKT</w:t>
      </w:r>
      <w:r w:rsidR="00932B3B">
        <w:rPr>
          <w:lang w:val="en-US"/>
        </w:rPr>
        <w:t>)</w:t>
      </w:r>
      <w:r w:rsidRPr="00EB337D">
        <w:rPr>
          <w:lang w:val="en-US"/>
        </w:rPr>
        <w:t xml:space="preserve"> and inhibits proliferation of cancer cells </w:t>
      </w:r>
      <w:proofErr w:type="spellStart"/>
      <w:r w:rsidRPr="00EB337D">
        <w:rPr>
          <w:lang w:val="en-US"/>
        </w:rPr>
        <w:t>harbouring</w:t>
      </w:r>
      <w:proofErr w:type="spellEnd"/>
      <w:r w:rsidRPr="00EB337D">
        <w:rPr>
          <w:lang w:val="en-US"/>
        </w:rPr>
        <w:t xml:space="preserve"> ALK fusion proteins.</w:t>
      </w:r>
    </w:p>
    <w:p w14:paraId="71817316" w14:textId="77777777" w:rsidR="00A064D5" w:rsidRPr="00583BAB" w:rsidRDefault="003B4948" w:rsidP="00E93F18">
      <w:pPr>
        <w:rPr>
          <w:sz w:val="24"/>
          <w:szCs w:val="24"/>
        </w:rPr>
      </w:pPr>
      <w:r>
        <w:t>ALK</w:t>
      </w:r>
      <w:r w:rsidR="00A064D5" w:rsidRPr="00583BAB">
        <w:t xml:space="preserve"> was first identified as a fusion protein resulting from chromosomal translocation in the majority of anaplastic large cell lymphoma (ALCL). When </w:t>
      </w:r>
      <w:r w:rsidR="00A064D5" w:rsidRPr="00B34D2B">
        <w:t xml:space="preserve">fused to other proteins, ALK becomes constitutively active, leading to increased catalytic kinase function, signal transduction activity and oncogenic function. ALK gene rearrangement is found in about 5% of patients with </w:t>
      </w:r>
      <w:r w:rsidR="00932B3B" w:rsidRPr="00932B3B">
        <w:t>non−small cell lung cance</w:t>
      </w:r>
      <w:r w:rsidR="00932B3B">
        <w:t>r (</w:t>
      </w:r>
      <w:r w:rsidR="00A064D5" w:rsidRPr="00B34D2B">
        <w:t>NSCLC</w:t>
      </w:r>
      <w:r w:rsidR="00932B3B">
        <w:t>)</w:t>
      </w:r>
      <w:bookmarkStart w:id="18" w:name="_Ref505769467"/>
      <w:r w:rsidR="0007571B">
        <w:rPr>
          <w:rStyle w:val="FootnoteReference"/>
        </w:rPr>
        <w:footnoteReference w:id="2"/>
      </w:r>
      <w:bookmarkEnd w:id="18"/>
      <w:r w:rsidR="00A064D5" w:rsidRPr="00B34D2B">
        <w:t xml:space="preserve"> and is thought to be mutually exclusive with </w:t>
      </w:r>
      <w:r w:rsidR="00932B3B" w:rsidRPr="00932B3B">
        <w:t xml:space="preserve">epidermal growth factor receptor </w:t>
      </w:r>
      <w:r w:rsidR="00932B3B">
        <w:t>(</w:t>
      </w:r>
      <w:r w:rsidR="00A064D5" w:rsidRPr="00B34D2B">
        <w:t>EGFR</w:t>
      </w:r>
      <w:r w:rsidR="00932B3B">
        <w:t>)</w:t>
      </w:r>
      <w:r w:rsidR="00A064D5" w:rsidRPr="00B34D2B">
        <w:t xml:space="preserve"> and </w:t>
      </w:r>
      <w:r w:rsidR="00932B3B" w:rsidRPr="00932B3B">
        <w:t xml:space="preserve">Kirsten rat sarcoma viral oncogene homolog </w:t>
      </w:r>
      <w:r w:rsidR="00932B3B">
        <w:t>(</w:t>
      </w:r>
      <w:r w:rsidR="00A064D5" w:rsidRPr="00B34D2B">
        <w:t>KRAS</w:t>
      </w:r>
      <w:r w:rsidR="00932B3B">
        <w:t>)</w:t>
      </w:r>
      <w:r w:rsidR="00A064D5" w:rsidRPr="00B34D2B">
        <w:t xml:space="preserve"> mutations.</w:t>
      </w:r>
      <w:r w:rsidR="00AC3938">
        <w:rPr>
          <w:rStyle w:val="FootnoteReference"/>
        </w:rPr>
        <w:footnoteReference w:id="3"/>
      </w:r>
      <w:r w:rsidR="00A064D5" w:rsidRPr="00B34D2B">
        <w:t xml:space="preserve"> It has been associated with a younger age, non-smoking status and adenocarcinoma histology and a more advanced state at presentation.</w:t>
      </w:r>
      <w:r w:rsidR="00471A0C">
        <w:rPr>
          <w:rStyle w:val="FootnoteReference"/>
        </w:rPr>
        <w:footnoteReference w:id="4"/>
      </w:r>
      <w:r w:rsidR="00A064D5" w:rsidRPr="00B34D2B">
        <w:t xml:space="preserve"> </w:t>
      </w:r>
      <w:r w:rsidR="00A064D5">
        <w:t>In particular, there is a high lifetime risk of brain metastases and in a study of twenty-one newly diagnosed patients, 23.8% were reported to have brain metastases at presentation with a cumulative incidence of post-baseline brain metastases of</w:t>
      </w:r>
      <w:r w:rsidR="00A064D5" w:rsidRPr="006F719D">
        <w:t xml:space="preserve"> </w:t>
      </w:r>
      <w:r w:rsidR="00A064D5">
        <w:rPr>
          <w:lang w:val="en-US"/>
        </w:rPr>
        <w:t>45.5% at 2 years and 58.4% after</w:t>
      </w:r>
      <w:r w:rsidR="00A064D5" w:rsidRPr="006F719D">
        <w:rPr>
          <w:lang w:val="en-US"/>
        </w:rPr>
        <w:t xml:space="preserve"> 3 years</w:t>
      </w:r>
      <w:r w:rsidR="00A064D5">
        <w:rPr>
          <w:lang w:val="en-US"/>
        </w:rPr>
        <w:t xml:space="preserve"> </w:t>
      </w:r>
      <w:r w:rsidR="00A064D5" w:rsidRPr="006F719D">
        <w:t>of survival with the use of targeted therapies</w:t>
      </w:r>
      <w:r w:rsidR="00A064D5">
        <w:t>.</w:t>
      </w:r>
      <w:bookmarkStart w:id="19" w:name="_Ref505771583"/>
      <w:r w:rsidR="005A1E39">
        <w:rPr>
          <w:rStyle w:val="FootnoteReference"/>
        </w:rPr>
        <w:footnoteReference w:id="5"/>
      </w:r>
      <w:bookmarkEnd w:id="19"/>
      <w:r w:rsidR="00A064D5">
        <w:t xml:space="preserve"> </w:t>
      </w:r>
      <w:r w:rsidR="00A064D5" w:rsidRPr="00B34D2B">
        <w:t>Thus ALK gene rearrangements define a unique molecular subset of NSCLC</w:t>
      </w:r>
      <w:r w:rsidR="00AC3938" w:rsidRPr="00AC3938">
        <w:rPr>
          <w:vertAlign w:val="superscript"/>
        </w:rPr>
        <w:fldChar w:fldCharType="begin"/>
      </w:r>
      <w:r w:rsidR="00AC3938" w:rsidRPr="00AC3938">
        <w:rPr>
          <w:vertAlign w:val="superscript"/>
        </w:rPr>
        <w:instrText xml:space="preserve"> NOTEREF _Ref505769467 \h </w:instrText>
      </w:r>
      <w:r w:rsidR="00AC3938">
        <w:rPr>
          <w:vertAlign w:val="superscript"/>
        </w:rPr>
        <w:instrText xml:space="preserve"> \* MERGEFORMAT </w:instrText>
      </w:r>
      <w:r w:rsidR="00AC3938" w:rsidRPr="00AC3938">
        <w:rPr>
          <w:vertAlign w:val="superscript"/>
        </w:rPr>
      </w:r>
      <w:r w:rsidR="00AC3938" w:rsidRPr="00AC3938">
        <w:rPr>
          <w:vertAlign w:val="superscript"/>
        </w:rPr>
        <w:fldChar w:fldCharType="separate"/>
      </w:r>
      <w:r w:rsidR="001D190B">
        <w:rPr>
          <w:vertAlign w:val="superscript"/>
        </w:rPr>
        <w:t>2</w:t>
      </w:r>
      <w:r w:rsidR="00AC3938" w:rsidRPr="00AC3938">
        <w:rPr>
          <w:vertAlign w:val="superscript"/>
        </w:rPr>
        <w:fldChar w:fldCharType="end"/>
      </w:r>
      <w:r w:rsidR="00A064D5" w:rsidRPr="00B34D2B">
        <w:t xml:space="preserve"> </w:t>
      </w:r>
      <w:r w:rsidR="00A064D5">
        <w:t xml:space="preserve">and effective means </w:t>
      </w:r>
      <w:r w:rsidR="00C465A7">
        <w:t xml:space="preserve">of </w:t>
      </w:r>
      <w:r w:rsidR="00A064D5">
        <w:t>preventing or treating central relapse is an area of unmet need</w:t>
      </w:r>
      <w:r w:rsidR="00A064D5" w:rsidRPr="00B34D2B">
        <w:t>.</w:t>
      </w:r>
    </w:p>
    <w:p w14:paraId="522A60DF" w14:textId="77777777" w:rsidR="00407466" w:rsidRDefault="00A064D5" w:rsidP="00E93F18">
      <w:r>
        <w:t>The prevalence of ALK-positive lung cancer in Australia was estimated to be approximately 1200 in 2015</w:t>
      </w:r>
      <w:r w:rsidR="00407466">
        <w:t>.</w:t>
      </w:r>
    </w:p>
    <w:p w14:paraId="5781E61E" w14:textId="7731F253" w:rsidR="007120D3" w:rsidRPr="007209DE" w:rsidRDefault="007120D3" w:rsidP="007120D3">
      <w:pPr>
        <w:rPr>
          <w:lang w:eastAsia="ja-JP"/>
        </w:rPr>
      </w:pPr>
      <w:r>
        <w:rPr>
          <w:lang w:eastAsia="ja-JP"/>
        </w:rPr>
        <w:t xml:space="preserve">This is the </w:t>
      </w:r>
      <w:r w:rsidR="00C465A7">
        <w:rPr>
          <w:lang w:eastAsia="ja-JP"/>
        </w:rPr>
        <w:t>fourth</w:t>
      </w:r>
      <w:r w:rsidR="00C465A7" w:rsidRPr="007209DE">
        <w:rPr>
          <w:lang w:eastAsia="ja-JP"/>
        </w:rPr>
        <w:t xml:space="preserve"> </w:t>
      </w:r>
      <w:r w:rsidRPr="007209DE">
        <w:rPr>
          <w:lang w:eastAsia="ja-JP"/>
        </w:rPr>
        <w:t xml:space="preserve">submission </w:t>
      </w:r>
      <w:r w:rsidR="00932B3B" w:rsidRPr="007209DE">
        <w:rPr>
          <w:lang w:eastAsia="ja-JP"/>
        </w:rPr>
        <w:t xml:space="preserve">for </w:t>
      </w:r>
      <w:proofErr w:type="spellStart"/>
      <w:r w:rsidR="00932B3B" w:rsidRPr="007209DE">
        <w:rPr>
          <w:lang w:eastAsia="ja-JP"/>
        </w:rPr>
        <w:t>Alecensa</w:t>
      </w:r>
      <w:proofErr w:type="spellEnd"/>
      <w:r w:rsidR="00932B3B" w:rsidRPr="007209DE">
        <w:rPr>
          <w:lang w:eastAsia="ja-JP"/>
        </w:rPr>
        <w:t xml:space="preserve"> </w:t>
      </w:r>
      <w:r w:rsidRPr="007209DE">
        <w:rPr>
          <w:lang w:eastAsia="ja-JP"/>
        </w:rPr>
        <w:t xml:space="preserve">received by the TGA, with </w:t>
      </w:r>
      <w:r w:rsidR="00C465A7">
        <w:rPr>
          <w:lang w:eastAsia="ja-JP"/>
        </w:rPr>
        <w:t>three</w:t>
      </w:r>
      <w:r w:rsidR="00C465A7" w:rsidRPr="007209DE">
        <w:rPr>
          <w:lang w:eastAsia="ja-JP"/>
        </w:rPr>
        <w:t xml:space="preserve"> </w:t>
      </w:r>
      <w:r w:rsidRPr="007209DE">
        <w:rPr>
          <w:lang w:eastAsia="ja-JP"/>
        </w:rPr>
        <w:t xml:space="preserve">other submissions approved by the TGA </w:t>
      </w:r>
      <w:r w:rsidR="003B4948" w:rsidRPr="007209DE">
        <w:rPr>
          <w:lang w:eastAsia="ja-JP"/>
        </w:rPr>
        <w:t>including the</w:t>
      </w:r>
      <w:r w:rsidRPr="007209DE">
        <w:rPr>
          <w:lang w:eastAsia="ja-JP"/>
        </w:rPr>
        <w:t xml:space="preserve"> initial registration</w:t>
      </w:r>
      <w:r w:rsidR="007209DE" w:rsidRPr="007209DE">
        <w:rPr>
          <w:lang w:eastAsia="ja-JP"/>
        </w:rPr>
        <w:t xml:space="preserve"> of the new chemical entity </w:t>
      </w:r>
      <w:r w:rsidRPr="007209DE">
        <w:rPr>
          <w:lang w:eastAsia="ja-JP"/>
        </w:rPr>
        <w:t>(PM 2015-04677-1-4)</w:t>
      </w:r>
      <w:r w:rsidR="00DD1EDE">
        <w:rPr>
          <w:lang w:eastAsia="ja-JP"/>
        </w:rPr>
        <w:t>,</w:t>
      </w:r>
      <w:r w:rsidR="003B4948" w:rsidRPr="007209DE">
        <w:rPr>
          <w:lang w:eastAsia="ja-JP"/>
        </w:rPr>
        <w:t xml:space="preserve"> </w:t>
      </w:r>
      <w:r w:rsidRPr="007209DE">
        <w:rPr>
          <w:lang w:eastAsia="ja-JP"/>
        </w:rPr>
        <w:t>a Category 3 application</w:t>
      </w:r>
      <w:r w:rsidR="00DD1EDE" w:rsidRPr="00DD1EDE">
        <w:rPr>
          <w:lang w:eastAsia="ja-JP"/>
        </w:rPr>
        <w:t xml:space="preserve"> and a safety-related (9D3) request</w:t>
      </w:r>
      <w:r w:rsidRPr="00DD1EDE">
        <w:rPr>
          <w:lang w:eastAsia="ja-JP"/>
        </w:rPr>
        <w:t>.</w:t>
      </w:r>
    </w:p>
    <w:p w14:paraId="2D65E3AB" w14:textId="77777777" w:rsidR="008E7846" w:rsidRPr="003F31A2" w:rsidRDefault="00386150" w:rsidP="008E7846">
      <w:pPr>
        <w:pStyle w:val="Heading3"/>
      </w:pPr>
      <w:bookmarkStart w:id="20" w:name="_Toc509821958"/>
      <w:r w:rsidRPr="007209DE">
        <w:lastRenderedPageBreak/>
        <w:t>Regulatory s</w:t>
      </w:r>
      <w:r w:rsidR="008E7846" w:rsidRPr="007209DE">
        <w:t>tatus</w:t>
      </w:r>
      <w:bookmarkEnd w:id="16"/>
      <w:bookmarkEnd w:id="17"/>
      <w:bookmarkEnd w:id="20"/>
    </w:p>
    <w:p w14:paraId="79A62DF2" w14:textId="77777777" w:rsidR="00407466" w:rsidRDefault="005F3542" w:rsidP="00973CA3">
      <w:bookmarkStart w:id="21" w:name="_Toc247691505"/>
      <w:bookmarkStart w:id="22" w:name="_Toc314842486"/>
      <w:proofErr w:type="spellStart"/>
      <w:r>
        <w:t>Alectinib</w:t>
      </w:r>
      <w:proofErr w:type="spellEnd"/>
      <w:r>
        <w:t xml:space="preserve"> was </w:t>
      </w:r>
      <w:r w:rsidR="00973CA3">
        <w:t xml:space="preserve">first </w:t>
      </w:r>
      <w:r>
        <w:t>approved in Australia as a new active substance in March 2017 on the basis of overall response rate (ORR) and duration of response (DOR) results</w:t>
      </w:r>
      <w:r w:rsidR="00883830">
        <w:t>,</w:t>
      </w:r>
      <w:r>
        <w:t xml:space="preserve"> </w:t>
      </w:r>
      <w:r w:rsidR="00883830">
        <w:t xml:space="preserve">as well as evidence of efficacy in the central nervous system (CNS), </w:t>
      </w:r>
      <w:r>
        <w:t xml:space="preserve">from two single-arm </w:t>
      </w:r>
      <w:r w:rsidR="00973CA3">
        <w:t>P</w:t>
      </w:r>
      <w:r>
        <w:t xml:space="preserve">hase </w:t>
      </w:r>
      <w:r w:rsidR="00973CA3">
        <w:t xml:space="preserve">I/II </w:t>
      </w:r>
      <w:r w:rsidR="004232F7">
        <w:t>studies (NP28761 and NP28673)</w:t>
      </w:r>
      <w:r w:rsidR="00407466">
        <w:t>.</w:t>
      </w:r>
    </w:p>
    <w:p w14:paraId="64EC4AC0" w14:textId="77DD2375" w:rsidR="005F3542" w:rsidRDefault="005F3542" w:rsidP="00973CA3">
      <w:r>
        <w:t xml:space="preserve">Its indication was restricted to use in patients after </w:t>
      </w:r>
      <w:proofErr w:type="spellStart"/>
      <w:r>
        <w:t>crizotinib</w:t>
      </w:r>
      <w:proofErr w:type="spellEnd"/>
      <w:r>
        <w:t>, which is registered in Australia for the treatment of ALK-positive NSCLC but is not retained in the CNS</w:t>
      </w:r>
      <w:r w:rsidR="003B4948">
        <w:t xml:space="preserve"> which </w:t>
      </w:r>
      <w:r>
        <w:t xml:space="preserve">is the most common site of disease progression on </w:t>
      </w:r>
      <w:proofErr w:type="spellStart"/>
      <w:r>
        <w:t>crizotinib</w:t>
      </w:r>
      <w:proofErr w:type="spellEnd"/>
      <w:r>
        <w:t xml:space="preserve"> therapy.</w:t>
      </w:r>
    </w:p>
    <w:p w14:paraId="57FC8CFA" w14:textId="77777777" w:rsidR="00973CA3" w:rsidRDefault="00973CA3" w:rsidP="00973CA3">
      <w:pPr>
        <w:pStyle w:val="Heading5"/>
      </w:pPr>
      <w:r>
        <w:t>FDA</w:t>
      </w:r>
    </w:p>
    <w:p w14:paraId="0EB93BE0" w14:textId="77777777" w:rsidR="00973CA3" w:rsidRDefault="00973CA3" w:rsidP="00973CA3">
      <w:r>
        <w:t xml:space="preserve">In November 2017, </w:t>
      </w:r>
      <w:proofErr w:type="spellStart"/>
      <w:r>
        <w:t>alectinib</w:t>
      </w:r>
      <w:proofErr w:type="spellEnd"/>
      <w:r>
        <w:t xml:space="preserve"> was approved by the US FDA for first-line treatment of ALK- positive metastatic NSCLC. The FDA has also converted </w:t>
      </w:r>
      <w:proofErr w:type="spellStart"/>
      <w:r>
        <w:t>alectinib’s</w:t>
      </w:r>
      <w:proofErr w:type="spellEnd"/>
      <w:r>
        <w:t xml:space="preserve"> accelerated approval for patients with ALK-positive NSCLC who have progressed on </w:t>
      </w:r>
      <w:proofErr w:type="spellStart"/>
      <w:r>
        <w:t>crizotinib</w:t>
      </w:r>
      <w:proofErr w:type="spellEnd"/>
      <w:r>
        <w:t xml:space="preserve"> to a full approval.</w:t>
      </w:r>
    </w:p>
    <w:p w14:paraId="733AA6CF" w14:textId="77777777" w:rsidR="00973CA3" w:rsidRDefault="00973CA3" w:rsidP="00973CA3">
      <w:r>
        <w:t>The approved US indication is now:</w:t>
      </w:r>
    </w:p>
    <w:p w14:paraId="2C1E5A5F" w14:textId="77777777" w:rsidR="00973CA3" w:rsidRPr="00973CA3" w:rsidRDefault="00973CA3" w:rsidP="00973CA3">
      <w:pPr>
        <w:ind w:left="220"/>
        <w:rPr>
          <w:i/>
        </w:rPr>
      </w:pPr>
      <w:r w:rsidRPr="00973CA3">
        <w:rPr>
          <w:i/>
        </w:rPr>
        <w:t>ALECENSA is a kinase inhibitor indicated for the treatment of patients with anaplastic lymphoma kinase (ALK)-positive metastatic non-small cell lung cancer (NSCLC) as detected by an FDA- approved test.</w:t>
      </w:r>
    </w:p>
    <w:p w14:paraId="237DBC11" w14:textId="77777777" w:rsidR="00973CA3" w:rsidRDefault="00973CA3" w:rsidP="00973CA3">
      <w:pPr>
        <w:pStyle w:val="Heading5"/>
      </w:pPr>
      <w:bookmarkStart w:id="23" w:name="2.2_EMA"/>
      <w:bookmarkEnd w:id="23"/>
      <w:r>
        <w:t>E</w:t>
      </w:r>
      <w:r w:rsidR="003353EA">
        <w:t>uropean Medicines Agency (E</w:t>
      </w:r>
      <w:r>
        <w:t>MA</w:t>
      </w:r>
      <w:r w:rsidR="003353EA">
        <w:t>)</w:t>
      </w:r>
    </w:p>
    <w:p w14:paraId="29A48B94" w14:textId="77777777" w:rsidR="00973CA3" w:rsidRDefault="00973CA3" w:rsidP="00973CA3">
      <w:r>
        <w:t xml:space="preserve">On 12 October 2017, the Committee for Medicinal Products for Human Use (CHMP) adopted a positive opinion recommending a change to the terms of the marketing authorisation for the medicinal product </w:t>
      </w:r>
      <w:proofErr w:type="spellStart"/>
      <w:r>
        <w:t>Alecensa</w:t>
      </w:r>
      <w:proofErr w:type="spellEnd"/>
      <w:r>
        <w:t>. The marketing authorisation holder for this medicinal product is Roche Registration Limited.</w:t>
      </w:r>
    </w:p>
    <w:p w14:paraId="288B7779" w14:textId="77777777" w:rsidR="00973CA3" w:rsidRDefault="00973CA3" w:rsidP="00973CA3">
      <w:r>
        <w:t>The CHMP adopted an extension to the existing indication as follows</w:t>
      </w:r>
      <w:r>
        <w:rPr>
          <w:position w:val="4"/>
          <w:sz w:val="11"/>
          <w:szCs w:val="11"/>
        </w:rPr>
        <w:t>1</w:t>
      </w:r>
      <w:r>
        <w:t>:</w:t>
      </w:r>
    </w:p>
    <w:p w14:paraId="0973141C" w14:textId="77777777" w:rsidR="00973CA3" w:rsidRPr="00973CA3" w:rsidRDefault="00973CA3" w:rsidP="00973CA3">
      <w:pPr>
        <w:ind w:left="720"/>
        <w:rPr>
          <w:i/>
        </w:rPr>
      </w:pPr>
      <w:proofErr w:type="spellStart"/>
      <w:r w:rsidRPr="00973CA3">
        <w:rPr>
          <w:i/>
        </w:rPr>
        <w:t>Alecensa</w:t>
      </w:r>
      <w:proofErr w:type="spellEnd"/>
      <w:r w:rsidRPr="00973CA3">
        <w:rPr>
          <w:i/>
        </w:rPr>
        <w:t xml:space="preserve"> as monotherapy is indicated for the first-line treatment of adult patients with anaplastic lymphoma kinase (ALK)-positive advanced non-small cell lung cancer (NSCLC).</w:t>
      </w:r>
    </w:p>
    <w:p w14:paraId="1ED71DA9" w14:textId="77777777" w:rsidR="00973CA3" w:rsidRPr="00973CA3" w:rsidRDefault="00973CA3" w:rsidP="00973CA3">
      <w:pPr>
        <w:ind w:left="720"/>
        <w:rPr>
          <w:i/>
        </w:rPr>
      </w:pPr>
      <w:proofErr w:type="spellStart"/>
      <w:r w:rsidRPr="00973CA3">
        <w:rPr>
          <w:i/>
        </w:rPr>
        <w:t>Alecensa</w:t>
      </w:r>
      <w:proofErr w:type="spellEnd"/>
      <w:r w:rsidRPr="00973CA3">
        <w:rPr>
          <w:i/>
        </w:rPr>
        <w:t xml:space="preserve"> as monotherapy is indicated for the treatment of adult patients with </w:t>
      </w:r>
      <w:r w:rsidRPr="00973CA3">
        <w:rPr>
          <w:i/>
          <w:strike/>
        </w:rPr>
        <w:t>anaplastic</w:t>
      </w:r>
      <w:r w:rsidRPr="00973CA3">
        <w:rPr>
          <w:i/>
        </w:rPr>
        <w:t xml:space="preserve"> </w:t>
      </w:r>
      <w:r w:rsidRPr="00973CA3">
        <w:rPr>
          <w:i/>
          <w:strike/>
        </w:rPr>
        <w:t>lymphoma kinase (</w:t>
      </w:r>
      <w:r w:rsidRPr="00973CA3">
        <w:rPr>
          <w:i/>
        </w:rPr>
        <w:t>ALK</w:t>
      </w:r>
      <w:r w:rsidRPr="00973CA3">
        <w:rPr>
          <w:i/>
          <w:strike/>
        </w:rPr>
        <w:t>)-</w:t>
      </w:r>
      <w:r w:rsidRPr="00973CA3">
        <w:rPr>
          <w:i/>
        </w:rPr>
        <w:t xml:space="preserve">positive advanced </w:t>
      </w:r>
      <w:r w:rsidRPr="00973CA3">
        <w:rPr>
          <w:i/>
          <w:strike/>
        </w:rPr>
        <w:t>non-small cell lung cancer (</w:t>
      </w:r>
      <w:r w:rsidRPr="00973CA3">
        <w:rPr>
          <w:i/>
        </w:rPr>
        <w:t>NSCLC) pre</w:t>
      </w:r>
      <w:r>
        <w:rPr>
          <w:i/>
        </w:rPr>
        <w:t xml:space="preserve">viously treated with </w:t>
      </w:r>
      <w:proofErr w:type="spellStart"/>
      <w:r>
        <w:rPr>
          <w:i/>
        </w:rPr>
        <w:t>crizotinib</w:t>
      </w:r>
      <w:proofErr w:type="spellEnd"/>
      <w:r w:rsidRPr="00973CA3">
        <w:rPr>
          <w:i/>
        </w:rPr>
        <w:t>.</w:t>
      </w:r>
    </w:p>
    <w:p w14:paraId="3D99ABAB" w14:textId="77777777" w:rsidR="00973CA3" w:rsidRDefault="00973CA3" w:rsidP="003B4948">
      <w:r>
        <w:t xml:space="preserve">In addition, since all specific obligations of the conditional marketing authorisation have been fulfilled, the marketing authorisation for </w:t>
      </w:r>
      <w:proofErr w:type="spellStart"/>
      <w:r>
        <w:t>Alecensa</w:t>
      </w:r>
      <w:proofErr w:type="spellEnd"/>
      <w:r>
        <w:t xml:space="preserve"> will be switched from conditional to full approval.</w:t>
      </w:r>
    </w:p>
    <w:p w14:paraId="4B5B9FB4" w14:textId="77777777" w:rsidR="00973CA3" w:rsidRDefault="00973CA3" w:rsidP="00973CA3">
      <w:r>
        <w:t xml:space="preserve">On the 18 December 2017, the European Commission (EC) approved </w:t>
      </w:r>
      <w:proofErr w:type="spellStart"/>
      <w:r>
        <w:t>Alecensa</w:t>
      </w:r>
      <w:proofErr w:type="spellEnd"/>
      <w:r>
        <w:t xml:space="preserve"> as a monotherapy for the first-line treatment of adult patients with anaplastic lymphoma kinase (ALK)-positive, advanced non-small cell lung cancer (NSCLC). In addition to the first-line approval, the EC also converted the conditional marketing authorisation of </w:t>
      </w:r>
      <w:proofErr w:type="spellStart"/>
      <w:r>
        <w:t>Alecensa</w:t>
      </w:r>
      <w:proofErr w:type="spellEnd"/>
      <w:r>
        <w:t xml:space="preserve"> in </w:t>
      </w:r>
      <w:proofErr w:type="spellStart"/>
      <w:r>
        <w:t>crizotinib</w:t>
      </w:r>
      <w:proofErr w:type="spellEnd"/>
      <w:r>
        <w:t xml:space="preserve"> failure to a standard marketing authorisation.</w:t>
      </w:r>
    </w:p>
    <w:p w14:paraId="150A9B67" w14:textId="77777777" w:rsidR="00973CA3" w:rsidRDefault="00973CA3" w:rsidP="00973CA3">
      <w:r>
        <w:t xml:space="preserve">The following table summarises the international regulatory status of </w:t>
      </w:r>
      <w:proofErr w:type="spellStart"/>
      <w:r>
        <w:t>Alecensa</w:t>
      </w:r>
      <w:proofErr w:type="spellEnd"/>
      <w:r>
        <w:t>.</w:t>
      </w:r>
    </w:p>
    <w:p w14:paraId="52F87E2E" w14:textId="77777777" w:rsidR="005F3542" w:rsidRDefault="005F3542" w:rsidP="00973CA3">
      <w:pPr>
        <w:pStyle w:val="TableTitle"/>
      </w:pPr>
      <w:bookmarkStart w:id="24" w:name="2_Overseas_regulatory_status"/>
      <w:bookmarkEnd w:id="24"/>
      <w:r>
        <w:t>Table 1</w:t>
      </w:r>
      <w:r w:rsidR="00973CA3">
        <w:t>:</w:t>
      </w:r>
      <w:r>
        <w:t xml:space="preserve"> Summary table of overseas regulatory status for the current submission (at </w:t>
      </w:r>
      <w:r w:rsidR="00973CA3">
        <w:t>9 January 2018</w:t>
      </w:r>
      <w:r>
        <w:t>)</w:t>
      </w:r>
    </w:p>
    <w:tbl>
      <w:tblPr>
        <w:tblStyle w:val="TableTGAblue"/>
        <w:tblW w:w="0" w:type="auto"/>
        <w:tblLook w:val="04A0" w:firstRow="1" w:lastRow="0" w:firstColumn="1" w:lastColumn="0" w:noHBand="0" w:noVBand="1"/>
      </w:tblPr>
      <w:tblGrid>
        <w:gridCol w:w="2093"/>
        <w:gridCol w:w="2693"/>
        <w:gridCol w:w="3934"/>
      </w:tblGrid>
      <w:tr w:rsidR="003722AC" w14:paraId="3926662C" w14:textId="77777777" w:rsidTr="003722AC">
        <w:trPr>
          <w:cnfStyle w:val="100000000000" w:firstRow="1" w:lastRow="0" w:firstColumn="0" w:lastColumn="0" w:oddVBand="0" w:evenVBand="0" w:oddHBand="0" w:evenHBand="0" w:firstRowFirstColumn="0" w:firstRowLastColumn="0" w:lastRowFirstColumn="0" w:lastRowLastColumn="0"/>
        </w:trPr>
        <w:tc>
          <w:tcPr>
            <w:tcW w:w="2093" w:type="dxa"/>
          </w:tcPr>
          <w:p w14:paraId="220D9AA8" w14:textId="77777777" w:rsidR="003722AC" w:rsidRPr="003722AC" w:rsidRDefault="003722AC" w:rsidP="00407466">
            <w:pPr>
              <w:rPr>
                <w:b w:val="0"/>
              </w:rPr>
            </w:pPr>
            <w:r w:rsidRPr="003722AC">
              <w:t>Jurisdiction</w:t>
            </w:r>
          </w:p>
        </w:tc>
        <w:tc>
          <w:tcPr>
            <w:tcW w:w="2693" w:type="dxa"/>
          </w:tcPr>
          <w:p w14:paraId="7EF2E0BD" w14:textId="77777777" w:rsidR="003722AC" w:rsidRPr="003722AC" w:rsidRDefault="003722AC" w:rsidP="00407466">
            <w:pPr>
              <w:rPr>
                <w:sz w:val="20"/>
                <w:szCs w:val="20"/>
              </w:rPr>
            </w:pPr>
            <w:r w:rsidRPr="003722AC">
              <w:rPr>
                <w:sz w:val="20"/>
                <w:szCs w:val="20"/>
              </w:rPr>
              <w:t>FDA</w:t>
            </w:r>
          </w:p>
        </w:tc>
        <w:tc>
          <w:tcPr>
            <w:tcW w:w="3934" w:type="dxa"/>
          </w:tcPr>
          <w:p w14:paraId="46A4BE54" w14:textId="77777777" w:rsidR="003722AC" w:rsidRPr="003722AC" w:rsidRDefault="003722AC" w:rsidP="00407466">
            <w:pPr>
              <w:rPr>
                <w:sz w:val="20"/>
                <w:szCs w:val="20"/>
              </w:rPr>
            </w:pPr>
            <w:r w:rsidRPr="003722AC">
              <w:rPr>
                <w:sz w:val="20"/>
                <w:szCs w:val="20"/>
              </w:rPr>
              <w:t>EMA</w:t>
            </w:r>
          </w:p>
        </w:tc>
      </w:tr>
      <w:tr w:rsidR="003722AC" w14:paraId="2B83D44A" w14:textId="77777777" w:rsidTr="003722AC">
        <w:tc>
          <w:tcPr>
            <w:tcW w:w="2093" w:type="dxa"/>
          </w:tcPr>
          <w:p w14:paraId="112A6EAB" w14:textId="77777777" w:rsidR="003722AC" w:rsidRPr="00973CA3" w:rsidRDefault="003722AC" w:rsidP="00407466">
            <w:pPr>
              <w:rPr>
                <w:sz w:val="20"/>
                <w:szCs w:val="20"/>
              </w:rPr>
            </w:pPr>
            <w:r w:rsidRPr="00973CA3">
              <w:rPr>
                <w:sz w:val="20"/>
                <w:szCs w:val="20"/>
              </w:rPr>
              <w:t>Approval date</w:t>
            </w:r>
          </w:p>
        </w:tc>
        <w:tc>
          <w:tcPr>
            <w:tcW w:w="2693" w:type="dxa"/>
          </w:tcPr>
          <w:p w14:paraId="23E450F1" w14:textId="77777777" w:rsidR="003722AC" w:rsidRPr="00973CA3" w:rsidRDefault="003722AC" w:rsidP="00407466">
            <w:pPr>
              <w:rPr>
                <w:sz w:val="20"/>
                <w:szCs w:val="20"/>
              </w:rPr>
            </w:pPr>
            <w:r w:rsidRPr="00973CA3">
              <w:rPr>
                <w:sz w:val="20"/>
                <w:szCs w:val="20"/>
              </w:rPr>
              <w:t>November 2017</w:t>
            </w:r>
          </w:p>
        </w:tc>
        <w:tc>
          <w:tcPr>
            <w:tcW w:w="3934" w:type="dxa"/>
          </w:tcPr>
          <w:p w14:paraId="0901F795" w14:textId="77777777" w:rsidR="003722AC" w:rsidRPr="00973CA3" w:rsidRDefault="003722AC" w:rsidP="00407466">
            <w:pPr>
              <w:rPr>
                <w:sz w:val="20"/>
                <w:szCs w:val="20"/>
              </w:rPr>
            </w:pPr>
            <w:r w:rsidRPr="00973CA3">
              <w:rPr>
                <w:sz w:val="20"/>
                <w:szCs w:val="20"/>
              </w:rPr>
              <w:t>December 2017</w:t>
            </w:r>
          </w:p>
        </w:tc>
      </w:tr>
      <w:tr w:rsidR="003722AC" w14:paraId="36270A50" w14:textId="77777777" w:rsidTr="003722AC">
        <w:tc>
          <w:tcPr>
            <w:tcW w:w="2093" w:type="dxa"/>
          </w:tcPr>
          <w:p w14:paraId="7B73E775" w14:textId="77777777" w:rsidR="003722AC" w:rsidRPr="00973CA3" w:rsidRDefault="003722AC" w:rsidP="00407466">
            <w:pPr>
              <w:rPr>
                <w:sz w:val="20"/>
                <w:szCs w:val="20"/>
              </w:rPr>
            </w:pPr>
            <w:r w:rsidRPr="00973CA3">
              <w:rPr>
                <w:sz w:val="20"/>
                <w:szCs w:val="20"/>
              </w:rPr>
              <w:t>Indication</w:t>
            </w:r>
          </w:p>
        </w:tc>
        <w:tc>
          <w:tcPr>
            <w:tcW w:w="2693" w:type="dxa"/>
          </w:tcPr>
          <w:p w14:paraId="288365C5" w14:textId="77777777" w:rsidR="003722AC" w:rsidRPr="00973CA3" w:rsidRDefault="003722AC" w:rsidP="00407466">
            <w:pPr>
              <w:rPr>
                <w:sz w:val="20"/>
                <w:szCs w:val="20"/>
              </w:rPr>
            </w:pPr>
            <w:r w:rsidRPr="00973CA3">
              <w:rPr>
                <w:sz w:val="20"/>
                <w:szCs w:val="20"/>
              </w:rPr>
              <w:t xml:space="preserve">ALECENSA is a kinase inhibitor indicated for the treatment of patients </w:t>
            </w:r>
            <w:r w:rsidRPr="00973CA3">
              <w:rPr>
                <w:sz w:val="20"/>
                <w:szCs w:val="20"/>
              </w:rPr>
              <w:lastRenderedPageBreak/>
              <w:t>with anaplastic lymphoma kinase (ALK)-positive metastatic non-small cell lung cancer (NSCLC) as detected by an FDA-approved test.</w:t>
            </w:r>
          </w:p>
        </w:tc>
        <w:tc>
          <w:tcPr>
            <w:tcW w:w="3934" w:type="dxa"/>
          </w:tcPr>
          <w:p w14:paraId="53E4108E" w14:textId="77777777" w:rsidR="003722AC" w:rsidRPr="00973CA3" w:rsidRDefault="003722AC" w:rsidP="00407466">
            <w:pPr>
              <w:rPr>
                <w:sz w:val="20"/>
                <w:szCs w:val="20"/>
              </w:rPr>
            </w:pPr>
            <w:proofErr w:type="spellStart"/>
            <w:r w:rsidRPr="00973CA3">
              <w:rPr>
                <w:sz w:val="20"/>
                <w:szCs w:val="20"/>
              </w:rPr>
              <w:lastRenderedPageBreak/>
              <w:t>Alecensa</w:t>
            </w:r>
            <w:proofErr w:type="spellEnd"/>
            <w:r w:rsidRPr="00973CA3">
              <w:rPr>
                <w:sz w:val="20"/>
                <w:szCs w:val="20"/>
              </w:rPr>
              <w:t xml:space="preserve"> as monotherapy is indicated for the first-line treatment of adult patients with anaplastic lymphoma </w:t>
            </w:r>
            <w:r w:rsidRPr="00973CA3">
              <w:rPr>
                <w:sz w:val="20"/>
                <w:szCs w:val="20"/>
              </w:rPr>
              <w:lastRenderedPageBreak/>
              <w:t>kinase (ALK)-positive advanced non-small cell lung cancer (NSCLC).</w:t>
            </w:r>
          </w:p>
          <w:p w14:paraId="6F5BF731" w14:textId="77777777" w:rsidR="003722AC" w:rsidRPr="00973CA3" w:rsidRDefault="003722AC" w:rsidP="00407466">
            <w:pPr>
              <w:rPr>
                <w:sz w:val="20"/>
                <w:szCs w:val="20"/>
              </w:rPr>
            </w:pPr>
            <w:proofErr w:type="spellStart"/>
            <w:r w:rsidRPr="00973CA3">
              <w:rPr>
                <w:sz w:val="20"/>
                <w:szCs w:val="20"/>
              </w:rPr>
              <w:t>Alecensa</w:t>
            </w:r>
            <w:proofErr w:type="spellEnd"/>
            <w:r w:rsidRPr="00973CA3">
              <w:rPr>
                <w:sz w:val="20"/>
                <w:szCs w:val="20"/>
              </w:rPr>
              <w:t xml:space="preserve"> as monotherapy is indicated for the treatment of adult patients with ALK positive advanced NSCLC previously treated with </w:t>
            </w:r>
            <w:proofErr w:type="spellStart"/>
            <w:r w:rsidRPr="00973CA3">
              <w:rPr>
                <w:sz w:val="20"/>
                <w:szCs w:val="20"/>
              </w:rPr>
              <w:t>crizotinib</w:t>
            </w:r>
            <w:proofErr w:type="spellEnd"/>
            <w:r w:rsidRPr="00973CA3">
              <w:rPr>
                <w:sz w:val="20"/>
                <w:szCs w:val="20"/>
              </w:rPr>
              <w:t>.</w:t>
            </w:r>
          </w:p>
        </w:tc>
      </w:tr>
    </w:tbl>
    <w:p w14:paraId="12C36E1D" w14:textId="77777777" w:rsidR="008E7846" w:rsidRDefault="008E7846" w:rsidP="005F3542">
      <w:pPr>
        <w:pStyle w:val="Heading3"/>
      </w:pPr>
      <w:bookmarkStart w:id="25" w:name="2.1_FDA"/>
      <w:bookmarkStart w:id="26" w:name="_Toc509821959"/>
      <w:bookmarkEnd w:id="25"/>
      <w:r>
        <w:lastRenderedPageBreak/>
        <w:t>Product Information</w:t>
      </w:r>
      <w:bookmarkEnd w:id="21"/>
      <w:bookmarkEnd w:id="22"/>
      <w:bookmarkEnd w:id="26"/>
    </w:p>
    <w:p w14:paraId="6E641A36" w14:textId="77777777" w:rsidR="00940A89" w:rsidRDefault="006136D7" w:rsidP="00940A89">
      <w:pPr>
        <w:rPr>
          <w:b/>
          <w:bCs/>
        </w:rPr>
      </w:pPr>
      <w:bookmarkStart w:id="27" w:name="_Toc247691506"/>
      <w:bookmarkStart w:id="28"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114E74FE" w14:textId="77777777" w:rsidR="008E7846" w:rsidRPr="003602A9" w:rsidRDefault="008E7846" w:rsidP="008E7846">
      <w:pPr>
        <w:pStyle w:val="Heading2"/>
        <w:ind w:left="-11"/>
      </w:pPr>
      <w:bookmarkStart w:id="29" w:name="_Toc509821960"/>
      <w:r>
        <w:t>II. Quality</w:t>
      </w:r>
      <w:bookmarkEnd w:id="1"/>
      <w:r>
        <w:t xml:space="preserve"> findings</w:t>
      </w:r>
      <w:bookmarkEnd w:id="27"/>
      <w:bookmarkEnd w:id="28"/>
      <w:bookmarkEnd w:id="29"/>
    </w:p>
    <w:p w14:paraId="09EAF2FE" w14:textId="77777777" w:rsidR="00940A89" w:rsidRPr="00940A89" w:rsidRDefault="00940A89" w:rsidP="00940A89">
      <w:bookmarkStart w:id="30" w:name="_Toc247691507"/>
      <w:bookmarkStart w:id="31" w:name="_Toc314842488"/>
      <w:r w:rsidRPr="00940A89">
        <w:t>There was no requirement for a quality evaluation in a submission of this type.</w:t>
      </w:r>
    </w:p>
    <w:p w14:paraId="1578AF07" w14:textId="77777777" w:rsidR="008E7846" w:rsidRDefault="008E7846" w:rsidP="008E7846">
      <w:pPr>
        <w:pStyle w:val="Heading2"/>
      </w:pPr>
      <w:bookmarkStart w:id="32" w:name="_Toc196046439"/>
      <w:bookmarkStart w:id="33" w:name="_Toc247691510"/>
      <w:bookmarkStart w:id="34" w:name="_Toc314842494"/>
      <w:bookmarkStart w:id="35" w:name="_Toc509821961"/>
      <w:bookmarkEnd w:id="30"/>
      <w:bookmarkEnd w:id="31"/>
      <w:r>
        <w:t>III. Nonclinical</w:t>
      </w:r>
      <w:bookmarkEnd w:id="32"/>
      <w:r>
        <w:t xml:space="preserve"> findings</w:t>
      </w:r>
      <w:bookmarkEnd w:id="33"/>
      <w:bookmarkEnd w:id="34"/>
      <w:bookmarkEnd w:id="35"/>
    </w:p>
    <w:p w14:paraId="51DF4E39" w14:textId="77777777" w:rsidR="00940A89" w:rsidRDefault="00940A89" w:rsidP="000E6196">
      <w:bookmarkStart w:id="36" w:name="_Toc247691511"/>
      <w:bookmarkStart w:id="37" w:name="_Toc314842495"/>
      <w:r>
        <w:t>There was no requirement for a nonclinical evaluation in a submission of this type.</w:t>
      </w:r>
    </w:p>
    <w:p w14:paraId="7EC8C0C3" w14:textId="77777777" w:rsidR="008E7846" w:rsidRPr="00254787" w:rsidRDefault="008E7846" w:rsidP="008E7846">
      <w:pPr>
        <w:pStyle w:val="Heading2"/>
      </w:pPr>
      <w:bookmarkStart w:id="38" w:name="_Toc196046462"/>
      <w:bookmarkStart w:id="39" w:name="_Toc247691516"/>
      <w:bookmarkStart w:id="40" w:name="_Toc314842500"/>
      <w:bookmarkStart w:id="41" w:name="_Toc163441353"/>
      <w:bookmarkStart w:id="42" w:name="_Toc163441348"/>
      <w:bookmarkStart w:id="43" w:name="_Toc509821962"/>
      <w:bookmarkEnd w:id="36"/>
      <w:bookmarkEnd w:id="37"/>
      <w:r>
        <w:t xml:space="preserve">IV. </w:t>
      </w:r>
      <w:r w:rsidRPr="00254787">
        <w:t>Clinical</w:t>
      </w:r>
      <w:bookmarkEnd w:id="38"/>
      <w:r>
        <w:t xml:space="preserve"> </w:t>
      </w:r>
      <w:r w:rsidR="003A7F6C">
        <w:t>f</w:t>
      </w:r>
      <w:r>
        <w:t>indings</w:t>
      </w:r>
      <w:bookmarkEnd w:id="39"/>
      <w:bookmarkEnd w:id="40"/>
      <w:bookmarkEnd w:id="43"/>
    </w:p>
    <w:p w14:paraId="7697F3CB" w14:textId="77777777" w:rsidR="00C80137" w:rsidRDefault="00C80137" w:rsidP="00D425BB">
      <w:bookmarkStart w:id="4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E70B5CC" w14:textId="77777777" w:rsidR="008E7846" w:rsidRDefault="008E7846" w:rsidP="008E7846">
      <w:pPr>
        <w:pStyle w:val="Heading3"/>
      </w:pPr>
      <w:bookmarkStart w:id="45" w:name="_Toc247691517"/>
      <w:bookmarkStart w:id="46" w:name="_Toc314842501"/>
      <w:bookmarkStart w:id="47" w:name="_Toc509821963"/>
      <w:r w:rsidRPr="00254787">
        <w:t>Introduction</w:t>
      </w:r>
      <w:bookmarkEnd w:id="44"/>
      <w:bookmarkEnd w:id="45"/>
      <w:bookmarkEnd w:id="46"/>
      <w:bookmarkEnd w:id="47"/>
    </w:p>
    <w:p w14:paraId="04FB211D" w14:textId="77777777" w:rsidR="00605AD4" w:rsidRDefault="00605AD4" w:rsidP="00973CA3">
      <w:pPr>
        <w:pStyle w:val="Heading4"/>
      </w:pPr>
      <w:bookmarkStart w:id="48" w:name="_Toc196046464"/>
      <w:bookmarkStart w:id="49" w:name="_Toc247691518"/>
      <w:bookmarkStart w:id="50" w:name="_Toc314842502"/>
      <w:r w:rsidRPr="00605AD4">
        <w:t xml:space="preserve">Clinical </w:t>
      </w:r>
      <w:r w:rsidR="00EF59DC">
        <w:t>r</w:t>
      </w:r>
      <w:r w:rsidRPr="00605AD4">
        <w:t>ationale</w:t>
      </w:r>
    </w:p>
    <w:p w14:paraId="31320C62" w14:textId="6F530E2B" w:rsidR="00B27AAC" w:rsidRDefault="00B27AAC" w:rsidP="00B27AAC">
      <w:pPr>
        <w:rPr>
          <w:rFonts w:asciiTheme="minorHAnsi" w:eastAsia="MS Mincho" w:hAnsiTheme="minorHAnsi"/>
        </w:rPr>
      </w:pPr>
      <w:r>
        <w:rPr>
          <w:lang w:eastAsia="ja-JP"/>
        </w:rPr>
        <w:t xml:space="preserve">Currently, the only approved first line therapy for ALK-positive NSCLC is either </w:t>
      </w:r>
      <w:proofErr w:type="spellStart"/>
      <w:r>
        <w:rPr>
          <w:lang w:eastAsia="ja-JP"/>
        </w:rPr>
        <w:t>crizotinib</w:t>
      </w:r>
      <w:proofErr w:type="spellEnd"/>
      <w:r>
        <w:rPr>
          <w:lang w:eastAsia="ja-JP"/>
        </w:rPr>
        <w:t xml:space="preserve"> or chemotherapy. There is a strong, unmet clinical need for improvement upon the gains made in the treatment of advanced ALK-positive NSCLC with the use of </w:t>
      </w:r>
      <w:proofErr w:type="spellStart"/>
      <w:r>
        <w:rPr>
          <w:lang w:eastAsia="ja-JP"/>
        </w:rPr>
        <w:t>crizotinib</w:t>
      </w:r>
      <w:proofErr w:type="spellEnd"/>
      <w:r>
        <w:rPr>
          <w:lang w:eastAsia="ja-JP"/>
        </w:rPr>
        <w:t xml:space="preserve">, and in particular, for better ways to treat the brain metastases that are either present at baseline or develop during </w:t>
      </w:r>
      <w:proofErr w:type="spellStart"/>
      <w:r>
        <w:rPr>
          <w:lang w:eastAsia="ja-JP"/>
        </w:rPr>
        <w:t>crizotinib</w:t>
      </w:r>
      <w:proofErr w:type="spellEnd"/>
      <w:r>
        <w:rPr>
          <w:lang w:eastAsia="ja-JP"/>
        </w:rPr>
        <w:t xml:space="preserve"> treatment. </w:t>
      </w:r>
      <w:r>
        <w:rPr>
          <w:rFonts w:asciiTheme="minorHAnsi" w:hAnsiTheme="minorHAnsi"/>
        </w:rPr>
        <w:t>The current submission includes a pivotal study of patients with ALK-positive NSCLC not previously treated with systemic therapy</w:t>
      </w:r>
      <w:r w:rsidR="00902524">
        <w:rPr>
          <w:rFonts w:asciiTheme="minorHAnsi" w:hAnsiTheme="minorHAnsi"/>
        </w:rPr>
        <w:t xml:space="preserve"> for advanced or metastatic disease</w:t>
      </w:r>
      <w:r>
        <w:rPr>
          <w:rFonts w:asciiTheme="minorHAnsi" w:hAnsiTheme="minorHAnsi"/>
        </w:rPr>
        <w:t xml:space="preserve"> randomised to receive either </w:t>
      </w:r>
      <w:proofErr w:type="spellStart"/>
      <w:r>
        <w:rPr>
          <w:rFonts w:asciiTheme="minorHAnsi" w:hAnsiTheme="minorHAnsi"/>
        </w:rPr>
        <w:t>alectinib</w:t>
      </w:r>
      <w:proofErr w:type="spellEnd"/>
      <w:r>
        <w:rPr>
          <w:rFonts w:asciiTheme="minorHAnsi" w:hAnsiTheme="minorHAnsi"/>
        </w:rPr>
        <w:t xml:space="preserve"> or </w:t>
      </w:r>
      <w:proofErr w:type="spellStart"/>
      <w:r>
        <w:rPr>
          <w:rFonts w:asciiTheme="minorHAnsi" w:hAnsiTheme="minorHAnsi"/>
        </w:rPr>
        <w:t>crizotinib</w:t>
      </w:r>
      <w:proofErr w:type="spellEnd"/>
      <w:r>
        <w:rPr>
          <w:rFonts w:asciiTheme="minorHAnsi" w:hAnsiTheme="minorHAnsi"/>
        </w:rPr>
        <w:t>, the current standard of care.</w:t>
      </w:r>
      <w:r w:rsidRPr="00F65FD4">
        <w:rPr>
          <w:rFonts w:asciiTheme="minorHAnsi" w:eastAsia="MS Mincho" w:hAnsiTheme="minorHAnsi"/>
        </w:rPr>
        <w:t xml:space="preserve"> </w:t>
      </w:r>
      <w:r>
        <w:rPr>
          <w:rFonts w:asciiTheme="minorHAnsi" w:eastAsia="MS Mincho" w:hAnsiTheme="minorHAnsi"/>
        </w:rPr>
        <w:t xml:space="preserve">This study assesses the effect of </w:t>
      </w:r>
      <w:proofErr w:type="spellStart"/>
      <w:r>
        <w:rPr>
          <w:rFonts w:asciiTheme="minorHAnsi" w:eastAsia="MS Mincho" w:hAnsiTheme="minorHAnsi"/>
        </w:rPr>
        <w:t>alectinib</w:t>
      </w:r>
      <w:proofErr w:type="spellEnd"/>
      <w:r>
        <w:rPr>
          <w:rFonts w:asciiTheme="minorHAnsi" w:eastAsia="MS Mincho" w:hAnsiTheme="minorHAnsi"/>
        </w:rPr>
        <w:t xml:space="preserve"> on PFS with a particular focus on the CNS efficacy in those with brain or developing metastases, and provides data to support the use of a companion diagnostic assay for </w:t>
      </w:r>
      <w:proofErr w:type="spellStart"/>
      <w:r>
        <w:rPr>
          <w:rFonts w:asciiTheme="minorHAnsi" w:eastAsia="MS Mincho" w:hAnsiTheme="minorHAnsi"/>
        </w:rPr>
        <w:t>alectinib</w:t>
      </w:r>
      <w:proofErr w:type="spellEnd"/>
      <w:r>
        <w:rPr>
          <w:rFonts w:asciiTheme="minorHAnsi" w:eastAsia="MS Mincho" w:hAnsiTheme="minorHAnsi"/>
        </w:rPr>
        <w:t xml:space="preserve"> (</w:t>
      </w:r>
      <w:proofErr w:type="spellStart"/>
      <w:r>
        <w:rPr>
          <w:rFonts w:asciiTheme="minorHAnsi" w:eastAsia="MS Mincho" w:hAnsiTheme="minorHAnsi"/>
        </w:rPr>
        <w:t>Ventana</w:t>
      </w:r>
      <w:proofErr w:type="spellEnd"/>
      <w:r>
        <w:rPr>
          <w:rFonts w:asciiTheme="minorHAnsi" w:eastAsia="MS Mincho" w:hAnsiTheme="minorHAnsi"/>
        </w:rPr>
        <w:t xml:space="preserve"> IHC), noting the current requirement for access in Australia is a FISH test following initial detection by </w:t>
      </w:r>
      <w:r w:rsidRPr="00B27AAC">
        <w:rPr>
          <w:rFonts w:asciiTheme="minorHAnsi" w:eastAsia="MS Mincho" w:hAnsiTheme="minorHAnsi"/>
        </w:rPr>
        <w:t xml:space="preserve">immunohistochemistry </w:t>
      </w:r>
      <w:r>
        <w:rPr>
          <w:rFonts w:asciiTheme="minorHAnsi" w:eastAsia="MS Mincho" w:hAnsiTheme="minorHAnsi"/>
        </w:rPr>
        <w:t>(IHC).</w:t>
      </w:r>
    </w:p>
    <w:p w14:paraId="6811E3F1" w14:textId="77777777" w:rsidR="007120D3" w:rsidRPr="00583BAB" w:rsidRDefault="00151586" w:rsidP="00973CA3">
      <w:pPr>
        <w:pStyle w:val="Heading5"/>
      </w:pPr>
      <w:r>
        <w:t xml:space="preserve">First generation ALK inhibitor </w:t>
      </w:r>
      <w:proofErr w:type="spellStart"/>
      <w:r w:rsidR="007120D3">
        <w:t>Crizotinib</w:t>
      </w:r>
      <w:proofErr w:type="spellEnd"/>
    </w:p>
    <w:p w14:paraId="6F0045C8" w14:textId="77777777" w:rsidR="00407466" w:rsidRDefault="007120D3" w:rsidP="00973CA3">
      <w:r w:rsidRPr="00B62956">
        <w:t xml:space="preserve">ALK gene rearrangements </w:t>
      </w:r>
      <w:r>
        <w:t xml:space="preserve">were identified as an </w:t>
      </w:r>
      <w:r w:rsidRPr="00B62956">
        <w:t xml:space="preserve">oncogenic driver </w:t>
      </w:r>
      <w:r>
        <w:t xml:space="preserve">in this subset of NSCLC and this potential target has been confirmed by the improvement in response rates and progression free survival with </w:t>
      </w:r>
      <w:proofErr w:type="spellStart"/>
      <w:r>
        <w:t>crizotinib</w:t>
      </w:r>
      <w:proofErr w:type="spellEnd"/>
      <w:r>
        <w:t>.</w:t>
      </w:r>
      <w:r w:rsidRPr="00B62956">
        <w:t xml:space="preserve"> </w:t>
      </w:r>
      <w:r>
        <w:t>This</w:t>
      </w:r>
      <w:r w:rsidRPr="00B62956">
        <w:t xml:space="preserve"> non-specific small molecule ALK</w:t>
      </w:r>
      <w:r>
        <w:t xml:space="preserve">, </w:t>
      </w:r>
      <w:proofErr w:type="spellStart"/>
      <w:r>
        <w:t>cMET</w:t>
      </w:r>
      <w:proofErr w:type="spellEnd"/>
      <w:r>
        <w:t xml:space="preserve"> and </w:t>
      </w:r>
      <w:r w:rsidR="00D745F5" w:rsidRPr="00D745F5">
        <w:t>c-</w:t>
      </w:r>
      <w:proofErr w:type="spellStart"/>
      <w:r w:rsidR="00D745F5" w:rsidRPr="00D745F5">
        <w:t>ros</w:t>
      </w:r>
      <w:proofErr w:type="spellEnd"/>
      <w:r w:rsidR="00D745F5" w:rsidRPr="00D745F5">
        <w:t xml:space="preserve"> oncogene 1</w:t>
      </w:r>
      <w:r w:rsidR="00D745F5">
        <w:t xml:space="preserve"> (</w:t>
      </w:r>
      <w:r>
        <w:t>ROS-1</w:t>
      </w:r>
      <w:r w:rsidR="00D745F5">
        <w:t>)</w:t>
      </w:r>
      <w:r w:rsidRPr="00B62956">
        <w:t xml:space="preserve"> inhibitor is the only targeted agent currently approved for </w:t>
      </w:r>
      <w:r w:rsidR="00902524">
        <w:t>first-</w:t>
      </w:r>
      <w:r w:rsidR="00902524">
        <w:lastRenderedPageBreak/>
        <w:t>line</w:t>
      </w:r>
      <w:r w:rsidR="00902524" w:rsidRPr="00B62956">
        <w:t xml:space="preserve"> </w:t>
      </w:r>
      <w:r w:rsidRPr="00B62956">
        <w:t xml:space="preserve">treatment of locally advanced or metastatic ALK-positive NSCLC. </w:t>
      </w:r>
      <w:r>
        <w:t xml:space="preserve">Phase III trials in patients who had received one prior line of chemotherapy demonstrated a </w:t>
      </w:r>
      <w:r w:rsidRPr="006E51FC">
        <w:rPr>
          <w:rFonts w:asciiTheme="minorHAnsi" w:hAnsiTheme="minorHAnsi"/>
        </w:rPr>
        <w:t xml:space="preserve">response rate of 65% (95% CI: 58, 72) for </w:t>
      </w:r>
      <w:proofErr w:type="spellStart"/>
      <w:r w:rsidRPr="006E51FC">
        <w:rPr>
          <w:rFonts w:asciiTheme="minorHAnsi" w:hAnsiTheme="minorHAnsi"/>
        </w:rPr>
        <w:t>crizotinib</w:t>
      </w:r>
      <w:proofErr w:type="spellEnd"/>
      <w:r w:rsidRPr="006E51FC">
        <w:rPr>
          <w:rFonts w:asciiTheme="minorHAnsi" w:hAnsiTheme="minorHAnsi"/>
        </w:rPr>
        <w:t xml:space="preserve"> compared with </w:t>
      </w:r>
      <w:r>
        <w:rPr>
          <w:rFonts w:asciiTheme="minorHAnsi" w:hAnsiTheme="minorHAnsi"/>
        </w:rPr>
        <w:t>20% (95% CI: 14,</w:t>
      </w:r>
      <w:r w:rsidRPr="006E51FC">
        <w:rPr>
          <w:rFonts w:asciiTheme="minorHAnsi" w:hAnsiTheme="minorHAnsi"/>
        </w:rPr>
        <w:t xml:space="preserve"> 26) with chemotherapy (P&lt;0.001).</w:t>
      </w:r>
      <w:r>
        <w:rPr>
          <w:rFonts w:ascii="OTNEJMQuadraat" w:hAnsi="OTNEJMQuadraat"/>
        </w:rPr>
        <w:t xml:space="preserve"> </w:t>
      </w:r>
      <w:r w:rsidRPr="005F17D5">
        <w:rPr>
          <w:rFonts w:asciiTheme="minorHAnsi" w:hAnsiTheme="minorHAnsi"/>
        </w:rPr>
        <w:t>The median</w:t>
      </w:r>
      <w:r>
        <w:rPr>
          <w:rFonts w:ascii="OTNEJMQuadraat" w:hAnsi="OTNEJMQuadraat"/>
        </w:rPr>
        <w:t xml:space="preserve"> </w:t>
      </w:r>
      <w:r w:rsidR="00F15BDC">
        <w:rPr>
          <w:rFonts w:ascii="OTNEJMQuadraat" w:hAnsi="OTNEJMQuadraat"/>
        </w:rPr>
        <w:t>progression free survival (</w:t>
      </w:r>
      <w:r w:rsidRPr="00B62956">
        <w:t>PFS</w:t>
      </w:r>
      <w:r w:rsidR="00F15BDC">
        <w:t>)</w:t>
      </w:r>
      <w:r w:rsidRPr="00B62956">
        <w:t xml:space="preserve"> </w:t>
      </w:r>
      <w:r>
        <w:t>was 7.7 months compared with</w:t>
      </w:r>
      <w:r w:rsidRPr="00B62956">
        <w:t xml:space="preserve"> 3.0 months in patients who received single-agent chemotherapy (Hazard ratio</w:t>
      </w:r>
      <w:r>
        <w:t xml:space="preserve"> </w:t>
      </w:r>
      <w:r w:rsidRPr="00B62956">
        <w:t xml:space="preserve">0.49; 95% </w:t>
      </w:r>
      <w:r>
        <w:t>confidence interval (</w:t>
      </w:r>
      <w:r w:rsidRPr="00B62956">
        <w:t>CI</w:t>
      </w:r>
      <w:r>
        <w:t xml:space="preserve">): 0.37, </w:t>
      </w:r>
      <w:r w:rsidRPr="00B62956">
        <w:t>0.64; p&lt;0.001)</w:t>
      </w:r>
      <w:r>
        <w:t xml:space="preserve">. Improvement in OS was not demonstrated and crossover to </w:t>
      </w:r>
      <w:proofErr w:type="spellStart"/>
      <w:r>
        <w:t>crizotinib</w:t>
      </w:r>
      <w:proofErr w:type="spellEnd"/>
      <w:r>
        <w:t xml:space="preserve"> on progression in the chemotherapy arm is likely to account for this.</w:t>
      </w:r>
      <w:r w:rsidR="004232F7">
        <w:t xml:space="preserve"> </w:t>
      </w:r>
      <w:r w:rsidRPr="006E51FC">
        <w:rPr>
          <w:rFonts w:asciiTheme="minorHAnsi" w:hAnsiTheme="minorHAnsi"/>
        </w:rPr>
        <w:t>This</w:t>
      </w:r>
      <w:r>
        <w:rPr>
          <w:rFonts w:asciiTheme="minorHAnsi" w:hAnsiTheme="minorHAnsi"/>
        </w:rPr>
        <w:t xml:space="preserve"> study also includes one of the first reports of chemotherapy response rates in </w:t>
      </w:r>
      <w:r w:rsidR="00F15BDC">
        <w:rPr>
          <w:rFonts w:asciiTheme="minorHAnsi" w:hAnsiTheme="minorHAnsi"/>
        </w:rPr>
        <w:t>ALK-positive</w:t>
      </w:r>
      <w:r>
        <w:rPr>
          <w:rFonts w:asciiTheme="minorHAnsi" w:hAnsiTheme="minorHAnsi"/>
        </w:rPr>
        <w:t xml:space="preserve"> NSCLC (compared with NSCLC not otherwise specified). This trial followed</w:t>
      </w:r>
      <w:r w:rsidRPr="006E51FC">
        <w:rPr>
          <w:rFonts w:asciiTheme="minorHAnsi" w:hAnsiTheme="minorHAnsi"/>
        </w:rPr>
        <w:t xml:space="preserve"> single-arm trials of </w:t>
      </w:r>
      <w:proofErr w:type="spellStart"/>
      <w:r w:rsidRPr="006E51FC">
        <w:rPr>
          <w:rFonts w:asciiTheme="minorHAnsi" w:hAnsiTheme="minorHAnsi"/>
        </w:rPr>
        <w:t>crizotinib</w:t>
      </w:r>
      <w:proofErr w:type="spellEnd"/>
      <w:r w:rsidRPr="006E51FC">
        <w:rPr>
          <w:rFonts w:asciiTheme="minorHAnsi" w:hAnsiTheme="minorHAnsi"/>
        </w:rPr>
        <w:t xml:space="preserve"> in patients with ALK-positive NSCLC </w:t>
      </w:r>
      <w:r>
        <w:rPr>
          <w:rFonts w:asciiTheme="minorHAnsi" w:hAnsiTheme="minorHAnsi"/>
        </w:rPr>
        <w:t>where</w:t>
      </w:r>
      <w:r w:rsidRPr="006E51FC">
        <w:rPr>
          <w:rFonts w:asciiTheme="minorHAnsi" w:hAnsiTheme="minorHAnsi"/>
        </w:rPr>
        <w:t xml:space="preserve"> response rates of 50 to 61</w:t>
      </w:r>
      <w:r w:rsidRPr="00B62956">
        <w:t xml:space="preserve">% and duration of response of 6 to 10 months </w:t>
      </w:r>
      <w:r>
        <w:t>were reported.</w:t>
      </w:r>
      <w:r w:rsidR="00D745F5">
        <w:rPr>
          <w:rStyle w:val="FootnoteReference"/>
        </w:rPr>
        <w:footnoteReference w:id="6"/>
      </w:r>
      <w:r>
        <w:t xml:space="preserve"> In a Phase III open label trial in the first line setting, </w:t>
      </w:r>
      <w:proofErr w:type="spellStart"/>
      <w:r>
        <w:t>crizotinib</w:t>
      </w:r>
      <w:proofErr w:type="spellEnd"/>
      <w:r>
        <w:t xml:space="preserve"> resulted in a significantly increased median PFS compared with </w:t>
      </w:r>
      <w:proofErr w:type="spellStart"/>
      <w:r>
        <w:t>pemetrexed</w:t>
      </w:r>
      <w:proofErr w:type="spellEnd"/>
      <w:r>
        <w:t xml:space="preserve"> and platinum doublet chemotherapy of 10.9 months</w:t>
      </w:r>
      <w:r w:rsidR="00DB55D9">
        <w:t xml:space="preserve"> versus </w:t>
      </w:r>
      <w:r>
        <w:t xml:space="preserve">7.0 months, HR 0.45; 95% CI:0.35, 0.6, p&lt;0.001). Quality of life and symptom control were also reported to be improved with </w:t>
      </w:r>
      <w:proofErr w:type="spellStart"/>
      <w:r>
        <w:t>crizotinib</w:t>
      </w:r>
      <w:proofErr w:type="spellEnd"/>
      <w:r>
        <w:t>.</w:t>
      </w:r>
      <w:bookmarkStart w:id="51" w:name="_Ref505775053"/>
      <w:r w:rsidR="00F15BDC">
        <w:rPr>
          <w:rStyle w:val="FootnoteReference"/>
        </w:rPr>
        <w:footnoteReference w:id="7"/>
      </w:r>
      <w:bookmarkEnd w:id="51"/>
      <w:r>
        <w:t xml:space="preserve"> This confirmed the standard of care to be </w:t>
      </w:r>
      <w:proofErr w:type="spellStart"/>
      <w:r>
        <w:t>crizotinib</w:t>
      </w:r>
      <w:proofErr w:type="spellEnd"/>
      <w:r>
        <w:t xml:space="preserve"> in patients newly diagnosed with locally advanced or metastatic </w:t>
      </w:r>
      <w:r w:rsidR="00F15BDC">
        <w:t>ALK-positive</w:t>
      </w:r>
      <w:r>
        <w:t xml:space="preserve"> NSCLC</w:t>
      </w:r>
      <w:r w:rsidR="00407466">
        <w:t>.</w:t>
      </w:r>
    </w:p>
    <w:p w14:paraId="0914D9C9" w14:textId="28FC3815" w:rsidR="007120D3" w:rsidRDefault="007120D3" w:rsidP="00973CA3">
      <w:proofErr w:type="spellStart"/>
      <w:r w:rsidRPr="005E5754">
        <w:rPr>
          <w:rFonts w:asciiTheme="minorHAnsi" w:eastAsia="MS Mincho" w:hAnsiTheme="minorHAnsi"/>
        </w:rPr>
        <w:t>Crizotinib</w:t>
      </w:r>
      <w:proofErr w:type="spellEnd"/>
      <w:r w:rsidRPr="005E5754">
        <w:rPr>
          <w:rFonts w:asciiTheme="minorHAnsi" w:eastAsia="MS Mincho" w:hAnsiTheme="minorHAnsi"/>
        </w:rPr>
        <w:t xml:space="preserve"> is currently the only </w:t>
      </w:r>
      <w:r>
        <w:rPr>
          <w:rFonts w:asciiTheme="minorHAnsi" w:eastAsia="MS Mincho" w:hAnsiTheme="minorHAnsi"/>
        </w:rPr>
        <w:t>TGA</w:t>
      </w:r>
      <w:r w:rsidR="00F15BDC">
        <w:rPr>
          <w:rFonts w:asciiTheme="minorHAnsi" w:eastAsia="MS Mincho" w:hAnsiTheme="minorHAnsi"/>
        </w:rPr>
        <w:t xml:space="preserve"> </w:t>
      </w:r>
      <w:r w:rsidRPr="005E5754">
        <w:rPr>
          <w:rFonts w:asciiTheme="minorHAnsi" w:eastAsia="MS Mincho" w:hAnsiTheme="minorHAnsi"/>
        </w:rPr>
        <w:t>approved targeted therapy for ALK-positive NSCLC for use in previously untreated patients</w:t>
      </w:r>
      <w:r>
        <w:rPr>
          <w:rFonts w:asciiTheme="minorHAnsi" w:eastAsia="MS Mincho" w:hAnsiTheme="minorHAnsi"/>
        </w:rPr>
        <w:t>:</w:t>
      </w:r>
    </w:p>
    <w:p w14:paraId="2F4B33E6" w14:textId="77777777" w:rsidR="00407466" w:rsidRDefault="007120D3" w:rsidP="00973CA3">
      <w:proofErr w:type="spellStart"/>
      <w:r>
        <w:t>C</w:t>
      </w:r>
      <w:r w:rsidRPr="00B62956">
        <w:t>rizotinib</w:t>
      </w:r>
      <w:proofErr w:type="spellEnd"/>
      <w:r w:rsidRPr="00B62956">
        <w:t xml:space="preserve"> (</w:t>
      </w:r>
      <w:proofErr w:type="spellStart"/>
      <w:r w:rsidRPr="00B62956">
        <w:t>Xalkori</w:t>
      </w:r>
      <w:proofErr w:type="spellEnd"/>
      <w:r w:rsidRPr="00B62956">
        <w:t xml:space="preserve">) </w:t>
      </w:r>
      <w:r>
        <w:t>is registered by the TGA for the treatment of patients with ALK-positive advanced non-small cell lung cancer</w:t>
      </w:r>
      <w:r w:rsidR="00407466">
        <w:t>.</w:t>
      </w:r>
    </w:p>
    <w:p w14:paraId="44504392" w14:textId="788206C9" w:rsidR="007120D3" w:rsidRPr="00855B8C" w:rsidRDefault="007120D3" w:rsidP="00973CA3">
      <w:pPr>
        <w:pStyle w:val="Heading6"/>
      </w:pPr>
      <w:r w:rsidRPr="00855B8C">
        <w:t>Acquired resistance and brain metastases</w:t>
      </w:r>
    </w:p>
    <w:p w14:paraId="563D2090" w14:textId="5F5EE5A6" w:rsidR="007120D3" w:rsidRDefault="007120D3" w:rsidP="00973CA3">
      <w:pPr>
        <w:rPr>
          <w:rFonts w:asciiTheme="minorHAnsi" w:hAnsiTheme="minorHAnsi"/>
        </w:rPr>
      </w:pPr>
      <w:r>
        <w:t xml:space="preserve">Acquired </w:t>
      </w:r>
      <w:r w:rsidRPr="00B90EE2">
        <w:rPr>
          <w:rFonts w:asciiTheme="minorHAnsi" w:hAnsiTheme="minorHAnsi"/>
        </w:rPr>
        <w:t xml:space="preserve">drug resistance to </w:t>
      </w:r>
      <w:proofErr w:type="spellStart"/>
      <w:r w:rsidRPr="00B90EE2">
        <w:rPr>
          <w:rFonts w:asciiTheme="minorHAnsi" w:hAnsiTheme="minorHAnsi"/>
        </w:rPr>
        <w:t>crizotinib</w:t>
      </w:r>
      <w:proofErr w:type="spellEnd"/>
      <w:r w:rsidRPr="00B90EE2">
        <w:rPr>
          <w:rFonts w:asciiTheme="minorHAnsi" w:hAnsiTheme="minorHAnsi"/>
        </w:rPr>
        <w:t xml:space="preserve"> remains a problem and may result from the </w:t>
      </w:r>
      <w:r w:rsidRPr="00A01A41">
        <w:rPr>
          <w:rFonts w:asciiTheme="minorHAnsi" w:hAnsiTheme="minorHAnsi"/>
        </w:rPr>
        <w:t>development of resistant ALK mutations, ALK amplification and/or activation of alternate aberrant signalling pathways.</w:t>
      </w:r>
      <w:r w:rsidR="00BA583C">
        <w:rPr>
          <w:rStyle w:val="FootnoteReference"/>
          <w:rFonts w:asciiTheme="minorHAnsi" w:hAnsiTheme="minorHAnsi"/>
        </w:rPr>
        <w:footnoteReference w:id="8"/>
      </w:r>
      <w:r w:rsidRPr="00A01A41">
        <w:rPr>
          <w:rFonts w:asciiTheme="minorHAnsi" w:hAnsiTheme="minorHAnsi"/>
        </w:rPr>
        <w:t xml:space="preserve"> </w:t>
      </w:r>
      <w:proofErr w:type="spellStart"/>
      <w:r>
        <w:rPr>
          <w:rFonts w:asciiTheme="minorHAnsi" w:hAnsiTheme="minorHAnsi"/>
        </w:rPr>
        <w:t>Crizotinib</w:t>
      </w:r>
      <w:proofErr w:type="spellEnd"/>
      <w:r>
        <w:rPr>
          <w:rFonts w:asciiTheme="minorHAnsi" w:hAnsiTheme="minorHAnsi"/>
        </w:rPr>
        <w:t xml:space="preserve"> does not cross the blood-brain barrier efficiently, resulting in low levels in the cerebrospinal fluid and limited CNS activity</w:t>
      </w:r>
      <w:r w:rsidR="00F15BDC" w:rsidRPr="00F15BDC">
        <w:rPr>
          <w:rFonts w:asciiTheme="minorHAnsi" w:hAnsiTheme="minorHAnsi"/>
          <w:vertAlign w:val="superscript"/>
        </w:rPr>
        <w:fldChar w:fldCharType="begin"/>
      </w:r>
      <w:r w:rsidR="00F15BDC" w:rsidRPr="00F15BDC">
        <w:rPr>
          <w:rFonts w:asciiTheme="minorHAnsi" w:hAnsiTheme="minorHAnsi"/>
          <w:vertAlign w:val="superscript"/>
        </w:rPr>
        <w:instrText xml:space="preserve"> NOTEREF _Ref505771583 \h </w:instrText>
      </w:r>
      <w:r w:rsidR="00F15BDC">
        <w:rPr>
          <w:rFonts w:asciiTheme="minorHAnsi" w:hAnsiTheme="minorHAnsi"/>
          <w:vertAlign w:val="superscript"/>
        </w:rPr>
        <w:instrText xml:space="preserve"> \* MERGEFORMAT </w:instrText>
      </w:r>
      <w:r w:rsidR="00F15BDC" w:rsidRPr="00F15BDC">
        <w:rPr>
          <w:rFonts w:asciiTheme="minorHAnsi" w:hAnsiTheme="minorHAnsi"/>
          <w:vertAlign w:val="superscript"/>
        </w:rPr>
      </w:r>
      <w:r w:rsidR="00F15BDC" w:rsidRPr="00F15BDC">
        <w:rPr>
          <w:rFonts w:asciiTheme="minorHAnsi" w:hAnsiTheme="minorHAnsi"/>
          <w:vertAlign w:val="superscript"/>
        </w:rPr>
        <w:fldChar w:fldCharType="separate"/>
      </w:r>
      <w:r w:rsidR="001D190B">
        <w:rPr>
          <w:rFonts w:asciiTheme="minorHAnsi" w:hAnsiTheme="minorHAnsi"/>
          <w:vertAlign w:val="superscript"/>
        </w:rPr>
        <w:t>5</w:t>
      </w:r>
      <w:r w:rsidR="00F15BDC" w:rsidRPr="00F15BDC">
        <w:rPr>
          <w:rFonts w:asciiTheme="minorHAnsi" w:hAnsiTheme="minorHAnsi"/>
          <w:vertAlign w:val="superscript"/>
        </w:rPr>
        <w:fldChar w:fldCharType="end"/>
      </w:r>
      <w:r>
        <w:rPr>
          <w:rFonts w:asciiTheme="minorHAnsi" w:hAnsiTheme="minorHAnsi"/>
        </w:rPr>
        <w:t xml:space="preserve"> but the results presented in this application do indicate an overall CNS response rate in the </w:t>
      </w:r>
      <w:proofErr w:type="spellStart"/>
      <w:r>
        <w:rPr>
          <w:rFonts w:asciiTheme="minorHAnsi" w:hAnsiTheme="minorHAnsi"/>
        </w:rPr>
        <w:t>crizotinib</w:t>
      </w:r>
      <w:proofErr w:type="spellEnd"/>
      <w:r>
        <w:rPr>
          <w:rFonts w:asciiTheme="minorHAnsi" w:hAnsiTheme="minorHAnsi"/>
        </w:rPr>
        <w:t xml:space="preserve"> arm. Brain metastases are common in NSCLC and often the first site of progression on </w:t>
      </w:r>
      <w:proofErr w:type="spellStart"/>
      <w:r>
        <w:rPr>
          <w:rFonts w:asciiTheme="minorHAnsi" w:hAnsiTheme="minorHAnsi"/>
        </w:rPr>
        <w:t>crizotinib</w:t>
      </w:r>
      <w:proofErr w:type="spellEnd"/>
      <w:r>
        <w:t>.</w:t>
      </w:r>
      <w:r>
        <w:rPr>
          <w:rFonts w:asciiTheme="minorHAnsi" w:hAnsiTheme="minorHAnsi"/>
        </w:rPr>
        <w:t xml:space="preserve"> Therefore, effective management of brain metastases remains an issue in this disease.</w:t>
      </w:r>
    </w:p>
    <w:p w14:paraId="02171D11" w14:textId="77777777" w:rsidR="007120D3" w:rsidRPr="00D603A6" w:rsidRDefault="007120D3" w:rsidP="00973CA3">
      <w:pPr>
        <w:rPr>
          <w:rFonts w:asciiTheme="minorHAnsi" w:hAnsiTheme="minorHAnsi"/>
        </w:rPr>
      </w:pPr>
      <w:r w:rsidRPr="00A01A41">
        <w:rPr>
          <w:rFonts w:asciiTheme="minorHAnsi" w:hAnsiTheme="minorHAnsi"/>
        </w:rPr>
        <w:t>Furthermore, not all patients respond to</w:t>
      </w:r>
      <w:r>
        <w:rPr>
          <w:rFonts w:asciiTheme="minorHAnsi" w:hAnsiTheme="minorHAnsi"/>
        </w:rPr>
        <w:t>,</w:t>
      </w:r>
      <w:r w:rsidRPr="00A01A41">
        <w:rPr>
          <w:rFonts w:asciiTheme="minorHAnsi" w:hAnsiTheme="minorHAnsi"/>
        </w:rPr>
        <w:t xml:space="preserve"> or tolerate </w:t>
      </w:r>
      <w:proofErr w:type="spellStart"/>
      <w:r w:rsidRPr="00A01A41">
        <w:rPr>
          <w:rFonts w:asciiTheme="minorHAnsi" w:hAnsiTheme="minorHAnsi"/>
        </w:rPr>
        <w:t>crizotinib</w:t>
      </w:r>
      <w:proofErr w:type="spellEnd"/>
      <w:r w:rsidRPr="00A01A41">
        <w:rPr>
          <w:rFonts w:asciiTheme="minorHAnsi" w:hAnsiTheme="minorHAnsi"/>
        </w:rPr>
        <w:t xml:space="preserve"> treatment.</w:t>
      </w:r>
      <w:r>
        <w:rPr>
          <w:rFonts w:asciiTheme="minorHAnsi" w:hAnsiTheme="minorHAnsi"/>
        </w:rPr>
        <w:t xml:space="preserve"> </w:t>
      </w:r>
      <w:proofErr w:type="spellStart"/>
      <w:r>
        <w:rPr>
          <w:rFonts w:asciiTheme="minorHAnsi" w:hAnsiTheme="minorHAnsi"/>
        </w:rPr>
        <w:t>Crizotinib</w:t>
      </w:r>
      <w:proofErr w:type="spellEnd"/>
      <w:r>
        <w:rPr>
          <w:rFonts w:asciiTheme="minorHAnsi" w:hAnsiTheme="minorHAnsi"/>
        </w:rPr>
        <w:t xml:space="preserve"> has the following significant toxicities: </w:t>
      </w:r>
      <w:r w:rsidRPr="00A01A41">
        <w:rPr>
          <w:rFonts w:asciiTheme="minorHAnsi" w:hAnsiTheme="minorHAnsi"/>
        </w:rPr>
        <w:t>hepatotoxicity (including fatal cases), pneumonitis (including fatal cases), QT prolongation</w:t>
      </w:r>
      <w:r w:rsidR="00625DE7">
        <w:rPr>
          <w:rStyle w:val="FootnoteReference"/>
          <w:rFonts w:asciiTheme="minorHAnsi" w:hAnsiTheme="minorHAnsi"/>
        </w:rPr>
        <w:footnoteReference w:id="9"/>
      </w:r>
      <w:r w:rsidRPr="00A01A41">
        <w:rPr>
          <w:rFonts w:asciiTheme="minorHAnsi" w:hAnsiTheme="minorHAnsi"/>
        </w:rPr>
        <w:t>, bradycardia (usually asymptomatic) and vision disorders</w:t>
      </w:r>
      <w:r>
        <w:rPr>
          <w:rFonts w:asciiTheme="minorHAnsi" w:hAnsiTheme="minorHAnsi"/>
        </w:rPr>
        <w:t>. A more recent signal of renal toxicity has been detected.</w:t>
      </w:r>
    </w:p>
    <w:p w14:paraId="4BC2C61B" w14:textId="77777777" w:rsidR="007120D3" w:rsidRPr="00583BAB" w:rsidRDefault="007120D3" w:rsidP="00973CA3">
      <w:pPr>
        <w:pStyle w:val="Heading5"/>
      </w:pPr>
      <w:r w:rsidRPr="00583BAB">
        <w:lastRenderedPageBreak/>
        <w:t>Second-generation ALK inhibitors</w:t>
      </w:r>
    </w:p>
    <w:p w14:paraId="31895475" w14:textId="77777777" w:rsidR="00407466" w:rsidRDefault="007120D3" w:rsidP="00973CA3">
      <w:r>
        <w:t>Second</w:t>
      </w:r>
      <w:r w:rsidR="004232F7">
        <w:t xml:space="preserve"> </w:t>
      </w:r>
      <w:r>
        <w:t xml:space="preserve">generation ALK inhibitors registered by the TGA include </w:t>
      </w:r>
      <w:proofErr w:type="spellStart"/>
      <w:r>
        <w:t>ceritinib</w:t>
      </w:r>
      <w:proofErr w:type="spellEnd"/>
      <w:r>
        <w:t xml:space="preserve"> and </w:t>
      </w:r>
      <w:proofErr w:type="spellStart"/>
      <w:r>
        <w:t>alectinib</w:t>
      </w:r>
      <w:proofErr w:type="spellEnd"/>
      <w:r w:rsidR="00F15BDC">
        <w:t xml:space="preserve"> and these</w:t>
      </w:r>
      <w:r>
        <w:t xml:space="preserve"> are discussed </w:t>
      </w:r>
      <w:r w:rsidR="00625DE7">
        <w:t xml:space="preserve">further </w:t>
      </w:r>
      <w:r>
        <w:t xml:space="preserve">below. Both were given approval on single arm Phase II studies on the basis of response rates in those previously treated with </w:t>
      </w:r>
      <w:proofErr w:type="spellStart"/>
      <w:r>
        <w:t>crizotinib</w:t>
      </w:r>
      <w:proofErr w:type="spellEnd"/>
      <w:r>
        <w:t xml:space="preserve"> (either with disease progression or intolerance) and the notes to the indication identify the preliminary nature of the data supporting the findings in these submissions in this uncommon cancer</w:t>
      </w:r>
      <w:r w:rsidR="00407466">
        <w:t>.</w:t>
      </w:r>
    </w:p>
    <w:p w14:paraId="722669B6" w14:textId="7312C12A" w:rsidR="007120D3" w:rsidRPr="002B5F82" w:rsidRDefault="007120D3" w:rsidP="00973CA3">
      <w:pPr>
        <w:pStyle w:val="Heading6"/>
        <w:rPr>
          <w:rFonts w:eastAsia="MS Mincho"/>
        </w:rPr>
      </w:pPr>
      <w:proofErr w:type="spellStart"/>
      <w:r w:rsidRPr="002B5F82">
        <w:rPr>
          <w:rFonts w:eastAsia="MS Mincho"/>
        </w:rPr>
        <w:t>Alectinib</w:t>
      </w:r>
      <w:proofErr w:type="spellEnd"/>
    </w:p>
    <w:p w14:paraId="32AE0BE9" w14:textId="77777777" w:rsidR="00407466" w:rsidRDefault="007120D3" w:rsidP="00973CA3">
      <w:proofErr w:type="spellStart"/>
      <w:r w:rsidRPr="00901CCB">
        <w:t>Alectinib</w:t>
      </w:r>
      <w:proofErr w:type="spellEnd"/>
      <w:r w:rsidRPr="00901CCB">
        <w:t xml:space="preserve"> is currently approved in Australia for the following indication:</w:t>
      </w:r>
    </w:p>
    <w:p w14:paraId="67703EB7" w14:textId="29C982DC" w:rsidR="00407466" w:rsidRDefault="007120D3" w:rsidP="00973CA3">
      <w:pPr>
        <w:ind w:left="720"/>
        <w:rPr>
          <w:i/>
        </w:rPr>
      </w:pPr>
      <w:proofErr w:type="spellStart"/>
      <w:r w:rsidRPr="00973CA3">
        <w:rPr>
          <w:i/>
        </w:rPr>
        <w:t>Alecensa</w:t>
      </w:r>
      <w:proofErr w:type="spellEnd"/>
      <w:r w:rsidRPr="00973CA3">
        <w:rPr>
          <w:i/>
        </w:rPr>
        <w:t xml:space="preserve"> is indicated for the treatment of patients with anaplastic lymphoma kinase (ALK)-positive, locally advanced or metastatic non-small cell lung </w:t>
      </w:r>
      <w:proofErr w:type="gramStart"/>
      <w:r w:rsidRPr="00973CA3">
        <w:rPr>
          <w:i/>
        </w:rPr>
        <w:t>cancer (NSCLC) who have</w:t>
      </w:r>
      <w:proofErr w:type="gramEnd"/>
      <w:r w:rsidRPr="00973CA3">
        <w:rPr>
          <w:i/>
        </w:rPr>
        <w:t xml:space="preserve"> progressed on or are intolerant to </w:t>
      </w:r>
      <w:proofErr w:type="spellStart"/>
      <w:r w:rsidRPr="00973CA3">
        <w:rPr>
          <w:i/>
        </w:rPr>
        <w:t>crizotinib</w:t>
      </w:r>
      <w:proofErr w:type="spellEnd"/>
      <w:r w:rsidR="00407466">
        <w:rPr>
          <w:i/>
        </w:rPr>
        <w:t>.</w:t>
      </w:r>
    </w:p>
    <w:p w14:paraId="2B7E86EA" w14:textId="7C79CB11" w:rsidR="007120D3" w:rsidRDefault="007120D3" w:rsidP="00973CA3">
      <w:pPr>
        <w:ind w:left="720"/>
      </w:pPr>
      <w:r w:rsidRPr="00973CA3">
        <w:rPr>
          <w:i/>
        </w:rPr>
        <w:t>Note to Indication: This indication is approved based on tumour response rates and duration of response. An improvement in survival or disease-related sym</w:t>
      </w:r>
      <w:r w:rsidR="00973CA3" w:rsidRPr="00973CA3">
        <w:rPr>
          <w:i/>
        </w:rPr>
        <w:t>ptoms has not been established</w:t>
      </w:r>
      <w:r w:rsidR="00973CA3">
        <w:t>.</w:t>
      </w:r>
    </w:p>
    <w:p w14:paraId="4A897183" w14:textId="77777777" w:rsidR="00407466" w:rsidRDefault="007120D3" w:rsidP="001F7691">
      <w:pPr>
        <w:rPr>
          <w:lang w:val="en-US"/>
        </w:rPr>
      </w:pPr>
      <w:proofErr w:type="spellStart"/>
      <w:r w:rsidRPr="00F045FB">
        <w:rPr>
          <w:lang w:val="en-US"/>
        </w:rPr>
        <w:t>Alectinib</w:t>
      </w:r>
      <w:proofErr w:type="spellEnd"/>
      <w:r w:rsidRPr="00F045FB">
        <w:rPr>
          <w:lang w:val="en-US"/>
        </w:rPr>
        <w:t xml:space="preserve"> is reported to be a selective and potent oral next generation lipophilic ALK inhibitor that is not a P-glycoprotein (P-</w:t>
      </w:r>
      <w:proofErr w:type="spellStart"/>
      <w:r w:rsidRPr="00F045FB">
        <w:rPr>
          <w:lang w:val="en-US"/>
        </w:rPr>
        <w:t>gp</w:t>
      </w:r>
      <w:proofErr w:type="spellEnd"/>
      <w:r w:rsidRPr="00F045FB">
        <w:rPr>
          <w:lang w:val="en-US"/>
        </w:rPr>
        <w:t>) substrate. Thus, it is able to penetrate the blood-brain barrier and has the potential to reach higher concentrations in the brain as compared to substrates of P-</w:t>
      </w:r>
      <w:proofErr w:type="spellStart"/>
      <w:r w:rsidRPr="00F045FB">
        <w:rPr>
          <w:lang w:val="en-US"/>
        </w:rPr>
        <w:t>gp</w:t>
      </w:r>
      <w:proofErr w:type="spellEnd"/>
      <w:r w:rsidRPr="00F045FB">
        <w:rPr>
          <w:lang w:val="en-US"/>
        </w:rPr>
        <w:t xml:space="preserve"> such as </w:t>
      </w:r>
      <w:proofErr w:type="spellStart"/>
      <w:r w:rsidRPr="00F045FB">
        <w:rPr>
          <w:lang w:val="en-US"/>
        </w:rPr>
        <w:t>crizotinib</w:t>
      </w:r>
      <w:proofErr w:type="spellEnd"/>
      <w:r w:rsidR="00407466">
        <w:rPr>
          <w:lang w:val="en-US"/>
        </w:rPr>
        <w:t>.</w:t>
      </w:r>
    </w:p>
    <w:p w14:paraId="1D2FC134" w14:textId="5822CFC4" w:rsidR="007120D3" w:rsidRPr="00710BBE" w:rsidRDefault="007120D3" w:rsidP="001F7691">
      <w:pPr>
        <w:rPr>
          <w:rFonts w:eastAsia="MS Mincho"/>
        </w:rPr>
      </w:pPr>
      <w:r w:rsidRPr="00F045FB">
        <w:rPr>
          <w:lang w:val="en-US"/>
        </w:rPr>
        <w:t xml:space="preserve">In patients with </w:t>
      </w:r>
      <w:proofErr w:type="spellStart"/>
      <w:r w:rsidRPr="00F045FB">
        <w:rPr>
          <w:lang w:val="en-US"/>
        </w:rPr>
        <w:t>crizotinib</w:t>
      </w:r>
      <w:proofErr w:type="spellEnd"/>
      <w:r w:rsidRPr="00F045FB">
        <w:rPr>
          <w:lang w:val="en-US"/>
        </w:rPr>
        <w:t xml:space="preserve">-refractory ALK-positive NSCLC treated with </w:t>
      </w:r>
      <w:proofErr w:type="spellStart"/>
      <w:r w:rsidRPr="00F045FB">
        <w:rPr>
          <w:lang w:val="en-US"/>
        </w:rPr>
        <w:t>alectinib</w:t>
      </w:r>
      <w:proofErr w:type="spellEnd"/>
      <w:r w:rsidRPr="00F045FB">
        <w:rPr>
          <w:lang w:val="en-US"/>
        </w:rPr>
        <w:t xml:space="preserve"> in a Phase II study, the CNS objective response rate </w:t>
      </w:r>
      <w:r w:rsidRPr="00F045FB">
        <w:t>in 35 patients with baseline measurable CNS lesions was 57% (95% CI, 39% to 74%).</w:t>
      </w:r>
      <w:r w:rsidR="00625DE7">
        <w:rPr>
          <w:rStyle w:val="FootnoteReference"/>
        </w:rPr>
        <w:footnoteReference w:id="10"/>
      </w:r>
      <w:r w:rsidRPr="00F045FB">
        <w:t xml:space="preserve"> </w:t>
      </w:r>
      <w:r>
        <w:t xml:space="preserve">In a pooled analysis from two Phase II studies, </w:t>
      </w:r>
      <w:proofErr w:type="spellStart"/>
      <w:r>
        <w:t>alectinib</w:t>
      </w:r>
      <w:proofErr w:type="spellEnd"/>
      <w:r>
        <w:t xml:space="preserve"> demonstrated significant disease activity in patients previously treated with </w:t>
      </w:r>
      <w:proofErr w:type="spellStart"/>
      <w:r>
        <w:t>crizotinib</w:t>
      </w:r>
      <w:proofErr w:type="spellEnd"/>
      <w:r>
        <w:t xml:space="preserve"> with brain metastases (some patients had also received prior CNS radiation).</w:t>
      </w:r>
      <w:r w:rsidR="00625DE7">
        <w:rPr>
          <w:rStyle w:val="FootnoteReference"/>
        </w:rPr>
        <w:footnoteReference w:id="11"/>
      </w:r>
    </w:p>
    <w:p w14:paraId="4C139F1D" w14:textId="77777777" w:rsidR="007120D3" w:rsidRPr="0024705D" w:rsidRDefault="007120D3" w:rsidP="001F7691">
      <w:r w:rsidRPr="00F045FB">
        <w:t xml:space="preserve">Use in patients with </w:t>
      </w:r>
      <w:r w:rsidRPr="00F045FB">
        <w:rPr>
          <w:lang w:val="en-US"/>
        </w:rPr>
        <w:t xml:space="preserve">Study AF-001JP, assessing </w:t>
      </w:r>
      <w:proofErr w:type="spellStart"/>
      <w:r w:rsidRPr="00F045FB">
        <w:rPr>
          <w:lang w:val="en-US"/>
        </w:rPr>
        <w:t>alectinib</w:t>
      </w:r>
      <w:proofErr w:type="spellEnd"/>
      <w:r w:rsidRPr="00F045FB">
        <w:rPr>
          <w:lang w:val="en-US"/>
        </w:rPr>
        <w:t xml:space="preserve"> in patients with ALK-positive NSCLC who are </w:t>
      </w:r>
      <w:proofErr w:type="spellStart"/>
      <w:r w:rsidRPr="00F045FB">
        <w:rPr>
          <w:lang w:val="en-US"/>
        </w:rPr>
        <w:t>crizotinib</w:t>
      </w:r>
      <w:proofErr w:type="spellEnd"/>
      <w:r w:rsidRPr="00F045FB">
        <w:rPr>
          <w:lang w:val="en-US"/>
        </w:rPr>
        <w:t>-naive and have disease progression after at least one line of chemotherapy, reported that the median treatment duration in the study had not been achieved as 86% of patients were still active on the study</w:t>
      </w:r>
      <w:r>
        <w:rPr>
          <w:lang w:val="en-US"/>
        </w:rPr>
        <w:t xml:space="preserve"> but the projected median duration of therapy</w:t>
      </w:r>
      <w:r w:rsidRPr="00E972F1">
        <w:rPr>
          <w:lang w:val="en-US"/>
        </w:rPr>
        <w:t xml:space="preserve"> is estimated to be at least 14 months at the final</w:t>
      </w:r>
      <w:r>
        <w:rPr>
          <w:lang w:val="en-US"/>
        </w:rPr>
        <w:t xml:space="preserve"> </w:t>
      </w:r>
      <w:r w:rsidRPr="00E972F1">
        <w:rPr>
          <w:lang w:val="en-US"/>
        </w:rPr>
        <w:t>point of data collection.</w:t>
      </w:r>
      <w:r w:rsidR="00625DE7">
        <w:rPr>
          <w:rStyle w:val="FootnoteReference"/>
          <w:lang w:val="en-US"/>
        </w:rPr>
        <w:footnoteReference w:id="12"/>
      </w:r>
    </w:p>
    <w:p w14:paraId="27CBF05B" w14:textId="77777777" w:rsidR="007120D3" w:rsidRPr="00E84FF7" w:rsidRDefault="007120D3" w:rsidP="001F7691">
      <w:pPr>
        <w:rPr>
          <w:rFonts w:eastAsiaTheme="minorHAnsi" w:cs="êPıøwÉË"/>
          <w:color w:val="000000"/>
          <w:lang w:val="en-US"/>
        </w:rPr>
      </w:pPr>
      <w:r w:rsidRPr="00E84FF7">
        <w:rPr>
          <w:rFonts w:eastAsiaTheme="minorHAnsi" w:cs="êPıøwÉË"/>
          <w:color w:val="000000"/>
          <w:lang w:val="en-US"/>
        </w:rPr>
        <w:t xml:space="preserve">The clinical development program for </w:t>
      </w:r>
      <w:proofErr w:type="spellStart"/>
      <w:r w:rsidRPr="00E84FF7">
        <w:rPr>
          <w:rFonts w:eastAsiaTheme="minorHAnsi" w:cs="êPıøwÉË"/>
          <w:color w:val="000000"/>
          <w:lang w:val="en-US"/>
        </w:rPr>
        <w:t>alectinib</w:t>
      </w:r>
      <w:proofErr w:type="spellEnd"/>
      <w:r w:rsidRPr="00E84FF7">
        <w:rPr>
          <w:rFonts w:eastAsiaTheme="minorHAnsi" w:cs="êPıøwÉË"/>
          <w:color w:val="000000"/>
          <w:lang w:val="en-US"/>
        </w:rPr>
        <w:t xml:space="preserve"> in first-line NSCLC comprises three Phase III studies: JO28928 (J-ALEX), ALEX and YO29449 (ALESIA). J-ALEX was a study conducted only in Japan and led</w:t>
      </w:r>
      <w:r w:rsidR="00A34FA7">
        <w:rPr>
          <w:rFonts w:eastAsiaTheme="minorHAnsi" w:cs="êPıøwÉË"/>
          <w:color w:val="000000"/>
          <w:lang w:val="en-US"/>
        </w:rPr>
        <w:t xml:space="preserve"> by the co-development partner </w:t>
      </w:r>
      <w:r w:rsidRPr="00E84FF7">
        <w:rPr>
          <w:rFonts w:eastAsiaTheme="minorHAnsi" w:cs="êPıøwÉË"/>
          <w:color w:val="000000"/>
          <w:lang w:val="en-US"/>
        </w:rPr>
        <w:t>with a dose of 300 mg twice daily (BID)</w:t>
      </w:r>
      <w:r w:rsidRPr="00E84FF7">
        <w:rPr>
          <w:rFonts w:eastAsiaTheme="minorHAnsi" w:cs="êPıøwÉË"/>
          <w:lang w:val="en-US"/>
        </w:rPr>
        <w:t>.</w:t>
      </w:r>
      <w:bookmarkStart w:id="52" w:name="_Ref505773964"/>
      <w:r w:rsidR="00A34FA7">
        <w:rPr>
          <w:rStyle w:val="FootnoteReference"/>
          <w:rFonts w:eastAsiaTheme="minorHAnsi" w:cs="êPıøwÉË"/>
          <w:lang w:val="en-US"/>
        </w:rPr>
        <w:footnoteReference w:id="13"/>
      </w:r>
      <w:bookmarkEnd w:id="52"/>
      <w:r w:rsidRPr="00E84FF7">
        <w:rPr>
          <w:rFonts w:eastAsiaTheme="minorHAnsi" w:cs="êPıøwÉË"/>
          <w:color w:val="000000"/>
          <w:lang w:val="en-US"/>
        </w:rPr>
        <w:t xml:space="preserve"> The ALESIA study was initiated in June 2016 and is currently ongoing to evaluate the efficacy and safety of </w:t>
      </w:r>
      <w:proofErr w:type="spellStart"/>
      <w:r w:rsidRPr="00E84FF7">
        <w:rPr>
          <w:rFonts w:eastAsiaTheme="minorHAnsi" w:cs="êPıøwÉË"/>
          <w:color w:val="000000"/>
          <w:lang w:val="en-US"/>
        </w:rPr>
        <w:t>alectinib</w:t>
      </w:r>
      <w:proofErr w:type="spellEnd"/>
      <w:r w:rsidRPr="00E84FF7">
        <w:rPr>
          <w:rFonts w:eastAsiaTheme="minorHAnsi" w:cs="êPıøwÉË"/>
          <w:color w:val="000000"/>
          <w:lang w:val="en-US"/>
        </w:rPr>
        <w:t xml:space="preserve"> 600 mg BID versus </w:t>
      </w:r>
      <w:proofErr w:type="spellStart"/>
      <w:r w:rsidRPr="00E84FF7">
        <w:rPr>
          <w:rFonts w:eastAsiaTheme="minorHAnsi" w:cs="êPıøwÉË"/>
          <w:color w:val="000000"/>
          <w:lang w:val="en-US"/>
        </w:rPr>
        <w:t>crizotinib</w:t>
      </w:r>
      <w:proofErr w:type="spellEnd"/>
      <w:r w:rsidRPr="00E84FF7">
        <w:rPr>
          <w:rFonts w:eastAsiaTheme="minorHAnsi" w:cs="êPıøwÉË"/>
          <w:color w:val="000000"/>
          <w:lang w:val="en-US"/>
        </w:rPr>
        <w:t xml:space="preserve"> 250 mg BID and to evaluate the PK of </w:t>
      </w:r>
      <w:proofErr w:type="spellStart"/>
      <w:r w:rsidRPr="00E84FF7">
        <w:rPr>
          <w:rFonts w:eastAsiaTheme="minorHAnsi" w:cs="êPıøwÉË"/>
          <w:color w:val="000000"/>
          <w:lang w:val="en-US"/>
        </w:rPr>
        <w:t>alectinib</w:t>
      </w:r>
      <w:proofErr w:type="spellEnd"/>
      <w:r w:rsidRPr="00E84FF7">
        <w:rPr>
          <w:rFonts w:eastAsiaTheme="minorHAnsi" w:cs="êPıøwÉË"/>
          <w:color w:val="000000"/>
          <w:lang w:val="en-US"/>
        </w:rPr>
        <w:t xml:space="preserve"> in Asian patients with treatment-naive ALK-positive advanced NSCLC.</w:t>
      </w:r>
    </w:p>
    <w:p w14:paraId="55D09E36" w14:textId="77777777" w:rsidR="007120D3" w:rsidRDefault="007120D3" w:rsidP="001F7691">
      <w:pPr>
        <w:rPr>
          <w:rFonts w:eastAsia="MS Mincho"/>
        </w:rPr>
      </w:pPr>
      <w:r w:rsidRPr="00D67462">
        <w:rPr>
          <w:rFonts w:eastAsia="MS Mincho"/>
        </w:rPr>
        <w:t>In a first-line head-to-head study of 207 Japanese patients with ALK-positive NSCLC randomly assig</w:t>
      </w:r>
      <w:r>
        <w:rPr>
          <w:rFonts w:eastAsia="MS Mincho"/>
        </w:rPr>
        <w:t xml:space="preserve">ned to </w:t>
      </w:r>
      <w:proofErr w:type="spellStart"/>
      <w:r>
        <w:rPr>
          <w:rFonts w:eastAsia="MS Mincho"/>
        </w:rPr>
        <w:t>crizotinib</w:t>
      </w:r>
      <w:proofErr w:type="spellEnd"/>
      <w:r>
        <w:rPr>
          <w:rFonts w:eastAsia="MS Mincho"/>
        </w:rPr>
        <w:t xml:space="preserve"> or </w:t>
      </w:r>
      <w:proofErr w:type="spellStart"/>
      <w:r>
        <w:rPr>
          <w:rFonts w:eastAsia="MS Mincho"/>
        </w:rPr>
        <w:t>alectinib</w:t>
      </w:r>
      <w:proofErr w:type="spellEnd"/>
      <w:r>
        <w:rPr>
          <w:rFonts w:eastAsia="MS Mincho"/>
        </w:rPr>
        <w:t>,</w:t>
      </w:r>
      <w:r w:rsidRPr="00D67462">
        <w:rPr>
          <w:rFonts w:eastAsia="MS Mincho"/>
        </w:rPr>
        <w:t xml:space="preserve"> a</w:t>
      </w:r>
      <w:r>
        <w:rPr>
          <w:rFonts w:eastAsia="MS Mincho"/>
        </w:rPr>
        <w:t>t a</w:t>
      </w:r>
      <w:r w:rsidRPr="00D67462">
        <w:rPr>
          <w:rFonts w:eastAsia="MS Mincho"/>
        </w:rPr>
        <w:t xml:space="preserve"> planned interim analysis, results </w:t>
      </w:r>
      <w:r w:rsidRPr="00D67462">
        <w:rPr>
          <w:rFonts w:eastAsia="MS Mincho"/>
        </w:rPr>
        <w:lastRenderedPageBreak/>
        <w:t xml:space="preserve">demonstrated improved PFS with </w:t>
      </w:r>
      <w:proofErr w:type="spellStart"/>
      <w:r w:rsidRPr="00D67462">
        <w:rPr>
          <w:rFonts w:eastAsia="MS Mincho"/>
        </w:rPr>
        <w:t>alectinib</w:t>
      </w:r>
      <w:proofErr w:type="spellEnd"/>
      <w:r w:rsidRPr="00D67462">
        <w:rPr>
          <w:rFonts w:eastAsia="MS Mincho"/>
        </w:rPr>
        <w:t xml:space="preserve"> (median PFS was not reached in the </w:t>
      </w:r>
      <w:proofErr w:type="spellStart"/>
      <w:r w:rsidRPr="00D67462">
        <w:rPr>
          <w:rFonts w:eastAsia="MS Mincho"/>
        </w:rPr>
        <w:t>alectinib</w:t>
      </w:r>
      <w:proofErr w:type="spellEnd"/>
      <w:r w:rsidRPr="00D67462">
        <w:rPr>
          <w:rFonts w:eastAsia="MS Mincho"/>
        </w:rPr>
        <w:t xml:space="preserve"> arm and was 10.2 months in the </w:t>
      </w:r>
      <w:proofErr w:type="spellStart"/>
      <w:r w:rsidRPr="00D67462">
        <w:rPr>
          <w:rFonts w:eastAsia="MS Mincho"/>
        </w:rPr>
        <w:t>crizotinib</w:t>
      </w:r>
      <w:proofErr w:type="spellEnd"/>
      <w:r w:rsidRPr="00D67462">
        <w:rPr>
          <w:rFonts w:eastAsia="MS Mincho"/>
        </w:rPr>
        <w:t xml:space="preserve"> arm (hazard ratio [HR] 0.34, 99.7% CI 0.17-0.70)).</w:t>
      </w:r>
      <w:r w:rsidR="00A34FA7" w:rsidRPr="00A34FA7">
        <w:rPr>
          <w:rFonts w:eastAsia="MS Mincho"/>
          <w:vertAlign w:val="superscript"/>
        </w:rPr>
        <w:fldChar w:fldCharType="begin"/>
      </w:r>
      <w:r w:rsidR="00A34FA7" w:rsidRPr="00A34FA7">
        <w:rPr>
          <w:rFonts w:eastAsia="MS Mincho"/>
          <w:vertAlign w:val="superscript"/>
        </w:rPr>
        <w:instrText xml:space="preserve"> NOTEREF _Ref505773964 \h </w:instrText>
      </w:r>
      <w:r w:rsidR="00A34FA7">
        <w:rPr>
          <w:rFonts w:eastAsia="MS Mincho"/>
          <w:vertAlign w:val="superscript"/>
        </w:rPr>
        <w:instrText xml:space="preserve"> \* MERGEFORMAT </w:instrText>
      </w:r>
      <w:r w:rsidR="00A34FA7" w:rsidRPr="00A34FA7">
        <w:rPr>
          <w:rFonts w:eastAsia="MS Mincho"/>
          <w:vertAlign w:val="superscript"/>
        </w:rPr>
      </w:r>
      <w:r w:rsidR="00A34FA7" w:rsidRPr="00A34FA7">
        <w:rPr>
          <w:rFonts w:eastAsia="MS Mincho"/>
          <w:vertAlign w:val="superscript"/>
        </w:rPr>
        <w:fldChar w:fldCharType="separate"/>
      </w:r>
      <w:r w:rsidR="001D190B">
        <w:rPr>
          <w:rFonts w:eastAsia="MS Mincho"/>
          <w:vertAlign w:val="superscript"/>
        </w:rPr>
        <w:t>13</w:t>
      </w:r>
      <w:r w:rsidR="00A34FA7" w:rsidRPr="00A34FA7">
        <w:rPr>
          <w:rFonts w:eastAsia="MS Mincho"/>
          <w:vertAlign w:val="superscript"/>
        </w:rPr>
        <w:fldChar w:fldCharType="end"/>
      </w:r>
      <w:r w:rsidRPr="00D67462">
        <w:rPr>
          <w:rFonts w:eastAsia="MS Mincho"/>
        </w:rPr>
        <w:t xml:space="preserve"> </w:t>
      </w:r>
      <w:r>
        <w:rPr>
          <w:rFonts w:eastAsia="MS Mincho"/>
        </w:rPr>
        <w:t xml:space="preserve">The current submission includes the </w:t>
      </w:r>
      <w:r w:rsidR="00A34FA7">
        <w:rPr>
          <w:rFonts w:eastAsia="MS Mincho"/>
        </w:rPr>
        <w:t>study report</w:t>
      </w:r>
      <w:r>
        <w:rPr>
          <w:rFonts w:eastAsia="MS Mincho"/>
        </w:rPr>
        <w:t xml:space="preserve"> for the</w:t>
      </w:r>
      <w:r w:rsidRPr="00D67462">
        <w:rPr>
          <w:rFonts w:eastAsia="MS Mincho"/>
        </w:rPr>
        <w:t xml:space="preserve"> larger</w:t>
      </w:r>
      <w:r>
        <w:rPr>
          <w:rFonts w:eastAsia="MS Mincho"/>
        </w:rPr>
        <w:t xml:space="preserve"> Phase III</w:t>
      </w:r>
      <w:r w:rsidRPr="00D67462">
        <w:rPr>
          <w:rFonts w:eastAsia="MS Mincho"/>
        </w:rPr>
        <w:t xml:space="preserve"> global study of 303 patients randomly assigned to first-line </w:t>
      </w:r>
      <w:proofErr w:type="spellStart"/>
      <w:r w:rsidR="00407466">
        <w:fldChar w:fldCharType="begin"/>
      </w:r>
      <w:r w:rsidR="00407466">
        <w:instrText xml:space="preserve"> HYPERLINK "https://www.uptodate.com/contents/alectinib-drug-information?source=see_link" </w:instrText>
      </w:r>
      <w:r w:rsidR="00407466">
        <w:fldChar w:fldCharType="separate"/>
      </w:r>
      <w:r w:rsidRPr="00A34FA7">
        <w:rPr>
          <w:rStyle w:val="Hyperlink"/>
          <w:rFonts w:asciiTheme="minorHAnsi" w:eastAsia="MS Mincho" w:hAnsiTheme="minorHAnsi"/>
          <w:i/>
          <w:color w:val="auto"/>
          <w:u w:val="none"/>
        </w:rPr>
        <w:t>alectinib</w:t>
      </w:r>
      <w:proofErr w:type="spellEnd"/>
      <w:r w:rsidR="00407466">
        <w:rPr>
          <w:rStyle w:val="Hyperlink"/>
          <w:rFonts w:asciiTheme="minorHAnsi" w:eastAsia="MS Mincho" w:hAnsiTheme="minorHAnsi"/>
          <w:i/>
          <w:color w:val="auto"/>
          <w:u w:val="none"/>
        </w:rPr>
        <w:fldChar w:fldCharType="end"/>
      </w:r>
      <w:r w:rsidRPr="00D67462">
        <w:rPr>
          <w:rFonts w:eastAsia="MS Mincho"/>
        </w:rPr>
        <w:t> </w:t>
      </w:r>
      <w:r>
        <w:rPr>
          <w:rFonts w:eastAsia="MS Mincho"/>
        </w:rPr>
        <w:t xml:space="preserve">versus </w:t>
      </w:r>
      <w:proofErr w:type="spellStart"/>
      <w:r>
        <w:rPr>
          <w:rFonts w:eastAsia="MS Mincho"/>
        </w:rPr>
        <w:t>crizotinib</w:t>
      </w:r>
      <w:proofErr w:type="spellEnd"/>
      <w:r w:rsidRPr="00F045FB">
        <w:rPr>
          <w:rFonts w:eastAsia="MS Mincho"/>
        </w:rPr>
        <w:t xml:space="preserve"> (ALEX)</w:t>
      </w:r>
      <w:r>
        <w:rPr>
          <w:rFonts w:eastAsia="MS Mincho"/>
        </w:rPr>
        <w:t xml:space="preserve">, with the published results reported to indicate superior efficacy (including CNS activity) and safety for </w:t>
      </w:r>
      <w:proofErr w:type="spellStart"/>
      <w:r>
        <w:rPr>
          <w:rFonts w:eastAsia="MS Mincho"/>
        </w:rPr>
        <w:t>alectinib</w:t>
      </w:r>
      <w:proofErr w:type="spellEnd"/>
      <w:r>
        <w:rPr>
          <w:rFonts w:eastAsia="MS Mincho"/>
        </w:rPr>
        <w:t xml:space="preserve"> in comparison with </w:t>
      </w:r>
      <w:proofErr w:type="spellStart"/>
      <w:r>
        <w:rPr>
          <w:rFonts w:eastAsia="MS Mincho"/>
        </w:rPr>
        <w:t>crizotinib</w:t>
      </w:r>
      <w:proofErr w:type="spellEnd"/>
      <w:r w:rsidRPr="00F045FB">
        <w:rPr>
          <w:rFonts w:eastAsia="MS Mincho"/>
        </w:rPr>
        <w:t>.</w:t>
      </w:r>
      <w:r w:rsidR="00A34FA7">
        <w:rPr>
          <w:rStyle w:val="FootnoteReference"/>
          <w:rFonts w:eastAsia="MS Mincho"/>
        </w:rPr>
        <w:footnoteReference w:id="14"/>
      </w:r>
    </w:p>
    <w:p w14:paraId="3F525E93" w14:textId="77777777" w:rsidR="007120D3" w:rsidRDefault="007120D3" w:rsidP="001F7691">
      <w:r>
        <w:t xml:space="preserve">This application meets the registration condition of submission of the confirmatory Phase III study in those not previously treated for metastatic ALK-positive NSCLC, randomised either to receive </w:t>
      </w:r>
      <w:proofErr w:type="spellStart"/>
      <w:r>
        <w:t>alectinib</w:t>
      </w:r>
      <w:proofErr w:type="spellEnd"/>
      <w:r>
        <w:t xml:space="preserve"> or </w:t>
      </w:r>
      <w:proofErr w:type="spellStart"/>
      <w:r>
        <w:t>crizotinib</w:t>
      </w:r>
      <w:proofErr w:type="spellEnd"/>
      <w:r>
        <w:t xml:space="preserve">. On the basis of very promising PFS data, the TGA has given </w:t>
      </w:r>
      <w:proofErr w:type="spellStart"/>
      <w:r>
        <w:t>alectinib</w:t>
      </w:r>
      <w:proofErr w:type="spellEnd"/>
      <w:r>
        <w:t xml:space="preserve"> priority review designation.</w:t>
      </w:r>
    </w:p>
    <w:p w14:paraId="15C7B288" w14:textId="77777777" w:rsidR="00407466" w:rsidRDefault="007120D3" w:rsidP="001F7691">
      <w:pPr>
        <w:rPr>
          <w:rFonts w:ascii="êPıøwÉË" w:eastAsiaTheme="minorHAnsi" w:hAnsi="êPıøwÉË" w:cs="êPıøwÉË"/>
          <w:color w:val="000000"/>
          <w:lang w:val="en-US"/>
        </w:rPr>
      </w:pPr>
      <w:r>
        <w:rPr>
          <w:rFonts w:ascii="êPıøwÉË" w:eastAsiaTheme="minorHAnsi" w:hAnsi="êPıøwÉË" w:cs="êPıøwÉË"/>
          <w:color w:val="000000"/>
          <w:lang w:val="en-US"/>
        </w:rPr>
        <w:t>Note is made that both the EMA and FDA have received the data from the J-ALEX study for evaluation as part of the review for the first line indication application, but this has not been submitted to the TGA</w:t>
      </w:r>
      <w:r w:rsidR="005749DE">
        <w:rPr>
          <w:rFonts w:ascii="êPıøwÉË" w:eastAsiaTheme="minorHAnsi" w:hAnsi="êPıøwÉË" w:cs="êPıøwÉË"/>
          <w:color w:val="000000"/>
          <w:lang w:val="en-US"/>
        </w:rPr>
        <w:t xml:space="preserve"> as part of the current application</w:t>
      </w:r>
      <w:r w:rsidR="00407466">
        <w:rPr>
          <w:rFonts w:ascii="êPıøwÉË" w:eastAsiaTheme="minorHAnsi" w:hAnsi="êPıøwÉË" w:cs="êPıøwÉË"/>
          <w:color w:val="000000"/>
          <w:lang w:val="en-US"/>
        </w:rPr>
        <w:t>.</w:t>
      </w:r>
    </w:p>
    <w:p w14:paraId="4D78E45A" w14:textId="15D48A3B" w:rsidR="007120D3" w:rsidRPr="005D6092" w:rsidRDefault="007120D3" w:rsidP="001F7691">
      <w:pPr>
        <w:pStyle w:val="Heading6"/>
      </w:pPr>
      <w:proofErr w:type="spellStart"/>
      <w:r w:rsidRPr="005D6092">
        <w:t>Ceritinib</w:t>
      </w:r>
      <w:proofErr w:type="spellEnd"/>
    </w:p>
    <w:p w14:paraId="31DD1C26" w14:textId="77777777" w:rsidR="007120D3" w:rsidRDefault="007120D3" w:rsidP="001F7691">
      <w:proofErr w:type="spellStart"/>
      <w:r w:rsidRPr="005B69C3">
        <w:t>Ceritinib</w:t>
      </w:r>
      <w:proofErr w:type="spellEnd"/>
      <w:r w:rsidRPr="005B69C3">
        <w:t xml:space="preserve"> is an oral medicine </w:t>
      </w:r>
      <w:r w:rsidR="003353EA">
        <w:t xml:space="preserve">and </w:t>
      </w:r>
      <w:r>
        <w:t xml:space="preserve">is </w:t>
      </w:r>
      <w:r w:rsidRPr="005B69C3">
        <w:t xml:space="preserve">stated </w:t>
      </w:r>
      <w:r>
        <w:t>to be a potent</w:t>
      </w:r>
      <w:r w:rsidRPr="005B69C3">
        <w:t xml:space="preserve"> inhibit</w:t>
      </w:r>
      <w:r>
        <w:t>or of</w:t>
      </w:r>
      <w:r w:rsidRPr="005B69C3">
        <w:t xml:space="preserve"> ALK kinase, with activity against </w:t>
      </w:r>
      <w:r w:rsidR="00F15BDC">
        <w:t>ALK-positive</w:t>
      </w:r>
      <w:r w:rsidRPr="005B69C3">
        <w:t xml:space="preserve"> NSCLC that has developed resistance to </w:t>
      </w:r>
      <w:proofErr w:type="spellStart"/>
      <w:r w:rsidRPr="005B69C3">
        <w:t>crizotinib</w:t>
      </w:r>
      <w:proofErr w:type="spellEnd"/>
      <w:r w:rsidRPr="005B69C3">
        <w:t xml:space="preserve">. </w:t>
      </w:r>
      <w:r>
        <w:t>It was approved by the TGA on 24 March 2016 for the following indication:</w:t>
      </w:r>
    </w:p>
    <w:p w14:paraId="37BB5A9E" w14:textId="77777777" w:rsidR="00407466" w:rsidRDefault="003353EA" w:rsidP="003353EA">
      <w:pPr>
        <w:ind w:left="720"/>
        <w:rPr>
          <w:i/>
        </w:rPr>
      </w:pPr>
      <w:proofErr w:type="spellStart"/>
      <w:r w:rsidRPr="003353EA">
        <w:rPr>
          <w:i/>
        </w:rPr>
        <w:t>Zykadia</w:t>
      </w:r>
      <w:proofErr w:type="spellEnd"/>
      <w:r w:rsidRPr="003353EA">
        <w:rPr>
          <w:i/>
        </w:rPr>
        <w:t xml:space="preserve"> </w:t>
      </w:r>
      <w:r w:rsidR="007120D3" w:rsidRPr="003353EA">
        <w:rPr>
          <w:i/>
        </w:rPr>
        <w:t xml:space="preserve">is indicated as monotherapy for the treatment of adult patients with anaplastic lymphoma kinase (ALK) positive locally advanced or metastatic non-small cell lung cancer (NSCLC) whose disease has progressed on or who are intolerant of </w:t>
      </w:r>
      <w:proofErr w:type="spellStart"/>
      <w:r w:rsidR="007120D3" w:rsidRPr="003353EA">
        <w:rPr>
          <w:i/>
        </w:rPr>
        <w:t>crizotinib</w:t>
      </w:r>
      <w:proofErr w:type="spellEnd"/>
      <w:r w:rsidR="00407466">
        <w:rPr>
          <w:i/>
        </w:rPr>
        <w:t>.</w:t>
      </w:r>
    </w:p>
    <w:p w14:paraId="7949AC6E" w14:textId="2918CE9E" w:rsidR="007120D3" w:rsidRDefault="007120D3" w:rsidP="003353EA">
      <w:pPr>
        <w:ind w:left="720"/>
      </w:pPr>
      <w:r w:rsidRPr="003353EA">
        <w:rPr>
          <w:i/>
        </w:rPr>
        <w:t>Note to Indication: This indication is approved based on tumour response rates and duration of response. An improvement in survival or disease –related symptoms has not been established.</w:t>
      </w:r>
    </w:p>
    <w:p w14:paraId="1A68F159" w14:textId="77777777" w:rsidR="007120D3" w:rsidRDefault="007120D3" w:rsidP="001F7691">
      <w:r>
        <w:t xml:space="preserve">A recent Phase III study comparing </w:t>
      </w:r>
      <w:proofErr w:type="spellStart"/>
      <w:r>
        <w:t>ceritinib</w:t>
      </w:r>
      <w:proofErr w:type="spellEnd"/>
      <w:r>
        <w:t xml:space="preserve"> as first line treatment comparing with platinum-doublet chemotherapy in those with metastatic or </w:t>
      </w:r>
      <w:proofErr w:type="spellStart"/>
      <w:r>
        <w:t>unresectable</w:t>
      </w:r>
      <w:proofErr w:type="spellEnd"/>
      <w:r>
        <w:t xml:space="preserve"> ALK-positive NSCLC was published recently</w:t>
      </w:r>
      <w:bookmarkStart w:id="53" w:name="_Ref505775843"/>
      <w:r w:rsidR="003353EA">
        <w:rPr>
          <w:rStyle w:val="FootnoteReference"/>
        </w:rPr>
        <w:footnoteReference w:id="15"/>
      </w:r>
      <w:bookmarkEnd w:id="53"/>
      <w:r>
        <w:t xml:space="preserve"> and led to the approval for use in the first line setting in the EMA and FDA in 2017. This places </w:t>
      </w:r>
      <w:proofErr w:type="spellStart"/>
      <w:r>
        <w:t>ceritinib</w:t>
      </w:r>
      <w:proofErr w:type="spellEnd"/>
      <w:r>
        <w:t xml:space="preserve"> as a potential alternative to chemotherapy and </w:t>
      </w:r>
      <w:proofErr w:type="spellStart"/>
      <w:r>
        <w:t>crizotinib</w:t>
      </w:r>
      <w:proofErr w:type="spellEnd"/>
      <w:r>
        <w:t xml:space="preserve">. </w:t>
      </w:r>
      <w:proofErr w:type="spellStart"/>
      <w:r>
        <w:t>Ceritinib</w:t>
      </w:r>
      <w:proofErr w:type="spellEnd"/>
      <w:r>
        <w:t xml:space="preserve"> has significant toxicities including hepatotoxicity, </w:t>
      </w:r>
      <w:r w:rsidR="003353EA">
        <w:t>gastrointestinal (</w:t>
      </w:r>
      <w:r>
        <w:t>GI</w:t>
      </w:r>
      <w:r w:rsidR="003353EA">
        <w:t>)</w:t>
      </w:r>
      <w:r>
        <w:t xml:space="preserve"> toxicity and QT prolongation as well as potential for deleterious drug interactions.</w:t>
      </w:r>
    </w:p>
    <w:p w14:paraId="46FFA0B3" w14:textId="77777777" w:rsidR="007120D3" w:rsidRDefault="007120D3" w:rsidP="001F7691">
      <w:pPr>
        <w:rPr>
          <w:lang w:eastAsia="ja-JP"/>
        </w:rPr>
      </w:pPr>
      <w:proofErr w:type="spellStart"/>
      <w:r>
        <w:rPr>
          <w:lang w:eastAsia="ja-JP"/>
        </w:rPr>
        <w:t>Brigatinib</w:t>
      </w:r>
      <w:proofErr w:type="spellEnd"/>
      <w:r>
        <w:rPr>
          <w:lang w:eastAsia="ja-JP"/>
        </w:rPr>
        <w:t xml:space="preserve"> and </w:t>
      </w:r>
      <w:proofErr w:type="spellStart"/>
      <w:r>
        <w:rPr>
          <w:lang w:eastAsia="ja-JP"/>
        </w:rPr>
        <w:t>lorlatinib</w:t>
      </w:r>
      <w:proofErr w:type="spellEnd"/>
      <w:r>
        <w:rPr>
          <w:lang w:eastAsia="ja-JP"/>
        </w:rPr>
        <w:t xml:space="preserve"> are other ALK inhibitors but neither is currently approved for use in Australia. </w:t>
      </w:r>
      <w:proofErr w:type="spellStart"/>
      <w:r>
        <w:rPr>
          <w:lang w:eastAsia="ja-JP"/>
        </w:rPr>
        <w:t>Brigatinib</w:t>
      </w:r>
      <w:proofErr w:type="spellEnd"/>
      <w:r>
        <w:rPr>
          <w:lang w:eastAsia="ja-JP"/>
        </w:rPr>
        <w:t xml:space="preserve"> was approved in the US</w:t>
      </w:r>
      <w:r w:rsidR="003353EA">
        <w:rPr>
          <w:lang w:eastAsia="ja-JP"/>
        </w:rPr>
        <w:t>A</w:t>
      </w:r>
      <w:r>
        <w:rPr>
          <w:lang w:eastAsia="ja-JP"/>
        </w:rPr>
        <w:t xml:space="preserve"> (28 April 2017) and </w:t>
      </w:r>
      <w:proofErr w:type="spellStart"/>
      <w:r>
        <w:rPr>
          <w:lang w:eastAsia="ja-JP"/>
        </w:rPr>
        <w:t>lorlatinib</w:t>
      </w:r>
      <w:proofErr w:type="spellEnd"/>
      <w:r>
        <w:rPr>
          <w:lang w:eastAsia="ja-JP"/>
        </w:rPr>
        <w:t xml:space="preserve"> had not been approved in the US or EU at the time of writing this report.</w:t>
      </w:r>
    </w:p>
    <w:p w14:paraId="57C4C3CD" w14:textId="77777777" w:rsidR="007120D3" w:rsidRPr="00166D35" w:rsidRDefault="007120D3" w:rsidP="001F7691">
      <w:pPr>
        <w:pStyle w:val="Heading5"/>
        <w:rPr>
          <w:lang w:eastAsia="ja-JP"/>
        </w:rPr>
      </w:pPr>
      <w:r w:rsidRPr="00166D35">
        <w:rPr>
          <w:lang w:eastAsia="ja-JP"/>
        </w:rPr>
        <w:t>Other therapies post</w:t>
      </w:r>
      <w:r w:rsidR="00B27AAC">
        <w:rPr>
          <w:lang w:eastAsia="ja-JP"/>
        </w:rPr>
        <w:t>-</w:t>
      </w:r>
      <w:r w:rsidRPr="00166D35">
        <w:rPr>
          <w:lang w:eastAsia="ja-JP"/>
        </w:rPr>
        <w:t>targeted therapy</w:t>
      </w:r>
    </w:p>
    <w:p w14:paraId="329861F8" w14:textId="70773E4C" w:rsidR="007120D3" w:rsidRDefault="007120D3" w:rsidP="001F7691">
      <w:pPr>
        <w:rPr>
          <w:lang w:eastAsia="ja-JP"/>
        </w:rPr>
      </w:pPr>
      <w:r>
        <w:rPr>
          <w:lang w:eastAsia="ja-JP"/>
        </w:rPr>
        <w:t xml:space="preserve">After exhausting all ALK targeted therapies, patients may be treated with chemotherapy or with immunotherapy, with </w:t>
      </w:r>
      <w:proofErr w:type="spellStart"/>
      <w:r>
        <w:rPr>
          <w:lang w:eastAsia="ja-JP"/>
        </w:rPr>
        <w:t>pembrolizumab</w:t>
      </w:r>
      <w:proofErr w:type="spellEnd"/>
      <w:r w:rsidR="00336407">
        <w:rPr>
          <w:lang w:eastAsia="ja-JP"/>
        </w:rPr>
        <w:t xml:space="preserve">, </w:t>
      </w:r>
      <w:proofErr w:type="spellStart"/>
      <w:r w:rsidR="00336407">
        <w:rPr>
          <w:lang w:eastAsia="ja-JP"/>
        </w:rPr>
        <w:t>atezolizumab</w:t>
      </w:r>
      <w:proofErr w:type="spellEnd"/>
      <w:r>
        <w:rPr>
          <w:lang w:eastAsia="ja-JP"/>
        </w:rPr>
        <w:t xml:space="preserve"> and </w:t>
      </w:r>
      <w:proofErr w:type="spellStart"/>
      <w:r>
        <w:rPr>
          <w:lang w:eastAsia="ja-JP"/>
        </w:rPr>
        <w:t>nivolumab</w:t>
      </w:r>
      <w:proofErr w:type="spellEnd"/>
      <w:r>
        <w:rPr>
          <w:lang w:eastAsia="ja-JP"/>
        </w:rPr>
        <w:t xml:space="preserve"> approved for the treatment of patients with ALK-positive NSCLC that has been previously treated with targeted therapy. Other palliative treatment modalities include radiation therapy, and where appropriate</w:t>
      </w:r>
      <w:r w:rsidR="00B27AAC">
        <w:rPr>
          <w:lang w:eastAsia="ja-JP"/>
        </w:rPr>
        <w:t>,</w:t>
      </w:r>
      <w:r>
        <w:rPr>
          <w:lang w:eastAsia="ja-JP"/>
        </w:rPr>
        <w:t xml:space="preserve"> surgery.</w:t>
      </w:r>
    </w:p>
    <w:p w14:paraId="1AF34069" w14:textId="77777777" w:rsidR="007120D3" w:rsidRDefault="007120D3" w:rsidP="001F7691">
      <w:pPr>
        <w:pStyle w:val="Heading4"/>
      </w:pPr>
      <w:bookmarkStart w:id="54" w:name="_Toc499636137"/>
      <w:r>
        <w:t>Evaluator’s commentary on the background information</w:t>
      </w:r>
      <w:bookmarkEnd w:id="54"/>
    </w:p>
    <w:p w14:paraId="00FAC368" w14:textId="77777777" w:rsidR="007120D3" w:rsidRDefault="007120D3" w:rsidP="001F7691">
      <w:pPr>
        <w:rPr>
          <w:lang w:eastAsia="ja-JP"/>
        </w:rPr>
      </w:pPr>
      <w:proofErr w:type="spellStart"/>
      <w:r>
        <w:rPr>
          <w:lang w:eastAsia="ja-JP"/>
        </w:rPr>
        <w:t>Alectinib</w:t>
      </w:r>
      <w:proofErr w:type="spellEnd"/>
      <w:r>
        <w:rPr>
          <w:lang w:eastAsia="ja-JP"/>
        </w:rPr>
        <w:t xml:space="preserve"> has already demonstrated efficacy in previously treated patients with ALK-positive NSCLC, including those with brain metastases, and this randomized controlled Phase III trial comparing </w:t>
      </w:r>
      <w:proofErr w:type="spellStart"/>
      <w:r>
        <w:rPr>
          <w:lang w:eastAsia="ja-JP"/>
        </w:rPr>
        <w:t>alectinib</w:t>
      </w:r>
      <w:proofErr w:type="spellEnd"/>
      <w:r>
        <w:rPr>
          <w:lang w:eastAsia="ja-JP"/>
        </w:rPr>
        <w:t xml:space="preserve"> with </w:t>
      </w:r>
      <w:proofErr w:type="spellStart"/>
      <w:r>
        <w:rPr>
          <w:lang w:eastAsia="ja-JP"/>
        </w:rPr>
        <w:t>crizotinib</w:t>
      </w:r>
      <w:proofErr w:type="spellEnd"/>
      <w:r>
        <w:rPr>
          <w:lang w:eastAsia="ja-JP"/>
        </w:rPr>
        <w:t xml:space="preserve"> will help determine the standard of care </w:t>
      </w:r>
      <w:r>
        <w:rPr>
          <w:lang w:eastAsia="ja-JP"/>
        </w:rPr>
        <w:lastRenderedPageBreak/>
        <w:t xml:space="preserve">for patients who are newly diagnosed with locally advanced or metastatic disease. Note is made that the website </w:t>
      </w:r>
      <w:proofErr w:type="spellStart"/>
      <w:r>
        <w:rPr>
          <w:lang w:eastAsia="ja-JP"/>
        </w:rPr>
        <w:t>UpToDate</w:t>
      </w:r>
      <w:proofErr w:type="spellEnd"/>
      <w:r>
        <w:rPr>
          <w:lang w:eastAsia="ja-JP"/>
        </w:rPr>
        <w:t xml:space="preserve">, co-authored by Drs Alice Shaw and Ben Solomon, recommends </w:t>
      </w:r>
      <w:proofErr w:type="spellStart"/>
      <w:r>
        <w:rPr>
          <w:lang w:eastAsia="ja-JP"/>
        </w:rPr>
        <w:t>alectinib</w:t>
      </w:r>
      <w:proofErr w:type="spellEnd"/>
      <w:r>
        <w:rPr>
          <w:lang w:eastAsia="ja-JP"/>
        </w:rPr>
        <w:t xml:space="preserve"> for use for the first line treatment of locally advanced or metastatic ALK-positive NSCLC.</w:t>
      </w:r>
    </w:p>
    <w:p w14:paraId="2F27164B" w14:textId="77777777" w:rsidR="00605AD4" w:rsidRPr="001F7691" w:rsidRDefault="00605AD4" w:rsidP="001F7691">
      <w:pPr>
        <w:pStyle w:val="Heading4"/>
      </w:pPr>
      <w:r w:rsidRPr="00605AD4">
        <w:t>Guidance</w:t>
      </w:r>
    </w:p>
    <w:p w14:paraId="098F06DB" w14:textId="77777777" w:rsidR="007120D3" w:rsidRDefault="007120D3" w:rsidP="00B27AAC">
      <w:pPr>
        <w:pStyle w:val="ListBullet"/>
        <w:rPr>
          <w:lang w:val="en-US" w:eastAsia="ja-JP"/>
        </w:rPr>
      </w:pPr>
      <w:r w:rsidRPr="00E15375">
        <w:rPr>
          <w:lang w:eastAsia="ja-JP"/>
        </w:rPr>
        <w:t>FDA Guidance for Industry</w:t>
      </w:r>
      <w:r w:rsidRPr="00E15375">
        <w:rPr>
          <w:lang w:val="en-US" w:eastAsia="ja-JP"/>
        </w:rPr>
        <w:t xml:space="preserve"> E14 Clinical Evaluation of QT/</w:t>
      </w:r>
      <w:proofErr w:type="spellStart"/>
      <w:r w:rsidRPr="00E15375">
        <w:rPr>
          <w:lang w:val="en-US" w:eastAsia="ja-JP"/>
        </w:rPr>
        <w:t>QTc</w:t>
      </w:r>
      <w:proofErr w:type="spellEnd"/>
      <w:r w:rsidRPr="00E15375">
        <w:rPr>
          <w:lang w:val="en-US" w:eastAsia="ja-JP"/>
        </w:rPr>
        <w:t xml:space="preserve"> Interval Prolongation and </w:t>
      </w:r>
      <w:proofErr w:type="spellStart"/>
      <w:r w:rsidRPr="00E15375">
        <w:rPr>
          <w:lang w:val="en-US" w:eastAsia="ja-JP"/>
        </w:rPr>
        <w:t>Proarrhythmic</w:t>
      </w:r>
      <w:proofErr w:type="spellEnd"/>
      <w:r w:rsidRPr="00E15375">
        <w:rPr>
          <w:lang w:val="en-US" w:eastAsia="ja-JP"/>
        </w:rPr>
        <w:t xml:space="preserve"> Potential for Non-Antiarrhythmic Drugs, October 2005.</w:t>
      </w:r>
    </w:p>
    <w:p w14:paraId="4F06A2BD" w14:textId="77777777" w:rsidR="00501DF2" w:rsidRDefault="00501DF2" w:rsidP="001F7691">
      <w:pPr>
        <w:rPr>
          <w:lang w:val="en-US" w:eastAsia="ja-JP"/>
        </w:rPr>
      </w:pPr>
      <w:r>
        <w:rPr>
          <w:lang w:val="en-US" w:eastAsia="ja-JP"/>
        </w:rPr>
        <w:t xml:space="preserve">See also Attachment 2 Guidance for published articles used </w:t>
      </w:r>
      <w:r w:rsidR="00B27AAC">
        <w:rPr>
          <w:lang w:val="en-US" w:eastAsia="ja-JP"/>
        </w:rPr>
        <w:t>during</w:t>
      </w:r>
      <w:r>
        <w:rPr>
          <w:lang w:val="en-US" w:eastAsia="ja-JP"/>
        </w:rPr>
        <w:t xml:space="preserve"> this evaluation.</w:t>
      </w:r>
    </w:p>
    <w:p w14:paraId="4C9DFE12" w14:textId="77777777" w:rsidR="00605AD4" w:rsidRDefault="00605AD4" w:rsidP="00605AD4">
      <w:pPr>
        <w:pStyle w:val="Heading4"/>
      </w:pPr>
      <w:r w:rsidRPr="00605AD4">
        <w:t>Contents of the clinical dossier</w:t>
      </w:r>
    </w:p>
    <w:p w14:paraId="113493C4" w14:textId="77777777" w:rsidR="00407466" w:rsidRDefault="007120D3" w:rsidP="007120D3">
      <w:pPr>
        <w:rPr>
          <w:lang w:eastAsia="ja-JP"/>
        </w:rPr>
      </w:pPr>
      <w:r>
        <w:rPr>
          <w:lang w:eastAsia="ja-JP"/>
        </w:rPr>
        <w:t>This dossier included:</w:t>
      </w:r>
    </w:p>
    <w:p w14:paraId="0C440E9D" w14:textId="5A0BC940" w:rsidR="007120D3" w:rsidRDefault="007120D3" w:rsidP="001F7691">
      <w:pPr>
        <w:pStyle w:val="ListBullet"/>
        <w:rPr>
          <w:lang w:eastAsia="ja-JP"/>
        </w:rPr>
      </w:pPr>
      <w:r>
        <w:rPr>
          <w:lang w:eastAsia="ja-JP"/>
        </w:rPr>
        <w:t xml:space="preserve">Phase III BO28984 ‘ALEX’ randomised controlled open label trial comparing </w:t>
      </w:r>
      <w:proofErr w:type="spellStart"/>
      <w:r>
        <w:rPr>
          <w:lang w:eastAsia="ja-JP"/>
        </w:rPr>
        <w:t>alectinib</w:t>
      </w:r>
      <w:proofErr w:type="spellEnd"/>
      <w:r>
        <w:rPr>
          <w:lang w:eastAsia="ja-JP"/>
        </w:rPr>
        <w:t xml:space="preserve"> with </w:t>
      </w:r>
      <w:proofErr w:type="spellStart"/>
      <w:r>
        <w:rPr>
          <w:lang w:eastAsia="ja-JP"/>
        </w:rPr>
        <w:t>crizotinib</w:t>
      </w:r>
      <w:proofErr w:type="spellEnd"/>
      <w:r>
        <w:rPr>
          <w:lang w:eastAsia="ja-JP"/>
        </w:rPr>
        <w:t xml:space="preserve"> in patients with treatment-naïve NSCLC.</w:t>
      </w:r>
    </w:p>
    <w:p w14:paraId="29F1523C" w14:textId="77777777" w:rsidR="007120D3" w:rsidRDefault="007120D3" w:rsidP="001F7691">
      <w:pPr>
        <w:pStyle w:val="ListBullet"/>
        <w:rPr>
          <w:lang w:eastAsia="ja-JP"/>
        </w:rPr>
      </w:pPr>
      <w:r>
        <w:rPr>
          <w:lang w:eastAsia="ja-JP"/>
        </w:rPr>
        <w:t>Population PK report (1080486) based on the BO28984 (ALEX) population.</w:t>
      </w:r>
    </w:p>
    <w:p w14:paraId="19A95099" w14:textId="77777777" w:rsidR="00407466" w:rsidRDefault="007120D3" w:rsidP="001F7691">
      <w:pPr>
        <w:rPr>
          <w:lang w:eastAsia="ja-JP"/>
        </w:rPr>
      </w:pPr>
      <w:r w:rsidRPr="007209DE">
        <w:rPr>
          <w:lang w:eastAsia="ja-JP"/>
        </w:rPr>
        <w:t xml:space="preserve">The dossier includes the global ‘ALEX’ study but note is made that the EMA and FDA have both received the ‘J-ALEX’ conducted exclusively in Japanese patients using the lower dose approved in Japan of 300mg </w:t>
      </w:r>
      <w:r w:rsidR="00B27AAC" w:rsidRPr="007209DE">
        <w:rPr>
          <w:lang w:eastAsia="ja-JP"/>
        </w:rPr>
        <w:t>BID</w:t>
      </w:r>
      <w:r w:rsidRPr="007209DE">
        <w:rPr>
          <w:lang w:eastAsia="ja-JP"/>
        </w:rPr>
        <w:t xml:space="preserve">. </w:t>
      </w:r>
      <w:r w:rsidR="005C6902">
        <w:rPr>
          <w:lang w:eastAsia="ja-JP"/>
        </w:rPr>
        <w:t>T</w:t>
      </w:r>
      <w:r w:rsidRPr="007209DE">
        <w:rPr>
          <w:lang w:eastAsia="ja-JP"/>
        </w:rPr>
        <w:t xml:space="preserve">he evaluator has requested safety data from </w:t>
      </w:r>
      <w:r w:rsidR="005C6902">
        <w:rPr>
          <w:lang w:eastAsia="ja-JP"/>
        </w:rPr>
        <w:t>the J-ALEX</w:t>
      </w:r>
      <w:r w:rsidR="005C6902" w:rsidRPr="007209DE">
        <w:rPr>
          <w:lang w:eastAsia="ja-JP"/>
        </w:rPr>
        <w:t xml:space="preserve"> </w:t>
      </w:r>
      <w:r w:rsidRPr="007209DE">
        <w:rPr>
          <w:lang w:eastAsia="ja-JP"/>
        </w:rPr>
        <w:t>study where considered relevant</w:t>
      </w:r>
      <w:r w:rsidR="00407466">
        <w:rPr>
          <w:lang w:eastAsia="ja-JP"/>
        </w:rPr>
        <w:t>.</w:t>
      </w:r>
    </w:p>
    <w:p w14:paraId="75CDFE36" w14:textId="2990235C" w:rsidR="007120D3" w:rsidRPr="007209DE" w:rsidRDefault="007120D3" w:rsidP="001F7691">
      <w:pPr>
        <w:rPr>
          <w:lang w:eastAsia="ja-JP"/>
        </w:rPr>
      </w:pPr>
      <w:r w:rsidRPr="007209DE">
        <w:rPr>
          <w:lang w:eastAsia="ja-JP"/>
        </w:rPr>
        <w:t>Within the data package itself, some of the fundamental baseline information required to evaluate the balance between the arms was not presented clearly and narratives for significant adverse events do not appear to have been included.</w:t>
      </w:r>
    </w:p>
    <w:p w14:paraId="7A9E5AD2" w14:textId="77777777" w:rsidR="007120D3" w:rsidRDefault="007120D3" w:rsidP="001F7691">
      <w:pPr>
        <w:rPr>
          <w:lang w:eastAsia="ja-JP"/>
        </w:rPr>
      </w:pPr>
      <w:r w:rsidRPr="007209DE">
        <w:rPr>
          <w:lang w:eastAsia="ja-JP"/>
        </w:rPr>
        <w:t xml:space="preserve">No overseas reports were provided as this application had not been approved elsewhere at the time of submission and the FDA approved the </w:t>
      </w:r>
      <w:r w:rsidR="00B27AAC" w:rsidRPr="007209DE">
        <w:rPr>
          <w:lang w:eastAsia="ja-JP"/>
        </w:rPr>
        <w:t>supplemental new drug application (</w:t>
      </w:r>
      <w:proofErr w:type="spellStart"/>
      <w:r w:rsidRPr="007209DE">
        <w:rPr>
          <w:lang w:eastAsia="ja-JP"/>
        </w:rPr>
        <w:t>sNDA</w:t>
      </w:r>
      <w:proofErr w:type="spellEnd"/>
      <w:r w:rsidR="00B27AAC" w:rsidRPr="007209DE">
        <w:rPr>
          <w:lang w:eastAsia="ja-JP"/>
        </w:rPr>
        <w:t>)</w:t>
      </w:r>
      <w:r w:rsidRPr="007209DE">
        <w:rPr>
          <w:lang w:eastAsia="ja-JP"/>
        </w:rPr>
        <w:t xml:space="preserve"> on 6 November 2017.</w:t>
      </w:r>
    </w:p>
    <w:p w14:paraId="280F1836" w14:textId="77777777" w:rsidR="00605AD4" w:rsidRDefault="00605AD4" w:rsidP="00605AD4">
      <w:pPr>
        <w:pStyle w:val="Heading4"/>
      </w:pPr>
      <w:r w:rsidRPr="00605AD4">
        <w:t>Paediatric data</w:t>
      </w:r>
    </w:p>
    <w:p w14:paraId="66209513" w14:textId="77777777" w:rsidR="007120D3" w:rsidRDefault="007120D3" w:rsidP="001F7691">
      <w:pPr>
        <w:rPr>
          <w:lang w:eastAsia="ja-JP"/>
        </w:rPr>
      </w:pPr>
      <w:r>
        <w:rPr>
          <w:lang w:eastAsia="ja-JP"/>
        </w:rPr>
        <w:t>No paediatric data were submitted consistent with this being a disease primarily diagnosed in adults.</w:t>
      </w:r>
    </w:p>
    <w:p w14:paraId="0B03E25B" w14:textId="77777777" w:rsidR="00605AD4" w:rsidRDefault="00605AD4" w:rsidP="00605AD4">
      <w:pPr>
        <w:pStyle w:val="Heading4"/>
      </w:pPr>
      <w:r w:rsidRPr="00605AD4">
        <w:t>Good clinical practice</w:t>
      </w:r>
    </w:p>
    <w:p w14:paraId="2F0F787A" w14:textId="77777777" w:rsidR="007120D3" w:rsidRPr="007E3855" w:rsidRDefault="001F7691" w:rsidP="001F7691">
      <w:pPr>
        <w:rPr>
          <w:lang w:val="en-US" w:eastAsia="ja-JP"/>
        </w:rPr>
      </w:pPr>
      <w:r>
        <w:rPr>
          <w:lang w:eastAsia="ja-JP"/>
        </w:rPr>
        <w:t>The s</w:t>
      </w:r>
      <w:r w:rsidR="007120D3">
        <w:rPr>
          <w:lang w:eastAsia="ja-JP"/>
        </w:rPr>
        <w:t xml:space="preserve">ponsor states in the Clinical Overview </w:t>
      </w:r>
      <w:r w:rsidR="00FA038A">
        <w:rPr>
          <w:lang w:eastAsia="ja-JP"/>
        </w:rPr>
        <w:t>‘</w:t>
      </w:r>
      <w:r w:rsidR="007120D3" w:rsidRPr="004232F7">
        <w:rPr>
          <w:i/>
          <w:lang w:val="en-US" w:eastAsia="ja-JP"/>
        </w:rPr>
        <w:t>The ALEX study was conducted in accordance with Good Clinical Practice (GCP) guidelines. The appropriate Ethics Committees and Institutional Review Boards reviewed and approved this study</w:t>
      </w:r>
      <w:r w:rsidR="007120D3" w:rsidRPr="007E3855">
        <w:rPr>
          <w:lang w:val="en-US" w:eastAsia="ja-JP"/>
        </w:rPr>
        <w:t>.</w:t>
      </w:r>
      <w:r w:rsidR="00DB55D9">
        <w:rPr>
          <w:lang w:val="en-US" w:eastAsia="ja-JP"/>
        </w:rPr>
        <w:t>’</w:t>
      </w:r>
    </w:p>
    <w:p w14:paraId="7F8DBBBB" w14:textId="77777777" w:rsidR="007120D3" w:rsidRPr="007120D3" w:rsidRDefault="007120D3" w:rsidP="007120D3">
      <w:r w:rsidRPr="007E3855">
        <w:rPr>
          <w:lang w:val="en-US" w:eastAsia="ja-JP"/>
        </w:rPr>
        <w:t>Audits were conducted by Roche at three investigator sites. No critical or major</w:t>
      </w:r>
      <w:r>
        <w:rPr>
          <w:lang w:val="en-US" w:eastAsia="ja-JP"/>
        </w:rPr>
        <w:t xml:space="preserve"> </w:t>
      </w:r>
      <w:r w:rsidRPr="007E3855">
        <w:rPr>
          <w:lang w:val="en-US" w:eastAsia="ja-JP"/>
        </w:rPr>
        <w:t>finding(s) involving non-compliance with GCP were observed in any of these audits.</w:t>
      </w:r>
      <w:r>
        <w:rPr>
          <w:lang w:val="en-US" w:eastAsia="ja-JP"/>
        </w:rPr>
        <w:t xml:space="preserve"> </w:t>
      </w:r>
      <w:r w:rsidRPr="007E3855">
        <w:rPr>
          <w:lang w:val="en-US" w:eastAsia="ja-JP"/>
        </w:rPr>
        <w:t>Appropriate corrective and preventive actions were undertaken for all findings and</w:t>
      </w:r>
      <w:r>
        <w:rPr>
          <w:lang w:val="en-US" w:eastAsia="ja-JP"/>
        </w:rPr>
        <w:t xml:space="preserve"> </w:t>
      </w:r>
      <w:r w:rsidRPr="007E3855">
        <w:rPr>
          <w:lang w:val="en-US" w:eastAsia="ja-JP"/>
        </w:rPr>
        <w:t>these are not considered to have had any impact on the integrity of the ALEX data.</w:t>
      </w:r>
    </w:p>
    <w:p w14:paraId="7B67E5D9" w14:textId="77777777" w:rsidR="008E7846" w:rsidRDefault="008E7846" w:rsidP="00605AD4">
      <w:pPr>
        <w:pStyle w:val="Heading3"/>
      </w:pPr>
      <w:bookmarkStart w:id="55" w:name="_Toc509821964"/>
      <w:r w:rsidRPr="00254787">
        <w:t>Pharmacokinetics</w:t>
      </w:r>
      <w:bookmarkEnd w:id="41"/>
      <w:bookmarkEnd w:id="48"/>
      <w:bookmarkEnd w:id="49"/>
      <w:bookmarkEnd w:id="50"/>
      <w:bookmarkEnd w:id="55"/>
    </w:p>
    <w:p w14:paraId="3C7102F6" w14:textId="77777777" w:rsidR="00407466" w:rsidRDefault="00605AD4" w:rsidP="00605AD4">
      <w:pPr>
        <w:pStyle w:val="Heading4"/>
      </w:pPr>
      <w:r>
        <w:t>Studies providing pharmacokinetic data</w:t>
      </w:r>
    </w:p>
    <w:p w14:paraId="2E725A9B" w14:textId="6D8257D9" w:rsidR="001F7691" w:rsidRPr="001F7691" w:rsidRDefault="001F7691" w:rsidP="001F7691">
      <w:r>
        <w:t xml:space="preserve">A </w:t>
      </w:r>
      <w:r w:rsidRPr="001F7691">
        <w:t>Population PK report (1080486) based on the BO28984 (ALEX) population</w:t>
      </w:r>
      <w:r>
        <w:t xml:space="preserve"> was subm</w:t>
      </w:r>
      <w:r w:rsidR="00DB55D9">
        <w:t>i</w:t>
      </w:r>
      <w:r>
        <w:t>tted</w:t>
      </w:r>
      <w:r w:rsidRPr="001F7691">
        <w:t>.</w:t>
      </w:r>
    </w:p>
    <w:p w14:paraId="740ABDAE" w14:textId="77777777" w:rsidR="00605AD4" w:rsidRDefault="00605AD4" w:rsidP="00605AD4">
      <w:pPr>
        <w:pStyle w:val="Heading4"/>
      </w:pPr>
      <w:r>
        <w:lastRenderedPageBreak/>
        <w:t>Evaluator’s conclusions on pharmacokinetics</w:t>
      </w:r>
    </w:p>
    <w:p w14:paraId="5B1BA017" w14:textId="77777777" w:rsidR="007120D3" w:rsidRPr="000727B4" w:rsidRDefault="007120D3" w:rsidP="004232F7">
      <w:pPr>
        <w:rPr>
          <w:lang w:eastAsia="ja-JP"/>
        </w:rPr>
      </w:pPr>
      <w:r>
        <w:rPr>
          <w:lang w:eastAsia="ja-JP"/>
        </w:rPr>
        <w:t xml:space="preserve">None of the conclusions based on the population PK modelling have been proposed as new information in the PI and this is appropriate. The analyses did not expand on what was known from the efficacy </w:t>
      </w:r>
      <w:r w:rsidR="00DB55D9">
        <w:rPr>
          <w:lang w:eastAsia="ja-JP"/>
        </w:rPr>
        <w:t>and safety in the pivotal trial</w:t>
      </w:r>
      <w:r>
        <w:rPr>
          <w:lang w:eastAsia="ja-JP"/>
        </w:rPr>
        <w:t xml:space="preserve"> and prognostic factors that are well-established for a range of malignancies.</w:t>
      </w:r>
    </w:p>
    <w:p w14:paraId="4DD97124" w14:textId="77777777" w:rsidR="008E7846" w:rsidRDefault="008E7846" w:rsidP="008E7846">
      <w:pPr>
        <w:pStyle w:val="Heading3"/>
      </w:pPr>
      <w:bookmarkStart w:id="56" w:name="_Toc196046481"/>
      <w:bookmarkStart w:id="57" w:name="_Toc247691520"/>
      <w:bookmarkStart w:id="58" w:name="_Toc314842503"/>
      <w:bookmarkStart w:id="59" w:name="_Toc509821965"/>
      <w:r w:rsidRPr="00254787">
        <w:t>Pharmacodynamics</w:t>
      </w:r>
      <w:bookmarkEnd w:id="42"/>
      <w:bookmarkEnd w:id="56"/>
      <w:bookmarkEnd w:id="57"/>
      <w:bookmarkEnd w:id="58"/>
      <w:bookmarkEnd w:id="59"/>
    </w:p>
    <w:p w14:paraId="29D6434D" w14:textId="77777777" w:rsidR="00605AD4" w:rsidRDefault="007120D3" w:rsidP="007120D3">
      <w:r>
        <w:t>No new studies were submitted.</w:t>
      </w:r>
    </w:p>
    <w:p w14:paraId="1BE0B6EB" w14:textId="77777777" w:rsidR="008E7846" w:rsidRDefault="00605AD4" w:rsidP="00605AD4">
      <w:pPr>
        <w:pStyle w:val="Heading3"/>
      </w:pPr>
      <w:bookmarkStart w:id="60" w:name="_Toc509821966"/>
      <w:r>
        <w:t>Dosage selection for the pivotal studies</w:t>
      </w:r>
      <w:bookmarkEnd w:id="60"/>
    </w:p>
    <w:p w14:paraId="16D615F6" w14:textId="77777777" w:rsidR="007120D3" w:rsidRDefault="007120D3" w:rsidP="007120D3">
      <w:r>
        <w:t>No new studies were submitted.</w:t>
      </w:r>
    </w:p>
    <w:p w14:paraId="2E1547E0" w14:textId="77777777" w:rsidR="008E7846" w:rsidRPr="00254787" w:rsidRDefault="008E7846" w:rsidP="008E7846">
      <w:pPr>
        <w:pStyle w:val="Heading3"/>
      </w:pPr>
      <w:bookmarkStart w:id="61" w:name="_Toc163441372"/>
      <w:bookmarkStart w:id="62" w:name="_Toc196046485"/>
      <w:bookmarkStart w:id="63" w:name="_Toc247691521"/>
      <w:bookmarkStart w:id="64" w:name="_Toc314842504"/>
      <w:bookmarkStart w:id="65" w:name="_Toc509821967"/>
      <w:r w:rsidRPr="00254787">
        <w:t>Efficacy</w:t>
      </w:r>
      <w:bookmarkEnd w:id="61"/>
      <w:bookmarkEnd w:id="62"/>
      <w:bookmarkEnd w:id="63"/>
      <w:bookmarkEnd w:id="64"/>
      <w:bookmarkEnd w:id="65"/>
    </w:p>
    <w:p w14:paraId="0173171F" w14:textId="77777777" w:rsidR="00605AD4" w:rsidRDefault="00605AD4" w:rsidP="00605AD4">
      <w:pPr>
        <w:pStyle w:val="Heading4"/>
      </w:pPr>
      <w:bookmarkStart w:id="66" w:name="_Toc184439992"/>
      <w:bookmarkStart w:id="67" w:name="_Toc184440279"/>
      <w:bookmarkStart w:id="68" w:name="_Toc184444657"/>
      <w:bookmarkStart w:id="69" w:name="_Toc196046487"/>
      <w:r>
        <w:t>Studies providing efficacy data</w:t>
      </w:r>
    </w:p>
    <w:p w14:paraId="374AC353" w14:textId="77777777" w:rsidR="001F7691" w:rsidRPr="001F7691" w:rsidRDefault="001F7691" w:rsidP="001F7691">
      <w:r w:rsidRPr="001F7691">
        <w:t xml:space="preserve">Phase III BO28984 ‘ALEX’ randomised controlled open label trial comparing </w:t>
      </w:r>
      <w:proofErr w:type="spellStart"/>
      <w:r w:rsidRPr="001F7691">
        <w:t>alectinib</w:t>
      </w:r>
      <w:proofErr w:type="spellEnd"/>
      <w:r w:rsidRPr="001F7691">
        <w:t xml:space="preserve"> with </w:t>
      </w:r>
      <w:proofErr w:type="spellStart"/>
      <w:r w:rsidRPr="001F7691">
        <w:t>crizotinib</w:t>
      </w:r>
      <w:proofErr w:type="spellEnd"/>
      <w:r w:rsidRPr="001F7691">
        <w:t xml:space="preserve"> in patients with treatment-naïve NSCLC</w:t>
      </w:r>
      <w:r>
        <w:t xml:space="preserve"> was submitted</w:t>
      </w:r>
      <w:r w:rsidRPr="001F7691">
        <w:t>.</w:t>
      </w:r>
    </w:p>
    <w:p w14:paraId="4A34106F" w14:textId="77777777" w:rsidR="008E7846" w:rsidRDefault="00605AD4" w:rsidP="00605AD4">
      <w:pPr>
        <w:pStyle w:val="Heading4"/>
      </w:pPr>
      <w:r>
        <w:t>Evaluator’s conclusions on efficacy</w:t>
      </w:r>
    </w:p>
    <w:p w14:paraId="18F18696" w14:textId="77777777" w:rsidR="00407466" w:rsidRDefault="007120D3" w:rsidP="001F7691">
      <w:pPr>
        <w:rPr>
          <w:lang w:eastAsia="ja-JP"/>
        </w:rPr>
      </w:pPr>
      <w:r>
        <w:rPr>
          <w:lang w:eastAsia="ja-JP"/>
        </w:rPr>
        <w:t xml:space="preserve">In this open-label, randomised Phase III trial, </w:t>
      </w:r>
      <w:proofErr w:type="spellStart"/>
      <w:r>
        <w:rPr>
          <w:lang w:eastAsia="ja-JP"/>
        </w:rPr>
        <w:t>alectinib</w:t>
      </w:r>
      <w:proofErr w:type="spellEnd"/>
      <w:r>
        <w:rPr>
          <w:lang w:eastAsia="ja-JP"/>
        </w:rPr>
        <w:t xml:space="preserve"> demonstrated clear superiority in the primary efficacy endpoint of investigator-assessed progression-free survival over </w:t>
      </w:r>
      <w:proofErr w:type="spellStart"/>
      <w:r>
        <w:rPr>
          <w:lang w:eastAsia="ja-JP"/>
        </w:rPr>
        <w:t>crizotinib</w:t>
      </w:r>
      <w:proofErr w:type="spellEnd"/>
      <w:r>
        <w:rPr>
          <w:lang w:eastAsia="ja-JP"/>
        </w:rPr>
        <w:t xml:space="preserve"> in a population with NSCLC selected for ALK-positivity by the </w:t>
      </w:r>
      <w:proofErr w:type="spellStart"/>
      <w:r>
        <w:rPr>
          <w:lang w:eastAsia="ja-JP"/>
        </w:rPr>
        <w:t>Ventana</w:t>
      </w:r>
      <w:proofErr w:type="spellEnd"/>
      <w:r>
        <w:rPr>
          <w:lang w:eastAsia="ja-JP"/>
        </w:rPr>
        <w:t xml:space="preserve"> anti-ALK D5F3 IHC assay. Patients with measurable disease who had not received prior systemic therapy in the advanced/metastatic setting but may have received chemotherapy in the adjuvant or neoadjuvant setting, prior radiation treatment or surgery for localised or for metastatic disease were randomised to receive either </w:t>
      </w:r>
      <w:proofErr w:type="spellStart"/>
      <w:r>
        <w:rPr>
          <w:lang w:eastAsia="ja-JP"/>
        </w:rPr>
        <w:t>alectinib</w:t>
      </w:r>
      <w:proofErr w:type="spellEnd"/>
      <w:r>
        <w:rPr>
          <w:lang w:eastAsia="ja-JP"/>
        </w:rPr>
        <w:t xml:space="preserve"> or </w:t>
      </w:r>
      <w:proofErr w:type="spellStart"/>
      <w:r>
        <w:rPr>
          <w:lang w:eastAsia="ja-JP"/>
        </w:rPr>
        <w:t>crizotinib</w:t>
      </w:r>
      <w:proofErr w:type="spellEnd"/>
      <w:r>
        <w:rPr>
          <w:lang w:eastAsia="ja-JP"/>
        </w:rPr>
        <w:t xml:space="preserve">, stratified by race (Asian </w:t>
      </w:r>
      <w:r w:rsidR="00DB55D9">
        <w:rPr>
          <w:lang w:eastAsia="ja-JP"/>
        </w:rPr>
        <w:t>versus</w:t>
      </w:r>
      <w:r>
        <w:rPr>
          <w:lang w:eastAsia="ja-JP"/>
        </w:rPr>
        <w:t xml:space="preserve"> non-Asian), ECOG PS</w:t>
      </w:r>
      <w:r w:rsidR="00DB55D9">
        <w:rPr>
          <w:rStyle w:val="FootnoteReference"/>
          <w:lang w:eastAsia="ja-JP"/>
        </w:rPr>
        <w:footnoteReference w:id="16"/>
      </w:r>
      <w:r>
        <w:rPr>
          <w:lang w:eastAsia="ja-JP"/>
        </w:rPr>
        <w:t xml:space="preserve"> 0/1</w:t>
      </w:r>
      <w:r w:rsidR="00DB55D9">
        <w:rPr>
          <w:lang w:eastAsia="ja-JP"/>
        </w:rPr>
        <w:t xml:space="preserve"> versus </w:t>
      </w:r>
      <w:r>
        <w:rPr>
          <w:lang w:eastAsia="ja-JP"/>
        </w:rPr>
        <w:t xml:space="preserve">2 and presence (yes/no) of CNS metastases. Patients with ECOG performance status 0-2 were eligible, but </w:t>
      </w:r>
      <w:r w:rsidR="00500799">
        <w:rPr>
          <w:lang w:eastAsia="ja-JP"/>
        </w:rPr>
        <w:t>very</w:t>
      </w:r>
      <w:r>
        <w:rPr>
          <w:lang w:eastAsia="ja-JP"/>
        </w:rPr>
        <w:t xml:space="preserve"> few patients with ECOG PS 2 </w:t>
      </w:r>
      <w:r w:rsidR="00500799">
        <w:rPr>
          <w:lang w:eastAsia="ja-JP"/>
        </w:rPr>
        <w:t xml:space="preserve">were </w:t>
      </w:r>
      <w:r>
        <w:rPr>
          <w:lang w:eastAsia="ja-JP"/>
        </w:rPr>
        <w:t>enrolled</w:t>
      </w:r>
      <w:r w:rsidR="00500799">
        <w:rPr>
          <w:lang w:eastAsia="ja-JP"/>
        </w:rPr>
        <w:t>, hence</w:t>
      </w:r>
      <w:r>
        <w:rPr>
          <w:lang w:eastAsia="ja-JP"/>
        </w:rPr>
        <w:t xml:space="preserve"> efficacy and safety data are limited. Patients with asymptomatic CNS disease were eligible and could have been treated surgically or with </w:t>
      </w:r>
      <w:r w:rsidRPr="00372523">
        <w:rPr>
          <w:lang w:eastAsia="ja-JP"/>
        </w:rPr>
        <w:t>radiation treatment or had no prior therapy</w:t>
      </w:r>
      <w:r w:rsidR="00407466">
        <w:rPr>
          <w:lang w:eastAsia="ja-JP"/>
        </w:rPr>
        <w:t>.</w:t>
      </w:r>
    </w:p>
    <w:p w14:paraId="778E5CAD" w14:textId="0F85BEB3" w:rsidR="007120D3" w:rsidRDefault="007120D3" w:rsidP="004232F7">
      <w:pPr>
        <w:rPr>
          <w:lang w:eastAsia="ja-JP"/>
        </w:rPr>
      </w:pPr>
      <w:r w:rsidRPr="00372523">
        <w:rPr>
          <w:lang w:eastAsia="ja-JP"/>
        </w:rPr>
        <w:t xml:space="preserve">Baseline demographic and disease characteristics were reasonably balanced between the arms and reflect the population likely to present in Australia with ALK-positive lung cancer. Apart from the rates of CNS involvement and the lower proportion of adenocarcinoma subtype in the </w:t>
      </w:r>
      <w:proofErr w:type="spellStart"/>
      <w:r w:rsidRPr="00372523">
        <w:rPr>
          <w:lang w:eastAsia="ja-JP"/>
        </w:rPr>
        <w:t>alectinib</w:t>
      </w:r>
      <w:proofErr w:type="spellEnd"/>
      <w:r w:rsidRPr="00372523">
        <w:rPr>
          <w:lang w:eastAsia="ja-JP"/>
        </w:rPr>
        <w:t xml:space="preserve"> arm, the population was not dissimilar to those recruited in other ALK inhibitor first-line Phase III trials. Median </w:t>
      </w:r>
      <w:r w:rsidR="00DB55D9" w:rsidRPr="00372523">
        <w:rPr>
          <w:lang w:eastAsia="ja-JP"/>
        </w:rPr>
        <w:t>PFS</w:t>
      </w:r>
      <w:r w:rsidRPr="00372523">
        <w:rPr>
          <w:lang w:eastAsia="ja-JP"/>
        </w:rPr>
        <w:t xml:space="preserve"> was yet to be </w:t>
      </w:r>
      <w:r w:rsidRPr="00372523">
        <w:rPr>
          <w:lang w:eastAsia="ja-JP"/>
        </w:rPr>
        <w:lastRenderedPageBreak/>
        <w:t xml:space="preserve">reached by investigator (primary endpoint) in the </w:t>
      </w:r>
      <w:proofErr w:type="spellStart"/>
      <w:r w:rsidRPr="00372523">
        <w:rPr>
          <w:lang w:eastAsia="ja-JP"/>
        </w:rPr>
        <w:t>alectinib</w:t>
      </w:r>
      <w:proofErr w:type="spellEnd"/>
      <w:r w:rsidRPr="00372523">
        <w:rPr>
          <w:lang w:eastAsia="ja-JP"/>
        </w:rPr>
        <w:t xml:space="preserve"> arm and was 11.1 months (95% CI 9.1, 13.1) in the </w:t>
      </w:r>
      <w:proofErr w:type="spellStart"/>
      <w:r w:rsidRPr="00372523">
        <w:rPr>
          <w:lang w:eastAsia="ja-JP"/>
        </w:rPr>
        <w:t>crizotinib</w:t>
      </w:r>
      <w:proofErr w:type="spellEnd"/>
      <w:r w:rsidRPr="00372523">
        <w:rPr>
          <w:lang w:eastAsia="ja-JP"/>
        </w:rPr>
        <w:t xml:space="preserve"> arm. The hazard ratio for the risk of progression or death was 0.47 (95% CI 0.34, 0.65; p&lt;0.0001) in favour of </w:t>
      </w:r>
      <w:proofErr w:type="spellStart"/>
      <w:r w:rsidRPr="00372523">
        <w:rPr>
          <w:lang w:eastAsia="ja-JP"/>
        </w:rPr>
        <w:t>alectinib</w:t>
      </w:r>
      <w:proofErr w:type="spellEnd"/>
      <w:r w:rsidR="005C6902" w:rsidRPr="00372523">
        <w:rPr>
          <w:lang w:eastAsia="ja-JP"/>
        </w:rPr>
        <w:t>.</w:t>
      </w:r>
      <w:r w:rsidRPr="00372523">
        <w:rPr>
          <w:lang w:eastAsia="ja-JP"/>
        </w:rPr>
        <w:t xml:space="preserve"> The results for </w:t>
      </w:r>
      <w:proofErr w:type="spellStart"/>
      <w:r w:rsidRPr="00372523">
        <w:rPr>
          <w:lang w:eastAsia="ja-JP"/>
        </w:rPr>
        <w:t>crizotinib</w:t>
      </w:r>
      <w:proofErr w:type="spellEnd"/>
      <w:r w:rsidRPr="00372523">
        <w:rPr>
          <w:lang w:eastAsia="ja-JP"/>
        </w:rPr>
        <w:t xml:space="preserve"> arm were comparable with the 10.9 months reported in the Phase III PROFILE 1014 study comparing </w:t>
      </w:r>
      <w:proofErr w:type="spellStart"/>
      <w:r w:rsidRPr="00372523">
        <w:rPr>
          <w:lang w:eastAsia="ja-JP"/>
        </w:rPr>
        <w:t>crizotinib</w:t>
      </w:r>
      <w:proofErr w:type="spellEnd"/>
      <w:r w:rsidRPr="00372523">
        <w:rPr>
          <w:lang w:eastAsia="ja-JP"/>
        </w:rPr>
        <w:t xml:space="preserve"> with chemotherapy for first line systemic therapy of advanced disease.</w:t>
      </w:r>
      <w:r w:rsidR="00DB55D9" w:rsidRPr="00372523">
        <w:rPr>
          <w:vertAlign w:val="superscript"/>
          <w:lang w:eastAsia="ja-JP"/>
        </w:rPr>
        <w:fldChar w:fldCharType="begin"/>
      </w:r>
      <w:r w:rsidR="00DB55D9" w:rsidRPr="00372523">
        <w:rPr>
          <w:vertAlign w:val="superscript"/>
          <w:lang w:eastAsia="ja-JP"/>
        </w:rPr>
        <w:instrText xml:space="preserve"> NOTEREF _Ref505775053 \h  \* MERGEFORMAT </w:instrText>
      </w:r>
      <w:r w:rsidR="00DB55D9" w:rsidRPr="00372523">
        <w:rPr>
          <w:vertAlign w:val="superscript"/>
          <w:lang w:eastAsia="ja-JP"/>
        </w:rPr>
      </w:r>
      <w:r w:rsidR="00DB55D9" w:rsidRPr="00372523">
        <w:rPr>
          <w:vertAlign w:val="superscript"/>
          <w:lang w:eastAsia="ja-JP"/>
        </w:rPr>
        <w:fldChar w:fldCharType="separate"/>
      </w:r>
      <w:r w:rsidR="001D190B">
        <w:rPr>
          <w:vertAlign w:val="superscript"/>
          <w:lang w:eastAsia="ja-JP"/>
        </w:rPr>
        <w:t>7</w:t>
      </w:r>
      <w:r w:rsidR="00DB55D9" w:rsidRPr="00372523">
        <w:rPr>
          <w:vertAlign w:val="superscript"/>
          <w:lang w:eastAsia="ja-JP"/>
        </w:rPr>
        <w:fldChar w:fldCharType="end"/>
      </w:r>
      <w:r w:rsidR="004232F7" w:rsidRPr="00372523">
        <w:rPr>
          <w:lang w:eastAsia="ja-JP"/>
        </w:rPr>
        <w:t xml:space="preserve"> </w:t>
      </w:r>
      <w:r w:rsidRPr="00372523">
        <w:rPr>
          <w:lang w:eastAsia="ja-JP"/>
        </w:rPr>
        <w:t>Subgroup analyses confirmed superiority in all but those who were active smokers</w:t>
      </w:r>
      <w:r>
        <w:rPr>
          <w:lang w:eastAsia="ja-JP"/>
        </w:rPr>
        <w:t xml:space="preserve">, and crossed 1 for those of ECOG PS 2. Sensitivity analyses, including an independent review of PFS, were all supportive the primary efficacy endpoint findings. Observed responses were more durable in the </w:t>
      </w:r>
      <w:proofErr w:type="spellStart"/>
      <w:r>
        <w:rPr>
          <w:lang w:eastAsia="ja-JP"/>
        </w:rPr>
        <w:t>alectinib</w:t>
      </w:r>
      <w:proofErr w:type="spellEnd"/>
      <w:r>
        <w:rPr>
          <w:lang w:eastAsia="ja-JP"/>
        </w:rPr>
        <w:t xml:space="preserve"> arm than the </w:t>
      </w:r>
      <w:proofErr w:type="spellStart"/>
      <w:r>
        <w:rPr>
          <w:lang w:eastAsia="ja-JP"/>
        </w:rPr>
        <w:t>crizotinib</w:t>
      </w:r>
      <w:proofErr w:type="spellEnd"/>
      <w:r>
        <w:rPr>
          <w:lang w:eastAsia="ja-JP"/>
        </w:rPr>
        <w:t xml:space="preserve"> arm.</w:t>
      </w:r>
    </w:p>
    <w:p w14:paraId="11BB6DCD" w14:textId="77777777" w:rsidR="00407466" w:rsidRDefault="007120D3" w:rsidP="004232F7">
      <w:pPr>
        <w:rPr>
          <w:lang w:eastAsia="ja-JP"/>
        </w:rPr>
      </w:pPr>
      <w:r>
        <w:rPr>
          <w:lang w:eastAsia="ja-JP"/>
        </w:rPr>
        <w:t xml:space="preserve">The benefit of improvement in PFS was most evident in those with CNS progression without prior non-CNS progression and both agents at this time appear active to a similar extent against non-CNS systemic in the absence of CNS progression. </w:t>
      </w:r>
      <w:r w:rsidR="00AE4211">
        <w:rPr>
          <w:lang w:eastAsia="ja-JP"/>
        </w:rPr>
        <w:t>The c</w:t>
      </w:r>
      <w:r>
        <w:rPr>
          <w:lang w:eastAsia="ja-JP"/>
        </w:rPr>
        <w:t xml:space="preserve">umulative time to CNS progression was significantly longer in the </w:t>
      </w:r>
      <w:proofErr w:type="spellStart"/>
      <w:r>
        <w:rPr>
          <w:lang w:eastAsia="ja-JP"/>
        </w:rPr>
        <w:t>alectinib</w:t>
      </w:r>
      <w:proofErr w:type="spellEnd"/>
      <w:r>
        <w:rPr>
          <w:lang w:eastAsia="ja-JP"/>
        </w:rPr>
        <w:t xml:space="preserve"> arm compared with patients receiving </w:t>
      </w:r>
      <w:proofErr w:type="spellStart"/>
      <w:r>
        <w:rPr>
          <w:lang w:eastAsia="ja-JP"/>
        </w:rPr>
        <w:t>crizotinib</w:t>
      </w:r>
      <w:proofErr w:type="spellEnd"/>
      <w:r>
        <w:rPr>
          <w:lang w:eastAsia="ja-JP"/>
        </w:rPr>
        <w:t xml:space="preserve"> but w</w:t>
      </w:r>
      <w:r w:rsidR="00AE4211">
        <w:rPr>
          <w:lang w:eastAsia="ja-JP"/>
        </w:rPr>
        <w:t>as</w:t>
      </w:r>
      <w:r>
        <w:rPr>
          <w:lang w:eastAsia="ja-JP"/>
        </w:rPr>
        <w:t xml:space="preserve"> similar for non-CNS progression. Treatment with </w:t>
      </w:r>
      <w:proofErr w:type="spellStart"/>
      <w:r>
        <w:rPr>
          <w:lang w:eastAsia="ja-JP"/>
        </w:rPr>
        <w:t>alectinib</w:t>
      </w:r>
      <w:proofErr w:type="spellEnd"/>
      <w:r>
        <w:rPr>
          <w:lang w:eastAsia="ja-JP"/>
        </w:rPr>
        <w:t xml:space="preserve"> resulted in higher CNS response rates and longer time to CNS progression (based on IRC, </w:t>
      </w:r>
      <w:r w:rsidR="00AE4211" w:rsidRPr="00AE4211">
        <w:rPr>
          <w:lang w:eastAsia="ja-JP"/>
        </w:rPr>
        <w:t xml:space="preserve">Response Evaluation Criteria in Solid </w:t>
      </w:r>
      <w:proofErr w:type="spellStart"/>
      <w:r w:rsidR="00AE4211" w:rsidRPr="00AE4211">
        <w:rPr>
          <w:lang w:eastAsia="ja-JP"/>
        </w:rPr>
        <w:t>Tumors</w:t>
      </w:r>
      <w:proofErr w:type="spellEnd"/>
      <w:r w:rsidR="00AE4211" w:rsidRPr="00AE4211">
        <w:rPr>
          <w:lang w:eastAsia="ja-JP"/>
        </w:rPr>
        <w:t xml:space="preserve"> </w:t>
      </w:r>
      <w:r w:rsidR="00AE4211">
        <w:rPr>
          <w:lang w:eastAsia="ja-JP"/>
        </w:rPr>
        <w:t>(</w:t>
      </w:r>
      <w:r>
        <w:rPr>
          <w:lang w:eastAsia="ja-JP"/>
        </w:rPr>
        <w:t>RECIST</w:t>
      </w:r>
      <w:r w:rsidR="00AE4211">
        <w:rPr>
          <w:lang w:eastAsia="ja-JP"/>
        </w:rPr>
        <w:t>)</w:t>
      </w:r>
      <w:r>
        <w:rPr>
          <w:lang w:eastAsia="ja-JP"/>
        </w:rPr>
        <w:t xml:space="preserve"> assessments or </w:t>
      </w:r>
      <w:r w:rsidR="00AE4211" w:rsidRPr="00AE4211">
        <w:rPr>
          <w:lang w:eastAsia="ja-JP"/>
        </w:rPr>
        <w:t xml:space="preserve">Revised Assessment in Neuro Oncology </w:t>
      </w:r>
      <w:r w:rsidR="00AE4211">
        <w:rPr>
          <w:lang w:eastAsia="ja-JP"/>
        </w:rPr>
        <w:t>(</w:t>
      </w:r>
      <w:r>
        <w:rPr>
          <w:lang w:eastAsia="ja-JP"/>
        </w:rPr>
        <w:t>RANO</w:t>
      </w:r>
      <w:r w:rsidR="00AE4211">
        <w:rPr>
          <w:lang w:eastAsia="ja-JP"/>
        </w:rPr>
        <w:t>)</w:t>
      </w:r>
      <w:r>
        <w:rPr>
          <w:lang w:eastAsia="ja-JP"/>
        </w:rPr>
        <w:t xml:space="preserve"> assessments) of patients with both measurable and non-measurable disease. Although numbers were small, a higher response rate was consistently reported with </w:t>
      </w:r>
      <w:proofErr w:type="spellStart"/>
      <w:r>
        <w:rPr>
          <w:lang w:eastAsia="ja-JP"/>
        </w:rPr>
        <w:t>alectinib</w:t>
      </w:r>
      <w:proofErr w:type="spellEnd"/>
      <w:r>
        <w:rPr>
          <w:lang w:eastAsia="ja-JP"/>
        </w:rPr>
        <w:t xml:space="preserve">, in those who had received prior radiation or had no prior brain radiotherapy, compared with </w:t>
      </w:r>
      <w:proofErr w:type="spellStart"/>
      <w:r>
        <w:rPr>
          <w:lang w:eastAsia="ja-JP"/>
        </w:rPr>
        <w:t>crizotinib</w:t>
      </w:r>
      <w:proofErr w:type="spellEnd"/>
      <w:r w:rsidR="00407466">
        <w:rPr>
          <w:lang w:eastAsia="ja-JP"/>
        </w:rPr>
        <w:t>.</w:t>
      </w:r>
    </w:p>
    <w:p w14:paraId="5CAB728A" w14:textId="04C4ECC1" w:rsidR="007120D3" w:rsidRDefault="007120D3" w:rsidP="001F7691">
      <w:pPr>
        <w:rPr>
          <w:lang w:eastAsia="ja-JP"/>
        </w:rPr>
      </w:pPr>
      <w:r>
        <w:rPr>
          <w:lang w:eastAsia="ja-JP"/>
        </w:rPr>
        <w:t xml:space="preserve">Objective response rates by investigator assessments were not statistically significant between the two treatments, although numerically more patients achieved a complete response in the </w:t>
      </w:r>
      <w:proofErr w:type="spellStart"/>
      <w:r>
        <w:rPr>
          <w:lang w:eastAsia="ja-JP"/>
        </w:rPr>
        <w:t>alectinib</w:t>
      </w:r>
      <w:proofErr w:type="spellEnd"/>
      <w:r>
        <w:rPr>
          <w:lang w:eastAsia="ja-JP"/>
        </w:rPr>
        <w:t xml:space="preserve"> arm. IRC assessments of response rates, including reported </w:t>
      </w:r>
      <w:r w:rsidR="00AE4211" w:rsidRPr="00AE4211">
        <w:rPr>
          <w:lang w:eastAsia="ja-JP"/>
        </w:rPr>
        <w:t xml:space="preserve">complete response </w:t>
      </w:r>
      <w:r w:rsidR="00AE4211">
        <w:rPr>
          <w:lang w:eastAsia="ja-JP"/>
        </w:rPr>
        <w:t>(</w:t>
      </w:r>
      <w:r>
        <w:rPr>
          <w:lang w:eastAsia="ja-JP"/>
        </w:rPr>
        <w:t>CR</w:t>
      </w:r>
      <w:r w:rsidR="00AE4211">
        <w:rPr>
          <w:lang w:eastAsia="ja-JP"/>
        </w:rPr>
        <w:t>)</w:t>
      </w:r>
      <w:r>
        <w:rPr>
          <w:lang w:eastAsia="ja-JP"/>
        </w:rPr>
        <w:t xml:space="preserve">, were higher in the </w:t>
      </w:r>
      <w:proofErr w:type="spellStart"/>
      <w:r>
        <w:rPr>
          <w:lang w:eastAsia="ja-JP"/>
        </w:rPr>
        <w:t>alectinib</w:t>
      </w:r>
      <w:proofErr w:type="spellEnd"/>
      <w:r>
        <w:rPr>
          <w:lang w:eastAsia="ja-JP"/>
        </w:rPr>
        <w:t xml:space="preserve"> arm than the investigator arm. The median duration of response has yet to be reached in the </w:t>
      </w:r>
      <w:proofErr w:type="spellStart"/>
      <w:r>
        <w:rPr>
          <w:lang w:eastAsia="ja-JP"/>
        </w:rPr>
        <w:t>alectinib</w:t>
      </w:r>
      <w:proofErr w:type="spellEnd"/>
      <w:r>
        <w:rPr>
          <w:lang w:eastAsia="ja-JP"/>
        </w:rPr>
        <w:t xml:space="preserve"> arm and was 11.1 months (95% CI: 7.9, 13.0) in the </w:t>
      </w:r>
      <w:proofErr w:type="spellStart"/>
      <w:r>
        <w:rPr>
          <w:lang w:eastAsia="ja-JP"/>
        </w:rPr>
        <w:t>crizotinib</w:t>
      </w:r>
      <w:proofErr w:type="spellEnd"/>
      <w:r>
        <w:rPr>
          <w:lang w:eastAsia="ja-JP"/>
        </w:rPr>
        <w:t xml:space="preserve"> arm.</w:t>
      </w:r>
    </w:p>
    <w:p w14:paraId="3855FD49" w14:textId="77777777" w:rsidR="007120D3" w:rsidRDefault="007120D3" w:rsidP="001F7691">
      <w:pPr>
        <w:rPr>
          <w:lang w:eastAsia="ja-JP"/>
        </w:rPr>
      </w:pPr>
      <w:r>
        <w:rPr>
          <w:lang w:eastAsia="ja-JP"/>
        </w:rPr>
        <w:t xml:space="preserve">Overall survival data are immature and the effect of treatment switching to </w:t>
      </w:r>
      <w:proofErr w:type="spellStart"/>
      <w:r>
        <w:rPr>
          <w:lang w:eastAsia="ja-JP"/>
        </w:rPr>
        <w:t>alectinib</w:t>
      </w:r>
      <w:proofErr w:type="spellEnd"/>
      <w:r>
        <w:rPr>
          <w:lang w:eastAsia="ja-JP"/>
        </w:rPr>
        <w:t xml:space="preserve"> from the </w:t>
      </w:r>
      <w:proofErr w:type="spellStart"/>
      <w:r>
        <w:rPr>
          <w:lang w:eastAsia="ja-JP"/>
        </w:rPr>
        <w:t>crizotinib</w:t>
      </w:r>
      <w:proofErr w:type="spellEnd"/>
      <w:r>
        <w:rPr>
          <w:lang w:eastAsia="ja-JP"/>
        </w:rPr>
        <w:t xml:space="preserve"> arm and of subsequent therapies in both arms known to affect survival, may make results difficult to interpret. It is recommended that these results be submitted to the TGA when available.</w:t>
      </w:r>
    </w:p>
    <w:p w14:paraId="55E2BB9A" w14:textId="77777777" w:rsidR="007120D3" w:rsidRPr="00DA15E6" w:rsidRDefault="007120D3" w:rsidP="001F7691">
      <w:pPr>
        <w:pStyle w:val="Heading4"/>
        <w:rPr>
          <w:lang w:eastAsia="ja-JP"/>
        </w:rPr>
      </w:pPr>
      <w:r w:rsidRPr="00DA15E6">
        <w:rPr>
          <w:lang w:eastAsia="ja-JP"/>
        </w:rPr>
        <w:t>Selection of patients for treatment</w:t>
      </w:r>
    </w:p>
    <w:p w14:paraId="0A0D74DE" w14:textId="77777777" w:rsidR="00407466" w:rsidRDefault="007120D3" w:rsidP="001F7691">
      <w:pPr>
        <w:rPr>
          <w:lang w:eastAsia="ja-JP"/>
        </w:rPr>
      </w:pPr>
      <w:r>
        <w:rPr>
          <w:lang w:eastAsia="ja-JP"/>
        </w:rPr>
        <w:t xml:space="preserve">PFS based on a retrospective </w:t>
      </w:r>
      <w:r w:rsidR="003F09AB">
        <w:rPr>
          <w:lang w:eastAsia="ja-JP"/>
        </w:rPr>
        <w:t>assessment and</w:t>
      </w:r>
      <w:r>
        <w:rPr>
          <w:lang w:eastAsia="ja-JP"/>
        </w:rPr>
        <w:t xml:space="preserve"> limited to those who tested positive for ALK status by </w:t>
      </w:r>
      <w:proofErr w:type="spellStart"/>
      <w:r>
        <w:rPr>
          <w:lang w:eastAsia="ja-JP"/>
        </w:rPr>
        <w:t>Vysis</w:t>
      </w:r>
      <w:proofErr w:type="spellEnd"/>
      <w:r>
        <w:rPr>
          <w:lang w:eastAsia="ja-JP"/>
        </w:rPr>
        <w:t xml:space="preserve"> FISH was supportive of a superior treatment effect with </w:t>
      </w:r>
      <w:proofErr w:type="spellStart"/>
      <w:r>
        <w:rPr>
          <w:lang w:eastAsia="ja-JP"/>
        </w:rPr>
        <w:t>alectinib</w:t>
      </w:r>
      <w:proofErr w:type="spellEnd"/>
      <w:r>
        <w:rPr>
          <w:lang w:eastAsia="ja-JP"/>
        </w:rPr>
        <w:t xml:space="preserve">. Notably, results were not available or were negative for 100/303 study participants (61 patients no result possible, 39 patients tested negative), therefore only 66% of patients tested positive for both </w:t>
      </w:r>
      <w:proofErr w:type="spellStart"/>
      <w:r>
        <w:rPr>
          <w:lang w:eastAsia="ja-JP"/>
        </w:rPr>
        <w:t>Ventana</w:t>
      </w:r>
      <w:proofErr w:type="spellEnd"/>
      <w:r>
        <w:rPr>
          <w:lang w:eastAsia="ja-JP"/>
        </w:rPr>
        <w:t xml:space="preserve"> IHC/</w:t>
      </w:r>
      <w:proofErr w:type="spellStart"/>
      <w:r>
        <w:rPr>
          <w:lang w:eastAsia="ja-JP"/>
        </w:rPr>
        <w:t>Vysis</w:t>
      </w:r>
      <w:proofErr w:type="spellEnd"/>
      <w:r>
        <w:rPr>
          <w:lang w:eastAsia="ja-JP"/>
        </w:rPr>
        <w:t xml:space="preserve"> FISH. The </w:t>
      </w:r>
      <w:r w:rsidR="00AE4211">
        <w:rPr>
          <w:lang w:eastAsia="ja-JP"/>
        </w:rPr>
        <w:t>s</w:t>
      </w:r>
      <w:r>
        <w:rPr>
          <w:lang w:eastAsia="ja-JP"/>
        </w:rPr>
        <w:t xml:space="preserve">ponsor provided additional data which indicate, that of the 39 tumours that were negative for FISH and positive by IHC treated with either </w:t>
      </w:r>
      <w:proofErr w:type="spellStart"/>
      <w:r>
        <w:rPr>
          <w:lang w:eastAsia="ja-JP"/>
        </w:rPr>
        <w:t>alectinib</w:t>
      </w:r>
      <w:proofErr w:type="spellEnd"/>
      <w:r>
        <w:rPr>
          <w:lang w:eastAsia="ja-JP"/>
        </w:rPr>
        <w:t xml:space="preserve"> or </w:t>
      </w:r>
      <w:proofErr w:type="spellStart"/>
      <w:r>
        <w:rPr>
          <w:lang w:eastAsia="ja-JP"/>
        </w:rPr>
        <w:t>crizotinib</w:t>
      </w:r>
      <w:proofErr w:type="spellEnd"/>
      <w:r>
        <w:rPr>
          <w:lang w:eastAsia="ja-JP"/>
        </w:rPr>
        <w:t xml:space="preserve">, a 36% ORR was observed, including a complete response in one patient receiving </w:t>
      </w:r>
      <w:proofErr w:type="spellStart"/>
      <w:r>
        <w:rPr>
          <w:lang w:eastAsia="ja-JP"/>
        </w:rPr>
        <w:t>alectinib</w:t>
      </w:r>
      <w:proofErr w:type="spellEnd"/>
      <w:r>
        <w:rPr>
          <w:lang w:eastAsia="ja-JP"/>
        </w:rPr>
        <w:t xml:space="preserve"> and partial responses and stable disease reported by investigators in a further thirteen and ten patients, respectively</w:t>
      </w:r>
      <w:r w:rsidR="00AE4211">
        <w:rPr>
          <w:lang w:eastAsia="ja-JP"/>
        </w:rPr>
        <w:t>,</w:t>
      </w:r>
      <w:r>
        <w:rPr>
          <w:lang w:eastAsia="ja-JP"/>
        </w:rPr>
        <w:t xml:space="preserve"> with either drug. No </w:t>
      </w:r>
      <w:proofErr w:type="spellStart"/>
      <w:r>
        <w:rPr>
          <w:lang w:eastAsia="ja-JP"/>
        </w:rPr>
        <w:t>Vysis</w:t>
      </w:r>
      <w:proofErr w:type="spellEnd"/>
      <w:r>
        <w:rPr>
          <w:lang w:eastAsia="ja-JP"/>
        </w:rPr>
        <w:t xml:space="preserve"> FISH results were presented for 61 samples (20.1% of all samples) due to a combination of limitations with the sample (n=28, 9.2%) or uninterpretable results (n=33, 10.9%). The </w:t>
      </w:r>
      <w:r w:rsidR="00AE4211">
        <w:rPr>
          <w:lang w:eastAsia="ja-JP"/>
        </w:rPr>
        <w:t>clinical e</w:t>
      </w:r>
      <w:r>
        <w:rPr>
          <w:lang w:eastAsia="ja-JP"/>
        </w:rPr>
        <w:t>valuator did not request a breakdown of the treatment outcomes in this last group but issues with interpretation of the results and availability of an adequate sample, signal limitations with requiring this additional test</w:t>
      </w:r>
      <w:r w:rsidR="00407466">
        <w:rPr>
          <w:lang w:eastAsia="ja-JP"/>
        </w:rPr>
        <w:t>.</w:t>
      </w:r>
    </w:p>
    <w:p w14:paraId="2D3044A5" w14:textId="77777777" w:rsidR="00407466" w:rsidRDefault="007120D3" w:rsidP="001F7691">
      <w:pPr>
        <w:rPr>
          <w:lang w:eastAsia="ja-JP"/>
        </w:rPr>
      </w:pPr>
      <w:r>
        <w:rPr>
          <w:lang w:eastAsia="ja-JP"/>
        </w:rPr>
        <w:t xml:space="preserve">It is noted that the FDA has approved the </w:t>
      </w:r>
      <w:proofErr w:type="spellStart"/>
      <w:r>
        <w:rPr>
          <w:lang w:eastAsia="ja-JP"/>
        </w:rPr>
        <w:t>Ventana</w:t>
      </w:r>
      <w:proofErr w:type="spellEnd"/>
      <w:r>
        <w:rPr>
          <w:lang w:eastAsia="ja-JP"/>
        </w:rPr>
        <w:t xml:space="preserve"> ALK D5F3 assay as a companion diagnostic for </w:t>
      </w:r>
      <w:proofErr w:type="spellStart"/>
      <w:r>
        <w:rPr>
          <w:lang w:eastAsia="ja-JP"/>
        </w:rPr>
        <w:t>ceritinib</w:t>
      </w:r>
      <w:proofErr w:type="spellEnd"/>
      <w:r>
        <w:rPr>
          <w:lang w:eastAsia="ja-JP"/>
        </w:rPr>
        <w:t xml:space="preserve"> and </w:t>
      </w:r>
      <w:proofErr w:type="spellStart"/>
      <w:r>
        <w:rPr>
          <w:lang w:eastAsia="ja-JP"/>
        </w:rPr>
        <w:t>crizotinib</w:t>
      </w:r>
      <w:proofErr w:type="spellEnd"/>
      <w:r>
        <w:rPr>
          <w:lang w:eastAsia="ja-JP"/>
        </w:rPr>
        <w:t xml:space="preserve"> and while not currently seen on the FDA Companion Diagnostics list on their website, the updated US label for </w:t>
      </w:r>
      <w:proofErr w:type="spellStart"/>
      <w:r>
        <w:rPr>
          <w:lang w:eastAsia="ja-JP"/>
        </w:rPr>
        <w:t>alectinib</w:t>
      </w:r>
      <w:proofErr w:type="spellEnd"/>
      <w:r>
        <w:rPr>
          <w:lang w:eastAsia="ja-JP"/>
        </w:rPr>
        <w:t xml:space="preserve"> includes this assay in the Clinical Trials section following the very recent first line approval.</w:t>
      </w:r>
      <w:r w:rsidRPr="00114BA5">
        <w:rPr>
          <w:lang w:eastAsia="ja-JP"/>
        </w:rPr>
        <w:t xml:space="preserve"> </w:t>
      </w:r>
      <w:r>
        <w:rPr>
          <w:lang w:eastAsia="ja-JP"/>
        </w:rPr>
        <w:t xml:space="preserve">The data from this trial suggest a high and clinically relevant false negative rate with the </w:t>
      </w:r>
      <w:proofErr w:type="spellStart"/>
      <w:r>
        <w:rPr>
          <w:lang w:eastAsia="ja-JP"/>
        </w:rPr>
        <w:t>Vysis</w:t>
      </w:r>
      <w:proofErr w:type="spellEnd"/>
      <w:r>
        <w:rPr>
          <w:lang w:eastAsia="ja-JP"/>
        </w:rPr>
        <w:t xml:space="preserve"> FISH test </w:t>
      </w:r>
      <w:r>
        <w:rPr>
          <w:lang w:eastAsia="ja-JP"/>
        </w:rPr>
        <w:lastRenderedPageBreak/>
        <w:t xml:space="preserve">(where it was possible to obtain a result), with 12.8% discordance with the ALK IHC results for the overall study population, and 62% of these patients achieving the clinically relevant outcome </w:t>
      </w:r>
      <w:r w:rsidR="00685E2B">
        <w:rPr>
          <w:lang w:eastAsia="ja-JP"/>
        </w:rPr>
        <w:t xml:space="preserve">as </w:t>
      </w:r>
      <w:r>
        <w:rPr>
          <w:lang w:eastAsia="ja-JP"/>
        </w:rPr>
        <w:t xml:space="preserve">a complete or partial remission or stable disease. These patients would not have been deemed eligible based on </w:t>
      </w:r>
      <w:proofErr w:type="spellStart"/>
      <w:r>
        <w:rPr>
          <w:lang w:eastAsia="ja-JP"/>
        </w:rPr>
        <w:t>Vysis</w:t>
      </w:r>
      <w:proofErr w:type="spellEnd"/>
      <w:r>
        <w:rPr>
          <w:lang w:eastAsia="ja-JP"/>
        </w:rPr>
        <w:t xml:space="preserve"> FISH for this treatment or for the growing list of effective ALK inhibitors; furthermore, these patients would not be eligible for clinical trials evaluating optimal sequencing or new agents if they have not received prior treatment with ALK inhibitors if eligibility in Australia remains driven by FISH results. The </w:t>
      </w:r>
      <w:r w:rsidR="00881B2C">
        <w:rPr>
          <w:lang w:eastAsia="ja-JP"/>
        </w:rPr>
        <w:t>clinical e</w:t>
      </w:r>
      <w:r>
        <w:rPr>
          <w:lang w:eastAsia="ja-JP"/>
        </w:rPr>
        <w:t>valuator has recommended inclusion of the efficacy outcomes for those who are ALK IHC-positive/</w:t>
      </w:r>
      <w:proofErr w:type="spellStart"/>
      <w:r>
        <w:rPr>
          <w:lang w:eastAsia="ja-JP"/>
        </w:rPr>
        <w:t>Vysis</w:t>
      </w:r>
      <w:proofErr w:type="spellEnd"/>
      <w:r>
        <w:rPr>
          <w:lang w:eastAsia="ja-JP"/>
        </w:rPr>
        <w:t xml:space="preserve"> FISH-negative to inform patients and prescribers. For the following reasons, re-evaluation of the data supporting the need for </w:t>
      </w:r>
      <w:proofErr w:type="spellStart"/>
      <w:r>
        <w:rPr>
          <w:lang w:eastAsia="ja-JP"/>
        </w:rPr>
        <w:t>Vysis</w:t>
      </w:r>
      <w:proofErr w:type="spellEnd"/>
      <w:r>
        <w:rPr>
          <w:lang w:eastAsia="ja-JP"/>
        </w:rPr>
        <w:t xml:space="preserve"> FISH confirmation is required: the clinical utility of the VENTANA ALK (D5F3) IHC assay and the significant false positive rate with the </w:t>
      </w:r>
      <w:proofErr w:type="spellStart"/>
      <w:r>
        <w:rPr>
          <w:lang w:eastAsia="ja-JP"/>
        </w:rPr>
        <w:t>Vysis</w:t>
      </w:r>
      <w:proofErr w:type="spellEnd"/>
      <w:r>
        <w:rPr>
          <w:lang w:eastAsia="ja-JP"/>
        </w:rPr>
        <w:t xml:space="preserve"> FISH demonstrated in this trial, the use of the IHC to select patients not only in this trial, but also in the first line </w:t>
      </w:r>
      <w:proofErr w:type="spellStart"/>
      <w:r>
        <w:rPr>
          <w:lang w:eastAsia="ja-JP"/>
        </w:rPr>
        <w:t>ceritinib</w:t>
      </w:r>
      <w:proofErr w:type="spellEnd"/>
      <w:r>
        <w:rPr>
          <w:lang w:eastAsia="ja-JP"/>
        </w:rPr>
        <w:t xml:space="preserve"> study published this year</w:t>
      </w:r>
      <w:r w:rsidR="00881B2C" w:rsidRPr="00881B2C">
        <w:rPr>
          <w:vertAlign w:val="superscript"/>
          <w:lang w:eastAsia="ja-JP"/>
        </w:rPr>
        <w:fldChar w:fldCharType="begin"/>
      </w:r>
      <w:r w:rsidR="00881B2C" w:rsidRPr="00881B2C">
        <w:rPr>
          <w:vertAlign w:val="superscript"/>
          <w:lang w:eastAsia="ja-JP"/>
        </w:rPr>
        <w:instrText xml:space="preserve"> NOTEREF _Ref505775843 \h </w:instrText>
      </w:r>
      <w:r w:rsidR="00881B2C">
        <w:rPr>
          <w:vertAlign w:val="superscript"/>
          <w:lang w:eastAsia="ja-JP"/>
        </w:rPr>
        <w:instrText xml:space="preserve"> \* MERGEFORMAT </w:instrText>
      </w:r>
      <w:r w:rsidR="00881B2C" w:rsidRPr="00881B2C">
        <w:rPr>
          <w:vertAlign w:val="superscript"/>
          <w:lang w:eastAsia="ja-JP"/>
        </w:rPr>
      </w:r>
      <w:r w:rsidR="00881B2C" w:rsidRPr="00881B2C">
        <w:rPr>
          <w:vertAlign w:val="superscript"/>
          <w:lang w:eastAsia="ja-JP"/>
        </w:rPr>
        <w:fldChar w:fldCharType="separate"/>
      </w:r>
      <w:r w:rsidR="001D190B">
        <w:rPr>
          <w:vertAlign w:val="superscript"/>
          <w:lang w:eastAsia="ja-JP"/>
        </w:rPr>
        <w:t>15</w:t>
      </w:r>
      <w:r w:rsidR="00881B2C" w:rsidRPr="00881B2C">
        <w:rPr>
          <w:vertAlign w:val="superscript"/>
          <w:lang w:eastAsia="ja-JP"/>
        </w:rPr>
        <w:fldChar w:fldCharType="end"/>
      </w:r>
      <w:r>
        <w:rPr>
          <w:lang w:eastAsia="ja-JP"/>
        </w:rPr>
        <w:t xml:space="preserve"> which resulted in the recent FDA approvals of the </w:t>
      </w:r>
      <w:proofErr w:type="spellStart"/>
      <w:r>
        <w:rPr>
          <w:lang w:eastAsia="ja-JP"/>
        </w:rPr>
        <w:t>Ventana</w:t>
      </w:r>
      <w:proofErr w:type="spellEnd"/>
      <w:r>
        <w:rPr>
          <w:lang w:eastAsia="ja-JP"/>
        </w:rPr>
        <w:t xml:space="preserve"> ALK (D5F3) IHC assay as a companion diagnostic for all three ALK inhibitors currently approved in Australia</w:t>
      </w:r>
      <w:r w:rsidR="00407466">
        <w:rPr>
          <w:lang w:eastAsia="ja-JP"/>
        </w:rPr>
        <w:t>.</w:t>
      </w:r>
    </w:p>
    <w:p w14:paraId="2F5912C7" w14:textId="41491ED2" w:rsidR="007120D3" w:rsidRDefault="007120D3" w:rsidP="001F7691">
      <w:pPr>
        <w:rPr>
          <w:lang w:eastAsia="ja-JP"/>
        </w:rPr>
      </w:pPr>
      <w:r>
        <w:rPr>
          <w:lang w:eastAsia="ja-JP"/>
        </w:rPr>
        <w:t xml:space="preserve">The </w:t>
      </w:r>
      <w:r w:rsidR="00881B2C">
        <w:rPr>
          <w:lang w:eastAsia="ja-JP"/>
        </w:rPr>
        <w:t>clinical e</w:t>
      </w:r>
      <w:r>
        <w:rPr>
          <w:lang w:eastAsia="ja-JP"/>
        </w:rPr>
        <w:t xml:space="preserve">valuator does not accept the </w:t>
      </w:r>
      <w:r w:rsidR="00881B2C">
        <w:rPr>
          <w:lang w:eastAsia="ja-JP"/>
        </w:rPr>
        <w:t>s</w:t>
      </w:r>
      <w:r>
        <w:rPr>
          <w:lang w:eastAsia="ja-JP"/>
        </w:rPr>
        <w:t xml:space="preserve">ponsor’s rationale for, and self-classification of the </w:t>
      </w:r>
      <w:proofErr w:type="spellStart"/>
      <w:r>
        <w:rPr>
          <w:lang w:eastAsia="ja-JP"/>
        </w:rPr>
        <w:t>Ventana</w:t>
      </w:r>
      <w:proofErr w:type="spellEnd"/>
      <w:r>
        <w:rPr>
          <w:lang w:eastAsia="ja-JP"/>
        </w:rPr>
        <w:t xml:space="preserve"> ALK (D5F3) IHC assay as a Class 2 in </w:t>
      </w:r>
      <w:r w:rsidR="00881B2C" w:rsidRPr="00881B2C">
        <w:rPr>
          <w:lang w:eastAsia="ja-JP"/>
        </w:rPr>
        <w:t xml:space="preserve">in-vitro diagnostic medical devices </w:t>
      </w:r>
      <w:r w:rsidR="00881B2C">
        <w:rPr>
          <w:lang w:eastAsia="ja-JP"/>
        </w:rPr>
        <w:t>(</w:t>
      </w:r>
      <w:r>
        <w:rPr>
          <w:lang w:eastAsia="ja-JP"/>
        </w:rPr>
        <w:t>IVD</w:t>
      </w:r>
      <w:r w:rsidR="00881B2C">
        <w:rPr>
          <w:lang w:eastAsia="ja-JP"/>
        </w:rPr>
        <w:t>)</w:t>
      </w:r>
      <w:r>
        <w:rPr>
          <w:lang w:eastAsia="ja-JP"/>
        </w:rPr>
        <w:t xml:space="preserve"> and considers it to be a Class 3 IVD given its role in the selection of patients for </w:t>
      </w:r>
      <w:r w:rsidR="003F09AB">
        <w:rPr>
          <w:lang w:eastAsia="ja-JP"/>
        </w:rPr>
        <w:t>this cancer</w:t>
      </w:r>
      <w:r>
        <w:rPr>
          <w:lang w:eastAsia="ja-JP"/>
        </w:rPr>
        <w:t xml:space="preserve"> therapy in this trial and the use of IHC as pre-screening prior to FISH testing in Australia. It is recommended that an application be required for inclusion as a Class 3 IVD.</w:t>
      </w:r>
    </w:p>
    <w:p w14:paraId="07322B45" w14:textId="77777777" w:rsidR="007120D3" w:rsidRPr="000631D2" w:rsidRDefault="007120D3" w:rsidP="001F7691">
      <w:pPr>
        <w:pStyle w:val="Heading4"/>
        <w:rPr>
          <w:lang w:eastAsia="ja-JP"/>
        </w:rPr>
      </w:pPr>
      <w:r w:rsidRPr="000631D2">
        <w:rPr>
          <w:lang w:eastAsia="ja-JP"/>
        </w:rPr>
        <w:t>Conclusion</w:t>
      </w:r>
    </w:p>
    <w:p w14:paraId="2AB2BAC7" w14:textId="77777777" w:rsidR="007120D3" w:rsidRDefault="007120D3" w:rsidP="001F7691">
      <w:pPr>
        <w:rPr>
          <w:lang w:eastAsia="ja-JP"/>
        </w:rPr>
      </w:pPr>
      <w:r>
        <w:rPr>
          <w:lang w:eastAsia="ja-JP"/>
        </w:rPr>
        <w:t xml:space="preserve">Overall, these data support a highly statistically significant and clinically important improvement in efficacy outcomes for patients with metastatic ALK-positive NSCLC when treated with </w:t>
      </w:r>
      <w:proofErr w:type="spellStart"/>
      <w:r>
        <w:rPr>
          <w:lang w:eastAsia="ja-JP"/>
        </w:rPr>
        <w:t>alectinib</w:t>
      </w:r>
      <w:proofErr w:type="spellEnd"/>
      <w:r>
        <w:rPr>
          <w:lang w:eastAsia="ja-JP"/>
        </w:rPr>
        <w:t xml:space="preserve"> compared with the current standard of care, </w:t>
      </w:r>
      <w:proofErr w:type="spellStart"/>
      <w:r>
        <w:rPr>
          <w:lang w:eastAsia="ja-JP"/>
        </w:rPr>
        <w:t>crizotinib</w:t>
      </w:r>
      <w:proofErr w:type="spellEnd"/>
      <w:r>
        <w:rPr>
          <w:lang w:eastAsia="ja-JP"/>
        </w:rPr>
        <w:t>.</w:t>
      </w:r>
    </w:p>
    <w:p w14:paraId="25B42D6D" w14:textId="77777777" w:rsidR="008E7846" w:rsidRPr="002E238E" w:rsidRDefault="008E7846" w:rsidP="008E7846">
      <w:pPr>
        <w:pStyle w:val="Heading3"/>
      </w:pPr>
      <w:bookmarkStart w:id="70" w:name="_Toc163441378"/>
      <w:bookmarkStart w:id="71" w:name="_Toc196046495"/>
      <w:bookmarkStart w:id="72" w:name="_Toc247691522"/>
      <w:bookmarkStart w:id="73" w:name="_Toc314842505"/>
      <w:bookmarkStart w:id="74" w:name="_Toc509821968"/>
      <w:bookmarkEnd w:id="66"/>
      <w:bookmarkEnd w:id="67"/>
      <w:bookmarkEnd w:id="68"/>
      <w:bookmarkEnd w:id="69"/>
      <w:r w:rsidRPr="002E238E">
        <w:t>Safety</w:t>
      </w:r>
      <w:bookmarkEnd w:id="70"/>
      <w:bookmarkEnd w:id="71"/>
      <w:bookmarkEnd w:id="72"/>
      <w:bookmarkEnd w:id="73"/>
      <w:bookmarkEnd w:id="74"/>
    </w:p>
    <w:p w14:paraId="0C3F6CDE" w14:textId="77777777" w:rsidR="00605AD4" w:rsidRDefault="00605AD4" w:rsidP="00605AD4">
      <w:pPr>
        <w:pStyle w:val="Heading4"/>
      </w:pPr>
      <w:bookmarkStart w:id="75" w:name="_Toc247691524"/>
      <w:bookmarkStart w:id="76" w:name="_Toc314842508"/>
      <w:bookmarkStart w:id="77" w:name="_Toc196046504"/>
      <w:bookmarkStart w:id="78" w:name="_Toc163441390"/>
      <w:r w:rsidRPr="00605AD4">
        <w:t>Studies providing safety data</w:t>
      </w:r>
    </w:p>
    <w:p w14:paraId="784031F3" w14:textId="77777777" w:rsidR="001F7691" w:rsidRPr="00605AD4" w:rsidRDefault="007120D3" w:rsidP="001F7691">
      <w:pPr>
        <w:pStyle w:val="Heading5"/>
      </w:pPr>
      <w:r w:rsidRPr="00D06AD9">
        <w:rPr>
          <w:b w:val="0"/>
          <w:i w:val="0"/>
        </w:rPr>
        <w:t>Safety data are from the pivotal randomised Phase III AL</w:t>
      </w:r>
      <w:r w:rsidR="001F7691">
        <w:rPr>
          <w:b w:val="0"/>
          <w:i w:val="0"/>
        </w:rPr>
        <w:t>EX study.</w:t>
      </w:r>
    </w:p>
    <w:p w14:paraId="51C9250C" w14:textId="77777777" w:rsidR="00605AD4" w:rsidRDefault="00605AD4" w:rsidP="007120D3">
      <w:pPr>
        <w:pStyle w:val="Heading4"/>
      </w:pPr>
      <w:r w:rsidRPr="00605AD4">
        <w:t>Patient exposure</w:t>
      </w:r>
    </w:p>
    <w:p w14:paraId="2C9F1B3F" w14:textId="77777777" w:rsidR="007120D3" w:rsidRDefault="007120D3" w:rsidP="001F7691">
      <w:pPr>
        <w:rPr>
          <w:lang w:val="en-US"/>
        </w:rPr>
      </w:pPr>
      <w:r w:rsidRPr="00AC2DB2">
        <w:rPr>
          <w:lang w:val="en-US"/>
        </w:rPr>
        <w:t>All patients in the ITT Population received at least one dose of study drug and were included in the Safety Population.</w:t>
      </w:r>
    </w:p>
    <w:p w14:paraId="6EE50A37" w14:textId="77777777" w:rsidR="007120D3" w:rsidRPr="00083CF0" w:rsidRDefault="007120D3" w:rsidP="001F7691">
      <w:pPr>
        <w:rPr>
          <w:rFonts w:asciiTheme="minorHAnsi" w:eastAsiaTheme="minorHAnsi" w:hAnsiTheme="minorHAnsi" w:cs="'92]ˇ"/>
          <w:lang w:val="en-US"/>
        </w:rPr>
      </w:pPr>
      <w:r w:rsidRPr="00AC2DB2">
        <w:rPr>
          <w:rFonts w:asciiTheme="minorHAnsi" w:eastAsiaTheme="minorHAnsi" w:hAnsiTheme="minorHAnsi" w:cs="'92]ˇ"/>
          <w:color w:val="000000"/>
          <w:lang w:val="en-US"/>
        </w:rPr>
        <w:t xml:space="preserve">The median duration of treatment was notably shorter in patients in the </w:t>
      </w:r>
      <w:proofErr w:type="spellStart"/>
      <w:r w:rsidRPr="00AC2DB2">
        <w:rPr>
          <w:rFonts w:asciiTheme="minorHAnsi" w:eastAsiaTheme="minorHAnsi" w:hAnsiTheme="minorHAnsi" w:cs="'92]ˇ"/>
          <w:color w:val="000000"/>
          <w:lang w:val="en-US"/>
        </w:rPr>
        <w:t>crizotinib</w:t>
      </w:r>
      <w:proofErr w:type="spellEnd"/>
      <w:r w:rsidRPr="00AC2DB2">
        <w:rPr>
          <w:rFonts w:asciiTheme="minorHAnsi" w:eastAsiaTheme="minorHAnsi" w:hAnsiTheme="minorHAnsi" w:cs="'92]ˇ"/>
          <w:color w:val="000000"/>
          <w:lang w:val="en-US"/>
        </w:rPr>
        <w:t xml:space="preserve"> arm</w:t>
      </w:r>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(10.7 months; range: 0</w:t>
      </w:r>
      <w:r w:rsidR="00881B2C">
        <w:rPr>
          <w:rFonts w:asciiTheme="minorHAnsi" w:eastAsiaTheme="minorHAnsi" w:hAnsiTheme="minorHAnsi" w:cs="'92]ˇ"/>
          <w:color w:val="000000"/>
          <w:lang w:val="en-US"/>
        </w:rPr>
        <w:t xml:space="preserve"> to </w:t>
      </w:r>
      <w:r w:rsidRPr="00AC2DB2">
        <w:rPr>
          <w:rFonts w:asciiTheme="minorHAnsi" w:eastAsiaTheme="minorHAnsi" w:hAnsiTheme="minorHAnsi" w:cs="'92]ˇ"/>
          <w:color w:val="000000"/>
          <w:lang w:val="en-US"/>
        </w:rPr>
        <w:t xml:space="preserve">27 months) compared with the </w:t>
      </w:r>
      <w:proofErr w:type="spellStart"/>
      <w:r w:rsidRPr="00AC2DB2">
        <w:rPr>
          <w:rFonts w:asciiTheme="minorHAnsi" w:eastAsiaTheme="minorHAnsi" w:hAnsiTheme="minorHAnsi" w:cs="'92]ˇ"/>
          <w:color w:val="000000"/>
          <w:lang w:val="en-US"/>
        </w:rPr>
        <w:t>alectinib</w:t>
      </w:r>
      <w:proofErr w:type="spellEnd"/>
      <w:r w:rsidRPr="00AC2DB2">
        <w:rPr>
          <w:rFonts w:asciiTheme="minorHAnsi" w:eastAsiaTheme="minorHAnsi" w:hAnsiTheme="minorHAnsi" w:cs="'92]ˇ"/>
          <w:color w:val="000000"/>
          <w:lang w:val="en-US"/>
        </w:rPr>
        <w:t xml:space="preserve"> arm (17.9 months;</w:t>
      </w:r>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 xml:space="preserve">range: 0 </w:t>
      </w:r>
      <w:r w:rsidR="00881B2C">
        <w:rPr>
          <w:rFonts w:asciiTheme="minorHAnsi" w:eastAsiaTheme="minorHAnsi" w:hAnsiTheme="minorHAnsi" w:cs="'92]ˇ"/>
          <w:color w:val="000000"/>
          <w:lang w:val="en-US"/>
        </w:rPr>
        <w:t>to</w:t>
      </w:r>
      <w:r w:rsidRPr="00AC2DB2">
        <w:rPr>
          <w:rFonts w:asciiTheme="minorHAnsi" w:eastAsiaTheme="minorHAnsi" w:hAnsiTheme="minorHAnsi" w:cs="'92]ˇ"/>
          <w:color w:val="000000"/>
          <w:lang w:val="en-US"/>
        </w:rPr>
        <w:t xml:space="preserve"> 29 months); this was mainly driven by fewer treatment discontinuations due to</w:t>
      </w:r>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 xml:space="preserve">disease progression in the </w:t>
      </w:r>
      <w:proofErr w:type="spellStart"/>
      <w:r w:rsidRPr="00AC2DB2">
        <w:rPr>
          <w:rFonts w:asciiTheme="minorHAnsi" w:eastAsiaTheme="minorHAnsi" w:hAnsiTheme="minorHAnsi" w:cs="'92]ˇ"/>
          <w:color w:val="000000"/>
          <w:lang w:val="en-US"/>
        </w:rPr>
        <w:t>alectinib</w:t>
      </w:r>
      <w:proofErr w:type="spellEnd"/>
      <w:r w:rsidRPr="00AC2DB2">
        <w:rPr>
          <w:rFonts w:asciiTheme="minorHAnsi" w:eastAsiaTheme="minorHAnsi" w:hAnsiTheme="minorHAnsi" w:cs="'92]ˇ"/>
          <w:color w:val="000000"/>
          <w:lang w:val="en-US"/>
        </w:rPr>
        <w:t xml:space="preserve"> arm (</w:t>
      </w:r>
      <w:r w:rsidR="00881B2C" w:rsidRPr="00083CF0">
        <w:rPr>
          <w:rFonts w:asciiTheme="minorHAnsi" w:eastAsiaTheme="minorHAnsi" w:hAnsiTheme="minorHAnsi" w:cs="'92]ˇ"/>
          <w:lang w:val="en-US"/>
        </w:rPr>
        <w:t>Table 2</w:t>
      </w:r>
      <w:r w:rsidRPr="00083CF0">
        <w:rPr>
          <w:rFonts w:asciiTheme="minorHAnsi" w:eastAsiaTheme="minorHAnsi" w:hAnsiTheme="minorHAnsi" w:cs="'92]ˇ"/>
          <w:lang w:val="en-US"/>
        </w:rPr>
        <w:t>).</w:t>
      </w:r>
    </w:p>
    <w:p w14:paraId="63C5C103" w14:textId="77777777" w:rsidR="007120D3" w:rsidRPr="00AC2DB2" w:rsidRDefault="007120D3" w:rsidP="001F7691">
      <w:pPr>
        <w:rPr>
          <w:rFonts w:asciiTheme="minorHAnsi" w:eastAsiaTheme="minorHAnsi" w:hAnsiTheme="minorHAnsi" w:cs="'92]ˇ"/>
          <w:color w:val="000000"/>
          <w:lang w:val="en-US"/>
        </w:rPr>
      </w:pPr>
      <w:r w:rsidRPr="00AC2DB2">
        <w:rPr>
          <w:rFonts w:asciiTheme="minorHAnsi" w:eastAsiaTheme="minorHAnsi" w:hAnsiTheme="minorHAnsi" w:cs="'92]ˇ"/>
          <w:color w:val="000000"/>
          <w:lang w:val="en-US"/>
        </w:rPr>
        <w:t xml:space="preserve">A lower proportion of patients in the </w:t>
      </w:r>
      <w:proofErr w:type="spellStart"/>
      <w:r w:rsidRPr="00AC2DB2">
        <w:rPr>
          <w:rFonts w:asciiTheme="minorHAnsi" w:eastAsiaTheme="minorHAnsi" w:hAnsiTheme="minorHAnsi" w:cs="'92]ˇ"/>
          <w:color w:val="000000"/>
          <w:lang w:val="en-US"/>
        </w:rPr>
        <w:t>crizotinib</w:t>
      </w:r>
      <w:proofErr w:type="spellEnd"/>
      <w:r w:rsidRPr="00AC2DB2">
        <w:rPr>
          <w:rFonts w:asciiTheme="minorHAnsi" w:eastAsiaTheme="minorHAnsi" w:hAnsiTheme="minorHAnsi" w:cs="'92]ˇ"/>
          <w:color w:val="000000"/>
          <w:lang w:val="en-US"/>
        </w:rPr>
        <w:t xml:space="preserve"> arm completed </w:t>
      </w:r>
      <w:r>
        <w:rPr>
          <w:rFonts w:asciiTheme="minorHAnsi" w:eastAsiaTheme="minorHAnsi" w:hAnsiTheme="minorHAnsi" w:cs="'92]ˇ"/>
          <w:color w:val="000000"/>
          <w:lang w:val="en-US"/>
        </w:rPr>
        <w:t>&gt;</w:t>
      </w:r>
      <w:r w:rsidRPr="00AC2DB2">
        <w:rPr>
          <w:rFonts w:asciiTheme="minorHAnsi" w:eastAsiaTheme="minorHAnsi" w:hAnsiTheme="minorHAnsi" w:cs="'92]ˇ"/>
          <w:color w:val="000000"/>
          <w:lang w:val="en-US"/>
        </w:rPr>
        <w:t xml:space="preserve"> 12 months</w:t>
      </w:r>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 xml:space="preserve">and </w:t>
      </w:r>
      <w:r>
        <w:rPr>
          <w:rFonts w:asciiTheme="minorHAnsi" w:eastAsiaTheme="minorHAnsi" w:hAnsiTheme="minorHAnsi" w:cs="'92]ˇ"/>
          <w:color w:val="000000"/>
          <w:lang w:val="en-US"/>
        </w:rPr>
        <w:t>&gt;</w:t>
      </w:r>
      <w:r w:rsidRPr="00AC2DB2">
        <w:rPr>
          <w:rFonts w:asciiTheme="minorHAnsi" w:eastAsiaTheme="minorHAnsi" w:hAnsiTheme="minorHAnsi" w:cs="'92]ˇ"/>
          <w:color w:val="000000"/>
          <w:lang w:val="en-US"/>
        </w:rPr>
        <w:t xml:space="preserve"> 18 months of study treatment (45% and 27%, respectively) compared with the</w:t>
      </w:r>
      <w:r>
        <w:rPr>
          <w:rFonts w:asciiTheme="minorHAnsi" w:eastAsiaTheme="minorHAnsi" w:hAnsiTheme="minorHAnsi" w:cs="'92]ˇ"/>
          <w:color w:val="000000"/>
          <w:lang w:val="en-US"/>
        </w:rPr>
        <w:t xml:space="preserve"> </w:t>
      </w:r>
      <w:proofErr w:type="spellStart"/>
      <w:r w:rsidRPr="00AC2DB2">
        <w:rPr>
          <w:rFonts w:asciiTheme="minorHAnsi" w:eastAsiaTheme="minorHAnsi" w:hAnsiTheme="minorHAnsi" w:cs="'92]ˇ"/>
          <w:color w:val="000000"/>
          <w:lang w:val="en-US"/>
        </w:rPr>
        <w:t>alectinib</w:t>
      </w:r>
      <w:proofErr w:type="spellEnd"/>
      <w:r w:rsidRPr="00AC2DB2">
        <w:rPr>
          <w:rFonts w:asciiTheme="minorHAnsi" w:eastAsiaTheme="minorHAnsi" w:hAnsiTheme="minorHAnsi" w:cs="'92]ˇ"/>
          <w:color w:val="000000"/>
          <w:lang w:val="en-US"/>
        </w:rPr>
        <w:t xml:space="preserve"> arm (66% and 49% patients, respectively).</w:t>
      </w:r>
    </w:p>
    <w:p w14:paraId="348A729F" w14:textId="77777777" w:rsidR="007120D3" w:rsidRPr="00AC2DB2" w:rsidRDefault="007120D3" w:rsidP="001F7691">
      <w:pPr>
        <w:rPr>
          <w:rFonts w:asciiTheme="minorHAnsi" w:eastAsiaTheme="minorHAnsi" w:hAnsiTheme="minorHAnsi" w:cs="'92]ˇ"/>
          <w:color w:val="000000"/>
          <w:lang w:val="en-US"/>
        </w:rPr>
      </w:pPr>
      <w:r w:rsidRPr="00AC2DB2">
        <w:rPr>
          <w:rFonts w:asciiTheme="minorHAnsi" w:eastAsiaTheme="minorHAnsi" w:hAnsiTheme="minorHAnsi" w:cs="'92]ˇ"/>
          <w:color w:val="000000"/>
          <w:lang w:val="en-US"/>
        </w:rPr>
        <w:t xml:space="preserve">The mean dose intensity was comparable between treatment arms (92% for </w:t>
      </w:r>
      <w:proofErr w:type="spellStart"/>
      <w:r w:rsidRPr="00AC2DB2">
        <w:rPr>
          <w:rFonts w:asciiTheme="minorHAnsi" w:eastAsiaTheme="minorHAnsi" w:hAnsiTheme="minorHAnsi" w:cs="'92]ˇ"/>
          <w:color w:val="000000"/>
          <w:lang w:val="en-US"/>
        </w:rPr>
        <w:t>crizotinib</w:t>
      </w:r>
      <w:proofErr w:type="spellEnd"/>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 xml:space="preserve">and 96% for </w:t>
      </w:r>
      <w:proofErr w:type="spellStart"/>
      <w:r w:rsidRPr="00AC2DB2">
        <w:rPr>
          <w:rFonts w:asciiTheme="minorHAnsi" w:eastAsiaTheme="minorHAnsi" w:hAnsiTheme="minorHAnsi" w:cs="'92]ˇ"/>
          <w:color w:val="000000"/>
          <w:lang w:val="en-US"/>
        </w:rPr>
        <w:t>alectinib</w:t>
      </w:r>
      <w:proofErr w:type="spellEnd"/>
      <w:r w:rsidRPr="00AC2DB2">
        <w:rPr>
          <w:rFonts w:asciiTheme="minorHAnsi" w:eastAsiaTheme="minorHAnsi" w:hAnsiTheme="minorHAnsi" w:cs="'92]ˇ"/>
          <w:color w:val="000000"/>
          <w:lang w:val="en-US"/>
        </w:rPr>
        <w:t xml:space="preserve">); however, the proportion of patients in the </w:t>
      </w:r>
      <w:proofErr w:type="spellStart"/>
      <w:r w:rsidRPr="00AC2DB2">
        <w:rPr>
          <w:rFonts w:asciiTheme="minorHAnsi" w:eastAsiaTheme="minorHAnsi" w:hAnsiTheme="minorHAnsi" w:cs="'92]ˇ"/>
          <w:color w:val="000000"/>
          <w:lang w:val="en-US"/>
        </w:rPr>
        <w:t>crizotinib</w:t>
      </w:r>
      <w:proofErr w:type="spellEnd"/>
      <w:r w:rsidRPr="00AC2DB2">
        <w:rPr>
          <w:rFonts w:asciiTheme="minorHAnsi" w:eastAsiaTheme="minorHAnsi" w:hAnsiTheme="minorHAnsi" w:cs="'92]ˇ"/>
          <w:color w:val="000000"/>
          <w:lang w:val="en-US"/>
        </w:rPr>
        <w:t xml:space="preserve"> arm (42%)</w:t>
      </w:r>
      <w:r>
        <w:rPr>
          <w:rFonts w:asciiTheme="minorHAnsi" w:eastAsiaTheme="minorHAnsi" w:hAnsiTheme="minorHAnsi" w:cs="'92]ˇ"/>
          <w:color w:val="000000"/>
          <w:lang w:val="en-US"/>
        </w:rPr>
        <w:t xml:space="preserve"> </w:t>
      </w:r>
      <w:r w:rsidRPr="00AC2DB2">
        <w:rPr>
          <w:rFonts w:asciiTheme="minorHAnsi" w:eastAsiaTheme="minorHAnsi" w:hAnsiTheme="minorHAnsi" w:cs="'92]ˇ"/>
          <w:color w:val="000000"/>
          <w:lang w:val="en-US"/>
        </w:rPr>
        <w:t xml:space="preserve">who missed at least one dose of treatment was higher than in the </w:t>
      </w:r>
      <w:proofErr w:type="spellStart"/>
      <w:r w:rsidRPr="00AC2DB2">
        <w:rPr>
          <w:rFonts w:asciiTheme="minorHAnsi" w:eastAsiaTheme="minorHAnsi" w:hAnsiTheme="minorHAnsi" w:cs="'92]ˇ"/>
          <w:color w:val="000000"/>
          <w:lang w:val="en-US"/>
        </w:rPr>
        <w:t>alectinib</w:t>
      </w:r>
      <w:proofErr w:type="spellEnd"/>
      <w:r w:rsidRPr="00AC2DB2">
        <w:rPr>
          <w:rFonts w:asciiTheme="minorHAnsi" w:eastAsiaTheme="minorHAnsi" w:hAnsiTheme="minorHAnsi" w:cs="'92]ˇ"/>
          <w:color w:val="000000"/>
          <w:lang w:val="en-US"/>
        </w:rPr>
        <w:t xml:space="preserve"> arm (32%).</w:t>
      </w:r>
    </w:p>
    <w:p w14:paraId="3E5C1222" w14:textId="77777777" w:rsidR="007120D3" w:rsidRDefault="007120D3" w:rsidP="00881B2C">
      <w:pPr>
        <w:pStyle w:val="TableTitle"/>
      </w:pPr>
      <w:bookmarkStart w:id="79" w:name="_Ref369795897"/>
      <w:bookmarkStart w:id="80" w:name="_Toc499636219"/>
      <w:r>
        <w:lastRenderedPageBreak/>
        <w:t xml:space="preserve">Table </w:t>
      </w:r>
      <w:r w:rsidR="00881B2C">
        <w:t>2:</w:t>
      </w:r>
      <w:bookmarkEnd w:id="79"/>
      <w:r>
        <w:t xml:space="preserve"> Study treatment exposure Safety population</w:t>
      </w:r>
      <w:bookmarkEnd w:id="80"/>
    </w:p>
    <w:p w14:paraId="6D306A0E" w14:textId="77777777" w:rsidR="007120D3" w:rsidRPr="00AC2DB2" w:rsidRDefault="007120D3" w:rsidP="007120D3">
      <w:r>
        <w:rPr>
          <w:noProof/>
          <w:lang w:eastAsia="en-AU"/>
        </w:rPr>
        <w:drawing>
          <wp:inline distT="0" distB="0" distL="0" distR="0" wp14:anchorId="16B08922" wp14:editId="0D898F68">
            <wp:extent cx="4695372" cy="4170361"/>
            <wp:effectExtent l="0" t="0" r="0" b="1905"/>
            <wp:docPr id="62" name="Picture 13" descr="Table 2: Study treatment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2544"/>
                    <a:stretch/>
                  </pic:blipFill>
                  <pic:spPr bwMode="auto">
                    <a:xfrm>
                      <a:off x="0" y="0"/>
                      <a:ext cx="4696629" cy="4171477"/>
                    </a:xfrm>
                    <a:prstGeom prst="rect">
                      <a:avLst/>
                    </a:prstGeom>
                    <a:noFill/>
                    <a:ln>
                      <a:noFill/>
                    </a:ln>
                    <a:extLst>
                      <a:ext uri="{53640926-AAD7-44D8-BBD7-CCE9431645EC}">
                        <a14:shadowObscured xmlns:a14="http://schemas.microsoft.com/office/drawing/2010/main"/>
                      </a:ext>
                    </a:extLst>
                  </pic:spPr>
                </pic:pic>
              </a:graphicData>
            </a:graphic>
          </wp:inline>
        </w:drawing>
      </w:r>
    </w:p>
    <w:p w14:paraId="756194C4" w14:textId="77777777" w:rsidR="00605AD4" w:rsidRDefault="00605AD4" w:rsidP="00605AD4">
      <w:pPr>
        <w:pStyle w:val="Heading4"/>
      </w:pPr>
      <w:proofErr w:type="spellStart"/>
      <w:r w:rsidRPr="00605AD4">
        <w:t>Postmarketing</w:t>
      </w:r>
      <w:proofErr w:type="spellEnd"/>
      <w:r w:rsidRPr="00605AD4">
        <w:t xml:space="preserve"> data</w:t>
      </w:r>
    </w:p>
    <w:p w14:paraId="2AD8977D" w14:textId="77777777" w:rsidR="00407466" w:rsidRDefault="003207E2" w:rsidP="001F7691">
      <w:pPr>
        <w:rPr>
          <w:lang w:val="en-US"/>
        </w:rPr>
      </w:pPr>
      <w:r w:rsidRPr="00DD11C4">
        <w:rPr>
          <w:lang w:val="en-US"/>
        </w:rPr>
        <w:t xml:space="preserve">The </w:t>
      </w:r>
      <w:r w:rsidR="00881B2C">
        <w:rPr>
          <w:lang w:val="en-US"/>
        </w:rPr>
        <w:t>study report</w:t>
      </w:r>
      <w:r w:rsidRPr="00DD11C4">
        <w:rPr>
          <w:lang w:val="en-US"/>
        </w:rPr>
        <w:t xml:space="preserve"> states, </w:t>
      </w:r>
      <w:r w:rsidR="00FA038A">
        <w:rPr>
          <w:lang w:val="en-US"/>
        </w:rPr>
        <w:t>‘</w:t>
      </w:r>
      <w:proofErr w:type="gramStart"/>
      <w:r w:rsidRPr="00881B2C">
        <w:rPr>
          <w:i/>
          <w:lang w:val="en-US"/>
        </w:rPr>
        <w:t>As</w:t>
      </w:r>
      <w:proofErr w:type="gramEnd"/>
      <w:r w:rsidRPr="00881B2C">
        <w:rPr>
          <w:i/>
          <w:lang w:val="en-US"/>
        </w:rPr>
        <w:t xml:space="preserve"> of 29 April 2017, the estimated cumulative market exposure to </w:t>
      </w:r>
      <w:proofErr w:type="spellStart"/>
      <w:r w:rsidRPr="00881B2C">
        <w:rPr>
          <w:i/>
          <w:lang w:val="en-US"/>
        </w:rPr>
        <w:t>alectinib</w:t>
      </w:r>
      <w:proofErr w:type="spellEnd"/>
      <w:r w:rsidRPr="00881B2C">
        <w:rPr>
          <w:i/>
          <w:lang w:val="en-US"/>
        </w:rPr>
        <w:t xml:space="preserve"> is 6275 patients (300 mg BID: Japan, n = 3831; 600 mg BID: US, n = 2238; European Economic Area, n = 47; Rest of World, n = 159) since its International Birth Date of 04 July 2014. The </w:t>
      </w:r>
      <w:proofErr w:type="spellStart"/>
      <w:r w:rsidRPr="00881B2C">
        <w:rPr>
          <w:i/>
          <w:lang w:val="en-US"/>
        </w:rPr>
        <w:t>alectinib</w:t>
      </w:r>
      <w:proofErr w:type="spellEnd"/>
      <w:r w:rsidRPr="00881B2C">
        <w:rPr>
          <w:i/>
          <w:lang w:val="en-US"/>
        </w:rPr>
        <w:t xml:space="preserve"> safety profile in the post-marketing period is consistent with safety data from clinical trials of </w:t>
      </w:r>
      <w:proofErr w:type="spellStart"/>
      <w:r w:rsidRPr="00881B2C">
        <w:rPr>
          <w:i/>
          <w:lang w:val="en-US"/>
        </w:rPr>
        <w:t>alectinib</w:t>
      </w:r>
      <w:proofErr w:type="spellEnd"/>
      <w:r w:rsidRPr="00DD11C4">
        <w:rPr>
          <w:lang w:val="en-US"/>
        </w:rPr>
        <w:t>.</w:t>
      </w:r>
      <w:r w:rsidR="00FA038A">
        <w:rPr>
          <w:lang w:val="en-US"/>
        </w:rPr>
        <w:t>’</w:t>
      </w:r>
    </w:p>
    <w:p w14:paraId="63651F90" w14:textId="1F12AF37" w:rsidR="003207E2" w:rsidRPr="00DD11C4" w:rsidRDefault="003207E2" w:rsidP="001F7691">
      <w:pPr>
        <w:rPr>
          <w:lang w:val="en-US"/>
        </w:rPr>
      </w:pPr>
      <w:r w:rsidRPr="00DD11C4">
        <w:rPr>
          <w:lang w:val="en-US"/>
        </w:rPr>
        <w:t xml:space="preserve">No </w:t>
      </w:r>
      <w:r w:rsidR="00881B2C">
        <w:rPr>
          <w:lang w:val="en-US"/>
        </w:rPr>
        <w:t>Periodic Safety Update Report (</w:t>
      </w:r>
      <w:r w:rsidRPr="00DD11C4">
        <w:rPr>
          <w:lang w:val="en-US"/>
        </w:rPr>
        <w:t>PSUR</w:t>
      </w:r>
      <w:r w:rsidR="00881B2C">
        <w:rPr>
          <w:lang w:val="en-US"/>
        </w:rPr>
        <w:t>)</w:t>
      </w:r>
      <w:r w:rsidRPr="00DD11C4">
        <w:rPr>
          <w:lang w:val="en-US"/>
        </w:rPr>
        <w:t xml:space="preserve"> was evaluated as part of this clinical evaluation report.</w:t>
      </w:r>
    </w:p>
    <w:p w14:paraId="3978B247" w14:textId="77777777" w:rsidR="00605AD4" w:rsidRDefault="00605AD4" w:rsidP="00605AD4">
      <w:pPr>
        <w:pStyle w:val="Heading4"/>
      </w:pPr>
      <w:r w:rsidRPr="00605AD4">
        <w:t>Evaluator’s conclusions on safety</w:t>
      </w:r>
    </w:p>
    <w:p w14:paraId="665C14E6" w14:textId="77777777" w:rsidR="003207E2" w:rsidRPr="00DD11C4" w:rsidRDefault="003207E2" w:rsidP="00083CF0">
      <w:pPr>
        <w:rPr>
          <w:rFonts w:eastAsiaTheme="minorHAnsi" w:cs="'92]ˇ"/>
          <w:lang w:val="en-US"/>
        </w:rPr>
      </w:pPr>
      <w:r w:rsidRPr="00DD11C4">
        <w:rPr>
          <w:lang w:eastAsia="ja-JP"/>
        </w:rPr>
        <w:t xml:space="preserve">The safety profile of </w:t>
      </w:r>
      <w:proofErr w:type="spellStart"/>
      <w:r w:rsidRPr="00DD11C4">
        <w:rPr>
          <w:lang w:eastAsia="ja-JP"/>
        </w:rPr>
        <w:t>alectinib</w:t>
      </w:r>
      <w:proofErr w:type="spellEnd"/>
      <w:r w:rsidRPr="00DD11C4">
        <w:rPr>
          <w:lang w:eastAsia="ja-JP"/>
        </w:rPr>
        <w:t xml:space="preserve"> differs from, but overall, is more favourable than for </w:t>
      </w:r>
      <w:proofErr w:type="spellStart"/>
      <w:r w:rsidRPr="00DD11C4">
        <w:rPr>
          <w:lang w:eastAsia="ja-JP"/>
        </w:rPr>
        <w:t>crizotinib</w:t>
      </w:r>
      <w:proofErr w:type="spellEnd"/>
      <w:r w:rsidRPr="00DD11C4">
        <w:rPr>
          <w:lang w:eastAsia="ja-JP"/>
        </w:rPr>
        <w:t xml:space="preserve"> in the treatment of patients who have not received prior systemic therapy for advanced recurrent or metastatic ALK-positive NSCLC. </w:t>
      </w:r>
      <w:r w:rsidRPr="00DD11C4">
        <w:rPr>
          <w:rFonts w:eastAsiaTheme="minorHAnsi" w:cs="'92]ˇ"/>
          <w:lang w:val="en-US"/>
        </w:rPr>
        <w:t xml:space="preserve">Despite the shorter median duration of treatment with </w:t>
      </w:r>
      <w:proofErr w:type="spellStart"/>
      <w:r w:rsidRPr="00DD11C4">
        <w:rPr>
          <w:rFonts w:eastAsiaTheme="minorHAnsi" w:cs="'92]ˇ"/>
          <w:lang w:val="en-US"/>
        </w:rPr>
        <w:t>crizotinib</w:t>
      </w:r>
      <w:proofErr w:type="spellEnd"/>
      <w:r w:rsidRPr="00DD11C4">
        <w:rPr>
          <w:rFonts w:eastAsiaTheme="minorHAnsi" w:cs="'92]ˇ"/>
          <w:lang w:val="en-US"/>
        </w:rPr>
        <w:t xml:space="preserve"> of 10.7 months compared with 17.9 months, a greater proportion of patients in the </w:t>
      </w:r>
      <w:proofErr w:type="spellStart"/>
      <w:r w:rsidRPr="00DD11C4">
        <w:rPr>
          <w:rFonts w:eastAsiaTheme="minorHAnsi" w:cs="'92]ˇ"/>
          <w:lang w:val="en-US"/>
        </w:rPr>
        <w:t>crizotinib</w:t>
      </w:r>
      <w:proofErr w:type="spellEnd"/>
      <w:r w:rsidRPr="00DD11C4">
        <w:rPr>
          <w:rFonts w:eastAsiaTheme="minorHAnsi" w:cs="'92]ˇ"/>
          <w:lang w:val="en-US"/>
        </w:rPr>
        <w:t xml:space="preserve"> arm experienced treatment-related </w:t>
      </w:r>
      <w:r w:rsidR="00E64E45">
        <w:rPr>
          <w:rFonts w:eastAsiaTheme="minorHAnsi" w:cs="'92]ˇ"/>
          <w:lang w:val="en-US"/>
        </w:rPr>
        <w:t>adverse events (</w:t>
      </w:r>
      <w:r w:rsidRPr="00DD11C4">
        <w:rPr>
          <w:rFonts w:eastAsiaTheme="minorHAnsi" w:cs="'92]ˇ"/>
          <w:lang w:val="en-US"/>
        </w:rPr>
        <w:t>AEs</w:t>
      </w:r>
      <w:r w:rsidR="00E64E45">
        <w:rPr>
          <w:rFonts w:eastAsiaTheme="minorHAnsi" w:cs="'92]ˇ"/>
          <w:lang w:val="en-US"/>
        </w:rPr>
        <w:t>)</w:t>
      </w:r>
      <w:r w:rsidRPr="00DD11C4">
        <w:rPr>
          <w:rFonts w:eastAsiaTheme="minorHAnsi" w:cs="'92]ˇ"/>
          <w:lang w:val="en-US"/>
        </w:rPr>
        <w:t xml:space="preserve"> (89%</w:t>
      </w:r>
      <w:r w:rsidR="00DB55D9">
        <w:rPr>
          <w:rFonts w:eastAsiaTheme="minorHAnsi" w:cs="'92]ˇ"/>
          <w:lang w:val="en-US"/>
        </w:rPr>
        <w:t xml:space="preserve"> versus </w:t>
      </w:r>
      <w:r w:rsidRPr="00DD11C4">
        <w:rPr>
          <w:rFonts w:eastAsiaTheme="minorHAnsi" w:cs="'92]ˇ"/>
          <w:lang w:val="en-US"/>
        </w:rPr>
        <w:t xml:space="preserve">77%), Grade 3 </w:t>
      </w:r>
      <w:r w:rsidR="00E64E45">
        <w:rPr>
          <w:rFonts w:eastAsiaTheme="minorHAnsi" w:cs="'92]ˇ"/>
          <w:lang w:val="en-US"/>
        </w:rPr>
        <w:t>to</w:t>
      </w:r>
      <w:r w:rsidRPr="00DD11C4">
        <w:rPr>
          <w:rFonts w:eastAsiaTheme="minorHAnsi" w:cs="'92]ˇ"/>
          <w:lang w:val="en-US"/>
        </w:rPr>
        <w:t xml:space="preserve"> 5 AEs (50%</w:t>
      </w:r>
      <w:r w:rsidR="00DB55D9">
        <w:rPr>
          <w:rFonts w:eastAsiaTheme="minorHAnsi" w:cs="'92]ˇ"/>
          <w:lang w:val="en-US"/>
        </w:rPr>
        <w:t xml:space="preserve"> versus </w:t>
      </w:r>
      <w:r w:rsidRPr="00DD11C4">
        <w:rPr>
          <w:rFonts w:eastAsiaTheme="minorHAnsi" w:cs="'92]ˇ"/>
          <w:lang w:val="en-US"/>
        </w:rPr>
        <w:t>41%). Adverse events that led to treatment discontinuation (13%</w:t>
      </w:r>
      <w:r w:rsidR="00DB55D9">
        <w:rPr>
          <w:rFonts w:eastAsiaTheme="minorHAnsi" w:cs="'92]ˇ"/>
          <w:lang w:val="en-US"/>
        </w:rPr>
        <w:t xml:space="preserve"> versus </w:t>
      </w:r>
      <w:r w:rsidRPr="00DD11C4">
        <w:rPr>
          <w:rFonts w:eastAsiaTheme="minorHAnsi" w:cs="'92]ˇ"/>
          <w:lang w:val="en-US"/>
        </w:rPr>
        <w:t>11%), dose interruption (25%</w:t>
      </w:r>
      <w:r w:rsidR="00DB55D9">
        <w:rPr>
          <w:rFonts w:eastAsiaTheme="minorHAnsi" w:cs="'92]ˇ"/>
          <w:lang w:val="en-US"/>
        </w:rPr>
        <w:t xml:space="preserve"> versus </w:t>
      </w:r>
      <w:r w:rsidRPr="00DD11C4">
        <w:rPr>
          <w:rFonts w:eastAsiaTheme="minorHAnsi" w:cs="'92]ˇ"/>
          <w:lang w:val="en-US"/>
        </w:rPr>
        <w:t>19%) or dose reduction (21%</w:t>
      </w:r>
      <w:r w:rsidR="00DB55D9">
        <w:rPr>
          <w:rFonts w:eastAsiaTheme="minorHAnsi" w:cs="'92]ˇ"/>
          <w:lang w:val="en-US"/>
        </w:rPr>
        <w:t xml:space="preserve"> versus </w:t>
      </w:r>
      <w:r w:rsidRPr="00DD11C4">
        <w:rPr>
          <w:rFonts w:eastAsiaTheme="minorHAnsi" w:cs="'92]ˇ"/>
          <w:lang w:val="en-US"/>
        </w:rPr>
        <w:t xml:space="preserve">16%) were higher in the </w:t>
      </w:r>
      <w:proofErr w:type="spellStart"/>
      <w:r w:rsidRPr="00DD11C4">
        <w:rPr>
          <w:rFonts w:eastAsiaTheme="minorHAnsi" w:cs="'92]ˇ"/>
          <w:lang w:val="en-US"/>
        </w:rPr>
        <w:t>crizotinib</w:t>
      </w:r>
      <w:proofErr w:type="spellEnd"/>
      <w:r w:rsidRPr="00DD11C4">
        <w:rPr>
          <w:rFonts w:eastAsiaTheme="minorHAnsi" w:cs="'92]ˇ"/>
          <w:lang w:val="en-US"/>
        </w:rPr>
        <w:t xml:space="preserve"> arm, but still significant in the </w:t>
      </w:r>
      <w:proofErr w:type="spellStart"/>
      <w:r w:rsidRPr="00DD11C4">
        <w:rPr>
          <w:rFonts w:eastAsiaTheme="minorHAnsi" w:cs="'92]ˇ"/>
          <w:lang w:val="en-US"/>
        </w:rPr>
        <w:t>alectinib</w:t>
      </w:r>
      <w:proofErr w:type="spellEnd"/>
      <w:r w:rsidRPr="00DD11C4">
        <w:rPr>
          <w:rFonts w:eastAsiaTheme="minorHAnsi" w:cs="'92]ˇ"/>
          <w:lang w:val="en-US"/>
        </w:rPr>
        <w:t xml:space="preserve"> arm.</w:t>
      </w:r>
    </w:p>
    <w:p w14:paraId="759AA3DA" w14:textId="1B235292" w:rsidR="003207E2" w:rsidRPr="00DD11C4" w:rsidRDefault="003207E2" w:rsidP="001F7691">
      <w:pPr>
        <w:rPr>
          <w:rFonts w:eastAsiaTheme="minorHAnsi" w:cs="'92]ˇ"/>
          <w:lang w:val="en-US"/>
        </w:rPr>
      </w:pPr>
      <w:r w:rsidRPr="00DD11C4">
        <w:rPr>
          <w:rFonts w:eastAsiaTheme="minorHAnsi" w:cs="'92]ˇ"/>
          <w:lang w:val="en-US"/>
        </w:rPr>
        <w:t xml:space="preserve">New safety signals for </w:t>
      </w:r>
      <w:proofErr w:type="spellStart"/>
      <w:r w:rsidRPr="00DD11C4">
        <w:rPr>
          <w:rFonts w:eastAsiaTheme="minorHAnsi" w:cs="'92]ˇ"/>
          <w:lang w:val="en-US"/>
        </w:rPr>
        <w:t>alectinib</w:t>
      </w:r>
      <w:proofErr w:type="spellEnd"/>
      <w:r w:rsidRPr="00DD11C4">
        <w:rPr>
          <w:rFonts w:eastAsiaTheme="minorHAnsi" w:cs="'92]ˇ"/>
          <w:lang w:val="en-US"/>
        </w:rPr>
        <w:t xml:space="preserve"> include acute kidney injury and weight gain. For the former, the rate of adverse events was much higher than in the </w:t>
      </w:r>
      <w:proofErr w:type="spellStart"/>
      <w:r w:rsidRPr="00DD11C4">
        <w:rPr>
          <w:rFonts w:eastAsiaTheme="minorHAnsi" w:cs="'92]ˇ"/>
          <w:lang w:val="en-US"/>
        </w:rPr>
        <w:t>crizotinib</w:t>
      </w:r>
      <w:proofErr w:type="spellEnd"/>
      <w:r w:rsidRPr="00DD11C4">
        <w:rPr>
          <w:rFonts w:eastAsiaTheme="minorHAnsi" w:cs="'92]ˇ"/>
          <w:lang w:val="en-US"/>
        </w:rPr>
        <w:t xml:space="preserve"> arm </w:t>
      </w:r>
      <w:r>
        <w:rPr>
          <w:rFonts w:eastAsiaTheme="minorHAnsi" w:cs="'92]ˇ"/>
          <w:lang w:val="en-US"/>
        </w:rPr>
        <w:t>(</w:t>
      </w:r>
      <w:r w:rsidRPr="00DD11C4">
        <w:rPr>
          <w:rFonts w:eastAsiaTheme="minorHAnsi" w:cs="'92]ˇ"/>
          <w:lang w:val="en-US"/>
        </w:rPr>
        <w:t>18%</w:t>
      </w:r>
      <w:r w:rsidR="00DB55D9">
        <w:rPr>
          <w:rFonts w:eastAsiaTheme="minorHAnsi" w:cs="'92]ˇ"/>
          <w:lang w:val="en-US"/>
        </w:rPr>
        <w:t xml:space="preserve"> versus </w:t>
      </w:r>
      <w:r w:rsidRPr="00DD11C4">
        <w:rPr>
          <w:rFonts w:eastAsiaTheme="minorHAnsi" w:cs="'92]ˇ"/>
          <w:lang w:val="en-US"/>
        </w:rPr>
        <w:t>9%) and included two fatal events. At this time, it is not clear if dose reduction</w:t>
      </w:r>
      <w:r>
        <w:rPr>
          <w:rFonts w:eastAsiaTheme="minorHAnsi" w:cs="'92]ˇ"/>
          <w:lang w:val="en-US"/>
        </w:rPr>
        <w:t xml:space="preserve"> or interruption is sufficient </w:t>
      </w:r>
      <w:r w:rsidRPr="00DD11C4">
        <w:rPr>
          <w:rFonts w:eastAsiaTheme="minorHAnsi" w:cs="'92]ˇ"/>
          <w:lang w:val="en-US"/>
        </w:rPr>
        <w:t>to manage the renal toxicity that appeared rapidly in some patients</w:t>
      </w:r>
      <w:r>
        <w:rPr>
          <w:rFonts w:eastAsiaTheme="minorHAnsi" w:cs="'92]ˇ"/>
          <w:lang w:val="en-US"/>
        </w:rPr>
        <w:t xml:space="preserve">; recurrence with </w:t>
      </w:r>
      <w:proofErr w:type="spellStart"/>
      <w:r>
        <w:rPr>
          <w:rFonts w:eastAsiaTheme="minorHAnsi" w:cs="'92]ˇ"/>
          <w:lang w:val="en-US"/>
        </w:rPr>
        <w:t>rechallenge</w:t>
      </w:r>
      <w:proofErr w:type="spellEnd"/>
      <w:r>
        <w:rPr>
          <w:rFonts w:eastAsiaTheme="minorHAnsi" w:cs="'92]ˇ"/>
          <w:lang w:val="en-US"/>
        </w:rPr>
        <w:t xml:space="preserve"> was observed across all the clinical trials</w:t>
      </w:r>
      <w:r w:rsidRPr="00DD11C4">
        <w:rPr>
          <w:rFonts w:eastAsiaTheme="minorHAnsi" w:cs="'92]ˇ"/>
          <w:lang w:val="en-US"/>
        </w:rPr>
        <w:t>. Pre-</w:t>
      </w:r>
      <w:r w:rsidRPr="00DD11C4">
        <w:rPr>
          <w:rFonts w:eastAsiaTheme="minorHAnsi" w:cs="'92]ˇ"/>
          <w:lang w:val="en-US"/>
        </w:rPr>
        <w:lastRenderedPageBreak/>
        <w:t xml:space="preserve">existing risk factors for diminished renal reserve were present in those who developed acute kidney injury and whether this is associated with a poorer outcome is not clear at this time. The </w:t>
      </w:r>
      <w:r w:rsidR="00E64E45">
        <w:rPr>
          <w:rFonts w:eastAsiaTheme="minorHAnsi" w:cs="'92]ˇ"/>
          <w:lang w:val="en-US"/>
        </w:rPr>
        <w:t>clinical e</w:t>
      </w:r>
      <w:r w:rsidRPr="00DD11C4">
        <w:rPr>
          <w:rFonts w:eastAsiaTheme="minorHAnsi" w:cs="'92]ˇ"/>
          <w:lang w:val="en-US"/>
        </w:rPr>
        <w:t xml:space="preserve">valuator considers it </w:t>
      </w:r>
      <w:r w:rsidR="00685E2B">
        <w:rPr>
          <w:rFonts w:eastAsiaTheme="minorHAnsi" w:cs="'92]ˇ"/>
          <w:lang w:val="en-US"/>
        </w:rPr>
        <w:t xml:space="preserve">as </w:t>
      </w:r>
      <w:r w:rsidRPr="00DD11C4">
        <w:rPr>
          <w:rFonts w:eastAsiaTheme="minorHAnsi" w:cs="'92]ˇ"/>
          <w:lang w:val="en-US"/>
        </w:rPr>
        <w:t xml:space="preserve">important that these questions be addressed, a new Precaution included in the PI for kidney injury including recommendations for management and acknowledgment of any uncertainties surrounding those recommendations. This needs to be examined prospectively as an adverse event of special interest in any future clinical trials, and consideration should be given to a dedicated trial of </w:t>
      </w:r>
      <w:proofErr w:type="spellStart"/>
      <w:r w:rsidRPr="00DD11C4">
        <w:rPr>
          <w:rFonts w:eastAsiaTheme="minorHAnsi" w:cs="'92]ˇ"/>
          <w:lang w:val="en-US"/>
        </w:rPr>
        <w:t>alectinib</w:t>
      </w:r>
      <w:proofErr w:type="spellEnd"/>
      <w:r w:rsidRPr="00DD11C4">
        <w:rPr>
          <w:rFonts w:eastAsiaTheme="minorHAnsi" w:cs="'92]ˇ"/>
          <w:lang w:val="en-US"/>
        </w:rPr>
        <w:t xml:space="preserve"> in patients with renal impairment or inclusion of a subgroup with baseline renal impairment or risk factors for diminished reserve in future clinical trials to understand this better. In the interim, diminished renal reserve as a risk for renal injury has been included a potential identified risk in the RMP.</w:t>
      </w:r>
    </w:p>
    <w:p w14:paraId="488CDC67" w14:textId="77777777" w:rsidR="003207E2" w:rsidRPr="00DD11C4" w:rsidRDefault="003207E2" w:rsidP="001F7691">
      <w:pPr>
        <w:rPr>
          <w:rFonts w:eastAsiaTheme="minorHAnsi" w:cs="'92]ˇ"/>
          <w:lang w:val="en-US"/>
        </w:rPr>
      </w:pPr>
      <w:r w:rsidRPr="00DD11C4">
        <w:rPr>
          <w:rFonts w:eastAsiaTheme="minorHAnsi" w:cs="'92]ˇ"/>
          <w:lang w:val="en-US"/>
        </w:rPr>
        <w:t>Weight gain of greater than 10% was observed in fifteen patients and the mechanism for this is not clear. This is an unusual issue for patients with advanced NSCLC where weight loss is often significant problem and being reported as an adverse event suggests it was problematic to the affected patients</w:t>
      </w:r>
      <w:r>
        <w:rPr>
          <w:rFonts w:eastAsiaTheme="minorHAnsi" w:cs="'92]ˇ"/>
          <w:lang w:val="en-US"/>
        </w:rPr>
        <w:t>. Information regarding the</w:t>
      </w:r>
      <w:r w:rsidRPr="00DD11C4">
        <w:rPr>
          <w:rFonts w:eastAsiaTheme="minorHAnsi" w:cs="'92]ˇ"/>
          <w:lang w:val="en-US"/>
        </w:rPr>
        <w:t xml:space="preserve"> nature of the weight gain (for example, any unusual fat distribution)</w:t>
      </w:r>
      <w:r>
        <w:rPr>
          <w:rFonts w:eastAsiaTheme="minorHAnsi" w:cs="'92]ˇ"/>
          <w:lang w:val="en-US"/>
        </w:rPr>
        <w:t xml:space="preserve"> was not collected and patients do not appear to have been weighed at each visit</w:t>
      </w:r>
      <w:r w:rsidRPr="00DD11C4">
        <w:rPr>
          <w:rFonts w:eastAsiaTheme="minorHAnsi" w:cs="'92]ˇ"/>
          <w:lang w:val="en-US"/>
        </w:rPr>
        <w:t xml:space="preserve">. </w:t>
      </w:r>
      <w:r>
        <w:rPr>
          <w:rFonts w:eastAsiaTheme="minorHAnsi" w:cs="'92]ˇ"/>
          <w:lang w:val="en-US"/>
        </w:rPr>
        <w:t xml:space="preserve">It is recommended that data be collected to inform </w:t>
      </w:r>
      <w:r w:rsidR="00E64E45">
        <w:rPr>
          <w:rFonts w:eastAsiaTheme="minorHAnsi" w:cs="'92]ˇ"/>
          <w:lang w:val="en-US"/>
        </w:rPr>
        <w:t xml:space="preserve">on this </w:t>
      </w:r>
      <w:r>
        <w:rPr>
          <w:rFonts w:eastAsiaTheme="minorHAnsi" w:cs="'92]ˇ"/>
          <w:lang w:val="en-US"/>
        </w:rPr>
        <w:t xml:space="preserve">in future trials. </w:t>
      </w:r>
      <w:r w:rsidRPr="00DD11C4">
        <w:rPr>
          <w:rFonts w:eastAsiaTheme="minorHAnsi" w:cs="'92]ˇ"/>
          <w:lang w:val="en-US"/>
        </w:rPr>
        <w:t xml:space="preserve">As this was reported as an adverse event, information should be included in the </w:t>
      </w:r>
      <w:r>
        <w:rPr>
          <w:rFonts w:eastAsiaTheme="minorHAnsi" w:cs="'92]ˇ"/>
          <w:lang w:val="en-US"/>
        </w:rPr>
        <w:t xml:space="preserve">PI and especially in the </w:t>
      </w:r>
      <w:r w:rsidR="00E64E45">
        <w:rPr>
          <w:rFonts w:eastAsiaTheme="minorHAnsi" w:cs="'92]ˇ"/>
          <w:lang w:val="en-US"/>
        </w:rPr>
        <w:t>Consumer Medicine Information (</w:t>
      </w:r>
      <w:r w:rsidRPr="00DD11C4">
        <w:rPr>
          <w:rFonts w:eastAsiaTheme="minorHAnsi" w:cs="'92]ˇ"/>
          <w:lang w:val="en-US"/>
        </w:rPr>
        <w:t>CMI</w:t>
      </w:r>
      <w:r w:rsidR="00E64E45">
        <w:rPr>
          <w:rFonts w:eastAsiaTheme="minorHAnsi" w:cs="'92]ˇ"/>
          <w:lang w:val="en-US"/>
        </w:rPr>
        <w:t>)</w:t>
      </w:r>
      <w:r w:rsidRPr="00DD11C4">
        <w:rPr>
          <w:rFonts w:eastAsiaTheme="minorHAnsi" w:cs="'92]ˇ"/>
          <w:lang w:val="en-US"/>
        </w:rPr>
        <w:t>.</w:t>
      </w:r>
    </w:p>
    <w:p w14:paraId="5FAF0F86" w14:textId="77777777" w:rsidR="00407466" w:rsidRDefault="003207E2" w:rsidP="001F7691">
      <w:pPr>
        <w:rPr>
          <w:rFonts w:eastAsiaTheme="minorHAnsi" w:cs="'92]ˇ"/>
          <w:lang w:val="en-US"/>
        </w:rPr>
      </w:pPr>
      <w:r w:rsidRPr="00DD11C4">
        <w:rPr>
          <w:rFonts w:eastAsiaTheme="minorHAnsi" w:cs="'92]ˇ"/>
          <w:lang w:val="en-US"/>
        </w:rPr>
        <w:t xml:space="preserve">Rates of hepatotoxicity (defined as Hepatocellular or </w:t>
      </w:r>
      <w:proofErr w:type="spellStart"/>
      <w:r w:rsidRPr="00DD11C4">
        <w:rPr>
          <w:rFonts w:eastAsiaTheme="minorHAnsi" w:cs="'92]ˇ"/>
          <w:lang w:val="en-US"/>
        </w:rPr>
        <w:t>cholestatic</w:t>
      </w:r>
      <w:proofErr w:type="spellEnd"/>
      <w:r w:rsidRPr="00DD11C4">
        <w:rPr>
          <w:rFonts w:eastAsiaTheme="minorHAnsi" w:cs="'92]ˇ"/>
          <w:lang w:val="en-US"/>
        </w:rPr>
        <w:t xml:space="preserve"> damage AEs and abnormal liver laboratory tests, as per the selected adverse events) were similar between the arms and additional risks confirmed for </w:t>
      </w:r>
      <w:proofErr w:type="spellStart"/>
      <w:r w:rsidRPr="00DD11C4">
        <w:rPr>
          <w:rFonts w:eastAsiaTheme="minorHAnsi" w:cs="'92]ˇ"/>
          <w:lang w:val="en-US"/>
        </w:rPr>
        <w:t>alectinib</w:t>
      </w:r>
      <w:proofErr w:type="spellEnd"/>
      <w:r w:rsidRPr="00DD11C4">
        <w:rPr>
          <w:rFonts w:eastAsiaTheme="minorHAnsi" w:cs="'92]ˇ"/>
          <w:lang w:val="en-US"/>
        </w:rPr>
        <w:t xml:space="preserve"> in this study include drug-induced liver injury (and higher rates of </w:t>
      </w:r>
      <w:proofErr w:type="spellStart"/>
      <w:r w:rsidRPr="00DD11C4">
        <w:rPr>
          <w:rFonts w:eastAsiaTheme="minorHAnsi" w:cs="'92]ˇ"/>
          <w:lang w:val="en-US"/>
        </w:rPr>
        <w:t>hyperbilirubinaemia</w:t>
      </w:r>
      <w:proofErr w:type="spellEnd"/>
      <w:r w:rsidRPr="00DD11C4">
        <w:rPr>
          <w:rFonts w:eastAsiaTheme="minorHAnsi" w:cs="'92]ˇ"/>
          <w:lang w:val="en-US"/>
        </w:rPr>
        <w:t xml:space="preserve"> than seen with </w:t>
      </w:r>
      <w:proofErr w:type="spellStart"/>
      <w:r w:rsidRPr="00DD11C4">
        <w:rPr>
          <w:rFonts w:eastAsiaTheme="minorHAnsi" w:cs="'92]ˇ"/>
          <w:lang w:val="en-US"/>
        </w:rPr>
        <w:t>crizotinib</w:t>
      </w:r>
      <w:proofErr w:type="spellEnd"/>
      <w:r w:rsidRPr="00DD11C4">
        <w:rPr>
          <w:rFonts w:eastAsiaTheme="minorHAnsi" w:cs="'92]ˇ"/>
          <w:lang w:val="en-US"/>
        </w:rPr>
        <w:t>)</w:t>
      </w:r>
      <w:r w:rsidR="00407466">
        <w:rPr>
          <w:rFonts w:eastAsiaTheme="minorHAnsi" w:cs="'92]ˇ"/>
          <w:lang w:val="en-US"/>
        </w:rPr>
        <w:t>.</w:t>
      </w:r>
    </w:p>
    <w:p w14:paraId="6AD3E742" w14:textId="77777777" w:rsidR="00407466" w:rsidRDefault="003207E2" w:rsidP="001F7691">
      <w:pPr>
        <w:rPr>
          <w:rFonts w:eastAsiaTheme="minorHAnsi" w:cs="'92]ˇ"/>
          <w:lang w:val="en-US"/>
        </w:rPr>
      </w:pPr>
      <w:r w:rsidRPr="00DD11C4">
        <w:rPr>
          <w:rFonts w:eastAsiaTheme="minorHAnsi" w:cs="'92]ˇ"/>
          <w:lang w:val="en-US"/>
        </w:rPr>
        <w:t xml:space="preserve">Additional adverse events confirmed for </w:t>
      </w:r>
      <w:proofErr w:type="spellStart"/>
      <w:r w:rsidRPr="00DD11C4">
        <w:rPr>
          <w:rFonts w:eastAsiaTheme="minorHAnsi" w:cs="'92]ˇ"/>
          <w:lang w:val="en-US"/>
        </w:rPr>
        <w:t>alectinib</w:t>
      </w:r>
      <w:proofErr w:type="spellEnd"/>
      <w:r w:rsidRPr="00DD11C4">
        <w:rPr>
          <w:rFonts w:eastAsiaTheme="minorHAnsi" w:cs="'92]ˇ"/>
          <w:lang w:val="en-US"/>
        </w:rPr>
        <w:t xml:space="preserve"> and which occurred at a higher rate than in the </w:t>
      </w:r>
      <w:proofErr w:type="spellStart"/>
      <w:r w:rsidRPr="00DD11C4">
        <w:rPr>
          <w:rFonts w:eastAsiaTheme="minorHAnsi" w:cs="'92]ˇ"/>
          <w:lang w:val="en-US"/>
        </w:rPr>
        <w:t>crizotinib</w:t>
      </w:r>
      <w:proofErr w:type="spellEnd"/>
      <w:r w:rsidRPr="00DD11C4">
        <w:rPr>
          <w:rFonts w:eastAsiaTheme="minorHAnsi" w:cs="'92]ˇ"/>
          <w:lang w:val="en-US"/>
        </w:rPr>
        <w:t xml:space="preserve"> arm include </w:t>
      </w:r>
      <w:proofErr w:type="spellStart"/>
      <w:r w:rsidRPr="00DD11C4">
        <w:rPr>
          <w:rFonts w:eastAsiaTheme="minorHAnsi" w:cs="'92]ˇ"/>
          <w:lang w:val="en-US"/>
        </w:rPr>
        <w:t>anaemia</w:t>
      </w:r>
      <w:proofErr w:type="spellEnd"/>
      <w:r w:rsidRPr="00DD11C4">
        <w:rPr>
          <w:rFonts w:eastAsiaTheme="minorHAnsi" w:cs="'92]ˇ"/>
          <w:lang w:val="en-US"/>
        </w:rPr>
        <w:t xml:space="preserve">, photosensitivity, severe myalgia and musculoskeletal pain and </w:t>
      </w:r>
      <w:proofErr w:type="spellStart"/>
      <w:r w:rsidR="00A00409">
        <w:rPr>
          <w:rFonts w:eastAsiaTheme="minorHAnsi" w:cs="'92]ˇ"/>
          <w:lang w:val="en-US"/>
        </w:rPr>
        <w:t>creatine</w:t>
      </w:r>
      <w:proofErr w:type="spellEnd"/>
      <w:r w:rsidR="00A00409">
        <w:rPr>
          <w:rFonts w:eastAsiaTheme="minorHAnsi" w:cs="'92]ˇ"/>
          <w:lang w:val="en-US"/>
        </w:rPr>
        <w:t xml:space="preserve"> phosphokinase (</w:t>
      </w:r>
      <w:r w:rsidRPr="00DD11C4">
        <w:rPr>
          <w:rFonts w:eastAsiaTheme="minorHAnsi" w:cs="'92]ˇ"/>
          <w:lang w:val="en-US"/>
        </w:rPr>
        <w:t>CPK</w:t>
      </w:r>
      <w:r w:rsidR="00A00409">
        <w:rPr>
          <w:rFonts w:eastAsiaTheme="minorHAnsi" w:cs="'92]ˇ"/>
          <w:lang w:val="en-US"/>
        </w:rPr>
        <w:t>)</w:t>
      </w:r>
      <w:r w:rsidRPr="00DD11C4">
        <w:rPr>
          <w:rFonts w:eastAsiaTheme="minorHAnsi" w:cs="'92]ˇ"/>
          <w:lang w:val="en-US"/>
        </w:rPr>
        <w:t xml:space="preserve"> rise. The following adverse events were also observed with </w:t>
      </w:r>
      <w:proofErr w:type="spellStart"/>
      <w:r w:rsidRPr="00DD11C4">
        <w:rPr>
          <w:rFonts w:eastAsiaTheme="minorHAnsi" w:cs="'92]ˇ"/>
          <w:lang w:val="en-US"/>
        </w:rPr>
        <w:t>alectinib</w:t>
      </w:r>
      <w:proofErr w:type="spellEnd"/>
      <w:r w:rsidRPr="00DD11C4">
        <w:rPr>
          <w:rFonts w:eastAsiaTheme="minorHAnsi" w:cs="'92]ˇ"/>
          <w:lang w:val="en-US"/>
        </w:rPr>
        <w:t xml:space="preserve">, but at lower rates than for </w:t>
      </w:r>
      <w:proofErr w:type="spellStart"/>
      <w:r w:rsidRPr="00DD11C4">
        <w:rPr>
          <w:rFonts w:eastAsiaTheme="minorHAnsi" w:cs="'92]ˇ"/>
          <w:lang w:val="en-US"/>
        </w:rPr>
        <w:t>crizotinib</w:t>
      </w:r>
      <w:proofErr w:type="spellEnd"/>
      <w:r w:rsidRPr="00DD11C4">
        <w:rPr>
          <w:rFonts w:eastAsiaTheme="minorHAnsi" w:cs="'92]ˇ"/>
          <w:lang w:val="en-US"/>
        </w:rPr>
        <w:t xml:space="preserve">: interstitial lung disease/pneumonitis (although at lower rates than reported in the J-ALEX study) and peripheral </w:t>
      </w:r>
      <w:proofErr w:type="spellStart"/>
      <w:r w:rsidRPr="00DD11C4">
        <w:rPr>
          <w:rFonts w:eastAsiaTheme="minorHAnsi" w:cs="'92]ˇ"/>
          <w:lang w:val="en-US"/>
        </w:rPr>
        <w:t>oedema</w:t>
      </w:r>
      <w:proofErr w:type="spellEnd"/>
      <w:r w:rsidR="00407466">
        <w:rPr>
          <w:rFonts w:eastAsiaTheme="minorHAnsi" w:cs="'92]ˇ"/>
          <w:lang w:val="en-US"/>
        </w:rPr>
        <w:t>.</w:t>
      </w:r>
    </w:p>
    <w:p w14:paraId="1A4CB144" w14:textId="59F36E1B" w:rsidR="003207E2" w:rsidRPr="00DD11C4" w:rsidRDefault="003207E2" w:rsidP="001F7691">
      <w:pPr>
        <w:rPr>
          <w:rFonts w:eastAsiaTheme="minorHAnsi" w:cs="'92]ˇ"/>
          <w:lang w:val="en-US"/>
        </w:rPr>
      </w:pPr>
      <w:r>
        <w:rPr>
          <w:rFonts w:eastAsiaTheme="minorHAnsi" w:cs="'92]ˇ"/>
          <w:lang w:val="en-US"/>
        </w:rPr>
        <w:t>A decrease from baseline heart rate was almost universal, and 5% of patients were reported as having b</w:t>
      </w:r>
      <w:r w:rsidRPr="00DD11C4">
        <w:rPr>
          <w:rFonts w:eastAsiaTheme="minorHAnsi" w:cs="'92]ˇ"/>
          <w:lang w:val="en-US"/>
        </w:rPr>
        <w:t>radycardia</w:t>
      </w:r>
      <w:r>
        <w:rPr>
          <w:rFonts w:eastAsiaTheme="minorHAnsi" w:cs="'92]ˇ"/>
          <w:lang w:val="en-US"/>
        </w:rPr>
        <w:t xml:space="preserve"> which was clinically significant, </w:t>
      </w:r>
      <w:r w:rsidRPr="00DD11C4">
        <w:rPr>
          <w:rFonts w:eastAsiaTheme="minorHAnsi" w:cs="'92]ˇ"/>
          <w:lang w:val="en-US"/>
        </w:rPr>
        <w:t xml:space="preserve">in a population where patients with symptomatic bradycardia were excluded, and dizziness was reported in patients on </w:t>
      </w:r>
      <w:proofErr w:type="spellStart"/>
      <w:r w:rsidRPr="00DD11C4">
        <w:rPr>
          <w:rFonts w:eastAsiaTheme="minorHAnsi" w:cs="'92]ˇ"/>
          <w:lang w:val="en-US"/>
        </w:rPr>
        <w:t>alectinib</w:t>
      </w:r>
      <w:proofErr w:type="spellEnd"/>
      <w:r w:rsidRPr="00DD11C4">
        <w:rPr>
          <w:rFonts w:eastAsiaTheme="minorHAnsi" w:cs="'92]ˇ"/>
          <w:lang w:val="en-US"/>
        </w:rPr>
        <w:t xml:space="preserve">. The changes in </w:t>
      </w:r>
      <w:proofErr w:type="spellStart"/>
      <w:r w:rsidRPr="00DD11C4">
        <w:rPr>
          <w:rFonts w:eastAsiaTheme="minorHAnsi" w:cs="'92]ˇ"/>
          <w:lang w:val="en-US"/>
        </w:rPr>
        <w:t>QTcF</w:t>
      </w:r>
      <w:proofErr w:type="spellEnd"/>
      <w:r w:rsidRPr="00DD11C4">
        <w:rPr>
          <w:rFonts w:eastAsiaTheme="minorHAnsi" w:cs="'92]ˇ"/>
          <w:lang w:val="en-US"/>
        </w:rPr>
        <w:t xml:space="preserve"> &gt;30</w:t>
      </w:r>
      <w:r w:rsidR="00A00409">
        <w:rPr>
          <w:rFonts w:eastAsiaTheme="minorHAnsi" w:cs="'92]ˇ"/>
          <w:lang w:val="en-US"/>
        </w:rPr>
        <w:t xml:space="preserve"> </w:t>
      </w:r>
      <w:proofErr w:type="spellStart"/>
      <w:r w:rsidRPr="00DD11C4">
        <w:rPr>
          <w:rFonts w:eastAsiaTheme="minorHAnsi" w:cs="'92]ˇ"/>
          <w:lang w:val="en-US"/>
        </w:rPr>
        <w:t>ms</w:t>
      </w:r>
      <w:proofErr w:type="spellEnd"/>
      <w:r w:rsidRPr="00DD11C4">
        <w:rPr>
          <w:rFonts w:eastAsiaTheme="minorHAnsi" w:cs="'92]ˇ"/>
          <w:lang w:val="en-US"/>
        </w:rPr>
        <w:t xml:space="preserve"> in at least 20% of patients indicate a substantial </w:t>
      </w:r>
      <w:proofErr w:type="spellStart"/>
      <w:r w:rsidRPr="00DD11C4">
        <w:rPr>
          <w:rFonts w:eastAsiaTheme="minorHAnsi" w:cs="'92]ˇ"/>
          <w:lang w:val="en-US"/>
        </w:rPr>
        <w:t>proarrhythmic</w:t>
      </w:r>
      <w:proofErr w:type="spellEnd"/>
      <w:r w:rsidRPr="00DD11C4">
        <w:rPr>
          <w:rFonts w:eastAsiaTheme="minorHAnsi" w:cs="'92]ˇ"/>
          <w:lang w:val="en-US"/>
        </w:rPr>
        <w:t xml:space="preserve"> potential for </w:t>
      </w:r>
      <w:proofErr w:type="spellStart"/>
      <w:r w:rsidRPr="00DD11C4">
        <w:rPr>
          <w:rFonts w:eastAsiaTheme="minorHAnsi" w:cs="'92]ˇ"/>
          <w:lang w:val="en-US"/>
        </w:rPr>
        <w:t>alectinib</w:t>
      </w:r>
      <w:proofErr w:type="spellEnd"/>
      <w:r w:rsidRPr="00DD11C4">
        <w:rPr>
          <w:rFonts w:eastAsiaTheme="minorHAnsi" w:cs="'92]ˇ"/>
          <w:lang w:val="en-US"/>
        </w:rPr>
        <w:t xml:space="preserve">, albeit at a lower level than </w:t>
      </w:r>
      <w:proofErr w:type="spellStart"/>
      <w:r w:rsidRPr="00DD11C4">
        <w:rPr>
          <w:rFonts w:eastAsiaTheme="minorHAnsi" w:cs="'92]ˇ"/>
          <w:lang w:val="en-US"/>
        </w:rPr>
        <w:t>crizotinib</w:t>
      </w:r>
      <w:proofErr w:type="spellEnd"/>
      <w:r w:rsidRPr="00DD11C4">
        <w:rPr>
          <w:rFonts w:eastAsiaTheme="minorHAnsi" w:cs="'92]ˇ"/>
          <w:lang w:val="en-US"/>
        </w:rPr>
        <w:t xml:space="preserve">. Based on these findings, it would appear reasonable to require a baseline </w:t>
      </w:r>
      <w:r w:rsidR="00A00409">
        <w:rPr>
          <w:rFonts w:eastAsiaTheme="minorHAnsi" w:cs="'92]ˇ"/>
          <w:lang w:val="en-US"/>
        </w:rPr>
        <w:t>electrocardiogram (</w:t>
      </w:r>
      <w:r w:rsidRPr="00DD11C4">
        <w:rPr>
          <w:rFonts w:eastAsiaTheme="minorHAnsi" w:cs="'92]ˇ"/>
          <w:lang w:val="en-US"/>
        </w:rPr>
        <w:t>ECG</w:t>
      </w:r>
      <w:r w:rsidR="00A00409">
        <w:rPr>
          <w:rFonts w:eastAsiaTheme="minorHAnsi" w:cs="'92]ˇ"/>
          <w:lang w:val="en-US"/>
        </w:rPr>
        <w:t>)</w:t>
      </w:r>
      <w:r w:rsidRPr="00DD11C4">
        <w:rPr>
          <w:rFonts w:eastAsiaTheme="minorHAnsi" w:cs="'92]ˇ"/>
          <w:lang w:val="en-US"/>
        </w:rPr>
        <w:t xml:space="preserve"> prior to commencement in order to document any existing risk factors for cardiac risk, and to refer back to in the event of onset of a significant clinical problem. The safety of concomitant medications known to increase the QT interval in patients receiving </w:t>
      </w:r>
      <w:proofErr w:type="spellStart"/>
      <w:r w:rsidRPr="00DD11C4">
        <w:rPr>
          <w:rFonts w:eastAsiaTheme="minorHAnsi" w:cs="'92]ˇ"/>
          <w:lang w:val="en-US"/>
        </w:rPr>
        <w:t>alectinib</w:t>
      </w:r>
      <w:proofErr w:type="spellEnd"/>
      <w:r w:rsidRPr="00DD11C4">
        <w:rPr>
          <w:rFonts w:eastAsiaTheme="minorHAnsi" w:cs="'92]ˇ"/>
          <w:lang w:val="en-US"/>
        </w:rPr>
        <w:t xml:space="preserve"> is unlikely to have been adequately demonstrated in this clinical trial, as such medications were not permitted in any patients for 14 days prior to enrolment, and then allowed only for those in the </w:t>
      </w:r>
      <w:proofErr w:type="spellStart"/>
      <w:r w:rsidRPr="00DD11C4">
        <w:rPr>
          <w:rFonts w:eastAsiaTheme="minorHAnsi" w:cs="'92]ˇ"/>
          <w:lang w:val="en-US"/>
        </w:rPr>
        <w:t>alectinib</w:t>
      </w:r>
      <w:proofErr w:type="spellEnd"/>
      <w:r w:rsidRPr="00DD11C4">
        <w:rPr>
          <w:rFonts w:eastAsiaTheme="minorHAnsi" w:cs="'92]ˇ"/>
          <w:lang w:val="en-US"/>
        </w:rPr>
        <w:t xml:space="preserve"> arm.</w:t>
      </w:r>
    </w:p>
    <w:p w14:paraId="0B3930A8" w14:textId="77777777" w:rsidR="003207E2" w:rsidRPr="003207E2" w:rsidRDefault="003207E2" w:rsidP="001F7691">
      <w:r w:rsidRPr="00DD11C4">
        <w:rPr>
          <w:rFonts w:eastAsiaTheme="minorHAnsi" w:cs="'92]ˇ"/>
          <w:lang w:val="en-US"/>
        </w:rPr>
        <w:t xml:space="preserve">Gastrointestinal toxicities occurred but at much lower rates than for </w:t>
      </w:r>
      <w:proofErr w:type="spellStart"/>
      <w:r w:rsidRPr="00DD11C4">
        <w:rPr>
          <w:rFonts w:eastAsiaTheme="minorHAnsi" w:cs="'92]ˇ"/>
          <w:lang w:val="en-US"/>
        </w:rPr>
        <w:t>crizotinib</w:t>
      </w:r>
      <w:proofErr w:type="spellEnd"/>
      <w:r w:rsidRPr="00DD11C4">
        <w:rPr>
          <w:rFonts w:eastAsiaTheme="minorHAnsi" w:cs="'92]ˇ"/>
          <w:lang w:val="en-US"/>
        </w:rPr>
        <w:t xml:space="preserve"> and visual toxicities do not appear to be a significant clinical issue for patients receiving </w:t>
      </w:r>
      <w:proofErr w:type="spellStart"/>
      <w:r w:rsidRPr="00DD11C4">
        <w:rPr>
          <w:rFonts w:eastAsiaTheme="minorHAnsi" w:cs="'92]ˇ"/>
          <w:lang w:val="en-US"/>
        </w:rPr>
        <w:t>alectinib</w:t>
      </w:r>
      <w:proofErr w:type="spellEnd"/>
      <w:r w:rsidR="001F7691">
        <w:rPr>
          <w:rFonts w:eastAsiaTheme="minorHAnsi" w:cs="'92]ˇ"/>
          <w:lang w:val="en-US"/>
        </w:rPr>
        <w:t>.</w:t>
      </w:r>
    </w:p>
    <w:p w14:paraId="2C0C644A" w14:textId="3F668761" w:rsidR="00605AD4" w:rsidRPr="00605AD4" w:rsidRDefault="00605AD4" w:rsidP="00605AD4">
      <w:pPr>
        <w:pStyle w:val="Heading3"/>
        <w:rPr>
          <w:rFonts w:eastAsia="Cambria"/>
        </w:rPr>
      </w:pPr>
      <w:bookmarkStart w:id="81" w:name="_Toc509821969"/>
      <w:r w:rsidRPr="00605AD4">
        <w:rPr>
          <w:rFonts w:eastAsia="Cambria"/>
        </w:rPr>
        <w:t xml:space="preserve">First </w:t>
      </w:r>
      <w:r w:rsidR="00407466" w:rsidRPr="00605AD4">
        <w:rPr>
          <w:rFonts w:eastAsia="Cambria"/>
        </w:rPr>
        <w:t>round benefit-risk assessment</w:t>
      </w:r>
      <w:bookmarkEnd w:id="81"/>
    </w:p>
    <w:p w14:paraId="72703AC1" w14:textId="77777777" w:rsidR="00605AD4" w:rsidRDefault="00605AD4" w:rsidP="00605AD4">
      <w:pPr>
        <w:pStyle w:val="Heading4"/>
      </w:pPr>
      <w:r w:rsidRPr="00605AD4">
        <w:t>First round assessment of benefit-risk balance</w:t>
      </w:r>
    </w:p>
    <w:p w14:paraId="568AF014" w14:textId="77777777" w:rsidR="003207E2" w:rsidRDefault="003207E2" w:rsidP="001F7691">
      <w:pPr>
        <w:rPr>
          <w:lang w:eastAsia="ja-JP"/>
        </w:rPr>
      </w:pPr>
      <w:r>
        <w:rPr>
          <w:lang w:eastAsia="ja-JP"/>
        </w:rPr>
        <w:t xml:space="preserve">This trial randomised patients to receive either the current standard of care, </w:t>
      </w:r>
      <w:proofErr w:type="spellStart"/>
      <w:r>
        <w:rPr>
          <w:lang w:eastAsia="ja-JP"/>
        </w:rPr>
        <w:t>crizotinib</w:t>
      </w:r>
      <w:proofErr w:type="spellEnd"/>
      <w:r>
        <w:rPr>
          <w:lang w:eastAsia="ja-JP"/>
        </w:rPr>
        <w:t xml:space="preserve">, or </w:t>
      </w:r>
      <w:proofErr w:type="spellStart"/>
      <w:r>
        <w:rPr>
          <w:lang w:eastAsia="ja-JP"/>
        </w:rPr>
        <w:t>alectinib</w:t>
      </w:r>
      <w:proofErr w:type="spellEnd"/>
      <w:r>
        <w:rPr>
          <w:lang w:eastAsia="ja-JP"/>
        </w:rPr>
        <w:t xml:space="preserve">. Compared with </w:t>
      </w:r>
      <w:proofErr w:type="spellStart"/>
      <w:r>
        <w:rPr>
          <w:lang w:eastAsia="ja-JP"/>
        </w:rPr>
        <w:t>crizotinib</w:t>
      </w:r>
      <w:proofErr w:type="spellEnd"/>
      <w:r>
        <w:rPr>
          <w:lang w:eastAsia="ja-JP"/>
        </w:rPr>
        <w:t xml:space="preserve">, </w:t>
      </w:r>
      <w:proofErr w:type="spellStart"/>
      <w:r>
        <w:rPr>
          <w:lang w:eastAsia="ja-JP"/>
        </w:rPr>
        <w:t>alectinib</w:t>
      </w:r>
      <w:proofErr w:type="spellEnd"/>
      <w:r>
        <w:rPr>
          <w:lang w:eastAsia="ja-JP"/>
        </w:rPr>
        <w:t xml:space="preserve"> improved progression-free survival, particularly delaying the development or progression of CNS metastases which is a very </w:t>
      </w:r>
      <w:r>
        <w:rPr>
          <w:lang w:eastAsia="ja-JP"/>
        </w:rPr>
        <w:lastRenderedPageBreak/>
        <w:t>significant problem for patients with this disease. CNS response rates were higher and the duration of observed responses w</w:t>
      </w:r>
      <w:r w:rsidR="00A00409">
        <w:rPr>
          <w:lang w:eastAsia="ja-JP"/>
        </w:rPr>
        <w:t>as</w:t>
      </w:r>
      <w:r>
        <w:rPr>
          <w:lang w:eastAsia="ja-JP"/>
        </w:rPr>
        <w:t xml:space="preserve"> longer and this appears to be one of the key factors in the observed improvement in progression-free survival. Non-CNS disease response rates were not statistically significantly different between the two treatments.</w:t>
      </w:r>
    </w:p>
    <w:p w14:paraId="2B2913BF" w14:textId="19FAAF77" w:rsidR="003207E2" w:rsidRDefault="003207E2" w:rsidP="001F7691">
      <w:pPr>
        <w:rPr>
          <w:lang w:eastAsia="ja-JP"/>
        </w:rPr>
      </w:pPr>
      <w:r>
        <w:rPr>
          <w:lang w:eastAsia="ja-JP"/>
        </w:rPr>
        <w:t xml:space="preserve">The safety of </w:t>
      </w:r>
      <w:proofErr w:type="spellStart"/>
      <w:r>
        <w:rPr>
          <w:lang w:eastAsia="ja-JP"/>
        </w:rPr>
        <w:t>alectinib</w:t>
      </w:r>
      <w:proofErr w:type="spellEnd"/>
      <w:r>
        <w:rPr>
          <w:lang w:eastAsia="ja-JP"/>
        </w:rPr>
        <w:t xml:space="preserve"> comp</w:t>
      </w:r>
      <w:r w:rsidR="00A00409">
        <w:rPr>
          <w:lang w:eastAsia="ja-JP"/>
        </w:rPr>
        <w:t xml:space="preserve">ares favourably with </w:t>
      </w:r>
      <w:proofErr w:type="spellStart"/>
      <w:r w:rsidR="00A00409">
        <w:rPr>
          <w:lang w:eastAsia="ja-JP"/>
        </w:rPr>
        <w:t>crizotinib</w:t>
      </w:r>
      <w:proofErr w:type="spellEnd"/>
      <w:r>
        <w:rPr>
          <w:lang w:eastAsia="ja-JP"/>
        </w:rPr>
        <w:t xml:space="preserve"> but there are specific toxicities that are noteworthy including the potential for severe, and sometimes fatal, events of renal failure which appear most common in those with limited renal reserve. Very unusually for patients with NSCLC, weight gain was observed and the reasons for this are not clear. Both of these events require inclusion in the CMI and PI to inform prescribers and patients. Lower rates of some adverse events such as </w:t>
      </w:r>
      <w:r w:rsidR="00A00409" w:rsidRPr="00A00409">
        <w:rPr>
          <w:lang w:eastAsia="ja-JP"/>
        </w:rPr>
        <w:t xml:space="preserve">Interstitial lung disease </w:t>
      </w:r>
      <w:r w:rsidR="00A00409">
        <w:rPr>
          <w:lang w:eastAsia="ja-JP"/>
        </w:rPr>
        <w:t>(</w:t>
      </w:r>
      <w:r>
        <w:rPr>
          <w:lang w:eastAsia="ja-JP"/>
        </w:rPr>
        <w:t>ILD</w:t>
      </w:r>
      <w:r w:rsidR="00A00409">
        <w:rPr>
          <w:lang w:eastAsia="ja-JP"/>
        </w:rPr>
        <w:t>)</w:t>
      </w:r>
      <w:r>
        <w:rPr>
          <w:lang w:eastAsia="ja-JP"/>
        </w:rPr>
        <w:t xml:space="preserve">/pneumonitis were recorded in the ALEX Phase III study compared with the J-ALEX Phase III study conducted in Japanese patients only, which used a lower dose. The </w:t>
      </w:r>
      <w:r w:rsidR="00A00409">
        <w:rPr>
          <w:lang w:eastAsia="ja-JP"/>
        </w:rPr>
        <w:t>clinical e</w:t>
      </w:r>
      <w:r>
        <w:rPr>
          <w:lang w:eastAsia="ja-JP"/>
        </w:rPr>
        <w:t xml:space="preserve">valuator considers it </w:t>
      </w:r>
      <w:r w:rsidR="00232C1D">
        <w:rPr>
          <w:lang w:eastAsia="ja-JP"/>
        </w:rPr>
        <w:t xml:space="preserve">as </w:t>
      </w:r>
      <w:r>
        <w:rPr>
          <w:lang w:eastAsia="ja-JP"/>
        </w:rPr>
        <w:t xml:space="preserve">important to retain this information rather than replace it as currently proposed by the </w:t>
      </w:r>
      <w:r w:rsidR="00A00409">
        <w:rPr>
          <w:lang w:eastAsia="ja-JP"/>
        </w:rPr>
        <w:t>s</w:t>
      </w:r>
      <w:r>
        <w:rPr>
          <w:lang w:eastAsia="ja-JP"/>
        </w:rPr>
        <w:t>ponsor.</w:t>
      </w:r>
    </w:p>
    <w:p w14:paraId="02D1AD57" w14:textId="77777777" w:rsidR="00407466" w:rsidRDefault="003207E2" w:rsidP="001F7691">
      <w:pPr>
        <w:rPr>
          <w:lang w:eastAsia="ja-JP"/>
        </w:rPr>
      </w:pPr>
      <w:r>
        <w:rPr>
          <w:lang w:eastAsia="ja-JP"/>
        </w:rPr>
        <w:t xml:space="preserve">The false negative rate of the </w:t>
      </w:r>
      <w:proofErr w:type="spellStart"/>
      <w:r>
        <w:rPr>
          <w:lang w:eastAsia="ja-JP"/>
        </w:rPr>
        <w:t>Vysis</w:t>
      </w:r>
      <w:proofErr w:type="spellEnd"/>
      <w:r>
        <w:rPr>
          <w:lang w:eastAsia="ja-JP"/>
        </w:rPr>
        <w:t xml:space="preserve"> FISH was significant in this trial with 24/39 patients (8% of the study population) who were IHC-positive/FISH-negative receiving clinical benefit from treatment with either </w:t>
      </w:r>
      <w:proofErr w:type="spellStart"/>
      <w:r>
        <w:rPr>
          <w:lang w:eastAsia="ja-JP"/>
        </w:rPr>
        <w:t>alectinib</w:t>
      </w:r>
      <w:proofErr w:type="spellEnd"/>
      <w:r>
        <w:rPr>
          <w:lang w:eastAsia="ja-JP"/>
        </w:rPr>
        <w:t xml:space="preserve"> or </w:t>
      </w:r>
      <w:proofErr w:type="spellStart"/>
      <w:r>
        <w:rPr>
          <w:lang w:eastAsia="ja-JP"/>
        </w:rPr>
        <w:t>crizotinib</w:t>
      </w:r>
      <w:proofErr w:type="spellEnd"/>
      <w:r>
        <w:rPr>
          <w:lang w:eastAsia="ja-JP"/>
        </w:rPr>
        <w:t xml:space="preserve">. With the current algorithm for testing in Australia, a significant proportion of patients (at least 12.8% in this study, but that figure may have been higher given no </w:t>
      </w:r>
      <w:proofErr w:type="spellStart"/>
      <w:r>
        <w:rPr>
          <w:lang w:eastAsia="ja-JP"/>
        </w:rPr>
        <w:t>Vysis</w:t>
      </w:r>
      <w:proofErr w:type="spellEnd"/>
      <w:r>
        <w:rPr>
          <w:lang w:eastAsia="ja-JP"/>
        </w:rPr>
        <w:t xml:space="preserve"> FISH test outcomes were available in 61/303 patients) will not be deemed ALK-positive for access to targeted therapies including </w:t>
      </w:r>
      <w:proofErr w:type="spellStart"/>
      <w:r>
        <w:rPr>
          <w:lang w:eastAsia="ja-JP"/>
        </w:rPr>
        <w:t>alectinib</w:t>
      </w:r>
      <w:proofErr w:type="spellEnd"/>
      <w:r>
        <w:rPr>
          <w:lang w:eastAsia="ja-JP"/>
        </w:rPr>
        <w:t xml:space="preserve">, </w:t>
      </w:r>
      <w:proofErr w:type="spellStart"/>
      <w:r>
        <w:rPr>
          <w:lang w:eastAsia="ja-JP"/>
        </w:rPr>
        <w:t>crizotinib</w:t>
      </w:r>
      <w:proofErr w:type="spellEnd"/>
      <w:r>
        <w:rPr>
          <w:lang w:eastAsia="ja-JP"/>
        </w:rPr>
        <w:t xml:space="preserve"> and </w:t>
      </w:r>
      <w:proofErr w:type="spellStart"/>
      <w:r>
        <w:rPr>
          <w:lang w:eastAsia="ja-JP"/>
        </w:rPr>
        <w:t>ceritinib</w:t>
      </w:r>
      <w:proofErr w:type="spellEnd"/>
      <w:r>
        <w:rPr>
          <w:lang w:eastAsia="ja-JP"/>
        </w:rPr>
        <w:t xml:space="preserve">. Not only might such patients not be eligible for access to ALK inhibitors, and may be directed </w:t>
      </w:r>
      <w:r w:rsidR="00232C1D">
        <w:rPr>
          <w:lang w:eastAsia="ja-JP"/>
        </w:rPr>
        <w:t>to</w:t>
      </w:r>
      <w:r>
        <w:rPr>
          <w:lang w:eastAsia="ja-JP"/>
        </w:rPr>
        <w:t xml:space="preserve"> chemotherapy or potentially a </w:t>
      </w:r>
      <w:r w:rsidR="00A00409" w:rsidRPr="00A00409">
        <w:rPr>
          <w:lang w:eastAsia="ja-JP"/>
        </w:rPr>
        <w:t xml:space="preserve">programmed death-ligand 1 </w:t>
      </w:r>
      <w:r w:rsidR="00A00409">
        <w:rPr>
          <w:lang w:eastAsia="ja-JP"/>
        </w:rPr>
        <w:t>(</w:t>
      </w:r>
      <w:r>
        <w:rPr>
          <w:lang w:eastAsia="ja-JP"/>
        </w:rPr>
        <w:t>PD-1</w:t>
      </w:r>
      <w:r w:rsidR="00A00409">
        <w:rPr>
          <w:lang w:eastAsia="ja-JP"/>
        </w:rPr>
        <w:t>)</w:t>
      </w:r>
      <w:r>
        <w:rPr>
          <w:lang w:eastAsia="ja-JP"/>
        </w:rPr>
        <w:t xml:space="preserve"> inhibitor pathway, but may also be ineligible for future clinical trials where prior ALK inhibitor use is required and/or chemotherapy not permitted</w:t>
      </w:r>
      <w:r w:rsidR="00407466">
        <w:rPr>
          <w:lang w:eastAsia="ja-JP"/>
        </w:rPr>
        <w:t>.</w:t>
      </w:r>
    </w:p>
    <w:p w14:paraId="5E133B4F" w14:textId="77777777" w:rsidR="00407466" w:rsidRDefault="003207E2" w:rsidP="001F7691">
      <w:pPr>
        <w:rPr>
          <w:lang w:eastAsia="ja-JP"/>
        </w:rPr>
      </w:pPr>
      <w:r w:rsidRPr="00005DF6">
        <w:rPr>
          <w:lang w:eastAsia="ja-JP"/>
        </w:rPr>
        <w:t xml:space="preserve">The </w:t>
      </w:r>
      <w:proofErr w:type="spellStart"/>
      <w:r w:rsidRPr="00005DF6">
        <w:rPr>
          <w:lang w:eastAsia="ja-JP"/>
        </w:rPr>
        <w:t>Ventana</w:t>
      </w:r>
      <w:proofErr w:type="spellEnd"/>
      <w:r w:rsidRPr="00005DF6">
        <w:rPr>
          <w:lang w:eastAsia="ja-JP"/>
        </w:rPr>
        <w:t xml:space="preserve"> ALK (D5F3) IHC assay is currently listed as a Class 2 IVD on the ARTG, which is not consistent with its use in this trial (where it was used for treatment selection) or its recent approvals by the FDA as a companion diagnostic for ALK inhibitors</w:t>
      </w:r>
      <w:r w:rsidR="00407466">
        <w:rPr>
          <w:lang w:eastAsia="ja-JP"/>
        </w:rPr>
        <w:t>.</w:t>
      </w:r>
    </w:p>
    <w:p w14:paraId="56ACFDEB" w14:textId="578EA335" w:rsidR="00605AD4" w:rsidRDefault="00605AD4" w:rsidP="00605AD4">
      <w:pPr>
        <w:pStyle w:val="Heading3"/>
        <w:rPr>
          <w:rFonts w:eastAsia="Cambria"/>
        </w:rPr>
      </w:pPr>
      <w:bookmarkStart w:id="82" w:name="_Toc509821970"/>
      <w:r w:rsidRPr="00605AD4">
        <w:rPr>
          <w:rFonts w:eastAsia="Cambria"/>
        </w:rPr>
        <w:t xml:space="preserve">First </w:t>
      </w:r>
      <w:r w:rsidR="00407466" w:rsidRPr="00605AD4">
        <w:rPr>
          <w:rFonts w:eastAsia="Cambria"/>
        </w:rPr>
        <w:t>round recommendation regarding authorisation</w:t>
      </w:r>
      <w:bookmarkEnd w:id="82"/>
    </w:p>
    <w:p w14:paraId="45961124" w14:textId="77777777" w:rsidR="003207E2" w:rsidRDefault="003207E2" w:rsidP="001F7691">
      <w:pPr>
        <w:rPr>
          <w:lang w:eastAsia="ja-JP"/>
        </w:rPr>
      </w:pPr>
      <w:r>
        <w:rPr>
          <w:lang w:eastAsia="ja-JP"/>
        </w:rPr>
        <w:t xml:space="preserve">Subject to satisfactory amendments being made to the PI, it is recommended that the </w:t>
      </w:r>
      <w:r w:rsidR="003B08AF">
        <w:rPr>
          <w:lang w:eastAsia="ja-JP"/>
        </w:rPr>
        <w:t>s</w:t>
      </w:r>
      <w:r>
        <w:rPr>
          <w:lang w:eastAsia="ja-JP"/>
        </w:rPr>
        <w:t>ponsor’s proposed indication be approved.</w:t>
      </w:r>
    </w:p>
    <w:p w14:paraId="291C6AB8" w14:textId="77777777" w:rsidR="008E7846" w:rsidRPr="00E41208" w:rsidRDefault="008E7846" w:rsidP="00546154">
      <w:pPr>
        <w:pStyle w:val="Heading2"/>
      </w:pPr>
      <w:bookmarkStart w:id="83" w:name="_Toc509821971"/>
      <w:r w:rsidRPr="00E41208">
        <w:t xml:space="preserve">V. Pharmacovigilance </w:t>
      </w:r>
      <w:r>
        <w:t>f</w:t>
      </w:r>
      <w:r w:rsidRPr="00E41208">
        <w:t>indings</w:t>
      </w:r>
      <w:bookmarkEnd w:id="75"/>
      <w:bookmarkEnd w:id="76"/>
      <w:bookmarkEnd w:id="83"/>
    </w:p>
    <w:p w14:paraId="59C6FDF7" w14:textId="77777777" w:rsidR="00407466" w:rsidRDefault="003207E2" w:rsidP="001F7691">
      <w:pPr>
        <w:pStyle w:val="Heading3"/>
      </w:pPr>
      <w:bookmarkStart w:id="84" w:name="_Toc503257030"/>
      <w:bookmarkStart w:id="85" w:name="_Toc247691527"/>
      <w:bookmarkStart w:id="86" w:name="_Toc314842510"/>
      <w:bookmarkStart w:id="87" w:name="_Toc509821972"/>
      <w:r>
        <w:t>Summary</w:t>
      </w:r>
      <w:bookmarkEnd w:id="84"/>
      <w:bookmarkEnd w:id="87"/>
    </w:p>
    <w:p w14:paraId="31DC0311" w14:textId="52386D54" w:rsidR="00407466" w:rsidRDefault="003207E2" w:rsidP="00083CF0">
      <w:pPr>
        <w:pStyle w:val="ListBullet"/>
      </w:pPr>
      <w:r w:rsidRPr="00315EE4">
        <w:t>The most recently evaluated EU-RMP was version 1.1 (date 17 August 2015; D</w:t>
      </w:r>
      <w:r w:rsidR="00742AD6">
        <w:t xml:space="preserve">ata </w:t>
      </w:r>
      <w:r w:rsidRPr="00315EE4">
        <w:t>L</w:t>
      </w:r>
      <w:r w:rsidR="00742AD6">
        <w:t xml:space="preserve">ock </w:t>
      </w:r>
      <w:r w:rsidRPr="00315EE4">
        <w:t>P</w:t>
      </w:r>
      <w:r w:rsidR="00742AD6">
        <w:t>oint (DLP)</w:t>
      </w:r>
      <w:r w:rsidRPr="00315EE4">
        <w:t xml:space="preserve"> 31 July 2015) and ASA version 1.1 (dated October 2016).</w:t>
      </w:r>
      <w:r w:rsidR="004232F7">
        <w:t xml:space="preserve"> </w:t>
      </w:r>
      <w:r w:rsidRPr="00315EE4">
        <w:t xml:space="preserve">In support of the extended indications, the </w:t>
      </w:r>
      <w:r w:rsidR="003B08AF">
        <w:t>s</w:t>
      </w:r>
      <w:r w:rsidRPr="00315EE4">
        <w:t xml:space="preserve">ponsor has submitted EU-RMP version 2.1 (date 8 August 2017; DLP 7 July 2017) and </w:t>
      </w:r>
      <w:r w:rsidR="003B08AF">
        <w:t>Australian Specific Annex (</w:t>
      </w:r>
      <w:r w:rsidRPr="00315EE4">
        <w:t>ASA</w:t>
      </w:r>
      <w:r w:rsidR="003B08AF">
        <w:t>)</w:t>
      </w:r>
      <w:r w:rsidRPr="00315EE4">
        <w:t xml:space="preserve"> version 2.0 (</w:t>
      </w:r>
      <w:r w:rsidRPr="00083CF0">
        <w:t>August</w:t>
      </w:r>
      <w:r w:rsidRPr="00315EE4">
        <w:t xml:space="preserve"> 2017)</w:t>
      </w:r>
      <w:r w:rsidR="00407466">
        <w:t>.</w:t>
      </w:r>
    </w:p>
    <w:p w14:paraId="19F6EBF3" w14:textId="22D71F64" w:rsidR="003207E2" w:rsidRDefault="003207E2" w:rsidP="00304661">
      <w:pPr>
        <w:pStyle w:val="ListBullet"/>
      </w:pPr>
      <w:r w:rsidRPr="00315EE4">
        <w:t>The proposed Summary of Safety Concerns and their associated risk monitoring and mitigation strategies are summarised below</w:t>
      </w:r>
      <w:r w:rsidR="003B08AF">
        <w:t xml:space="preserve"> in Table 3.</w:t>
      </w:r>
    </w:p>
    <w:p w14:paraId="30C680A7" w14:textId="77777777" w:rsidR="00742AD6" w:rsidRDefault="00742AD6" w:rsidP="00407466">
      <w:pPr>
        <w:pStyle w:val="TableTitle"/>
        <w:pageBreakBefore/>
      </w:pPr>
      <w:r>
        <w:lastRenderedPageBreak/>
        <w:t xml:space="preserve">Table </w:t>
      </w:r>
      <w:r w:rsidR="003B08AF">
        <w:t>3</w:t>
      </w:r>
      <w:r>
        <w:t xml:space="preserve">: </w:t>
      </w:r>
      <w:r w:rsidR="00FA038A">
        <w:t xml:space="preserve">Sponsor’s proposed </w:t>
      </w:r>
      <w:r>
        <w:t>Summary of safety concerns</w:t>
      </w:r>
    </w:p>
    <w:p w14:paraId="4A42430F" w14:textId="77777777" w:rsidR="00FA038A" w:rsidRPr="00315EE4" w:rsidRDefault="00FA038A" w:rsidP="00FA038A">
      <w:pPr>
        <w:pStyle w:val="TableDescription"/>
      </w:pPr>
      <w:r>
        <w:t>R=Routine and A=Additional</w:t>
      </w:r>
    </w:p>
    <w:tbl>
      <w:tblPr>
        <w:tblStyle w:val="TableTGAblue"/>
        <w:tblW w:w="8897" w:type="dxa"/>
        <w:tblLayout w:type="fixed"/>
        <w:tblLook w:val="04A0" w:firstRow="1" w:lastRow="0" w:firstColumn="1" w:lastColumn="0" w:noHBand="0" w:noVBand="1"/>
      </w:tblPr>
      <w:tblGrid>
        <w:gridCol w:w="1951"/>
        <w:gridCol w:w="2693"/>
        <w:gridCol w:w="1134"/>
        <w:gridCol w:w="1134"/>
        <w:gridCol w:w="993"/>
        <w:gridCol w:w="992"/>
      </w:tblGrid>
      <w:tr w:rsidR="003207E2" w:rsidRPr="00FA038A" w14:paraId="49AEC6D1" w14:textId="77777777" w:rsidTr="00083CF0">
        <w:trPr>
          <w:cnfStyle w:val="100000000000" w:firstRow="1" w:lastRow="0" w:firstColumn="0" w:lastColumn="0" w:oddVBand="0" w:evenVBand="0" w:oddHBand="0" w:evenHBand="0" w:firstRowFirstColumn="0" w:firstRowLastColumn="0" w:lastRowFirstColumn="0" w:lastRowLastColumn="0"/>
          <w:cantSplit/>
          <w:trHeight w:val="131"/>
        </w:trPr>
        <w:tc>
          <w:tcPr>
            <w:tcW w:w="4644" w:type="dxa"/>
            <w:gridSpan w:val="2"/>
            <w:vMerge w:val="restart"/>
          </w:tcPr>
          <w:p w14:paraId="6B137FB9" w14:textId="77777777" w:rsidR="003207E2" w:rsidRPr="00FA038A" w:rsidRDefault="003207E2" w:rsidP="00407466">
            <w:r w:rsidRPr="00FA038A">
              <w:t>Summary of safety concerns</w:t>
            </w:r>
          </w:p>
        </w:tc>
        <w:tc>
          <w:tcPr>
            <w:tcW w:w="2268" w:type="dxa"/>
            <w:gridSpan w:val="2"/>
          </w:tcPr>
          <w:p w14:paraId="6617BDE9" w14:textId="77777777" w:rsidR="003207E2" w:rsidRPr="00FA038A" w:rsidRDefault="003207E2" w:rsidP="00407466">
            <w:pPr>
              <w:rPr>
                <w:sz w:val="18"/>
              </w:rPr>
            </w:pPr>
            <w:r w:rsidRPr="00FA038A">
              <w:rPr>
                <w:sz w:val="18"/>
              </w:rPr>
              <w:t>Pharmacovigilance</w:t>
            </w:r>
          </w:p>
        </w:tc>
        <w:tc>
          <w:tcPr>
            <w:tcW w:w="1985" w:type="dxa"/>
            <w:gridSpan w:val="2"/>
          </w:tcPr>
          <w:p w14:paraId="37DD8E74" w14:textId="77777777" w:rsidR="003207E2" w:rsidRPr="00FA038A" w:rsidRDefault="003207E2" w:rsidP="00407466">
            <w:pPr>
              <w:rPr>
                <w:sz w:val="18"/>
              </w:rPr>
            </w:pPr>
            <w:r w:rsidRPr="00FA038A">
              <w:rPr>
                <w:sz w:val="18"/>
              </w:rPr>
              <w:t>Risk Minimisation</w:t>
            </w:r>
          </w:p>
        </w:tc>
      </w:tr>
      <w:tr w:rsidR="003207E2" w:rsidRPr="00FA038A" w14:paraId="60D4A2BE" w14:textId="77777777" w:rsidTr="00083CF0">
        <w:trPr>
          <w:cantSplit/>
          <w:trHeight w:val="150"/>
        </w:trPr>
        <w:tc>
          <w:tcPr>
            <w:tcW w:w="4644" w:type="dxa"/>
            <w:gridSpan w:val="2"/>
            <w:vMerge/>
          </w:tcPr>
          <w:p w14:paraId="510E0F20" w14:textId="77777777" w:rsidR="003207E2" w:rsidRPr="00FA038A" w:rsidRDefault="003207E2" w:rsidP="00407466"/>
        </w:tc>
        <w:tc>
          <w:tcPr>
            <w:tcW w:w="1134" w:type="dxa"/>
          </w:tcPr>
          <w:p w14:paraId="2367183E" w14:textId="77777777" w:rsidR="003207E2" w:rsidRPr="00FA038A" w:rsidRDefault="003207E2" w:rsidP="00407466">
            <w:pPr>
              <w:rPr>
                <w:sz w:val="18"/>
              </w:rPr>
            </w:pPr>
            <w:r w:rsidRPr="00FA038A">
              <w:rPr>
                <w:sz w:val="18"/>
              </w:rPr>
              <w:t>R</w:t>
            </w:r>
          </w:p>
        </w:tc>
        <w:tc>
          <w:tcPr>
            <w:tcW w:w="1134" w:type="dxa"/>
          </w:tcPr>
          <w:p w14:paraId="4519BF4A" w14:textId="77777777" w:rsidR="003207E2" w:rsidRPr="00FA038A" w:rsidRDefault="003207E2" w:rsidP="00407466">
            <w:pPr>
              <w:rPr>
                <w:sz w:val="18"/>
              </w:rPr>
            </w:pPr>
            <w:r w:rsidRPr="00FA038A">
              <w:rPr>
                <w:sz w:val="18"/>
              </w:rPr>
              <w:t>A</w:t>
            </w:r>
          </w:p>
        </w:tc>
        <w:tc>
          <w:tcPr>
            <w:tcW w:w="993" w:type="dxa"/>
          </w:tcPr>
          <w:p w14:paraId="07CC5FA4" w14:textId="77777777" w:rsidR="003207E2" w:rsidRPr="00FA038A" w:rsidRDefault="003207E2" w:rsidP="00407466">
            <w:pPr>
              <w:rPr>
                <w:sz w:val="18"/>
              </w:rPr>
            </w:pPr>
            <w:r w:rsidRPr="00FA038A">
              <w:rPr>
                <w:sz w:val="18"/>
              </w:rPr>
              <w:t>R</w:t>
            </w:r>
          </w:p>
        </w:tc>
        <w:tc>
          <w:tcPr>
            <w:tcW w:w="992" w:type="dxa"/>
          </w:tcPr>
          <w:p w14:paraId="467DBD51" w14:textId="77777777" w:rsidR="003207E2" w:rsidRPr="00FA038A" w:rsidRDefault="003207E2" w:rsidP="00407466">
            <w:pPr>
              <w:rPr>
                <w:sz w:val="18"/>
              </w:rPr>
            </w:pPr>
            <w:r w:rsidRPr="00FA038A">
              <w:rPr>
                <w:sz w:val="18"/>
              </w:rPr>
              <w:t>A</w:t>
            </w:r>
          </w:p>
        </w:tc>
      </w:tr>
      <w:tr w:rsidR="003207E2" w:rsidRPr="004F1C07" w14:paraId="1A62C7B2" w14:textId="77777777" w:rsidTr="00D32F3B">
        <w:trPr>
          <w:trHeight w:val="137"/>
        </w:trPr>
        <w:tc>
          <w:tcPr>
            <w:tcW w:w="1951" w:type="dxa"/>
            <w:vMerge w:val="restart"/>
          </w:tcPr>
          <w:p w14:paraId="58743674" w14:textId="77777777" w:rsidR="003207E2" w:rsidRPr="00407466" w:rsidRDefault="003207E2" w:rsidP="00407466">
            <w:pPr>
              <w:rPr>
                <w:b/>
              </w:rPr>
            </w:pPr>
            <w:r w:rsidRPr="00407466">
              <w:rPr>
                <w:b/>
              </w:rPr>
              <w:t>Important identified risks</w:t>
            </w:r>
          </w:p>
        </w:tc>
        <w:tc>
          <w:tcPr>
            <w:tcW w:w="2693" w:type="dxa"/>
          </w:tcPr>
          <w:p w14:paraId="7D59DB66" w14:textId="77777777" w:rsidR="003207E2" w:rsidRPr="004F1C07" w:rsidRDefault="003207E2" w:rsidP="00407466">
            <w:r>
              <w:t>Interstitial lung disease/pneumonitis</w:t>
            </w:r>
          </w:p>
        </w:tc>
        <w:tc>
          <w:tcPr>
            <w:tcW w:w="1134" w:type="dxa"/>
          </w:tcPr>
          <w:p w14:paraId="7B42E165" w14:textId="77777777" w:rsidR="003207E2" w:rsidRPr="00892803" w:rsidRDefault="003207E2" w:rsidP="00407466">
            <w:r w:rsidRPr="00892803">
              <w:sym w:font="Wingdings" w:char="F0FC"/>
            </w:r>
          </w:p>
        </w:tc>
        <w:tc>
          <w:tcPr>
            <w:tcW w:w="1134" w:type="dxa"/>
          </w:tcPr>
          <w:p w14:paraId="4FCDDDF2" w14:textId="77777777" w:rsidR="003207E2" w:rsidRPr="00892803" w:rsidRDefault="003207E2" w:rsidP="00407466">
            <w:r w:rsidRPr="00892803">
              <w:t>–</w:t>
            </w:r>
          </w:p>
        </w:tc>
        <w:tc>
          <w:tcPr>
            <w:tcW w:w="993" w:type="dxa"/>
          </w:tcPr>
          <w:p w14:paraId="27C8694D" w14:textId="77777777" w:rsidR="003207E2" w:rsidRPr="00B4615E" w:rsidRDefault="003207E2" w:rsidP="00407466">
            <w:r w:rsidRPr="00B4615E">
              <w:sym w:font="Wingdings" w:char="F0FC"/>
            </w:r>
          </w:p>
        </w:tc>
        <w:tc>
          <w:tcPr>
            <w:tcW w:w="992" w:type="dxa"/>
          </w:tcPr>
          <w:p w14:paraId="4E7C8763" w14:textId="77777777" w:rsidR="003207E2" w:rsidRPr="00B4615E" w:rsidRDefault="003207E2" w:rsidP="00407466">
            <w:r w:rsidRPr="00B4615E">
              <w:t>–</w:t>
            </w:r>
          </w:p>
        </w:tc>
      </w:tr>
      <w:tr w:rsidR="003207E2" w:rsidRPr="004F1C07" w14:paraId="4F374114" w14:textId="77777777" w:rsidTr="00D32F3B">
        <w:trPr>
          <w:trHeight w:val="94"/>
        </w:trPr>
        <w:tc>
          <w:tcPr>
            <w:tcW w:w="1951" w:type="dxa"/>
            <w:vMerge/>
          </w:tcPr>
          <w:p w14:paraId="5A93AC43" w14:textId="77777777" w:rsidR="003207E2" w:rsidRPr="00407466" w:rsidRDefault="003207E2" w:rsidP="00407466">
            <w:pPr>
              <w:rPr>
                <w:b/>
              </w:rPr>
            </w:pPr>
          </w:p>
        </w:tc>
        <w:tc>
          <w:tcPr>
            <w:tcW w:w="2693" w:type="dxa"/>
          </w:tcPr>
          <w:p w14:paraId="6E4473CF" w14:textId="77777777" w:rsidR="003207E2" w:rsidRPr="004F1C07" w:rsidRDefault="003207E2" w:rsidP="00407466">
            <w:r w:rsidRPr="00EF3F5A">
              <w:t>Hepatotoxicity</w:t>
            </w:r>
          </w:p>
        </w:tc>
        <w:tc>
          <w:tcPr>
            <w:tcW w:w="1134" w:type="dxa"/>
          </w:tcPr>
          <w:p w14:paraId="531BB480" w14:textId="77777777" w:rsidR="003207E2" w:rsidRPr="00892803" w:rsidRDefault="003207E2" w:rsidP="00407466">
            <w:r w:rsidRPr="00892803">
              <w:sym w:font="Wingdings" w:char="F0FC"/>
            </w:r>
          </w:p>
        </w:tc>
        <w:tc>
          <w:tcPr>
            <w:tcW w:w="1134" w:type="dxa"/>
          </w:tcPr>
          <w:p w14:paraId="68E86658" w14:textId="77777777" w:rsidR="003207E2" w:rsidRPr="00892803" w:rsidRDefault="003207E2" w:rsidP="00407466">
            <w:r w:rsidRPr="00892803">
              <w:t>–</w:t>
            </w:r>
          </w:p>
        </w:tc>
        <w:tc>
          <w:tcPr>
            <w:tcW w:w="993" w:type="dxa"/>
          </w:tcPr>
          <w:p w14:paraId="36AB21A0" w14:textId="77777777" w:rsidR="003207E2" w:rsidRPr="00B4615E" w:rsidRDefault="003207E2" w:rsidP="00407466">
            <w:r w:rsidRPr="00B4615E">
              <w:sym w:font="Wingdings" w:char="F0FC"/>
            </w:r>
          </w:p>
        </w:tc>
        <w:tc>
          <w:tcPr>
            <w:tcW w:w="992" w:type="dxa"/>
          </w:tcPr>
          <w:p w14:paraId="5E35C0EE" w14:textId="77777777" w:rsidR="003207E2" w:rsidRPr="00B4615E" w:rsidRDefault="003207E2" w:rsidP="00407466">
            <w:r w:rsidRPr="00B4615E">
              <w:t>–</w:t>
            </w:r>
          </w:p>
        </w:tc>
      </w:tr>
      <w:tr w:rsidR="003207E2" w:rsidRPr="004F1C07" w14:paraId="476A7F07" w14:textId="77777777" w:rsidTr="00D32F3B">
        <w:trPr>
          <w:trHeight w:val="94"/>
        </w:trPr>
        <w:tc>
          <w:tcPr>
            <w:tcW w:w="1951" w:type="dxa"/>
            <w:vMerge/>
          </w:tcPr>
          <w:p w14:paraId="15C87535" w14:textId="77777777" w:rsidR="003207E2" w:rsidRPr="00407466" w:rsidRDefault="003207E2" w:rsidP="00407466">
            <w:pPr>
              <w:rPr>
                <w:b/>
              </w:rPr>
            </w:pPr>
          </w:p>
        </w:tc>
        <w:tc>
          <w:tcPr>
            <w:tcW w:w="2693" w:type="dxa"/>
          </w:tcPr>
          <w:p w14:paraId="46453D08" w14:textId="77777777" w:rsidR="003207E2" w:rsidRPr="00EF3F5A" w:rsidRDefault="003207E2" w:rsidP="00407466">
            <w:r w:rsidRPr="00EF3F5A">
              <w:t>Photosensitivity</w:t>
            </w:r>
          </w:p>
        </w:tc>
        <w:tc>
          <w:tcPr>
            <w:tcW w:w="1134" w:type="dxa"/>
          </w:tcPr>
          <w:p w14:paraId="69434062" w14:textId="77777777" w:rsidR="003207E2" w:rsidRPr="00892803" w:rsidRDefault="003207E2" w:rsidP="00407466">
            <w:r w:rsidRPr="00892803">
              <w:sym w:font="Wingdings" w:char="F0FC"/>
            </w:r>
          </w:p>
        </w:tc>
        <w:tc>
          <w:tcPr>
            <w:tcW w:w="1134" w:type="dxa"/>
          </w:tcPr>
          <w:p w14:paraId="5409DFB2" w14:textId="77777777" w:rsidR="003207E2" w:rsidRPr="00892803" w:rsidRDefault="003207E2" w:rsidP="00407466">
            <w:r w:rsidRPr="00892803">
              <w:t>–</w:t>
            </w:r>
          </w:p>
        </w:tc>
        <w:tc>
          <w:tcPr>
            <w:tcW w:w="993" w:type="dxa"/>
          </w:tcPr>
          <w:p w14:paraId="19D77F51" w14:textId="77777777" w:rsidR="003207E2" w:rsidRPr="00B4615E" w:rsidRDefault="003207E2" w:rsidP="00407466">
            <w:r w:rsidRPr="00B4615E">
              <w:sym w:font="Wingdings" w:char="F0FC"/>
            </w:r>
          </w:p>
        </w:tc>
        <w:tc>
          <w:tcPr>
            <w:tcW w:w="992" w:type="dxa"/>
          </w:tcPr>
          <w:p w14:paraId="7B3BFD1F" w14:textId="77777777" w:rsidR="003207E2" w:rsidRPr="00B4615E" w:rsidRDefault="003207E2" w:rsidP="00407466">
            <w:r w:rsidRPr="00B4615E">
              <w:t>–</w:t>
            </w:r>
          </w:p>
        </w:tc>
      </w:tr>
      <w:tr w:rsidR="003207E2" w:rsidRPr="004F1C07" w14:paraId="79E8805D" w14:textId="77777777" w:rsidTr="00D32F3B">
        <w:trPr>
          <w:trHeight w:val="94"/>
        </w:trPr>
        <w:tc>
          <w:tcPr>
            <w:tcW w:w="1951" w:type="dxa"/>
            <w:vMerge/>
          </w:tcPr>
          <w:p w14:paraId="5B98179E" w14:textId="77777777" w:rsidR="003207E2" w:rsidRPr="00407466" w:rsidRDefault="003207E2" w:rsidP="00407466">
            <w:pPr>
              <w:rPr>
                <w:b/>
              </w:rPr>
            </w:pPr>
          </w:p>
        </w:tc>
        <w:tc>
          <w:tcPr>
            <w:tcW w:w="2693" w:type="dxa"/>
          </w:tcPr>
          <w:p w14:paraId="74CEEDB3" w14:textId="77777777" w:rsidR="003207E2" w:rsidRPr="00EF3F5A" w:rsidRDefault="003207E2" w:rsidP="00407466">
            <w:r w:rsidRPr="00EF3F5A">
              <w:t>Bradycardia</w:t>
            </w:r>
          </w:p>
        </w:tc>
        <w:tc>
          <w:tcPr>
            <w:tcW w:w="1134" w:type="dxa"/>
          </w:tcPr>
          <w:p w14:paraId="4181DC0C" w14:textId="77777777" w:rsidR="003207E2" w:rsidRPr="00892803" w:rsidRDefault="003207E2" w:rsidP="00407466">
            <w:r w:rsidRPr="00892803">
              <w:sym w:font="Wingdings" w:char="F0FC"/>
            </w:r>
          </w:p>
        </w:tc>
        <w:tc>
          <w:tcPr>
            <w:tcW w:w="1134" w:type="dxa"/>
          </w:tcPr>
          <w:p w14:paraId="2DE3811E" w14:textId="77777777" w:rsidR="003207E2" w:rsidRPr="00892803" w:rsidRDefault="003207E2" w:rsidP="00407466">
            <w:r w:rsidRPr="00892803">
              <w:t>–</w:t>
            </w:r>
          </w:p>
        </w:tc>
        <w:tc>
          <w:tcPr>
            <w:tcW w:w="993" w:type="dxa"/>
          </w:tcPr>
          <w:p w14:paraId="0BDD1DB0" w14:textId="77777777" w:rsidR="003207E2" w:rsidRPr="00B4615E" w:rsidRDefault="003207E2" w:rsidP="00407466">
            <w:r w:rsidRPr="00B4615E">
              <w:sym w:font="Wingdings" w:char="F0FC"/>
            </w:r>
          </w:p>
        </w:tc>
        <w:tc>
          <w:tcPr>
            <w:tcW w:w="992" w:type="dxa"/>
          </w:tcPr>
          <w:p w14:paraId="3CC8AED9" w14:textId="77777777" w:rsidR="003207E2" w:rsidRPr="00B4615E" w:rsidRDefault="003207E2" w:rsidP="00407466">
            <w:r w:rsidRPr="00B4615E">
              <w:t>–</w:t>
            </w:r>
          </w:p>
        </w:tc>
      </w:tr>
      <w:tr w:rsidR="003207E2" w:rsidRPr="004F1C07" w14:paraId="54B3A842" w14:textId="77777777" w:rsidTr="00D32F3B">
        <w:trPr>
          <w:trHeight w:val="187"/>
        </w:trPr>
        <w:tc>
          <w:tcPr>
            <w:tcW w:w="1951" w:type="dxa"/>
            <w:vMerge/>
          </w:tcPr>
          <w:p w14:paraId="67915F34" w14:textId="77777777" w:rsidR="003207E2" w:rsidRPr="00407466" w:rsidRDefault="003207E2" w:rsidP="00407466">
            <w:pPr>
              <w:rPr>
                <w:b/>
              </w:rPr>
            </w:pPr>
          </w:p>
        </w:tc>
        <w:tc>
          <w:tcPr>
            <w:tcW w:w="2693" w:type="dxa"/>
          </w:tcPr>
          <w:p w14:paraId="4EFE2BA0" w14:textId="77777777" w:rsidR="003207E2" w:rsidRPr="004F1C07" w:rsidRDefault="003207E2" w:rsidP="00407466">
            <w:r>
              <w:t>Severe myalgia and CPK elevations</w:t>
            </w:r>
          </w:p>
        </w:tc>
        <w:tc>
          <w:tcPr>
            <w:tcW w:w="1134" w:type="dxa"/>
          </w:tcPr>
          <w:p w14:paraId="07DC7BE2" w14:textId="77777777" w:rsidR="003207E2" w:rsidRPr="00892803" w:rsidRDefault="003207E2" w:rsidP="00407466">
            <w:r w:rsidRPr="00892803">
              <w:sym w:font="Wingdings" w:char="F0FC"/>
            </w:r>
          </w:p>
        </w:tc>
        <w:tc>
          <w:tcPr>
            <w:tcW w:w="1134" w:type="dxa"/>
          </w:tcPr>
          <w:p w14:paraId="30895004" w14:textId="77777777" w:rsidR="003207E2" w:rsidRPr="00892803" w:rsidRDefault="003207E2" w:rsidP="00407466">
            <w:r w:rsidRPr="00892803">
              <w:t>–</w:t>
            </w:r>
          </w:p>
        </w:tc>
        <w:tc>
          <w:tcPr>
            <w:tcW w:w="993" w:type="dxa"/>
          </w:tcPr>
          <w:p w14:paraId="1ECF64CC" w14:textId="77777777" w:rsidR="003207E2" w:rsidRPr="00B4615E" w:rsidRDefault="003207E2" w:rsidP="00407466">
            <w:r w:rsidRPr="00B4615E">
              <w:sym w:font="Wingdings" w:char="F0FC"/>
            </w:r>
          </w:p>
        </w:tc>
        <w:tc>
          <w:tcPr>
            <w:tcW w:w="992" w:type="dxa"/>
          </w:tcPr>
          <w:p w14:paraId="155ABA8E" w14:textId="77777777" w:rsidR="003207E2" w:rsidRPr="00B4615E" w:rsidRDefault="003207E2" w:rsidP="00407466">
            <w:r w:rsidRPr="00B4615E">
              <w:t>–</w:t>
            </w:r>
          </w:p>
        </w:tc>
      </w:tr>
      <w:tr w:rsidR="003207E2" w:rsidRPr="004F1C07" w14:paraId="18F9B697" w14:textId="77777777" w:rsidTr="00D32F3B">
        <w:trPr>
          <w:trHeight w:val="159"/>
        </w:trPr>
        <w:tc>
          <w:tcPr>
            <w:tcW w:w="1951" w:type="dxa"/>
          </w:tcPr>
          <w:p w14:paraId="0B4AE18B" w14:textId="77777777" w:rsidR="003207E2" w:rsidRPr="00407466" w:rsidRDefault="003207E2" w:rsidP="00407466">
            <w:pPr>
              <w:rPr>
                <w:b/>
              </w:rPr>
            </w:pPr>
            <w:r w:rsidRPr="00407466">
              <w:rPr>
                <w:b/>
              </w:rPr>
              <w:t>Important potential risks*</w:t>
            </w:r>
          </w:p>
        </w:tc>
        <w:tc>
          <w:tcPr>
            <w:tcW w:w="2693" w:type="dxa"/>
          </w:tcPr>
          <w:p w14:paraId="52BB44BF" w14:textId="77777777" w:rsidR="003207E2" w:rsidRPr="004F1C07" w:rsidRDefault="003207E2" w:rsidP="00407466">
            <w:r>
              <w:t>None</w:t>
            </w:r>
          </w:p>
        </w:tc>
        <w:tc>
          <w:tcPr>
            <w:tcW w:w="1134" w:type="dxa"/>
          </w:tcPr>
          <w:p w14:paraId="75493684" w14:textId="77777777" w:rsidR="003207E2" w:rsidRPr="003545D2" w:rsidRDefault="003207E2" w:rsidP="00407466">
            <w:pPr>
              <w:rPr>
                <w:color w:val="00B050"/>
              </w:rPr>
            </w:pPr>
          </w:p>
        </w:tc>
        <w:tc>
          <w:tcPr>
            <w:tcW w:w="1134" w:type="dxa"/>
          </w:tcPr>
          <w:p w14:paraId="14BD4BB5" w14:textId="77777777" w:rsidR="003207E2" w:rsidRPr="003545D2" w:rsidRDefault="003207E2" w:rsidP="00407466">
            <w:pPr>
              <w:rPr>
                <w:color w:val="00B050"/>
              </w:rPr>
            </w:pPr>
          </w:p>
        </w:tc>
        <w:tc>
          <w:tcPr>
            <w:tcW w:w="993" w:type="dxa"/>
          </w:tcPr>
          <w:p w14:paraId="3D0E2C01" w14:textId="77777777" w:rsidR="003207E2" w:rsidRPr="00B4615E" w:rsidRDefault="003207E2" w:rsidP="00407466"/>
        </w:tc>
        <w:tc>
          <w:tcPr>
            <w:tcW w:w="992" w:type="dxa"/>
          </w:tcPr>
          <w:p w14:paraId="63BB069E" w14:textId="77777777" w:rsidR="003207E2" w:rsidRPr="00B4615E" w:rsidRDefault="003207E2" w:rsidP="00407466"/>
        </w:tc>
      </w:tr>
      <w:tr w:rsidR="003207E2" w:rsidRPr="004F1C07" w14:paraId="2692672D" w14:textId="77777777" w:rsidTr="00D32F3B">
        <w:trPr>
          <w:trHeight w:val="178"/>
        </w:trPr>
        <w:tc>
          <w:tcPr>
            <w:tcW w:w="1951" w:type="dxa"/>
          </w:tcPr>
          <w:p w14:paraId="3EDE7481" w14:textId="77777777" w:rsidR="003207E2" w:rsidRPr="00407466" w:rsidRDefault="003207E2" w:rsidP="00407466">
            <w:pPr>
              <w:rPr>
                <w:b/>
              </w:rPr>
            </w:pPr>
            <w:r w:rsidRPr="00407466">
              <w:rPr>
                <w:b/>
              </w:rPr>
              <w:t>Missing information#</w:t>
            </w:r>
          </w:p>
        </w:tc>
        <w:tc>
          <w:tcPr>
            <w:tcW w:w="2693" w:type="dxa"/>
          </w:tcPr>
          <w:p w14:paraId="772854CC" w14:textId="77777777" w:rsidR="003207E2" w:rsidRPr="004F1C07" w:rsidRDefault="003207E2" w:rsidP="00407466">
            <w:r>
              <w:t>Treatment in patients with moderate or severe liver impairment</w:t>
            </w:r>
          </w:p>
        </w:tc>
        <w:tc>
          <w:tcPr>
            <w:tcW w:w="1134" w:type="dxa"/>
          </w:tcPr>
          <w:p w14:paraId="614A1171" w14:textId="77777777" w:rsidR="003207E2" w:rsidRPr="00892803" w:rsidRDefault="003207E2" w:rsidP="00407466">
            <w:r w:rsidRPr="00892803">
              <w:sym w:font="Wingdings" w:char="F0FC"/>
            </w:r>
          </w:p>
        </w:tc>
        <w:tc>
          <w:tcPr>
            <w:tcW w:w="1134" w:type="dxa"/>
          </w:tcPr>
          <w:p w14:paraId="718BF54A" w14:textId="33D9BFE7" w:rsidR="003207E2" w:rsidRPr="00892803" w:rsidRDefault="006B7771" w:rsidP="00407466">
            <w:r w:rsidRPr="00B4615E">
              <w:sym w:font="Wingdings" w:char="F0FC"/>
            </w:r>
          </w:p>
        </w:tc>
        <w:tc>
          <w:tcPr>
            <w:tcW w:w="993" w:type="dxa"/>
          </w:tcPr>
          <w:p w14:paraId="214DFE89" w14:textId="77777777" w:rsidR="003207E2" w:rsidRPr="00B4615E" w:rsidRDefault="003207E2" w:rsidP="00407466">
            <w:r w:rsidRPr="00B4615E">
              <w:sym w:font="Wingdings" w:char="F0FC"/>
            </w:r>
          </w:p>
        </w:tc>
        <w:tc>
          <w:tcPr>
            <w:tcW w:w="992" w:type="dxa"/>
          </w:tcPr>
          <w:p w14:paraId="482AA1EA" w14:textId="43A3D344" w:rsidR="003207E2" w:rsidRPr="00B4615E" w:rsidRDefault="006B7771" w:rsidP="00407466">
            <w:r w:rsidRPr="00892803">
              <w:t>–</w:t>
            </w:r>
          </w:p>
        </w:tc>
      </w:tr>
    </w:tbl>
    <w:p w14:paraId="598CE2AB" w14:textId="77777777" w:rsidR="003207E2" w:rsidRPr="00FD3BBE" w:rsidRDefault="003207E2" w:rsidP="00FA038A">
      <w:pPr>
        <w:pStyle w:val="TableDescription"/>
      </w:pPr>
      <w:r w:rsidRPr="00FD3BBE">
        <w:t>Previously evaluated safety summary included:</w:t>
      </w:r>
    </w:p>
    <w:p w14:paraId="0CE0923D" w14:textId="77777777" w:rsidR="003207E2" w:rsidRPr="00FD3BBE" w:rsidRDefault="003207E2" w:rsidP="00FA038A">
      <w:pPr>
        <w:pStyle w:val="TableDescription"/>
      </w:pPr>
      <w:r>
        <w:t xml:space="preserve">- </w:t>
      </w:r>
      <w:r w:rsidRPr="00FD3BBE">
        <w:t>Embryo-</w:t>
      </w:r>
      <w:proofErr w:type="spellStart"/>
      <w:r w:rsidRPr="00FD3BBE">
        <w:t>fetal</w:t>
      </w:r>
      <w:proofErr w:type="spellEnd"/>
      <w:r w:rsidRPr="00FD3BBE">
        <w:t xml:space="preserve"> toxicity as an important potential risk; and</w:t>
      </w:r>
    </w:p>
    <w:p w14:paraId="1E56F904" w14:textId="77777777" w:rsidR="003207E2" w:rsidRPr="00FD3BBE" w:rsidRDefault="003207E2" w:rsidP="00FA038A">
      <w:pPr>
        <w:pStyle w:val="TableDescription"/>
      </w:pPr>
      <w:r>
        <w:t xml:space="preserve">- </w:t>
      </w:r>
      <w:r w:rsidRPr="00FD3BBE">
        <w:t>Long-term safety, treatment in pregnant and lactating women and, patients with moderate or severe renal impairment as missing information.</w:t>
      </w:r>
    </w:p>
    <w:p w14:paraId="052A08E5" w14:textId="77777777" w:rsidR="00407466" w:rsidRDefault="003207E2" w:rsidP="00FA038A">
      <w:pPr>
        <w:pStyle w:val="ListBullet"/>
      </w:pPr>
      <w:r>
        <w:t>Routine pharmacovigilance measures are proposed for all safety concerns. Additional pharmacovigilance activity comprise of an ongoing</w:t>
      </w:r>
      <w:r w:rsidRPr="00B4615E">
        <w:t xml:space="preserve"> clinical trial to assess the effect of hepatic impairment on the pharmacokinetics of </w:t>
      </w:r>
      <w:proofErr w:type="spellStart"/>
      <w:r w:rsidRPr="00B4615E">
        <w:t>alectinib</w:t>
      </w:r>
      <w:proofErr w:type="spellEnd"/>
      <w:r>
        <w:t>.</w:t>
      </w:r>
      <w:r w:rsidRPr="00B4615E">
        <w:t xml:space="preserve"> </w:t>
      </w:r>
      <w:r>
        <w:t>The pharmacovigilance plan is acceptable</w:t>
      </w:r>
      <w:r w:rsidR="00407466">
        <w:t>.</w:t>
      </w:r>
    </w:p>
    <w:p w14:paraId="02ACF9F4" w14:textId="77777777" w:rsidR="00407466" w:rsidRDefault="003207E2" w:rsidP="00FA038A">
      <w:pPr>
        <w:pStyle w:val="ListBullet"/>
      </w:pPr>
      <w:r w:rsidRPr="00B4615E">
        <w:t>Only routine risk minimisation activities are proposed and, it is considered acceptable</w:t>
      </w:r>
      <w:r w:rsidR="00407466">
        <w:t>.</w:t>
      </w:r>
    </w:p>
    <w:p w14:paraId="0D1934F2" w14:textId="77777777" w:rsidR="00407466" w:rsidRDefault="003207E2" w:rsidP="00FA038A">
      <w:pPr>
        <w:pStyle w:val="Heading4"/>
      </w:pPr>
      <w:bookmarkStart w:id="88" w:name="_Toc503257031"/>
      <w:r>
        <w:t>Recommendations</w:t>
      </w:r>
      <w:bookmarkEnd w:id="88"/>
    </w:p>
    <w:p w14:paraId="3BF194E6" w14:textId="4209CD63" w:rsidR="003207E2" w:rsidRDefault="003207E2" w:rsidP="00FA038A">
      <w:r>
        <w:t>T</w:t>
      </w:r>
      <w:r w:rsidRPr="00C14899">
        <w:t xml:space="preserve">here </w:t>
      </w:r>
      <w:r>
        <w:t>we</w:t>
      </w:r>
      <w:r w:rsidRPr="00C14899">
        <w:t>re no recommendations</w:t>
      </w:r>
      <w:r>
        <w:t xml:space="preserve"> </w:t>
      </w:r>
      <w:r w:rsidRPr="00C14899">
        <w:t>from the RMP Evaluator</w:t>
      </w:r>
      <w:r>
        <w:t xml:space="preserve"> and no outstanding issues.</w:t>
      </w:r>
    </w:p>
    <w:p w14:paraId="3DEA17CB" w14:textId="77777777" w:rsidR="003207E2" w:rsidRPr="002654BD" w:rsidRDefault="003207E2" w:rsidP="00FA038A">
      <w:r>
        <w:t>The</w:t>
      </w:r>
      <w:r w:rsidRPr="002654BD">
        <w:t xml:space="preserve"> RMP </w:t>
      </w:r>
      <w:r>
        <w:t>was considered to be satisfactory</w:t>
      </w:r>
      <w:r w:rsidRPr="002654BD">
        <w:t>.</w:t>
      </w:r>
    </w:p>
    <w:p w14:paraId="589F9139" w14:textId="77777777" w:rsidR="003207E2" w:rsidRPr="00D72AE2" w:rsidRDefault="003207E2" w:rsidP="00FA038A">
      <w:pPr>
        <w:pStyle w:val="Heading4"/>
      </w:pPr>
      <w:bookmarkStart w:id="89" w:name="_Toc503257032"/>
      <w:r w:rsidRPr="00D72AE2">
        <w:t>Wording for conditions of registration</w:t>
      </w:r>
      <w:bookmarkEnd w:id="89"/>
    </w:p>
    <w:p w14:paraId="7C9326AC" w14:textId="77777777" w:rsidR="003207E2" w:rsidRPr="00D72AE2" w:rsidRDefault="003207E2" w:rsidP="00FA038A">
      <w:r w:rsidRPr="00D72AE2">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r w:rsidR="00FA038A">
        <w:t>Proposed wording:</w:t>
      </w:r>
    </w:p>
    <w:p w14:paraId="343F9510" w14:textId="77777777" w:rsidR="003207E2" w:rsidRPr="00251527" w:rsidRDefault="003207E2" w:rsidP="00FA038A">
      <w:pPr>
        <w:ind w:left="720"/>
        <w:rPr>
          <w:iCs/>
        </w:rPr>
      </w:pPr>
      <w:r w:rsidRPr="00251527">
        <w:rPr>
          <w:iCs/>
        </w:rPr>
        <w:t xml:space="preserve">The </w:t>
      </w:r>
      <w:proofErr w:type="spellStart"/>
      <w:r w:rsidRPr="00251527">
        <w:rPr>
          <w:iCs/>
        </w:rPr>
        <w:t>alectinib</w:t>
      </w:r>
      <w:proofErr w:type="spellEnd"/>
      <w:r w:rsidRPr="00251527">
        <w:rPr>
          <w:iCs/>
        </w:rPr>
        <w:t xml:space="preserve"> EU-Risk Management Plan (RMP) (version 2.1; date 8 August 2017; DLP 7 July 2017), with Australian Specific Annex (</w:t>
      </w:r>
      <w:r w:rsidRPr="00251527">
        <w:rPr>
          <w:kern w:val="2"/>
        </w:rPr>
        <w:t>version 2.0; date August 2017</w:t>
      </w:r>
      <w:r w:rsidRPr="00251527">
        <w:rPr>
          <w:iCs/>
        </w:rPr>
        <w:t>), included with submission PM-2017-03224-1-4, and any subsequent revisions, as agreed with the TGA will be implemented in Australia.</w:t>
      </w:r>
    </w:p>
    <w:p w14:paraId="064654F7" w14:textId="77777777" w:rsidR="003207E2" w:rsidRPr="00251527" w:rsidRDefault="003207E2" w:rsidP="00FA038A">
      <w:pPr>
        <w:ind w:left="720"/>
        <w:rPr>
          <w:iCs/>
          <w:color w:val="7030A0"/>
        </w:rPr>
      </w:pPr>
      <w:r w:rsidRPr="00251527">
        <w:rPr>
          <w:iCs/>
        </w:rPr>
        <w:lastRenderedPageBreak/>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3364C84" w14:textId="77777777" w:rsidR="008E7846" w:rsidRPr="00792A32" w:rsidRDefault="008E7846" w:rsidP="008E7846">
      <w:pPr>
        <w:pStyle w:val="Heading2"/>
      </w:pPr>
      <w:bookmarkStart w:id="90" w:name="_Toc50982197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7"/>
      <w:bookmarkEnd w:id="85"/>
      <w:bookmarkEnd w:id="86"/>
      <w:bookmarkEnd w:id="90"/>
    </w:p>
    <w:p w14:paraId="6522340D" w14:textId="77777777" w:rsidR="008E7846" w:rsidRDefault="008E7846" w:rsidP="008E7846">
      <w:bookmarkStart w:id="91" w:name="_Toc247691528"/>
      <w:r>
        <w:t xml:space="preserve">The submission was summarised in the following </w:t>
      </w:r>
      <w:r w:rsidRPr="00EF5C48">
        <w:t xml:space="preserve">Delegate’s </w:t>
      </w:r>
      <w:r>
        <w:t>overview</w:t>
      </w:r>
      <w:r w:rsidRPr="00EF5C48">
        <w:t xml:space="preserve"> and recommendation</w:t>
      </w:r>
      <w:r>
        <w:t>s:</w:t>
      </w:r>
    </w:p>
    <w:p w14:paraId="6C33B73A" w14:textId="77777777" w:rsidR="008E7846" w:rsidRDefault="008E7846" w:rsidP="008E7846">
      <w:pPr>
        <w:pStyle w:val="Heading3"/>
      </w:pPr>
      <w:bookmarkStart w:id="92" w:name="_Toc314842511"/>
      <w:bookmarkStart w:id="93" w:name="_Toc509821974"/>
      <w:r>
        <w:t>Quality</w:t>
      </w:r>
      <w:bookmarkEnd w:id="91"/>
      <w:bookmarkEnd w:id="92"/>
      <w:bookmarkEnd w:id="93"/>
    </w:p>
    <w:p w14:paraId="17092A7A" w14:textId="77777777" w:rsidR="00E45619" w:rsidRDefault="008E7846" w:rsidP="003A7F6C">
      <w:r>
        <w:t>There was no requirement for a quality evaluation in a submission of this type.</w:t>
      </w:r>
    </w:p>
    <w:p w14:paraId="55AF4E47" w14:textId="77777777" w:rsidR="008E7846" w:rsidRDefault="008E7846" w:rsidP="008E7846">
      <w:pPr>
        <w:pStyle w:val="Heading3"/>
      </w:pPr>
      <w:bookmarkStart w:id="94" w:name="_Toc314842512"/>
      <w:bookmarkStart w:id="95" w:name="_Toc509821975"/>
      <w:r>
        <w:t>Nonclinical</w:t>
      </w:r>
      <w:bookmarkEnd w:id="94"/>
      <w:bookmarkEnd w:id="95"/>
    </w:p>
    <w:p w14:paraId="415AF054" w14:textId="77777777" w:rsidR="008E7846" w:rsidRDefault="008E7846" w:rsidP="008E7846">
      <w:r>
        <w:t>There was no requirement for a nonclinical evaluation in a submission of this type.</w:t>
      </w:r>
    </w:p>
    <w:p w14:paraId="58C2ADFE" w14:textId="77777777" w:rsidR="008E7846" w:rsidRDefault="008E7846" w:rsidP="008E7846">
      <w:pPr>
        <w:pStyle w:val="Heading3"/>
      </w:pPr>
      <w:bookmarkStart w:id="96" w:name="_Toc247691530"/>
      <w:bookmarkStart w:id="97" w:name="_Toc314842513"/>
      <w:bookmarkStart w:id="98" w:name="_Toc509821976"/>
      <w:r>
        <w:t>Clinical</w:t>
      </w:r>
      <w:bookmarkEnd w:id="96"/>
      <w:bookmarkEnd w:id="97"/>
      <w:bookmarkEnd w:id="98"/>
    </w:p>
    <w:p w14:paraId="3F99BD32" w14:textId="77777777" w:rsidR="005F3542" w:rsidRDefault="005F3542" w:rsidP="00FA038A">
      <w:pPr>
        <w:pStyle w:val="Heading4"/>
      </w:pPr>
      <w:bookmarkStart w:id="99" w:name="_Toc314842514"/>
      <w:r>
        <w:t>Efficacy</w:t>
      </w:r>
    </w:p>
    <w:p w14:paraId="07FBEB6D" w14:textId="77777777" w:rsidR="005F3542" w:rsidRDefault="005F3542" w:rsidP="00FA038A">
      <w:pPr>
        <w:pStyle w:val="Heading5"/>
      </w:pPr>
      <w:bookmarkStart w:id="100" w:name="5.1.1_Pivotal_trial_design"/>
      <w:bookmarkEnd w:id="100"/>
      <w:r>
        <w:t>Pivotal trial</w:t>
      </w:r>
      <w:r>
        <w:rPr>
          <w:spacing w:val="-5"/>
        </w:rPr>
        <w:t xml:space="preserve"> </w:t>
      </w:r>
      <w:r>
        <w:t>design</w:t>
      </w:r>
    </w:p>
    <w:p w14:paraId="66837A47" w14:textId="77777777" w:rsidR="005F3542" w:rsidRDefault="005F3542" w:rsidP="00FA038A">
      <w:r>
        <w:t>Study BO28984</w:t>
      </w:r>
      <w:r w:rsidR="000C6739">
        <w:t>,</w:t>
      </w:r>
      <w:r>
        <w:t xml:space="preserve"> or the </w:t>
      </w:r>
      <w:r w:rsidR="00FA038A">
        <w:t>‘</w:t>
      </w:r>
      <w:r>
        <w:t>ALEX</w:t>
      </w:r>
      <w:r w:rsidR="00FA038A">
        <w:t>’</w:t>
      </w:r>
      <w:r>
        <w:t xml:space="preserve"> trial, is an ongoing </w:t>
      </w:r>
      <w:r w:rsidR="00FA038A">
        <w:t>P</w:t>
      </w:r>
      <w:r>
        <w:t xml:space="preserve">hase </w:t>
      </w:r>
      <w:r w:rsidR="00FA038A">
        <w:t>III,</w:t>
      </w:r>
      <w:r>
        <w:t xml:space="preserve"> randomised, open-label trial which randomised 303 patients screened from 97 sites in 29 countries globally, including 16 patients from 5 Australian sites.</w:t>
      </w:r>
    </w:p>
    <w:p w14:paraId="5CF6F326" w14:textId="77777777" w:rsidR="005F3542" w:rsidRDefault="005F3542" w:rsidP="00FA038A">
      <w:r>
        <w:t>The reason for the open-label design was to improve tolerability and adherence, given the large number of tablets that would be required for double blinding, as well as the complexity of dose reduction, given the different dosing and tablet sizes used in each arm. Although not ideal, open- label design is not likely to have confounded outcomes measured by blinded independent central review (BICR).</w:t>
      </w:r>
    </w:p>
    <w:p w14:paraId="08DACE3A" w14:textId="77777777" w:rsidR="005F3542" w:rsidRDefault="005F3542" w:rsidP="00FA038A">
      <w:r>
        <w:t>Outcomes based on tumour measurement were assessed using the RECIST v1.1 criteria.</w:t>
      </w:r>
    </w:p>
    <w:p w14:paraId="4D263D3E" w14:textId="77777777" w:rsidR="005F3542" w:rsidRDefault="005F3542" w:rsidP="00FA038A">
      <w:r>
        <w:t>Recru</w:t>
      </w:r>
      <w:r w:rsidR="006B09D3">
        <w:t>i</w:t>
      </w:r>
      <w:r>
        <w:t>tment</w:t>
      </w:r>
      <w:r w:rsidR="000C6739">
        <w:t xml:space="preserve"> occurred</w:t>
      </w:r>
      <w:r>
        <w:t xml:space="preserve"> </w:t>
      </w:r>
      <w:r w:rsidR="000C6739">
        <w:t xml:space="preserve">between </w:t>
      </w:r>
      <w:r>
        <w:t>Aug</w:t>
      </w:r>
      <w:r w:rsidR="006B09D3">
        <w:t>ust</w:t>
      </w:r>
      <w:r>
        <w:t xml:space="preserve"> 2014 </w:t>
      </w:r>
      <w:r w:rsidR="00F30E8F">
        <w:t>and</w:t>
      </w:r>
      <w:r>
        <w:t xml:space="preserve"> Jan</w:t>
      </w:r>
      <w:r w:rsidR="006B09D3">
        <w:t>uary</w:t>
      </w:r>
      <w:r>
        <w:t xml:space="preserve"> 2016</w:t>
      </w:r>
      <w:r w:rsidR="000C6739">
        <w:t>.</w:t>
      </w:r>
    </w:p>
    <w:p w14:paraId="4F0859E0" w14:textId="77777777" w:rsidR="005F3542" w:rsidRDefault="00F30E8F" w:rsidP="00FA038A">
      <w:r>
        <w:t>The m</w:t>
      </w:r>
      <w:r w:rsidR="005F3542">
        <w:t>ain cut</w:t>
      </w:r>
      <w:r w:rsidR="006B09D3">
        <w:t>-</w:t>
      </w:r>
      <w:r w:rsidR="005F3542">
        <w:t>off date</w:t>
      </w:r>
      <w:r w:rsidR="000C6739">
        <w:t xml:space="preserve"> was</w:t>
      </w:r>
      <w:r w:rsidR="005F3542">
        <w:t xml:space="preserve"> 9 Feb</w:t>
      </w:r>
      <w:r w:rsidR="006B09D3">
        <w:t>ruary</w:t>
      </w:r>
      <w:r w:rsidR="005F3542">
        <w:t xml:space="preserve"> 2017.</w:t>
      </w:r>
    </w:p>
    <w:p w14:paraId="0E6CC4DD" w14:textId="77777777" w:rsidR="005F3542" w:rsidRDefault="000C6739" w:rsidP="00FA038A">
      <w:r>
        <w:t xml:space="preserve">The </w:t>
      </w:r>
      <w:r w:rsidR="00F30E8F">
        <w:t>m</w:t>
      </w:r>
      <w:r w:rsidR="005F3542">
        <w:t xml:space="preserve">edian follow-up </w:t>
      </w:r>
      <w:r>
        <w:t xml:space="preserve">was </w:t>
      </w:r>
      <w:r w:rsidR="005F3542">
        <w:t xml:space="preserve">17.6 months (range: 0.3 </w:t>
      </w:r>
      <w:r>
        <w:t>to</w:t>
      </w:r>
      <w:r w:rsidR="005F3542">
        <w:t xml:space="preserve"> 27.0 months) in the </w:t>
      </w:r>
      <w:proofErr w:type="spellStart"/>
      <w:r w:rsidR="005F3542">
        <w:t>crizotinib</w:t>
      </w:r>
      <w:proofErr w:type="spellEnd"/>
      <w:r w:rsidR="005F3542">
        <w:t xml:space="preserve"> arm and 18.6 months (range: 0.5 </w:t>
      </w:r>
      <w:r>
        <w:t>to</w:t>
      </w:r>
      <w:r w:rsidR="005F3542">
        <w:t xml:space="preserve"> 29.0 months) in the </w:t>
      </w:r>
      <w:proofErr w:type="spellStart"/>
      <w:r w:rsidR="005F3542">
        <w:t>alectinib</w:t>
      </w:r>
      <w:proofErr w:type="spellEnd"/>
      <w:r w:rsidR="005F3542">
        <w:t xml:space="preserve"> arm.</w:t>
      </w:r>
      <w:r w:rsidR="00F30E8F">
        <w:t xml:space="preserve"> The Trial design is summarised in Table 4 below.</w:t>
      </w:r>
    </w:p>
    <w:p w14:paraId="7DC907A1" w14:textId="77777777" w:rsidR="005F3542" w:rsidRDefault="005F3542" w:rsidP="00407466">
      <w:pPr>
        <w:pStyle w:val="TableTitle"/>
        <w:keepLines/>
        <w:pageBreakBefore/>
      </w:pPr>
      <w:r>
        <w:lastRenderedPageBreak/>
        <w:t xml:space="preserve">Table </w:t>
      </w:r>
      <w:r w:rsidR="00F30E8F">
        <w:t>4</w:t>
      </w:r>
      <w:r w:rsidR="006B09D3">
        <w:t>:</w:t>
      </w:r>
      <w:r>
        <w:t xml:space="preserve"> Summary of pivotal trial design</w:t>
      </w:r>
    </w:p>
    <w:tbl>
      <w:tblPr>
        <w:tblW w:w="9244" w:type="dxa"/>
        <w:tblInd w:w="115" w:type="dxa"/>
        <w:tblLayout w:type="fixed"/>
        <w:tblCellMar>
          <w:left w:w="0" w:type="dxa"/>
          <w:right w:w="0" w:type="dxa"/>
        </w:tblCellMar>
        <w:tblLook w:val="0000" w:firstRow="0" w:lastRow="0" w:firstColumn="0" w:lastColumn="0" w:noHBand="0" w:noVBand="0"/>
      </w:tblPr>
      <w:tblGrid>
        <w:gridCol w:w="1591"/>
        <w:gridCol w:w="7653"/>
      </w:tblGrid>
      <w:tr w:rsidR="006B09D3" w:rsidRPr="006B09D3" w14:paraId="0DCA655A" w14:textId="77777777" w:rsidTr="00407466">
        <w:trPr>
          <w:cantSplit/>
          <w:trHeight w:val="594"/>
          <w:tblHeader/>
        </w:trPr>
        <w:tc>
          <w:tcPr>
            <w:tcW w:w="1591" w:type="dxa"/>
            <w:tcBorders>
              <w:top w:val="single" w:sz="4" w:space="0" w:color="000000"/>
              <w:left w:val="single" w:sz="4" w:space="0" w:color="000000"/>
              <w:bottom w:val="single" w:sz="4" w:space="0" w:color="000000"/>
              <w:right w:val="single" w:sz="4" w:space="0" w:color="000000"/>
            </w:tcBorders>
            <w:shd w:val="clear" w:color="auto" w:fill="0070C0"/>
          </w:tcPr>
          <w:p w14:paraId="2436B848" w14:textId="77777777" w:rsidR="006B09D3" w:rsidRPr="00F30E8F" w:rsidRDefault="006B09D3" w:rsidP="00407466"/>
        </w:tc>
        <w:tc>
          <w:tcPr>
            <w:tcW w:w="7653" w:type="dxa"/>
            <w:tcBorders>
              <w:top w:val="single" w:sz="4" w:space="0" w:color="000000"/>
              <w:left w:val="single" w:sz="4" w:space="0" w:color="000000"/>
              <w:bottom w:val="single" w:sz="4" w:space="0" w:color="000000"/>
              <w:right w:val="single" w:sz="4" w:space="0" w:color="000000"/>
            </w:tcBorders>
            <w:shd w:val="clear" w:color="auto" w:fill="0070C0"/>
          </w:tcPr>
          <w:p w14:paraId="62486152" w14:textId="77777777" w:rsidR="006B09D3" w:rsidRPr="00F30E8F" w:rsidRDefault="006B09D3" w:rsidP="00407466">
            <w:pPr>
              <w:ind w:left="142"/>
            </w:pPr>
            <w:r w:rsidRPr="00F30E8F">
              <w:rPr>
                <w:b/>
                <w:color w:val="FFFFFF" w:themeColor="background1"/>
              </w:rPr>
              <w:t>Details</w:t>
            </w:r>
          </w:p>
        </w:tc>
      </w:tr>
      <w:tr w:rsidR="005F3542" w:rsidRPr="006B09D3" w14:paraId="6931A358" w14:textId="77777777" w:rsidTr="00407466">
        <w:trPr>
          <w:trHeight w:val="2999"/>
        </w:trPr>
        <w:tc>
          <w:tcPr>
            <w:tcW w:w="1591" w:type="dxa"/>
            <w:tcBorders>
              <w:top w:val="single" w:sz="4" w:space="0" w:color="000000"/>
              <w:left w:val="single" w:sz="4" w:space="0" w:color="000000"/>
              <w:bottom w:val="single" w:sz="4" w:space="0" w:color="000000"/>
              <w:right w:val="single" w:sz="4" w:space="0" w:color="000000"/>
            </w:tcBorders>
          </w:tcPr>
          <w:p w14:paraId="73845765" w14:textId="62CBF956" w:rsidR="005F3542" w:rsidRPr="00083CF0" w:rsidRDefault="005F3542" w:rsidP="00407466">
            <w:pPr>
              <w:rPr>
                <w:b/>
              </w:rPr>
            </w:pPr>
            <w:r w:rsidRPr="00083CF0">
              <w:rPr>
                <w:b/>
              </w:rPr>
              <w:t>Patient</w:t>
            </w:r>
            <w:r w:rsidR="00407466">
              <w:rPr>
                <w:b/>
              </w:rPr>
              <w:t xml:space="preserve"> </w:t>
            </w:r>
            <w:r w:rsidRPr="00083CF0">
              <w:rPr>
                <w:b/>
              </w:rPr>
              <w:t>population</w:t>
            </w:r>
          </w:p>
        </w:tc>
        <w:tc>
          <w:tcPr>
            <w:tcW w:w="7653" w:type="dxa"/>
            <w:tcBorders>
              <w:top w:val="single" w:sz="4" w:space="0" w:color="000000"/>
              <w:left w:val="single" w:sz="4" w:space="0" w:color="000000"/>
              <w:bottom w:val="single" w:sz="4" w:space="0" w:color="000000"/>
              <w:right w:val="single" w:sz="4" w:space="0" w:color="000000"/>
            </w:tcBorders>
          </w:tcPr>
          <w:p w14:paraId="71F6AEE7" w14:textId="77777777" w:rsidR="00407466" w:rsidRDefault="005F3542" w:rsidP="00407466">
            <w:pPr>
              <w:ind w:left="142"/>
              <w:rPr>
                <w:lang w:val="pt-BR"/>
              </w:rPr>
            </w:pPr>
            <w:r w:rsidRPr="00C465A7">
              <w:rPr>
                <w:lang w:val="pt-BR"/>
              </w:rPr>
              <w:t>n=303 (alectinib arm: 152; crizotinib arm: 151)</w:t>
            </w:r>
          </w:p>
          <w:p w14:paraId="3719A385" w14:textId="1B10E38F" w:rsidR="005F3542" w:rsidRPr="00C465A7" w:rsidRDefault="005F3542" w:rsidP="00407466">
            <w:pPr>
              <w:ind w:left="142"/>
              <w:rPr>
                <w:lang w:val="pt-BR"/>
              </w:rPr>
            </w:pPr>
            <w:r w:rsidRPr="00C465A7">
              <w:rPr>
                <w:lang w:val="pt-BR"/>
              </w:rPr>
              <w:t>Inclusion criteria (abridged)</w:t>
            </w:r>
          </w:p>
          <w:p w14:paraId="6DA2F975" w14:textId="77777777" w:rsidR="005F3542" w:rsidRPr="00594CFE" w:rsidRDefault="005F3542" w:rsidP="00407466">
            <w:pPr>
              <w:ind w:left="142"/>
            </w:pPr>
            <w:r w:rsidRPr="00594CFE">
              <w:t xml:space="preserve">Consenting adults with Stage </w:t>
            </w:r>
            <w:r w:rsidRPr="00594CFE">
              <w:rPr>
                <w:spacing w:val="-4"/>
              </w:rPr>
              <w:t xml:space="preserve">IIIB </w:t>
            </w:r>
            <w:r w:rsidRPr="00594CFE">
              <w:rPr>
                <w:spacing w:val="-3"/>
              </w:rPr>
              <w:t xml:space="preserve">or </w:t>
            </w:r>
            <w:r w:rsidRPr="00594CFE">
              <w:rPr>
                <w:spacing w:val="-4"/>
              </w:rPr>
              <w:t xml:space="preserve">IV </w:t>
            </w:r>
            <w:r w:rsidRPr="00594CFE">
              <w:rPr>
                <w:spacing w:val="-3"/>
              </w:rPr>
              <w:t xml:space="preserve">NSCLC </w:t>
            </w:r>
            <w:r w:rsidRPr="00594CFE">
              <w:t xml:space="preserve">confirmed by histology </w:t>
            </w:r>
            <w:r w:rsidRPr="00594CFE">
              <w:rPr>
                <w:spacing w:val="-3"/>
              </w:rPr>
              <w:t xml:space="preserve">or cytology, </w:t>
            </w:r>
            <w:r w:rsidRPr="00594CFE">
              <w:t>that had not previously been treated</w:t>
            </w:r>
            <w:r w:rsidRPr="00594CFE">
              <w:rPr>
                <w:spacing w:val="-11"/>
              </w:rPr>
              <w:t xml:space="preserve"> </w:t>
            </w:r>
            <w:r w:rsidRPr="00594CFE">
              <w:t>systemically</w:t>
            </w:r>
          </w:p>
          <w:p w14:paraId="2048FD09" w14:textId="77777777" w:rsidR="005F3542" w:rsidRPr="00594CFE" w:rsidRDefault="005F3542" w:rsidP="00407466">
            <w:pPr>
              <w:ind w:left="142"/>
            </w:pPr>
            <w:r w:rsidRPr="00594CFE">
              <w:rPr>
                <w:spacing w:val="-3"/>
              </w:rPr>
              <w:t xml:space="preserve">ALK </w:t>
            </w:r>
            <w:r w:rsidRPr="00594CFE">
              <w:t xml:space="preserve">positivity per the </w:t>
            </w:r>
            <w:proofErr w:type="spellStart"/>
            <w:r w:rsidRPr="00594CFE">
              <w:t>Ventana</w:t>
            </w:r>
            <w:proofErr w:type="spellEnd"/>
            <w:r w:rsidRPr="00594CFE">
              <w:t xml:space="preserve"> immunohistochemistry assay which has been </w:t>
            </w:r>
            <w:r w:rsidRPr="00594CFE">
              <w:rPr>
                <w:spacing w:val="-3"/>
              </w:rPr>
              <w:t xml:space="preserve">approved </w:t>
            </w:r>
            <w:r w:rsidRPr="00594CFE">
              <w:t xml:space="preserve">by the FDA </w:t>
            </w:r>
            <w:r w:rsidRPr="00594CFE">
              <w:rPr>
                <w:spacing w:val="-3"/>
              </w:rPr>
              <w:t xml:space="preserve">as </w:t>
            </w:r>
            <w:r w:rsidRPr="00594CFE">
              <w:t xml:space="preserve">a companion diagnostic </w:t>
            </w:r>
            <w:r w:rsidRPr="00594CFE">
              <w:rPr>
                <w:spacing w:val="-3"/>
              </w:rPr>
              <w:t>for</w:t>
            </w:r>
            <w:r w:rsidRPr="00594CFE">
              <w:rPr>
                <w:spacing w:val="2"/>
              </w:rPr>
              <w:t xml:space="preserve"> </w:t>
            </w:r>
            <w:proofErr w:type="spellStart"/>
            <w:r w:rsidRPr="00594CFE">
              <w:t>crizotinib</w:t>
            </w:r>
            <w:proofErr w:type="spellEnd"/>
          </w:p>
          <w:p w14:paraId="2B1FFBBE" w14:textId="77777777" w:rsidR="005F3542" w:rsidRPr="00594CFE" w:rsidRDefault="005F3542" w:rsidP="00407466">
            <w:pPr>
              <w:ind w:left="142"/>
            </w:pPr>
            <w:r w:rsidRPr="00594CFE">
              <w:t xml:space="preserve">Measurable disease </w:t>
            </w:r>
            <w:r w:rsidRPr="00594CFE">
              <w:rPr>
                <w:spacing w:val="-3"/>
              </w:rPr>
              <w:t xml:space="preserve">on RECIST </w:t>
            </w:r>
            <w:r w:rsidRPr="00594CFE">
              <w:t>v1.1</w:t>
            </w:r>
            <w:r w:rsidRPr="00594CFE">
              <w:rPr>
                <w:spacing w:val="2"/>
              </w:rPr>
              <w:t xml:space="preserve"> </w:t>
            </w:r>
            <w:r w:rsidRPr="00594CFE">
              <w:t>criteria</w:t>
            </w:r>
          </w:p>
          <w:p w14:paraId="050967B7" w14:textId="77777777" w:rsidR="005F3542" w:rsidRPr="00594CFE" w:rsidRDefault="005F3542" w:rsidP="00407466">
            <w:pPr>
              <w:ind w:left="142"/>
            </w:pPr>
            <w:r w:rsidRPr="00594CFE">
              <w:t xml:space="preserve">ECOG performance score 0 – </w:t>
            </w:r>
            <w:r w:rsidRPr="00594CFE">
              <w:rPr>
                <w:spacing w:val="-3"/>
              </w:rPr>
              <w:t xml:space="preserve">2, </w:t>
            </w:r>
            <w:r w:rsidRPr="00594CFE">
              <w:t xml:space="preserve">adequate </w:t>
            </w:r>
            <w:r w:rsidRPr="00594CFE">
              <w:rPr>
                <w:spacing w:val="-3"/>
              </w:rPr>
              <w:t xml:space="preserve">haematological </w:t>
            </w:r>
            <w:r w:rsidRPr="00594CFE">
              <w:t>and renal function,</w:t>
            </w:r>
            <w:r w:rsidRPr="00594CFE">
              <w:rPr>
                <w:spacing w:val="5"/>
              </w:rPr>
              <w:t xml:space="preserve"> </w:t>
            </w:r>
            <w:r w:rsidRPr="00594CFE">
              <w:t>non-reproductive</w:t>
            </w:r>
          </w:p>
          <w:p w14:paraId="42EF1627" w14:textId="46293DC5" w:rsidR="005F3542" w:rsidRPr="00F30E8F" w:rsidRDefault="005F3542" w:rsidP="00407466">
            <w:pPr>
              <w:ind w:left="142"/>
            </w:pPr>
            <w:r w:rsidRPr="00594CFE">
              <w:rPr>
                <w:spacing w:val="-3"/>
              </w:rPr>
              <w:t xml:space="preserve">Life </w:t>
            </w:r>
            <w:r w:rsidRPr="00594CFE">
              <w:t>expectancy 12+ weeks</w:t>
            </w:r>
          </w:p>
        </w:tc>
      </w:tr>
      <w:tr w:rsidR="005F3542" w:rsidRPr="006B09D3" w14:paraId="15FB1391" w14:textId="77777777" w:rsidTr="00407466">
        <w:trPr>
          <w:trHeight w:val="1506"/>
        </w:trPr>
        <w:tc>
          <w:tcPr>
            <w:tcW w:w="1591" w:type="dxa"/>
            <w:tcBorders>
              <w:top w:val="single" w:sz="4" w:space="0" w:color="000000"/>
              <w:left w:val="single" w:sz="4" w:space="0" w:color="000000"/>
              <w:bottom w:val="single" w:sz="4" w:space="0" w:color="000000"/>
              <w:right w:val="single" w:sz="4" w:space="0" w:color="000000"/>
            </w:tcBorders>
          </w:tcPr>
          <w:p w14:paraId="30544441" w14:textId="77777777" w:rsidR="005F3542" w:rsidRPr="00083CF0" w:rsidRDefault="005F3542" w:rsidP="00407466">
            <w:pPr>
              <w:rPr>
                <w:b/>
              </w:rPr>
            </w:pPr>
          </w:p>
        </w:tc>
        <w:tc>
          <w:tcPr>
            <w:tcW w:w="7653" w:type="dxa"/>
            <w:tcBorders>
              <w:top w:val="single" w:sz="4" w:space="0" w:color="000000"/>
              <w:left w:val="single" w:sz="4" w:space="0" w:color="000000"/>
              <w:bottom w:val="single" w:sz="4" w:space="0" w:color="000000"/>
              <w:right w:val="single" w:sz="4" w:space="0" w:color="000000"/>
            </w:tcBorders>
          </w:tcPr>
          <w:p w14:paraId="0826F45F" w14:textId="77777777" w:rsidR="009728A0" w:rsidRPr="00F30E8F" w:rsidRDefault="009728A0" w:rsidP="00407466">
            <w:pPr>
              <w:ind w:left="142"/>
            </w:pPr>
            <w:r w:rsidRPr="00F30E8F">
              <w:t>Exclusion criteria (abridged)</w:t>
            </w:r>
          </w:p>
          <w:p w14:paraId="73D1CAA7" w14:textId="77777777" w:rsidR="00407466" w:rsidRDefault="009728A0" w:rsidP="00407466">
            <w:pPr>
              <w:ind w:left="142"/>
            </w:pPr>
            <w:r w:rsidRPr="00594CFE">
              <w:t xml:space="preserve">Untreated/unstable brain metastases </w:t>
            </w:r>
            <w:r w:rsidRPr="00594CFE">
              <w:rPr>
                <w:spacing w:val="-3"/>
              </w:rPr>
              <w:t xml:space="preserve">or </w:t>
            </w:r>
            <w:r w:rsidRPr="00594CFE">
              <w:t>leptomeningeal</w:t>
            </w:r>
            <w:r w:rsidRPr="00594CFE">
              <w:rPr>
                <w:spacing w:val="5"/>
              </w:rPr>
              <w:t xml:space="preserve"> </w:t>
            </w:r>
            <w:r w:rsidRPr="00594CFE">
              <w:t>disease</w:t>
            </w:r>
          </w:p>
          <w:p w14:paraId="2BCB50EC" w14:textId="1FA0B879" w:rsidR="005F3542" w:rsidRPr="00594CFE" w:rsidRDefault="005F3542" w:rsidP="00407466">
            <w:pPr>
              <w:ind w:left="142"/>
            </w:pPr>
            <w:proofErr w:type="spellStart"/>
            <w:r w:rsidRPr="00594CFE">
              <w:t>Malabsorptive</w:t>
            </w:r>
            <w:proofErr w:type="spellEnd"/>
            <w:r w:rsidRPr="00594CFE">
              <w:t xml:space="preserve"> GI disorder, liver disease, previous significant malignancy within 3 years, other significant </w:t>
            </w:r>
            <w:r w:rsidRPr="00594CFE">
              <w:rPr>
                <w:spacing w:val="-3"/>
              </w:rPr>
              <w:t>medical</w:t>
            </w:r>
            <w:r w:rsidRPr="00594CFE">
              <w:rPr>
                <w:spacing w:val="10"/>
              </w:rPr>
              <w:t xml:space="preserve"> </w:t>
            </w:r>
            <w:r w:rsidRPr="00594CFE">
              <w:t>conditions</w:t>
            </w:r>
          </w:p>
          <w:p w14:paraId="31EC495F" w14:textId="77777777" w:rsidR="005F3542" w:rsidRPr="00594CFE" w:rsidRDefault="005F3542" w:rsidP="00407466">
            <w:pPr>
              <w:ind w:left="142"/>
            </w:pPr>
            <w:r w:rsidRPr="00594CFE">
              <w:t xml:space="preserve">QT prolongation, symptomatic bradycardia </w:t>
            </w:r>
            <w:r w:rsidRPr="00594CFE">
              <w:rPr>
                <w:spacing w:val="-3"/>
              </w:rPr>
              <w:t xml:space="preserve">or </w:t>
            </w:r>
            <w:proofErr w:type="spellStart"/>
            <w:r w:rsidRPr="00594CFE">
              <w:t>coadministration</w:t>
            </w:r>
            <w:proofErr w:type="spellEnd"/>
            <w:r w:rsidRPr="00594CFE">
              <w:t xml:space="preserve"> </w:t>
            </w:r>
            <w:r w:rsidRPr="00594CFE">
              <w:rPr>
                <w:spacing w:val="-3"/>
              </w:rPr>
              <w:t xml:space="preserve">of </w:t>
            </w:r>
            <w:r w:rsidRPr="00594CFE">
              <w:t>prolonging</w:t>
            </w:r>
            <w:r w:rsidRPr="00594CFE">
              <w:rPr>
                <w:spacing w:val="1"/>
              </w:rPr>
              <w:t xml:space="preserve"> </w:t>
            </w:r>
            <w:r w:rsidRPr="00594CFE">
              <w:t>medications</w:t>
            </w:r>
          </w:p>
          <w:p w14:paraId="50C7A0F8" w14:textId="77777777" w:rsidR="005F3542" w:rsidRPr="00594CFE" w:rsidRDefault="005F3542" w:rsidP="00407466">
            <w:pPr>
              <w:ind w:left="142"/>
            </w:pPr>
            <w:proofErr w:type="spellStart"/>
            <w:r w:rsidRPr="00594CFE">
              <w:t>Coadministration</w:t>
            </w:r>
            <w:proofErr w:type="spellEnd"/>
            <w:r w:rsidRPr="00594CFE">
              <w:t xml:space="preserve"> </w:t>
            </w:r>
            <w:r w:rsidRPr="00594CFE">
              <w:rPr>
                <w:spacing w:val="-3"/>
              </w:rPr>
              <w:t xml:space="preserve">of </w:t>
            </w:r>
            <w:r w:rsidRPr="00594CFE">
              <w:t xml:space="preserve">potent CYP3A inhibitors </w:t>
            </w:r>
            <w:r w:rsidRPr="00594CFE">
              <w:rPr>
                <w:spacing w:val="-3"/>
              </w:rPr>
              <w:t>or</w:t>
            </w:r>
            <w:r w:rsidRPr="00594CFE">
              <w:rPr>
                <w:spacing w:val="1"/>
              </w:rPr>
              <w:t xml:space="preserve"> </w:t>
            </w:r>
            <w:r w:rsidRPr="00594CFE">
              <w:t>inducers</w:t>
            </w:r>
          </w:p>
          <w:p w14:paraId="157733AC" w14:textId="77777777" w:rsidR="005F3542" w:rsidRPr="00594CFE" w:rsidRDefault="005F3542" w:rsidP="00407466">
            <w:pPr>
              <w:ind w:left="142"/>
            </w:pPr>
            <w:r w:rsidRPr="00594CFE">
              <w:t xml:space="preserve">Organ transplant, </w:t>
            </w:r>
            <w:r w:rsidRPr="00594CFE">
              <w:rPr>
                <w:spacing w:val="-4"/>
              </w:rPr>
              <w:t>HIV</w:t>
            </w:r>
            <w:r w:rsidRPr="00594CFE">
              <w:rPr>
                <w:spacing w:val="2"/>
              </w:rPr>
              <w:t xml:space="preserve"> </w:t>
            </w:r>
            <w:r w:rsidRPr="00594CFE">
              <w:t>positivity</w:t>
            </w:r>
          </w:p>
          <w:p w14:paraId="1905FE57" w14:textId="77777777" w:rsidR="005F3542" w:rsidRPr="00594CFE" w:rsidRDefault="005F3542" w:rsidP="00407466">
            <w:pPr>
              <w:ind w:left="142"/>
            </w:pPr>
            <w:r w:rsidRPr="00594CFE">
              <w:t xml:space="preserve">Ongoing toxicity </w:t>
            </w:r>
            <w:r w:rsidRPr="00594CFE">
              <w:rPr>
                <w:spacing w:val="-3"/>
              </w:rPr>
              <w:t xml:space="preserve">from </w:t>
            </w:r>
            <w:r w:rsidRPr="00594CFE">
              <w:t xml:space="preserve">prior therapies </w:t>
            </w:r>
            <w:r w:rsidRPr="00594CFE">
              <w:rPr>
                <w:spacing w:val="-3"/>
              </w:rPr>
              <w:t xml:space="preserve">(CTCAE </w:t>
            </w:r>
            <w:r w:rsidRPr="00594CFE">
              <w:t xml:space="preserve">grade 3 </w:t>
            </w:r>
            <w:r w:rsidRPr="00594CFE">
              <w:rPr>
                <w:spacing w:val="-3"/>
              </w:rPr>
              <w:t>or</w:t>
            </w:r>
            <w:r w:rsidRPr="00594CFE">
              <w:rPr>
                <w:spacing w:val="-1"/>
              </w:rPr>
              <w:t xml:space="preserve"> </w:t>
            </w:r>
            <w:r w:rsidRPr="00594CFE">
              <w:t>higher)</w:t>
            </w:r>
          </w:p>
        </w:tc>
      </w:tr>
      <w:tr w:rsidR="005F3542" w:rsidRPr="006B09D3" w14:paraId="3A609F9F" w14:textId="77777777" w:rsidTr="00407466">
        <w:trPr>
          <w:trHeight w:val="287"/>
        </w:trPr>
        <w:tc>
          <w:tcPr>
            <w:tcW w:w="1591" w:type="dxa"/>
            <w:tcBorders>
              <w:top w:val="single" w:sz="4" w:space="0" w:color="000000"/>
              <w:left w:val="single" w:sz="4" w:space="0" w:color="000000"/>
              <w:bottom w:val="single" w:sz="4" w:space="0" w:color="000000"/>
              <w:right w:val="single" w:sz="4" w:space="0" w:color="000000"/>
            </w:tcBorders>
          </w:tcPr>
          <w:p w14:paraId="5C2A71D9" w14:textId="77777777" w:rsidR="005F3542" w:rsidRPr="00083CF0" w:rsidRDefault="005F3542" w:rsidP="00407466">
            <w:pPr>
              <w:rPr>
                <w:b/>
              </w:rPr>
            </w:pPr>
            <w:r w:rsidRPr="00083CF0">
              <w:rPr>
                <w:b/>
              </w:rPr>
              <w:t>Intervention</w:t>
            </w:r>
          </w:p>
        </w:tc>
        <w:tc>
          <w:tcPr>
            <w:tcW w:w="7653" w:type="dxa"/>
            <w:tcBorders>
              <w:top w:val="single" w:sz="4" w:space="0" w:color="000000"/>
              <w:left w:val="single" w:sz="4" w:space="0" w:color="000000"/>
              <w:bottom w:val="single" w:sz="4" w:space="0" w:color="000000"/>
              <w:right w:val="single" w:sz="4" w:space="0" w:color="000000"/>
            </w:tcBorders>
          </w:tcPr>
          <w:p w14:paraId="635E794E" w14:textId="77777777" w:rsidR="005F3542" w:rsidRPr="00F30E8F" w:rsidRDefault="005F3542" w:rsidP="00407466">
            <w:pPr>
              <w:ind w:left="142"/>
            </w:pPr>
            <w:r w:rsidRPr="00F30E8F">
              <w:t xml:space="preserve">600 mg BD </w:t>
            </w:r>
            <w:proofErr w:type="spellStart"/>
            <w:r w:rsidRPr="00F30E8F">
              <w:t>alectinib</w:t>
            </w:r>
            <w:proofErr w:type="spellEnd"/>
          </w:p>
        </w:tc>
      </w:tr>
      <w:tr w:rsidR="005F3542" w:rsidRPr="006B09D3" w14:paraId="5F958746" w14:textId="77777777" w:rsidTr="00407466">
        <w:trPr>
          <w:trHeight w:val="287"/>
        </w:trPr>
        <w:tc>
          <w:tcPr>
            <w:tcW w:w="1591" w:type="dxa"/>
            <w:tcBorders>
              <w:top w:val="single" w:sz="4" w:space="0" w:color="000000"/>
              <w:left w:val="single" w:sz="4" w:space="0" w:color="000000"/>
              <w:bottom w:val="single" w:sz="4" w:space="0" w:color="000000"/>
              <w:right w:val="single" w:sz="4" w:space="0" w:color="000000"/>
            </w:tcBorders>
          </w:tcPr>
          <w:p w14:paraId="27D85B06" w14:textId="77777777" w:rsidR="005F3542" w:rsidRPr="00083CF0" w:rsidRDefault="005F3542" w:rsidP="00407466">
            <w:pPr>
              <w:rPr>
                <w:b/>
              </w:rPr>
            </w:pPr>
            <w:r w:rsidRPr="00083CF0">
              <w:rPr>
                <w:b/>
              </w:rPr>
              <w:t>Comparator</w:t>
            </w:r>
          </w:p>
        </w:tc>
        <w:tc>
          <w:tcPr>
            <w:tcW w:w="7653" w:type="dxa"/>
            <w:tcBorders>
              <w:top w:val="single" w:sz="4" w:space="0" w:color="000000"/>
              <w:left w:val="single" w:sz="4" w:space="0" w:color="000000"/>
              <w:bottom w:val="single" w:sz="4" w:space="0" w:color="000000"/>
              <w:right w:val="single" w:sz="4" w:space="0" w:color="000000"/>
            </w:tcBorders>
          </w:tcPr>
          <w:p w14:paraId="3228BADD" w14:textId="77777777" w:rsidR="005F3542" w:rsidRPr="00F30E8F" w:rsidRDefault="005F3542" w:rsidP="00407466">
            <w:pPr>
              <w:ind w:left="142"/>
            </w:pPr>
            <w:r w:rsidRPr="00F30E8F">
              <w:t xml:space="preserve">250 mg BD </w:t>
            </w:r>
            <w:proofErr w:type="spellStart"/>
            <w:r w:rsidRPr="00F30E8F">
              <w:t>crizotinib</w:t>
            </w:r>
            <w:proofErr w:type="spellEnd"/>
          </w:p>
        </w:tc>
      </w:tr>
      <w:tr w:rsidR="005F3542" w:rsidRPr="006B09D3" w14:paraId="19EEE91B" w14:textId="77777777" w:rsidTr="00407466">
        <w:trPr>
          <w:trHeight w:val="3273"/>
        </w:trPr>
        <w:tc>
          <w:tcPr>
            <w:tcW w:w="1591" w:type="dxa"/>
            <w:tcBorders>
              <w:top w:val="single" w:sz="4" w:space="0" w:color="000000"/>
              <w:left w:val="single" w:sz="4" w:space="0" w:color="000000"/>
              <w:bottom w:val="single" w:sz="4" w:space="0" w:color="000000"/>
              <w:right w:val="single" w:sz="4" w:space="0" w:color="000000"/>
            </w:tcBorders>
          </w:tcPr>
          <w:p w14:paraId="06738437" w14:textId="77777777" w:rsidR="005F3542" w:rsidRPr="00083CF0" w:rsidRDefault="005F3542" w:rsidP="00407466">
            <w:pPr>
              <w:rPr>
                <w:b/>
              </w:rPr>
            </w:pPr>
            <w:r w:rsidRPr="00083CF0">
              <w:rPr>
                <w:b/>
              </w:rPr>
              <w:t>Endpoints</w:t>
            </w:r>
          </w:p>
        </w:tc>
        <w:tc>
          <w:tcPr>
            <w:tcW w:w="7653" w:type="dxa"/>
            <w:tcBorders>
              <w:top w:val="single" w:sz="4" w:space="0" w:color="000000"/>
              <w:left w:val="single" w:sz="4" w:space="0" w:color="000000"/>
              <w:bottom w:val="single" w:sz="4" w:space="0" w:color="000000"/>
              <w:right w:val="single" w:sz="4" w:space="0" w:color="000000"/>
            </w:tcBorders>
          </w:tcPr>
          <w:p w14:paraId="18A3E828" w14:textId="77777777" w:rsidR="005F3542" w:rsidRPr="00F30E8F" w:rsidRDefault="005F3542" w:rsidP="00407466">
            <w:pPr>
              <w:ind w:left="142"/>
            </w:pPr>
            <w:r w:rsidRPr="00F30E8F">
              <w:t>Primary</w:t>
            </w:r>
          </w:p>
          <w:p w14:paraId="2296FD63" w14:textId="77777777" w:rsidR="00407466" w:rsidRDefault="005F3542" w:rsidP="00407466">
            <w:pPr>
              <w:ind w:left="142"/>
            </w:pPr>
            <w:r w:rsidRPr="00594CFE">
              <w:t>Progression-free survival (PFS) [investigator assessed]</w:t>
            </w:r>
          </w:p>
          <w:p w14:paraId="630E0685" w14:textId="52585A8F" w:rsidR="005F3542" w:rsidRPr="00F30E8F" w:rsidRDefault="005F3542" w:rsidP="00407466">
            <w:pPr>
              <w:ind w:left="142"/>
            </w:pPr>
            <w:r w:rsidRPr="00F30E8F">
              <w:t>Key</w:t>
            </w:r>
            <w:r w:rsidRPr="00F30E8F">
              <w:rPr>
                <w:spacing w:val="-7"/>
              </w:rPr>
              <w:t xml:space="preserve"> </w:t>
            </w:r>
            <w:r w:rsidRPr="00F30E8F">
              <w:t>secondary</w:t>
            </w:r>
          </w:p>
          <w:p w14:paraId="2C1CFACD" w14:textId="77777777" w:rsidR="005F3542" w:rsidRPr="00594CFE" w:rsidRDefault="005F3542" w:rsidP="00407466">
            <w:pPr>
              <w:ind w:left="142"/>
            </w:pPr>
            <w:r w:rsidRPr="00594CFE">
              <w:t xml:space="preserve">PFS [independent review committee </w:t>
            </w:r>
            <w:r w:rsidRPr="00594CFE">
              <w:rPr>
                <w:spacing w:val="-3"/>
              </w:rPr>
              <w:t>(IRC)</w:t>
            </w:r>
            <w:r w:rsidRPr="00594CFE">
              <w:t xml:space="preserve"> assessed]</w:t>
            </w:r>
          </w:p>
          <w:p w14:paraId="6ECE662F" w14:textId="77777777" w:rsidR="005F3542" w:rsidRPr="00594CFE" w:rsidRDefault="005F3542" w:rsidP="00407466">
            <w:pPr>
              <w:ind w:left="142"/>
            </w:pPr>
            <w:r w:rsidRPr="00594CFE">
              <w:t xml:space="preserve">Time to CNS progression according to </w:t>
            </w:r>
            <w:r w:rsidRPr="00594CFE">
              <w:rPr>
                <w:spacing w:val="-3"/>
              </w:rPr>
              <w:t xml:space="preserve">RECIST </w:t>
            </w:r>
            <w:r w:rsidRPr="00594CFE">
              <w:t xml:space="preserve">criteria </w:t>
            </w:r>
            <w:r w:rsidRPr="00594CFE">
              <w:rPr>
                <w:spacing w:val="-4"/>
              </w:rPr>
              <w:t>[IRC</w:t>
            </w:r>
            <w:r w:rsidRPr="00594CFE">
              <w:rPr>
                <w:spacing w:val="-7"/>
              </w:rPr>
              <w:t xml:space="preserve"> </w:t>
            </w:r>
            <w:r w:rsidRPr="00594CFE">
              <w:t>assessed]</w:t>
            </w:r>
          </w:p>
          <w:p w14:paraId="7F32FF7F" w14:textId="77777777" w:rsidR="005F3542" w:rsidRPr="00594CFE" w:rsidRDefault="005F3542" w:rsidP="00407466">
            <w:pPr>
              <w:ind w:left="142"/>
            </w:pPr>
            <w:r w:rsidRPr="00594CFE">
              <w:t xml:space="preserve">Objective response rate (ORR) and duration </w:t>
            </w:r>
            <w:r w:rsidRPr="00594CFE">
              <w:rPr>
                <w:spacing w:val="-3"/>
              </w:rPr>
              <w:t xml:space="preserve">of </w:t>
            </w:r>
            <w:r w:rsidRPr="00594CFE">
              <w:t xml:space="preserve">response </w:t>
            </w:r>
            <w:r w:rsidRPr="00594CFE">
              <w:rPr>
                <w:spacing w:val="-3"/>
              </w:rPr>
              <w:t xml:space="preserve">(DOR) </w:t>
            </w:r>
            <w:r w:rsidRPr="00594CFE">
              <w:t>[investigator</w:t>
            </w:r>
            <w:r w:rsidRPr="00594CFE">
              <w:rPr>
                <w:spacing w:val="1"/>
              </w:rPr>
              <w:t xml:space="preserve"> </w:t>
            </w:r>
            <w:r w:rsidRPr="00594CFE">
              <w:t>assessed]</w:t>
            </w:r>
          </w:p>
          <w:p w14:paraId="6280B707" w14:textId="77777777" w:rsidR="005F3542" w:rsidRPr="00594CFE" w:rsidRDefault="005F3542" w:rsidP="00407466">
            <w:pPr>
              <w:ind w:left="142"/>
            </w:pPr>
            <w:r w:rsidRPr="00594CFE">
              <w:t>Overall survival</w:t>
            </w:r>
            <w:r w:rsidRPr="00594CFE">
              <w:rPr>
                <w:spacing w:val="-5"/>
              </w:rPr>
              <w:t xml:space="preserve"> </w:t>
            </w:r>
            <w:r w:rsidRPr="00594CFE">
              <w:t>(OS)</w:t>
            </w:r>
          </w:p>
          <w:p w14:paraId="7EFA662D" w14:textId="77777777" w:rsidR="005F3542" w:rsidRPr="00594CFE" w:rsidRDefault="005F3542" w:rsidP="00407466">
            <w:pPr>
              <w:ind w:left="142"/>
              <w:rPr>
                <w:spacing w:val="-3"/>
              </w:rPr>
            </w:pPr>
            <w:r w:rsidRPr="00594CFE">
              <w:t xml:space="preserve">CNS ORR (CORR) and CNS DOR (CDOR) </w:t>
            </w:r>
            <w:r w:rsidRPr="00594CFE">
              <w:rPr>
                <w:spacing w:val="-4"/>
              </w:rPr>
              <w:t xml:space="preserve">[IRC </w:t>
            </w:r>
            <w:r w:rsidRPr="00594CFE">
              <w:t xml:space="preserve">assessed] – defined as proportion </w:t>
            </w:r>
            <w:r w:rsidRPr="00594CFE">
              <w:rPr>
                <w:spacing w:val="-3"/>
              </w:rPr>
              <w:t xml:space="preserve">of </w:t>
            </w:r>
            <w:r w:rsidRPr="00594CFE">
              <w:t xml:space="preserve">patients achieving CR </w:t>
            </w:r>
            <w:r w:rsidRPr="00594CFE">
              <w:rPr>
                <w:spacing w:val="-3"/>
              </w:rPr>
              <w:t xml:space="preserve">or </w:t>
            </w:r>
            <w:r w:rsidRPr="00594CFE">
              <w:t xml:space="preserve">PR </w:t>
            </w:r>
            <w:r w:rsidRPr="00594CFE">
              <w:rPr>
                <w:spacing w:val="-3"/>
              </w:rPr>
              <w:t xml:space="preserve">of </w:t>
            </w:r>
            <w:r w:rsidRPr="00594CFE">
              <w:t xml:space="preserve">baseline CNS lesions, and time </w:t>
            </w:r>
            <w:r w:rsidRPr="00594CFE">
              <w:rPr>
                <w:spacing w:val="-3"/>
              </w:rPr>
              <w:t xml:space="preserve">from </w:t>
            </w:r>
            <w:r w:rsidRPr="00594CFE">
              <w:t xml:space="preserve">CNS response to CNS progression </w:t>
            </w:r>
            <w:r w:rsidRPr="00594CFE">
              <w:rPr>
                <w:spacing w:val="-5"/>
              </w:rPr>
              <w:t xml:space="preserve">of </w:t>
            </w:r>
            <w:r w:rsidRPr="00594CFE">
              <w:t xml:space="preserve">disease, </w:t>
            </w:r>
            <w:r w:rsidRPr="00594CFE">
              <w:rPr>
                <w:spacing w:val="-3"/>
              </w:rPr>
              <w:t>respectively.</w:t>
            </w:r>
          </w:p>
          <w:p w14:paraId="672EB5FF" w14:textId="77777777" w:rsidR="005F3542" w:rsidRPr="00F30E8F" w:rsidRDefault="005F3542" w:rsidP="00407466">
            <w:pPr>
              <w:ind w:left="142"/>
            </w:pPr>
            <w:r w:rsidRPr="00F30E8F">
              <w:t>Other secondary</w:t>
            </w:r>
          </w:p>
          <w:p w14:paraId="0608D5FA" w14:textId="77777777" w:rsidR="005F3542" w:rsidRPr="00594CFE" w:rsidRDefault="005F3542" w:rsidP="00407466">
            <w:pPr>
              <w:ind w:left="142"/>
            </w:pPr>
            <w:r w:rsidRPr="00594CFE">
              <w:t>Safety and</w:t>
            </w:r>
            <w:r w:rsidRPr="00594CFE">
              <w:rPr>
                <w:spacing w:val="-9"/>
              </w:rPr>
              <w:t xml:space="preserve"> </w:t>
            </w:r>
            <w:r w:rsidRPr="00594CFE">
              <w:t>tolerability</w:t>
            </w:r>
          </w:p>
          <w:p w14:paraId="1C057F3C" w14:textId="77777777" w:rsidR="005F3542" w:rsidRPr="00594CFE" w:rsidRDefault="005F3542" w:rsidP="00407466">
            <w:pPr>
              <w:ind w:left="142"/>
            </w:pPr>
            <w:r w:rsidRPr="00594CFE">
              <w:t>Pharmacokinetics</w:t>
            </w:r>
            <w:r w:rsidRPr="00594CFE">
              <w:rPr>
                <w:spacing w:val="-2"/>
              </w:rPr>
              <w:t xml:space="preserve"> </w:t>
            </w:r>
            <w:r w:rsidRPr="00594CFE">
              <w:t>(PK)</w:t>
            </w:r>
          </w:p>
        </w:tc>
      </w:tr>
    </w:tbl>
    <w:p w14:paraId="7D716F25" w14:textId="77777777" w:rsidR="008C5BF3" w:rsidRDefault="005F3542" w:rsidP="008C5BF3">
      <w:pPr>
        <w:pStyle w:val="Heading6"/>
        <w:rPr>
          <w:u w:color="000000"/>
        </w:rPr>
      </w:pPr>
      <w:r>
        <w:rPr>
          <w:u w:color="000000"/>
        </w:rPr>
        <w:lastRenderedPageBreak/>
        <w:t>Sample size</w:t>
      </w:r>
    </w:p>
    <w:p w14:paraId="03C1E371" w14:textId="77777777" w:rsidR="005F3542" w:rsidRDefault="00083CF0" w:rsidP="008C5BF3">
      <w:r>
        <w:t>286 subjects were to be randomis</w:t>
      </w:r>
      <w:r w:rsidR="005F3542">
        <w:t xml:space="preserve">ed in in a 1:1 ratio. This sample size would result in at least 80% power to detect a HR of 0.65 for </w:t>
      </w:r>
      <w:proofErr w:type="spellStart"/>
      <w:r w:rsidR="005F3542">
        <w:t>alectinib</w:t>
      </w:r>
      <w:proofErr w:type="spellEnd"/>
      <w:r w:rsidR="005F3542">
        <w:t xml:space="preserve"> versus </w:t>
      </w:r>
      <w:proofErr w:type="spellStart"/>
      <w:r w:rsidR="005F3542">
        <w:t>crizotinib</w:t>
      </w:r>
      <w:proofErr w:type="spellEnd"/>
      <w:r w:rsidR="005F3542">
        <w:t xml:space="preserve"> (</w:t>
      </w:r>
      <w:r w:rsidR="00F30E8F">
        <w:t xml:space="preserve">that is, </w:t>
      </w:r>
      <w:r w:rsidR="005F3542">
        <w:t>an increase from</w:t>
      </w:r>
      <w:r w:rsidR="00F30E8F">
        <w:t xml:space="preserve"> </w:t>
      </w:r>
      <w:r w:rsidR="005F3542">
        <w:t>10.9 months median PFS to 16.8 months) at a two-sided α=0.05.</w:t>
      </w:r>
    </w:p>
    <w:p w14:paraId="403F2969" w14:textId="77777777" w:rsidR="005F3542" w:rsidRDefault="005F3542" w:rsidP="008C5BF3">
      <w:r w:rsidRPr="008C5BF3">
        <w:rPr>
          <w:rStyle w:val="Heading6Char"/>
          <w:rFonts w:eastAsia="Cambria"/>
        </w:rPr>
        <w:t>ALK positivity</w:t>
      </w:r>
      <w:r w:rsidR="00F30E8F">
        <w:rPr>
          <w:rStyle w:val="Heading6Char"/>
          <w:rFonts w:eastAsia="Cambria"/>
        </w:rPr>
        <w:t xml:space="preserve"> </w:t>
      </w:r>
      <w:r>
        <w:t xml:space="preserve">was tested at a central laboratory using </w:t>
      </w:r>
      <w:proofErr w:type="spellStart"/>
      <w:r>
        <w:t>Ventana</w:t>
      </w:r>
      <w:proofErr w:type="spellEnd"/>
      <w:r>
        <w:t xml:space="preserve"> anti-ALK (D5F3) immunohistochemistry (IHC) testing, which during the progress of the trial was approved by the FDA as a companion diagnostic for </w:t>
      </w:r>
      <w:proofErr w:type="spellStart"/>
      <w:r>
        <w:t>crizotinib</w:t>
      </w:r>
      <w:proofErr w:type="spellEnd"/>
      <w:r>
        <w:t xml:space="preserve">. Positivity on IHC testing was required for study entry but sufficient tumour sample was required for both IHC and FISH </w:t>
      </w:r>
      <w:proofErr w:type="spellStart"/>
      <w:r>
        <w:t>Vysis</w:t>
      </w:r>
      <w:proofErr w:type="spellEnd"/>
      <w:r>
        <w:t>® ALK Break Apart FISH Probe Kit (Abbott) and FISH testing was performed subsequently to study entry. Use of the IHC assay as a screening tool, with subsequent validation using FISH testing is currently required for funded access to anti-ALK therapies in Australia.</w:t>
      </w:r>
    </w:p>
    <w:p w14:paraId="5224864C" w14:textId="77777777" w:rsidR="005F3542" w:rsidRDefault="005F3542" w:rsidP="008C5BF3">
      <w:r w:rsidRPr="008C5BF3">
        <w:rPr>
          <w:rStyle w:val="Heading6Char"/>
          <w:rFonts w:eastAsia="Cambria"/>
        </w:rPr>
        <w:t>Tumour imaging</w:t>
      </w:r>
      <w:r>
        <w:t xml:space="preserve"> by </w:t>
      </w:r>
      <w:r w:rsidR="00F30E8F" w:rsidRPr="00F30E8F">
        <w:t xml:space="preserve">computed tomography </w:t>
      </w:r>
      <w:r w:rsidR="00F30E8F">
        <w:t>(</w:t>
      </w:r>
      <w:r>
        <w:t>CT</w:t>
      </w:r>
      <w:r w:rsidR="00F30E8F">
        <w:t>)</w:t>
      </w:r>
      <w:r>
        <w:t xml:space="preserve"> or </w:t>
      </w:r>
      <w:r w:rsidR="00F30E8F" w:rsidRPr="00F30E8F">
        <w:t>Magnetic Resonance Imaging</w:t>
      </w:r>
      <w:r w:rsidR="00F30E8F">
        <w:t xml:space="preserve"> (</w:t>
      </w:r>
      <w:r>
        <w:t>MRI</w:t>
      </w:r>
      <w:r w:rsidR="00F30E8F">
        <w:t>),</w:t>
      </w:r>
      <w:r>
        <w:t xml:space="preserve"> including of the brain, was done at baseline and again every 8 weeks until progression. The IRC performed two separate assessments for each time point</w:t>
      </w:r>
      <w:r w:rsidR="00F30E8F">
        <w:t>;</w:t>
      </w:r>
      <w:r>
        <w:t xml:space="preserve"> one for systemic disease overall and one for CNS endpoints specifically.</w:t>
      </w:r>
    </w:p>
    <w:p w14:paraId="5E40F3B0" w14:textId="77777777" w:rsidR="005F3542" w:rsidRDefault="005F3542" w:rsidP="008C5BF3">
      <w:r w:rsidRPr="008C5BF3">
        <w:rPr>
          <w:rStyle w:val="Heading6Char"/>
          <w:rFonts w:eastAsia="Cambria"/>
        </w:rPr>
        <w:t>Cross-over</w:t>
      </w:r>
      <w:r w:rsidR="008C5BF3">
        <w:t xml:space="preserve"> I</w:t>
      </w:r>
      <w:r>
        <w:t xml:space="preserve">n-study crossover was not permitted. Subsequent lines of therapy are not yet reported, as </w:t>
      </w:r>
      <w:r w:rsidR="00F30E8F">
        <w:t>overall survival (</w:t>
      </w:r>
      <w:r>
        <w:t>OS</w:t>
      </w:r>
      <w:r w:rsidR="00F30E8F">
        <w:t>)</w:t>
      </w:r>
      <w:r>
        <w:t xml:space="preserve"> data are immature. Submission of these results, when available, will be a condition of registration.</w:t>
      </w:r>
    </w:p>
    <w:p w14:paraId="7CD19E38" w14:textId="77777777" w:rsidR="005F3542" w:rsidRDefault="005F3542" w:rsidP="008C5BF3">
      <w:pPr>
        <w:tabs>
          <w:tab w:val="left" w:pos="1372"/>
        </w:tabs>
        <w:kinsoku w:val="0"/>
        <w:overflowPunct w:val="0"/>
        <w:rPr>
          <w:i/>
          <w:iCs/>
        </w:rPr>
      </w:pPr>
      <w:bookmarkStart w:id="101" w:name="5.1.2_Baseline_characteristics_and_patie"/>
      <w:bookmarkEnd w:id="101"/>
      <w:r w:rsidRPr="008C5BF3">
        <w:rPr>
          <w:i/>
          <w:iCs/>
        </w:rPr>
        <w:t>Baseline characteristics and patient</w:t>
      </w:r>
      <w:r w:rsidRPr="008C5BF3">
        <w:rPr>
          <w:i/>
          <w:iCs/>
          <w:spacing w:val="-3"/>
        </w:rPr>
        <w:t xml:space="preserve"> </w:t>
      </w:r>
      <w:r w:rsidRPr="008C5BF3">
        <w:rPr>
          <w:i/>
          <w:iCs/>
        </w:rPr>
        <w:t>disposition</w:t>
      </w:r>
    </w:p>
    <w:p w14:paraId="10AFD125" w14:textId="77777777" w:rsidR="00F30E8F" w:rsidRPr="00F30E8F" w:rsidRDefault="00F30E8F" w:rsidP="004A3721">
      <w:pPr>
        <w:rPr>
          <w:iCs/>
        </w:rPr>
      </w:pPr>
      <w:r>
        <w:rPr>
          <w:iCs/>
        </w:rPr>
        <w:t>The following table summarises the b</w:t>
      </w:r>
      <w:r w:rsidRPr="008C2DAC">
        <w:t>aseline characteristics of the pivotal study population and patient disposition</w:t>
      </w:r>
      <w:r w:rsidR="004A3721">
        <w:t xml:space="preserve"> in ALEX study.</w:t>
      </w:r>
    </w:p>
    <w:p w14:paraId="37338D20" w14:textId="77777777" w:rsidR="00407466" w:rsidRDefault="004A3721" w:rsidP="00407466">
      <w:pPr>
        <w:pStyle w:val="TableTitle"/>
      </w:pPr>
      <w:r>
        <w:lastRenderedPageBreak/>
        <w:t>Table</w:t>
      </w:r>
      <w:r w:rsidR="008C2DAC" w:rsidRPr="008C2DAC">
        <w:t xml:space="preserve"> </w:t>
      </w:r>
      <w:r w:rsidR="00F30E8F">
        <w:t>5</w:t>
      </w:r>
      <w:r w:rsidR="008C5BF3">
        <w:t>:</w:t>
      </w:r>
      <w:r w:rsidR="008C2DAC" w:rsidRPr="008C2DAC">
        <w:t xml:space="preserve"> Baseline characteristics of the pivotal study population (left) and patient disposition summary, from the study report for the ALEX trial (right)</w:t>
      </w:r>
    </w:p>
    <w:p w14:paraId="43F7233A" w14:textId="4FB9E74E" w:rsidR="008C2DAC" w:rsidRDefault="008C2DAC" w:rsidP="00407466">
      <w:pPr>
        <w:rPr>
          <w:b/>
        </w:rPr>
      </w:pPr>
      <w:r>
        <w:rPr>
          <w:noProof/>
          <w:lang w:eastAsia="en-AU"/>
        </w:rPr>
        <w:drawing>
          <wp:inline distT="0" distB="0" distL="0" distR="0" wp14:anchorId="714F4924" wp14:editId="09B5EB68">
            <wp:extent cx="4795320" cy="5094515"/>
            <wp:effectExtent l="0" t="0" r="5715" b="0"/>
            <wp:docPr id="10" name="Picture 10" descr="Figure 5: Baseline characteristics of the pivotal study population (left) and patient disposition summary, from the study report for the ALEX trial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795871" cy="5095100"/>
                    </a:xfrm>
                    <a:prstGeom prst="rect">
                      <a:avLst/>
                    </a:prstGeom>
                  </pic:spPr>
                </pic:pic>
              </a:graphicData>
            </a:graphic>
          </wp:inline>
        </w:drawing>
      </w:r>
    </w:p>
    <w:p w14:paraId="7B0F370B" w14:textId="77777777" w:rsidR="005F3542" w:rsidRDefault="005F3542" w:rsidP="008C5BF3">
      <w:pPr>
        <w:pStyle w:val="Heading6"/>
      </w:pPr>
      <w:bookmarkStart w:id="102" w:name="5.1.3_Exposure"/>
      <w:bookmarkEnd w:id="102"/>
      <w:r w:rsidRPr="008C5BF3">
        <w:t>Exposure</w:t>
      </w:r>
    </w:p>
    <w:p w14:paraId="11BF8C12" w14:textId="77777777" w:rsidR="004A3721" w:rsidRPr="004A3721" w:rsidRDefault="004A3721" w:rsidP="004A3721">
      <w:r>
        <w:t>Table 6 summarises the duration of treatment (exposure) in the two arms.</w:t>
      </w:r>
    </w:p>
    <w:p w14:paraId="7C6D57BE" w14:textId="77777777" w:rsidR="005F3542" w:rsidRDefault="005F3542" w:rsidP="00C558A5">
      <w:pPr>
        <w:pStyle w:val="TableTitle"/>
      </w:pPr>
      <w:r>
        <w:t xml:space="preserve">Table </w:t>
      </w:r>
      <w:r w:rsidR="004A3721">
        <w:t>6</w:t>
      </w:r>
      <w:r w:rsidR="008C5BF3">
        <w:t>:</w:t>
      </w:r>
      <w:r>
        <w:t xml:space="preserve"> Duration of treatment exposure</w:t>
      </w:r>
    </w:p>
    <w:tbl>
      <w:tblPr>
        <w:tblW w:w="8537" w:type="dxa"/>
        <w:tblInd w:w="115" w:type="dxa"/>
        <w:tblLayout w:type="fixed"/>
        <w:tblCellMar>
          <w:left w:w="0" w:type="dxa"/>
          <w:right w:w="0" w:type="dxa"/>
        </w:tblCellMar>
        <w:tblLook w:val="0000" w:firstRow="0" w:lastRow="0" w:firstColumn="0" w:lastColumn="0" w:noHBand="0" w:noVBand="0"/>
      </w:tblPr>
      <w:tblGrid>
        <w:gridCol w:w="4143"/>
        <w:gridCol w:w="2268"/>
        <w:gridCol w:w="2126"/>
      </w:tblGrid>
      <w:tr w:rsidR="008C5BF3" w:rsidRPr="008C5BF3" w14:paraId="4FCAC91F" w14:textId="77777777" w:rsidTr="006E60A3">
        <w:trPr>
          <w:trHeight w:val="494"/>
        </w:trPr>
        <w:tc>
          <w:tcPr>
            <w:tcW w:w="4143" w:type="dxa"/>
            <w:tcBorders>
              <w:top w:val="single" w:sz="4" w:space="0" w:color="000000"/>
              <w:left w:val="single" w:sz="4" w:space="0" w:color="000000"/>
              <w:bottom w:val="single" w:sz="4" w:space="0" w:color="000000"/>
              <w:right w:val="single" w:sz="4" w:space="0" w:color="000000"/>
            </w:tcBorders>
            <w:shd w:val="clear" w:color="auto" w:fill="0070C0"/>
          </w:tcPr>
          <w:p w14:paraId="09CBFFA0" w14:textId="77777777" w:rsidR="005F3542" w:rsidRPr="008C5BF3" w:rsidRDefault="005F3542" w:rsidP="004A3721">
            <w:pPr>
              <w:ind w:left="174"/>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0070C0"/>
          </w:tcPr>
          <w:p w14:paraId="721A4A4E" w14:textId="77777777" w:rsidR="005F3542" w:rsidRPr="004A3721" w:rsidRDefault="005F3542" w:rsidP="004A3721">
            <w:pPr>
              <w:ind w:left="174"/>
              <w:rPr>
                <w:b/>
                <w:bCs/>
                <w:color w:val="FFFFFF" w:themeColor="background1"/>
                <w:sz w:val="20"/>
                <w:szCs w:val="20"/>
              </w:rPr>
            </w:pPr>
            <w:proofErr w:type="spellStart"/>
            <w:r w:rsidRPr="004A3721">
              <w:rPr>
                <w:b/>
                <w:bCs/>
                <w:color w:val="FFFFFF" w:themeColor="background1"/>
                <w:sz w:val="20"/>
                <w:szCs w:val="20"/>
              </w:rPr>
              <w:t>Crizotinib</w:t>
            </w:r>
            <w:proofErr w:type="spellEnd"/>
            <w:r w:rsidRPr="004A3721">
              <w:rPr>
                <w:b/>
                <w:bCs/>
                <w:color w:val="FFFFFF" w:themeColor="background1"/>
                <w:sz w:val="20"/>
                <w:szCs w:val="20"/>
              </w:rPr>
              <w:t xml:space="preserve"> N=151</w:t>
            </w:r>
          </w:p>
        </w:tc>
        <w:tc>
          <w:tcPr>
            <w:tcW w:w="2126" w:type="dxa"/>
            <w:tcBorders>
              <w:top w:val="single" w:sz="4" w:space="0" w:color="000000"/>
              <w:left w:val="single" w:sz="4" w:space="0" w:color="000000"/>
              <w:bottom w:val="single" w:sz="4" w:space="0" w:color="000000"/>
              <w:right w:val="single" w:sz="4" w:space="0" w:color="000000"/>
            </w:tcBorders>
            <w:shd w:val="clear" w:color="auto" w:fill="0070C0"/>
          </w:tcPr>
          <w:p w14:paraId="75A1807A" w14:textId="77777777" w:rsidR="005F3542" w:rsidRPr="004A3721" w:rsidRDefault="005F3542" w:rsidP="004A3721">
            <w:pPr>
              <w:ind w:left="174"/>
              <w:rPr>
                <w:b/>
                <w:bCs/>
                <w:color w:val="FFFFFF" w:themeColor="background1"/>
                <w:sz w:val="20"/>
                <w:szCs w:val="20"/>
              </w:rPr>
            </w:pPr>
            <w:proofErr w:type="spellStart"/>
            <w:r w:rsidRPr="004A3721">
              <w:rPr>
                <w:b/>
                <w:bCs/>
                <w:color w:val="FFFFFF" w:themeColor="background1"/>
                <w:sz w:val="20"/>
                <w:szCs w:val="20"/>
              </w:rPr>
              <w:t>Alectinib</w:t>
            </w:r>
            <w:proofErr w:type="spellEnd"/>
            <w:r w:rsidR="004232F7">
              <w:rPr>
                <w:b/>
                <w:bCs/>
                <w:color w:val="FFFFFF" w:themeColor="background1"/>
                <w:sz w:val="20"/>
                <w:szCs w:val="20"/>
              </w:rPr>
              <w:t xml:space="preserve"> </w:t>
            </w:r>
            <w:r w:rsidRPr="004A3721">
              <w:rPr>
                <w:b/>
                <w:bCs/>
                <w:color w:val="FFFFFF" w:themeColor="background1"/>
                <w:sz w:val="20"/>
                <w:szCs w:val="20"/>
              </w:rPr>
              <w:t>N=152</w:t>
            </w:r>
          </w:p>
        </w:tc>
      </w:tr>
      <w:tr w:rsidR="005F3542" w14:paraId="5E471B14" w14:textId="77777777" w:rsidTr="006E60A3">
        <w:trPr>
          <w:trHeight w:val="421"/>
        </w:trPr>
        <w:tc>
          <w:tcPr>
            <w:tcW w:w="8537" w:type="dxa"/>
            <w:gridSpan w:val="3"/>
            <w:tcBorders>
              <w:top w:val="single" w:sz="4" w:space="0" w:color="000000"/>
              <w:left w:val="single" w:sz="4" w:space="0" w:color="000000"/>
              <w:bottom w:val="single" w:sz="4" w:space="0" w:color="000000"/>
              <w:right w:val="single" w:sz="4" w:space="0" w:color="000000"/>
            </w:tcBorders>
          </w:tcPr>
          <w:p w14:paraId="31928D65" w14:textId="77777777" w:rsidR="005F3542" w:rsidRPr="008C5BF3" w:rsidRDefault="005F3542" w:rsidP="004A3721">
            <w:pPr>
              <w:ind w:left="174"/>
              <w:rPr>
                <w:bCs/>
                <w:sz w:val="20"/>
                <w:szCs w:val="20"/>
              </w:rPr>
            </w:pPr>
            <w:r w:rsidRPr="008C5BF3">
              <w:rPr>
                <w:bCs/>
                <w:sz w:val="20"/>
                <w:szCs w:val="20"/>
              </w:rPr>
              <w:t>Duration of treatment exposure</w:t>
            </w:r>
          </w:p>
        </w:tc>
      </w:tr>
      <w:tr w:rsidR="005F3542" w14:paraId="5037C18C" w14:textId="77777777" w:rsidTr="006E60A3">
        <w:trPr>
          <w:trHeight w:val="287"/>
        </w:trPr>
        <w:tc>
          <w:tcPr>
            <w:tcW w:w="4143" w:type="dxa"/>
            <w:tcBorders>
              <w:top w:val="single" w:sz="4" w:space="0" w:color="000000"/>
              <w:left w:val="single" w:sz="4" w:space="0" w:color="000000"/>
              <w:bottom w:val="single" w:sz="4" w:space="0" w:color="000000"/>
              <w:right w:val="single" w:sz="4" w:space="0" w:color="000000"/>
            </w:tcBorders>
          </w:tcPr>
          <w:p w14:paraId="68E6C1BA" w14:textId="77777777" w:rsidR="005F3542" w:rsidRPr="008C5BF3" w:rsidRDefault="005F3542" w:rsidP="004A3721">
            <w:pPr>
              <w:ind w:left="174"/>
              <w:rPr>
                <w:sz w:val="20"/>
                <w:szCs w:val="20"/>
              </w:rPr>
            </w:pPr>
            <w:r w:rsidRPr="008C5BF3">
              <w:rPr>
                <w:sz w:val="20"/>
                <w:szCs w:val="20"/>
              </w:rPr>
              <w:t>Mean, months (standard deviation)</w:t>
            </w:r>
          </w:p>
        </w:tc>
        <w:tc>
          <w:tcPr>
            <w:tcW w:w="2268" w:type="dxa"/>
            <w:tcBorders>
              <w:top w:val="single" w:sz="4" w:space="0" w:color="000000"/>
              <w:left w:val="single" w:sz="4" w:space="0" w:color="000000"/>
              <w:bottom w:val="single" w:sz="4" w:space="0" w:color="000000"/>
              <w:right w:val="single" w:sz="4" w:space="0" w:color="000000"/>
            </w:tcBorders>
          </w:tcPr>
          <w:p w14:paraId="77A2F93F" w14:textId="77777777" w:rsidR="005F3542" w:rsidRPr="008C5BF3" w:rsidRDefault="005F3542" w:rsidP="004A3721">
            <w:pPr>
              <w:ind w:left="174"/>
              <w:rPr>
                <w:sz w:val="20"/>
                <w:szCs w:val="20"/>
              </w:rPr>
            </w:pPr>
            <w:r w:rsidRPr="008C5BF3">
              <w:rPr>
                <w:sz w:val="20"/>
                <w:szCs w:val="20"/>
              </w:rPr>
              <w:t>11.8 (7.7)</w:t>
            </w:r>
          </w:p>
        </w:tc>
        <w:tc>
          <w:tcPr>
            <w:tcW w:w="2126" w:type="dxa"/>
            <w:tcBorders>
              <w:top w:val="single" w:sz="4" w:space="0" w:color="000000"/>
              <w:left w:val="single" w:sz="4" w:space="0" w:color="000000"/>
              <w:bottom w:val="single" w:sz="4" w:space="0" w:color="000000"/>
              <w:right w:val="single" w:sz="4" w:space="0" w:color="000000"/>
            </w:tcBorders>
          </w:tcPr>
          <w:p w14:paraId="4240EFAE" w14:textId="77777777" w:rsidR="005F3542" w:rsidRPr="008C5BF3" w:rsidRDefault="005F3542" w:rsidP="004A3721">
            <w:pPr>
              <w:ind w:left="174"/>
              <w:rPr>
                <w:sz w:val="20"/>
                <w:szCs w:val="20"/>
              </w:rPr>
            </w:pPr>
            <w:r w:rsidRPr="008C5BF3">
              <w:rPr>
                <w:sz w:val="20"/>
                <w:szCs w:val="20"/>
              </w:rPr>
              <w:t>15.0 (8.7)</w:t>
            </w:r>
          </w:p>
        </w:tc>
      </w:tr>
      <w:tr w:rsidR="005F3542" w14:paraId="50CE27B1" w14:textId="77777777" w:rsidTr="006E60A3">
        <w:trPr>
          <w:trHeight w:val="282"/>
        </w:trPr>
        <w:tc>
          <w:tcPr>
            <w:tcW w:w="4143" w:type="dxa"/>
            <w:tcBorders>
              <w:top w:val="single" w:sz="4" w:space="0" w:color="000000"/>
              <w:left w:val="single" w:sz="4" w:space="0" w:color="000000"/>
              <w:bottom w:val="single" w:sz="4" w:space="0" w:color="000000"/>
              <w:right w:val="single" w:sz="4" w:space="0" w:color="000000"/>
            </w:tcBorders>
          </w:tcPr>
          <w:p w14:paraId="060901D0" w14:textId="77777777" w:rsidR="005F3542" w:rsidRPr="008C5BF3" w:rsidRDefault="005F3542" w:rsidP="004A3721">
            <w:pPr>
              <w:ind w:left="174"/>
              <w:rPr>
                <w:sz w:val="20"/>
                <w:szCs w:val="20"/>
              </w:rPr>
            </w:pPr>
            <w:r w:rsidRPr="008C5BF3">
              <w:rPr>
                <w:sz w:val="20"/>
                <w:szCs w:val="20"/>
              </w:rPr>
              <w:t>Median, months (min, max)</w:t>
            </w:r>
          </w:p>
        </w:tc>
        <w:tc>
          <w:tcPr>
            <w:tcW w:w="2268" w:type="dxa"/>
            <w:tcBorders>
              <w:top w:val="single" w:sz="4" w:space="0" w:color="000000"/>
              <w:left w:val="single" w:sz="4" w:space="0" w:color="000000"/>
              <w:bottom w:val="single" w:sz="4" w:space="0" w:color="000000"/>
              <w:right w:val="single" w:sz="4" w:space="0" w:color="000000"/>
            </w:tcBorders>
          </w:tcPr>
          <w:p w14:paraId="229735E5" w14:textId="77777777" w:rsidR="005F3542" w:rsidRPr="008C5BF3" w:rsidRDefault="005F3542" w:rsidP="004A3721">
            <w:pPr>
              <w:ind w:left="174"/>
              <w:rPr>
                <w:sz w:val="20"/>
                <w:szCs w:val="20"/>
              </w:rPr>
            </w:pPr>
            <w:r w:rsidRPr="008C5BF3">
              <w:rPr>
                <w:sz w:val="20"/>
                <w:szCs w:val="20"/>
              </w:rPr>
              <w:t>10.7 (0, 27)</w:t>
            </w:r>
          </w:p>
        </w:tc>
        <w:tc>
          <w:tcPr>
            <w:tcW w:w="2126" w:type="dxa"/>
            <w:tcBorders>
              <w:top w:val="single" w:sz="4" w:space="0" w:color="000000"/>
              <w:left w:val="single" w:sz="4" w:space="0" w:color="000000"/>
              <w:bottom w:val="single" w:sz="4" w:space="0" w:color="000000"/>
              <w:right w:val="single" w:sz="4" w:space="0" w:color="000000"/>
            </w:tcBorders>
          </w:tcPr>
          <w:p w14:paraId="1DFB67E9" w14:textId="77777777" w:rsidR="005F3542" w:rsidRPr="008C5BF3" w:rsidRDefault="005F3542" w:rsidP="004A3721">
            <w:pPr>
              <w:ind w:left="174"/>
              <w:rPr>
                <w:sz w:val="20"/>
                <w:szCs w:val="20"/>
              </w:rPr>
            </w:pPr>
            <w:r w:rsidRPr="008C5BF3">
              <w:rPr>
                <w:sz w:val="20"/>
                <w:szCs w:val="20"/>
              </w:rPr>
              <w:t>17.9 (0, 29)</w:t>
            </w:r>
          </w:p>
        </w:tc>
      </w:tr>
    </w:tbl>
    <w:p w14:paraId="0FD5872C" w14:textId="77777777" w:rsidR="005F3542" w:rsidRPr="008C5BF3" w:rsidRDefault="005F3542" w:rsidP="008C5BF3">
      <w:pPr>
        <w:pStyle w:val="Heading5"/>
      </w:pPr>
      <w:bookmarkStart w:id="103" w:name="5.1.4_Results"/>
      <w:bookmarkEnd w:id="103"/>
      <w:r w:rsidRPr="008C5BF3">
        <w:t>Results</w:t>
      </w:r>
    </w:p>
    <w:p w14:paraId="0DAF5C9C" w14:textId="77777777" w:rsidR="005F3542" w:rsidRDefault="005F3542" w:rsidP="008C5BF3">
      <w:pPr>
        <w:pStyle w:val="Heading6"/>
        <w:rPr>
          <w:u w:color="000000"/>
        </w:rPr>
      </w:pPr>
      <w:bookmarkStart w:id="104" w:name="Primary_efficacy_endpoint"/>
      <w:bookmarkEnd w:id="104"/>
      <w:r>
        <w:rPr>
          <w:u w:color="000000"/>
        </w:rPr>
        <w:t>Primary efficacy endpoint</w:t>
      </w:r>
    </w:p>
    <w:p w14:paraId="1B8073F0" w14:textId="77777777" w:rsidR="004A3721" w:rsidRPr="004A3721" w:rsidRDefault="004A3721" w:rsidP="004A3721">
      <w:r>
        <w:t>Table 7 and Figure 1</w:t>
      </w:r>
      <w:r w:rsidR="00083CF0">
        <w:t xml:space="preserve"> </w:t>
      </w:r>
      <w:r>
        <w:t>below summarise the results for the primary efficacy endpoint.</w:t>
      </w:r>
    </w:p>
    <w:p w14:paraId="29EC788F" w14:textId="77777777" w:rsidR="005F3542" w:rsidRDefault="005F3542" w:rsidP="008C5BF3">
      <w:pPr>
        <w:pStyle w:val="TableTitle"/>
      </w:pPr>
      <w:r>
        <w:lastRenderedPageBreak/>
        <w:t xml:space="preserve">Table </w:t>
      </w:r>
      <w:r w:rsidR="004A3721">
        <w:t>7</w:t>
      </w:r>
      <w:r w:rsidR="008C5BF3">
        <w:t>:</w:t>
      </w:r>
      <w:r>
        <w:t xml:space="preserve"> Primary efficacy endpoint in the intention-to-treat (ITT) population</w:t>
      </w:r>
    </w:p>
    <w:tbl>
      <w:tblPr>
        <w:tblStyle w:val="TableTGAblue"/>
        <w:tblW w:w="0" w:type="auto"/>
        <w:tblLook w:val="04A0" w:firstRow="1" w:lastRow="0" w:firstColumn="1" w:lastColumn="0" w:noHBand="0" w:noVBand="1"/>
      </w:tblPr>
      <w:tblGrid>
        <w:gridCol w:w="2906"/>
        <w:gridCol w:w="2447"/>
        <w:gridCol w:w="460"/>
        <w:gridCol w:w="2517"/>
      </w:tblGrid>
      <w:tr w:rsidR="003722AC" w14:paraId="5828C64E" w14:textId="77777777" w:rsidTr="003269CB">
        <w:trPr>
          <w:cnfStyle w:val="100000000000" w:firstRow="1" w:lastRow="0" w:firstColumn="0" w:lastColumn="0" w:oddVBand="0" w:evenVBand="0" w:oddHBand="0" w:evenHBand="0" w:firstRowFirstColumn="0" w:firstRowLastColumn="0" w:lastRowFirstColumn="0" w:lastRowLastColumn="0"/>
        </w:trPr>
        <w:tc>
          <w:tcPr>
            <w:tcW w:w="2906" w:type="dxa"/>
          </w:tcPr>
          <w:p w14:paraId="6FD9CC87" w14:textId="77777777" w:rsidR="003722AC" w:rsidRDefault="003722AC" w:rsidP="00407466"/>
        </w:tc>
        <w:tc>
          <w:tcPr>
            <w:tcW w:w="2907" w:type="dxa"/>
            <w:gridSpan w:val="2"/>
          </w:tcPr>
          <w:p w14:paraId="11885B4B" w14:textId="77777777" w:rsidR="003722AC" w:rsidRPr="003722AC" w:rsidRDefault="003722AC" w:rsidP="00407466">
            <w:pPr>
              <w:rPr>
                <w:bCs/>
                <w:sz w:val="20"/>
                <w:szCs w:val="20"/>
              </w:rPr>
            </w:pPr>
            <w:proofErr w:type="spellStart"/>
            <w:r w:rsidRPr="003722AC">
              <w:rPr>
                <w:bCs/>
                <w:sz w:val="20"/>
                <w:szCs w:val="20"/>
              </w:rPr>
              <w:t>Crizotinib</w:t>
            </w:r>
            <w:proofErr w:type="spellEnd"/>
            <w:r w:rsidRPr="003722AC">
              <w:rPr>
                <w:bCs/>
                <w:sz w:val="20"/>
                <w:szCs w:val="20"/>
              </w:rPr>
              <w:t xml:space="preserve"> N=151</w:t>
            </w:r>
          </w:p>
        </w:tc>
        <w:tc>
          <w:tcPr>
            <w:tcW w:w="2517" w:type="dxa"/>
          </w:tcPr>
          <w:p w14:paraId="372316A7" w14:textId="77777777" w:rsidR="003722AC" w:rsidRPr="003722AC" w:rsidRDefault="003722AC" w:rsidP="00407466">
            <w:pPr>
              <w:rPr>
                <w:bCs/>
                <w:sz w:val="20"/>
                <w:szCs w:val="20"/>
              </w:rPr>
            </w:pPr>
            <w:proofErr w:type="spellStart"/>
            <w:r w:rsidRPr="003722AC">
              <w:rPr>
                <w:bCs/>
                <w:sz w:val="20"/>
                <w:szCs w:val="20"/>
              </w:rPr>
              <w:t>Alectinib</w:t>
            </w:r>
            <w:proofErr w:type="spellEnd"/>
            <w:r w:rsidRPr="003722AC">
              <w:rPr>
                <w:bCs/>
                <w:sz w:val="20"/>
                <w:szCs w:val="20"/>
              </w:rPr>
              <w:t xml:space="preserve"> N=152</w:t>
            </w:r>
          </w:p>
        </w:tc>
      </w:tr>
      <w:tr w:rsidR="003722AC" w14:paraId="2457A043" w14:textId="77777777" w:rsidTr="003269CB">
        <w:tc>
          <w:tcPr>
            <w:tcW w:w="8330" w:type="dxa"/>
            <w:gridSpan w:val="4"/>
          </w:tcPr>
          <w:p w14:paraId="2F4C7CAC" w14:textId="77777777" w:rsidR="003722AC" w:rsidRPr="00407466" w:rsidRDefault="003722AC" w:rsidP="00407466">
            <w:pPr>
              <w:rPr>
                <w:b/>
              </w:rPr>
            </w:pPr>
            <w:r w:rsidRPr="00407466">
              <w:rPr>
                <w:b/>
                <w:bCs/>
                <w:sz w:val="20"/>
                <w:szCs w:val="20"/>
              </w:rPr>
              <w:t>PFS [investigator assessed]</w:t>
            </w:r>
          </w:p>
        </w:tc>
      </w:tr>
      <w:tr w:rsidR="003722AC" w14:paraId="62F5F120" w14:textId="77777777" w:rsidTr="003269CB">
        <w:tc>
          <w:tcPr>
            <w:tcW w:w="2906" w:type="dxa"/>
          </w:tcPr>
          <w:p w14:paraId="50ABF2A5" w14:textId="77777777" w:rsidR="003722AC" w:rsidRPr="008C5BF3" w:rsidRDefault="003722AC" w:rsidP="00407466">
            <w:pPr>
              <w:rPr>
                <w:sz w:val="20"/>
                <w:szCs w:val="20"/>
              </w:rPr>
            </w:pPr>
            <w:r w:rsidRPr="008C5BF3">
              <w:rPr>
                <w:sz w:val="20"/>
                <w:szCs w:val="20"/>
              </w:rPr>
              <w:t>Patients with PFS event (%)</w:t>
            </w:r>
          </w:p>
        </w:tc>
        <w:tc>
          <w:tcPr>
            <w:tcW w:w="2447" w:type="dxa"/>
          </w:tcPr>
          <w:p w14:paraId="6F8888A4" w14:textId="77777777" w:rsidR="003722AC" w:rsidRPr="008C5BF3" w:rsidRDefault="003722AC" w:rsidP="00407466">
            <w:pPr>
              <w:rPr>
                <w:sz w:val="20"/>
                <w:szCs w:val="20"/>
              </w:rPr>
            </w:pPr>
            <w:r w:rsidRPr="008C5BF3">
              <w:rPr>
                <w:sz w:val="20"/>
                <w:szCs w:val="20"/>
              </w:rPr>
              <w:t>102 (67.5)</w:t>
            </w:r>
          </w:p>
        </w:tc>
        <w:tc>
          <w:tcPr>
            <w:tcW w:w="2977" w:type="dxa"/>
            <w:gridSpan w:val="2"/>
          </w:tcPr>
          <w:p w14:paraId="63EF0093" w14:textId="77777777" w:rsidR="003722AC" w:rsidRPr="008C5BF3" w:rsidRDefault="003722AC" w:rsidP="00407466">
            <w:pPr>
              <w:rPr>
                <w:sz w:val="20"/>
                <w:szCs w:val="20"/>
              </w:rPr>
            </w:pPr>
            <w:r w:rsidRPr="008C5BF3">
              <w:rPr>
                <w:sz w:val="20"/>
                <w:szCs w:val="20"/>
              </w:rPr>
              <w:t>62 (40.8)</w:t>
            </w:r>
          </w:p>
        </w:tc>
      </w:tr>
      <w:tr w:rsidR="003722AC" w14:paraId="6CA37E8A" w14:textId="77777777" w:rsidTr="003269CB">
        <w:tc>
          <w:tcPr>
            <w:tcW w:w="2906" w:type="dxa"/>
          </w:tcPr>
          <w:p w14:paraId="10303DC8" w14:textId="77777777" w:rsidR="003722AC" w:rsidRPr="008C5BF3" w:rsidRDefault="003722AC" w:rsidP="00407466">
            <w:pPr>
              <w:rPr>
                <w:sz w:val="20"/>
                <w:szCs w:val="20"/>
              </w:rPr>
            </w:pPr>
            <w:r w:rsidRPr="008C5BF3">
              <w:rPr>
                <w:sz w:val="20"/>
                <w:szCs w:val="20"/>
              </w:rPr>
              <w:t>Median PFS, months [95% CI]</w:t>
            </w:r>
          </w:p>
        </w:tc>
        <w:tc>
          <w:tcPr>
            <w:tcW w:w="2447" w:type="dxa"/>
          </w:tcPr>
          <w:p w14:paraId="25BEDD60" w14:textId="77777777" w:rsidR="003722AC" w:rsidRPr="008C5BF3" w:rsidRDefault="003722AC" w:rsidP="00407466">
            <w:pPr>
              <w:rPr>
                <w:sz w:val="20"/>
                <w:szCs w:val="20"/>
              </w:rPr>
            </w:pPr>
            <w:r w:rsidRPr="008C5BF3">
              <w:rPr>
                <w:sz w:val="20"/>
                <w:szCs w:val="20"/>
              </w:rPr>
              <w:t>11.1 [9.1-13.1]</w:t>
            </w:r>
          </w:p>
        </w:tc>
        <w:tc>
          <w:tcPr>
            <w:tcW w:w="2977" w:type="dxa"/>
            <w:gridSpan w:val="2"/>
          </w:tcPr>
          <w:p w14:paraId="263F7CCD" w14:textId="77777777" w:rsidR="003722AC" w:rsidRPr="008C5BF3" w:rsidRDefault="003722AC" w:rsidP="00407466">
            <w:pPr>
              <w:rPr>
                <w:sz w:val="20"/>
                <w:szCs w:val="20"/>
              </w:rPr>
            </w:pPr>
            <w:r w:rsidRPr="008C5BF3">
              <w:rPr>
                <w:sz w:val="20"/>
                <w:szCs w:val="20"/>
              </w:rPr>
              <w:t>NE [17.7, NE]</w:t>
            </w:r>
          </w:p>
        </w:tc>
      </w:tr>
      <w:tr w:rsidR="003722AC" w14:paraId="0E9EBCEF" w14:textId="77777777" w:rsidTr="003269CB">
        <w:tc>
          <w:tcPr>
            <w:tcW w:w="2906" w:type="dxa"/>
          </w:tcPr>
          <w:p w14:paraId="573A6B91" w14:textId="77777777" w:rsidR="003722AC" w:rsidRPr="003722AC" w:rsidRDefault="003722AC" w:rsidP="00407466">
            <w:r w:rsidRPr="003722AC">
              <w:rPr>
                <w:sz w:val="20"/>
                <w:szCs w:val="20"/>
              </w:rPr>
              <w:t>HR [95%CI] (p value*)</w:t>
            </w:r>
          </w:p>
        </w:tc>
        <w:tc>
          <w:tcPr>
            <w:tcW w:w="5424" w:type="dxa"/>
            <w:gridSpan w:val="3"/>
          </w:tcPr>
          <w:p w14:paraId="773D8831" w14:textId="77777777" w:rsidR="003722AC" w:rsidRPr="003722AC" w:rsidRDefault="003722AC" w:rsidP="00407466">
            <w:r w:rsidRPr="003722AC">
              <w:rPr>
                <w:sz w:val="20"/>
                <w:szCs w:val="20"/>
              </w:rPr>
              <w:t>0.47 [0.34, 0.65] (&lt;0.0001*)</w:t>
            </w:r>
          </w:p>
        </w:tc>
      </w:tr>
    </w:tbl>
    <w:p w14:paraId="7AC2DD7C" w14:textId="77777777" w:rsidR="005F3542" w:rsidRDefault="005F3542" w:rsidP="003722AC">
      <w:pPr>
        <w:pStyle w:val="TableDescription"/>
      </w:pPr>
      <w:r>
        <w:t>CI = confidence interval; HR = hazard ratio; NE = not estimable</w:t>
      </w:r>
    </w:p>
    <w:p w14:paraId="20B7D4E3" w14:textId="45B39BD0" w:rsidR="005F3542" w:rsidRDefault="005F3542" w:rsidP="008C5BF3">
      <w:pPr>
        <w:pStyle w:val="TableDescription"/>
      </w:pPr>
      <w:r>
        <w:t xml:space="preserve">* </w:t>
      </w:r>
      <w:r w:rsidR="003F09AB">
        <w:t>By</w:t>
      </w:r>
      <w:r>
        <w:t xml:space="preserve"> stratified log-rank test</w:t>
      </w:r>
    </w:p>
    <w:p w14:paraId="476EBF3D" w14:textId="77777777" w:rsidR="005F3542" w:rsidRDefault="005F3542" w:rsidP="008C5BF3">
      <w:pPr>
        <w:pStyle w:val="TableDescription"/>
      </w:pPr>
      <w:r>
        <w:t>Strata = race (Asian vs non-Asian) and CNS metastases at baseline by IRC</w:t>
      </w:r>
    </w:p>
    <w:p w14:paraId="7EAB5887" w14:textId="77777777" w:rsidR="005F3542" w:rsidRDefault="005F3542" w:rsidP="008C5BF3">
      <w:pPr>
        <w:pStyle w:val="FigureTitle"/>
      </w:pPr>
      <w:r>
        <w:t xml:space="preserve">Figure </w:t>
      </w:r>
      <w:r w:rsidR="00A35396">
        <w:t>1</w:t>
      </w:r>
      <w:r w:rsidR="008C5BF3">
        <w:t>:</w:t>
      </w:r>
      <w:r>
        <w:t xml:space="preserve"> Kaplan-Meier curve for the primary efficacy endpoint in the ITT population</w:t>
      </w:r>
    </w:p>
    <w:p w14:paraId="0E703D4A" w14:textId="77777777" w:rsidR="004A3721" w:rsidRDefault="004A3721" w:rsidP="00407466">
      <w:r>
        <w:rPr>
          <w:noProof/>
          <w:lang w:eastAsia="en-AU"/>
        </w:rPr>
        <w:drawing>
          <wp:inline distT="0" distB="0" distL="0" distR="0" wp14:anchorId="2314BC0A" wp14:editId="6D7E9B81">
            <wp:extent cx="4478694" cy="2612572"/>
            <wp:effectExtent l="0" t="0" r="0" b="0"/>
            <wp:docPr id="1" name="Picture 1" descr="Figure 1: Kaplan-Meier curve for the primary efficacy endpoint in th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485736" cy="2616680"/>
                    </a:xfrm>
                    <a:prstGeom prst="rect">
                      <a:avLst/>
                    </a:prstGeom>
                  </pic:spPr>
                </pic:pic>
              </a:graphicData>
            </a:graphic>
          </wp:inline>
        </w:drawing>
      </w:r>
    </w:p>
    <w:p w14:paraId="02EBF84F" w14:textId="77777777" w:rsidR="005F3542" w:rsidRDefault="005F3542" w:rsidP="008C5BF3">
      <w:pPr>
        <w:pStyle w:val="Heading6"/>
        <w:rPr>
          <w:u w:color="000000"/>
        </w:rPr>
      </w:pPr>
      <w:bookmarkStart w:id="105" w:name="Secondary_efficacy_endpoints"/>
      <w:bookmarkEnd w:id="105"/>
      <w:r>
        <w:rPr>
          <w:u w:color="000000"/>
        </w:rPr>
        <w:t>Secondary efficacy endpoints</w:t>
      </w:r>
    </w:p>
    <w:p w14:paraId="31A1998F" w14:textId="77777777" w:rsidR="006E60A3" w:rsidRPr="006E60A3" w:rsidRDefault="006E60A3" w:rsidP="006E60A3">
      <w:r>
        <w:t>Table 8 below summarises the results for the secondary efficacy endpoints.</w:t>
      </w:r>
    </w:p>
    <w:p w14:paraId="1F8CD8E6" w14:textId="77777777" w:rsidR="005F3542" w:rsidRDefault="005F3542" w:rsidP="008C5BF3">
      <w:pPr>
        <w:pStyle w:val="TableTitle"/>
      </w:pPr>
      <w:r>
        <w:t xml:space="preserve">Table </w:t>
      </w:r>
      <w:r w:rsidR="006E60A3">
        <w:t>8</w:t>
      </w:r>
      <w:r w:rsidR="008C5BF3">
        <w:t>:</w:t>
      </w:r>
      <w:r>
        <w:t xml:space="preserve"> Secondary efficacy endpoints in the ITT population</w:t>
      </w:r>
    </w:p>
    <w:tbl>
      <w:tblPr>
        <w:tblW w:w="8537" w:type="dxa"/>
        <w:tblInd w:w="115" w:type="dxa"/>
        <w:tblLayout w:type="fixed"/>
        <w:tblCellMar>
          <w:left w:w="0" w:type="dxa"/>
          <w:right w:w="0" w:type="dxa"/>
        </w:tblCellMar>
        <w:tblLook w:val="0000" w:firstRow="0" w:lastRow="0" w:firstColumn="0" w:lastColumn="0" w:noHBand="0" w:noVBand="0"/>
      </w:tblPr>
      <w:tblGrid>
        <w:gridCol w:w="4285"/>
        <w:gridCol w:w="1984"/>
        <w:gridCol w:w="2268"/>
      </w:tblGrid>
      <w:tr w:rsidR="005F3542" w:rsidRPr="008C5BF3" w14:paraId="1E516329" w14:textId="77777777" w:rsidTr="00407466">
        <w:trPr>
          <w:cantSplit/>
          <w:trHeight w:val="493"/>
          <w:tblHeader/>
        </w:trPr>
        <w:tc>
          <w:tcPr>
            <w:tcW w:w="4285" w:type="dxa"/>
            <w:tcBorders>
              <w:top w:val="single" w:sz="4" w:space="0" w:color="000000"/>
              <w:left w:val="single" w:sz="4" w:space="0" w:color="000000"/>
              <w:bottom w:val="single" w:sz="4" w:space="0" w:color="000000"/>
              <w:right w:val="single" w:sz="4" w:space="0" w:color="000000"/>
            </w:tcBorders>
            <w:shd w:val="clear" w:color="auto" w:fill="0070C0"/>
          </w:tcPr>
          <w:p w14:paraId="7969A0C8" w14:textId="77777777" w:rsidR="005F3542" w:rsidRPr="008C5BF3" w:rsidRDefault="005F3542" w:rsidP="00407466">
            <w:pPr>
              <w:ind w:left="174"/>
            </w:pPr>
          </w:p>
        </w:tc>
        <w:tc>
          <w:tcPr>
            <w:tcW w:w="1984" w:type="dxa"/>
            <w:tcBorders>
              <w:top w:val="single" w:sz="4" w:space="0" w:color="000000"/>
              <w:left w:val="single" w:sz="4" w:space="0" w:color="000000"/>
              <w:bottom w:val="single" w:sz="4" w:space="0" w:color="000000"/>
              <w:right w:val="single" w:sz="4" w:space="0" w:color="000000"/>
            </w:tcBorders>
            <w:shd w:val="clear" w:color="auto" w:fill="0070C0"/>
          </w:tcPr>
          <w:p w14:paraId="6449FF75" w14:textId="77777777" w:rsidR="005F3542" w:rsidRPr="008C5BF3" w:rsidRDefault="005F3542" w:rsidP="00407466">
            <w:pPr>
              <w:ind w:left="141"/>
              <w:rPr>
                <w:b/>
                <w:bCs/>
                <w:color w:val="FFFFFF" w:themeColor="background1"/>
              </w:rPr>
            </w:pPr>
            <w:proofErr w:type="spellStart"/>
            <w:r w:rsidRPr="008C5BF3">
              <w:rPr>
                <w:b/>
                <w:bCs/>
                <w:color w:val="FFFFFF" w:themeColor="background1"/>
              </w:rPr>
              <w:t>Crizotinib</w:t>
            </w:r>
            <w:proofErr w:type="spellEnd"/>
            <w:r w:rsidR="004232F7">
              <w:rPr>
                <w:b/>
                <w:bCs/>
                <w:color w:val="FFFFFF" w:themeColor="background1"/>
              </w:rPr>
              <w:t xml:space="preserve"> </w:t>
            </w:r>
            <w:r w:rsidR="006E60A3">
              <w:rPr>
                <w:b/>
                <w:bCs/>
                <w:color w:val="FFFFFF" w:themeColor="background1"/>
              </w:rPr>
              <w:t xml:space="preserve"> </w:t>
            </w:r>
            <w:r w:rsidRPr="008C5BF3">
              <w:rPr>
                <w:b/>
                <w:bCs/>
                <w:color w:val="FFFFFF" w:themeColor="background1"/>
              </w:rPr>
              <w:t>N=151</w:t>
            </w:r>
          </w:p>
        </w:tc>
        <w:tc>
          <w:tcPr>
            <w:tcW w:w="2268" w:type="dxa"/>
            <w:tcBorders>
              <w:top w:val="single" w:sz="4" w:space="0" w:color="000000"/>
              <w:left w:val="single" w:sz="4" w:space="0" w:color="000000"/>
              <w:bottom w:val="single" w:sz="4" w:space="0" w:color="000000"/>
              <w:right w:val="single" w:sz="4" w:space="0" w:color="000000"/>
            </w:tcBorders>
            <w:shd w:val="clear" w:color="auto" w:fill="0070C0"/>
          </w:tcPr>
          <w:p w14:paraId="194244AD" w14:textId="13F3E852" w:rsidR="005F3542" w:rsidRPr="008C5BF3" w:rsidRDefault="005F3542" w:rsidP="00407466">
            <w:pPr>
              <w:rPr>
                <w:b/>
                <w:bCs/>
                <w:color w:val="FFFFFF" w:themeColor="background1"/>
              </w:rPr>
            </w:pPr>
            <w:proofErr w:type="spellStart"/>
            <w:r w:rsidRPr="008C5BF3">
              <w:rPr>
                <w:b/>
                <w:bCs/>
                <w:color w:val="FFFFFF" w:themeColor="background1"/>
              </w:rPr>
              <w:t>Alectinib</w:t>
            </w:r>
            <w:proofErr w:type="spellEnd"/>
            <w:r w:rsidR="00407466">
              <w:rPr>
                <w:b/>
                <w:bCs/>
                <w:color w:val="FFFFFF" w:themeColor="background1"/>
              </w:rPr>
              <w:t xml:space="preserve"> </w:t>
            </w:r>
            <w:r w:rsidRPr="008C5BF3">
              <w:rPr>
                <w:b/>
                <w:bCs/>
                <w:color w:val="FFFFFF" w:themeColor="background1"/>
              </w:rPr>
              <w:t>N=152</w:t>
            </w:r>
          </w:p>
        </w:tc>
      </w:tr>
      <w:tr w:rsidR="005F3542" w:rsidRPr="008C5BF3" w14:paraId="0253EF66" w14:textId="77777777" w:rsidTr="00407466">
        <w:trPr>
          <w:trHeight w:val="422"/>
        </w:trPr>
        <w:tc>
          <w:tcPr>
            <w:tcW w:w="8537" w:type="dxa"/>
            <w:gridSpan w:val="3"/>
            <w:tcBorders>
              <w:top w:val="single" w:sz="4" w:space="0" w:color="000000"/>
              <w:left w:val="single" w:sz="4" w:space="0" w:color="000000"/>
              <w:bottom w:val="single" w:sz="4" w:space="0" w:color="000000"/>
              <w:right w:val="single" w:sz="4" w:space="0" w:color="000000"/>
            </w:tcBorders>
          </w:tcPr>
          <w:p w14:paraId="3355EC38" w14:textId="77777777" w:rsidR="005F3542" w:rsidRPr="008C5BF3" w:rsidRDefault="005F3542" w:rsidP="00407466">
            <w:pPr>
              <w:ind w:left="141"/>
              <w:rPr>
                <w:b/>
                <w:bCs/>
              </w:rPr>
            </w:pPr>
            <w:r w:rsidRPr="008C5BF3">
              <w:rPr>
                <w:b/>
                <w:bCs/>
              </w:rPr>
              <w:t>PFS [IRC assessed]</w:t>
            </w:r>
          </w:p>
        </w:tc>
      </w:tr>
      <w:tr w:rsidR="005F3542" w:rsidRPr="008C5BF3" w14:paraId="5EE5CB3B"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6913C15E" w14:textId="77777777" w:rsidR="005F3542" w:rsidRPr="008C5BF3" w:rsidRDefault="005F3542" w:rsidP="00407466">
            <w:pPr>
              <w:ind w:left="174"/>
            </w:pPr>
            <w:r w:rsidRPr="008C5BF3">
              <w:t>Patients with PFS event (%)</w:t>
            </w:r>
          </w:p>
        </w:tc>
        <w:tc>
          <w:tcPr>
            <w:tcW w:w="1984" w:type="dxa"/>
            <w:tcBorders>
              <w:top w:val="single" w:sz="4" w:space="0" w:color="000000"/>
              <w:left w:val="single" w:sz="4" w:space="0" w:color="000000"/>
              <w:bottom w:val="single" w:sz="4" w:space="0" w:color="000000"/>
              <w:right w:val="single" w:sz="4" w:space="0" w:color="000000"/>
            </w:tcBorders>
          </w:tcPr>
          <w:p w14:paraId="35EE1E86" w14:textId="77777777" w:rsidR="005F3542" w:rsidRPr="008C5BF3" w:rsidRDefault="005F3542" w:rsidP="00407466">
            <w:pPr>
              <w:ind w:left="141"/>
            </w:pPr>
            <w:r w:rsidRPr="008C5BF3">
              <w:t>92 (60.9)</w:t>
            </w:r>
          </w:p>
        </w:tc>
        <w:tc>
          <w:tcPr>
            <w:tcW w:w="2268" w:type="dxa"/>
            <w:tcBorders>
              <w:top w:val="single" w:sz="4" w:space="0" w:color="000000"/>
              <w:left w:val="single" w:sz="4" w:space="0" w:color="000000"/>
              <w:bottom w:val="single" w:sz="4" w:space="0" w:color="000000"/>
              <w:right w:val="single" w:sz="4" w:space="0" w:color="000000"/>
            </w:tcBorders>
          </w:tcPr>
          <w:p w14:paraId="0B15D054" w14:textId="77777777" w:rsidR="005F3542" w:rsidRPr="008C5BF3" w:rsidRDefault="005F3542" w:rsidP="00407466">
            <w:r w:rsidRPr="008C5BF3">
              <w:t>63 (41.4)</w:t>
            </w:r>
          </w:p>
        </w:tc>
      </w:tr>
      <w:tr w:rsidR="005F3542" w:rsidRPr="008C5BF3" w14:paraId="09AABD60"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30B2706C" w14:textId="77777777" w:rsidR="005F3542" w:rsidRPr="008C5BF3" w:rsidRDefault="005F3542" w:rsidP="00407466">
            <w:pPr>
              <w:ind w:left="174"/>
            </w:pPr>
            <w:r w:rsidRPr="008C5BF3">
              <w:t>Median PFS/time to event, months [95% CI]</w:t>
            </w:r>
          </w:p>
        </w:tc>
        <w:tc>
          <w:tcPr>
            <w:tcW w:w="1984" w:type="dxa"/>
            <w:tcBorders>
              <w:top w:val="single" w:sz="4" w:space="0" w:color="000000"/>
              <w:left w:val="single" w:sz="4" w:space="0" w:color="000000"/>
              <w:bottom w:val="single" w:sz="4" w:space="0" w:color="000000"/>
              <w:right w:val="single" w:sz="4" w:space="0" w:color="000000"/>
            </w:tcBorders>
          </w:tcPr>
          <w:p w14:paraId="488FBED8" w14:textId="77777777" w:rsidR="005F3542" w:rsidRPr="008C5BF3" w:rsidRDefault="005F3542" w:rsidP="00407466">
            <w:pPr>
              <w:ind w:left="141"/>
            </w:pPr>
            <w:r w:rsidRPr="008C5BF3">
              <w:t>10.4 [7.7, 14.6]</w:t>
            </w:r>
          </w:p>
        </w:tc>
        <w:tc>
          <w:tcPr>
            <w:tcW w:w="2268" w:type="dxa"/>
            <w:tcBorders>
              <w:top w:val="single" w:sz="4" w:space="0" w:color="000000"/>
              <w:left w:val="single" w:sz="4" w:space="0" w:color="000000"/>
              <w:bottom w:val="single" w:sz="4" w:space="0" w:color="000000"/>
              <w:right w:val="single" w:sz="4" w:space="0" w:color="000000"/>
            </w:tcBorders>
          </w:tcPr>
          <w:p w14:paraId="4D99359E" w14:textId="77777777" w:rsidR="005F3542" w:rsidRPr="008C5BF3" w:rsidRDefault="005F3542" w:rsidP="00407466">
            <w:r w:rsidRPr="008C5BF3">
              <w:t>25.7 [19.9, NE]</w:t>
            </w:r>
          </w:p>
        </w:tc>
      </w:tr>
      <w:tr w:rsidR="005F3542" w:rsidRPr="008C5BF3" w14:paraId="7B005F63"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762FD095" w14:textId="77777777" w:rsidR="005F3542" w:rsidRPr="008C5BF3" w:rsidRDefault="005F3542" w:rsidP="00407466">
            <w:pPr>
              <w:ind w:left="174"/>
            </w:pPr>
            <w:r w:rsidRPr="008C5BF3">
              <w:t>HR [95%CI]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2361D3A0" w14:textId="77777777" w:rsidR="005F3542" w:rsidRPr="008C5BF3" w:rsidRDefault="005F3542" w:rsidP="00407466">
            <w:pPr>
              <w:ind w:left="141"/>
            </w:pPr>
            <w:r w:rsidRPr="008C5BF3">
              <w:t>0.50 [0.36, 0.70] (p&lt;0.0001)*</w:t>
            </w:r>
          </w:p>
        </w:tc>
      </w:tr>
      <w:tr w:rsidR="005F3542" w:rsidRPr="008C5BF3" w14:paraId="500E3C31" w14:textId="77777777" w:rsidTr="00407466">
        <w:trPr>
          <w:trHeight w:val="417"/>
        </w:trPr>
        <w:tc>
          <w:tcPr>
            <w:tcW w:w="8537" w:type="dxa"/>
            <w:gridSpan w:val="3"/>
            <w:tcBorders>
              <w:top w:val="single" w:sz="4" w:space="0" w:color="000000"/>
              <w:left w:val="single" w:sz="4" w:space="0" w:color="000000"/>
              <w:bottom w:val="single" w:sz="4" w:space="0" w:color="000000"/>
              <w:right w:val="single" w:sz="4" w:space="0" w:color="000000"/>
            </w:tcBorders>
          </w:tcPr>
          <w:p w14:paraId="585856FE" w14:textId="77777777" w:rsidR="005F3542" w:rsidRPr="008C5BF3" w:rsidRDefault="005F3542" w:rsidP="00407466">
            <w:pPr>
              <w:ind w:left="141"/>
              <w:rPr>
                <w:b/>
                <w:bCs/>
              </w:rPr>
            </w:pPr>
            <w:r w:rsidRPr="008C5BF3">
              <w:rPr>
                <w:b/>
                <w:bCs/>
              </w:rPr>
              <w:t>Time to CNS progression [IRC assessed, by RECIST v1.1]</w:t>
            </w:r>
          </w:p>
        </w:tc>
      </w:tr>
      <w:tr w:rsidR="005F3542" w:rsidRPr="008C5BF3" w14:paraId="68883043"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4D280F8C" w14:textId="77777777" w:rsidR="005F3542" w:rsidRPr="008C5BF3" w:rsidRDefault="005F3542" w:rsidP="00407466">
            <w:pPr>
              <w:ind w:left="174"/>
            </w:pPr>
            <w:r w:rsidRPr="008C5BF3">
              <w:t xml:space="preserve">Patients with CNS progression, without </w:t>
            </w:r>
            <w:r w:rsidRPr="008C5BF3">
              <w:lastRenderedPageBreak/>
              <w:t>prior non-CNS progression (%)</w:t>
            </w:r>
          </w:p>
        </w:tc>
        <w:tc>
          <w:tcPr>
            <w:tcW w:w="1984" w:type="dxa"/>
            <w:tcBorders>
              <w:top w:val="single" w:sz="4" w:space="0" w:color="000000"/>
              <w:left w:val="single" w:sz="4" w:space="0" w:color="000000"/>
              <w:bottom w:val="single" w:sz="4" w:space="0" w:color="000000"/>
              <w:right w:val="single" w:sz="4" w:space="0" w:color="000000"/>
            </w:tcBorders>
          </w:tcPr>
          <w:p w14:paraId="14E94F58" w14:textId="77777777" w:rsidR="005F3542" w:rsidRPr="008C5BF3" w:rsidRDefault="005F3542" w:rsidP="00407466">
            <w:pPr>
              <w:ind w:left="141"/>
            </w:pPr>
            <w:r w:rsidRPr="008C5BF3">
              <w:lastRenderedPageBreak/>
              <w:t>68 (45.0)</w:t>
            </w:r>
          </w:p>
        </w:tc>
        <w:tc>
          <w:tcPr>
            <w:tcW w:w="2268" w:type="dxa"/>
            <w:tcBorders>
              <w:top w:val="single" w:sz="4" w:space="0" w:color="000000"/>
              <w:left w:val="single" w:sz="4" w:space="0" w:color="000000"/>
              <w:bottom w:val="single" w:sz="4" w:space="0" w:color="000000"/>
              <w:right w:val="single" w:sz="4" w:space="0" w:color="000000"/>
            </w:tcBorders>
          </w:tcPr>
          <w:p w14:paraId="5595A282" w14:textId="77777777" w:rsidR="005F3542" w:rsidRPr="008C5BF3" w:rsidRDefault="005F3542" w:rsidP="00407466">
            <w:r w:rsidRPr="008C5BF3">
              <w:t>18 (11.8)</w:t>
            </w:r>
          </w:p>
        </w:tc>
      </w:tr>
      <w:tr w:rsidR="005F3542" w:rsidRPr="008C5BF3" w14:paraId="1163722E"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4BB06EC7" w14:textId="77777777" w:rsidR="005F3542" w:rsidRPr="008C5BF3" w:rsidRDefault="005F3542" w:rsidP="00407466">
            <w:pPr>
              <w:ind w:left="174"/>
            </w:pPr>
            <w:r w:rsidRPr="008C5BF3">
              <w:lastRenderedPageBreak/>
              <w:t>HR [95%CI]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4A96AC79" w14:textId="77777777" w:rsidR="005F3542" w:rsidRPr="008C5BF3" w:rsidRDefault="005F3542" w:rsidP="00407466">
            <w:pPr>
              <w:ind w:left="141"/>
            </w:pPr>
            <w:r w:rsidRPr="008C5BF3">
              <w:t>0.16 (0.10, 0.28) (p&lt;0.0001)**</w:t>
            </w:r>
          </w:p>
        </w:tc>
      </w:tr>
      <w:tr w:rsidR="005F3542" w:rsidRPr="008C5BF3" w14:paraId="7AF2323E" w14:textId="77777777" w:rsidTr="00407466">
        <w:trPr>
          <w:trHeight w:val="417"/>
        </w:trPr>
        <w:tc>
          <w:tcPr>
            <w:tcW w:w="8537" w:type="dxa"/>
            <w:gridSpan w:val="3"/>
            <w:tcBorders>
              <w:top w:val="single" w:sz="4" w:space="0" w:color="000000"/>
              <w:left w:val="single" w:sz="4" w:space="0" w:color="000000"/>
              <w:bottom w:val="single" w:sz="4" w:space="0" w:color="000000"/>
              <w:right w:val="single" w:sz="4" w:space="0" w:color="000000"/>
            </w:tcBorders>
          </w:tcPr>
          <w:p w14:paraId="2F20087B" w14:textId="77777777" w:rsidR="005F3542" w:rsidRPr="008C5BF3" w:rsidRDefault="005F3542" w:rsidP="00407466">
            <w:pPr>
              <w:ind w:left="141"/>
              <w:rPr>
                <w:b/>
                <w:bCs/>
              </w:rPr>
            </w:pPr>
            <w:r w:rsidRPr="008C5BF3">
              <w:rPr>
                <w:b/>
                <w:bCs/>
              </w:rPr>
              <w:t>ORR [investigator assessed]</w:t>
            </w:r>
          </w:p>
        </w:tc>
      </w:tr>
      <w:tr w:rsidR="005F3542" w:rsidRPr="008C5BF3" w14:paraId="5C0D9979"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387E7361" w14:textId="77777777" w:rsidR="005F3542" w:rsidRPr="008C5BF3" w:rsidRDefault="005F3542" w:rsidP="00407466">
            <w:pPr>
              <w:ind w:left="174"/>
            </w:pPr>
            <w:r w:rsidRPr="008C5BF3">
              <w:t>Responders (ORR , %) per investigator</w:t>
            </w:r>
          </w:p>
        </w:tc>
        <w:tc>
          <w:tcPr>
            <w:tcW w:w="1984" w:type="dxa"/>
            <w:tcBorders>
              <w:top w:val="single" w:sz="4" w:space="0" w:color="000000"/>
              <w:left w:val="single" w:sz="4" w:space="0" w:color="000000"/>
              <w:bottom w:val="single" w:sz="4" w:space="0" w:color="000000"/>
              <w:right w:val="single" w:sz="4" w:space="0" w:color="000000"/>
            </w:tcBorders>
          </w:tcPr>
          <w:p w14:paraId="661D17A5" w14:textId="77777777" w:rsidR="005F3542" w:rsidRPr="008C5BF3" w:rsidRDefault="005F3542" w:rsidP="00407466">
            <w:pPr>
              <w:ind w:left="141"/>
            </w:pPr>
            <w:r w:rsidRPr="008C5BF3">
              <w:t>114 (75.5)</w:t>
            </w:r>
          </w:p>
        </w:tc>
        <w:tc>
          <w:tcPr>
            <w:tcW w:w="2268" w:type="dxa"/>
            <w:tcBorders>
              <w:top w:val="single" w:sz="4" w:space="0" w:color="000000"/>
              <w:left w:val="single" w:sz="4" w:space="0" w:color="000000"/>
              <w:bottom w:val="single" w:sz="4" w:space="0" w:color="000000"/>
              <w:right w:val="single" w:sz="4" w:space="0" w:color="000000"/>
            </w:tcBorders>
          </w:tcPr>
          <w:p w14:paraId="0520F2C1" w14:textId="77777777" w:rsidR="005F3542" w:rsidRPr="008C5BF3" w:rsidRDefault="005F3542" w:rsidP="00407466">
            <w:r w:rsidRPr="008C5BF3">
              <w:t>126 (82.9)</w:t>
            </w:r>
          </w:p>
        </w:tc>
      </w:tr>
      <w:tr w:rsidR="005F3542" w:rsidRPr="008C5BF3" w14:paraId="6C964E89"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10C59C1D" w14:textId="77777777" w:rsidR="005F3542" w:rsidRPr="008C5BF3" w:rsidRDefault="005F3542" w:rsidP="00407466">
            <w:pPr>
              <w:ind w:left="174"/>
            </w:pPr>
            <w:r w:rsidRPr="008C5BF3">
              <w:t>Difference [95% 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0802C042" w14:textId="77777777" w:rsidR="005F3542" w:rsidRPr="008C5BF3" w:rsidRDefault="005F3542" w:rsidP="00407466">
            <w:pPr>
              <w:ind w:left="141"/>
            </w:pPr>
            <w:r w:rsidRPr="008C5BF3">
              <w:t>7.40 [-1.71, 16.50] (0.0936)***</w:t>
            </w:r>
          </w:p>
        </w:tc>
      </w:tr>
      <w:tr w:rsidR="005F3542" w:rsidRPr="008C5BF3" w14:paraId="2643AD62"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5D4FBE33" w14:textId="77777777" w:rsidR="005F3542" w:rsidRPr="008C5BF3" w:rsidRDefault="005F3542" w:rsidP="00407466">
            <w:pPr>
              <w:ind w:left="174"/>
              <w:rPr>
                <w:i/>
                <w:iCs/>
              </w:rPr>
            </w:pPr>
            <w:r w:rsidRPr="008C5BF3">
              <w:rPr>
                <w:i/>
                <w:iCs/>
              </w:rPr>
              <w:t>Complete responses (%)</w:t>
            </w:r>
          </w:p>
        </w:tc>
        <w:tc>
          <w:tcPr>
            <w:tcW w:w="1984" w:type="dxa"/>
            <w:tcBorders>
              <w:top w:val="single" w:sz="4" w:space="0" w:color="000000"/>
              <w:left w:val="single" w:sz="4" w:space="0" w:color="000000"/>
              <w:bottom w:val="single" w:sz="4" w:space="0" w:color="000000"/>
              <w:right w:val="single" w:sz="4" w:space="0" w:color="000000"/>
            </w:tcBorders>
          </w:tcPr>
          <w:p w14:paraId="5740A209" w14:textId="77777777" w:rsidR="005F3542" w:rsidRPr="008C5BF3" w:rsidRDefault="005F3542" w:rsidP="00407466">
            <w:pPr>
              <w:ind w:left="141"/>
              <w:rPr>
                <w:i/>
                <w:iCs/>
              </w:rPr>
            </w:pPr>
            <w:r w:rsidRPr="008C5BF3">
              <w:rPr>
                <w:i/>
                <w:iCs/>
              </w:rPr>
              <w:t>2 (1.3)</w:t>
            </w:r>
          </w:p>
        </w:tc>
        <w:tc>
          <w:tcPr>
            <w:tcW w:w="2268" w:type="dxa"/>
            <w:tcBorders>
              <w:top w:val="single" w:sz="4" w:space="0" w:color="000000"/>
              <w:left w:val="single" w:sz="4" w:space="0" w:color="000000"/>
              <w:bottom w:val="single" w:sz="4" w:space="0" w:color="000000"/>
              <w:right w:val="single" w:sz="4" w:space="0" w:color="000000"/>
            </w:tcBorders>
          </w:tcPr>
          <w:p w14:paraId="6595289B" w14:textId="77777777" w:rsidR="005F3542" w:rsidRPr="008C5BF3" w:rsidRDefault="005F3542" w:rsidP="00407466">
            <w:pPr>
              <w:rPr>
                <w:i/>
                <w:iCs/>
              </w:rPr>
            </w:pPr>
            <w:r w:rsidRPr="008C5BF3">
              <w:rPr>
                <w:i/>
                <w:iCs/>
              </w:rPr>
              <w:t>6 (3.9)</w:t>
            </w:r>
          </w:p>
        </w:tc>
      </w:tr>
      <w:tr w:rsidR="005F3542" w:rsidRPr="008C5BF3" w14:paraId="1CCF5791" w14:textId="77777777" w:rsidTr="00407466">
        <w:trPr>
          <w:trHeight w:val="421"/>
        </w:trPr>
        <w:tc>
          <w:tcPr>
            <w:tcW w:w="8537" w:type="dxa"/>
            <w:gridSpan w:val="3"/>
            <w:tcBorders>
              <w:top w:val="single" w:sz="4" w:space="0" w:color="000000"/>
              <w:left w:val="single" w:sz="4" w:space="0" w:color="000000"/>
              <w:bottom w:val="single" w:sz="4" w:space="0" w:color="000000"/>
              <w:right w:val="single" w:sz="4" w:space="0" w:color="000000"/>
            </w:tcBorders>
          </w:tcPr>
          <w:p w14:paraId="0D5F51BC" w14:textId="77777777" w:rsidR="005F3542" w:rsidRPr="008C5BF3" w:rsidRDefault="005F3542" w:rsidP="00407466">
            <w:pPr>
              <w:ind w:left="141"/>
              <w:rPr>
                <w:b/>
                <w:bCs/>
              </w:rPr>
            </w:pPr>
            <w:r w:rsidRPr="008C5BF3">
              <w:rPr>
                <w:b/>
                <w:bCs/>
              </w:rPr>
              <w:t>DOR [investigator assessed]</w:t>
            </w:r>
          </w:p>
        </w:tc>
      </w:tr>
      <w:tr w:rsidR="005F3542" w:rsidRPr="008C5BF3" w14:paraId="53AECB7B" w14:textId="77777777" w:rsidTr="00407466">
        <w:trPr>
          <w:trHeight w:val="282"/>
        </w:trPr>
        <w:tc>
          <w:tcPr>
            <w:tcW w:w="4285" w:type="dxa"/>
            <w:tcBorders>
              <w:top w:val="single" w:sz="4" w:space="0" w:color="000000"/>
              <w:left w:val="single" w:sz="4" w:space="0" w:color="000000"/>
              <w:bottom w:val="single" w:sz="4" w:space="0" w:color="000000"/>
              <w:right w:val="single" w:sz="4" w:space="0" w:color="000000"/>
            </w:tcBorders>
          </w:tcPr>
          <w:p w14:paraId="595F06FA" w14:textId="77777777" w:rsidR="005F3542" w:rsidRPr="008C5BF3" w:rsidRDefault="005F3542" w:rsidP="00407466">
            <w:pPr>
              <w:ind w:left="174"/>
            </w:pPr>
            <w:r w:rsidRPr="008C5BF3">
              <w:t>Responders with event/responders (%)</w:t>
            </w:r>
          </w:p>
        </w:tc>
        <w:tc>
          <w:tcPr>
            <w:tcW w:w="1984" w:type="dxa"/>
            <w:tcBorders>
              <w:top w:val="single" w:sz="4" w:space="0" w:color="000000"/>
              <w:left w:val="single" w:sz="4" w:space="0" w:color="000000"/>
              <w:bottom w:val="single" w:sz="4" w:space="0" w:color="000000"/>
              <w:right w:val="single" w:sz="4" w:space="0" w:color="000000"/>
            </w:tcBorders>
          </w:tcPr>
          <w:p w14:paraId="2D9B9297" w14:textId="77777777" w:rsidR="005F3542" w:rsidRPr="008C5BF3" w:rsidRDefault="005F3542" w:rsidP="00407466">
            <w:pPr>
              <w:ind w:left="141"/>
            </w:pPr>
            <w:r w:rsidRPr="008C5BF3">
              <w:t>73/114 (64)</w:t>
            </w:r>
          </w:p>
        </w:tc>
        <w:tc>
          <w:tcPr>
            <w:tcW w:w="2268" w:type="dxa"/>
            <w:tcBorders>
              <w:top w:val="single" w:sz="4" w:space="0" w:color="000000"/>
              <w:left w:val="single" w:sz="4" w:space="0" w:color="000000"/>
              <w:bottom w:val="single" w:sz="4" w:space="0" w:color="000000"/>
              <w:right w:val="single" w:sz="4" w:space="0" w:color="000000"/>
            </w:tcBorders>
          </w:tcPr>
          <w:p w14:paraId="445388AA" w14:textId="77777777" w:rsidR="005F3542" w:rsidRPr="008C5BF3" w:rsidRDefault="005F3542" w:rsidP="00407466">
            <w:r w:rsidRPr="008C5BF3">
              <w:t>40/126 (31.7)</w:t>
            </w:r>
          </w:p>
        </w:tc>
      </w:tr>
      <w:tr w:rsidR="005F3542" w:rsidRPr="008C5BF3" w14:paraId="544B3FB4"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73C112D5" w14:textId="77777777" w:rsidR="005F3542" w:rsidRPr="008C5BF3" w:rsidRDefault="005F3542" w:rsidP="00407466">
            <w:pPr>
              <w:ind w:left="174"/>
            </w:pPr>
            <w:r w:rsidRPr="008C5BF3">
              <w:t>Median DOR, months [95% CI]</w:t>
            </w:r>
          </w:p>
        </w:tc>
        <w:tc>
          <w:tcPr>
            <w:tcW w:w="1984" w:type="dxa"/>
            <w:tcBorders>
              <w:top w:val="single" w:sz="4" w:space="0" w:color="000000"/>
              <w:left w:val="single" w:sz="4" w:space="0" w:color="000000"/>
              <w:bottom w:val="single" w:sz="4" w:space="0" w:color="000000"/>
              <w:right w:val="single" w:sz="4" w:space="0" w:color="000000"/>
            </w:tcBorders>
          </w:tcPr>
          <w:p w14:paraId="50FC7DD3" w14:textId="77777777" w:rsidR="005F3542" w:rsidRPr="008C5BF3" w:rsidRDefault="005F3542" w:rsidP="00407466">
            <w:pPr>
              <w:ind w:left="141"/>
            </w:pPr>
            <w:r w:rsidRPr="008C5BF3">
              <w:t>11.1 [7.9,13.0]</w:t>
            </w:r>
          </w:p>
        </w:tc>
        <w:tc>
          <w:tcPr>
            <w:tcW w:w="2268" w:type="dxa"/>
            <w:tcBorders>
              <w:top w:val="single" w:sz="4" w:space="0" w:color="000000"/>
              <w:left w:val="single" w:sz="4" w:space="0" w:color="000000"/>
              <w:bottom w:val="single" w:sz="4" w:space="0" w:color="000000"/>
              <w:right w:val="single" w:sz="4" w:space="0" w:color="000000"/>
            </w:tcBorders>
          </w:tcPr>
          <w:p w14:paraId="0173D8A7" w14:textId="77777777" w:rsidR="005F3542" w:rsidRPr="008C5BF3" w:rsidRDefault="005F3542" w:rsidP="00407466">
            <w:r w:rsidRPr="008C5BF3">
              <w:t>NE [NE]</w:t>
            </w:r>
          </w:p>
        </w:tc>
      </w:tr>
      <w:tr w:rsidR="005F3542" w:rsidRPr="008C5BF3" w14:paraId="21FD9F3D"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65D7CFB4" w14:textId="77777777" w:rsidR="005F3542" w:rsidRPr="008C5BF3" w:rsidRDefault="005F3542" w:rsidP="00407466">
            <w:pPr>
              <w:ind w:left="174"/>
            </w:pPr>
            <w:r w:rsidRPr="008C5BF3">
              <w:t>HR [95%CI]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2348269A" w14:textId="77777777" w:rsidR="005F3542" w:rsidRPr="008C5BF3" w:rsidRDefault="005F3542" w:rsidP="00407466">
            <w:pPr>
              <w:ind w:left="141"/>
            </w:pPr>
            <w:r w:rsidRPr="008C5BF3">
              <w:t>0.36 [0.24, 0.53] (&lt;0.0001)*</w:t>
            </w:r>
          </w:p>
        </w:tc>
      </w:tr>
      <w:tr w:rsidR="005F3542" w:rsidRPr="008C5BF3" w14:paraId="42DBCA59" w14:textId="77777777" w:rsidTr="00407466">
        <w:trPr>
          <w:trHeight w:val="421"/>
        </w:trPr>
        <w:tc>
          <w:tcPr>
            <w:tcW w:w="8537" w:type="dxa"/>
            <w:gridSpan w:val="3"/>
            <w:tcBorders>
              <w:top w:val="single" w:sz="4" w:space="0" w:color="000000"/>
              <w:left w:val="single" w:sz="4" w:space="0" w:color="000000"/>
              <w:bottom w:val="single" w:sz="4" w:space="0" w:color="000000"/>
              <w:right w:val="single" w:sz="4" w:space="0" w:color="000000"/>
            </w:tcBorders>
          </w:tcPr>
          <w:p w14:paraId="19D2B0F8" w14:textId="77777777" w:rsidR="005F3542" w:rsidRPr="008C5BF3" w:rsidRDefault="005F3542" w:rsidP="00407466">
            <w:pPr>
              <w:ind w:left="141"/>
              <w:rPr>
                <w:b/>
                <w:bCs/>
              </w:rPr>
            </w:pPr>
            <w:r w:rsidRPr="008C5BF3">
              <w:rPr>
                <w:b/>
                <w:bCs/>
              </w:rPr>
              <w:t>OS****</w:t>
            </w:r>
          </w:p>
        </w:tc>
      </w:tr>
      <w:tr w:rsidR="005F3542" w:rsidRPr="008C5BF3" w14:paraId="33B8B407"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04EE9147" w14:textId="77777777" w:rsidR="005F3542" w:rsidRPr="008C5BF3" w:rsidRDefault="005F3542" w:rsidP="00407466">
            <w:pPr>
              <w:ind w:left="174"/>
            </w:pPr>
            <w:r w:rsidRPr="008C5BF3">
              <w:t>Patients with event (OS, %)</w:t>
            </w:r>
          </w:p>
        </w:tc>
        <w:tc>
          <w:tcPr>
            <w:tcW w:w="1984" w:type="dxa"/>
            <w:tcBorders>
              <w:top w:val="single" w:sz="4" w:space="0" w:color="000000"/>
              <w:left w:val="single" w:sz="4" w:space="0" w:color="000000"/>
              <w:bottom w:val="single" w:sz="4" w:space="0" w:color="000000"/>
              <w:right w:val="single" w:sz="4" w:space="0" w:color="000000"/>
            </w:tcBorders>
          </w:tcPr>
          <w:p w14:paraId="4F47F535" w14:textId="77777777" w:rsidR="005F3542" w:rsidRPr="008C5BF3" w:rsidRDefault="005F3542" w:rsidP="00407466">
            <w:pPr>
              <w:ind w:left="141"/>
            </w:pPr>
            <w:r w:rsidRPr="008C5BF3">
              <w:t>40 (26.5)</w:t>
            </w:r>
          </w:p>
        </w:tc>
        <w:tc>
          <w:tcPr>
            <w:tcW w:w="2268" w:type="dxa"/>
            <w:tcBorders>
              <w:top w:val="single" w:sz="4" w:space="0" w:color="000000"/>
              <w:left w:val="single" w:sz="4" w:space="0" w:color="000000"/>
              <w:bottom w:val="single" w:sz="4" w:space="0" w:color="000000"/>
              <w:right w:val="single" w:sz="4" w:space="0" w:color="000000"/>
            </w:tcBorders>
          </w:tcPr>
          <w:p w14:paraId="1696D6BC" w14:textId="77777777" w:rsidR="005F3542" w:rsidRPr="008C5BF3" w:rsidRDefault="005F3542" w:rsidP="00407466">
            <w:r w:rsidRPr="008C5BF3">
              <w:t>35 (23.0)</w:t>
            </w:r>
          </w:p>
        </w:tc>
      </w:tr>
      <w:tr w:rsidR="005F3542" w:rsidRPr="008C5BF3" w14:paraId="39C60CB1"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4FDF4031" w14:textId="77777777" w:rsidR="005F3542" w:rsidRPr="008C5BF3" w:rsidRDefault="005F3542" w:rsidP="00407466">
            <w:pPr>
              <w:ind w:left="174"/>
            </w:pPr>
            <w:r w:rsidRPr="008C5BF3">
              <w:t>HR [95%CI]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42AE74DD" w14:textId="77777777" w:rsidR="005F3542" w:rsidRPr="008C5BF3" w:rsidRDefault="005F3542" w:rsidP="00407466">
            <w:pPr>
              <w:ind w:left="141"/>
            </w:pPr>
            <w:r w:rsidRPr="008C5BF3">
              <w:t>0.76 (0.48, 1.2) (p=0.2405)*</w:t>
            </w:r>
          </w:p>
        </w:tc>
      </w:tr>
      <w:tr w:rsidR="005F3542" w:rsidRPr="008C5BF3" w14:paraId="545B0C85" w14:textId="77777777" w:rsidTr="00407466">
        <w:trPr>
          <w:trHeight w:val="417"/>
        </w:trPr>
        <w:tc>
          <w:tcPr>
            <w:tcW w:w="8537" w:type="dxa"/>
            <w:gridSpan w:val="3"/>
            <w:tcBorders>
              <w:top w:val="single" w:sz="4" w:space="0" w:color="000000"/>
              <w:left w:val="single" w:sz="4" w:space="0" w:color="000000"/>
              <w:bottom w:val="single" w:sz="4" w:space="0" w:color="000000"/>
              <w:right w:val="single" w:sz="4" w:space="0" w:color="000000"/>
            </w:tcBorders>
          </w:tcPr>
          <w:p w14:paraId="7DE1A3EF" w14:textId="77777777" w:rsidR="005F3542" w:rsidRPr="008C5BF3" w:rsidRDefault="005F3542" w:rsidP="00407466">
            <w:pPr>
              <w:ind w:left="141"/>
              <w:rPr>
                <w:b/>
                <w:bCs/>
              </w:rPr>
            </w:pPr>
            <w:r w:rsidRPr="008C5BF3">
              <w:rPr>
                <w:b/>
                <w:bCs/>
              </w:rPr>
              <w:t>CORR [IRC assessed, by RECIST v1.1]</w:t>
            </w:r>
          </w:p>
        </w:tc>
      </w:tr>
      <w:tr w:rsidR="005F3542" w:rsidRPr="008C5BF3" w14:paraId="5C3F77C1"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43FC3E88" w14:textId="77777777" w:rsidR="005F3542" w:rsidRPr="008C5BF3" w:rsidRDefault="005F3542" w:rsidP="00407466">
            <w:pPr>
              <w:ind w:left="174"/>
            </w:pPr>
            <w:r w:rsidRPr="008C5BF3">
              <w:t>Responders (% [95% CI])</w:t>
            </w:r>
          </w:p>
        </w:tc>
        <w:tc>
          <w:tcPr>
            <w:tcW w:w="1984" w:type="dxa"/>
            <w:tcBorders>
              <w:top w:val="single" w:sz="4" w:space="0" w:color="000000"/>
              <w:left w:val="single" w:sz="4" w:space="0" w:color="000000"/>
              <w:bottom w:val="single" w:sz="4" w:space="0" w:color="000000"/>
              <w:right w:val="single" w:sz="4" w:space="0" w:color="000000"/>
            </w:tcBorders>
          </w:tcPr>
          <w:p w14:paraId="3EF7B6AE" w14:textId="77777777" w:rsidR="005F3542" w:rsidRPr="008C5BF3" w:rsidRDefault="005F3542" w:rsidP="00407466">
            <w:pPr>
              <w:ind w:left="141"/>
            </w:pPr>
            <w:r w:rsidRPr="008C5BF3">
              <w:t>15 (26 [15, 39])</w:t>
            </w:r>
          </w:p>
        </w:tc>
        <w:tc>
          <w:tcPr>
            <w:tcW w:w="2268" w:type="dxa"/>
            <w:tcBorders>
              <w:top w:val="single" w:sz="4" w:space="0" w:color="000000"/>
              <w:left w:val="single" w:sz="4" w:space="0" w:color="000000"/>
              <w:bottom w:val="single" w:sz="4" w:space="0" w:color="000000"/>
              <w:right w:val="single" w:sz="4" w:space="0" w:color="000000"/>
            </w:tcBorders>
          </w:tcPr>
          <w:p w14:paraId="402811CB" w14:textId="77777777" w:rsidR="005F3542" w:rsidRPr="008C5BF3" w:rsidRDefault="005F3542" w:rsidP="00407466">
            <w:r w:rsidRPr="008C5BF3">
              <w:t>38 (59 [46, 71])</w:t>
            </w:r>
          </w:p>
        </w:tc>
      </w:tr>
      <w:tr w:rsidR="005F3542" w:rsidRPr="008C5BF3" w14:paraId="12234686"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09E20D3F" w14:textId="77777777" w:rsidR="005F3542" w:rsidRPr="008C5BF3" w:rsidRDefault="005F3542" w:rsidP="00407466">
            <w:pPr>
              <w:ind w:left="174"/>
            </w:pPr>
            <w:r w:rsidRPr="008C5BF3">
              <w:t>Difference in CORR [95% 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4022CD1A" w14:textId="77777777" w:rsidR="005F3542" w:rsidRPr="008C5BF3" w:rsidRDefault="005F3542" w:rsidP="00407466">
            <w:pPr>
              <w:ind w:left="141"/>
            </w:pPr>
            <w:r w:rsidRPr="008C5BF3">
              <w:t>33.5 [17.0, 50.0] (0.0002)***</w:t>
            </w:r>
          </w:p>
        </w:tc>
      </w:tr>
      <w:tr w:rsidR="005F3542" w:rsidRPr="008C5BF3" w14:paraId="0BBD5947"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6E55419E" w14:textId="77777777" w:rsidR="005F3542" w:rsidRPr="008C5BF3" w:rsidRDefault="005F3542" w:rsidP="00407466">
            <w:pPr>
              <w:ind w:left="174"/>
              <w:rPr>
                <w:i/>
                <w:iCs/>
              </w:rPr>
            </w:pPr>
            <w:r w:rsidRPr="008C5BF3">
              <w:rPr>
                <w:i/>
                <w:iCs/>
              </w:rPr>
              <w:t>Complete responses (%)</w:t>
            </w:r>
          </w:p>
        </w:tc>
        <w:tc>
          <w:tcPr>
            <w:tcW w:w="1984" w:type="dxa"/>
            <w:tcBorders>
              <w:top w:val="single" w:sz="4" w:space="0" w:color="000000"/>
              <w:left w:val="single" w:sz="4" w:space="0" w:color="000000"/>
              <w:bottom w:val="single" w:sz="4" w:space="0" w:color="000000"/>
              <w:right w:val="single" w:sz="4" w:space="0" w:color="000000"/>
            </w:tcBorders>
          </w:tcPr>
          <w:p w14:paraId="57C33A6A" w14:textId="77777777" w:rsidR="005F3542" w:rsidRPr="008C5BF3" w:rsidRDefault="005F3542" w:rsidP="00407466">
            <w:pPr>
              <w:ind w:left="141"/>
              <w:rPr>
                <w:i/>
                <w:iCs/>
              </w:rPr>
            </w:pPr>
            <w:r w:rsidRPr="008C5BF3">
              <w:rPr>
                <w:i/>
                <w:iCs/>
              </w:rPr>
              <w:t>5 (8.6)</w:t>
            </w:r>
          </w:p>
        </w:tc>
        <w:tc>
          <w:tcPr>
            <w:tcW w:w="2268" w:type="dxa"/>
            <w:tcBorders>
              <w:top w:val="single" w:sz="4" w:space="0" w:color="000000"/>
              <w:left w:val="single" w:sz="4" w:space="0" w:color="000000"/>
              <w:bottom w:val="single" w:sz="4" w:space="0" w:color="000000"/>
              <w:right w:val="single" w:sz="4" w:space="0" w:color="000000"/>
            </w:tcBorders>
          </w:tcPr>
          <w:p w14:paraId="77A4E3A0" w14:textId="77777777" w:rsidR="005F3542" w:rsidRPr="008C5BF3" w:rsidRDefault="005F3542" w:rsidP="00407466">
            <w:pPr>
              <w:rPr>
                <w:i/>
                <w:iCs/>
              </w:rPr>
            </w:pPr>
            <w:r w:rsidRPr="008C5BF3">
              <w:rPr>
                <w:i/>
                <w:iCs/>
              </w:rPr>
              <w:t>29 (45.3)</w:t>
            </w:r>
          </w:p>
        </w:tc>
      </w:tr>
      <w:tr w:rsidR="005F3542" w:rsidRPr="008C5BF3" w14:paraId="55A484AA" w14:textId="77777777" w:rsidTr="00407466">
        <w:trPr>
          <w:trHeight w:val="417"/>
        </w:trPr>
        <w:tc>
          <w:tcPr>
            <w:tcW w:w="8537" w:type="dxa"/>
            <w:gridSpan w:val="3"/>
            <w:tcBorders>
              <w:top w:val="single" w:sz="4" w:space="0" w:color="000000"/>
              <w:left w:val="single" w:sz="4" w:space="0" w:color="000000"/>
              <w:bottom w:val="single" w:sz="4" w:space="0" w:color="000000"/>
              <w:right w:val="single" w:sz="4" w:space="0" w:color="000000"/>
            </w:tcBorders>
          </w:tcPr>
          <w:p w14:paraId="7A16BED9" w14:textId="77777777" w:rsidR="005F3542" w:rsidRPr="008C5BF3" w:rsidRDefault="005F3542" w:rsidP="00407466">
            <w:pPr>
              <w:ind w:left="141"/>
              <w:rPr>
                <w:b/>
                <w:bCs/>
              </w:rPr>
            </w:pPr>
            <w:r w:rsidRPr="008C5BF3">
              <w:rPr>
                <w:b/>
                <w:bCs/>
              </w:rPr>
              <w:t>CDOR [IRC assessed, by RECIST v1.1]</w:t>
            </w:r>
          </w:p>
        </w:tc>
      </w:tr>
      <w:tr w:rsidR="005F3542" w:rsidRPr="008C5BF3" w14:paraId="506B8E16"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23825516" w14:textId="77777777" w:rsidR="005F3542" w:rsidRPr="008C5BF3" w:rsidRDefault="005F3542" w:rsidP="00407466">
            <w:pPr>
              <w:ind w:left="174"/>
            </w:pPr>
            <w:r w:rsidRPr="008C5BF3">
              <w:t>Responders with event/responders (%)</w:t>
            </w:r>
          </w:p>
        </w:tc>
        <w:tc>
          <w:tcPr>
            <w:tcW w:w="1984" w:type="dxa"/>
            <w:tcBorders>
              <w:top w:val="single" w:sz="4" w:space="0" w:color="000000"/>
              <w:left w:val="single" w:sz="4" w:space="0" w:color="000000"/>
              <w:bottom w:val="single" w:sz="4" w:space="0" w:color="000000"/>
              <w:right w:val="single" w:sz="4" w:space="0" w:color="000000"/>
            </w:tcBorders>
          </w:tcPr>
          <w:p w14:paraId="5A06F2F9" w14:textId="77777777" w:rsidR="005F3542" w:rsidRPr="008C5BF3" w:rsidRDefault="005F3542" w:rsidP="00407466">
            <w:pPr>
              <w:ind w:left="141"/>
            </w:pPr>
            <w:r w:rsidRPr="008C5BF3">
              <w:t>13/15 (86.7)</w:t>
            </w:r>
          </w:p>
        </w:tc>
        <w:tc>
          <w:tcPr>
            <w:tcW w:w="2268" w:type="dxa"/>
            <w:tcBorders>
              <w:top w:val="single" w:sz="4" w:space="0" w:color="000000"/>
              <w:left w:val="single" w:sz="4" w:space="0" w:color="000000"/>
              <w:bottom w:val="single" w:sz="4" w:space="0" w:color="000000"/>
              <w:right w:val="single" w:sz="4" w:space="0" w:color="000000"/>
            </w:tcBorders>
          </w:tcPr>
          <w:p w14:paraId="57A42D52" w14:textId="77777777" w:rsidR="005F3542" w:rsidRPr="008C5BF3" w:rsidRDefault="005F3542" w:rsidP="00407466">
            <w:r w:rsidRPr="008C5BF3">
              <w:t>11/38 (28.9)</w:t>
            </w:r>
          </w:p>
        </w:tc>
      </w:tr>
      <w:tr w:rsidR="005F3542" w:rsidRPr="008C5BF3" w14:paraId="0C3DDA1E"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4936C007" w14:textId="77777777" w:rsidR="005F3542" w:rsidRPr="008C5BF3" w:rsidRDefault="005F3542" w:rsidP="00407466">
            <w:pPr>
              <w:ind w:left="174"/>
            </w:pPr>
            <w:r w:rsidRPr="008C5BF3">
              <w:t>Median CDOR, months [95% CI]</w:t>
            </w:r>
          </w:p>
        </w:tc>
        <w:tc>
          <w:tcPr>
            <w:tcW w:w="1984" w:type="dxa"/>
            <w:tcBorders>
              <w:top w:val="single" w:sz="4" w:space="0" w:color="000000"/>
              <w:left w:val="single" w:sz="4" w:space="0" w:color="000000"/>
              <w:bottom w:val="single" w:sz="4" w:space="0" w:color="000000"/>
              <w:right w:val="single" w:sz="4" w:space="0" w:color="000000"/>
            </w:tcBorders>
          </w:tcPr>
          <w:p w14:paraId="5471A4CF" w14:textId="77777777" w:rsidR="005F3542" w:rsidRPr="008C5BF3" w:rsidRDefault="005F3542" w:rsidP="00407466">
            <w:pPr>
              <w:ind w:left="141"/>
            </w:pPr>
            <w:r w:rsidRPr="008C5BF3">
              <w:t>3.7 [3.2, 6.8]</w:t>
            </w:r>
          </w:p>
        </w:tc>
        <w:tc>
          <w:tcPr>
            <w:tcW w:w="2268" w:type="dxa"/>
            <w:tcBorders>
              <w:top w:val="single" w:sz="4" w:space="0" w:color="000000"/>
              <w:left w:val="single" w:sz="4" w:space="0" w:color="000000"/>
              <w:bottom w:val="single" w:sz="4" w:space="0" w:color="000000"/>
              <w:right w:val="single" w:sz="4" w:space="0" w:color="000000"/>
            </w:tcBorders>
          </w:tcPr>
          <w:p w14:paraId="26CC71FE" w14:textId="77777777" w:rsidR="005F3542" w:rsidRPr="008C5BF3" w:rsidRDefault="005F3542" w:rsidP="00407466">
            <w:r w:rsidRPr="008C5BF3">
              <w:t>NE [17.3, NE]</w:t>
            </w:r>
          </w:p>
        </w:tc>
      </w:tr>
      <w:tr w:rsidR="005F3542" w:rsidRPr="008C5BF3" w14:paraId="08FB78B3" w14:textId="77777777" w:rsidTr="00407466">
        <w:trPr>
          <w:trHeight w:val="287"/>
        </w:trPr>
        <w:tc>
          <w:tcPr>
            <w:tcW w:w="4285" w:type="dxa"/>
            <w:tcBorders>
              <w:top w:val="single" w:sz="4" w:space="0" w:color="000000"/>
              <w:left w:val="single" w:sz="4" w:space="0" w:color="000000"/>
              <w:bottom w:val="single" w:sz="4" w:space="0" w:color="000000"/>
              <w:right w:val="single" w:sz="4" w:space="0" w:color="000000"/>
            </w:tcBorders>
          </w:tcPr>
          <w:p w14:paraId="3BE57742" w14:textId="77777777" w:rsidR="005F3542" w:rsidRPr="008C5BF3" w:rsidRDefault="005F3542" w:rsidP="00407466">
            <w:pPr>
              <w:ind w:left="174"/>
            </w:pPr>
            <w:r w:rsidRPr="008C5BF3">
              <w:t>HR [95%CI] (p value)*</w:t>
            </w:r>
          </w:p>
        </w:tc>
        <w:tc>
          <w:tcPr>
            <w:tcW w:w="4252" w:type="dxa"/>
            <w:gridSpan w:val="2"/>
            <w:tcBorders>
              <w:top w:val="single" w:sz="4" w:space="0" w:color="000000"/>
              <w:left w:val="single" w:sz="4" w:space="0" w:color="000000"/>
              <w:bottom w:val="single" w:sz="4" w:space="0" w:color="000000"/>
              <w:right w:val="single" w:sz="4" w:space="0" w:color="000000"/>
            </w:tcBorders>
          </w:tcPr>
          <w:p w14:paraId="6D1CE7F4" w14:textId="77777777" w:rsidR="005F3542" w:rsidRPr="008C5BF3" w:rsidRDefault="005F3542" w:rsidP="00407466">
            <w:pPr>
              <w:ind w:left="141"/>
            </w:pPr>
            <w:r w:rsidRPr="008C5BF3">
              <w:t>0.23 [0.10, 0.53] (0.0002)*</w:t>
            </w:r>
          </w:p>
        </w:tc>
      </w:tr>
    </w:tbl>
    <w:p w14:paraId="325224A6" w14:textId="77777777" w:rsidR="005F3542" w:rsidRDefault="005F3542" w:rsidP="008C5BF3">
      <w:pPr>
        <w:pStyle w:val="TableDescription"/>
      </w:pPr>
      <w:r>
        <w:t>CI = confidence interval; HR = hazard ratio; NE = not estimable</w:t>
      </w:r>
    </w:p>
    <w:p w14:paraId="1454C1EF" w14:textId="79DEB583" w:rsidR="005F3542" w:rsidRDefault="005F3542" w:rsidP="008C5BF3">
      <w:pPr>
        <w:pStyle w:val="TableDescription"/>
      </w:pPr>
      <w:r>
        <w:t xml:space="preserve">* </w:t>
      </w:r>
      <w:r w:rsidR="003F09AB">
        <w:t>By</w:t>
      </w:r>
      <w:r>
        <w:t xml:space="preserve"> stratified log-rank test</w:t>
      </w:r>
    </w:p>
    <w:p w14:paraId="12A0A832" w14:textId="77777777" w:rsidR="005F3542" w:rsidRDefault="005F3542" w:rsidP="008C5BF3">
      <w:pPr>
        <w:pStyle w:val="TableDescription"/>
      </w:pPr>
      <w:r>
        <w:t>** stratified cause-specific hazard ratio and stratified cause-specific log rank test from competing risk analysis</w:t>
      </w:r>
    </w:p>
    <w:p w14:paraId="38614CBF" w14:textId="77777777" w:rsidR="005F3542" w:rsidRDefault="005F3542" w:rsidP="008C5BF3">
      <w:pPr>
        <w:pStyle w:val="TableDescription"/>
      </w:pPr>
      <w:r>
        <w:t>*** stratified Mantel-</w:t>
      </w:r>
      <w:proofErr w:type="spellStart"/>
      <w:r>
        <w:t>Haenszel</w:t>
      </w:r>
      <w:proofErr w:type="spellEnd"/>
      <w:r>
        <w:t xml:space="preserve"> test</w:t>
      </w:r>
    </w:p>
    <w:p w14:paraId="07CA1947" w14:textId="77777777" w:rsidR="005F3542" w:rsidRDefault="005F3542" w:rsidP="008C5BF3">
      <w:pPr>
        <w:pStyle w:val="TableDescription"/>
      </w:pPr>
      <w:r>
        <w:t>**** As the previous key secondary endpoint of investigator-assessed ORR in the pre-specified hierarchy was not statistically significant, OS was not formally tested</w:t>
      </w:r>
    </w:p>
    <w:p w14:paraId="6F385CC2" w14:textId="77777777" w:rsidR="005F3542" w:rsidRDefault="005F3542" w:rsidP="008C5BF3">
      <w:pPr>
        <w:pStyle w:val="TableDescription"/>
      </w:pPr>
      <w:r>
        <w:t>Strata = race (Asian vs non-Asian) and CNS metastases at baseline by IRC</w:t>
      </w:r>
    </w:p>
    <w:p w14:paraId="604B5F82" w14:textId="77777777" w:rsidR="005F3542" w:rsidRDefault="005F3542" w:rsidP="008C5BF3">
      <w:pPr>
        <w:pStyle w:val="Heading4"/>
      </w:pPr>
      <w:bookmarkStart w:id="106" w:name="5.2_Safety"/>
      <w:bookmarkEnd w:id="106"/>
      <w:r>
        <w:lastRenderedPageBreak/>
        <w:t>Safety</w:t>
      </w:r>
    </w:p>
    <w:p w14:paraId="469BE0C2" w14:textId="77777777" w:rsidR="005F3542" w:rsidRDefault="005F3542" w:rsidP="008C5BF3">
      <w:r>
        <w:t>A</w:t>
      </w:r>
      <w:r w:rsidR="006E60A3">
        <w:t>n</w:t>
      </w:r>
      <w:r>
        <w:t xml:space="preserve"> overview of the frequency, severity and outcomes of adverse events (AEs) in the pivotal trial is given in </w:t>
      </w:r>
      <w:hyperlink w:anchor="bookmark0" w:history="1">
        <w:r>
          <w:t xml:space="preserve">Table </w:t>
        </w:r>
        <w:r w:rsidR="006E60A3">
          <w:t>9</w:t>
        </w:r>
        <w:r>
          <w:t xml:space="preserve">. </w:t>
        </w:r>
      </w:hyperlink>
      <w:r>
        <w:t>The trial was open label, which could have led to various biases including reporting and attribution.</w:t>
      </w:r>
    </w:p>
    <w:p w14:paraId="650A46D8" w14:textId="77777777" w:rsidR="005F3542" w:rsidRDefault="005F3542" w:rsidP="008C5BF3">
      <w:r>
        <w:t>Despite the shorter duration of treatment, there was a higher rate of treatment-related AEs (89%</w:t>
      </w:r>
      <w:r w:rsidR="00DB55D9">
        <w:t xml:space="preserve"> versus </w:t>
      </w:r>
      <w:r>
        <w:t xml:space="preserve">77%), Grade 3 </w:t>
      </w:r>
      <w:r w:rsidR="006E60A3">
        <w:t>to</w:t>
      </w:r>
      <w:r>
        <w:t xml:space="preserve"> 5 AEs (50%</w:t>
      </w:r>
      <w:r w:rsidR="00DB55D9">
        <w:t xml:space="preserve"> versus </w:t>
      </w:r>
      <w:r>
        <w:t>41%), AEs that led to treatment discontinuation (13%</w:t>
      </w:r>
      <w:r w:rsidR="00DB55D9">
        <w:t xml:space="preserve"> versus </w:t>
      </w:r>
      <w:r>
        <w:t>11%), AEs that led to dose interruption (25%</w:t>
      </w:r>
      <w:r w:rsidR="00DB55D9">
        <w:t xml:space="preserve"> versus </w:t>
      </w:r>
      <w:r>
        <w:t>19%) and AEs that led to dose reduction (21%</w:t>
      </w:r>
      <w:r w:rsidR="00DB55D9">
        <w:t xml:space="preserve"> versus </w:t>
      </w:r>
      <w:r>
        <w:t xml:space="preserve">16%) in the </w:t>
      </w:r>
      <w:proofErr w:type="spellStart"/>
      <w:r>
        <w:t>crizotinib</w:t>
      </w:r>
      <w:proofErr w:type="spellEnd"/>
      <w:r>
        <w:t xml:space="preserve"> arm.</w:t>
      </w:r>
    </w:p>
    <w:p w14:paraId="564CBA8A" w14:textId="77777777" w:rsidR="005F3542" w:rsidRDefault="005F3542" w:rsidP="008C5BF3">
      <w:pPr>
        <w:pStyle w:val="TableTitle"/>
      </w:pPr>
      <w:bookmarkStart w:id="107" w:name="_bookmark0"/>
      <w:bookmarkEnd w:id="107"/>
      <w:r>
        <w:t xml:space="preserve">Table </w:t>
      </w:r>
      <w:r w:rsidR="006E60A3">
        <w:t>9</w:t>
      </w:r>
      <w:r w:rsidR="008C5BF3">
        <w:t>:</w:t>
      </w:r>
      <w:r>
        <w:t xml:space="preserve"> Overview of adverse events in the ALEX trial</w:t>
      </w:r>
    </w:p>
    <w:p w14:paraId="589D1374" w14:textId="77777777" w:rsidR="006E60A3" w:rsidRDefault="006E60A3" w:rsidP="00407466">
      <w:r>
        <w:rPr>
          <w:noProof/>
          <w:lang w:eastAsia="en-AU"/>
        </w:rPr>
        <w:drawing>
          <wp:inline distT="0" distB="0" distL="0" distR="0" wp14:anchorId="2D2095D5" wp14:editId="5620CA7E">
            <wp:extent cx="4419600" cy="1776813"/>
            <wp:effectExtent l="0" t="0" r="0" b="0"/>
            <wp:docPr id="15" name="Picture 15" descr="Table 9: Overview of adverse events in the ALEX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421824" cy="1777707"/>
                    </a:xfrm>
                    <a:prstGeom prst="rect">
                      <a:avLst/>
                    </a:prstGeom>
                  </pic:spPr>
                </pic:pic>
              </a:graphicData>
            </a:graphic>
          </wp:inline>
        </w:drawing>
      </w:r>
    </w:p>
    <w:p w14:paraId="1D002262" w14:textId="77777777" w:rsidR="005F3542" w:rsidRDefault="005F3542" w:rsidP="006E60A3">
      <w:pPr>
        <w:pStyle w:val="BodyText"/>
        <w:kinsoku w:val="0"/>
        <w:overflowPunct w:val="0"/>
      </w:pPr>
      <w:r>
        <w:t xml:space="preserve">The rate of serious AEs was similar between arms. Grade 3+ adverse events and events with fatal outcome occurred more frequently in the </w:t>
      </w:r>
      <w:proofErr w:type="spellStart"/>
      <w:r>
        <w:t>crizotinib</w:t>
      </w:r>
      <w:proofErr w:type="spellEnd"/>
      <w:r>
        <w:t xml:space="preserve"> arm and death was considered to be related to study treatment by the investigator in 2 patients in the </w:t>
      </w:r>
      <w:proofErr w:type="spellStart"/>
      <w:r>
        <w:t>crizotinib</w:t>
      </w:r>
      <w:proofErr w:type="spellEnd"/>
      <w:r>
        <w:t xml:space="preserve"> arm versus zero in the </w:t>
      </w:r>
      <w:proofErr w:type="spellStart"/>
      <w:r>
        <w:t>alectinib</w:t>
      </w:r>
      <w:proofErr w:type="spellEnd"/>
      <w:r>
        <w:t xml:space="preserve"> arm. The most common </w:t>
      </w:r>
      <w:r w:rsidR="006E60A3">
        <w:t>G</w:t>
      </w:r>
      <w:r>
        <w:t xml:space="preserve">rade 3+ adverse events in the </w:t>
      </w:r>
      <w:proofErr w:type="spellStart"/>
      <w:r>
        <w:t>alectinib</w:t>
      </w:r>
      <w:proofErr w:type="spellEnd"/>
      <w:r>
        <w:t xml:space="preserve"> group were increased </w:t>
      </w:r>
      <w:r w:rsidR="006E60A3">
        <w:t>alanine aminotransferase (</w:t>
      </w:r>
      <w:r>
        <w:t>ALT</w:t>
      </w:r>
      <w:r w:rsidR="006E60A3">
        <w:t>)</w:t>
      </w:r>
      <w:r>
        <w:t xml:space="preserve"> (5%), increased </w:t>
      </w:r>
      <w:r w:rsidR="006E60A3">
        <w:t>aspartate aminotransferase (</w:t>
      </w:r>
      <w:r>
        <w:t>AST</w:t>
      </w:r>
      <w:r w:rsidR="006E60A3">
        <w:t>)</w:t>
      </w:r>
      <w:r>
        <w:t xml:space="preserve"> (5%) </w:t>
      </w:r>
      <w:r>
        <w:rPr>
          <w:spacing w:val="-3"/>
        </w:rPr>
        <w:t xml:space="preserve">and </w:t>
      </w:r>
      <w:r>
        <w:t xml:space="preserve">anaemia (5%). For the </w:t>
      </w:r>
      <w:proofErr w:type="spellStart"/>
      <w:r>
        <w:t>crizotinib</w:t>
      </w:r>
      <w:proofErr w:type="spellEnd"/>
      <w:r>
        <w:t xml:space="preserve"> group, the most common </w:t>
      </w:r>
      <w:r w:rsidR="006E60A3">
        <w:t>G</w:t>
      </w:r>
      <w:r>
        <w:t>rade 3+ adverse events were increased ALT (15%) and increased AST</w:t>
      </w:r>
      <w:r>
        <w:rPr>
          <w:spacing w:val="-17"/>
        </w:rPr>
        <w:t xml:space="preserve"> </w:t>
      </w:r>
      <w:r>
        <w:t>(11%).</w:t>
      </w:r>
    </w:p>
    <w:p w14:paraId="2933C9E4" w14:textId="77777777" w:rsidR="005F3542" w:rsidRDefault="005F3542" w:rsidP="008C5BF3">
      <w:r>
        <w:t xml:space="preserve">Selected AEs were given particular attention in the study, based on existing previous safety data for </w:t>
      </w:r>
      <w:proofErr w:type="spellStart"/>
      <w:r>
        <w:t>alectinib</w:t>
      </w:r>
      <w:proofErr w:type="spellEnd"/>
      <w:r>
        <w:t xml:space="preserve"> and </w:t>
      </w:r>
      <w:proofErr w:type="spellStart"/>
      <w:r>
        <w:t>crizotinib</w:t>
      </w:r>
      <w:proofErr w:type="spellEnd"/>
      <w:r>
        <w:t xml:space="preserve">. The overall rates of selected AEs are summarised in </w:t>
      </w:r>
      <w:hyperlink w:anchor="bookmark1" w:history="1">
        <w:r>
          <w:t xml:space="preserve">Table </w:t>
        </w:r>
        <w:r w:rsidR="006E60A3">
          <w:t>10</w:t>
        </w:r>
        <w:r>
          <w:t>.</w:t>
        </w:r>
      </w:hyperlink>
    </w:p>
    <w:p w14:paraId="42D503D3" w14:textId="77777777" w:rsidR="005F3542" w:rsidRDefault="005F3542" w:rsidP="008C5BF3">
      <w:pPr>
        <w:pStyle w:val="TableTitle"/>
        <w:keepLines/>
      </w:pPr>
      <w:bookmarkStart w:id="108" w:name="_bookmark1"/>
      <w:bookmarkEnd w:id="108"/>
      <w:r>
        <w:t xml:space="preserve">Table </w:t>
      </w:r>
      <w:r w:rsidR="006E60A3">
        <w:t>10</w:t>
      </w:r>
      <w:r w:rsidR="008C5BF3">
        <w:t>:</w:t>
      </w:r>
      <w:r>
        <w:t xml:space="preserve"> Overview of selected adverse events in the ALEX trial</w:t>
      </w:r>
    </w:p>
    <w:p w14:paraId="010080E2" w14:textId="77777777" w:rsidR="00C558A5" w:rsidRDefault="006E60A3" w:rsidP="00407466">
      <w:r>
        <w:rPr>
          <w:noProof/>
        </w:rPr>
        <w:drawing>
          <wp:inline distT="0" distB="0" distL="0" distR="0" wp14:anchorId="430533DE" wp14:editId="39A39B4C">
            <wp:extent cx="5546908" cy="2656114"/>
            <wp:effectExtent l="0" t="0" r="0" b="0"/>
            <wp:docPr id="16" name="Picture 16" descr="Table 10: Overview of selected adverse events in the ALEX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558439" cy="2661635"/>
                    </a:xfrm>
                    <a:prstGeom prst="rect">
                      <a:avLst/>
                    </a:prstGeom>
                  </pic:spPr>
                </pic:pic>
              </a:graphicData>
            </a:graphic>
          </wp:inline>
        </w:drawing>
      </w:r>
    </w:p>
    <w:p w14:paraId="0B5D1FAB" w14:textId="77777777" w:rsidR="005F3542" w:rsidRDefault="005F3542" w:rsidP="00C558A5">
      <w:r>
        <w:t xml:space="preserve">AEs seen in the ALEX trial were principally in keeping with the known safety profile of </w:t>
      </w:r>
      <w:proofErr w:type="spellStart"/>
      <w:r>
        <w:t>alectinib</w:t>
      </w:r>
      <w:proofErr w:type="spellEnd"/>
      <w:r>
        <w:t>.</w:t>
      </w:r>
    </w:p>
    <w:p w14:paraId="6131FFE1" w14:textId="77777777" w:rsidR="00407466" w:rsidRDefault="005F3542" w:rsidP="006E60A3">
      <w:r>
        <w:lastRenderedPageBreak/>
        <w:t>AEs that were reported at similar rates between arms were constipation, fatigue, arthralgia and rash</w:t>
      </w:r>
      <w:r w:rsidR="00407466">
        <w:t>.</w:t>
      </w:r>
    </w:p>
    <w:p w14:paraId="75036D05" w14:textId="40FDBC6A" w:rsidR="005F3542" w:rsidRDefault="005F3542" w:rsidP="006E60A3">
      <w:r>
        <w:t xml:space="preserve">AEs that occurred with </w:t>
      </w:r>
      <w:proofErr w:type="spellStart"/>
      <w:r w:rsidRPr="00EB19F0">
        <w:rPr>
          <w:bCs/>
          <w:i/>
        </w:rPr>
        <w:t>crizotinib</w:t>
      </w:r>
      <w:proofErr w:type="spellEnd"/>
      <w:r>
        <w:rPr>
          <w:b/>
          <w:bCs/>
        </w:rPr>
        <w:t xml:space="preserve"> </w:t>
      </w:r>
      <w:r>
        <w:t xml:space="preserve">at an incidence at least 5% higher than in the </w:t>
      </w:r>
      <w:proofErr w:type="spellStart"/>
      <w:r>
        <w:t>alectinib</w:t>
      </w:r>
      <w:proofErr w:type="spellEnd"/>
      <w:r>
        <w:t xml:space="preserve"> arm included nausea (48%</w:t>
      </w:r>
      <w:r w:rsidR="00DB55D9">
        <w:t xml:space="preserve"> versus </w:t>
      </w:r>
      <w:r>
        <w:t>14%), diarrhoea (45%</w:t>
      </w:r>
      <w:r w:rsidR="00DB55D9">
        <w:t xml:space="preserve"> versus </w:t>
      </w:r>
      <w:r>
        <w:t>12%), vomiting (38%</w:t>
      </w:r>
      <w:r w:rsidR="00DB55D9">
        <w:t xml:space="preserve"> versus </w:t>
      </w:r>
      <w:r>
        <w:t>7%), ALT elevation (30%</w:t>
      </w:r>
      <w:r w:rsidR="00DB55D9">
        <w:t xml:space="preserve"> versus </w:t>
      </w:r>
      <w:r>
        <w:t>15%), AST elevation (25%</w:t>
      </w:r>
      <w:r w:rsidR="00DB55D9">
        <w:t xml:space="preserve"> versus </w:t>
      </w:r>
      <w:r>
        <w:t>14%), GGT elevation (7% vs.1%), peripheral oedema (28%</w:t>
      </w:r>
      <w:r w:rsidR="00DB55D9">
        <w:t xml:space="preserve"> versus </w:t>
      </w:r>
      <w:r>
        <w:t>17%),</w:t>
      </w:r>
      <w:r w:rsidR="008C5BF3">
        <w:t xml:space="preserve"> </w:t>
      </w:r>
      <w:r>
        <w:t>dizziness (14%</w:t>
      </w:r>
      <w:r w:rsidR="00DB55D9">
        <w:t xml:space="preserve"> versus </w:t>
      </w:r>
      <w:r>
        <w:t xml:space="preserve">8%), </w:t>
      </w:r>
      <w:proofErr w:type="spellStart"/>
      <w:r>
        <w:t>dysgeusia</w:t>
      </w:r>
      <w:proofErr w:type="spellEnd"/>
      <w:r>
        <w:t xml:space="preserve"> (19%</w:t>
      </w:r>
      <w:r w:rsidR="00DB55D9">
        <w:t xml:space="preserve"> versus </w:t>
      </w:r>
      <w:r>
        <w:t>3%), visual impairment (12%</w:t>
      </w:r>
      <w:r w:rsidR="00DB55D9">
        <w:t xml:space="preserve"> versus </w:t>
      </w:r>
      <w:r>
        <w:t>1%), blurred vision (7%</w:t>
      </w:r>
      <w:r w:rsidR="00DB55D9">
        <w:t xml:space="preserve"> versus </w:t>
      </w:r>
      <w:r>
        <w:t xml:space="preserve">2%), </w:t>
      </w:r>
      <w:proofErr w:type="spellStart"/>
      <w:r>
        <w:t>photopsia</w:t>
      </w:r>
      <w:proofErr w:type="spellEnd"/>
      <w:r>
        <w:t xml:space="preserve"> (6%</w:t>
      </w:r>
      <w:r w:rsidR="00DB55D9">
        <w:t xml:space="preserve"> versus </w:t>
      </w:r>
      <w:r>
        <w:t>0%) and alopecia (7%</w:t>
      </w:r>
      <w:r w:rsidR="00DB55D9">
        <w:t xml:space="preserve"> versus </w:t>
      </w:r>
      <w:r>
        <w:t>1%).</w:t>
      </w:r>
    </w:p>
    <w:p w14:paraId="1F7A55C3" w14:textId="77777777" w:rsidR="005F3542" w:rsidRDefault="005F3542" w:rsidP="00C558A5">
      <w:r>
        <w:t xml:space="preserve">AEs that occurred with </w:t>
      </w:r>
      <w:proofErr w:type="spellStart"/>
      <w:r w:rsidRPr="00EB19F0">
        <w:rPr>
          <w:bCs/>
          <w:i/>
        </w:rPr>
        <w:t>alectinib</w:t>
      </w:r>
      <w:proofErr w:type="spellEnd"/>
      <w:r>
        <w:rPr>
          <w:b/>
          <w:bCs/>
        </w:rPr>
        <w:t xml:space="preserve"> </w:t>
      </w:r>
      <w:r>
        <w:t xml:space="preserve">at an incidence at least 5% higher than in the </w:t>
      </w:r>
      <w:proofErr w:type="spellStart"/>
      <w:r>
        <w:t>crizotinib</w:t>
      </w:r>
      <w:proofErr w:type="spellEnd"/>
      <w:r>
        <w:t xml:space="preserve"> arm included bilirubinaemia (15%</w:t>
      </w:r>
      <w:r w:rsidR="00DB55D9">
        <w:t xml:space="preserve"> versus </w:t>
      </w:r>
      <w:r>
        <w:t>1%), weight gain (10%</w:t>
      </w:r>
      <w:r w:rsidR="00DB55D9">
        <w:t xml:space="preserve"> versus </w:t>
      </w:r>
      <w:r>
        <w:t>0%), myalgia (16%</w:t>
      </w:r>
      <w:r w:rsidR="00DB55D9">
        <w:t xml:space="preserve"> versus </w:t>
      </w:r>
      <w:r>
        <w:t>2%), ‘musculoskeletal</w:t>
      </w:r>
      <w:r w:rsidR="008C5BF3">
        <w:t xml:space="preserve"> </w:t>
      </w:r>
      <w:r>
        <w:t>pain’ (7%</w:t>
      </w:r>
      <w:r w:rsidR="00DB55D9">
        <w:t xml:space="preserve"> versus </w:t>
      </w:r>
      <w:r>
        <w:t>2%), anaemia (20%</w:t>
      </w:r>
      <w:r w:rsidR="00DB55D9">
        <w:t xml:space="preserve"> versus </w:t>
      </w:r>
      <w:r>
        <w:t>5%) and photosensitivity reaction (5%</w:t>
      </w:r>
      <w:r w:rsidR="00DB55D9">
        <w:t xml:space="preserve"> versus </w:t>
      </w:r>
      <w:r>
        <w:t>0%).</w:t>
      </w:r>
    </w:p>
    <w:p w14:paraId="3338DC27" w14:textId="77777777" w:rsidR="005F3542" w:rsidRDefault="005F3542" w:rsidP="00C558A5">
      <w:proofErr w:type="spellStart"/>
      <w:r>
        <w:t>Hyperbilirubinaemia</w:t>
      </w:r>
      <w:proofErr w:type="spellEnd"/>
      <w:r>
        <w:t xml:space="preserve">, myalgia, musculoskeletal pain anaemia, and photosensitivity reaction are known to occur with </w:t>
      </w:r>
      <w:proofErr w:type="spellStart"/>
      <w:r>
        <w:t>alectinib</w:t>
      </w:r>
      <w:proofErr w:type="spellEnd"/>
      <w:r>
        <w:t xml:space="preserve"> and are described in the </w:t>
      </w:r>
      <w:proofErr w:type="spellStart"/>
      <w:r>
        <w:t>alectinib</w:t>
      </w:r>
      <w:proofErr w:type="spellEnd"/>
      <w:r>
        <w:t xml:space="preserve"> PI. Two new safety signals (acute kidney injury and weight gain) emerged from the study and have been incorporated into the PI appropriately. Acute kidney injury was reported in four patients (2.6%) in the </w:t>
      </w:r>
      <w:proofErr w:type="spellStart"/>
      <w:r>
        <w:t>alectinib</w:t>
      </w:r>
      <w:proofErr w:type="spellEnd"/>
      <w:r>
        <w:t xml:space="preserve"> arm but examination </w:t>
      </w:r>
      <w:r>
        <w:rPr>
          <w:spacing w:val="-3"/>
        </w:rPr>
        <w:t xml:space="preserve">of </w:t>
      </w:r>
      <w:r>
        <w:t xml:space="preserve">the case narratives does not indicate a </w:t>
      </w:r>
      <w:r>
        <w:rPr>
          <w:spacing w:val="-3"/>
        </w:rPr>
        <w:t xml:space="preserve">clear </w:t>
      </w:r>
      <w:r>
        <w:t xml:space="preserve">enough association with </w:t>
      </w:r>
      <w:proofErr w:type="spellStart"/>
      <w:r>
        <w:t>alectinib</w:t>
      </w:r>
      <w:proofErr w:type="spellEnd"/>
      <w:r>
        <w:t xml:space="preserve"> </w:t>
      </w:r>
      <w:r>
        <w:rPr>
          <w:spacing w:val="1"/>
        </w:rPr>
        <w:t xml:space="preserve">to </w:t>
      </w:r>
      <w:r>
        <w:t>warrant inclusion under Precautions based on current</w:t>
      </w:r>
      <w:r>
        <w:rPr>
          <w:spacing w:val="3"/>
        </w:rPr>
        <w:t xml:space="preserve"> </w:t>
      </w:r>
      <w:r>
        <w:t>information.</w:t>
      </w:r>
    </w:p>
    <w:p w14:paraId="2762947E" w14:textId="77777777" w:rsidR="005F3542" w:rsidRDefault="005F3542" w:rsidP="00C558A5">
      <w:r>
        <w:t>The clinical evaluator’s conclusion was that:</w:t>
      </w:r>
    </w:p>
    <w:p w14:paraId="0BE774D4" w14:textId="77777777" w:rsidR="005F3542" w:rsidRPr="00EB19F0" w:rsidRDefault="005F3542" w:rsidP="008C5BF3">
      <w:pPr>
        <w:ind w:left="720"/>
        <w:rPr>
          <w:i/>
        </w:rPr>
      </w:pPr>
      <w:r w:rsidRPr="00EB19F0">
        <w:rPr>
          <w:i/>
        </w:rPr>
        <w:t xml:space="preserve">The safety profile of </w:t>
      </w:r>
      <w:proofErr w:type="spellStart"/>
      <w:r w:rsidRPr="00EB19F0">
        <w:rPr>
          <w:i/>
        </w:rPr>
        <w:t>alectinib</w:t>
      </w:r>
      <w:proofErr w:type="spellEnd"/>
      <w:r w:rsidRPr="00EB19F0">
        <w:rPr>
          <w:i/>
        </w:rPr>
        <w:t xml:space="preserve"> differs from, but overall, is more favourable than for </w:t>
      </w:r>
      <w:proofErr w:type="spellStart"/>
      <w:r w:rsidRPr="00EB19F0">
        <w:rPr>
          <w:i/>
        </w:rPr>
        <w:t>crizotinib</w:t>
      </w:r>
      <w:proofErr w:type="spellEnd"/>
      <w:r w:rsidRPr="00EB19F0">
        <w:rPr>
          <w:i/>
        </w:rPr>
        <w:t xml:space="preserve"> in the treatment of patients who have not received prior systemic therapy for advanced recurrent or metastatic ALK-positive NSCLC</w:t>
      </w:r>
      <w:r w:rsidR="008C5BF3" w:rsidRPr="00EB19F0">
        <w:rPr>
          <w:i/>
        </w:rPr>
        <w:t>.</w:t>
      </w:r>
    </w:p>
    <w:p w14:paraId="49798E54" w14:textId="77777777" w:rsidR="008E7846" w:rsidRDefault="00386150" w:rsidP="008C5BF3">
      <w:pPr>
        <w:pStyle w:val="Heading4"/>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99"/>
    </w:p>
    <w:p w14:paraId="575617E3" w14:textId="77777777" w:rsidR="005F3542" w:rsidRDefault="00EB19F0" w:rsidP="008C5BF3">
      <w:bookmarkStart w:id="109" w:name="_Toc247691531"/>
      <w:bookmarkStart w:id="110" w:name="_Toc314842515"/>
      <w:bookmarkStart w:id="111" w:name="_Toc196046505"/>
      <w:bookmarkStart w:id="112" w:name="_Toc196046949"/>
      <w:r>
        <w:t>TGA</w:t>
      </w:r>
      <w:r w:rsidR="005F3542">
        <w:t xml:space="preserve"> </w:t>
      </w:r>
      <w:r>
        <w:t>conducted an evaluation of the RMP. T</w:t>
      </w:r>
      <w:r w:rsidR="005F3542">
        <w:t>he RMP was considered to be satisfactory. The evaluator had no recommendations and there were no outstanding issues.</w:t>
      </w:r>
    </w:p>
    <w:p w14:paraId="1CDF4478" w14:textId="77777777" w:rsidR="008E7846" w:rsidRDefault="00AA0ED0" w:rsidP="008E7846">
      <w:pPr>
        <w:pStyle w:val="Heading3"/>
      </w:pPr>
      <w:bookmarkStart w:id="113" w:name="_Toc509821977"/>
      <w:r>
        <w:t>Risk-benefit a</w:t>
      </w:r>
      <w:r w:rsidR="008E7846">
        <w:t>nalysis</w:t>
      </w:r>
      <w:bookmarkEnd w:id="109"/>
      <w:bookmarkEnd w:id="110"/>
      <w:bookmarkEnd w:id="113"/>
    </w:p>
    <w:p w14:paraId="687EE452" w14:textId="77777777" w:rsidR="00407466" w:rsidRDefault="00D23139" w:rsidP="008C5BF3">
      <w:pPr>
        <w:pStyle w:val="Heading4"/>
      </w:pPr>
      <w:r w:rsidRPr="00D23139">
        <w:t xml:space="preserve">Delegate’s </w:t>
      </w:r>
      <w:r w:rsidRPr="008C5BF3">
        <w:t>considerations</w:t>
      </w:r>
    </w:p>
    <w:p w14:paraId="4494C2D3" w14:textId="6E12F647" w:rsidR="00EB19F0" w:rsidRPr="00EB19F0" w:rsidRDefault="00EB19F0" w:rsidP="00EB19F0">
      <w:r>
        <w:t xml:space="preserve">The following table summarises the Delegate’s considerations of benefits and associated uncertainties, and harms and associated uncertainties, and </w:t>
      </w:r>
      <w:r w:rsidR="00083CF0">
        <w:t>a</w:t>
      </w:r>
      <w:r>
        <w:t xml:space="preserve"> benefit risk balance.</w:t>
      </w:r>
    </w:p>
    <w:p w14:paraId="1A02F857" w14:textId="77777777" w:rsidR="008C5BF3" w:rsidRPr="008C5BF3" w:rsidRDefault="00EB19F0" w:rsidP="008C5BF3">
      <w:pPr>
        <w:pStyle w:val="TableTitle"/>
      </w:pPr>
      <w:r>
        <w:t>Table 11: Delegate’s considerations</w:t>
      </w:r>
    </w:p>
    <w:tbl>
      <w:tblPr>
        <w:tblW w:w="8679" w:type="dxa"/>
        <w:tblInd w:w="115" w:type="dxa"/>
        <w:tblLayout w:type="fixed"/>
        <w:tblCellMar>
          <w:left w:w="0" w:type="dxa"/>
          <w:right w:w="0" w:type="dxa"/>
        </w:tblCellMar>
        <w:tblLook w:val="0000" w:firstRow="0" w:lastRow="0" w:firstColumn="0" w:lastColumn="0" w:noHBand="0" w:noVBand="0"/>
      </w:tblPr>
      <w:tblGrid>
        <w:gridCol w:w="1591"/>
        <w:gridCol w:w="7088"/>
      </w:tblGrid>
      <w:tr w:rsidR="005F3542" w14:paraId="023DB29F" w14:textId="77777777" w:rsidTr="008C5BF3">
        <w:trPr>
          <w:trHeight w:val="2524"/>
        </w:trPr>
        <w:tc>
          <w:tcPr>
            <w:tcW w:w="1591" w:type="dxa"/>
            <w:tcBorders>
              <w:top w:val="single" w:sz="4" w:space="0" w:color="000000"/>
              <w:left w:val="single" w:sz="4" w:space="0" w:color="000000"/>
              <w:bottom w:val="single" w:sz="4" w:space="0" w:color="000000"/>
              <w:right w:val="single" w:sz="4" w:space="0" w:color="000000"/>
            </w:tcBorders>
            <w:shd w:val="clear" w:color="auto" w:fill="0070C0"/>
          </w:tcPr>
          <w:p w14:paraId="7EFDD35B" w14:textId="77777777" w:rsidR="005F3542" w:rsidRPr="008C5BF3" w:rsidRDefault="005F3542" w:rsidP="008C5BF3">
            <w:pPr>
              <w:ind w:left="174"/>
              <w:rPr>
                <w:b/>
                <w:color w:val="FFFFFF" w:themeColor="background1"/>
                <w:sz w:val="20"/>
                <w:szCs w:val="20"/>
              </w:rPr>
            </w:pPr>
            <w:r w:rsidRPr="008C5BF3">
              <w:rPr>
                <w:b/>
                <w:color w:val="FFFFFF" w:themeColor="background1"/>
                <w:sz w:val="20"/>
                <w:szCs w:val="20"/>
              </w:rPr>
              <w:t>Benefits and associated uncertainties</w:t>
            </w:r>
          </w:p>
        </w:tc>
        <w:tc>
          <w:tcPr>
            <w:tcW w:w="7088" w:type="dxa"/>
            <w:tcBorders>
              <w:top w:val="single" w:sz="4" w:space="0" w:color="000000"/>
              <w:left w:val="single" w:sz="4" w:space="0" w:color="000000"/>
              <w:bottom w:val="single" w:sz="4" w:space="0" w:color="000000"/>
              <w:right w:val="single" w:sz="4" w:space="0" w:color="000000"/>
            </w:tcBorders>
          </w:tcPr>
          <w:p w14:paraId="6AA23B46" w14:textId="77777777" w:rsidR="005F3542" w:rsidRPr="008C5BF3" w:rsidRDefault="005F3542" w:rsidP="008C5BF3">
            <w:pPr>
              <w:ind w:left="174"/>
              <w:rPr>
                <w:sz w:val="20"/>
                <w:szCs w:val="20"/>
              </w:rPr>
            </w:pPr>
            <w:r w:rsidRPr="008C5BF3">
              <w:rPr>
                <w:sz w:val="20"/>
                <w:szCs w:val="20"/>
              </w:rPr>
              <w:t xml:space="preserve">According to the </w:t>
            </w:r>
            <w:r w:rsidRPr="008C5BF3">
              <w:rPr>
                <w:spacing w:val="-4"/>
                <w:sz w:val="20"/>
                <w:szCs w:val="20"/>
              </w:rPr>
              <w:t xml:space="preserve">ALEX </w:t>
            </w:r>
            <w:r w:rsidRPr="008C5BF3">
              <w:rPr>
                <w:sz w:val="20"/>
                <w:szCs w:val="20"/>
              </w:rPr>
              <w:t xml:space="preserve">study, compared with </w:t>
            </w:r>
            <w:proofErr w:type="spellStart"/>
            <w:r w:rsidRPr="008C5BF3">
              <w:rPr>
                <w:sz w:val="20"/>
                <w:szCs w:val="20"/>
              </w:rPr>
              <w:t>crizotinib</w:t>
            </w:r>
            <w:proofErr w:type="spellEnd"/>
            <w:r w:rsidRPr="008C5BF3">
              <w:rPr>
                <w:sz w:val="20"/>
                <w:szCs w:val="20"/>
              </w:rPr>
              <w:t xml:space="preserve">, </w:t>
            </w:r>
            <w:proofErr w:type="spellStart"/>
            <w:r w:rsidRPr="008C5BF3">
              <w:rPr>
                <w:sz w:val="20"/>
                <w:szCs w:val="20"/>
              </w:rPr>
              <w:t>alectinib</w:t>
            </w:r>
            <w:proofErr w:type="spellEnd"/>
            <w:r w:rsidRPr="008C5BF3">
              <w:rPr>
                <w:sz w:val="20"/>
                <w:szCs w:val="20"/>
              </w:rPr>
              <w:t xml:space="preserve"> improved investigator-assessed progression-free survival (PFS), the pre-specif</w:t>
            </w:r>
            <w:r w:rsidR="00EB19F0">
              <w:rPr>
                <w:sz w:val="20"/>
                <w:szCs w:val="20"/>
              </w:rPr>
              <w:t>i</w:t>
            </w:r>
            <w:r w:rsidRPr="008C5BF3">
              <w:rPr>
                <w:sz w:val="20"/>
                <w:szCs w:val="20"/>
              </w:rPr>
              <w:t xml:space="preserve">ed primary endpoint, by 53% (hazard ratio </w:t>
            </w:r>
            <w:r w:rsidRPr="008C5BF3">
              <w:rPr>
                <w:spacing w:val="-3"/>
                <w:sz w:val="20"/>
                <w:szCs w:val="20"/>
              </w:rPr>
              <w:t xml:space="preserve">[HR] </w:t>
            </w:r>
            <w:r w:rsidRPr="008C5BF3">
              <w:rPr>
                <w:sz w:val="20"/>
                <w:szCs w:val="20"/>
              </w:rPr>
              <w:t xml:space="preserve">0.47; </w:t>
            </w:r>
            <w:r w:rsidRPr="008C5BF3">
              <w:rPr>
                <w:spacing w:val="-4"/>
                <w:sz w:val="20"/>
                <w:szCs w:val="20"/>
              </w:rPr>
              <w:t xml:space="preserve">95% </w:t>
            </w:r>
            <w:r w:rsidRPr="008C5BF3">
              <w:rPr>
                <w:sz w:val="20"/>
                <w:szCs w:val="20"/>
              </w:rPr>
              <w:t xml:space="preserve">CI 0.34-0.65; P &lt;.0001). Median PFS </w:t>
            </w:r>
            <w:r w:rsidRPr="008C5BF3">
              <w:rPr>
                <w:spacing w:val="-3"/>
                <w:sz w:val="20"/>
                <w:szCs w:val="20"/>
              </w:rPr>
              <w:t xml:space="preserve">was </w:t>
            </w:r>
            <w:r w:rsidRPr="008C5BF3">
              <w:rPr>
                <w:sz w:val="20"/>
                <w:szCs w:val="20"/>
              </w:rPr>
              <w:t xml:space="preserve">not reached in the </w:t>
            </w:r>
            <w:proofErr w:type="spellStart"/>
            <w:r w:rsidRPr="008C5BF3">
              <w:rPr>
                <w:sz w:val="20"/>
                <w:szCs w:val="20"/>
              </w:rPr>
              <w:t>alectinib</w:t>
            </w:r>
            <w:proofErr w:type="spellEnd"/>
            <w:r w:rsidRPr="008C5BF3">
              <w:rPr>
                <w:sz w:val="20"/>
                <w:szCs w:val="20"/>
              </w:rPr>
              <w:t xml:space="preserve"> arm and </w:t>
            </w:r>
            <w:r w:rsidRPr="008C5BF3">
              <w:rPr>
                <w:spacing w:val="-3"/>
                <w:sz w:val="20"/>
                <w:szCs w:val="20"/>
              </w:rPr>
              <w:t xml:space="preserve">was </w:t>
            </w:r>
            <w:r w:rsidRPr="008C5BF3">
              <w:rPr>
                <w:sz w:val="20"/>
                <w:szCs w:val="20"/>
              </w:rPr>
              <w:t xml:space="preserve">just </w:t>
            </w:r>
            <w:r w:rsidRPr="008C5BF3">
              <w:rPr>
                <w:spacing w:val="-3"/>
                <w:sz w:val="20"/>
                <w:szCs w:val="20"/>
              </w:rPr>
              <w:t>over 11 months</w:t>
            </w:r>
            <w:r w:rsidR="00C558A5">
              <w:rPr>
                <w:spacing w:val="-3"/>
                <w:sz w:val="20"/>
                <w:szCs w:val="20"/>
              </w:rPr>
              <w:t xml:space="preserve"> </w:t>
            </w:r>
            <w:r w:rsidRPr="008C5BF3">
              <w:rPr>
                <w:sz w:val="20"/>
                <w:szCs w:val="20"/>
              </w:rPr>
              <w:t xml:space="preserve">in the </w:t>
            </w:r>
            <w:proofErr w:type="spellStart"/>
            <w:r w:rsidRPr="008C5BF3">
              <w:rPr>
                <w:sz w:val="20"/>
                <w:szCs w:val="20"/>
              </w:rPr>
              <w:t>crizotinib</w:t>
            </w:r>
            <w:proofErr w:type="spellEnd"/>
            <w:r w:rsidRPr="008C5BF3">
              <w:rPr>
                <w:spacing w:val="-2"/>
                <w:sz w:val="20"/>
                <w:szCs w:val="20"/>
              </w:rPr>
              <w:t xml:space="preserve"> </w:t>
            </w:r>
            <w:r w:rsidRPr="008C5BF3">
              <w:rPr>
                <w:sz w:val="20"/>
                <w:szCs w:val="20"/>
              </w:rPr>
              <w:t>arm.</w:t>
            </w:r>
          </w:p>
          <w:p w14:paraId="6CC8D7F3" w14:textId="77777777" w:rsidR="005F3542" w:rsidRPr="008C5BF3" w:rsidRDefault="005F3542" w:rsidP="008C5BF3">
            <w:pPr>
              <w:ind w:left="174"/>
              <w:rPr>
                <w:sz w:val="20"/>
                <w:szCs w:val="20"/>
              </w:rPr>
            </w:pPr>
            <w:r w:rsidRPr="008C5BF3">
              <w:rPr>
                <w:sz w:val="20"/>
                <w:szCs w:val="20"/>
              </w:rPr>
              <w:t xml:space="preserve">The HR </w:t>
            </w:r>
            <w:r w:rsidRPr="008C5BF3">
              <w:rPr>
                <w:spacing w:val="-3"/>
                <w:sz w:val="20"/>
                <w:szCs w:val="20"/>
              </w:rPr>
              <w:t xml:space="preserve">for </w:t>
            </w:r>
            <w:r w:rsidRPr="008C5BF3">
              <w:rPr>
                <w:sz w:val="20"/>
                <w:szCs w:val="20"/>
              </w:rPr>
              <w:t xml:space="preserve">PFS by blinded independent central review (secondary endpoint) </w:t>
            </w:r>
            <w:r w:rsidRPr="008C5BF3">
              <w:rPr>
                <w:spacing w:val="-3"/>
                <w:sz w:val="20"/>
                <w:szCs w:val="20"/>
              </w:rPr>
              <w:t xml:space="preserve">was 0.50 </w:t>
            </w:r>
            <w:r w:rsidRPr="008C5BF3">
              <w:rPr>
                <w:sz w:val="20"/>
                <w:szCs w:val="20"/>
              </w:rPr>
              <w:t xml:space="preserve">(0.36, 0.70), p&lt;0.0001. The median PFS </w:t>
            </w:r>
            <w:r w:rsidRPr="008C5BF3">
              <w:rPr>
                <w:spacing w:val="-3"/>
                <w:sz w:val="20"/>
                <w:szCs w:val="20"/>
              </w:rPr>
              <w:t xml:space="preserve">was 26 </w:t>
            </w:r>
            <w:r w:rsidRPr="008C5BF3">
              <w:rPr>
                <w:sz w:val="20"/>
                <w:szCs w:val="20"/>
              </w:rPr>
              <w:t xml:space="preserve">months in the </w:t>
            </w:r>
            <w:proofErr w:type="spellStart"/>
            <w:r w:rsidRPr="008C5BF3">
              <w:rPr>
                <w:sz w:val="20"/>
                <w:szCs w:val="20"/>
              </w:rPr>
              <w:t>alectinib</w:t>
            </w:r>
            <w:proofErr w:type="spellEnd"/>
            <w:r w:rsidRPr="008C5BF3">
              <w:rPr>
                <w:sz w:val="20"/>
                <w:szCs w:val="20"/>
              </w:rPr>
              <w:t xml:space="preserve"> arm and 10 </w:t>
            </w:r>
            <w:r w:rsidRPr="008C5BF3">
              <w:rPr>
                <w:spacing w:val="-2"/>
                <w:sz w:val="20"/>
                <w:szCs w:val="20"/>
              </w:rPr>
              <w:t xml:space="preserve">months </w:t>
            </w:r>
            <w:r w:rsidRPr="008C5BF3">
              <w:rPr>
                <w:sz w:val="20"/>
                <w:szCs w:val="20"/>
              </w:rPr>
              <w:t xml:space="preserve">in the </w:t>
            </w:r>
            <w:proofErr w:type="spellStart"/>
            <w:r w:rsidRPr="008C5BF3">
              <w:rPr>
                <w:sz w:val="20"/>
                <w:szCs w:val="20"/>
              </w:rPr>
              <w:t>crizotinib</w:t>
            </w:r>
            <w:proofErr w:type="spellEnd"/>
            <w:r w:rsidRPr="008C5BF3">
              <w:rPr>
                <w:spacing w:val="8"/>
                <w:sz w:val="20"/>
                <w:szCs w:val="20"/>
              </w:rPr>
              <w:t xml:space="preserve"> </w:t>
            </w:r>
            <w:r w:rsidRPr="008C5BF3">
              <w:rPr>
                <w:sz w:val="20"/>
                <w:szCs w:val="20"/>
              </w:rPr>
              <w:t>arm.</w:t>
            </w:r>
          </w:p>
          <w:p w14:paraId="70117837" w14:textId="77777777" w:rsidR="005F3542" w:rsidRPr="008C5BF3" w:rsidRDefault="005F3542" w:rsidP="008C5BF3">
            <w:pPr>
              <w:ind w:left="174"/>
              <w:rPr>
                <w:sz w:val="20"/>
                <w:szCs w:val="20"/>
              </w:rPr>
            </w:pPr>
            <w:r w:rsidRPr="008C5BF3">
              <w:rPr>
                <w:sz w:val="20"/>
                <w:szCs w:val="20"/>
              </w:rPr>
              <w:t xml:space="preserve">De </w:t>
            </w:r>
            <w:r w:rsidRPr="008C5BF3">
              <w:rPr>
                <w:spacing w:val="-3"/>
                <w:sz w:val="20"/>
                <w:szCs w:val="20"/>
              </w:rPr>
              <w:t xml:space="preserve">novo </w:t>
            </w:r>
            <w:r w:rsidRPr="008C5BF3">
              <w:rPr>
                <w:sz w:val="20"/>
                <w:szCs w:val="20"/>
              </w:rPr>
              <w:t xml:space="preserve">metastases occurred in 12% </w:t>
            </w:r>
            <w:r w:rsidRPr="008C5BF3">
              <w:rPr>
                <w:spacing w:val="-3"/>
                <w:sz w:val="20"/>
                <w:szCs w:val="20"/>
              </w:rPr>
              <w:t xml:space="preserve">of </w:t>
            </w:r>
            <w:r w:rsidRPr="008C5BF3">
              <w:rPr>
                <w:sz w:val="20"/>
                <w:szCs w:val="20"/>
              </w:rPr>
              <w:t xml:space="preserve">patients in the </w:t>
            </w:r>
            <w:proofErr w:type="spellStart"/>
            <w:r w:rsidRPr="008C5BF3">
              <w:rPr>
                <w:sz w:val="20"/>
                <w:szCs w:val="20"/>
              </w:rPr>
              <w:t>alectinib</w:t>
            </w:r>
            <w:proofErr w:type="spellEnd"/>
            <w:r w:rsidRPr="008C5BF3">
              <w:rPr>
                <w:sz w:val="20"/>
                <w:szCs w:val="20"/>
              </w:rPr>
              <w:t xml:space="preserve"> arm and 45% in the </w:t>
            </w:r>
            <w:proofErr w:type="spellStart"/>
            <w:r w:rsidRPr="008C5BF3">
              <w:rPr>
                <w:sz w:val="20"/>
                <w:szCs w:val="20"/>
              </w:rPr>
              <w:t>crizotinib</w:t>
            </w:r>
            <w:proofErr w:type="spellEnd"/>
            <w:r w:rsidRPr="008C5BF3">
              <w:rPr>
                <w:sz w:val="20"/>
                <w:szCs w:val="20"/>
              </w:rPr>
              <w:t xml:space="preserve"> arm: HR=0.16 (0.10, 0.28),</w:t>
            </w:r>
            <w:r w:rsidRPr="008C5BF3">
              <w:rPr>
                <w:spacing w:val="-3"/>
                <w:sz w:val="20"/>
                <w:szCs w:val="20"/>
              </w:rPr>
              <w:t xml:space="preserve"> </w:t>
            </w:r>
            <w:r w:rsidRPr="008C5BF3">
              <w:rPr>
                <w:sz w:val="20"/>
                <w:szCs w:val="20"/>
              </w:rPr>
              <w:t>p&lt;0.0001.</w:t>
            </w:r>
          </w:p>
          <w:p w14:paraId="693DC865" w14:textId="77777777" w:rsidR="005F3542" w:rsidRPr="008C5BF3" w:rsidRDefault="005F3542" w:rsidP="008C5BF3">
            <w:pPr>
              <w:ind w:left="174"/>
              <w:rPr>
                <w:sz w:val="20"/>
                <w:szCs w:val="20"/>
              </w:rPr>
            </w:pPr>
            <w:r w:rsidRPr="008C5BF3">
              <w:rPr>
                <w:spacing w:val="-4"/>
                <w:sz w:val="20"/>
                <w:szCs w:val="20"/>
              </w:rPr>
              <w:t xml:space="preserve">At </w:t>
            </w:r>
            <w:r w:rsidRPr="008C5BF3">
              <w:rPr>
                <w:sz w:val="20"/>
                <w:szCs w:val="20"/>
              </w:rPr>
              <w:t xml:space="preserve">the time </w:t>
            </w:r>
            <w:r w:rsidRPr="008C5BF3">
              <w:rPr>
                <w:spacing w:val="-3"/>
                <w:sz w:val="20"/>
                <w:szCs w:val="20"/>
              </w:rPr>
              <w:t xml:space="preserve">of </w:t>
            </w:r>
            <w:r w:rsidRPr="008C5BF3">
              <w:rPr>
                <w:sz w:val="20"/>
                <w:szCs w:val="20"/>
              </w:rPr>
              <w:t xml:space="preserve">data </w:t>
            </w:r>
            <w:proofErr w:type="spellStart"/>
            <w:r w:rsidRPr="008C5BF3">
              <w:rPr>
                <w:spacing w:val="-3"/>
                <w:sz w:val="20"/>
                <w:szCs w:val="20"/>
              </w:rPr>
              <w:t>cutoff</w:t>
            </w:r>
            <w:proofErr w:type="spellEnd"/>
            <w:r w:rsidRPr="008C5BF3">
              <w:rPr>
                <w:spacing w:val="-3"/>
                <w:sz w:val="20"/>
                <w:szCs w:val="20"/>
              </w:rPr>
              <w:t xml:space="preserve">, </w:t>
            </w:r>
            <w:r w:rsidRPr="008C5BF3">
              <w:rPr>
                <w:sz w:val="20"/>
                <w:szCs w:val="20"/>
              </w:rPr>
              <w:t xml:space="preserve">about one-quarter </w:t>
            </w:r>
            <w:r w:rsidRPr="008C5BF3">
              <w:rPr>
                <w:spacing w:val="-3"/>
                <w:sz w:val="20"/>
                <w:szCs w:val="20"/>
              </w:rPr>
              <w:t xml:space="preserve">of </w:t>
            </w:r>
            <w:r w:rsidRPr="008C5BF3">
              <w:rPr>
                <w:sz w:val="20"/>
                <w:szCs w:val="20"/>
              </w:rPr>
              <w:t xml:space="preserve">the patients had </w:t>
            </w:r>
            <w:r w:rsidRPr="008C5BF3">
              <w:rPr>
                <w:spacing w:val="-3"/>
                <w:sz w:val="20"/>
                <w:szCs w:val="20"/>
              </w:rPr>
              <w:t xml:space="preserve">died: </w:t>
            </w:r>
            <w:proofErr w:type="spellStart"/>
            <w:r w:rsidRPr="008C5BF3">
              <w:rPr>
                <w:sz w:val="20"/>
                <w:szCs w:val="20"/>
              </w:rPr>
              <w:t>alectinib</w:t>
            </w:r>
            <w:proofErr w:type="spellEnd"/>
            <w:r w:rsidRPr="008C5BF3">
              <w:rPr>
                <w:sz w:val="20"/>
                <w:szCs w:val="20"/>
              </w:rPr>
              <w:t xml:space="preserve">: 23%; </w:t>
            </w:r>
            <w:proofErr w:type="spellStart"/>
            <w:r w:rsidRPr="008C5BF3">
              <w:rPr>
                <w:sz w:val="20"/>
                <w:szCs w:val="20"/>
              </w:rPr>
              <w:t>crizotinib</w:t>
            </w:r>
            <w:proofErr w:type="spellEnd"/>
            <w:r w:rsidRPr="008C5BF3">
              <w:rPr>
                <w:sz w:val="20"/>
                <w:szCs w:val="20"/>
              </w:rPr>
              <w:t xml:space="preserve">: 27%; HR=0.76 (0.48, 1.20), not statistically significant. More </w:t>
            </w:r>
            <w:r w:rsidRPr="008C5BF3">
              <w:rPr>
                <w:spacing w:val="-2"/>
                <w:sz w:val="20"/>
                <w:szCs w:val="20"/>
              </w:rPr>
              <w:t xml:space="preserve">mature </w:t>
            </w:r>
            <w:r w:rsidRPr="008C5BF3">
              <w:rPr>
                <w:sz w:val="20"/>
                <w:szCs w:val="20"/>
              </w:rPr>
              <w:t xml:space="preserve">data </w:t>
            </w:r>
            <w:r w:rsidRPr="008C5BF3">
              <w:rPr>
                <w:spacing w:val="-3"/>
                <w:sz w:val="20"/>
                <w:szCs w:val="20"/>
              </w:rPr>
              <w:t xml:space="preserve">on </w:t>
            </w:r>
            <w:r w:rsidRPr="008C5BF3">
              <w:rPr>
                <w:sz w:val="20"/>
                <w:szCs w:val="20"/>
              </w:rPr>
              <w:t>overall survival and post- progression treatments is</w:t>
            </w:r>
            <w:r w:rsidRPr="008C5BF3">
              <w:rPr>
                <w:spacing w:val="-1"/>
                <w:sz w:val="20"/>
                <w:szCs w:val="20"/>
              </w:rPr>
              <w:t xml:space="preserve"> </w:t>
            </w:r>
            <w:r w:rsidRPr="008C5BF3">
              <w:rPr>
                <w:sz w:val="20"/>
                <w:szCs w:val="20"/>
              </w:rPr>
              <w:t>expected.</w:t>
            </w:r>
          </w:p>
        </w:tc>
      </w:tr>
      <w:tr w:rsidR="005F3542" w14:paraId="45B7E38A" w14:textId="77777777" w:rsidTr="008C5BF3">
        <w:trPr>
          <w:trHeight w:val="4497"/>
        </w:trPr>
        <w:tc>
          <w:tcPr>
            <w:tcW w:w="1591" w:type="dxa"/>
            <w:tcBorders>
              <w:top w:val="single" w:sz="4" w:space="0" w:color="000000"/>
              <w:left w:val="single" w:sz="4" w:space="0" w:color="000000"/>
              <w:bottom w:val="single" w:sz="4" w:space="0" w:color="000000"/>
              <w:right w:val="single" w:sz="4" w:space="0" w:color="000000"/>
            </w:tcBorders>
            <w:shd w:val="clear" w:color="auto" w:fill="0070C0"/>
          </w:tcPr>
          <w:p w14:paraId="13FA2EC5" w14:textId="77777777" w:rsidR="005F3542" w:rsidRPr="008C5BF3" w:rsidRDefault="005F3542" w:rsidP="008C5BF3">
            <w:pPr>
              <w:ind w:left="174"/>
              <w:rPr>
                <w:b/>
                <w:color w:val="FFFFFF" w:themeColor="background1"/>
                <w:sz w:val="20"/>
                <w:szCs w:val="20"/>
              </w:rPr>
            </w:pPr>
            <w:r w:rsidRPr="008C5BF3">
              <w:rPr>
                <w:b/>
                <w:color w:val="FFFFFF" w:themeColor="background1"/>
                <w:sz w:val="20"/>
                <w:szCs w:val="20"/>
              </w:rPr>
              <w:lastRenderedPageBreak/>
              <w:t>Harms and associated uncertainties</w:t>
            </w:r>
          </w:p>
        </w:tc>
        <w:tc>
          <w:tcPr>
            <w:tcW w:w="7088" w:type="dxa"/>
            <w:tcBorders>
              <w:top w:val="single" w:sz="4" w:space="0" w:color="000000"/>
              <w:left w:val="single" w:sz="4" w:space="0" w:color="000000"/>
              <w:bottom w:val="single" w:sz="4" w:space="0" w:color="000000"/>
              <w:right w:val="single" w:sz="4" w:space="0" w:color="000000"/>
            </w:tcBorders>
          </w:tcPr>
          <w:p w14:paraId="7FE0E719" w14:textId="77777777" w:rsidR="005F3542" w:rsidRPr="008C5BF3" w:rsidRDefault="005F3542" w:rsidP="008C5BF3">
            <w:pPr>
              <w:ind w:left="174"/>
              <w:rPr>
                <w:sz w:val="20"/>
                <w:szCs w:val="20"/>
              </w:rPr>
            </w:pPr>
            <w:r w:rsidRPr="008C5BF3">
              <w:rPr>
                <w:sz w:val="20"/>
                <w:szCs w:val="20"/>
              </w:rPr>
              <w:t xml:space="preserve">Adverse events (AEs) seen in the </w:t>
            </w:r>
            <w:r w:rsidRPr="008C5BF3">
              <w:rPr>
                <w:spacing w:val="-4"/>
                <w:sz w:val="20"/>
                <w:szCs w:val="20"/>
              </w:rPr>
              <w:t xml:space="preserve">ALEX </w:t>
            </w:r>
            <w:r w:rsidRPr="008C5BF3">
              <w:rPr>
                <w:sz w:val="20"/>
                <w:szCs w:val="20"/>
              </w:rPr>
              <w:t xml:space="preserve">trial were principally in keeping </w:t>
            </w:r>
            <w:r w:rsidRPr="008C5BF3">
              <w:rPr>
                <w:spacing w:val="-3"/>
                <w:sz w:val="20"/>
                <w:szCs w:val="20"/>
              </w:rPr>
              <w:t xml:space="preserve">with </w:t>
            </w:r>
            <w:r w:rsidRPr="008C5BF3">
              <w:rPr>
                <w:sz w:val="20"/>
                <w:szCs w:val="20"/>
              </w:rPr>
              <w:t xml:space="preserve">the </w:t>
            </w:r>
            <w:r w:rsidRPr="008C5BF3">
              <w:rPr>
                <w:spacing w:val="-3"/>
                <w:sz w:val="20"/>
                <w:szCs w:val="20"/>
              </w:rPr>
              <w:t xml:space="preserve">known </w:t>
            </w:r>
            <w:r w:rsidRPr="008C5BF3">
              <w:rPr>
                <w:sz w:val="20"/>
                <w:szCs w:val="20"/>
              </w:rPr>
              <w:t xml:space="preserve">safety profile </w:t>
            </w:r>
            <w:r w:rsidRPr="008C5BF3">
              <w:rPr>
                <w:spacing w:val="-3"/>
                <w:sz w:val="20"/>
                <w:szCs w:val="20"/>
              </w:rPr>
              <w:t xml:space="preserve">of </w:t>
            </w:r>
            <w:proofErr w:type="spellStart"/>
            <w:r w:rsidRPr="008C5BF3">
              <w:rPr>
                <w:sz w:val="20"/>
                <w:szCs w:val="20"/>
              </w:rPr>
              <w:t>alectinib</w:t>
            </w:r>
            <w:proofErr w:type="spellEnd"/>
            <w:r w:rsidRPr="008C5BF3">
              <w:rPr>
                <w:sz w:val="20"/>
                <w:szCs w:val="20"/>
              </w:rPr>
              <w:t xml:space="preserve">. </w:t>
            </w:r>
            <w:r w:rsidRPr="008C5BF3">
              <w:rPr>
                <w:spacing w:val="-3"/>
                <w:sz w:val="20"/>
                <w:szCs w:val="20"/>
              </w:rPr>
              <w:t xml:space="preserve">AEs </w:t>
            </w:r>
            <w:r w:rsidRPr="008C5BF3">
              <w:rPr>
                <w:sz w:val="20"/>
                <w:szCs w:val="20"/>
              </w:rPr>
              <w:t xml:space="preserve">that were reported at similar rates between arms were constipation, fatigue, </w:t>
            </w:r>
            <w:r w:rsidRPr="008C5BF3">
              <w:rPr>
                <w:spacing w:val="-3"/>
                <w:sz w:val="20"/>
                <w:szCs w:val="20"/>
              </w:rPr>
              <w:t xml:space="preserve">arthralgia, </w:t>
            </w:r>
            <w:r w:rsidRPr="008C5BF3">
              <w:rPr>
                <w:sz w:val="20"/>
                <w:szCs w:val="20"/>
              </w:rPr>
              <w:t>and</w:t>
            </w:r>
            <w:r w:rsidRPr="008C5BF3">
              <w:rPr>
                <w:spacing w:val="-2"/>
                <w:sz w:val="20"/>
                <w:szCs w:val="20"/>
              </w:rPr>
              <w:t xml:space="preserve"> </w:t>
            </w:r>
            <w:r w:rsidRPr="008C5BF3">
              <w:rPr>
                <w:sz w:val="20"/>
                <w:szCs w:val="20"/>
              </w:rPr>
              <w:t>rash.</w:t>
            </w:r>
          </w:p>
          <w:p w14:paraId="720EAF60" w14:textId="77777777" w:rsidR="005F3542" w:rsidRPr="008C5BF3" w:rsidRDefault="005F3542" w:rsidP="008C5BF3">
            <w:pPr>
              <w:ind w:left="174"/>
              <w:rPr>
                <w:sz w:val="20"/>
                <w:szCs w:val="20"/>
              </w:rPr>
            </w:pPr>
            <w:r w:rsidRPr="008C5BF3">
              <w:rPr>
                <w:sz w:val="20"/>
                <w:szCs w:val="20"/>
              </w:rPr>
              <w:t xml:space="preserve">Gastrointestinal </w:t>
            </w:r>
            <w:r w:rsidRPr="008C5BF3">
              <w:rPr>
                <w:spacing w:val="-3"/>
                <w:sz w:val="20"/>
                <w:szCs w:val="20"/>
              </w:rPr>
              <w:t xml:space="preserve">(GI) </w:t>
            </w:r>
            <w:r w:rsidRPr="008C5BF3">
              <w:rPr>
                <w:sz w:val="20"/>
                <w:szCs w:val="20"/>
              </w:rPr>
              <w:t xml:space="preserve">toxicity was better with </w:t>
            </w:r>
            <w:proofErr w:type="spellStart"/>
            <w:r w:rsidRPr="008C5BF3">
              <w:rPr>
                <w:sz w:val="20"/>
                <w:szCs w:val="20"/>
              </w:rPr>
              <w:t>alectinib</w:t>
            </w:r>
            <w:proofErr w:type="spellEnd"/>
            <w:r w:rsidRPr="008C5BF3">
              <w:rPr>
                <w:sz w:val="20"/>
                <w:szCs w:val="20"/>
              </w:rPr>
              <w:t xml:space="preserve"> than </w:t>
            </w:r>
            <w:proofErr w:type="spellStart"/>
            <w:r w:rsidRPr="008C5BF3">
              <w:rPr>
                <w:sz w:val="20"/>
                <w:szCs w:val="20"/>
              </w:rPr>
              <w:t>crizotinib</w:t>
            </w:r>
            <w:proofErr w:type="spellEnd"/>
            <w:r w:rsidRPr="008C5BF3">
              <w:rPr>
                <w:sz w:val="20"/>
                <w:szCs w:val="20"/>
              </w:rPr>
              <w:t xml:space="preserve">. </w:t>
            </w:r>
            <w:r w:rsidRPr="008C5BF3">
              <w:rPr>
                <w:spacing w:val="-3"/>
                <w:sz w:val="20"/>
                <w:szCs w:val="20"/>
              </w:rPr>
              <w:t xml:space="preserve">AEs </w:t>
            </w:r>
            <w:r w:rsidRPr="008C5BF3">
              <w:rPr>
                <w:sz w:val="20"/>
                <w:szCs w:val="20"/>
              </w:rPr>
              <w:t xml:space="preserve">that occurred more frequently with </w:t>
            </w:r>
            <w:proofErr w:type="spellStart"/>
            <w:r w:rsidRPr="008C5BF3">
              <w:rPr>
                <w:sz w:val="20"/>
                <w:szCs w:val="20"/>
              </w:rPr>
              <w:t>crizotinib</w:t>
            </w:r>
            <w:proofErr w:type="spellEnd"/>
            <w:r w:rsidRPr="008C5BF3">
              <w:rPr>
                <w:sz w:val="20"/>
                <w:szCs w:val="20"/>
              </w:rPr>
              <w:t xml:space="preserve"> (at least </w:t>
            </w:r>
            <w:r w:rsidRPr="008C5BF3">
              <w:rPr>
                <w:spacing w:val="-3"/>
                <w:sz w:val="20"/>
                <w:szCs w:val="20"/>
              </w:rPr>
              <w:t xml:space="preserve">5% </w:t>
            </w:r>
            <w:r w:rsidRPr="008C5BF3">
              <w:rPr>
                <w:sz w:val="20"/>
                <w:szCs w:val="20"/>
              </w:rPr>
              <w:t>higher incidence) included nausea (48%</w:t>
            </w:r>
            <w:r w:rsidR="00DB55D9">
              <w:rPr>
                <w:sz w:val="20"/>
                <w:szCs w:val="20"/>
              </w:rPr>
              <w:t xml:space="preserve"> versus </w:t>
            </w:r>
            <w:r w:rsidRPr="008C5BF3">
              <w:rPr>
                <w:sz w:val="20"/>
                <w:szCs w:val="20"/>
              </w:rPr>
              <w:t>14%), diarrhoea (45%</w:t>
            </w:r>
            <w:r w:rsidR="00DB55D9">
              <w:rPr>
                <w:sz w:val="20"/>
                <w:szCs w:val="20"/>
              </w:rPr>
              <w:t xml:space="preserve"> versus </w:t>
            </w:r>
            <w:r w:rsidRPr="008C5BF3">
              <w:rPr>
                <w:sz w:val="20"/>
                <w:szCs w:val="20"/>
              </w:rPr>
              <w:t>12%), vomiting (38%</w:t>
            </w:r>
            <w:r w:rsidR="00DB55D9">
              <w:rPr>
                <w:sz w:val="20"/>
                <w:szCs w:val="20"/>
              </w:rPr>
              <w:t xml:space="preserve"> versus </w:t>
            </w:r>
            <w:r w:rsidRPr="008C5BF3">
              <w:rPr>
                <w:spacing w:val="-3"/>
                <w:sz w:val="20"/>
                <w:szCs w:val="20"/>
              </w:rPr>
              <w:t xml:space="preserve">7%), </w:t>
            </w:r>
            <w:r w:rsidRPr="008C5BF3">
              <w:rPr>
                <w:spacing w:val="-5"/>
                <w:sz w:val="20"/>
                <w:szCs w:val="20"/>
              </w:rPr>
              <w:t xml:space="preserve">ALT </w:t>
            </w:r>
            <w:r w:rsidRPr="008C5BF3">
              <w:rPr>
                <w:sz w:val="20"/>
                <w:szCs w:val="20"/>
              </w:rPr>
              <w:t>elevation (30%</w:t>
            </w:r>
            <w:r w:rsidR="00DB55D9">
              <w:rPr>
                <w:sz w:val="20"/>
                <w:szCs w:val="20"/>
              </w:rPr>
              <w:t xml:space="preserve"> versus </w:t>
            </w:r>
            <w:r w:rsidRPr="008C5BF3">
              <w:rPr>
                <w:sz w:val="20"/>
                <w:szCs w:val="20"/>
              </w:rPr>
              <w:t xml:space="preserve">15%), </w:t>
            </w:r>
            <w:r w:rsidRPr="008C5BF3">
              <w:rPr>
                <w:spacing w:val="-3"/>
                <w:sz w:val="20"/>
                <w:szCs w:val="20"/>
              </w:rPr>
              <w:t xml:space="preserve">AST elevation </w:t>
            </w:r>
            <w:r w:rsidRPr="008C5BF3">
              <w:rPr>
                <w:sz w:val="20"/>
                <w:szCs w:val="20"/>
              </w:rPr>
              <w:t>(25%</w:t>
            </w:r>
            <w:r w:rsidR="00DB55D9">
              <w:rPr>
                <w:sz w:val="20"/>
                <w:szCs w:val="20"/>
              </w:rPr>
              <w:t xml:space="preserve"> versus </w:t>
            </w:r>
            <w:r w:rsidRPr="008C5BF3">
              <w:rPr>
                <w:sz w:val="20"/>
                <w:szCs w:val="20"/>
              </w:rPr>
              <w:t xml:space="preserve">14%), </w:t>
            </w:r>
            <w:r w:rsidR="00EB19F0" w:rsidRPr="00EB19F0">
              <w:rPr>
                <w:sz w:val="20"/>
                <w:szCs w:val="20"/>
              </w:rPr>
              <w:t>gamma-</w:t>
            </w:r>
            <w:proofErr w:type="spellStart"/>
            <w:r w:rsidR="00EB19F0" w:rsidRPr="00EB19F0">
              <w:rPr>
                <w:sz w:val="20"/>
                <w:szCs w:val="20"/>
              </w:rPr>
              <w:t>glutamyltransferase</w:t>
            </w:r>
            <w:proofErr w:type="spellEnd"/>
            <w:r w:rsidR="00EB19F0" w:rsidRPr="00EB19F0">
              <w:rPr>
                <w:sz w:val="20"/>
                <w:szCs w:val="20"/>
              </w:rPr>
              <w:t xml:space="preserve"> </w:t>
            </w:r>
            <w:r w:rsidR="00EB19F0">
              <w:rPr>
                <w:sz w:val="20"/>
                <w:szCs w:val="20"/>
              </w:rPr>
              <w:t>(</w:t>
            </w:r>
            <w:r w:rsidRPr="008C5BF3">
              <w:rPr>
                <w:sz w:val="20"/>
                <w:szCs w:val="20"/>
              </w:rPr>
              <w:t>GGT</w:t>
            </w:r>
            <w:r w:rsidR="00EB19F0">
              <w:rPr>
                <w:sz w:val="20"/>
                <w:szCs w:val="20"/>
              </w:rPr>
              <w:t>)</w:t>
            </w:r>
            <w:r w:rsidRPr="008C5BF3">
              <w:rPr>
                <w:sz w:val="20"/>
                <w:szCs w:val="20"/>
              </w:rPr>
              <w:t xml:space="preserve"> </w:t>
            </w:r>
            <w:r w:rsidRPr="008C5BF3">
              <w:rPr>
                <w:spacing w:val="-3"/>
                <w:sz w:val="20"/>
                <w:szCs w:val="20"/>
              </w:rPr>
              <w:t xml:space="preserve">elevation </w:t>
            </w:r>
            <w:r w:rsidRPr="008C5BF3">
              <w:rPr>
                <w:sz w:val="20"/>
                <w:szCs w:val="20"/>
              </w:rPr>
              <w:t xml:space="preserve">(7% </w:t>
            </w:r>
            <w:r w:rsidRPr="008C5BF3">
              <w:rPr>
                <w:spacing w:val="-3"/>
                <w:sz w:val="20"/>
                <w:szCs w:val="20"/>
              </w:rPr>
              <w:t>v</w:t>
            </w:r>
            <w:r w:rsidR="00186B83">
              <w:rPr>
                <w:spacing w:val="-3"/>
                <w:sz w:val="20"/>
                <w:szCs w:val="20"/>
              </w:rPr>
              <w:t xml:space="preserve">ersus </w:t>
            </w:r>
            <w:r w:rsidRPr="008C5BF3">
              <w:rPr>
                <w:spacing w:val="-3"/>
                <w:sz w:val="20"/>
                <w:szCs w:val="20"/>
              </w:rPr>
              <w:t xml:space="preserve">1%), </w:t>
            </w:r>
            <w:r w:rsidRPr="008C5BF3">
              <w:rPr>
                <w:sz w:val="20"/>
                <w:szCs w:val="20"/>
              </w:rPr>
              <w:t xml:space="preserve">peripheral oedema </w:t>
            </w:r>
            <w:r w:rsidRPr="008C5BF3">
              <w:rPr>
                <w:spacing w:val="-3"/>
                <w:sz w:val="20"/>
                <w:szCs w:val="20"/>
              </w:rPr>
              <w:t>(28%</w:t>
            </w:r>
            <w:r w:rsidR="00DB55D9">
              <w:rPr>
                <w:spacing w:val="-3"/>
                <w:sz w:val="20"/>
                <w:szCs w:val="20"/>
              </w:rPr>
              <w:t xml:space="preserve"> versus </w:t>
            </w:r>
            <w:r w:rsidRPr="008C5BF3">
              <w:rPr>
                <w:sz w:val="20"/>
                <w:szCs w:val="20"/>
              </w:rPr>
              <w:t>17%), dizziness (14%</w:t>
            </w:r>
            <w:r w:rsidR="00DB55D9">
              <w:rPr>
                <w:sz w:val="20"/>
                <w:szCs w:val="20"/>
              </w:rPr>
              <w:t xml:space="preserve"> versus </w:t>
            </w:r>
            <w:r w:rsidRPr="008C5BF3">
              <w:rPr>
                <w:sz w:val="20"/>
                <w:szCs w:val="20"/>
              </w:rPr>
              <w:t xml:space="preserve">8%), </w:t>
            </w:r>
            <w:proofErr w:type="spellStart"/>
            <w:r w:rsidRPr="008C5BF3">
              <w:rPr>
                <w:sz w:val="20"/>
                <w:szCs w:val="20"/>
              </w:rPr>
              <w:t>dysgeusia</w:t>
            </w:r>
            <w:proofErr w:type="spellEnd"/>
            <w:r w:rsidRPr="008C5BF3">
              <w:rPr>
                <w:sz w:val="20"/>
                <w:szCs w:val="20"/>
              </w:rPr>
              <w:t xml:space="preserve"> (19%</w:t>
            </w:r>
            <w:r w:rsidR="00DB55D9">
              <w:rPr>
                <w:sz w:val="20"/>
                <w:szCs w:val="20"/>
              </w:rPr>
              <w:t xml:space="preserve"> versus </w:t>
            </w:r>
            <w:r w:rsidRPr="008C5BF3">
              <w:rPr>
                <w:spacing w:val="-3"/>
                <w:sz w:val="20"/>
                <w:szCs w:val="20"/>
              </w:rPr>
              <w:t xml:space="preserve">3%), </w:t>
            </w:r>
            <w:r w:rsidRPr="008C5BF3">
              <w:rPr>
                <w:sz w:val="20"/>
                <w:szCs w:val="20"/>
              </w:rPr>
              <w:t xml:space="preserve">visual impairment </w:t>
            </w:r>
            <w:r w:rsidRPr="008C5BF3">
              <w:rPr>
                <w:spacing w:val="-3"/>
                <w:sz w:val="20"/>
                <w:szCs w:val="20"/>
              </w:rPr>
              <w:t>(12%</w:t>
            </w:r>
            <w:r w:rsidR="00DB55D9">
              <w:rPr>
                <w:spacing w:val="-3"/>
                <w:sz w:val="20"/>
                <w:szCs w:val="20"/>
              </w:rPr>
              <w:t xml:space="preserve"> versus </w:t>
            </w:r>
            <w:r w:rsidRPr="008C5BF3">
              <w:rPr>
                <w:spacing w:val="-3"/>
                <w:sz w:val="20"/>
                <w:szCs w:val="20"/>
              </w:rPr>
              <w:t xml:space="preserve">1%), </w:t>
            </w:r>
            <w:r w:rsidRPr="008C5BF3">
              <w:rPr>
                <w:sz w:val="20"/>
                <w:szCs w:val="20"/>
              </w:rPr>
              <w:t xml:space="preserve">blurred </w:t>
            </w:r>
            <w:r w:rsidRPr="008C5BF3">
              <w:rPr>
                <w:spacing w:val="-2"/>
                <w:sz w:val="20"/>
                <w:szCs w:val="20"/>
              </w:rPr>
              <w:t xml:space="preserve">vision </w:t>
            </w:r>
            <w:r w:rsidRPr="008C5BF3">
              <w:rPr>
                <w:sz w:val="20"/>
                <w:szCs w:val="20"/>
              </w:rPr>
              <w:t>(7%</w:t>
            </w:r>
            <w:r w:rsidR="00DB55D9">
              <w:rPr>
                <w:sz w:val="20"/>
                <w:szCs w:val="20"/>
              </w:rPr>
              <w:t xml:space="preserve"> versus </w:t>
            </w:r>
            <w:r w:rsidRPr="008C5BF3">
              <w:rPr>
                <w:sz w:val="20"/>
                <w:szCs w:val="20"/>
              </w:rPr>
              <w:t xml:space="preserve">2%), </w:t>
            </w:r>
            <w:proofErr w:type="spellStart"/>
            <w:r w:rsidRPr="008C5BF3">
              <w:rPr>
                <w:sz w:val="20"/>
                <w:szCs w:val="20"/>
              </w:rPr>
              <w:t>photopsia</w:t>
            </w:r>
            <w:proofErr w:type="spellEnd"/>
            <w:r w:rsidRPr="008C5BF3">
              <w:rPr>
                <w:sz w:val="20"/>
                <w:szCs w:val="20"/>
              </w:rPr>
              <w:t xml:space="preserve"> </w:t>
            </w:r>
            <w:r w:rsidRPr="008C5BF3">
              <w:rPr>
                <w:spacing w:val="-3"/>
                <w:sz w:val="20"/>
                <w:szCs w:val="20"/>
              </w:rPr>
              <w:t>(6%</w:t>
            </w:r>
            <w:r w:rsidR="00DB55D9">
              <w:rPr>
                <w:spacing w:val="-3"/>
                <w:sz w:val="20"/>
                <w:szCs w:val="20"/>
              </w:rPr>
              <w:t xml:space="preserve"> versus </w:t>
            </w:r>
            <w:r w:rsidRPr="008C5BF3">
              <w:rPr>
                <w:sz w:val="20"/>
                <w:szCs w:val="20"/>
              </w:rPr>
              <w:t>0%) and alopecia (7%</w:t>
            </w:r>
            <w:r w:rsidR="00DB55D9">
              <w:rPr>
                <w:sz w:val="20"/>
                <w:szCs w:val="20"/>
              </w:rPr>
              <w:t xml:space="preserve"> versus </w:t>
            </w:r>
            <w:r w:rsidRPr="008C5BF3">
              <w:rPr>
                <w:sz w:val="20"/>
                <w:szCs w:val="20"/>
              </w:rPr>
              <w:t>1%)</w:t>
            </w:r>
          </w:p>
          <w:p w14:paraId="386AFB79" w14:textId="77777777" w:rsidR="005F3542" w:rsidRPr="008C5BF3" w:rsidRDefault="005F3542" w:rsidP="008C5BF3">
            <w:pPr>
              <w:ind w:left="174"/>
              <w:rPr>
                <w:spacing w:val="-3"/>
                <w:sz w:val="20"/>
                <w:szCs w:val="20"/>
              </w:rPr>
            </w:pPr>
            <w:r w:rsidRPr="008C5BF3">
              <w:rPr>
                <w:spacing w:val="-3"/>
                <w:sz w:val="20"/>
                <w:szCs w:val="20"/>
              </w:rPr>
              <w:t xml:space="preserve">AEs </w:t>
            </w:r>
            <w:r w:rsidRPr="008C5BF3">
              <w:rPr>
                <w:sz w:val="20"/>
                <w:szCs w:val="20"/>
              </w:rPr>
              <w:t xml:space="preserve">that occurred more frequently with </w:t>
            </w:r>
            <w:proofErr w:type="spellStart"/>
            <w:r w:rsidRPr="008C5BF3">
              <w:rPr>
                <w:sz w:val="20"/>
                <w:szCs w:val="20"/>
              </w:rPr>
              <w:t>alectinib</w:t>
            </w:r>
            <w:proofErr w:type="spellEnd"/>
            <w:r w:rsidRPr="008C5BF3">
              <w:rPr>
                <w:sz w:val="20"/>
                <w:szCs w:val="20"/>
              </w:rPr>
              <w:t xml:space="preserve"> (at least </w:t>
            </w:r>
            <w:r w:rsidRPr="008C5BF3">
              <w:rPr>
                <w:spacing w:val="-3"/>
                <w:sz w:val="20"/>
                <w:szCs w:val="20"/>
              </w:rPr>
              <w:t xml:space="preserve">5% higher </w:t>
            </w:r>
            <w:r w:rsidRPr="008C5BF3">
              <w:rPr>
                <w:sz w:val="20"/>
                <w:szCs w:val="20"/>
              </w:rPr>
              <w:t>incidence) included bilirubinaemia (15%</w:t>
            </w:r>
            <w:r w:rsidR="00DB55D9">
              <w:rPr>
                <w:sz w:val="20"/>
                <w:szCs w:val="20"/>
              </w:rPr>
              <w:t xml:space="preserve"> versus </w:t>
            </w:r>
            <w:r w:rsidRPr="008C5BF3">
              <w:rPr>
                <w:sz w:val="20"/>
                <w:szCs w:val="20"/>
              </w:rPr>
              <w:t xml:space="preserve">1%), </w:t>
            </w:r>
            <w:r w:rsidRPr="008C5BF3">
              <w:rPr>
                <w:spacing w:val="-2"/>
                <w:sz w:val="20"/>
                <w:szCs w:val="20"/>
              </w:rPr>
              <w:t xml:space="preserve">weight </w:t>
            </w:r>
            <w:r w:rsidRPr="008C5BF3">
              <w:rPr>
                <w:sz w:val="20"/>
                <w:szCs w:val="20"/>
              </w:rPr>
              <w:t xml:space="preserve">gain </w:t>
            </w:r>
            <w:r w:rsidRPr="008C5BF3">
              <w:rPr>
                <w:spacing w:val="-3"/>
                <w:sz w:val="20"/>
                <w:szCs w:val="20"/>
              </w:rPr>
              <w:t>(10%</w:t>
            </w:r>
            <w:r w:rsidR="00DB55D9">
              <w:rPr>
                <w:spacing w:val="-3"/>
                <w:sz w:val="20"/>
                <w:szCs w:val="20"/>
              </w:rPr>
              <w:t xml:space="preserve"> versus </w:t>
            </w:r>
            <w:r w:rsidRPr="008C5BF3">
              <w:rPr>
                <w:spacing w:val="-3"/>
                <w:sz w:val="20"/>
                <w:szCs w:val="20"/>
              </w:rPr>
              <w:t>0%), myalgia (16%</w:t>
            </w:r>
            <w:r w:rsidR="00DB55D9">
              <w:rPr>
                <w:spacing w:val="-3"/>
                <w:sz w:val="20"/>
                <w:szCs w:val="20"/>
              </w:rPr>
              <w:t xml:space="preserve"> versus </w:t>
            </w:r>
            <w:r w:rsidRPr="008C5BF3">
              <w:rPr>
                <w:spacing w:val="-3"/>
                <w:sz w:val="20"/>
                <w:szCs w:val="20"/>
              </w:rPr>
              <w:t xml:space="preserve">2%), </w:t>
            </w:r>
            <w:r w:rsidRPr="008C5BF3">
              <w:rPr>
                <w:sz w:val="20"/>
                <w:szCs w:val="20"/>
              </w:rPr>
              <w:t>‘musculoskeletal pain’ (7%</w:t>
            </w:r>
            <w:r w:rsidR="00DB55D9">
              <w:rPr>
                <w:sz w:val="20"/>
                <w:szCs w:val="20"/>
              </w:rPr>
              <w:t xml:space="preserve"> versus </w:t>
            </w:r>
            <w:r w:rsidRPr="008C5BF3">
              <w:rPr>
                <w:spacing w:val="-3"/>
                <w:sz w:val="20"/>
                <w:szCs w:val="20"/>
              </w:rPr>
              <w:t xml:space="preserve">2%), </w:t>
            </w:r>
            <w:r w:rsidRPr="008C5BF3">
              <w:rPr>
                <w:sz w:val="20"/>
                <w:szCs w:val="20"/>
              </w:rPr>
              <w:t xml:space="preserve">anaemia </w:t>
            </w:r>
            <w:r w:rsidRPr="008C5BF3">
              <w:rPr>
                <w:spacing w:val="-3"/>
                <w:sz w:val="20"/>
                <w:szCs w:val="20"/>
              </w:rPr>
              <w:t>(20%</w:t>
            </w:r>
            <w:r w:rsidR="00DB55D9">
              <w:rPr>
                <w:spacing w:val="-3"/>
                <w:sz w:val="20"/>
                <w:szCs w:val="20"/>
              </w:rPr>
              <w:t xml:space="preserve"> versus </w:t>
            </w:r>
            <w:r w:rsidRPr="008C5BF3">
              <w:rPr>
                <w:spacing w:val="-3"/>
                <w:sz w:val="20"/>
                <w:szCs w:val="20"/>
              </w:rPr>
              <w:t xml:space="preserve">5%) </w:t>
            </w:r>
            <w:r w:rsidRPr="008C5BF3">
              <w:rPr>
                <w:sz w:val="20"/>
                <w:szCs w:val="20"/>
              </w:rPr>
              <w:t>and photosensitivity reaction (5%</w:t>
            </w:r>
            <w:r w:rsidR="00DB55D9">
              <w:rPr>
                <w:sz w:val="20"/>
                <w:szCs w:val="20"/>
              </w:rPr>
              <w:t xml:space="preserve"> versus </w:t>
            </w:r>
            <w:r w:rsidRPr="008C5BF3">
              <w:rPr>
                <w:spacing w:val="-3"/>
                <w:sz w:val="20"/>
                <w:szCs w:val="20"/>
              </w:rPr>
              <w:t>0%).</w:t>
            </w:r>
          </w:p>
          <w:p w14:paraId="7B3E25B3" w14:textId="77777777" w:rsidR="005F3542" w:rsidRPr="008C5BF3" w:rsidRDefault="005F3542" w:rsidP="008C5BF3">
            <w:pPr>
              <w:ind w:left="174"/>
              <w:rPr>
                <w:spacing w:val="-3"/>
                <w:sz w:val="20"/>
                <w:szCs w:val="20"/>
              </w:rPr>
            </w:pPr>
            <w:r w:rsidRPr="008C5BF3">
              <w:rPr>
                <w:sz w:val="20"/>
                <w:szCs w:val="20"/>
              </w:rPr>
              <w:t xml:space="preserve">The rate </w:t>
            </w:r>
            <w:r w:rsidRPr="008C5BF3">
              <w:rPr>
                <w:spacing w:val="-3"/>
                <w:sz w:val="20"/>
                <w:szCs w:val="20"/>
              </w:rPr>
              <w:t xml:space="preserve">of </w:t>
            </w:r>
            <w:r w:rsidRPr="008C5BF3">
              <w:rPr>
                <w:sz w:val="20"/>
                <w:szCs w:val="20"/>
              </w:rPr>
              <w:t xml:space="preserve">serious </w:t>
            </w:r>
            <w:r w:rsidRPr="008C5BF3">
              <w:rPr>
                <w:spacing w:val="-3"/>
                <w:sz w:val="20"/>
                <w:szCs w:val="20"/>
              </w:rPr>
              <w:t xml:space="preserve">AEs </w:t>
            </w:r>
            <w:r w:rsidRPr="008C5BF3">
              <w:rPr>
                <w:sz w:val="20"/>
                <w:szCs w:val="20"/>
              </w:rPr>
              <w:t xml:space="preserve">was similar between arms: 29% </w:t>
            </w:r>
            <w:r w:rsidRPr="008C5BF3">
              <w:rPr>
                <w:spacing w:val="-3"/>
                <w:sz w:val="20"/>
                <w:szCs w:val="20"/>
              </w:rPr>
              <w:t xml:space="preserve">with </w:t>
            </w:r>
            <w:proofErr w:type="spellStart"/>
            <w:r w:rsidRPr="008C5BF3">
              <w:rPr>
                <w:sz w:val="20"/>
                <w:szCs w:val="20"/>
              </w:rPr>
              <w:t>alectinib</w:t>
            </w:r>
            <w:proofErr w:type="spellEnd"/>
            <w:r w:rsidRPr="008C5BF3">
              <w:rPr>
                <w:sz w:val="20"/>
                <w:szCs w:val="20"/>
              </w:rPr>
              <w:t xml:space="preserve"> and 28% with </w:t>
            </w:r>
            <w:proofErr w:type="spellStart"/>
            <w:r w:rsidRPr="008C5BF3">
              <w:rPr>
                <w:sz w:val="20"/>
                <w:szCs w:val="20"/>
              </w:rPr>
              <w:t>crizotinib</w:t>
            </w:r>
            <w:proofErr w:type="spellEnd"/>
            <w:r w:rsidRPr="008C5BF3">
              <w:rPr>
                <w:sz w:val="20"/>
                <w:szCs w:val="20"/>
              </w:rPr>
              <w:t>. Grade 3+ adverse events occurred in 41% (</w:t>
            </w:r>
            <w:proofErr w:type="spellStart"/>
            <w:r w:rsidRPr="008C5BF3">
              <w:rPr>
                <w:sz w:val="20"/>
                <w:szCs w:val="20"/>
              </w:rPr>
              <w:t>alectinib</w:t>
            </w:r>
            <w:proofErr w:type="spellEnd"/>
            <w:r w:rsidRPr="008C5BF3">
              <w:rPr>
                <w:sz w:val="20"/>
                <w:szCs w:val="20"/>
              </w:rPr>
              <w:t>) and 50% (</w:t>
            </w:r>
            <w:proofErr w:type="spellStart"/>
            <w:r w:rsidRPr="008C5BF3">
              <w:rPr>
                <w:sz w:val="20"/>
                <w:szCs w:val="20"/>
              </w:rPr>
              <w:t>crizotinib</w:t>
            </w:r>
            <w:proofErr w:type="spellEnd"/>
            <w:r w:rsidRPr="008C5BF3">
              <w:rPr>
                <w:sz w:val="20"/>
                <w:szCs w:val="20"/>
              </w:rPr>
              <w:t xml:space="preserve">) </w:t>
            </w:r>
            <w:r w:rsidRPr="008C5BF3">
              <w:rPr>
                <w:spacing w:val="-3"/>
                <w:sz w:val="20"/>
                <w:szCs w:val="20"/>
              </w:rPr>
              <w:t xml:space="preserve">of </w:t>
            </w:r>
            <w:r w:rsidRPr="008C5BF3">
              <w:rPr>
                <w:sz w:val="20"/>
                <w:szCs w:val="20"/>
              </w:rPr>
              <w:t xml:space="preserve">patients. The most </w:t>
            </w:r>
            <w:r w:rsidRPr="008C5BF3">
              <w:rPr>
                <w:spacing w:val="-3"/>
                <w:sz w:val="20"/>
                <w:szCs w:val="20"/>
              </w:rPr>
              <w:t xml:space="preserve">common </w:t>
            </w:r>
            <w:r w:rsidR="00EB19F0">
              <w:rPr>
                <w:spacing w:val="-3"/>
                <w:sz w:val="20"/>
                <w:szCs w:val="20"/>
              </w:rPr>
              <w:t>G</w:t>
            </w:r>
            <w:r w:rsidRPr="008C5BF3">
              <w:rPr>
                <w:sz w:val="20"/>
                <w:szCs w:val="20"/>
              </w:rPr>
              <w:t xml:space="preserve">rade 3+ adverse events in the </w:t>
            </w:r>
            <w:proofErr w:type="spellStart"/>
            <w:r w:rsidRPr="008C5BF3">
              <w:rPr>
                <w:sz w:val="20"/>
                <w:szCs w:val="20"/>
              </w:rPr>
              <w:t>alectinib</w:t>
            </w:r>
            <w:proofErr w:type="spellEnd"/>
            <w:r w:rsidRPr="008C5BF3">
              <w:rPr>
                <w:sz w:val="20"/>
                <w:szCs w:val="20"/>
              </w:rPr>
              <w:t xml:space="preserve"> group were increased </w:t>
            </w:r>
            <w:r w:rsidRPr="008C5BF3">
              <w:rPr>
                <w:spacing w:val="-5"/>
                <w:sz w:val="20"/>
                <w:szCs w:val="20"/>
              </w:rPr>
              <w:t xml:space="preserve">ALT </w:t>
            </w:r>
            <w:r w:rsidRPr="008C5BF3">
              <w:rPr>
                <w:sz w:val="20"/>
                <w:szCs w:val="20"/>
              </w:rPr>
              <w:t xml:space="preserve">(5%), increased </w:t>
            </w:r>
            <w:r w:rsidRPr="008C5BF3">
              <w:rPr>
                <w:spacing w:val="-3"/>
                <w:sz w:val="20"/>
                <w:szCs w:val="20"/>
              </w:rPr>
              <w:t xml:space="preserve">AST </w:t>
            </w:r>
            <w:r w:rsidRPr="008C5BF3">
              <w:rPr>
                <w:sz w:val="20"/>
                <w:szCs w:val="20"/>
              </w:rPr>
              <w:t xml:space="preserve">(5%), and anaemia (5%). For the </w:t>
            </w:r>
            <w:proofErr w:type="spellStart"/>
            <w:r w:rsidRPr="008C5BF3">
              <w:rPr>
                <w:sz w:val="20"/>
                <w:szCs w:val="20"/>
              </w:rPr>
              <w:t>crizotinib</w:t>
            </w:r>
            <w:proofErr w:type="spellEnd"/>
            <w:r w:rsidRPr="008C5BF3">
              <w:rPr>
                <w:sz w:val="20"/>
                <w:szCs w:val="20"/>
              </w:rPr>
              <w:t xml:space="preserve"> group, the most </w:t>
            </w:r>
            <w:r w:rsidRPr="008C5BF3">
              <w:rPr>
                <w:spacing w:val="-3"/>
                <w:sz w:val="20"/>
                <w:szCs w:val="20"/>
              </w:rPr>
              <w:t xml:space="preserve">common </w:t>
            </w:r>
            <w:r w:rsidR="00EB19F0">
              <w:rPr>
                <w:spacing w:val="-3"/>
                <w:sz w:val="20"/>
                <w:szCs w:val="20"/>
              </w:rPr>
              <w:t>G</w:t>
            </w:r>
            <w:r w:rsidRPr="008C5BF3">
              <w:rPr>
                <w:sz w:val="20"/>
                <w:szCs w:val="20"/>
              </w:rPr>
              <w:t xml:space="preserve">rade 3+ adverse events were increased </w:t>
            </w:r>
            <w:r w:rsidRPr="008C5BF3">
              <w:rPr>
                <w:spacing w:val="-5"/>
                <w:sz w:val="20"/>
                <w:szCs w:val="20"/>
              </w:rPr>
              <w:t xml:space="preserve">ALT </w:t>
            </w:r>
            <w:r w:rsidRPr="008C5BF3">
              <w:rPr>
                <w:sz w:val="20"/>
                <w:szCs w:val="20"/>
              </w:rPr>
              <w:t xml:space="preserve">(15%) and increased </w:t>
            </w:r>
            <w:r w:rsidRPr="008C5BF3">
              <w:rPr>
                <w:spacing w:val="-3"/>
                <w:sz w:val="20"/>
                <w:szCs w:val="20"/>
              </w:rPr>
              <w:t>AST</w:t>
            </w:r>
            <w:r w:rsidRPr="008C5BF3">
              <w:rPr>
                <w:spacing w:val="-1"/>
                <w:sz w:val="20"/>
                <w:szCs w:val="20"/>
              </w:rPr>
              <w:t xml:space="preserve"> </w:t>
            </w:r>
            <w:r w:rsidRPr="008C5BF3">
              <w:rPr>
                <w:spacing w:val="-3"/>
                <w:sz w:val="20"/>
                <w:szCs w:val="20"/>
              </w:rPr>
              <w:t>(11%).</w:t>
            </w:r>
          </w:p>
          <w:p w14:paraId="1A392E94" w14:textId="77777777" w:rsidR="005F3542" w:rsidRPr="008C5BF3" w:rsidRDefault="005F3542" w:rsidP="008C5BF3">
            <w:pPr>
              <w:ind w:left="174"/>
              <w:rPr>
                <w:spacing w:val="-3"/>
                <w:sz w:val="20"/>
                <w:szCs w:val="20"/>
              </w:rPr>
            </w:pPr>
            <w:r w:rsidRPr="008C5BF3">
              <w:rPr>
                <w:sz w:val="20"/>
                <w:szCs w:val="20"/>
              </w:rPr>
              <w:t xml:space="preserve">Adverse events leading to treatment interruption (19% </w:t>
            </w:r>
            <w:r w:rsidRPr="008C5BF3">
              <w:rPr>
                <w:spacing w:val="-3"/>
                <w:sz w:val="20"/>
                <w:szCs w:val="20"/>
              </w:rPr>
              <w:t xml:space="preserve">vs </w:t>
            </w:r>
            <w:r w:rsidRPr="008C5BF3">
              <w:rPr>
                <w:sz w:val="20"/>
                <w:szCs w:val="20"/>
              </w:rPr>
              <w:t xml:space="preserve">25%), </w:t>
            </w:r>
            <w:r w:rsidRPr="008C5BF3">
              <w:rPr>
                <w:spacing w:val="-3"/>
                <w:sz w:val="20"/>
                <w:szCs w:val="20"/>
              </w:rPr>
              <w:t xml:space="preserve">dose </w:t>
            </w:r>
            <w:r w:rsidRPr="008C5BF3">
              <w:rPr>
                <w:sz w:val="20"/>
                <w:szCs w:val="20"/>
              </w:rPr>
              <w:t xml:space="preserve">reduction (16% </w:t>
            </w:r>
            <w:r w:rsidRPr="008C5BF3">
              <w:rPr>
                <w:spacing w:val="-3"/>
                <w:sz w:val="20"/>
                <w:szCs w:val="20"/>
              </w:rPr>
              <w:t>v</w:t>
            </w:r>
            <w:r w:rsidR="00EB19F0">
              <w:rPr>
                <w:spacing w:val="-3"/>
                <w:sz w:val="20"/>
                <w:szCs w:val="20"/>
              </w:rPr>
              <w:t>ersu</w:t>
            </w:r>
            <w:r w:rsidRPr="008C5BF3">
              <w:rPr>
                <w:spacing w:val="-3"/>
                <w:sz w:val="20"/>
                <w:szCs w:val="20"/>
              </w:rPr>
              <w:t xml:space="preserve">s 21%) </w:t>
            </w:r>
            <w:r w:rsidRPr="008C5BF3">
              <w:rPr>
                <w:sz w:val="20"/>
                <w:szCs w:val="20"/>
              </w:rPr>
              <w:t xml:space="preserve">and treatment discontinuation (11% </w:t>
            </w:r>
            <w:r w:rsidRPr="008C5BF3">
              <w:rPr>
                <w:spacing w:val="-3"/>
                <w:sz w:val="20"/>
                <w:szCs w:val="20"/>
              </w:rPr>
              <w:t>v</w:t>
            </w:r>
            <w:r w:rsidR="00186B83">
              <w:rPr>
                <w:spacing w:val="-3"/>
                <w:sz w:val="20"/>
                <w:szCs w:val="20"/>
              </w:rPr>
              <w:t>ersu</w:t>
            </w:r>
            <w:r w:rsidRPr="008C5BF3">
              <w:rPr>
                <w:spacing w:val="-3"/>
                <w:sz w:val="20"/>
                <w:szCs w:val="20"/>
              </w:rPr>
              <w:t xml:space="preserve">s 13%) </w:t>
            </w:r>
            <w:r w:rsidRPr="008C5BF3">
              <w:rPr>
                <w:sz w:val="20"/>
                <w:szCs w:val="20"/>
              </w:rPr>
              <w:t xml:space="preserve">were more </w:t>
            </w:r>
            <w:r w:rsidRPr="008C5BF3">
              <w:rPr>
                <w:spacing w:val="-4"/>
                <w:sz w:val="20"/>
                <w:szCs w:val="20"/>
              </w:rPr>
              <w:t xml:space="preserve">common </w:t>
            </w:r>
            <w:r w:rsidRPr="008C5BF3">
              <w:rPr>
                <w:sz w:val="20"/>
                <w:szCs w:val="20"/>
              </w:rPr>
              <w:t>with</w:t>
            </w:r>
            <w:r w:rsidRPr="008C5BF3">
              <w:rPr>
                <w:spacing w:val="22"/>
                <w:sz w:val="20"/>
                <w:szCs w:val="20"/>
              </w:rPr>
              <w:t xml:space="preserve"> </w:t>
            </w:r>
            <w:proofErr w:type="spellStart"/>
            <w:r w:rsidRPr="008C5BF3">
              <w:rPr>
                <w:spacing w:val="-3"/>
                <w:sz w:val="20"/>
                <w:szCs w:val="20"/>
              </w:rPr>
              <w:t>crizotinib</w:t>
            </w:r>
            <w:proofErr w:type="spellEnd"/>
            <w:r w:rsidRPr="008C5BF3">
              <w:rPr>
                <w:spacing w:val="-3"/>
                <w:sz w:val="20"/>
                <w:szCs w:val="20"/>
              </w:rPr>
              <w:t>.</w:t>
            </w:r>
          </w:p>
          <w:p w14:paraId="1EBCA2A2" w14:textId="77777777" w:rsidR="005F3542" w:rsidRPr="008C5BF3" w:rsidRDefault="005F3542" w:rsidP="008C5BF3">
            <w:pPr>
              <w:ind w:left="174"/>
              <w:rPr>
                <w:sz w:val="20"/>
                <w:szCs w:val="20"/>
              </w:rPr>
            </w:pPr>
            <w:r w:rsidRPr="008C5BF3">
              <w:rPr>
                <w:sz w:val="20"/>
                <w:szCs w:val="20"/>
              </w:rPr>
              <w:t xml:space="preserve">Adverse events leading to death occurred in 5 </w:t>
            </w:r>
            <w:r w:rsidRPr="008C5BF3">
              <w:rPr>
                <w:spacing w:val="-3"/>
                <w:sz w:val="20"/>
                <w:szCs w:val="20"/>
              </w:rPr>
              <w:t>(3%) v</w:t>
            </w:r>
            <w:r w:rsidR="00186B83">
              <w:rPr>
                <w:spacing w:val="-3"/>
                <w:sz w:val="20"/>
                <w:szCs w:val="20"/>
              </w:rPr>
              <w:t>ersu</w:t>
            </w:r>
            <w:r w:rsidRPr="008C5BF3">
              <w:rPr>
                <w:spacing w:val="-3"/>
                <w:sz w:val="20"/>
                <w:szCs w:val="20"/>
              </w:rPr>
              <w:t xml:space="preserve">s </w:t>
            </w:r>
            <w:r w:rsidRPr="008C5BF3">
              <w:rPr>
                <w:sz w:val="20"/>
                <w:szCs w:val="20"/>
              </w:rPr>
              <w:t xml:space="preserve">7 (5%) </w:t>
            </w:r>
            <w:r w:rsidRPr="008C5BF3">
              <w:rPr>
                <w:spacing w:val="-3"/>
                <w:sz w:val="20"/>
                <w:szCs w:val="20"/>
              </w:rPr>
              <w:t xml:space="preserve">of </w:t>
            </w:r>
            <w:r w:rsidRPr="008C5BF3">
              <w:rPr>
                <w:sz w:val="20"/>
                <w:szCs w:val="20"/>
              </w:rPr>
              <w:t xml:space="preserve">patients. </w:t>
            </w:r>
            <w:r w:rsidRPr="008C5BF3">
              <w:rPr>
                <w:spacing w:val="-3"/>
                <w:sz w:val="20"/>
                <w:szCs w:val="20"/>
              </w:rPr>
              <w:t xml:space="preserve">Death </w:t>
            </w:r>
            <w:r w:rsidRPr="008C5BF3">
              <w:rPr>
                <w:sz w:val="20"/>
                <w:szCs w:val="20"/>
              </w:rPr>
              <w:t xml:space="preserve">was considered to be related to study treatment in 0 </w:t>
            </w:r>
            <w:r w:rsidRPr="008C5BF3">
              <w:rPr>
                <w:spacing w:val="-3"/>
                <w:sz w:val="20"/>
                <w:szCs w:val="20"/>
              </w:rPr>
              <w:t xml:space="preserve">vs </w:t>
            </w:r>
            <w:r w:rsidRPr="008C5BF3">
              <w:rPr>
                <w:sz w:val="20"/>
                <w:szCs w:val="20"/>
              </w:rPr>
              <w:t>2</w:t>
            </w:r>
            <w:r w:rsidRPr="008C5BF3">
              <w:rPr>
                <w:spacing w:val="-14"/>
                <w:sz w:val="20"/>
                <w:szCs w:val="20"/>
              </w:rPr>
              <w:t xml:space="preserve"> </w:t>
            </w:r>
            <w:r w:rsidRPr="008C5BF3">
              <w:rPr>
                <w:sz w:val="20"/>
                <w:szCs w:val="20"/>
              </w:rPr>
              <w:t>patients.</w:t>
            </w:r>
          </w:p>
        </w:tc>
      </w:tr>
      <w:tr w:rsidR="005F3542" w14:paraId="5F659A67" w14:textId="77777777" w:rsidTr="008C5BF3">
        <w:trPr>
          <w:trHeight w:val="498"/>
        </w:trPr>
        <w:tc>
          <w:tcPr>
            <w:tcW w:w="1591" w:type="dxa"/>
            <w:tcBorders>
              <w:top w:val="single" w:sz="4" w:space="0" w:color="000000"/>
              <w:left w:val="single" w:sz="4" w:space="0" w:color="000000"/>
              <w:bottom w:val="single" w:sz="4" w:space="0" w:color="000000"/>
              <w:right w:val="single" w:sz="4" w:space="0" w:color="000000"/>
            </w:tcBorders>
            <w:shd w:val="clear" w:color="auto" w:fill="0070C0"/>
          </w:tcPr>
          <w:p w14:paraId="3AA0F1EF" w14:textId="77777777" w:rsidR="005F3542" w:rsidRPr="008C5BF3" w:rsidRDefault="005F3542" w:rsidP="008C5BF3">
            <w:pPr>
              <w:ind w:left="174"/>
              <w:rPr>
                <w:b/>
                <w:color w:val="FFFFFF" w:themeColor="background1"/>
                <w:sz w:val="20"/>
                <w:szCs w:val="20"/>
              </w:rPr>
            </w:pPr>
            <w:r w:rsidRPr="008C5BF3">
              <w:rPr>
                <w:b/>
                <w:color w:val="FFFFFF" w:themeColor="background1"/>
                <w:sz w:val="20"/>
                <w:szCs w:val="20"/>
              </w:rPr>
              <w:t>Benefit-risk balance</w:t>
            </w:r>
          </w:p>
        </w:tc>
        <w:tc>
          <w:tcPr>
            <w:tcW w:w="7088" w:type="dxa"/>
            <w:tcBorders>
              <w:top w:val="single" w:sz="4" w:space="0" w:color="000000"/>
              <w:left w:val="single" w:sz="4" w:space="0" w:color="000000"/>
              <w:bottom w:val="single" w:sz="4" w:space="0" w:color="000000"/>
              <w:right w:val="single" w:sz="4" w:space="0" w:color="000000"/>
            </w:tcBorders>
          </w:tcPr>
          <w:p w14:paraId="4B6E3EA2" w14:textId="77777777" w:rsidR="005F3542" w:rsidRPr="008C5BF3" w:rsidRDefault="005F3542" w:rsidP="008C5BF3">
            <w:pPr>
              <w:ind w:left="174"/>
              <w:rPr>
                <w:sz w:val="20"/>
                <w:szCs w:val="20"/>
              </w:rPr>
            </w:pPr>
            <w:r w:rsidRPr="008C5BF3">
              <w:rPr>
                <w:sz w:val="20"/>
                <w:szCs w:val="20"/>
              </w:rPr>
              <w:t xml:space="preserve">Compared to </w:t>
            </w:r>
            <w:proofErr w:type="spellStart"/>
            <w:r w:rsidRPr="008C5BF3">
              <w:rPr>
                <w:sz w:val="20"/>
                <w:szCs w:val="20"/>
              </w:rPr>
              <w:t>crizotinib</w:t>
            </w:r>
            <w:proofErr w:type="spellEnd"/>
            <w:r w:rsidRPr="008C5BF3">
              <w:rPr>
                <w:sz w:val="20"/>
                <w:szCs w:val="20"/>
              </w:rPr>
              <w:t xml:space="preserve">, </w:t>
            </w:r>
            <w:proofErr w:type="spellStart"/>
            <w:r w:rsidRPr="008C5BF3">
              <w:rPr>
                <w:sz w:val="20"/>
                <w:szCs w:val="20"/>
              </w:rPr>
              <w:t>alectinib</w:t>
            </w:r>
            <w:proofErr w:type="spellEnd"/>
            <w:r w:rsidRPr="008C5BF3">
              <w:rPr>
                <w:sz w:val="20"/>
                <w:szCs w:val="20"/>
              </w:rPr>
              <w:t xml:space="preserve"> has superior efficacy, especially in the central nervous system, and at least similar but likely lower toxicity (especially lower GI toxicity).</w:t>
            </w:r>
          </w:p>
        </w:tc>
      </w:tr>
    </w:tbl>
    <w:p w14:paraId="57E13B2E" w14:textId="77777777" w:rsidR="003446E5" w:rsidRDefault="003446E5" w:rsidP="00186B83">
      <w:pPr>
        <w:pStyle w:val="Heading5"/>
      </w:pPr>
      <w:bookmarkStart w:id="114" w:name="7.1_Benefit-risk_balance"/>
      <w:bookmarkEnd w:id="114"/>
      <w:r>
        <w:t>Benefit-risk</w:t>
      </w:r>
      <w:r>
        <w:rPr>
          <w:spacing w:val="-1"/>
        </w:rPr>
        <w:t xml:space="preserve"> </w:t>
      </w:r>
      <w:r>
        <w:t>balance</w:t>
      </w:r>
    </w:p>
    <w:p w14:paraId="76A844C6" w14:textId="77777777" w:rsidR="003446E5" w:rsidRDefault="003446E5" w:rsidP="00186B83">
      <w:pPr>
        <w:pStyle w:val="ListBullet"/>
      </w:pPr>
      <w:r>
        <w:t>Statistically significant benefits in PFS,</w:t>
      </w:r>
      <w:r w:rsidR="00186B83">
        <w:t xml:space="preserve"> </w:t>
      </w:r>
      <w:r w:rsidR="00186B83" w:rsidRPr="00186B83">
        <w:t xml:space="preserve">duration of response </w:t>
      </w:r>
      <w:r w:rsidR="00186B83">
        <w:t>(</w:t>
      </w:r>
      <w:r>
        <w:t>DOR</w:t>
      </w:r>
      <w:r w:rsidR="00186B83">
        <w:t>)</w:t>
      </w:r>
      <w:r>
        <w:t xml:space="preserve">, time to CNS progression, </w:t>
      </w:r>
      <w:r w:rsidR="00186B83" w:rsidRPr="00186B83">
        <w:t xml:space="preserve">CNS objective response rate </w:t>
      </w:r>
      <w:r w:rsidR="00186B83">
        <w:t>(</w:t>
      </w:r>
      <w:r>
        <w:t>C</w:t>
      </w:r>
      <w:r w:rsidR="00186B83">
        <w:t>-</w:t>
      </w:r>
      <w:r>
        <w:t>ORR</w:t>
      </w:r>
      <w:r w:rsidR="00186B83">
        <w:t>)</w:t>
      </w:r>
      <w:r>
        <w:t xml:space="preserve"> </w:t>
      </w:r>
      <w:r>
        <w:rPr>
          <w:spacing w:val="-3"/>
        </w:rPr>
        <w:t xml:space="preserve">and </w:t>
      </w:r>
      <w:r w:rsidR="00186B83" w:rsidRPr="00186B83">
        <w:rPr>
          <w:spacing w:val="-3"/>
        </w:rPr>
        <w:t xml:space="preserve">CNS duration of response </w:t>
      </w:r>
      <w:r w:rsidR="00186B83">
        <w:rPr>
          <w:spacing w:val="-3"/>
        </w:rPr>
        <w:t>(</w:t>
      </w:r>
      <w:r>
        <w:t>C</w:t>
      </w:r>
      <w:r w:rsidR="00186B83">
        <w:t>-</w:t>
      </w:r>
      <w:r>
        <w:t>DOR</w:t>
      </w:r>
      <w:r w:rsidR="00186B83">
        <w:t>)</w:t>
      </w:r>
      <w:r>
        <w:t xml:space="preserve"> have been demonstrated by the ALEX study. These benefits are of large magnitude and particular clinical significance given that the most </w:t>
      </w:r>
      <w:r>
        <w:rPr>
          <w:spacing w:val="-3"/>
        </w:rPr>
        <w:t xml:space="preserve">common </w:t>
      </w:r>
      <w:r>
        <w:t xml:space="preserve">site of relapse/progression in </w:t>
      </w:r>
      <w:proofErr w:type="spellStart"/>
      <w:r>
        <w:t>crizotinib</w:t>
      </w:r>
      <w:proofErr w:type="spellEnd"/>
      <w:r>
        <w:t xml:space="preserve">-treated patients is </w:t>
      </w:r>
      <w:r w:rsidR="00186B83">
        <w:t xml:space="preserve">in </w:t>
      </w:r>
      <w:r>
        <w:t>the</w:t>
      </w:r>
      <w:r>
        <w:rPr>
          <w:spacing w:val="-11"/>
        </w:rPr>
        <w:t xml:space="preserve"> </w:t>
      </w:r>
      <w:r>
        <w:t>CNS.</w:t>
      </w:r>
    </w:p>
    <w:p w14:paraId="306363CE" w14:textId="77777777" w:rsidR="003446E5" w:rsidRDefault="003446E5" w:rsidP="008C5BF3">
      <w:pPr>
        <w:pStyle w:val="ListBullet"/>
      </w:pPr>
      <w:r>
        <w:t xml:space="preserve">The safety profile of </w:t>
      </w:r>
      <w:proofErr w:type="spellStart"/>
      <w:r>
        <w:t>alectinib</w:t>
      </w:r>
      <w:proofErr w:type="spellEnd"/>
      <w:r>
        <w:t xml:space="preserve"> also appears to be overall favourable compared to </w:t>
      </w:r>
      <w:proofErr w:type="spellStart"/>
      <w:r>
        <w:t>crizotinib</w:t>
      </w:r>
      <w:proofErr w:type="spellEnd"/>
      <w:r>
        <w:t>, although the safety profiles of the two</w:t>
      </w:r>
      <w:r>
        <w:rPr>
          <w:spacing w:val="-19"/>
        </w:rPr>
        <w:t xml:space="preserve"> </w:t>
      </w:r>
      <w:r>
        <w:t>differ.</w:t>
      </w:r>
    </w:p>
    <w:p w14:paraId="6FF8A3AF" w14:textId="77777777" w:rsidR="003446E5" w:rsidRDefault="003446E5" w:rsidP="008C5BF3">
      <w:r>
        <w:t xml:space="preserve">The benefits of </w:t>
      </w:r>
      <w:proofErr w:type="spellStart"/>
      <w:r>
        <w:t>alectinib</w:t>
      </w:r>
      <w:proofErr w:type="spellEnd"/>
      <w:r>
        <w:t xml:space="preserve"> treatment, therefore, clearly outweigh the risks, for the proposed usage.</w:t>
      </w:r>
    </w:p>
    <w:p w14:paraId="30AC6637" w14:textId="77777777" w:rsidR="003446E5" w:rsidRDefault="003446E5" w:rsidP="008C5BF3">
      <w:pPr>
        <w:pStyle w:val="Heading4"/>
      </w:pPr>
      <w:bookmarkStart w:id="115" w:name="7.2_Conditions_of_registration"/>
      <w:bookmarkEnd w:id="115"/>
      <w:r>
        <w:t>Conditions of</w:t>
      </w:r>
      <w:r>
        <w:rPr>
          <w:spacing w:val="-4"/>
        </w:rPr>
        <w:t xml:space="preserve"> </w:t>
      </w:r>
      <w:r>
        <w:t>registration</w:t>
      </w:r>
    </w:p>
    <w:p w14:paraId="60DA0659" w14:textId="77777777" w:rsidR="003446E5" w:rsidRDefault="003446E5" w:rsidP="008C5BF3">
      <w:r>
        <w:t>The standard conditions of registration should apply, including those proposed in the RMP evaluation.</w:t>
      </w:r>
    </w:p>
    <w:p w14:paraId="27327148" w14:textId="7DE6AED8" w:rsidR="003446E5" w:rsidRDefault="003446E5" w:rsidP="008C5BF3">
      <w:pPr>
        <w:pStyle w:val="Heading4"/>
      </w:pPr>
      <w:bookmarkStart w:id="116" w:name="7.3_Product_Information"/>
      <w:bookmarkEnd w:id="116"/>
      <w:r>
        <w:t>Product</w:t>
      </w:r>
      <w:r>
        <w:rPr>
          <w:spacing w:val="-1"/>
        </w:rPr>
        <w:t xml:space="preserve"> </w:t>
      </w:r>
      <w:r w:rsidR="00407466">
        <w:t>i</w:t>
      </w:r>
      <w:r>
        <w:t>nformation</w:t>
      </w:r>
    </w:p>
    <w:p w14:paraId="55308EAD" w14:textId="77777777" w:rsidR="003446E5" w:rsidRDefault="003446E5" w:rsidP="008C5BF3">
      <w:r>
        <w:t xml:space="preserve">The </w:t>
      </w:r>
      <w:r w:rsidR="00C558A5">
        <w:t xml:space="preserve">proposed </w:t>
      </w:r>
      <w:r w:rsidR="00186B83">
        <w:t>PI</w:t>
      </w:r>
      <w:r>
        <w:t xml:space="preserve"> is satisfactory.</w:t>
      </w:r>
    </w:p>
    <w:p w14:paraId="095E7443" w14:textId="327AAD07" w:rsidR="00407466" w:rsidRDefault="00D23139" w:rsidP="00D23139">
      <w:pPr>
        <w:pStyle w:val="Heading4"/>
      </w:pPr>
      <w:r w:rsidRPr="00D23139">
        <w:lastRenderedPageBreak/>
        <w:t xml:space="preserve">Response from </w:t>
      </w:r>
      <w:r w:rsidR="00407466">
        <w:t>s</w:t>
      </w:r>
      <w:r w:rsidRPr="00D23139">
        <w:t>ponsor</w:t>
      </w:r>
    </w:p>
    <w:p w14:paraId="6B03562A" w14:textId="670A1898" w:rsidR="003446E5" w:rsidRDefault="00BA3CC0" w:rsidP="003446E5">
      <w:r>
        <w:t xml:space="preserve">The following is the sponsor’s response to two </w:t>
      </w:r>
      <w:r w:rsidR="003446E5">
        <w:t>matters raised on 19</w:t>
      </w:r>
      <w:r>
        <w:t xml:space="preserve"> January 2018 by the Delegate:</w:t>
      </w:r>
    </w:p>
    <w:p w14:paraId="7A0D6BB6" w14:textId="77777777" w:rsidR="003446E5" w:rsidRPr="00BA3CC0" w:rsidRDefault="003446E5" w:rsidP="00BA3CC0">
      <w:pPr>
        <w:pStyle w:val="Numberbullet0"/>
        <w:rPr>
          <w:i/>
        </w:rPr>
      </w:pPr>
      <w:r w:rsidRPr="00BA3CC0">
        <w:rPr>
          <w:i/>
        </w:rPr>
        <w:t xml:space="preserve">Why has the EMA retained the second-line sub-part of the indication, when this could be assumed to be a subset of </w:t>
      </w:r>
      <w:r w:rsidR="00FA038A" w:rsidRPr="00BA3CC0">
        <w:rPr>
          <w:i/>
        </w:rPr>
        <w:t>‘</w:t>
      </w:r>
      <w:r w:rsidRPr="00BA3CC0">
        <w:rPr>
          <w:i/>
        </w:rPr>
        <w:t xml:space="preserve">use in ALK+ </w:t>
      </w:r>
      <w:proofErr w:type="gramStart"/>
      <w:r w:rsidRPr="00BA3CC0">
        <w:rPr>
          <w:i/>
        </w:rPr>
        <w:t>NSCLC</w:t>
      </w:r>
      <w:r w:rsidR="00FA038A" w:rsidRPr="00BA3CC0">
        <w:rPr>
          <w:i/>
        </w:rPr>
        <w:t>’</w:t>
      </w:r>
      <w:r w:rsidRPr="00BA3CC0">
        <w:rPr>
          <w:i/>
        </w:rPr>
        <w:t>.</w:t>
      </w:r>
      <w:proofErr w:type="gramEnd"/>
      <w:r w:rsidRPr="00BA3CC0">
        <w:rPr>
          <w:i/>
        </w:rPr>
        <w:t xml:space="preserve"> (The FDA did not retain the second-line sub-part of the indication).</w:t>
      </w:r>
    </w:p>
    <w:p w14:paraId="6FEA1907" w14:textId="77777777" w:rsidR="003446E5" w:rsidRDefault="003446E5" w:rsidP="003446E5">
      <w:r>
        <w:t xml:space="preserve">The approved indication for </w:t>
      </w:r>
      <w:proofErr w:type="spellStart"/>
      <w:r>
        <w:t>Alecensa</w:t>
      </w:r>
      <w:proofErr w:type="spellEnd"/>
      <w:r>
        <w:t xml:space="preserve"> in EU (including two separate statements for first and second-line treatment) was proposed by the </w:t>
      </w:r>
      <w:r w:rsidR="00BA3CC0">
        <w:t>sponsor</w:t>
      </w:r>
      <w:r>
        <w:t xml:space="preserve"> and is not based on a request by EMA during the evaluation. The </w:t>
      </w:r>
      <w:r w:rsidR="00BA3CC0">
        <w:t>sponsor</w:t>
      </w:r>
      <w:r>
        <w:t xml:space="preserve"> applied for different indication statements in EU and US</w:t>
      </w:r>
      <w:r w:rsidR="00186B83">
        <w:t>A</w:t>
      </w:r>
      <w:r>
        <w:t>, for consistency with the indications previously approved for other ALK inhibitors in the respective regions.</w:t>
      </w:r>
    </w:p>
    <w:p w14:paraId="02CF21C0" w14:textId="77777777" w:rsidR="003446E5" w:rsidRPr="00BA3CC0" w:rsidRDefault="003446E5" w:rsidP="00BA3CC0">
      <w:pPr>
        <w:pStyle w:val="Numberbullet0"/>
        <w:rPr>
          <w:i/>
        </w:rPr>
      </w:pPr>
      <w:r w:rsidRPr="00BA3CC0">
        <w:rPr>
          <w:i/>
        </w:rPr>
        <w:t>When is mature data on OS and post-progression treatments from the ALEX trial expected to be available?</w:t>
      </w:r>
    </w:p>
    <w:p w14:paraId="5F4E6E22" w14:textId="77777777" w:rsidR="003446E5" w:rsidRDefault="003446E5" w:rsidP="003446E5">
      <w:r>
        <w:t>The final OS analysis for the ALEX study is event driven. It is planned to perform a survival follow-up analysis once approximately 50% of patients (</w:t>
      </w:r>
      <w:r w:rsidR="00BA3CC0">
        <w:t>that is,</w:t>
      </w:r>
      <w:r>
        <w:t xml:space="preserve"> 143 patients) have died. Based on the current event rate (with associated uncertainty) the final OS analysis is expected to be available by </w:t>
      </w:r>
      <w:r w:rsidR="00BA3CC0">
        <w:t xml:space="preserve">second quarter </w:t>
      </w:r>
      <w:r>
        <w:t>2020. This analysis will also include information on post-progression treatment.</w:t>
      </w:r>
    </w:p>
    <w:p w14:paraId="5EE3EEB6" w14:textId="61CEA7B1" w:rsidR="008C2DAC" w:rsidRPr="003446E5" w:rsidRDefault="00BA3CC0" w:rsidP="003446E5">
      <w:r>
        <w:t>T</w:t>
      </w:r>
      <w:r w:rsidR="008C2DAC" w:rsidRPr="008C2DAC">
        <w:t xml:space="preserve">he </w:t>
      </w:r>
      <w:r>
        <w:t>s</w:t>
      </w:r>
      <w:r w:rsidR="008C2DAC" w:rsidRPr="008C2DAC">
        <w:t xml:space="preserve">ponsor agrees with the summary and the conclusions </w:t>
      </w:r>
      <w:r>
        <w:t xml:space="preserve">in </w:t>
      </w:r>
      <w:r w:rsidRPr="008C2DAC">
        <w:t xml:space="preserve">the Delegate's Overview </w:t>
      </w:r>
      <w:r>
        <w:t xml:space="preserve">(see above) </w:t>
      </w:r>
      <w:r w:rsidR="008C2DAC" w:rsidRPr="008C2DAC">
        <w:t xml:space="preserve">and has no </w:t>
      </w:r>
      <w:r w:rsidR="00594CFE" w:rsidRPr="008C2DAC">
        <w:t xml:space="preserve">other </w:t>
      </w:r>
      <w:r w:rsidR="00D43827" w:rsidRPr="008C2DAC">
        <w:t>comments.</w:t>
      </w:r>
    </w:p>
    <w:p w14:paraId="69499D39" w14:textId="126E7C4C" w:rsidR="008E7846" w:rsidRDefault="008E7846" w:rsidP="008E7846">
      <w:pPr>
        <w:pStyle w:val="Heading4"/>
      </w:pPr>
      <w:r>
        <w:t xml:space="preserve">Advisory </w:t>
      </w:r>
      <w:r w:rsidR="004C4300">
        <w:t>committee considerations</w:t>
      </w:r>
    </w:p>
    <w:p w14:paraId="640B8A67" w14:textId="77777777" w:rsidR="00407466" w:rsidRDefault="00186B83" w:rsidP="008E7846">
      <w:pPr>
        <w:rPr>
          <w:bCs/>
        </w:rPr>
      </w:pPr>
      <w:r>
        <w:rPr>
          <w:bCs/>
        </w:rPr>
        <w:t>The Delegate did not seek advice from the Advisory Committee on Medicines on this application</w:t>
      </w:r>
      <w:r w:rsidR="00407466">
        <w:rPr>
          <w:bCs/>
        </w:rPr>
        <w:t>.</w:t>
      </w:r>
    </w:p>
    <w:p w14:paraId="47CA4AA2" w14:textId="5632559F" w:rsidR="008E7846" w:rsidRPr="002E238E" w:rsidRDefault="008E7846" w:rsidP="008E7846">
      <w:pPr>
        <w:pStyle w:val="Heading3"/>
      </w:pPr>
      <w:bookmarkStart w:id="117" w:name="_Toc247691532"/>
      <w:bookmarkStart w:id="118" w:name="_Toc314842516"/>
      <w:bookmarkStart w:id="119" w:name="_Toc509821978"/>
      <w:bookmarkEnd w:id="78"/>
      <w:bookmarkEnd w:id="111"/>
      <w:bookmarkEnd w:id="112"/>
      <w:r>
        <w:t>Outcome</w:t>
      </w:r>
      <w:bookmarkEnd w:id="117"/>
      <w:bookmarkEnd w:id="118"/>
      <w:bookmarkEnd w:id="119"/>
    </w:p>
    <w:p w14:paraId="369DF50E" w14:textId="77777777" w:rsidR="00D23139" w:rsidRPr="00D23139" w:rsidRDefault="00D23139" w:rsidP="00D23139">
      <w:bookmarkStart w:id="120" w:name="_Toc247691533"/>
      <w:bookmarkStart w:id="121" w:name="_Toc314842517"/>
      <w:r w:rsidRPr="00D23139">
        <w:t xml:space="preserve">Based on a review of quality, safety and efficacy, TGA approved the registration of </w:t>
      </w:r>
      <w:proofErr w:type="spellStart"/>
      <w:r w:rsidR="00BA3CC0">
        <w:t>Alecensa</w:t>
      </w:r>
      <w:proofErr w:type="spellEnd"/>
      <w:r w:rsidR="00BA3CC0">
        <w:t xml:space="preserve"> containing 150 mg </w:t>
      </w:r>
      <w:proofErr w:type="spellStart"/>
      <w:r w:rsidR="00BA3CC0">
        <w:t>alectinib</w:t>
      </w:r>
      <w:proofErr w:type="spellEnd"/>
      <w:r w:rsidR="00BA3CC0">
        <w:t xml:space="preserve"> in hard capsules</w:t>
      </w:r>
      <w:r w:rsidRPr="00D23139">
        <w:t>, indicated for:</w:t>
      </w:r>
    </w:p>
    <w:p w14:paraId="64CEE982" w14:textId="77777777" w:rsidR="00D23139" w:rsidRPr="00BA3CC0" w:rsidRDefault="00C558A5" w:rsidP="00BA3CC0">
      <w:pPr>
        <w:ind w:left="720"/>
        <w:rPr>
          <w:i/>
        </w:rPr>
      </w:pPr>
      <w:proofErr w:type="spellStart"/>
      <w:r w:rsidRPr="00E93F18">
        <w:rPr>
          <w:i/>
        </w:rPr>
        <w:t>Alecensa</w:t>
      </w:r>
      <w:proofErr w:type="spellEnd"/>
      <w:r w:rsidRPr="00E93F18">
        <w:rPr>
          <w:i/>
        </w:rPr>
        <w:t xml:space="preserve"> is indicated for the treatment of patients with anaplastic lymphoma kinase (ALK)-positive, locally advanced or metastatic non-small cell lung cancer</w:t>
      </w:r>
      <w:r>
        <w:rPr>
          <w:i/>
        </w:rPr>
        <w:t xml:space="preserve"> </w:t>
      </w:r>
      <w:r w:rsidRPr="00E93F18">
        <w:rPr>
          <w:i/>
        </w:rPr>
        <w:t>(NSCLC)</w:t>
      </w:r>
      <w:r>
        <w:rPr>
          <w:i/>
        </w:rPr>
        <w:t>.</w:t>
      </w:r>
    </w:p>
    <w:p w14:paraId="70E10EBE" w14:textId="77777777" w:rsidR="00D23139" w:rsidRPr="00D23139" w:rsidRDefault="00D23139" w:rsidP="00D23139">
      <w:pPr>
        <w:pStyle w:val="Heading4"/>
      </w:pPr>
      <w:r w:rsidRPr="00D23139">
        <w:t>Specific conditions of registration applying to these goods</w:t>
      </w:r>
    </w:p>
    <w:p w14:paraId="04FF8C28" w14:textId="77777777" w:rsidR="00BA3CC0" w:rsidRDefault="00BA3CC0" w:rsidP="00BA3CC0">
      <w:pPr>
        <w:rPr>
          <w:b/>
          <w:bCs/>
        </w:rPr>
      </w:pPr>
      <w:r w:rsidRPr="00BA3CC0">
        <w:t xml:space="preserve">The </w:t>
      </w:r>
      <w:proofErr w:type="spellStart"/>
      <w:r w:rsidRPr="00BA3CC0">
        <w:t>alectinib</w:t>
      </w:r>
      <w:proofErr w:type="spellEnd"/>
      <w:r w:rsidRPr="00BA3CC0">
        <w:t xml:space="preserve"> EU-Risk Management Plan (RMP) (version 2.1; date 8 August 2017; DLP 7</w:t>
      </w:r>
      <w:r>
        <w:t xml:space="preserve"> </w:t>
      </w:r>
      <w:r w:rsidRPr="00BA3CC0">
        <w:t>July 2017), with Australian Specific Annex (version 2.0; date August 2017), included</w:t>
      </w:r>
      <w:r>
        <w:t xml:space="preserve"> </w:t>
      </w:r>
      <w:r w:rsidRPr="00BA3CC0">
        <w:t>with submission PM-2017-03224-1-4, and any subsequent revisions, as agreed with</w:t>
      </w:r>
      <w:r>
        <w:t xml:space="preserve"> </w:t>
      </w:r>
      <w:r w:rsidRPr="00BA3CC0">
        <w:t>the TGA will be implemented in Australia.</w:t>
      </w:r>
    </w:p>
    <w:p w14:paraId="5AB09B31" w14:textId="77777777" w:rsidR="008E7846" w:rsidRDefault="00A80B5B" w:rsidP="00BA3CC0">
      <w:pPr>
        <w:pStyle w:val="Heading2"/>
      </w:pPr>
      <w:bookmarkStart w:id="122" w:name="_Toc509821979"/>
      <w:proofErr w:type="gramStart"/>
      <w:r>
        <w:t>Attachment 1.</w:t>
      </w:r>
      <w:proofErr w:type="gramEnd"/>
      <w:r>
        <w:t xml:space="preserve"> </w:t>
      </w:r>
      <w:r w:rsidR="008E7846">
        <w:t xml:space="preserve">Product </w:t>
      </w:r>
      <w:r w:rsidR="00AA0ED0">
        <w:t>I</w:t>
      </w:r>
      <w:r w:rsidR="008E7846">
        <w:t>nformation</w:t>
      </w:r>
      <w:bookmarkEnd w:id="120"/>
      <w:bookmarkEnd w:id="121"/>
      <w:bookmarkEnd w:id="122"/>
    </w:p>
    <w:p w14:paraId="443E9DA3" w14:textId="77777777" w:rsidR="00C80137" w:rsidRDefault="006136D7" w:rsidP="00C80137">
      <w:pPr>
        <w:rPr>
          <w:color w:val="000000"/>
          <w:lang w:eastAsia="en-AU"/>
        </w:rPr>
      </w:pPr>
      <w:r w:rsidRPr="002B3624">
        <w:t xml:space="preserve">The </w:t>
      </w:r>
      <w:r>
        <w:t>PI</w:t>
      </w:r>
      <w:r w:rsidRPr="002B3624">
        <w:t xml:space="preserve"> for </w:t>
      </w:r>
      <w:proofErr w:type="spellStart"/>
      <w:r w:rsidR="00A064D5">
        <w:t>Alecensa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4" w:history="1">
        <w:r w:rsidR="007C6B9B" w:rsidRPr="007C6B9B">
          <w:rPr>
            <w:rStyle w:val="Hyperlink"/>
          </w:rPr>
          <w:t>https://www.tga.gov.au/product-information-pi</w:t>
        </w:r>
      </w:hyperlink>
      <w:r w:rsidR="00A064D5">
        <w:t>&gt;.</w:t>
      </w:r>
    </w:p>
    <w:p w14:paraId="31325334" w14:textId="77777777" w:rsidR="00770CAC" w:rsidRDefault="00C80137" w:rsidP="003269CB">
      <w:pPr>
        <w:pStyle w:val="Heading2"/>
        <w:rPr>
          <w:lang w:eastAsia="ja-JP"/>
        </w:rPr>
      </w:pPr>
      <w:bookmarkStart w:id="123" w:name="_Toc509821980"/>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bookmarkEnd w:id="123"/>
    </w:p>
    <w:p w14:paraId="72AEB553" w14:textId="77777777" w:rsidR="00291957" w:rsidRDefault="00291957" w:rsidP="00291957">
      <w:pPr>
        <w:rPr>
          <w:lang w:eastAsia="ja-JP"/>
        </w:rPr>
      </w:pPr>
    </w:p>
    <w:p w14:paraId="336F1D46" w14:textId="77777777"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7C3817E" w14:textId="77777777" w:rsidTr="00A05FA4">
        <w:trPr>
          <w:trHeight w:hRule="exact" w:val="704"/>
        </w:trPr>
        <w:tc>
          <w:tcPr>
            <w:tcW w:w="9175" w:type="dxa"/>
          </w:tcPr>
          <w:p w14:paraId="48C2E477" w14:textId="77777777" w:rsidR="001C32CD" w:rsidRPr="00487162" w:rsidRDefault="001C32CD" w:rsidP="00A05FA4">
            <w:pPr>
              <w:pStyle w:val="TGASignoff"/>
            </w:pPr>
            <w:r w:rsidRPr="00487162">
              <w:lastRenderedPageBreak/>
              <w:t>Therapeutic Goods Administration</w:t>
            </w:r>
          </w:p>
        </w:tc>
      </w:tr>
      <w:tr w:rsidR="001C32CD" w:rsidRPr="004C239D" w14:paraId="0F034D8A" w14:textId="77777777" w:rsidTr="00A05FA4">
        <w:trPr>
          <w:trHeight w:val="1221"/>
        </w:trPr>
        <w:tc>
          <w:tcPr>
            <w:tcW w:w="9175" w:type="dxa"/>
            <w:tcMar>
              <w:top w:w="28" w:type="dxa"/>
            </w:tcMar>
          </w:tcPr>
          <w:p w14:paraId="224BBDEE" w14:textId="77777777" w:rsidR="001C32CD" w:rsidRPr="00487162" w:rsidRDefault="001C32CD" w:rsidP="00A05FA4">
            <w:pPr>
              <w:pStyle w:val="Address"/>
            </w:pPr>
            <w:r w:rsidRPr="00487162">
              <w:t>PO Box 100 Woden ACT 2606 Australia</w:t>
            </w:r>
          </w:p>
          <w:p w14:paraId="4EC21061" w14:textId="77777777" w:rsidR="001C32CD" w:rsidRPr="00487162" w:rsidRDefault="001C32CD" w:rsidP="00A05FA4">
            <w:pPr>
              <w:pStyle w:val="Address"/>
            </w:pPr>
            <w:r w:rsidRPr="00487162">
              <w:t xml:space="preserve">Email: </w:t>
            </w:r>
            <w:hyperlink r:id="rId29" w:history="1">
              <w:r w:rsidRPr="004C239D">
                <w:rPr>
                  <w:rStyle w:val="Hyperlink"/>
                </w:rPr>
                <w:t>info@tga.gov.au</w:t>
              </w:r>
            </w:hyperlink>
            <w:r w:rsidR="004232F7">
              <w:t xml:space="preserve"> </w:t>
            </w:r>
            <w:r w:rsidRPr="00487162">
              <w:t>Phone: 1800 020 653</w:t>
            </w:r>
            <w:r w:rsidR="004232F7">
              <w:t xml:space="preserve"> </w:t>
            </w:r>
            <w:r w:rsidRPr="00487162">
              <w:t>Fax: 02 6232 8605</w:t>
            </w:r>
          </w:p>
          <w:p w14:paraId="05FB2691" w14:textId="77777777" w:rsidR="001C32CD" w:rsidRPr="004C239D" w:rsidRDefault="00407466" w:rsidP="00A05FA4">
            <w:pPr>
              <w:pStyle w:val="Address"/>
              <w:spacing w:line="260" w:lineRule="atLeast"/>
              <w:rPr>
                <w:b/>
                <w:color w:val="0000FF"/>
                <w:u w:val="single"/>
              </w:rPr>
            </w:pPr>
            <w:hyperlink r:id="rId30" w:history="1">
              <w:r w:rsidR="007C6B9B" w:rsidRPr="007C6B9B">
                <w:rPr>
                  <w:rStyle w:val="Hyperlink"/>
                  <w:b/>
                </w:rPr>
                <w:t>https://www.tga.gov.au</w:t>
              </w:r>
            </w:hyperlink>
          </w:p>
        </w:tc>
      </w:tr>
    </w:tbl>
    <w:p w14:paraId="0CC257D7"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5983E4" w15:done="0"/>
  <w15:commentEx w15:paraId="51258377" w15:done="0"/>
  <w15:commentEx w15:paraId="29066A74" w15:done="0"/>
  <w15:commentEx w15:paraId="176D1532" w15:done="0"/>
  <w15:commentEx w15:paraId="7BAF9D34" w15:done="0"/>
  <w15:commentEx w15:paraId="762EAC72" w15:done="0"/>
  <w15:commentEx w15:paraId="555BF28B" w15:paraIdParent="762EAC72" w15:done="0"/>
  <w15:commentEx w15:paraId="4E96C085" w15:done="0"/>
  <w15:commentEx w15:paraId="6CE006D1" w15:done="0"/>
  <w15:commentEx w15:paraId="4FDB64A6" w15:done="0"/>
  <w15:commentEx w15:paraId="05145C3E" w15:done="0"/>
  <w15:commentEx w15:paraId="54F53254" w15:done="0"/>
  <w15:commentEx w15:paraId="7001BE3F" w15:done="0"/>
  <w15:commentEx w15:paraId="18588A97" w15:done="0"/>
  <w15:commentEx w15:paraId="0E440D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47B94" w14:textId="77777777" w:rsidR="00407466" w:rsidRDefault="00407466" w:rsidP="00C40A36">
      <w:pPr>
        <w:spacing w:after="0"/>
      </w:pPr>
      <w:r>
        <w:separator/>
      </w:r>
    </w:p>
  </w:endnote>
  <w:endnote w:type="continuationSeparator" w:id="0">
    <w:p w14:paraId="30686511" w14:textId="77777777" w:rsidR="00407466" w:rsidRDefault="004074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TNEJMQuadraat">
    <w:altName w:val="Times New Roman"/>
    <w:panose1 w:val="00000000000000000000"/>
    <w:charset w:val="00"/>
    <w:family w:val="roman"/>
    <w:notTrueType/>
    <w:pitch w:val="default"/>
  </w:font>
  <w:font w:name="êPıøwÉË">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92]ˇ">
    <w:altName w:val="Times New Roman"/>
    <w:panose1 w:val="00000000000000000000"/>
    <w:charset w:val="00"/>
    <w:family w:val="roman"/>
    <w:notTrueType/>
    <w:pitch w:val="default"/>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07466" w:rsidRPr="00487162" w14:paraId="0655A834" w14:textId="77777777" w:rsidTr="00DB750B">
      <w:trPr>
        <w:trHeight w:val="269"/>
      </w:trPr>
      <w:tc>
        <w:tcPr>
          <w:tcW w:w="7371" w:type="dxa"/>
          <w:tcMar>
            <w:top w:w="142" w:type="dxa"/>
            <w:bottom w:w="0" w:type="dxa"/>
          </w:tcMar>
        </w:tcPr>
        <w:p w14:paraId="3207C4F2" w14:textId="1EEAC131" w:rsidR="00407466" w:rsidRPr="00487162" w:rsidRDefault="00407466" w:rsidP="004E45E8">
          <w:pPr>
            <w:pStyle w:val="Footer"/>
          </w:pPr>
          <w:r w:rsidRPr="00487162">
            <w:t>AusPA</w:t>
          </w:r>
          <w:r>
            <w:t xml:space="preserve">R </w:t>
          </w:r>
          <w:proofErr w:type="spellStart"/>
          <w:r>
            <w:t>Alecensa</w:t>
          </w:r>
          <w:proofErr w:type="spellEnd"/>
          <w:r>
            <w:t xml:space="preserve"> </w:t>
          </w:r>
          <w:proofErr w:type="spellStart"/>
          <w:r w:rsidRPr="00973CA3">
            <w:t>Alectinib</w:t>
          </w:r>
          <w:proofErr w:type="spellEnd"/>
          <w:r w:rsidRPr="00973CA3">
            <w:t xml:space="preserve"> </w:t>
          </w:r>
          <w:r>
            <w:t>Roche Australia Pty Ltd PM-2017</w:t>
          </w:r>
          <w:r w:rsidRPr="00487162">
            <w:t>-</w:t>
          </w:r>
          <w:r>
            <w:t>03224-1-4</w:t>
          </w:r>
          <w:r>
            <w:br/>
            <w:t>Final 5 March 2018</w:t>
          </w:r>
        </w:p>
      </w:tc>
      <w:tc>
        <w:tcPr>
          <w:tcW w:w="1490" w:type="dxa"/>
          <w:tcMar>
            <w:top w:w="142" w:type="dxa"/>
            <w:bottom w:w="0" w:type="dxa"/>
          </w:tcMar>
        </w:tcPr>
        <w:p w14:paraId="6F1B5340" w14:textId="27E18E14" w:rsidR="00407466" w:rsidRPr="00487162" w:rsidRDefault="00407466" w:rsidP="00DB750B">
          <w:pPr>
            <w:pStyle w:val="Footer"/>
            <w:jc w:val="right"/>
          </w:pPr>
          <w:r w:rsidRPr="00487162">
            <w:t xml:space="preserve">Page </w:t>
          </w:r>
          <w:r>
            <w:fldChar w:fldCharType="begin"/>
          </w:r>
          <w:r>
            <w:instrText xml:space="preserve"> PAGE  \* Arabic </w:instrText>
          </w:r>
          <w:r>
            <w:fldChar w:fldCharType="separate"/>
          </w:r>
          <w:r w:rsidR="004C4300">
            <w:rPr>
              <w:noProof/>
            </w:rPr>
            <w:t>5</w:t>
          </w:r>
          <w:r>
            <w:fldChar w:fldCharType="end"/>
          </w:r>
          <w:r w:rsidRPr="00487162">
            <w:t xml:space="preserve"> of </w:t>
          </w:r>
          <w:r>
            <w:fldChar w:fldCharType="begin"/>
          </w:r>
          <w:r>
            <w:instrText xml:space="preserve"> NUMPAGES  \* Arabic </w:instrText>
          </w:r>
          <w:r>
            <w:fldChar w:fldCharType="separate"/>
          </w:r>
          <w:r w:rsidR="004C4300">
            <w:rPr>
              <w:noProof/>
            </w:rPr>
            <w:t>32</w:t>
          </w:r>
          <w:r>
            <w:rPr>
              <w:noProof/>
            </w:rPr>
            <w:fldChar w:fldCharType="end"/>
          </w:r>
        </w:p>
      </w:tc>
    </w:tr>
  </w:tbl>
  <w:p w14:paraId="1F228060" w14:textId="77777777" w:rsidR="00407466" w:rsidRDefault="0040746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7466" w:rsidRPr="00487162" w14:paraId="4FABC0E5" w14:textId="77777777" w:rsidTr="00E45619">
      <w:trPr>
        <w:trHeight w:val="269"/>
      </w:trPr>
      <w:tc>
        <w:tcPr>
          <w:tcW w:w="4519" w:type="dxa"/>
          <w:tcBorders>
            <w:top w:val="single" w:sz="4" w:space="0" w:color="auto"/>
          </w:tcBorders>
          <w:tcMar>
            <w:top w:w="142" w:type="dxa"/>
            <w:bottom w:w="0" w:type="dxa"/>
          </w:tcMar>
        </w:tcPr>
        <w:p w14:paraId="4329EF8E" w14:textId="77777777" w:rsidR="00407466" w:rsidRPr="00487162" w:rsidRDefault="00407466" w:rsidP="00FE1DEE">
          <w:pPr>
            <w:pStyle w:val="Footer"/>
          </w:pPr>
          <w:r w:rsidRPr="00487162">
            <w:t>Document title, Part #, Section # - Section title</w:t>
          </w:r>
        </w:p>
        <w:p w14:paraId="3AD7F8EC" w14:textId="77777777" w:rsidR="00407466" w:rsidRPr="00487162" w:rsidRDefault="00407466" w:rsidP="00FE1DEE">
          <w:pPr>
            <w:pStyle w:val="Footer"/>
          </w:pPr>
          <w:r w:rsidRPr="00487162">
            <w:t>V1.0 October 2010</w:t>
          </w:r>
        </w:p>
      </w:tc>
      <w:tc>
        <w:tcPr>
          <w:tcW w:w="4342" w:type="dxa"/>
          <w:tcBorders>
            <w:top w:val="single" w:sz="4" w:space="0" w:color="auto"/>
          </w:tcBorders>
          <w:tcMar>
            <w:top w:w="142" w:type="dxa"/>
            <w:bottom w:w="0" w:type="dxa"/>
          </w:tcMar>
        </w:tcPr>
        <w:p w14:paraId="0A754383" w14:textId="7CDB6793" w:rsidR="00407466" w:rsidRPr="00487162" w:rsidRDefault="004074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31</w:t>
          </w:r>
          <w:r>
            <w:rPr>
              <w:noProof/>
            </w:rPr>
            <w:fldChar w:fldCharType="end"/>
          </w:r>
        </w:p>
      </w:tc>
    </w:tr>
  </w:tbl>
  <w:p w14:paraId="0B13F5E6" w14:textId="77777777" w:rsidR="00407466" w:rsidRDefault="004074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4526D" w14:textId="77777777" w:rsidR="00407466" w:rsidRPr="001C32CD" w:rsidRDefault="0040746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7466" w14:paraId="20C88FAF" w14:textId="77777777" w:rsidTr="0010601F">
      <w:trPr>
        <w:trHeight w:val="108"/>
      </w:trPr>
      <w:tc>
        <w:tcPr>
          <w:tcW w:w="8875" w:type="dxa"/>
          <w:gridSpan w:val="2"/>
          <w:tcBorders>
            <w:bottom w:val="single" w:sz="4" w:space="0" w:color="auto"/>
          </w:tcBorders>
          <w:tcMar>
            <w:right w:w="284" w:type="dxa"/>
          </w:tcMar>
        </w:tcPr>
        <w:p w14:paraId="0A2C3284" w14:textId="77777777" w:rsidR="00407466" w:rsidRDefault="00407466" w:rsidP="006E08B3">
          <w:pPr>
            <w:pStyle w:val="Heading3"/>
          </w:pPr>
          <w:r>
            <w:t>Copyright</w:t>
          </w:r>
        </w:p>
        <w:p w14:paraId="5C9A9CD0" w14:textId="77777777" w:rsidR="00407466" w:rsidRDefault="00407466" w:rsidP="006E08B3">
          <w:r>
            <w:rPr>
              <w:rFonts w:cs="Arial"/>
            </w:rPr>
            <w:t>©</w:t>
          </w:r>
          <w:r>
            <w:t xml:space="preserve"> Commonwealth of Australia [add year]</w:t>
          </w:r>
        </w:p>
        <w:p w14:paraId="327EAD82" w14:textId="77777777" w:rsidR="00407466" w:rsidRDefault="00407466" w:rsidP="006E08B3"/>
        <w:p w14:paraId="40D314D1" w14:textId="77777777" w:rsidR="00407466" w:rsidRDefault="004074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CD25F6D" w14:textId="77777777" w:rsidR="00407466" w:rsidRDefault="00407466" w:rsidP="006E08B3"/>
        <w:p w14:paraId="2DA3E012" w14:textId="77777777" w:rsidR="00407466" w:rsidRDefault="00407466" w:rsidP="006E08B3">
          <w:pPr>
            <w:pStyle w:val="Heading3"/>
          </w:pPr>
          <w:r>
            <w:t>Confidentiality</w:t>
          </w:r>
        </w:p>
        <w:p w14:paraId="02D7D59B" w14:textId="77777777" w:rsidR="00407466" w:rsidRDefault="004074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D2A3E3A" w14:textId="77777777" w:rsidR="00407466" w:rsidRDefault="00407466" w:rsidP="006E08B3"/>
        <w:p w14:paraId="48A20346" w14:textId="77777777" w:rsidR="00407466" w:rsidRDefault="00407466" w:rsidP="006E08B3">
          <w:r>
            <w:t>For submission made by individuals, all personal details, other than your name, will be removed from your submission before it is published on the TGA’s Internet site.</w:t>
          </w:r>
        </w:p>
        <w:p w14:paraId="0A647ADC" w14:textId="77777777" w:rsidR="00407466" w:rsidRDefault="00407466" w:rsidP="006E08B3"/>
        <w:p w14:paraId="4BCA0903" w14:textId="77777777" w:rsidR="00407466" w:rsidRDefault="0040746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07466" w14:paraId="54B0F6EF" w14:textId="77777777" w:rsidTr="0010601F">
      <w:trPr>
        <w:trHeight w:val="417"/>
      </w:trPr>
      <w:tc>
        <w:tcPr>
          <w:tcW w:w="4519" w:type="dxa"/>
          <w:tcBorders>
            <w:top w:val="single" w:sz="4" w:space="0" w:color="auto"/>
          </w:tcBorders>
          <w:tcMar>
            <w:top w:w="142" w:type="dxa"/>
            <w:bottom w:w="0" w:type="dxa"/>
          </w:tcMar>
        </w:tcPr>
        <w:p w14:paraId="493CED03" w14:textId="77777777" w:rsidR="00407466" w:rsidRDefault="00407466" w:rsidP="006E08B3">
          <w:r>
            <w:t>Document title, Part #, Section # - Section title</w:t>
          </w:r>
        </w:p>
        <w:p w14:paraId="415D6E05" w14:textId="77777777" w:rsidR="00407466" w:rsidRDefault="00407466" w:rsidP="006E08B3">
          <w:r>
            <w:t>V1.0 October 2010</w:t>
          </w:r>
        </w:p>
      </w:tc>
      <w:tc>
        <w:tcPr>
          <w:tcW w:w="4356" w:type="dxa"/>
          <w:tcBorders>
            <w:top w:val="single" w:sz="4" w:space="0" w:color="auto"/>
          </w:tcBorders>
          <w:tcMar>
            <w:top w:w="142" w:type="dxa"/>
            <w:bottom w:w="0" w:type="dxa"/>
          </w:tcMar>
        </w:tcPr>
        <w:p w14:paraId="38529F2B" w14:textId="0BF325AA" w:rsidR="00407466" w:rsidRDefault="004074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31</w:t>
          </w:r>
          <w:r>
            <w:rPr>
              <w:noProof/>
            </w:rPr>
            <w:fldChar w:fldCharType="end"/>
          </w:r>
          <w:r>
            <w:t xml:space="preserve"> </w:t>
          </w:r>
        </w:p>
      </w:tc>
    </w:tr>
  </w:tbl>
  <w:p w14:paraId="23FDFF26" w14:textId="77777777" w:rsidR="00407466" w:rsidRDefault="004074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23B88" w14:textId="77777777" w:rsidR="00407466" w:rsidRDefault="00407466" w:rsidP="00C40A36">
      <w:pPr>
        <w:spacing w:after="0"/>
      </w:pPr>
      <w:r>
        <w:separator/>
      </w:r>
    </w:p>
  </w:footnote>
  <w:footnote w:type="continuationSeparator" w:id="0">
    <w:p w14:paraId="20CB6938" w14:textId="77777777" w:rsidR="00407466" w:rsidRDefault="00407466" w:rsidP="00C40A36">
      <w:pPr>
        <w:spacing w:after="0"/>
      </w:pPr>
      <w:r>
        <w:continuationSeparator/>
      </w:r>
    </w:p>
  </w:footnote>
  <w:footnote w:id="1">
    <w:p w14:paraId="04AC901F" w14:textId="77777777" w:rsidR="00407466" w:rsidRPr="00501DF2" w:rsidRDefault="00407466">
      <w:pPr>
        <w:pStyle w:val="FootnoteText"/>
        <w:rPr>
          <w:lang w:val="en-US"/>
        </w:rPr>
      </w:pPr>
      <w:r>
        <w:rPr>
          <w:rStyle w:val="FootnoteReference"/>
        </w:rPr>
        <w:footnoteRef/>
      </w:r>
      <w:r>
        <w:t xml:space="preserve"> </w:t>
      </w:r>
      <w:r w:rsidRPr="00501DF2">
        <w:t>Note to Indication: This indication is approved based on tumour response rates and duration of response. An improvement in survival or disease-related symptoms has not been established.</w:t>
      </w:r>
    </w:p>
  </w:footnote>
  <w:footnote w:id="2">
    <w:p w14:paraId="6B21A716" w14:textId="77777777" w:rsidR="00407466" w:rsidRPr="0007571B" w:rsidRDefault="00407466">
      <w:pPr>
        <w:pStyle w:val="FootnoteText"/>
        <w:rPr>
          <w:lang w:val="en-US"/>
        </w:rPr>
      </w:pPr>
      <w:r>
        <w:rPr>
          <w:rStyle w:val="FootnoteReference"/>
        </w:rPr>
        <w:footnoteRef/>
      </w:r>
      <w:r>
        <w:t xml:space="preserve"> </w:t>
      </w:r>
      <w:r>
        <w:rPr>
          <w:lang w:val="en-US"/>
        </w:rPr>
        <w:t xml:space="preserve">Shaw AT, Kim DW, Nakagawa K et al (2013). </w:t>
      </w:r>
      <w:proofErr w:type="spellStart"/>
      <w:proofErr w:type="gramStart"/>
      <w:r>
        <w:rPr>
          <w:lang w:val="en-US"/>
        </w:rPr>
        <w:t>Crizotinib</w:t>
      </w:r>
      <w:proofErr w:type="spellEnd"/>
      <w:r>
        <w:rPr>
          <w:lang w:val="en-US"/>
        </w:rPr>
        <w:t xml:space="preserve"> versus Chemotherapy in Advanced ALK-positive Lung Cancer.</w:t>
      </w:r>
      <w:proofErr w:type="gramEnd"/>
      <w:r>
        <w:rPr>
          <w:lang w:val="en-US"/>
        </w:rPr>
        <w:t xml:space="preserve"> New England Journal Medicine 368:2385-2394 </w:t>
      </w:r>
    </w:p>
  </w:footnote>
  <w:footnote w:id="3">
    <w:p w14:paraId="0513EF2E" w14:textId="77777777" w:rsidR="00407466" w:rsidRPr="00AC3938" w:rsidRDefault="00407466">
      <w:pPr>
        <w:pStyle w:val="FootnoteText"/>
        <w:rPr>
          <w:lang w:val="en-US"/>
        </w:rPr>
      </w:pPr>
      <w:r>
        <w:rPr>
          <w:rStyle w:val="FootnoteReference"/>
        </w:rPr>
        <w:footnoteRef/>
      </w:r>
      <w:r>
        <w:t xml:space="preserve"> </w:t>
      </w:r>
      <w:proofErr w:type="spellStart"/>
      <w:proofErr w:type="gramStart"/>
      <w:r w:rsidRPr="00AC3938">
        <w:t>Gainor</w:t>
      </w:r>
      <w:proofErr w:type="spellEnd"/>
      <w:r w:rsidRPr="00AC3938">
        <w:t xml:space="preserve"> JF, Varghese AM, </w:t>
      </w:r>
      <w:proofErr w:type="spellStart"/>
      <w:r w:rsidRPr="00AC3938">
        <w:t>Ou</w:t>
      </w:r>
      <w:proofErr w:type="spellEnd"/>
      <w:r w:rsidRPr="00AC3938">
        <w:t xml:space="preserve"> SH, </w:t>
      </w:r>
      <w:proofErr w:type="spellStart"/>
      <w:r w:rsidRPr="00AC3938">
        <w:t>Kabraji</w:t>
      </w:r>
      <w:proofErr w:type="spellEnd"/>
      <w:r w:rsidRPr="00AC3938">
        <w:t xml:space="preserve"> S</w:t>
      </w:r>
      <w:r>
        <w:t xml:space="preserve"> et al (2013).</w:t>
      </w:r>
      <w:proofErr w:type="gramEnd"/>
      <w:r>
        <w:t xml:space="preserve"> </w:t>
      </w:r>
      <w:r w:rsidRPr="005A1E39">
        <w:t>ALK rearrangements are mutually exclusive with mutations in EGFR or KRAS: an analysis of 1,683 patients with non-small cell lung cancer.</w:t>
      </w:r>
      <w:r>
        <w:t xml:space="preserve"> </w:t>
      </w:r>
      <w:proofErr w:type="spellStart"/>
      <w:r w:rsidRPr="005A1E39">
        <w:t>Clin</w:t>
      </w:r>
      <w:proofErr w:type="spellEnd"/>
      <w:r w:rsidRPr="005A1E39">
        <w:t xml:space="preserve"> Cancer Res. 2013 Aug 1;19(15):4273-81</w:t>
      </w:r>
    </w:p>
  </w:footnote>
  <w:footnote w:id="4">
    <w:p w14:paraId="68CB78AC" w14:textId="77777777" w:rsidR="00407466" w:rsidRPr="00471A0C" w:rsidRDefault="00407466">
      <w:pPr>
        <w:pStyle w:val="FootnoteText"/>
        <w:rPr>
          <w:lang w:val="en-US"/>
        </w:rPr>
      </w:pPr>
      <w:r>
        <w:rPr>
          <w:rStyle w:val="FootnoteReference"/>
        </w:rPr>
        <w:footnoteRef/>
      </w:r>
      <w:r>
        <w:t xml:space="preserve"> </w:t>
      </w:r>
      <w:r w:rsidRPr="00471A0C">
        <w:t xml:space="preserve">Shaw AT, </w:t>
      </w:r>
      <w:proofErr w:type="spellStart"/>
      <w:r w:rsidRPr="00471A0C">
        <w:t>Yeap</w:t>
      </w:r>
      <w:proofErr w:type="spellEnd"/>
      <w:r w:rsidRPr="00471A0C">
        <w:t xml:space="preserve"> BY, Mino-</w:t>
      </w:r>
      <w:proofErr w:type="spellStart"/>
      <w:r w:rsidRPr="00471A0C">
        <w:t>Kenud</w:t>
      </w:r>
      <w:r>
        <w:t>son</w:t>
      </w:r>
      <w:proofErr w:type="spellEnd"/>
      <w:r>
        <w:t xml:space="preserve"> M, </w:t>
      </w:r>
      <w:proofErr w:type="spellStart"/>
      <w:r>
        <w:t>Digumarthy</w:t>
      </w:r>
      <w:proofErr w:type="spellEnd"/>
      <w:r>
        <w:t xml:space="preserve"> SR, Costa DB et al (2009). </w:t>
      </w:r>
      <w:proofErr w:type="gramStart"/>
      <w:r w:rsidRPr="00471A0C">
        <w:t>Clinical features and outcome of patients with non-small-cell lung cancer who harbor EML4-ALK.</w:t>
      </w:r>
      <w:proofErr w:type="gramEnd"/>
      <w:r>
        <w:t xml:space="preserve"> </w:t>
      </w:r>
      <w:proofErr w:type="gramStart"/>
      <w:r w:rsidRPr="00471A0C">
        <w:t xml:space="preserve">J </w:t>
      </w:r>
      <w:proofErr w:type="spellStart"/>
      <w:r w:rsidRPr="00471A0C">
        <w:t>Clin</w:t>
      </w:r>
      <w:proofErr w:type="spellEnd"/>
      <w:r w:rsidRPr="00471A0C">
        <w:t xml:space="preserve"> </w:t>
      </w:r>
      <w:proofErr w:type="spellStart"/>
      <w:r w:rsidRPr="00471A0C">
        <w:t>Oncol</w:t>
      </w:r>
      <w:proofErr w:type="spellEnd"/>
      <w:r w:rsidRPr="00471A0C">
        <w:t>.</w:t>
      </w:r>
      <w:proofErr w:type="gramEnd"/>
      <w:r w:rsidRPr="00471A0C">
        <w:t xml:space="preserve"> 2009 Sep 10; 27(26):4247-53.</w:t>
      </w:r>
    </w:p>
  </w:footnote>
  <w:footnote w:id="5">
    <w:p w14:paraId="60E14AD4" w14:textId="77777777" w:rsidR="00407466" w:rsidRPr="005A1E39" w:rsidRDefault="00407466">
      <w:pPr>
        <w:pStyle w:val="FootnoteText"/>
        <w:rPr>
          <w:lang w:val="en-US"/>
        </w:rPr>
      </w:pPr>
      <w:r>
        <w:rPr>
          <w:rStyle w:val="FootnoteReference"/>
        </w:rPr>
        <w:footnoteRef/>
      </w:r>
      <w:r>
        <w:t xml:space="preserve"> </w:t>
      </w:r>
      <w:proofErr w:type="spellStart"/>
      <w:r w:rsidRPr="005A1E39">
        <w:t>Rangachari</w:t>
      </w:r>
      <w:proofErr w:type="spellEnd"/>
      <w:r w:rsidRPr="005A1E39">
        <w:t xml:space="preserve"> D, Yamaguchi N, </w:t>
      </w:r>
      <w:proofErr w:type="spellStart"/>
      <w:r w:rsidRPr="005A1E39">
        <w:t>VanderLaan</w:t>
      </w:r>
      <w:proofErr w:type="spellEnd"/>
      <w:r w:rsidRPr="005A1E39">
        <w:t xml:space="preserve"> PA, </w:t>
      </w:r>
      <w:proofErr w:type="spellStart"/>
      <w:r w:rsidRPr="005A1E39">
        <w:t>Folch</w:t>
      </w:r>
      <w:proofErr w:type="spellEnd"/>
      <w:r w:rsidRPr="005A1E39">
        <w:t xml:space="preserve"> E</w:t>
      </w:r>
      <w:r>
        <w:t xml:space="preserve"> et al. (2015). </w:t>
      </w:r>
      <w:proofErr w:type="gramStart"/>
      <w:r w:rsidRPr="005A1E39">
        <w:t>Brain metastases in patients with EGFR-mutated or ALK-rearranged non-small-cell lung cancers.</w:t>
      </w:r>
      <w:proofErr w:type="gramEnd"/>
      <w:r>
        <w:t xml:space="preserve"> </w:t>
      </w:r>
      <w:proofErr w:type="gramStart"/>
      <w:r>
        <w:t>Lung Cancer.</w:t>
      </w:r>
      <w:proofErr w:type="gramEnd"/>
      <w:r>
        <w:t xml:space="preserve"> </w:t>
      </w:r>
      <w:r w:rsidRPr="005A1E39">
        <w:t>Apr;88(1):108-11</w:t>
      </w:r>
    </w:p>
  </w:footnote>
  <w:footnote w:id="6">
    <w:p w14:paraId="3E0099E2" w14:textId="77777777" w:rsidR="00407466" w:rsidRPr="00D745F5" w:rsidRDefault="00407466">
      <w:pPr>
        <w:pStyle w:val="FootnoteText"/>
        <w:rPr>
          <w:lang w:val="en-US"/>
        </w:rPr>
      </w:pPr>
      <w:r>
        <w:rPr>
          <w:rStyle w:val="FootnoteReference"/>
        </w:rPr>
        <w:footnoteRef/>
      </w:r>
      <w:r>
        <w:t xml:space="preserve"> </w:t>
      </w:r>
      <w:proofErr w:type="spellStart"/>
      <w:proofErr w:type="gramStart"/>
      <w:r w:rsidRPr="00D745F5">
        <w:t>Ou</w:t>
      </w:r>
      <w:proofErr w:type="spellEnd"/>
      <w:r w:rsidRPr="00D745F5">
        <w:t xml:space="preserve"> SH</w:t>
      </w:r>
      <w:r>
        <w:t xml:space="preserve"> (2011).</w:t>
      </w:r>
      <w:proofErr w:type="gramEnd"/>
      <w:r>
        <w:t xml:space="preserve"> </w:t>
      </w:r>
      <w:proofErr w:type="spellStart"/>
      <w:r w:rsidRPr="00D745F5">
        <w:t>Crizotinib</w:t>
      </w:r>
      <w:proofErr w:type="spellEnd"/>
      <w:r w:rsidRPr="00D745F5">
        <w:t xml:space="preserve">: a novel and first-in-class </w:t>
      </w:r>
      <w:proofErr w:type="spellStart"/>
      <w:r w:rsidRPr="00D745F5">
        <w:t>multitargeted</w:t>
      </w:r>
      <w:proofErr w:type="spellEnd"/>
      <w:r w:rsidRPr="00D745F5">
        <w:t xml:space="preserve"> tyrosine kinase inhibitor for the treatment of anaplastic lymphoma kinase rearranged non-small cell lung cancer and beyond.</w:t>
      </w:r>
      <w:r>
        <w:t xml:space="preserve"> </w:t>
      </w:r>
      <w:r w:rsidRPr="00D745F5">
        <w:t xml:space="preserve">Drug Des </w:t>
      </w:r>
      <w:proofErr w:type="spellStart"/>
      <w:r w:rsidRPr="00D745F5">
        <w:t>Devel</w:t>
      </w:r>
      <w:proofErr w:type="spellEnd"/>
      <w:r w:rsidRPr="00D745F5">
        <w:t xml:space="preserve"> </w:t>
      </w:r>
      <w:proofErr w:type="spellStart"/>
      <w:r w:rsidRPr="00D745F5">
        <w:t>Ther</w:t>
      </w:r>
      <w:proofErr w:type="spellEnd"/>
      <w:r w:rsidRPr="00D745F5">
        <w:t>. 2011</w:t>
      </w:r>
      <w:proofErr w:type="gramStart"/>
      <w:r w:rsidRPr="00D745F5">
        <w:t>;5:471</w:t>
      </w:r>
      <w:proofErr w:type="gramEnd"/>
      <w:r w:rsidRPr="00D745F5">
        <w:t>-85.</w:t>
      </w:r>
    </w:p>
  </w:footnote>
  <w:footnote w:id="7">
    <w:p w14:paraId="381C3809" w14:textId="77777777" w:rsidR="00407466" w:rsidRDefault="00407466">
      <w:pPr>
        <w:pStyle w:val="FootnoteText"/>
      </w:pPr>
      <w:r>
        <w:rPr>
          <w:rStyle w:val="FootnoteReference"/>
        </w:rPr>
        <w:footnoteRef/>
      </w:r>
      <w:r>
        <w:t xml:space="preserve"> </w:t>
      </w:r>
      <w:proofErr w:type="gramStart"/>
      <w:r>
        <w:t xml:space="preserve">Solomon, B et al, </w:t>
      </w:r>
      <w:r w:rsidRPr="00F15BDC">
        <w:t xml:space="preserve">First-Line </w:t>
      </w:r>
      <w:proofErr w:type="spellStart"/>
      <w:r w:rsidRPr="00F15BDC">
        <w:t>Crizotinib</w:t>
      </w:r>
      <w:proofErr w:type="spellEnd"/>
      <w:r w:rsidRPr="00F15BDC">
        <w:t xml:space="preserve"> versus Chemotherapy in ALK-Positive Lung Cancer</w:t>
      </w:r>
      <w:r>
        <w:t>.</w:t>
      </w:r>
      <w:proofErr w:type="gramEnd"/>
      <w:r>
        <w:t xml:space="preserve"> </w:t>
      </w:r>
      <w:r w:rsidRPr="00F15BDC">
        <w:t xml:space="preserve">N </w:t>
      </w:r>
      <w:proofErr w:type="spellStart"/>
      <w:r w:rsidRPr="00F15BDC">
        <w:t>Engl</w:t>
      </w:r>
      <w:proofErr w:type="spellEnd"/>
      <w:r w:rsidRPr="00F15BDC">
        <w:t xml:space="preserve"> J Med 2014; 371:2167-2177</w:t>
      </w:r>
    </w:p>
    <w:p w14:paraId="2D9E8F4E" w14:textId="77777777" w:rsidR="00407466" w:rsidRPr="00F15BDC" w:rsidRDefault="00407466">
      <w:pPr>
        <w:pStyle w:val="FootnoteText"/>
        <w:rPr>
          <w:lang w:val="en-US"/>
        </w:rPr>
      </w:pPr>
      <w:proofErr w:type="gramStart"/>
      <w:r>
        <w:t>Costa CB, Kobayashi S, Pandya SS (2011).</w:t>
      </w:r>
      <w:proofErr w:type="gramEnd"/>
      <w:r>
        <w:t xml:space="preserve"> </w:t>
      </w:r>
      <w:proofErr w:type="gramStart"/>
      <w:r>
        <w:t xml:space="preserve">Concentration of the anaplastic lymphoma kinase inhibitor </w:t>
      </w:r>
      <w:proofErr w:type="spellStart"/>
      <w:r w:rsidRPr="00BA583C">
        <w:t>crizotinib</w:t>
      </w:r>
      <w:proofErr w:type="spellEnd"/>
      <w:r>
        <w:t>.</w:t>
      </w:r>
      <w:proofErr w:type="gramEnd"/>
      <w:r>
        <w:t xml:space="preserve"> J </w:t>
      </w:r>
      <w:proofErr w:type="spellStart"/>
      <w:r>
        <w:t>Clin</w:t>
      </w:r>
      <w:proofErr w:type="spellEnd"/>
      <w:r>
        <w:t xml:space="preserve"> </w:t>
      </w:r>
      <w:proofErr w:type="spellStart"/>
      <w:r>
        <w:t>Oncol</w:t>
      </w:r>
      <w:proofErr w:type="spellEnd"/>
      <w:r>
        <w:t xml:space="preserve"> 29:e443-5</w:t>
      </w:r>
    </w:p>
  </w:footnote>
  <w:footnote w:id="8">
    <w:p w14:paraId="36EC7B9A" w14:textId="77777777" w:rsidR="00407466" w:rsidRDefault="00407466" w:rsidP="00BA583C">
      <w:pPr>
        <w:pStyle w:val="FootnoteText"/>
      </w:pPr>
      <w:r>
        <w:rPr>
          <w:rStyle w:val="FootnoteReference"/>
        </w:rPr>
        <w:footnoteRef/>
      </w:r>
      <w:r>
        <w:t xml:space="preserve"> </w:t>
      </w:r>
      <w:proofErr w:type="spellStart"/>
      <w:r>
        <w:t>Doebele</w:t>
      </w:r>
      <w:proofErr w:type="spellEnd"/>
      <w:r>
        <w:t xml:space="preserve"> RC, Pilling AB, </w:t>
      </w:r>
      <w:proofErr w:type="spellStart"/>
      <w:r>
        <w:t>Aisner</w:t>
      </w:r>
      <w:proofErr w:type="spellEnd"/>
      <w:r>
        <w:t xml:space="preserve"> DL, et al. Mechanisms of resistance to </w:t>
      </w:r>
      <w:proofErr w:type="spellStart"/>
      <w:r>
        <w:t>crizotinib</w:t>
      </w:r>
      <w:proofErr w:type="spellEnd"/>
      <w:r>
        <w:t xml:space="preserve"> in patients with ALK gene rearranged non−small cell lung cancer. </w:t>
      </w:r>
      <w:proofErr w:type="spellStart"/>
      <w:r>
        <w:t>Clin</w:t>
      </w:r>
      <w:proofErr w:type="spellEnd"/>
      <w:r>
        <w:t xml:space="preserve"> Cancer Res 2012; 18:1472.</w:t>
      </w:r>
    </w:p>
    <w:p w14:paraId="294E9BBD" w14:textId="77777777" w:rsidR="00407466" w:rsidRPr="00B878E2" w:rsidRDefault="00407466" w:rsidP="00BA583C">
      <w:pPr>
        <w:pStyle w:val="FootnoteText"/>
      </w:pPr>
      <w:proofErr w:type="spellStart"/>
      <w:r w:rsidRPr="00B878E2">
        <w:rPr>
          <w:lang w:val="es-ES"/>
        </w:rPr>
        <w:t>Katayama</w:t>
      </w:r>
      <w:proofErr w:type="spellEnd"/>
      <w:r w:rsidRPr="00B878E2">
        <w:rPr>
          <w:lang w:val="es-ES"/>
        </w:rPr>
        <w:t xml:space="preserve"> R, </w:t>
      </w:r>
      <w:proofErr w:type="spellStart"/>
      <w:r w:rsidRPr="00B878E2">
        <w:rPr>
          <w:lang w:val="es-ES"/>
        </w:rPr>
        <w:t>Khan</w:t>
      </w:r>
      <w:proofErr w:type="spellEnd"/>
      <w:r w:rsidRPr="00B878E2">
        <w:rPr>
          <w:lang w:val="es-ES"/>
        </w:rPr>
        <w:t xml:space="preserve"> TM, Benes C, et al. </w:t>
      </w:r>
      <w:r w:rsidRPr="00BA583C">
        <w:rPr>
          <w:lang w:val="en-US"/>
        </w:rPr>
        <w:t xml:space="preserve">Therapeutic strategies to overcome </w:t>
      </w:r>
      <w:proofErr w:type="spellStart"/>
      <w:r w:rsidRPr="00BA583C">
        <w:rPr>
          <w:lang w:val="en-US"/>
        </w:rPr>
        <w:t>crizotinib</w:t>
      </w:r>
      <w:proofErr w:type="spellEnd"/>
      <w:r>
        <w:rPr>
          <w:lang w:val="en-US"/>
        </w:rPr>
        <w:t xml:space="preserve"> </w:t>
      </w:r>
      <w:r w:rsidRPr="00BA583C">
        <w:rPr>
          <w:lang w:val="en-US"/>
        </w:rPr>
        <w:t xml:space="preserve">resistance in non−small cell lung cancers harboring the fusion oncogene EML4-ALK. </w:t>
      </w:r>
      <w:r w:rsidRPr="00B878E2">
        <w:t xml:space="preserve">Proc Natl </w:t>
      </w:r>
      <w:proofErr w:type="spellStart"/>
      <w:r w:rsidRPr="00B878E2">
        <w:t>Acad</w:t>
      </w:r>
      <w:proofErr w:type="spellEnd"/>
      <w:r w:rsidRPr="00B878E2">
        <w:t xml:space="preserve"> </w:t>
      </w:r>
      <w:proofErr w:type="spellStart"/>
      <w:r w:rsidRPr="00B878E2">
        <w:t>Sci</w:t>
      </w:r>
      <w:proofErr w:type="spellEnd"/>
      <w:r w:rsidRPr="00B878E2">
        <w:t xml:space="preserve"> USA 2011</w:t>
      </w:r>
      <w:proofErr w:type="gramStart"/>
      <w:r w:rsidRPr="00B878E2">
        <w:t>;108:7535</w:t>
      </w:r>
      <w:proofErr w:type="gramEnd"/>
      <w:r w:rsidRPr="00B878E2">
        <w:t>.</w:t>
      </w:r>
    </w:p>
  </w:footnote>
  <w:footnote w:id="9">
    <w:p w14:paraId="2D6B4139" w14:textId="3080F80E" w:rsidR="00407466" w:rsidRPr="00625DE7" w:rsidRDefault="00407466" w:rsidP="004232F7">
      <w:pPr>
        <w:spacing w:before="0" w:after="0" w:line="240" w:lineRule="auto"/>
        <w:rPr>
          <w:sz w:val="18"/>
          <w:szCs w:val="18"/>
          <w:lang w:eastAsia="ja-JP"/>
        </w:rPr>
      </w:pPr>
      <w:r w:rsidRPr="00625DE7">
        <w:rPr>
          <w:rStyle w:val="FootnoteReference"/>
        </w:rPr>
        <w:footnoteRef/>
      </w:r>
      <w:r w:rsidRPr="00625DE7">
        <w:rPr>
          <w:sz w:val="18"/>
          <w:szCs w:val="18"/>
          <w:lang w:eastAsia="ja-JP"/>
        </w:rPr>
        <w:t>The QT interval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10">
    <w:p w14:paraId="06B1F0B1" w14:textId="77777777" w:rsidR="00407466" w:rsidRPr="00625DE7" w:rsidRDefault="00407466" w:rsidP="004228E6">
      <w:pPr>
        <w:pStyle w:val="FootnoteText"/>
        <w:rPr>
          <w:lang w:val="en-US"/>
        </w:rPr>
      </w:pPr>
      <w:r>
        <w:rPr>
          <w:rStyle w:val="FootnoteReference"/>
        </w:rPr>
        <w:footnoteRef/>
      </w:r>
      <w:r>
        <w:t xml:space="preserve"> </w:t>
      </w:r>
      <w:proofErr w:type="spellStart"/>
      <w:r w:rsidRPr="00625DE7">
        <w:t>Ou</w:t>
      </w:r>
      <w:proofErr w:type="spellEnd"/>
      <w:r w:rsidRPr="00625DE7">
        <w:t xml:space="preserve"> SH, </w:t>
      </w:r>
      <w:proofErr w:type="spellStart"/>
      <w:r w:rsidRPr="00625DE7">
        <w:t>Ahn</w:t>
      </w:r>
      <w:proofErr w:type="spellEnd"/>
      <w:r w:rsidRPr="00625DE7">
        <w:t xml:space="preserve"> JS, De </w:t>
      </w:r>
      <w:proofErr w:type="spellStart"/>
      <w:r w:rsidRPr="00625DE7">
        <w:t>Petris</w:t>
      </w:r>
      <w:proofErr w:type="spellEnd"/>
      <w:r w:rsidRPr="00625DE7">
        <w:t xml:space="preserve"> L, </w:t>
      </w:r>
      <w:proofErr w:type="spellStart"/>
      <w:r w:rsidRPr="00625DE7">
        <w:t>Govindan</w:t>
      </w:r>
      <w:proofErr w:type="spellEnd"/>
      <w:r w:rsidRPr="00625DE7">
        <w:t xml:space="preserve"> R, Yang JC</w:t>
      </w:r>
      <w:r>
        <w:t xml:space="preserve"> et al (2016). </w:t>
      </w:r>
      <w:proofErr w:type="spellStart"/>
      <w:r w:rsidRPr="00625DE7">
        <w:t>Alectinib</w:t>
      </w:r>
      <w:proofErr w:type="spellEnd"/>
      <w:r w:rsidRPr="00625DE7">
        <w:t xml:space="preserve"> in </w:t>
      </w:r>
      <w:proofErr w:type="spellStart"/>
      <w:r w:rsidRPr="00625DE7">
        <w:t>Crizotinib</w:t>
      </w:r>
      <w:proofErr w:type="spellEnd"/>
      <w:r w:rsidRPr="00625DE7">
        <w:t>-Refractory ALK-Rearranged Non-Small-Cell Lung Cancer: A Phase II Global Study.</w:t>
      </w:r>
      <w:r>
        <w:t xml:space="preserve"> </w:t>
      </w:r>
      <w:proofErr w:type="gramStart"/>
      <w:r w:rsidRPr="00625DE7">
        <w:t xml:space="preserve">J </w:t>
      </w:r>
      <w:proofErr w:type="spellStart"/>
      <w:r w:rsidRPr="00625DE7">
        <w:t>Clin</w:t>
      </w:r>
      <w:proofErr w:type="spellEnd"/>
      <w:r w:rsidRPr="00625DE7">
        <w:t xml:space="preserve"> </w:t>
      </w:r>
      <w:proofErr w:type="spellStart"/>
      <w:r w:rsidRPr="00625DE7">
        <w:t>Oncol</w:t>
      </w:r>
      <w:proofErr w:type="spellEnd"/>
      <w:r w:rsidRPr="00625DE7">
        <w:t>.</w:t>
      </w:r>
      <w:proofErr w:type="gramEnd"/>
      <w:r w:rsidRPr="00625DE7">
        <w:t xml:space="preserve"> 2016 Mar 1;</w:t>
      </w:r>
      <w:r>
        <w:t xml:space="preserve"> </w:t>
      </w:r>
      <w:r w:rsidRPr="00625DE7">
        <w:t>34(7):661-8.</w:t>
      </w:r>
    </w:p>
  </w:footnote>
  <w:footnote w:id="11">
    <w:p w14:paraId="736B66A0" w14:textId="77777777" w:rsidR="00407466" w:rsidRPr="00625DE7" w:rsidRDefault="00407466" w:rsidP="00625DE7">
      <w:pPr>
        <w:pStyle w:val="FootnoteText"/>
        <w:rPr>
          <w:lang w:val="en-US"/>
        </w:rPr>
      </w:pPr>
      <w:r>
        <w:rPr>
          <w:rStyle w:val="FootnoteReference"/>
        </w:rPr>
        <w:footnoteRef/>
      </w:r>
      <w:proofErr w:type="spellStart"/>
      <w:proofErr w:type="gramStart"/>
      <w:r>
        <w:t>Gadgeel</w:t>
      </w:r>
      <w:proofErr w:type="spellEnd"/>
      <w:r>
        <w:t xml:space="preserve"> SM, Shaw AT, </w:t>
      </w:r>
      <w:proofErr w:type="spellStart"/>
      <w:r>
        <w:t>Govindan</w:t>
      </w:r>
      <w:proofErr w:type="spellEnd"/>
      <w:r>
        <w:t xml:space="preserve"> R, Gandhi L, </w:t>
      </w:r>
      <w:proofErr w:type="spellStart"/>
      <w:r>
        <w:t>Socinski</w:t>
      </w:r>
      <w:proofErr w:type="spellEnd"/>
      <w:r>
        <w:t xml:space="preserve"> MA and </w:t>
      </w:r>
      <w:proofErr w:type="spellStart"/>
      <w:r>
        <w:t>Camidge</w:t>
      </w:r>
      <w:proofErr w:type="spellEnd"/>
      <w:r>
        <w:t xml:space="preserve"> RA (2016).</w:t>
      </w:r>
      <w:proofErr w:type="gramEnd"/>
      <w:r>
        <w:t xml:space="preserve"> </w:t>
      </w:r>
      <w:r w:rsidRPr="00625DE7">
        <w:t xml:space="preserve">Pooled Analysis of CNS Response to </w:t>
      </w:r>
      <w:proofErr w:type="spellStart"/>
      <w:r w:rsidRPr="00625DE7">
        <w:t>Alectinib</w:t>
      </w:r>
      <w:proofErr w:type="spellEnd"/>
      <w:r w:rsidRPr="00625DE7">
        <w:t xml:space="preserve"> in Two Studies of </w:t>
      </w:r>
      <w:proofErr w:type="spellStart"/>
      <w:r w:rsidRPr="00625DE7">
        <w:t>Pretreated</w:t>
      </w:r>
      <w:proofErr w:type="spellEnd"/>
      <w:r w:rsidRPr="00625DE7">
        <w:t xml:space="preserve"> Patients </w:t>
      </w:r>
      <w:proofErr w:type="gramStart"/>
      <w:r w:rsidRPr="00625DE7">
        <w:t>With</w:t>
      </w:r>
      <w:proofErr w:type="gramEnd"/>
      <w:r w:rsidRPr="00625DE7">
        <w:t xml:space="preserve"> ALK-Positive Non–Small-Cell Lung Cancer</w:t>
      </w:r>
      <w:r>
        <w:t xml:space="preserve">. J </w:t>
      </w:r>
      <w:proofErr w:type="spellStart"/>
      <w:r>
        <w:t>Clin</w:t>
      </w:r>
      <w:proofErr w:type="spellEnd"/>
      <w:r>
        <w:t xml:space="preserve"> </w:t>
      </w:r>
      <w:proofErr w:type="spellStart"/>
      <w:r>
        <w:t>Oncol</w:t>
      </w:r>
      <w:proofErr w:type="spellEnd"/>
      <w:r>
        <w:t xml:space="preserve"> 34: 4079-4085</w:t>
      </w:r>
    </w:p>
  </w:footnote>
  <w:footnote w:id="12">
    <w:p w14:paraId="7A4D0E65" w14:textId="77777777" w:rsidR="00407466" w:rsidRPr="00625DE7" w:rsidRDefault="00407466">
      <w:pPr>
        <w:pStyle w:val="FootnoteText"/>
        <w:rPr>
          <w:lang w:val="en-US"/>
        </w:rPr>
      </w:pPr>
      <w:r>
        <w:rPr>
          <w:rStyle w:val="FootnoteReference"/>
        </w:rPr>
        <w:footnoteRef/>
      </w:r>
      <w:r>
        <w:t xml:space="preserve"> </w:t>
      </w:r>
      <w:r w:rsidRPr="00A34FA7">
        <w:t xml:space="preserve">Inoue A, Kobayashi K, </w:t>
      </w:r>
      <w:proofErr w:type="spellStart"/>
      <w:r w:rsidRPr="00A34FA7">
        <w:t>Maemondo</w:t>
      </w:r>
      <w:proofErr w:type="spellEnd"/>
      <w:r w:rsidRPr="00A34FA7">
        <w:t xml:space="preserve"> M, Sugawara S,</w:t>
      </w:r>
      <w:r>
        <w:t xml:space="preserve"> </w:t>
      </w:r>
      <w:proofErr w:type="spellStart"/>
      <w:r>
        <w:t>Oizumi</w:t>
      </w:r>
      <w:proofErr w:type="spellEnd"/>
      <w:r>
        <w:t xml:space="preserve"> S et al (2013). </w:t>
      </w:r>
      <w:r w:rsidRPr="00A34FA7">
        <w:t xml:space="preserve">Updated overall survival results from a randomized phase III trial comparing </w:t>
      </w:r>
      <w:proofErr w:type="spellStart"/>
      <w:r w:rsidRPr="00A34FA7">
        <w:t>gefitinib</w:t>
      </w:r>
      <w:proofErr w:type="spellEnd"/>
      <w:r w:rsidRPr="00A34FA7">
        <w:t xml:space="preserve"> with carboplatin-paclitaxel for chemo-naïve non-small cell lung cancer with sensitive EGFR gene mutations</w:t>
      </w:r>
      <w:r>
        <w:t xml:space="preserve">. </w:t>
      </w:r>
      <w:r w:rsidRPr="00A34FA7">
        <w:t xml:space="preserve">Ann </w:t>
      </w:r>
      <w:proofErr w:type="spellStart"/>
      <w:r w:rsidRPr="00A34FA7">
        <w:t>Oncol</w:t>
      </w:r>
      <w:proofErr w:type="spellEnd"/>
      <w:r w:rsidRPr="00A34FA7">
        <w:t>. 2013 Jan; 24(1):54-9.</w:t>
      </w:r>
    </w:p>
  </w:footnote>
  <w:footnote w:id="13">
    <w:p w14:paraId="792E25B5" w14:textId="77777777" w:rsidR="00407466" w:rsidRPr="00A34FA7" w:rsidRDefault="00407466">
      <w:pPr>
        <w:pStyle w:val="FootnoteText"/>
        <w:rPr>
          <w:lang w:val="en-US"/>
        </w:rPr>
      </w:pPr>
      <w:r>
        <w:rPr>
          <w:rStyle w:val="FootnoteReference"/>
        </w:rPr>
        <w:footnoteRef/>
      </w:r>
      <w:r>
        <w:t xml:space="preserve"> </w:t>
      </w:r>
      <w:proofErr w:type="spellStart"/>
      <w:r w:rsidRPr="00A34FA7">
        <w:t>Hida</w:t>
      </w:r>
      <w:proofErr w:type="spellEnd"/>
      <w:r w:rsidRPr="00A34FA7">
        <w:t xml:space="preserve"> T, </w:t>
      </w:r>
      <w:proofErr w:type="spellStart"/>
      <w:r w:rsidRPr="00A34FA7">
        <w:t>Nokihara</w:t>
      </w:r>
      <w:proofErr w:type="spellEnd"/>
      <w:r w:rsidRPr="00A34FA7">
        <w:t xml:space="preserve"> H, Kondo M, Kim YH, Azuma K, </w:t>
      </w:r>
      <w:proofErr w:type="spellStart"/>
      <w:r w:rsidRPr="00A34FA7">
        <w:t>Seto</w:t>
      </w:r>
      <w:proofErr w:type="spellEnd"/>
      <w:r w:rsidRPr="00A34FA7">
        <w:t xml:space="preserve"> T, </w:t>
      </w:r>
      <w:proofErr w:type="spellStart"/>
      <w:r w:rsidRPr="00A34FA7">
        <w:t>Takiguchi</w:t>
      </w:r>
      <w:proofErr w:type="spellEnd"/>
      <w:r w:rsidRPr="00A34FA7">
        <w:t xml:space="preserve"> Y</w:t>
      </w:r>
      <w:r>
        <w:t xml:space="preserve"> et al (2017). </w:t>
      </w:r>
      <w:proofErr w:type="spellStart"/>
      <w:r w:rsidRPr="00A34FA7">
        <w:t>Alectinib</w:t>
      </w:r>
      <w:proofErr w:type="spellEnd"/>
      <w:r w:rsidRPr="00A34FA7">
        <w:t xml:space="preserve"> versus </w:t>
      </w:r>
      <w:proofErr w:type="spellStart"/>
      <w:r w:rsidRPr="00A34FA7">
        <w:t>crizotinib</w:t>
      </w:r>
      <w:proofErr w:type="spellEnd"/>
      <w:r w:rsidRPr="00A34FA7">
        <w:t xml:space="preserve"> in patients with ALK-positive non-small-cell lung cancer (J-ALEX): an open-label, randomised phase 3 trial.</w:t>
      </w:r>
      <w:r>
        <w:t xml:space="preserve"> </w:t>
      </w:r>
      <w:proofErr w:type="gramStart"/>
      <w:r w:rsidRPr="00A34FA7">
        <w:t>Lancet.</w:t>
      </w:r>
      <w:proofErr w:type="gramEnd"/>
      <w:r w:rsidRPr="00A34FA7">
        <w:t xml:space="preserve"> 2017 Jul 1;</w:t>
      </w:r>
      <w:r>
        <w:t xml:space="preserve"> </w:t>
      </w:r>
      <w:r w:rsidRPr="00A34FA7">
        <w:t>390(10089):29-39.</w:t>
      </w:r>
    </w:p>
  </w:footnote>
  <w:footnote w:id="14">
    <w:p w14:paraId="7A699C0B" w14:textId="77777777" w:rsidR="00407466" w:rsidRPr="00A34FA7" w:rsidRDefault="00407466">
      <w:pPr>
        <w:pStyle w:val="FootnoteText"/>
        <w:rPr>
          <w:lang w:val="en-US"/>
        </w:rPr>
      </w:pPr>
      <w:r>
        <w:rPr>
          <w:rStyle w:val="FootnoteReference"/>
        </w:rPr>
        <w:footnoteRef/>
      </w:r>
      <w:r>
        <w:t xml:space="preserve"> </w:t>
      </w:r>
      <w:proofErr w:type="gramStart"/>
      <w:r>
        <w:rPr>
          <w:lang w:val="en-US"/>
        </w:rPr>
        <w:t xml:space="preserve">Peters S, </w:t>
      </w:r>
      <w:proofErr w:type="spellStart"/>
      <w:r>
        <w:rPr>
          <w:lang w:val="en-US"/>
        </w:rPr>
        <w:t>Camidge</w:t>
      </w:r>
      <w:proofErr w:type="spellEnd"/>
      <w:r>
        <w:rPr>
          <w:lang w:val="en-US"/>
        </w:rPr>
        <w:t xml:space="preserve"> R, Shaw AT, </w:t>
      </w:r>
      <w:proofErr w:type="spellStart"/>
      <w:r>
        <w:rPr>
          <w:lang w:val="en-US"/>
        </w:rPr>
        <w:t>Gadgeel</w:t>
      </w:r>
      <w:proofErr w:type="spellEnd"/>
      <w:r>
        <w:rPr>
          <w:lang w:val="en-US"/>
        </w:rPr>
        <w:t xml:space="preserve"> S et al (2017).</w:t>
      </w:r>
      <w:proofErr w:type="gramEnd"/>
      <w:r>
        <w:rPr>
          <w:lang w:val="en-US"/>
        </w:rPr>
        <w:t xml:space="preserve"> </w:t>
      </w:r>
      <w:proofErr w:type="spellStart"/>
      <w:r w:rsidRPr="00A34FA7">
        <w:rPr>
          <w:lang w:val="en-US"/>
        </w:rPr>
        <w:t>Alectinib</w:t>
      </w:r>
      <w:proofErr w:type="spellEnd"/>
      <w:r w:rsidRPr="00A34FA7">
        <w:rPr>
          <w:lang w:val="en-US"/>
        </w:rPr>
        <w:t xml:space="preserve"> versus </w:t>
      </w:r>
      <w:proofErr w:type="spellStart"/>
      <w:r w:rsidRPr="00A34FA7">
        <w:rPr>
          <w:lang w:val="en-US"/>
        </w:rPr>
        <w:t>Crizotinib</w:t>
      </w:r>
      <w:proofErr w:type="spellEnd"/>
      <w:r w:rsidRPr="00A34FA7">
        <w:rPr>
          <w:lang w:val="en-US"/>
        </w:rPr>
        <w:t xml:space="preserve"> in Untreated ALK-Positive Non–Small-Cell Lung Cancer</w:t>
      </w:r>
      <w:r>
        <w:rPr>
          <w:lang w:val="en-US"/>
        </w:rPr>
        <w:t xml:space="preserve">. </w:t>
      </w:r>
      <w:r w:rsidRPr="003353EA">
        <w:rPr>
          <w:lang w:val="en-US"/>
        </w:rPr>
        <w:t xml:space="preserve">N </w:t>
      </w:r>
      <w:proofErr w:type="spellStart"/>
      <w:r w:rsidRPr="003353EA">
        <w:rPr>
          <w:lang w:val="en-US"/>
        </w:rPr>
        <w:t>Engl</w:t>
      </w:r>
      <w:proofErr w:type="spellEnd"/>
      <w:r w:rsidRPr="003353EA">
        <w:rPr>
          <w:lang w:val="en-US"/>
        </w:rPr>
        <w:t xml:space="preserve"> J Med 2017; 377:829-838</w:t>
      </w:r>
    </w:p>
  </w:footnote>
  <w:footnote w:id="15">
    <w:p w14:paraId="4094459C" w14:textId="77777777" w:rsidR="00407466" w:rsidRPr="003353EA" w:rsidRDefault="00407466">
      <w:pPr>
        <w:pStyle w:val="FootnoteText"/>
        <w:rPr>
          <w:lang w:val="en-US"/>
        </w:rPr>
      </w:pPr>
      <w:r>
        <w:rPr>
          <w:rStyle w:val="FootnoteReference"/>
        </w:rPr>
        <w:footnoteRef/>
      </w:r>
      <w:r>
        <w:t xml:space="preserve"> </w:t>
      </w:r>
      <w:r w:rsidRPr="003353EA">
        <w:t xml:space="preserve">Soria et al </w:t>
      </w:r>
      <w:r>
        <w:t xml:space="preserve">(2017). </w:t>
      </w:r>
      <w:r w:rsidRPr="003353EA">
        <w:t xml:space="preserve">First-line </w:t>
      </w:r>
      <w:proofErr w:type="spellStart"/>
      <w:r w:rsidRPr="003353EA">
        <w:t>ceritinib</w:t>
      </w:r>
      <w:proofErr w:type="spellEnd"/>
      <w:r w:rsidRPr="003353EA">
        <w:t xml:space="preserve"> versus platinum-based chemotherapy in advanced ALK-rearranged non-small-cell lung cancer (ASCEND-4): a randomized, open-label, phase 3 study. </w:t>
      </w:r>
      <w:proofErr w:type="gramStart"/>
      <w:r w:rsidRPr="003353EA">
        <w:t>Lancet 389: 917–29 9.</w:t>
      </w:r>
      <w:proofErr w:type="gramEnd"/>
    </w:p>
  </w:footnote>
  <w:footnote w:id="16">
    <w:p w14:paraId="133F5601" w14:textId="77777777" w:rsidR="00407466" w:rsidRPr="007F2E7D" w:rsidRDefault="00407466" w:rsidP="00407466">
      <w:pPr>
        <w:pStyle w:val="FootnoteText"/>
      </w:pPr>
      <w:r w:rsidRPr="00DB55D9">
        <w:rPr>
          <w:rStyle w:val="FootnoteReference"/>
        </w:rPr>
        <w:footnoteRef/>
      </w:r>
      <w:r w:rsidRPr="00DB55D9">
        <w:t xml:space="preserve"> ECOG Performance Status</w:t>
      </w:r>
      <w:r>
        <w:t xml:space="preserve"> (PS): </w:t>
      </w:r>
      <w:r w:rsidRPr="007F2E7D">
        <w:t>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7F2E7D">
        <w:rPr>
          <w:rFonts w:cs="Helvetica"/>
          <w:i/>
          <w:iCs/>
        </w:rPr>
        <w:t xml:space="preserve">. </w:t>
      </w:r>
      <w:r w:rsidRPr="007F2E7D">
        <w:t xml:space="preserve">The following are used: </w:t>
      </w:r>
    </w:p>
    <w:p w14:paraId="7FD32027" w14:textId="77777777" w:rsidR="00407466" w:rsidRPr="007F2E7D" w:rsidRDefault="00407466" w:rsidP="00407466">
      <w:pPr>
        <w:pStyle w:val="FootnoteText"/>
      </w:pPr>
      <w:r w:rsidRPr="007F2E7D">
        <w:rPr>
          <w:rFonts w:cs="Helvetica"/>
          <w:iCs/>
        </w:rPr>
        <w:t xml:space="preserve">0 - </w:t>
      </w:r>
      <w:r w:rsidRPr="007F2E7D">
        <w:t>Fully active, able to carry on all pre-disease performance without restriction</w:t>
      </w:r>
    </w:p>
    <w:p w14:paraId="6185766C" w14:textId="77777777" w:rsidR="00407466" w:rsidRPr="007F2E7D" w:rsidRDefault="00407466" w:rsidP="00407466">
      <w:pPr>
        <w:pStyle w:val="FootnoteText"/>
      </w:pPr>
      <w:r w:rsidRPr="007F2E7D">
        <w:t xml:space="preserve">1- Restricted in physically strenuous activity but ambulatory and able to carry out work of a light or sedentary </w:t>
      </w:r>
      <w:r w:rsidRPr="00407466">
        <w:t>nature</w:t>
      </w:r>
      <w:r w:rsidRPr="007F2E7D">
        <w:t>, e.g., light house work, office work</w:t>
      </w:r>
    </w:p>
    <w:p w14:paraId="581CE99F" w14:textId="77777777" w:rsidR="00407466" w:rsidRPr="007F2E7D" w:rsidRDefault="00407466" w:rsidP="00407466">
      <w:pPr>
        <w:pStyle w:val="FootnoteText"/>
      </w:pPr>
      <w:r w:rsidRPr="007F2E7D">
        <w:t xml:space="preserve">2 - Ambulatory and capable of all </w:t>
      </w:r>
      <w:proofErr w:type="spellStart"/>
      <w:r w:rsidRPr="007F2E7D">
        <w:t>selfcare</w:t>
      </w:r>
      <w:proofErr w:type="spellEnd"/>
      <w:r w:rsidRPr="007F2E7D">
        <w:t xml:space="preserve"> but unable to carry out any work activities. Up and about more than 50% of waking hours</w:t>
      </w:r>
    </w:p>
    <w:p w14:paraId="683B512D" w14:textId="77777777" w:rsidR="00407466" w:rsidRPr="007F2E7D" w:rsidRDefault="00407466" w:rsidP="00407466">
      <w:pPr>
        <w:pStyle w:val="FootnoteText"/>
      </w:pPr>
      <w:r w:rsidRPr="007F2E7D">
        <w:t xml:space="preserve">3 - Capable of only limited </w:t>
      </w:r>
      <w:proofErr w:type="spellStart"/>
      <w:r w:rsidRPr="007F2E7D">
        <w:t>selfcare</w:t>
      </w:r>
      <w:proofErr w:type="spellEnd"/>
      <w:r w:rsidRPr="007F2E7D">
        <w:t>, confined to bed or chair more than 50% of waking hours</w:t>
      </w:r>
    </w:p>
    <w:p w14:paraId="46A61213" w14:textId="77777777" w:rsidR="00407466" w:rsidRPr="007F2E7D" w:rsidRDefault="00407466" w:rsidP="00407466">
      <w:pPr>
        <w:pStyle w:val="FootnoteText"/>
      </w:pPr>
      <w:r w:rsidRPr="007F2E7D">
        <w:t xml:space="preserve">4 - Completely disabled. </w:t>
      </w:r>
      <w:proofErr w:type="gramStart"/>
      <w:r w:rsidRPr="007F2E7D">
        <w:t xml:space="preserve">Cannot carry on any </w:t>
      </w:r>
      <w:proofErr w:type="spellStart"/>
      <w:r w:rsidRPr="007F2E7D">
        <w:t>selfcare</w:t>
      </w:r>
      <w:proofErr w:type="spellEnd"/>
      <w:r w:rsidRPr="007F2E7D">
        <w:t>.</w:t>
      </w:r>
      <w:proofErr w:type="gramEnd"/>
      <w:r w:rsidRPr="007F2E7D">
        <w:t xml:space="preserve"> Totally confined to bed or chair</w:t>
      </w:r>
    </w:p>
    <w:p w14:paraId="6C103DDD" w14:textId="77777777" w:rsidR="00407466" w:rsidRPr="00DB55D9" w:rsidRDefault="00407466" w:rsidP="00407466">
      <w:pPr>
        <w:pStyle w:val="FootnoteText"/>
      </w:pPr>
      <w:r w:rsidRPr="007F2E7D">
        <w:t>5 – Dead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CC56" w14:textId="77777777" w:rsidR="00407466" w:rsidRDefault="0040746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45B6C" w14:textId="77777777" w:rsidR="00407466" w:rsidRDefault="00407466">
    <w:pPr>
      <w:rPr>
        <w:noProof/>
        <w:lang w:eastAsia="en-AU"/>
      </w:rPr>
    </w:pPr>
    <w:r w:rsidRPr="00347824">
      <w:rPr>
        <w:noProof/>
        <w:lang w:eastAsia="en-AU"/>
      </w:rPr>
      <w:drawing>
        <wp:anchor distT="0" distB="0" distL="114300" distR="114300" simplePos="0" relativeHeight="251659264" behindDoc="1" locked="0" layoutInCell="1" allowOverlap="1" wp14:anchorId="7A2A6D2A" wp14:editId="48AAEFA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A743B38" w14:textId="77777777" w:rsidR="00407466" w:rsidRDefault="00407466" w:rsidP="00593AD1">
    <w:pPr>
      <w:pStyle w:val="HeaderNoLine"/>
    </w:pPr>
    <w:r>
      <w:rPr>
        <w:noProof/>
        <w:lang w:eastAsia="en-AU"/>
      </w:rPr>
      <w:drawing>
        <wp:inline distT="0" distB="0" distL="0" distR="0" wp14:anchorId="60B7A145" wp14:editId="7FB2AD3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E7984" w14:textId="77777777" w:rsidR="00407466" w:rsidRDefault="004074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62B44" w14:textId="77777777" w:rsidR="00407466" w:rsidRDefault="0040746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BDA8B" w14:textId="77777777" w:rsidR="00407466" w:rsidRDefault="0040746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F84D" w14:textId="77777777" w:rsidR="00407466" w:rsidRDefault="004074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164BD" w14:textId="77777777" w:rsidR="00407466" w:rsidRDefault="0040746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7D24" w14:textId="77777777" w:rsidR="00407466" w:rsidRDefault="00407466" w:rsidP="006E08B3">
    <w:r>
      <w:t>Therapeutic Goods Administration</w:t>
    </w:r>
  </w:p>
  <w:p w14:paraId="613BA884" w14:textId="77777777" w:rsidR="00407466" w:rsidRDefault="0040746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469" w:hanging="360"/>
      </w:pPr>
      <w:rPr>
        <w:rFonts w:ascii="Symbol" w:hAnsi="Symbol" w:cs="Symbol"/>
        <w:b w:val="0"/>
        <w:bCs w:val="0"/>
        <w:w w:val="101"/>
        <w:sz w:val="18"/>
        <w:szCs w:val="18"/>
      </w:rPr>
    </w:lvl>
    <w:lvl w:ilvl="1">
      <w:numFmt w:val="bullet"/>
      <w:lvlText w:val="•"/>
      <w:lvlJc w:val="left"/>
      <w:pPr>
        <w:ind w:left="1231" w:hanging="360"/>
      </w:pPr>
    </w:lvl>
    <w:lvl w:ilvl="2">
      <w:numFmt w:val="bullet"/>
      <w:lvlText w:val="•"/>
      <w:lvlJc w:val="left"/>
      <w:pPr>
        <w:ind w:left="2003" w:hanging="360"/>
      </w:pPr>
    </w:lvl>
    <w:lvl w:ilvl="3">
      <w:numFmt w:val="bullet"/>
      <w:lvlText w:val="•"/>
      <w:lvlJc w:val="left"/>
      <w:pPr>
        <w:ind w:left="2775" w:hanging="360"/>
      </w:pPr>
    </w:lvl>
    <w:lvl w:ilvl="4">
      <w:numFmt w:val="bullet"/>
      <w:lvlText w:val="•"/>
      <w:lvlJc w:val="left"/>
      <w:pPr>
        <w:ind w:left="3547" w:hanging="360"/>
      </w:pPr>
    </w:lvl>
    <w:lvl w:ilvl="5">
      <w:numFmt w:val="bullet"/>
      <w:lvlText w:val="•"/>
      <w:lvlJc w:val="left"/>
      <w:pPr>
        <w:ind w:left="4319" w:hanging="360"/>
      </w:pPr>
    </w:lvl>
    <w:lvl w:ilvl="6">
      <w:numFmt w:val="bullet"/>
      <w:lvlText w:val="•"/>
      <w:lvlJc w:val="left"/>
      <w:pPr>
        <w:ind w:left="5091" w:hanging="360"/>
      </w:pPr>
    </w:lvl>
    <w:lvl w:ilvl="7">
      <w:numFmt w:val="bullet"/>
      <w:lvlText w:val="•"/>
      <w:lvlJc w:val="left"/>
      <w:pPr>
        <w:ind w:left="5863" w:hanging="360"/>
      </w:pPr>
    </w:lvl>
    <w:lvl w:ilvl="8">
      <w:numFmt w:val="bullet"/>
      <w:lvlText w:val="•"/>
      <w:lvlJc w:val="left"/>
      <w:pPr>
        <w:ind w:left="6635" w:hanging="360"/>
      </w:pPr>
    </w:lvl>
  </w:abstractNum>
  <w:abstractNum w:abstractNumId="5">
    <w:nsid w:val="00000403"/>
    <w:multiLevelType w:val="multilevel"/>
    <w:tmpl w:val="00000886"/>
    <w:lvl w:ilvl="0">
      <w:numFmt w:val="bullet"/>
      <w:lvlText w:val=""/>
      <w:lvlJc w:val="left"/>
      <w:pPr>
        <w:ind w:left="469" w:hanging="360"/>
      </w:pPr>
      <w:rPr>
        <w:rFonts w:ascii="Symbol" w:hAnsi="Symbol" w:cs="Symbol"/>
        <w:b w:val="0"/>
        <w:bCs w:val="0"/>
        <w:w w:val="101"/>
        <w:sz w:val="18"/>
        <w:szCs w:val="18"/>
      </w:rPr>
    </w:lvl>
    <w:lvl w:ilvl="1">
      <w:numFmt w:val="bullet"/>
      <w:lvlText w:val="•"/>
      <w:lvlJc w:val="left"/>
      <w:pPr>
        <w:ind w:left="1231" w:hanging="360"/>
      </w:pPr>
    </w:lvl>
    <w:lvl w:ilvl="2">
      <w:numFmt w:val="bullet"/>
      <w:lvlText w:val="•"/>
      <w:lvlJc w:val="left"/>
      <w:pPr>
        <w:ind w:left="2003" w:hanging="360"/>
      </w:pPr>
    </w:lvl>
    <w:lvl w:ilvl="3">
      <w:numFmt w:val="bullet"/>
      <w:lvlText w:val="•"/>
      <w:lvlJc w:val="left"/>
      <w:pPr>
        <w:ind w:left="2775" w:hanging="360"/>
      </w:pPr>
    </w:lvl>
    <w:lvl w:ilvl="4">
      <w:numFmt w:val="bullet"/>
      <w:lvlText w:val="•"/>
      <w:lvlJc w:val="left"/>
      <w:pPr>
        <w:ind w:left="3547" w:hanging="360"/>
      </w:pPr>
    </w:lvl>
    <w:lvl w:ilvl="5">
      <w:numFmt w:val="bullet"/>
      <w:lvlText w:val="•"/>
      <w:lvlJc w:val="left"/>
      <w:pPr>
        <w:ind w:left="4319" w:hanging="360"/>
      </w:pPr>
    </w:lvl>
    <w:lvl w:ilvl="6">
      <w:numFmt w:val="bullet"/>
      <w:lvlText w:val="•"/>
      <w:lvlJc w:val="left"/>
      <w:pPr>
        <w:ind w:left="5091" w:hanging="360"/>
      </w:pPr>
    </w:lvl>
    <w:lvl w:ilvl="7">
      <w:numFmt w:val="bullet"/>
      <w:lvlText w:val="•"/>
      <w:lvlJc w:val="left"/>
      <w:pPr>
        <w:ind w:left="5863" w:hanging="360"/>
      </w:pPr>
    </w:lvl>
    <w:lvl w:ilvl="8">
      <w:numFmt w:val="bullet"/>
      <w:lvlText w:val="•"/>
      <w:lvlJc w:val="left"/>
      <w:pPr>
        <w:ind w:left="6635" w:hanging="360"/>
      </w:pPr>
    </w:lvl>
  </w:abstractNum>
  <w:abstractNum w:abstractNumId="6">
    <w:nsid w:val="00000404"/>
    <w:multiLevelType w:val="multilevel"/>
    <w:tmpl w:val="00000887"/>
    <w:lvl w:ilvl="0">
      <w:start w:val="1"/>
      <w:numFmt w:val="decimal"/>
      <w:lvlText w:val="%1"/>
      <w:lvlJc w:val="left"/>
      <w:pPr>
        <w:ind w:left="1083" w:hanging="864"/>
      </w:pPr>
      <w:rPr>
        <w:rFonts w:ascii="Cambria" w:hAnsi="Cambria" w:cs="Cambria"/>
        <w:b/>
        <w:bCs/>
        <w:w w:val="100"/>
        <w:sz w:val="22"/>
        <w:szCs w:val="22"/>
      </w:rPr>
    </w:lvl>
    <w:lvl w:ilvl="1">
      <w:start w:val="1"/>
      <w:numFmt w:val="decimal"/>
      <w:lvlText w:val="%1.%2"/>
      <w:lvlJc w:val="left"/>
      <w:pPr>
        <w:ind w:left="1228" w:hanging="1009"/>
      </w:pPr>
      <w:rPr>
        <w:rFonts w:ascii="Cambria" w:hAnsi="Cambria" w:cs="Cambria"/>
        <w:b/>
        <w:bCs/>
        <w:i/>
        <w:iCs/>
        <w:spacing w:val="-2"/>
        <w:w w:val="100"/>
        <w:sz w:val="22"/>
        <w:szCs w:val="22"/>
      </w:rPr>
    </w:lvl>
    <w:lvl w:ilvl="2">
      <w:numFmt w:val="bullet"/>
      <w:lvlText w:val=""/>
      <w:lvlJc w:val="left"/>
      <w:pPr>
        <w:ind w:left="940" w:hanging="361"/>
      </w:pPr>
      <w:rPr>
        <w:rFonts w:ascii="Symbol" w:hAnsi="Symbol" w:cs="Symbol"/>
        <w:b w:val="0"/>
        <w:bCs w:val="0"/>
        <w:w w:val="100"/>
        <w:sz w:val="22"/>
        <w:szCs w:val="22"/>
      </w:rPr>
    </w:lvl>
    <w:lvl w:ilvl="3">
      <w:numFmt w:val="bullet"/>
      <w:lvlText w:val="•"/>
      <w:lvlJc w:val="left"/>
      <w:pPr>
        <w:ind w:left="1380" w:hanging="361"/>
      </w:pPr>
    </w:lvl>
    <w:lvl w:ilvl="4">
      <w:numFmt w:val="bullet"/>
      <w:lvlText w:val="•"/>
      <w:lvlJc w:val="left"/>
      <w:pPr>
        <w:ind w:left="2549" w:hanging="361"/>
      </w:pPr>
    </w:lvl>
    <w:lvl w:ilvl="5">
      <w:numFmt w:val="bullet"/>
      <w:lvlText w:val="•"/>
      <w:lvlJc w:val="left"/>
      <w:pPr>
        <w:ind w:left="3718" w:hanging="361"/>
      </w:pPr>
    </w:lvl>
    <w:lvl w:ilvl="6">
      <w:numFmt w:val="bullet"/>
      <w:lvlText w:val="•"/>
      <w:lvlJc w:val="left"/>
      <w:pPr>
        <w:ind w:left="4887" w:hanging="361"/>
      </w:pPr>
    </w:lvl>
    <w:lvl w:ilvl="7">
      <w:numFmt w:val="bullet"/>
      <w:lvlText w:val="•"/>
      <w:lvlJc w:val="left"/>
      <w:pPr>
        <w:ind w:left="6056" w:hanging="361"/>
      </w:pPr>
    </w:lvl>
    <w:lvl w:ilvl="8">
      <w:numFmt w:val="bullet"/>
      <w:lvlText w:val="•"/>
      <w:lvlJc w:val="left"/>
      <w:pPr>
        <w:ind w:left="7225" w:hanging="361"/>
      </w:pPr>
    </w:lvl>
  </w:abstractNum>
  <w:abstractNum w:abstractNumId="7">
    <w:nsid w:val="00000405"/>
    <w:multiLevelType w:val="multilevel"/>
    <w:tmpl w:val="00000888"/>
    <w:lvl w:ilvl="0">
      <w:numFmt w:val="bullet"/>
      <w:lvlText w:val=""/>
      <w:lvlJc w:val="left"/>
      <w:pPr>
        <w:ind w:left="465" w:hanging="360"/>
      </w:pPr>
      <w:rPr>
        <w:rFonts w:ascii="Symbol" w:hAnsi="Symbol" w:cs="Symbol"/>
        <w:b w:val="0"/>
        <w:bCs w:val="0"/>
        <w:w w:val="101"/>
        <w:sz w:val="18"/>
        <w:szCs w:val="18"/>
      </w:rPr>
    </w:lvl>
    <w:lvl w:ilvl="1">
      <w:numFmt w:val="bullet"/>
      <w:lvlText w:val="•"/>
      <w:lvlJc w:val="left"/>
      <w:pPr>
        <w:ind w:left="1227" w:hanging="360"/>
      </w:pPr>
    </w:lvl>
    <w:lvl w:ilvl="2">
      <w:numFmt w:val="bullet"/>
      <w:lvlText w:val="•"/>
      <w:lvlJc w:val="left"/>
      <w:pPr>
        <w:ind w:left="1995" w:hanging="360"/>
      </w:pPr>
    </w:lvl>
    <w:lvl w:ilvl="3">
      <w:numFmt w:val="bullet"/>
      <w:lvlText w:val="•"/>
      <w:lvlJc w:val="left"/>
      <w:pPr>
        <w:ind w:left="2762" w:hanging="360"/>
      </w:pPr>
    </w:lvl>
    <w:lvl w:ilvl="4">
      <w:numFmt w:val="bullet"/>
      <w:lvlText w:val="•"/>
      <w:lvlJc w:val="left"/>
      <w:pPr>
        <w:ind w:left="3530" w:hanging="360"/>
      </w:pPr>
    </w:lvl>
    <w:lvl w:ilvl="5">
      <w:numFmt w:val="bullet"/>
      <w:lvlText w:val="•"/>
      <w:lvlJc w:val="left"/>
      <w:pPr>
        <w:ind w:left="4297" w:hanging="360"/>
      </w:pPr>
    </w:lvl>
    <w:lvl w:ilvl="6">
      <w:numFmt w:val="bullet"/>
      <w:lvlText w:val="•"/>
      <w:lvlJc w:val="left"/>
      <w:pPr>
        <w:ind w:left="5065" w:hanging="360"/>
      </w:pPr>
    </w:lvl>
    <w:lvl w:ilvl="7">
      <w:numFmt w:val="bullet"/>
      <w:lvlText w:val="•"/>
      <w:lvlJc w:val="left"/>
      <w:pPr>
        <w:ind w:left="5832" w:hanging="360"/>
      </w:pPr>
    </w:lvl>
    <w:lvl w:ilvl="8">
      <w:numFmt w:val="bullet"/>
      <w:lvlText w:val="•"/>
      <w:lvlJc w:val="left"/>
      <w:pPr>
        <w:ind w:left="6600" w:hanging="360"/>
      </w:pPr>
    </w:lvl>
  </w:abstractNum>
  <w:abstractNum w:abstractNumId="8">
    <w:nsid w:val="00000406"/>
    <w:multiLevelType w:val="multilevel"/>
    <w:tmpl w:val="00000889"/>
    <w:lvl w:ilvl="0">
      <w:numFmt w:val="bullet"/>
      <w:lvlText w:val=""/>
      <w:lvlJc w:val="left"/>
      <w:pPr>
        <w:ind w:left="465" w:hanging="360"/>
      </w:pPr>
      <w:rPr>
        <w:rFonts w:ascii="Symbol" w:hAnsi="Symbol" w:cs="Symbol"/>
        <w:b w:val="0"/>
        <w:bCs w:val="0"/>
        <w:w w:val="101"/>
        <w:sz w:val="18"/>
        <w:szCs w:val="18"/>
      </w:rPr>
    </w:lvl>
    <w:lvl w:ilvl="1">
      <w:numFmt w:val="bullet"/>
      <w:lvlText w:val="•"/>
      <w:lvlJc w:val="left"/>
      <w:pPr>
        <w:ind w:left="1227" w:hanging="360"/>
      </w:pPr>
    </w:lvl>
    <w:lvl w:ilvl="2">
      <w:numFmt w:val="bullet"/>
      <w:lvlText w:val="•"/>
      <w:lvlJc w:val="left"/>
      <w:pPr>
        <w:ind w:left="1995" w:hanging="360"/>
      </w:pPr>
    </w:lvl>
    <w:lvl w:ilvl="3">
      <w:numFmt w:val="bullet"/>
      <w:lvlText w:val="•"/>
      <w:lvlJc w:val="left"/>
      <w:pPr>
        <w:ind w:left="2762" w:hanging="360"/>
      </w:pPr>
    </w:lvl>
    <w:lvl w:ilvl="4">
      <w:numFmt w:val="bullet"/>
      <w:lvlText w:val="•"/>
      <w:lvlJc w:val="left"/>
      <w:pPr>
        <w:ind w:left="3530" w:hanging="360"/>
      </w:pPr>
    </w:lvl>
    <w:lvl w:ilvl="5">
      <w:numFmt w:val="bullet"/>
      <w:lvlText w:val="•"/>
      <w:lvlJc w:val="left"/>
      <w:pPr>
        <w:ind w:left="4297" w:hanging="360"/>
      </w:pPr>
    </w:lvl>
    <w:lvl w:ilvl="6">
      <w:numFmt w:val="bullet"/>
      <w:lvlText w:val="•"/>
      <w:lvlJc w:val="left"/>
      <w:pPr>
        <w:ind w:left="5065" w:hanging="360"/>
      </w:pPr>
    </w:lvl>
    <w:lvl w:ilvl="7">
      <w:numFmt w:val="bullet"/>
      <w:lvlText w:val="•"/>
      <w:lvlJc w:val="left"/>
      <w:pPr>
        <w:ind w:left="5832" w:hanging="360"/>
      </w:pPr>
    </w:lvl>
    <w:lvl w:ilvl="8">
      <w:numFmt w:val="bullet"/>
      <w:lvlText w:val="•"/>
      <w:lvlJc w:val="left"/>
      <w:pPr>
        <w:ind w:left="6600" w:hanging="360"/>
      </w:pPr>
    </w:lvl>
  </w:abstractNum>
  <w:abstractNum w:abstractNumId="9">
    <w:nsid w:val="00000407"/>
    <w:multiLevelType w:val="multilevel"/>
    <w:tmpl w:val="0000088A"/>
    <w:lvl w:ilvl="0">
      <w:numFmt w:val="bullet"/>
      <w:lvlText w:val=""/>
      <w:lvlJc w:val="left"/>
      <w:pPr>
        <w:ind w:left="105" w:hanging="360"/>
      </w:pPr>
      <w:rPr>
        <w:rFonts w:ascii="Symbol" w:hAnsi="Symbol" w:cs="Symbol"/>
        <w:b w:val="0"/>
        <w:bCs w:val="0"/>
        <w:w w:val="101"/>
        <w:sz w:val="18"/>
        <w:szCs w:val="18"/>
      </w:rPr>
    </w:lvl>
    <w:lvl w:ilvl="1">
      <w:numFmt w:val="bullet"/>
      <w:lvlText w:val="•"/>
      <w:lvlJc w:val="left"/>
      <w:pPr>
        <w:ind w:left="903" w:hanging="360"/>
      </w:pPr>
    </w:lvl>
    <w:lvl w:ilvl="2">
      <w:numFmt w:val="bullet"/>
      <w:lvlText w:val="•"/>
      <w:lvlJc w:val="left"/>
      <w:pPr>
        <w:ind w:left="1707" w:hanging="360"/>
      </w:pPr>
    </w:lvl>
    <w:lvl w:ilvl="3">
      <w:numFmt w:val="bullet"/>
      <w:lvlText w:val="•"/>
      <w:lvlJc w:val="left"/>
      <w:pPr>
        <w:ind w:left="2510" w:hanging="360"/>
      </w:pPr>
    </w:lvl>
    <w:lvl w:ilvl="4">
      <w:numFmt w:val="bullet"/>
      <w:lvlText w:val="•"/>
      <w:lvlJc w:val="left"/>
      <w:pPr>
        <w:ind w:left="3314" w:hanging="360"/>
      </w:pPr>
    </w:lvl>
    <w:lvl w:ilvl="5">
      <w:numFmt w:val="bullet"/>
      <w:lvlText w:val="•"/>
      <w:lvlJc w:val="left"/>
      <w:pPr>
        <w:ind w:left="4117" w:hanging="360"/>
      </w:pPr>
    </w:lvl>
    <w:lvl w:ilvl="6">
      <w:numFmt w:val="bullet"/>
      <w:lvlText w:val="•"/>
      <w:lvlJc w:val="left"/>
      <w:pPr>
        <w:ind w:left="4921" w:hanging="360"/>
      </w:pPr>
    </w:lvl>
    <w:lvl w:ilvl="7">
      <w:numFmt w:val="bullet"/>
      <w:lvlText w:val="•"/>
      <w:lvlJc w:val="left"/>
      <w:pPr>
        <w:ind w:left="5724" w:hanging="360"/>
      </w:pPr>
    </w:lvl>
    <w:lvl w:ilvl="8">
      <w:numFmt w:val="bullet"/>
      <w:lvlText w:val="•"/>
      <w:lvlJc w:val="left"/>
      <w:pPr>
        <w:ind w:left="6528" w:hanging="360"/>
      </w:pPr>
    </w:lvl>
  </w:abstractNum>
  <w:abstractNum w:abstractNumId="10">
    <w:nsid w:val="00000408"/>
    <w:multiLevelType w:val="multilevel"/>
    <w:tmpl w:val="0000088B"/>
    <w:lvl w:ilvl="0">
      <w:start w:val="5"/>
      <w:numFmt w:val="decimal"/>
      <w:lvlText w:val="%1"/>
      <w:lvlJc w:val="left"/>
      <w:pPr>
        <w:ind w:left="1371" w:hanging="1152"/>
      </w:pPr>
    </w:lvl>
    <w:lvl w:ilvl="1">
      <w:start w:val="1"/>
      <w:numFmt w:val="decimal"/>
      <w:lvlText w:val="%1.%2"/>
      <w:lvlJc w:val="left"/>
      <w:pPr>
        <w:ind w:left="1371" w:hanging="1152"/>
      </w:pPr>
    </w:lvl>
    <w:lvl w:ilvl="2">
      <w:start w:val="2"/>
      <w:numFmt w:val="decimal"/>
      <w:lvlText w:val="%1.%2.%3"/>
      <w:lvlJc w:val="left"/>
      <w:pPr>
        <w:ind w:left="1371" w:hanging="1152"/>
      </w:pPr>
      <w:rPr>
        <w:rFonts w:ascii="Cambria" w:hAnsi="Cambria" w:cs="Cambria"/>
        <w:b w:val="0"/>
        <w:bCs w:val="0"/>
        <w:i/>
        <w:iCs/>
        <w:spacing w:val="-2"/>
        <w:w w:val="100"/>
        <w:sz w:val="22"/>
        <w:szCs w:val="22"/>
      </w:rPr>
    </w:lvl>
    <w:lvl w:ilvl="3">
      <w:numFmt w:val="bullet"/>
      <w:lvlText w:val="•"/>
      <w:lvlJc w:val="left"/>
      <w:pPr>
        <w:ind w:left="3835" w:hanging="1152"/>
      </w:pPr>
    </w:lvl>
    <w:lvl w:ilvl="4">
      <w:numFmt w:val="bullet"/>
      <w:lvlText w:val="•"/>
      <w:lvlJc w:val="left"/>
      <w:pPr>
        <w:ind w:left="4653" w:hanging="1152"/>
      </w:pPr>
    </w:lvl>
    <w:lvl w:ilvl="5">
      <w:numFmt w:val="bullet"/>
      <w:lvlText w:val="•"/>
      <w:lvlJc w:val="left"/>
      <w:pPr>
        <w:ind w:left="5472" w:hanging="1152"/>
      </w:pPr>
    </w:lvl>
    <w:lvl w:ilvl="6">
      <w:numFmt w:val="bullet"/>
      <w:lvlText w:val="•"/>
      <w:lvlJc w:val="left"/>
      <w:pPr>
        <w:ind w:left="6290" w:hanging="1152"/>
      </w:pPr>
    </w:lvl>
    <w:lvl w:ilvl="7">
      <w:numFmt w:val="bullet"/>
      <w:lvlText w:val="•"/>
      <w:lvlJc w:val="left"/>
      <w:pPr>
        <w:ind w:left="7108" w:hanging="1152"/>
      </w:pPr>
    </w:lvl>
    <w:lvl w:ilvl="8">
      <w:numFmt w:val="bullet"/>
      <w:lvlText w:val="•"/>
      <w:lvlJc w:val="left"/>
      <w:pPr>
        <w:ind w:left="7927" w:hanging="1152"/>
      </w:pPr>
    </w:lvl>
  </w:abstractNum>
  <w:abstractNum w:abstractNumId="1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EA67C0C"/>
    <w:multiLevelType w:val="multilevel"/>
    <w:tmpl w:val="00000887"/>
    <w:lvl w:ilvl="0">
      <w:start w:val="1"/>
      <w:numFmt w:val="decimal"/>
      <w:lvlText w:val="%1"/>
      <w:lvlJc w:val="left"/>
      <w:pPr>
        <w:ind w:left="1083" w:hanging="864"/>
      </w:pPr>
      <w:rPr>
        <w:rFonts w:ascii="Cambria" w:hAnsi="Cambria" w:cs="Cambria"/>
        <w:b/>
        <w:bCs/>
        <w:w w:val="100"/>
        <w:sz w:val="22"/>
        <w:szCs w:val="22"/>
      </w:rPr>
    </w:lvl>
    <w:lvl w:ilvl="1">
      <w:start w:val="1"/>
      <w:numFmt w:val="decimal"/>
      <w:lvlText w:val="%1.%2"/>
      <w:lvlJc w:val="left"/>
      <w:pPr>
        <w:ind w:left="1228" w:hanging="1009"/>
      </w:pPr>
      <w:rPr>
        <w:rFonts w:ascii="Cambria" w:hAnsi="Cambria" w:cs="Cambria"/>
        <w:b/>
        <w:bCs/>
        <w:i/>
        <w:iCs/>
        <w:spacing w:val="-2"/>
        <w:w w:val="100"/>
        <w:sz w:val="22"/>
        <w:szCs w:val="22"/>
      </w:rPr>
    </w:lvl>
    <w:lvl w:ilvl="2">
      <w:numFmt w:val="bullet"/>
      <w:lvlText w:val=""/>
      <w:lvlJc w:val="left"/>
      <w:pPr>
        <w:ind w:left="940" w:hanging="361"/>
      </w:pPr>
      <w:rPr>
        <w:rFonts w:ascii="Symbol" w:hAnsi="Symbol" w:cs="Symbol"/>
        <w:b w:val="0"/>
        <w:bCs w:val="0"/>
        <w:w w:val="100"/>
        <w:sz w:val="22"/>
        <w:szCs w:val="22"/>
      </w:rPr>
    </w:lvl>
    <w:lvl w:ilvl="3">
      <w:numFmt w:val="bullet"/>
      <w:lvlText w:val="•"/>
      <w:lvlJc w:val="left"/>
      <w:pPr>
        <w:ind w:left="1380" w:hanging="361"/>
      </w:pPr>
    </w:lvl>
    <w:lvl w:ilvl="4">
      <w:numFmt w:val="bullet"/>
      <w:lvlText w:val="•"/>
      <w:lvlJc w:val="left"/>
      <w:pPr>
        <w:ind w:left="2549" w:hanging="361"/>
      </w:pPr>
    </w:lvl>
    <w:lvl w:ilvl="5">
      <w:numFmt w:val="bullet"/>
      <w:lvlText w:val="•"/>
      <w:lvlJc w:val="left"/>
      <w:pPr>
        <w:ind w:left="3718" w:hanging="361"/>
      </w:pPr>
    </w:lvl>
    <w:lvl w:ilvl="6">
      <w:numFmt w:val="bullet"/>
      <w:lvlText w:val="•"/>
      <w:lvlJc w:val="left"/>
      <w:pPr>
        <w:ind w:left="4887" w:hanging="361"/>
      </w:pPr>
    </w:lvl>
    <w:lvl w:ilvl="7">
      <w:numFmt w:val="bullet"/>
      <w:lvlText w:val="•"/>
      <w:lvlJc w:val="left"/>
      <w:pPr>
        <w:ind w:left="6056" w:hanging="361"/>
      </w:pPr>
    </w:lvl>
    <w:lvl w:ilvl="8">
      <w:numFmt w:val="bullet"/>
      <w:lvlText w:val="•"/>
      <w:lvlJc w:val="left"/>
      <w:pPr>
        <w:ind w:left="7225" w:hanging="361"/>
      </w:pPr>
    </w:lvl>
  </w:abstractNum>
  <w:abstractNum w:abstractNumId="15">
    <w:nsid w:val="362F6C52"/>
    <w:multiLevelType w:val="hybridMultilevel"/>
    <w:tmpl w:val="BA109A4E"/>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6">
    <w:nsid w:val="46626183"/>
    <w:multiLevelType w:val="hybridMultilevel"/>
    <w:tmpl w:val="18781736"/>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7">
    <w:nsid w:val="5F8657DA"/>
    <w:multiLevelType w:val="hybridMultilevel"/>
    <w:tmpl w:val="2932CC94"/>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8">
    <w:nsid w:val="64EE3A11"/>
    <w:multiLevelType w:val="hybridMultilevel"/>
    <w:tmpl w:val="96560950"/>
    <w:lvl w:ilvl="0" w:tplc="0C090001">
      <w:start w:val="1"/>
      <w:numFmt w:val="bullet"/>
      <w:lvlText w:val=""/>
      <w:lvlJc w:val="left"/>
      <w:pPr>
        <w:ind w:left="894" w:hanging="360"/>
      </w:pPr>
      <w:rPr>
        <w:rFonts w:ascii="Symbol" w:hAnsi="Symbol" w:hint="default"/>
      </w:rPr>
    </w:lvl>
    <w:lvl w:ilvl="1" w:tplc="0C090003" w:tentative="1">
      <w:start w:val="1"/>
      <w:numFmt w:val="bullet"/>
      <w:lvlText w:val="o"/>
      <w:lvlJc w:val="left"/>
      <w:pPr>
        <w:ind w:left="1614" w:hanging="360"/>
      </w:pPr>
      <w:rPr>
        <w:rFonts w:ascii="Courier New" w:hAnsi="Courier New" w:cs="Courier New" w:hint="default"/>
      </w:rPr>
    </w:lvl>
    <w:lvl w:ilvl="2" w:tplc="0C090005" w:tentative="1">
      <w:start w:val="1"/>
      <w:numFmt w:val="bullet"/>
      <w:lvlText w:val=""/>
      <w:lvlJc w:val="left"/>
      <w:pPr>
        <w:ind w:left="2334" w:hanging="360"/>
      </w:pPr>
      <w:rPr>
        <w:rFonts w:ascii="Wingdings" w:hAnsi="Wingdings" w:hint="default"/>
      </w:rPr>
    </w:lvl>
    <w:lvl w:ilvl="3" w:tplc="0C090001" w:tentative="1">
      <w:start w:val="1"/>
      <w:numFmt w:val="bullet"/>
      <w:lvlText w:val=""/>
      <w:lvlJc w:val="left"/>
      <w:pPr>
        <w:ind w:left="3054" w:hanging="360"/>
      </w:pPr>
      <w:rPr>
        <w:rFonts w:ascii="Symbol" w:hAnsi="Symbol" w:hint="default"/>
      </w:rPr>
    </w:lvl>
    <w:lvl w:ilvl="4" w:tplc="0C090003" w:tentative="1">
      <w:start w:val="1"/>
      <w:numFmt w:val="bullet"/>
      <w:lvlText w:val="o"/>
      <w:lvlJc w:val="left"/>
      <w:pPr>
        <w:ind w:left="3774" w:hanging="360"/>
      </w:pPr>
      <w:rPr>
        <w:rFonts w:ascii="Courier New" w:hAnsi="Courier New" w:cs="Courier New" w:hint="default"/>
      </w:rPr>
    </w:lvl>
    <w:lvl w:ilvl="5" w:tplc="0C090005" w:tentative="1">
      <w:start w:val="1"/>
      <w:numFmt w:val="bullet"/>
      <w:lvlText w:val=""/>
      <w:lvlJc w:val="left"/>
      <w:pPr>
        <w:ind w:left="4494" w:hanging="360"/>
      </w:pPr>
      <w:rPr>
        <w:rFonts w:ascii="Wingdings" w:hAnsi="Wingdings" w:hint="default"/>
      </w:rPr>
    </w:lvl>
    <w:lvl w:ilvl="6" w:tplc="0C090001" w:tentative="1">
      <w:start w:val="1"/>
      <w:numFmt w:val="bullet"/>
      <w:lvlText w:val=""/>
      <w:lvlJc w:val="left"/>
      <w:pPr>
        <w:ind w:left="5214" w:hanging="360"/>
      </w:pPr>
      <w:rPr>
        <w:rFonts w:ascii="Symbol" w:hAnsi="Symbol" w:hint="default"/>
      </w:rPr>
    </w:lvl>
    <w:lvl w:ilvl="7" w:tplc="0C090003" w:tentative="1">
      <w:start w:val="1"/>
      <w:numFmt w:val="bullet"/>
      <w:lvlText w:val="o"/>
      <w:lvlJc w:val="left"/>
      <w:pPr>
        <w:ind w:left="5934" w:hanging="360"/>
      </w:pPr>
      <w:rPr>
        <w:rFonts w:ascii="Courier New" w:hAnsi="Courier New" w:cs="Courier New" w:hint="default"/>
      </w:rPr>
    </w:lvl>
    <w:lvl w:ilvl="8" w:tplc="0C090005" w:tentative="1">
      <w:start w:val="1"/>
      <w:numFmt w:val="bullet"/>
      <w:lvlText w:val=""/>
      <w:lvlJc w:val="left"/>
      <w:pPr>
        <w:ind w:left="6654" w:hanging="360"/>
      </w:pPr>
      <w:rPr>
        <w:rFonts w:ascii="Wingdings" w:hAnsi="Wingdings" w:hint="default"/>
      </w:rPr>
    </w:lvl>
  </w:abstractNum>
  <w:abstractNum w:abstractNumId="19">
    <w:nsid w:val="6D0B1B75"/>
    <w:multiLevelType w:val="multilevel"/>
    <w:tmpl w:val="3C26DD6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13"/>
  </w:num>
  <w:num w:numId="4">
    <w:abstractNumId w:val="13"/>
  </w:num>
  <w:num w:numId="5">
    <w:abstractNumId w:val="0"/>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3"/>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11"/>
  </w:num>
  <w:num w:numId="29">
    <w:abstractNumId w:val="5"/>
  </w:num>
  <w:num w:numId="30">
    <w:abstractNumId w:val="4"/>
  </w:num>
  <w:num w:numId="31">
    <w:abstractNumId w:val="6"/>
  </w:num>
  <w:num w:numId="32">
    <w:abstractNumId w:val="10"/>
  </w:num>
  <w:num w:numId="33">
    <w:abstractNumId w:val="9"/>
  </w:num>
  <w:num w:numId="34">
    <w:abstractNumId w:val="8"/>
  </w:num>
  <w:num w:numId="35">
    <w:abstractNumId w:val="7"/>
  </w:num>
  <w:num w:numId="36">
    <w:abstractNumId w:val="14"/>
  </w:num>
  <w:num w:numId="37">
    <w:abstractNumId w:val="15"/>
  </w:num>
  <w:num w:numId="38">
    <w:abstractNumId w:val="18"/>
  </w:num>
  <w:num w:numId="39">
    <w:abstractNumId w:val="16"/>
  </w:num>
  <w:num w:numId="4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Karen {MAAQ~Sydney}">
    <w15:presenceInfo w15:providerId="None" w15:userId="Smith, Karen {MAAQ~Sydn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FFD"/>
    <w:rsid w:val="00002031"/>
    <w:rsid w:val="00004734"/>
    <w:rsid w:val="00005DF6"/>
    <w:rsid w:val="00006B22"/>
    <w:rsid w:val="0001276A"/>
    <w:rsid w:val="000246AE"/>
    <w:rsid w:val="00025C67"/>
    <w:rsid w:val="00044772"/>
    <w:rsid w:val="0005559E"/>
    <w:rsid w:val="000604D6"/>
    <w:rsid w:val="000734D8"/>
    <w:rsid w:val="0007571B"/>
    <w:rsid w:val="00077775"/>
    <w:rsid w:val="00083CF0"/>
    <w:rsid w:val="00090471"/>
    <w:rsid w:val="00096AA7"/>
    <w:rsid w:val="000A3AED"/>
    <w:rsid w:val="000B3532"/>
    <w:rsid w:val="000B3A75"/>
    <w:rsid w:val="000C00C2"/>
    <w:rsid w:val="000C3E29"/>
    <w:rsid w:val="000C6739"/>
    <w:rsid w:val="000C690F"/>
    <w:rsid w:val="000D1295"/>
    <w:rsid w:val="000D391B"/>
    <w:rsid w:val="000D3D6D"/>
    <w:rsid w:val="000D4FC7"/>
    <w:rsid w:val="000D759A"/>
    <w:rsid w:val="000E0DD5"/>
    <w:rsid w:val="000E6196"/>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586"/>
    <w:rsid w:val="001516B1"/>
    <w:rsid w:val="00154EBB"/>
    <w:rsid w:val="00156316"/>
    <w:rsid w:val="00161181"/>
    <w:rsid w:val="00162D14"/>
    <w:rsid w:val="00165389"/>
    <w:rsid w:val="0017693F"/>
    <w:rsid w:val="0018110E"/>
    <w:rsid w:val="00181684"/>
    <w:rsid w:val="001843C6"/>
    <w:rsid w:val="001850E0"/>
    <w:rsid w:val="00186B83"/>
    <w:rsid w:val="001A2158"/>
    <w:rsid w:val="001A525F"/>
    <w:rsid w:val="001B09F9"/>
    <w:rsid w:val="001B5C90"/>
    <w:rsid w:val="001B6448"/>
    <w:rsid w:val="001C32CD"/>
    <w:rsid w:val="001D190B"/>
    <w:rsid w:val="001D2984"/>
    <w:rsid w:val="001E07CF"/>
    <w:rsid w:val="001E59F1"/>
    <w:rsid w:val="001F2CEE"/>
    <w:rsid w:val="001F49EB"/>
    <w:rsid w:val="001F6CBA"/>
    <w:rsid w:val="001F7691"/>
    <w:rsid w:val="00201D4E"/>
    <w:rsid w:val="002076C9"/>
    <w:rsid w:val="00215252"/>
    <w:rsid w:val="00220B8A"/>
    <w:rsid w:val="002257F3"/>
    <w:rsid w:val="00226026"/>
    <w:rsid w:val="00232C1D"/>
    <w:rsid w:val="00233456"/>
    <w:rsid w:val="002339A5"/>
    <w:rsid w:val="00257848"/>
    <w:rsid w:val="0027084A"/>
    <w:rsid w:val="00286434"/>
    <w:rsid w:val="00286C59"/>
    <w:rsid w:val="00291957"/>
    <w:rsid w:val="002942D1"/>
    <w:rsid w:val="0029501A"/>
    <w:rsid w:val="002A3721"/>
    <w:rsid w:val="002B1638"/>
    <w:rsid w:val="002B3624"/>
    <w:rsid w:val="002D0952"/>
    <w:rsid w:val="002E40B3"/>
    <w:rsid w:val="002E4C9A"/>
    <w:rsid w:val="002F11F8"/>
    <w:rsid w:val="002F3F56"/>
    <w:rsid w:val="002F44B5"/>
    <w:rsid w:val="00304661"/>
    <w:rsid w:val="00311AC0"/>
    <w:rsid w:val="003176FC"/>
    <w:rsid w:val="003207E2"/>
    <w:rsid w:val="0032583B"/>
    <w:rsid w:val="003269CB"/>
    <w:rsid w:val="00327883"/>
    <w:rsid w:val="003353EA"/>
    <w:rsid w:val="00335504"/>
    <w:rsid w:val="00336407"/>
    <w:rsid w:val="00340523"/>
    <w:rsid w:val="00340C18"/>
    <w:rsid w:val="003442FD"/>
    <w:rsid w:val="003446E5"/>
    <w:rsid w:val="00347824"/>
    <w:rsid w:val="00350567"/>
    <w:rsid w:val="003521E8"/>
    <w:rsid w:val="00370CE3"/>
    <w:rsid w:val="003722AC"/>
    <w:rsid w:val="00372523"/>
    <w:rsid w:val="003728F3"/>
    <w:rsid w:val="0037496E"/>
    <w:rsid w:val="00383221"/>
    <w:rsid w:val="00386150"/>
    <w:rsid w:val="003874CE"/>
    <w:rsid w:val="00390900"/>
    <w:rsid w:val="003A75DE"/>
    <w:rsid w:val="003A7F6C"/>
    <w:rsid w:val="003B08AF"/>
    <w:rsid w:val="003B4948"/>
    <w:rsid w:val="003B4D60"/>
    <w:rsid w:val="003B679C"/>
    <w:rsid w:val="003B7E39"/>
    <w:rsid w:val="003C58DC"/>
    <w:rsid w:val="003D1E62"/>
    <w:rsid w:val="003E0B99"/>
    <w:rsid w:val="003E2486"/>
    <w:rsid w:val="003E3208"/>
    <w:rsid w:val="003F09AB"/>
    <w:rsid w:val="003F0B04"/>
    <w:rsid w:val="003F1970"/>
    <w:rsid w:val="0040134E"/>
    <w:rsid w:val="00407466"/>
    <w:rsid w:val="004228E6"/>
    <w:rsid w:val="004232F7"/>
    <w:rsid w:val="004334C7"/>
    <w:rsid w:val="00440A2D"/>
    <w:rsid w:val="00441C3F"/>
    <w:rsid w:val="004564A7"/>
    <w:rsid w:val="004617BF"/>
    <w:rsid w:val="00463658"/>
    <w:rsid w:val="004637A0"/>
    <w:rsid w:val="00471A0C"/>
    <w:rsid w:val="004722CC"/>
    <w:rsid w:val="004936E4"/>
    <w:rsid w:val="00494E60"/>
    <w:rsid w:val="00497487"/>
    <w:rsid w:val="004A3721"/>
    <w:rsid w:val="004A6189"/>
    <w:rsid w:val="004A7390"/>
    <w:rsid w:val="004B7B76"/>
    <w:rsid w:val="004C239D"/>
    <w:rsid w:val="004C2DCA"/>
    <w:rsid w:val="004C4300"/>
    <w:rsid w:val="004C61D2"/>
    <w:rsid w:val="004E45E8"/>
    <w:rsid w:val="004F0C4A"/>
    <w:rsid w:val="004F0F38"/>
    <w:rsid w:val="004F47D6"/>
    <w:rsid w:val="00500799"/>
    <w:rsid w:val="00501921"/>
    <w:rsid w:val="00501DF2"/>
    <w:rsid w:val="00510DC7"/>
    <w:rsid w:val="00512FFD"/>
    <w:rsid w:val="00530354"/>
    <w:rsid w:val="005320C9"/>
    <w:rsid w:val="0053625B"/>
    <w:rsid w:val="005434C6"/>
    <w:rsid w:val="00543B39"/>
    <w:rsid w:val="00546154"/>
    <w:rsid w:val="00550096"/>
    <w:rsid w:val="00555280"/>
    <w:rsid w:val="00557FF9"/>
    <w:rsid w:val="00562327"/>
    <w:rsid w:val="005711D5"/>
    <w:rsid w:val="005749DE"/>
    <w:rsid w:val="00576378"/>
    <w:rsid w:val="00577130"/>
    <w:rsid w:val="00577945"/>
    <w:rsid w:val="00577E38"/>
    <w:rsid w:val="00585322"/>
    <w:rsid w:val="005857C6"/>
    <w:rsid w:val="00592F6E"/>
    <w:rsid w:val="00593AD1"/>
    <w:rsid w:val="00594CFE"/>
    <w:rsid w:val="005A1E39"/>
    <w:rsid w:val="005A68B6"/>
    <w:rsid w:val="005C5570"/>
    <w:rsid w:val="005C6902"/>
    <w:rsid w:val="005C79A4"/>
    <w:rsid w:val="005D5442"/>
    <w:rsid w:val="005F3542"/>
    <w:rsid w:val="00603F32"/>
    <w:rsid w:val="00605AD4"/>
    <w:rsid w:val="006136D7"/>
    <w:rsid w:val="00625A6E"/>
    <w:rsid w:val="00625DE7"/>
    <w:rsid w:val="00632398"/>
    <w:rsid w:val="00640FC3"/>
    <w:rsid w:val="00642020"/>
    <w:rsid w:val="0065337B"/>
    <w:rsid w:val="0065419D"/>
    <w:rsid w:val="006604D8"/>
    <w:rsid w:val="00664A5B"/>
    <w:rsid w:val="0066735C"/>
    <w:rsid w:val="006763D2"/>
    <w:rsid w:val="00680C08"/>
    <w:rsid w:val="00685E2B"/>
    <w:rsid w:val="006916A0"/>
    <w:rsid w:val="006931B1"/>
    <w:rsid w:val="006A15C0"/>
    <w:rsid w:val="006B09D3"/>
    <w:rsid w:val="006B7771"/>
    <w:rsid w:val="006C3E2A"/>
    <w:rsid w:val="006C642F"/>
    <w:rsid w:val="006D03E5"/>
    <w:rsid w:val="006D5D3E"/>
    <w:rsid w:val="006E08B3"/>
    <w:rsid w:val="006E60A3"/>
    <w:rsid w:val="006F17AC"/>
    <w:rsid w:val="006F25B8"/>
    <w:rsid w:val="006F572E"/>
    <w:rsid w:val="007046D6"/>
    <w:rsid w:val="00705DB0"/>
    <w:rsid w:val="007120D3"/>
    <w:rsid w:val="007209DE"/>
    <w:rsid w:val="00722B57"/>
    <w:rsid w:val="00730F8A"/>
    <w:rsid w:val="00735A8C"/>
    <w:rsid w:val="0074253D"/>
    <w:rsid w:val="00742AD6"/>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AF7"/>
    <w:rsid w:val="007C6B9B"/>
    <w:rsid w:val="007D7A70"/>
    <w:rsid w:val="00805D27"/>
    <w:rsid w:val="00806DCB"/>
    <w:rsid w:val="00821776"/>
    <w:rsid w:val="008321F5"/>
    <w:rsid w:val="00832369"/>
    <w:rsid w:val="00834660"/>
    <w:rsid w:val="00836BC2"/>
    <w:rsid w:val="0085156D"/>
    <w:rsid w:val="0085641B"/>
    <w:rsid w:val="00857136"/>
    <w:rsid w:val="00875A6B"/>
    <w:rsid w:val="00881B2C"/>
    <w:rsid w:val="00883830"/>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2DAC"/>
    <w:rsid w:val="008C51A9"/>
    <w:rsid w:val="008C5BF3"/>
    <w:rsid w:val="008C798E"/>
    <w:rsid w:val="008E7846"/>
    <w:rsid w:val="008F02E5"/>
    <w:rsid w:val="008F1CCC"/>
    <w:rsid w:val="008F2967"/>
    <w:rsid w:val="008F6943"/>
    <w:rsid w:val="00902524"/>
    <w:rsid w:val="00902A21"/>
    <w:rsid w:val="00920330"/>
    <w:rsid w:val="009219D7"/>
    <w:rsid w:val="00922D53"/>
    <w:rsid w:val="00923B70"/>
    <w:rsid w:val="00924482"/>
    <w:rsid w:val="00930237"/>
    <w:rsid w:val="00932B3B"/>
    <w:rsid w:val="00937C17"/>
    <w:rsid w:val="00940A89"/>
    <w:rsid w:val="00946EA5"/>
    <w:rsid w:val="00963C08"/>
    <w:rsid w:val="009728A0"/>
    <w:rsid w:val="00973CA3"/>
    <w:rsid w:val="009752A5"/>
    <w:rsid w:val="0098585A"/>
    <w:rsid w:val="009A4CED"/>
    <w:rsid w:val="009A690D"/>
    <w:rsid w:val="009B1D12"/>
    <w:rsid w:val="009B416B"/>
    <w:rsid w:val="009C4BD5"/>
    <w:rsid w:val="009D7B77"/>
    <w:rsid w:val="009E0BB0"/>
    <w:rsid w:val="009E3FBB"/>
    <w:rsid w:val="009F3E4B"/>
    <w:rsid w:val="009F71B8"/>
    <w:rsid w:val="009F7353"/>
    <w:rsid w:val="00A00409"/>
    <w:rsid w:val="00A04F85"/>
    <w:rsid w:val="00A05FA4"/>
    <w:rsid w:val="00A064D5"/>
    <w:rsid w:val="00A102E4"/>
    <w:rsid w:val="00A12C42"/>
    <w:rsid w:val="00A14DF7"/>
    <w:rsid w:val="00A3246D"/>
    <w:rsid w:val="00A34FA7"/>
    <w:rsid w:val="00A35396"/>
    <w:rsid w:val="00A36FA7"/>
    <w:rsid w:val="00A44DDB"/>
    <w:rsid w:val="00A475B7"/>
    <w:rsid w:val="00A47AF7"/>
    <w:rsid w:val="00A47C3E"/>
    <w:rsid w:val="00A50226"/>
    <w:rsid w:val="00A547C9"/>
    <w:rsid w:val="00A60BAD"/>
    <w:rsid w:val="00A80B5B"/>
    <w:rsid w:val="00A84E36"/>
    <w:rsid w:val="00A964D1"/>
    <w:rsid w:val="00AA0ED0"/>
    <w:rsid w:val="00AC2B40"/>
    <w:rsid w:val="00AC2BB2"/>
    <w:rsid w:val="00AC2C3C"/>
    <w:rsid w:val="00AC3938"/>
    <w:rsid w:val="00AC512D"/>
    <w:rsid w:val="00AD0083"/>
    <w:rsid w:val="00AD3935"/>
    <w:rsid w:val="00AE4211"/>
    <w:rsid w:val="00AE65EB"/>
    <w:rsid w:val="00AE67A7"/>
    <w:rsid w:val="00AF1D94"/>
    <w:rsid w:val="00AF60C5"/>
    <w:rsid w:val="00B009C6"/>
    <w:rsid w:val="00B01548"/>
    <w:rsid w:val="00B13EBD"/>
    <w:rsid w:val="00B21D29"/>
    <w:rsid w:val="00B25034"/>
    <w:rsid w:val="00B27AAC"/>
    <w:rsid w:val="00B33588"/>
    <w:rsid w:val="00B33863"/>
    <w:rsid w:val="00B37D17"/>
    <w:rsid w:val="00B4175E"/>
    <w:rsid w:val="00B452CE"/>
    <w:rsid w:val="00B54C25"/>
    <w:rsid w:val="00B76B91"/>
    <w:rsid w:val="00B77EB1"/>
    <w:rsid w:val="00B811C6"/>
    <w:rsid w:val="00B855B0"/>
    <w:rsid w:val="00B878E2"/>
    <w:rsid w:val="00B92E08"/>
    <w:rsid w:val="00BA2D93"/>
    <w:rsid w:val="00BA3CC0"/>
    <w:rsid w:val="00BA583C"/>
    <w:rsid w:val="00BC622A"/>
    <w:rsid w:val="00BE0A78"/>
    <w:rsid w:val="00BE79F0"/>
    <w:rsid w:val="00BF046D"/>
    <w:rsid w:val="00BF1190"/>
    <w:rsid w:val="00BF5D04"/>
    <w:rsid w:val="00C009AA"/>
    <w:rsid w:val="00C1164D"/>
    <w:rsid w:val="00C16861"/>
    <w:rsid w:val="00C346AB"/>
    <w:rsid w:val="00C404A6"/>
    <w:rsid w:val="00C40A36"/>
    <w:rsid w:val="00C44419"/>
    <w:rsid w:val="00C45E7B"/>
    <w:rsid w:val="00C465A7"/>
    <w:rsid w:val="00C471B1"/>
    <w:rsid w:val="00C558A5"/>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C65"/>
    <w:rsid w:val="00D051D7"/>
    <w:rsid w:val="00D201D2"/>
    <w:rsid w:val="00D224FE"/>
    <w:rsid w:val="00D23139"/>
    <w:rsid w:val="00D32F3B"/>
    <w:rsid w:val="00D425BB"/>
    <w:rsid w:val="00D43827"/>
    <w:rsid w:val="00D6493E"/>
    <w:rsid w:val="00D7195D"/>
    <w:rsid w:val="00D7301E"/>
    <w:rsid w:val="00D745F5"/>
    <w:rsid w:val="00D83AE1"/>
    <w:rsid w:val="00D855D4"/>
    <w:rsid w:val="00D902C9"/>
    <w:rsid w:val="00D93466"/>
    <w:rsid w:val="00DA1124"/>
    <w:rsid w:val="00DB55D9"/>
    <w:rsid w:val="00DB6124"/>
    <w:rsid w:val="00DB750B"/>
    <w:rsid w:val="00DB75B7"/>
    <w:rsid w:val="00DC5AE8"/>
    <w:rsid w:val="00DC6E02"/>
    <w:rsid w:val="00DD1EDE"/>
    <w:rsid w:val="00DD28CD"/>
    <w:rsid w:val="00DE02AE"/>
    <w:rsid w:val="00DF1D7F"/>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64E45"/>
    <w:rsid w:val="00E7344E"/>
    <w:rsid w:val="00E751D9"/>
    <w:rsid w:val="00E82665"/>
    <w:rsid w:val="00E93F18"/>
    <w:rsid w:val="00EB0798"/>
    <w:rsid w:val="00EB19F0"/>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0CF1"/>
    <w:rsid w:val="00F12670"/>
    <w:rsid w:val="00F14B27"/>
    <w:rsid w:val="00F15BDC"/>
    <w:rsid w:val="00F30E8F"/>
    <w:rsid w:val="00F3148D"/>
    <w:rsid w:val="00F325C5"/>
    <w:rsid w:val="00F32FE0"/>
    <w:rsid w:val="00F33E05"/>
    <w:rsid w:val="00F35298"/>
    <w:rsid w:val="00F47333"/>
    <w:rsid w:val="00F47E37"/>
    <w:rsid w:val="00F53C07"/>
    <w:rsid w:val="00F54B65"/>
    <w:rsid w:val="00F640B6"/>
    <w:rsid w:val="00F66DF2"/>
    <w:rsid w:val="00F80E40"/>
    <w:rsid w:val="00F848D9"/>
    <w:rsid w:val="00FA038A"/>
    <w:rsid w:val="00FA5B82"/>
    <w:rsid w:val="00FA639E"/>
    <w:rsid w:val="00FC1FCA"/>
    <w:rsid w:val="00FC25E4"/>
    <w:rsid w:val="00FC4EF7"/>
    <w:rsid w:val="00FD0824"/>
    <w:rsid w:val="00FD119B"/>
    <w:rsid w:val="00FD1EDC"/>
    <w:rsid w:val="00FD5C2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E51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120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7466"/>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A064D5"/>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NormalWeb">
    <w:name w:val="Normal (Web)"/>
    <w:basedOn w:val="Normal"/>
    <w:uiPriority w:val="99"/>
    <w:rsid w:val="007120D3"/>
    <w:pPr>
      <w:spacing w:beforeLines="1" w:before="180" w:afterLines="1" w:after="180" w:line="240" w:lineRule="auto"/>
      <w:jc w:val="both"/>
    </w:pPr>
    <w:rPr>
      <w:rFonts w:ascii="Times" w:eastAsia="Times New Roman" w:hAnsi="Times"/>
      <w:sz w:val="20"/>
      <w:szCs w:val="20"/>
    </w:rPr>
  </w:style>
  <w:style w:type="character" w:customStyle="1" w:styleId="apple-converted-space">
    <w:name w:val="apple-converted-space"/>
    <w:basedOn w:val="DefaultParagraphFont"/>
    <w:rsid w:val="007120D3"/>
  </w:style>
  <w:style w:type="character" w:styleId="Emphasis">
    <w:name w:val="Emphasis"/>
    <w:basedOn w:val="DefaultParagraphFont"/>
    <w:uiPriority w:val="20"/>
    <w:qFormat/>
    <w:rsid w:val="007120D3"/>
    <w:rPr>
      <w:i/>
      <w:iCs/>
    </w:rPr>
  </w:style>
  <w:style w:type="paragraph" w:customStyle="1" w:styleId="Standard">
    <w:name w:val="Standard"/>
    <w:basedOn w:val="Normal"/>
    <w:link w:val="StandardChar"/>
    <w:qFormat/>
    <w:rsid w:val="003207E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207E2"/>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3207E2"/>
    <w:pPr>
      <w:numPr>
        <w:numId w:val="28"/>
      </w:numPr>
      <w:spacing w:after="180"/>
      <w:ind w:left="426" w:hanging="284"/>
    </w:pPr>
    <w:rPr>
      <w:kern w:val="2"/>
    </w:rPr>
  </w:style>
  <w:style w:type="character" w:customStyle="1" w:styleId="TabletextChar">
    <w:name w:val="Table text Char"/>
    <w:basedOn w:val="StandardChar"/>
    <w:link w:val="Tabletext"/>
    <w:rsid w:val="003207E2"/>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3207E2"/>
    <w:rPr>
      <w:rFonts w:ascii="Cambria" w:eastAsia="Times New Roman" w:hAnsi="Cambria" w:cs="Times New Roman"/>
      <w:snapToGrid w:val="0"/>
      <w:kern w:val="2"/>
      <w:sz w:val="23"/>
      <w:szCs w:val="24"/>
    </w:rPr>
  </w:style>
  <w:style w:type="paragraph" w:customStyle="1" w:styleId="TableParagraph">
    <w:name w:val="Table Paragraph"/>
    <w:basedOn w:val="Normal"/>
    <w:uiPriority w:val="1"/>
    <w:qFormat/>
    <w:rsid w:val="005F3542"/>
    <w:pPr>
      <w:widowControl w:val="0"/>
      <w:autoSpaceDE w:val="0"/>
      <w:autoSpaceDN w:val="0"/>
      <w:adjustRightInd w:val="0"/>
      <w:spacing w:before="33" w:after="0" w:line="240" w:lineRule="auto"/>
      <w:ind w:left="105"/>
    </w:pPr>
    <w:rPr>
      <w:rFonts w:ascii="Times New Roman" w:eastAsiaTheme="minorEastAsia" w:hAnsi="Times New Roman"/>
      <w:sz w:val="24"/>
      <w:szCs w:val="24"/>
      <w:lang w:eastAsia="en-AU"/>
    </w:rPr>
  </w:style>
  <w:style w:type="paragraph" w:styleId="BodyText">
    <w:name w:val="Body Text"/>
    <w:basedOn w:val="Normal"/>
    <w:link w:val="BodyTextChar"/>
    <w:uiPriority w:val="1"/>
    <w:qFormat/>
    <w:rsid w:val="005F3542"/>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5F3542"/>
    <w:rPr>
      <w:rFonts w:ascii="Cambria" w:eastAsiaTheme="minorEastAsia" w:hAnsi="Cambria" w:cs="Cambria"/>
      <w:lang w:eastAsia="en-AU"/>
    </w:rPr>
  </w:style>
  <w:style w:type="paragraph" w:styleId="ListParagraph">
    <w:name w:val="List Paragraph"/>
    <w:basedOn w:val="Normal"/>
    <w:uiPriority w:val="1"/>
    <w:qFormat/>
    <w:rsid w:val="005F3542"/>
    <w:pPr>
      <w:widowControl w:val="0"/>
      <w:autoSpaceDE w:val="0"/>
      <w:autoSpaceDN w:val="0"/>
      <w:adjustRightInd w:val="0"/>
      <w:spacing w:before="0" w:after="0" w:line="240" w:lineRule="auto"/>
      <w:ind w:left="1083" w:hanging="1008"/>
    </w:pPr>
    <w:rPr>
      <w:rFonts w:eastAsiaTheme="minorEastAsia" w:cs="Cambria"/>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120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07466"/>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A064D5"/>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NormalWeb">
    <w:name w:val="Normal (Web)"/>
    <w:basedOn w:val="Normal"/>
    <w:uiPriority w:val="99"/>
    <w:rsid w:val="007120D3"/>
    <w:pPr>
      <w:spacing w:beforeLines="1" w:before="180" w:afterLines="1" w:after="180" w:line="240" w:lineRule="auto"/>
      <w:jc w:val="both"/>
    </w:pPr>
    <w:rPr>
      <w:rFonts w:ascii="Times" w:eastAsia="Times New Roman" w:hAnsi="Times"/>
      <w:sz w:val="20"/>
      <w:szCs w:val="20"/>
    </w:rPr>
  </w:style>
  <w:style w:type="character" w:customStyle="1" w:styleId="apple-converted-space">
    <w:name w:val="apple-converted-space"/>
    <w:basedOn w:val="DefaultParagraphFont"/>
    <w:rsid w:val="007120D3"/>
  </w:style>
  <w:style w:type="character" w:styleId="Emphasis">
    <w:name w:val="Emphasis"/>
    <w:basedOn w:val="DefaultParagraphFont"/>
    <w:uiPriority w:val="20"/>
    <w:qFormat/>
    <w:rsid w:val="007120D3"/>
    <w:rPr>
      <w:i/>
      <w:iCs/>
    </w:rPr>
  </w:style>
  <w:style w:type="paragraph" w:customStyle="1" w:styleId="Standard">
    <w:name w:val="Standard"/>
    <w:basedOn w:val="Normal"/>
    <w:link w:val="StandardChar"/>
    <w:qFormat/>
    <w:rsid w:val="003207E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207E2"/>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3207E2"/>
    <w:pPr>
      <w:numPr>
        <w:numId w:val="28"/>
      </w:numPr>
      <w:spacing w:after="180"/>
      <w:ind w:left="426" w:hanging="284"/>
    </w:pPr>
    <w:rPr>
      <w:kern w:val="2"/>
    </w:rPr>
  </w:style>
  <w:style w:type="character" w:customStyle="1" w:styleId="TabletextChar">
    <w:name w:val="Table text Char"/>
    <w:basedOn w:val="StandardChar"/>
    <w:link w:val="Tabletext"/>
    <w:rsid w:val="003207E2"/>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3207E2"/>
    <w:rPr>
      <w:rFonts w:ascii="Cambria" w:eastAsia="Times New Roman" w:hAnsi="Cambria" w:cs="Times New Roman"/>
      <w:snapToGrid w:val="0"/>
      <w:kern w:val="2"/>
      <w:sz w:val="23"/>
      <w:szCs w:val="24"/>
    </w:rPr>
  </w:style>
  <w:style w:type="paragraph" w:customStyle="1" w:styleId="TableParagraph">
    <w:name w:val="Table Paragraph"/>
    <w:basedOn w:val="Normal"/>
    <w:uiPriority w:val="1"/>
    <w:qFormat/>
    <w:rsid w:val="005F3542"/>
    <w:pPr>
      <w:widowControl w:val="0"/>
      <w:autoSpaceDE w:val="0"/>
      <w:autoSpaceDN w:val="0"/>
      <w:adjustRightInd w:val="0"/>
      <w:spacing w:before="33" w:after="0" w:line="240" w:lineRule="auto"/>
      <w:ind w:left="105"/>
    </w:pPr>
    <w:rPr>
      <w:rFonts w:ascii="Times New Roman" w:eastAsiaTheme="minorEastAsia" w:hAnsi="Times New Roman"/>
      <w:sz w:val="24"/>
      <w:szCs w:val="24"/>
      <w:lang w:eastAsia="en-AU"/>
    </w:rPr>
  </w:style>
  <w:style w:type="paragraph" w:styleId="BodyText">
    <w:name w:val="Body Text"/>
    <w:basedOn w:val="Normal"/>
    <w:link w:val="BodyTextChar"/>
    <w:uiPriority w:val="1"/>
    <w:qFormat/>
    <w:rsid w:val="005F3542"/>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5F3542"/>
    <w:rPr>
      <w:rFonts w:ascii="Cambria" w:eastAsiaTheme="minorEastAsia" w:hAnsi="Cambria" w:cs="Cambria"/>
      <w:lang w:eastAsia="en-AU"/>
    </w:rPr>
  </w:style>
  <w:style w:type="paragraph" w:styleId="ListParagraph">
    <w:name w:val="List Paragraph"/>
    <w:basedOn w:val="Normal"/>
    <w:uiPriority w:val="1"/>
    <w:qFormat/>
    <w:rsid w:val="005F3542"/>
    <w:pPr>
      <w:widowControl w:val="0"/>
      <w:autoSpaceDE w:val="0"/>
      <w:autoSpaceDN w:val="0"/>
      <w:adjustRightInd w:val="0"/>
      <w:spacing w:before="0" w:after="0" w:line="240" w:lineRule="auto"/>
      <w:ind w:left="1083" w:hanging="1008"/>
    </w:pPr>
    <w:rPr>
      <w:rFonts w:eastAsiaTheme="minorEastAsia" w:cs="Cambria"/>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2056">
      <w:bodyDiv w:val="1"/>
      <w:marLeft w:val="0"/>
      <w:marRight w:val="0"/>
      <w:marTop w:val="0"/>
      <w:marBottom w:val="0"/>
      <w:divBdr>
        <w:top w:val="none" w:sz="0" w:space="0" w:color="auto"/>
        <w:left w:val="none" w:sz="0" w:space="0" w:color="auto"/>
        <w:bottom w:val="none" w:sz="0" w:space="0" w:color="auto"/>
        <w:right w:val="none" w:sz="0" w:space="0" w:color="auto"/>
      </w:divBdr>
    </w:div>
    <w:div w:id="147945127">
      <w:bodyDiv w:val="1"/>
      <w:marLeft w:val="0"/>
      <w:marRight w:val="0"/>
      <w:marTop w:val="0"/>
      <w:marBottom w:val="0"/>
      <w:divBdr>
        <w:top w:val="none" w:sz="0" w:space="0" w:color="auto"/>
        <w:left w:val="none" w:sz="0" w:space="0" w:color="auto"/>
        <w:bottom w:val="none" w:sz="0" w:space="0" w:color="auto"/>
        <w:right w:val="none" w:sz="0" w:space="0" w:color="auto"/>
      </w:divBdr>
    </w:div>
    <w:div w:id="170265811">
      <w:bodyDiv w:val="1"/>
      <w:marLeft w:val="0"/>
      <w:marRight w:val="0"/>
      <w:marTop w:val="0"/>
      <w:marBottom w:val="0"/>
      <w:divBdr>
        <w:top w:val="none" w:sz="0" w:space="0" w:color="auto"/>
        <w:left w:val="none" w:sz="0" w:space="0" w:color="auto"/>
        <w:bottom w:val="none" w:sz="0" w:space="0" w:color="auto"/>
        <w:right w:val="none" w:sz="0" w:space="0" w:color="auto"/>
      </w:divBdr>
      <w:divsChild>
        <w:div w:id="154297832">
          <w:marLeft w:val="0"/>
          <w:marRight w:val="0"/>
          <w:marTop w:val="100"/>
          <w:marBottom w:val="100"/>
          <w:divBdr>
            <w:top w:val="none" w:sz="0" w:space="0" w:color="auto"/>
            <w:left w:val="none" w:sz="0" w:space="0" w:color="auto"/>
            <w:bottom w:val="none" w:sz="0" w:space="0" w:color="auto"/>
            <w:right w:val="none" w:sz="0" w:space="0" w:color="auto"/>
          </w:divBdr>
          <w:divsChild>
            <w:div w:id="60493428">
              <w:marLeft w:val="0"/>
              <w:marRight w:val="0"/>
              <w:marTop w:val="0"/>
              <w:marBottom w:val="0"/>
              <w:divBdr>
                <w:top w:val="none" w:sz="0" w:space="0" w:color="auto"/>
                <w:left w:val="none" w:sz="0" w:space="0" w:color="auto"/>
                <w:bottom w:val="none" w:sz="0" w:space="0" w:color="auto"/>
                <w:right w:val="none" w:sz="0" w:space="0" w:color="auto"/>
              </w:divBdr>
              <w:divsChild>
                <w:div w:id="557016605">
                  <w:marLeft w:val="105"/>
                  <w:marRight w:val="105"/>
                  <w:marTop w:val="105"/>
                  <w:marBottom w:val="105"/>
                  <w:divBdr>
                    <w:top w:val="none" w:sz="0" w:space="0" w:color="auto"/>
                    <w:left w:val="none" w:sz="0" w:space="0" w:color="auto"/>
                    <w:bottom w:val="none" w:sz="0" w:space="0" w:color="auto"/>
                    <w:right w:val="none" w:sz="0" w:space="0" w:color="auto"/>
                  </w:divBdr>
                  <w:divsChild>
                    <w:div w:id="2063871667">
                      <w:marLeft w:val="0"/>
                      <w:marRight w:val="0"/>
                      <w:marTop w:val="0"/>
                      <w:marBottom w:val="0"/>
                      <w:divBdr>
                        <w:top w:val="none" w:sz="0" w:space="0" w:color="auto"/>
                        <w:left w:val="none" w:sz="0" w:space="0" w:color="auto"/>
                        <w:bottom w:val="none" w:sz="0" w:space="0" w:color="auto"/>
                        <w:right w:val="none" w:sz="0" w:space="0" w:color="auto"/>
                      </w:divBdr>
                      <w:divsChild>
                        <w:div w:id="408387219">
                          <w:marLeft w:val="0"/>
                          <w:marRight w:val="0"/>
                          <w:marTop w:val="0"/>
                          <w:marBottom w:val="0"/>
                          <w:divBdr>
                            <w:top w:val="none" w:sz="0" w:space="0" w:color="auto"/>
                            <w:left w:val="none" w:sz="0" w:space="0" w:color="auto"/>
                            <w:bottom w:val="none" w:sz="0" w:space="0" w:color="auto"/>
                            <w:right w:val="none" w:sz="0" w:space="0" w:color="auto"/>
                          </w:divBdr>
                          <w:divsChild>
                            <w:div w:id="1185250573">
                              <w:marLeft w:val="0"/>
                              <w:marRight w:val="0"/>
                              <w:marTop w:val="0"/>
                              <w:marBottom w:val="0"/>
                              <w:divBdr>
                                <w:top w:val="none" w:sz="0" w:space="0" w:color="auto"/>
                                <w:left w:val="none" w:sz="0" w:space="0" w:color="auto"/>
                                <w:bottom w:val="none" w:sz="0" w:space="0" w:color="auto"/>
                                <w:right w:val="none" w:sz="0" w:space="0" w:color="auto"/>
                              </w:divBdr>
                              <w:divsChild>
                                <w:div w:id="1367751382">
                                  <w:marLeft w:val="0"/>
                                  <w:marRight w:val="0"/>
                                  <w:marTop w:val="0"/>
                                  <w:marBottom w:val="0"/>
                                  <w:divBdr>
                                    <w:top w:val="none" w:sz="0" w:space="0" w:color="auto"/>
                                    <w:left w:val="none" w:sz="0" w:space="0" w:color="auto"/>
                                    <w:bottom w:val="none" w:sz="0" w:space="0" w:color="auto"/>
                                    <w:right w:val="none" w:sz="0" w:space="0" w:color="auto"/>
                                  </w:divBdr>
                                  <w:divsChild>
                                    <w:div w:id="1608848694">
                                      <w:marLeft w:val="105"/>
                                      <w:marRight w:val="105"/>
                                      <w:marTop w:val="105"/>
                                      <w:marBottom w:val="105"/>
                                      <w:divBdr>
                                        <w:top w:val="none" w:sz="0" w:space="0" w:color="auto"/>
                                        <w:left w:val="none" w:sz="0" w:space="0" w:color="auto"/>
                                        <w:bottom w:val="none" w:sz="0" w:space="0" w:color="auto"/>
                                        <w:right w:val="none" w:sz="0" w:space="0" w:color="auto"/>
                                      </w:divBdr>
                                      <w:divsChild>
                                        <w:div w:id="1358266339">
                                          <w:marLeft w:val="0"/>
                                          <w:marRight w:val="0"/>
                                          <w:marTop w:val="0"/>
                                          <w:marBottom w:val="0"/>
                                          <w:divBdr>
                                            <w:top w:val="none" w:sz="0" w:space="0" w:color="auto"/>
                                            <w:left w:val="none" w:sz="0" w:space="0" w:color="auto"/>
                                            <w:bottom w:val="none" w:sz="0" w:space="0" w:color="auto"/>
                                            <w:right w:val="none" w:sz="0" w:space="0" w:color="auto"/>
                                          </w:divBdr>
                                          <w:divsChild>
                                            <w:div w:id="1412116986">
                                              <w:marLeft w:val="0"/>
                                              <w:marRight w:val="0"/>
                                              <w:marTop w:val="0"/>
                                              <w:marBottom w:val="0"/>
                                              <w:divBdr>
                                                <w:top w:val="none" w:sz="0" w:space="0" w:color="auto"/>
                                                <w:left w:val="none" w:sz="0" w:space="0" w:color="auto"/>
                                                <w:bottom w:val="none" w:sz="0" w:space="0" w:color="auto"/>
                                                <w:right w:val="none" w:sz="0" w:space="0" w:color="auto"/>
                                              </w:divBdr>
                                              <w:divsChild>
                                                <w:div w:id="2092390191">
                                                  <w:marLeft w:val="105"/>
                                                  <w:marRight w:val="105"/>
                                                  <w:marTop w:val="105"/>
                                                  <w:marBottom w:val="105"/>
                                                  <w:divBdr>
                                                    <w:top w:val="none" w:sz="0" w:space="0" w:color="auto"/>
                                                    <w:left w:val="none" w:sz="0" w:space="0" w:color="auto"/>
                                                    <w:bottom w:val="none" w:sz="0" w:space="0" w:color="auto"/>
                                                    <w:right w:val="none" w:sz="0" w:space="0" w:color="auto"/>
                                                  </w:divBdr>
                                                  <w:divsChild>
                                                    <w:div w:id="413354613">
                                                      <w:marLeft w:val="0"/>
                                                      <w:marRight w:val="0"/>
                                                      <w:marTop w:val="0"/>
                                                      <w:marBottom w:val="0"/>
                                                      <w:divBdr>
                                                        <w:top w:val="none" w:sz="0" w:space="0" w:color="auto"/>
                                                        <w:left w:val="none" w:sz="0" w:space="0" w:color="auto"/>
                                                        <w:bottom w:val="none" w:sz="0" w:space="0" w:color="auto"/>
                                                        <w:right w:val="none" w:sz="0" w:space="0" w:color="auto"/>
                                                      </w:divBdr>
                                                      <w:divsChild>
                                                        <w:div w:id="413554748">
                                                          <w:marLeft w:val="0"/>
                                                          <w:marRight w:val="0"/>
                                                          <w:marTop w:val="0"/>
                                                          <w:marBottom w:val="0"/>
                                                          <w:divBdr>
                                                            <w:top w:val="none" w:sz="0" w:space="0" w:color="auto"/>
                                                            <w:left w:val="none" w:sz="0" w:space="0" w:color="auto"/>
                                                            <w:bottom w:val="none" w:sz="0" w:space="0" w:color="auto"/>
                                                            <w:right w:val="none" w:sz="0" w:space="0" w:color="auto"/>
                                                          </w:divBdr>
                                                          <w:divsChild>
                                                            <w:div w:id="1987274309">
                                                              <w:marLeft w:val="0"/>
                                                              <w:marRight w:val="0"/>
                                                              <w:marTop w:val="0"/>
                                                              <w:marBottom w:val="0"/>
                                                              <w:divBdr>
                                                                <w:top w:val="none" w:sz="0" w:space="0" w:color="auto"/>
                                                                <w:left w:val="none" w:sz="0" w:space="0" w:color="auto"/>
                                                                <w:bottom w:val="none" w:sz="0" w:space="0" w:color="auto"/>
                                                                <w:right w:val="none" w:sz="0" w:space="0" w:color="auto"/>
                                                              </w:divBdr>
                                                              <w:divsChild>
                                                                <w:div w:id="1626689661">
                                                                  <w:marLeft w:val="0"/>
                                                                  <w:marRight w:val="0"/>
                                                                  <w:marTop w:val="0"/>
                                                                  <w:marBottom w:val="0"/>
                                                                  <w:divBdr>
                                                                    <w:top w:val="none" w:sz="0" w:space="0" w:color="auto"/>
                                                                    <w:left w:val="none" w:sz="0" w:space="0" w:color="auto"/>
                                                                    <w:bottom w:val="none" w:sz="0" w:space="0" w:color="auto"/>
                                                                    <w:right w:val="none" w:sz="0" w:space="0" w:color="auto"/>
                                                                  </w:divBdr>
                                                                  <w:divsChild>
                                                                    <w:div w:id="918447153">
                                                                      <w:marLeft w:val="0"/>
                                                                      <w:marRight w:val="0"/>
                                                                      <w:marTop w:val="0"/>
                                                                      <w:marBottom w:val="0"/>
                                                                      <w:divBdr>
                                                                        <w:top w:val="none" w:sz="0" w:space="0" w:color="auto"/>
                                                                        <w:left w:val="none" w:sz="0" w:space="0" w:color="auto"/>
                                                                        <w:bottom w:val="none" w:sz="0" w:space="0" w:color="auto"/>
                                                                        <w:right w:val="none" w:sz="0" w:space="0" w:color="auto"/>
                                                                      </w:divBdr>
                                                                      <w:divsChild>
                                                                        <w:div w:id="2049521426">
                                                                          <w:marLeft w:val="105"/>
                                                                          <w:marRight w:val="105"/>
                                                                          <w:marTop w:val="105"/>
                                                                          <w:marBottom w:val="105"/>
                                                                          <w:divBdr>
                                                                            <w:top w:val="none" w:sz="0" w:space="0" w:color="auto"/>
                                                                            <w:left w:val="none" w:sz="0" w:space="0" w:color="auto"/>
                                                                            <w:bottom w:val="none" w:sz="0" w:space="0" w:color="auto"/>
                                                                            <w:right w:val="none" w:sz="0" w:space="0" w:color="auto"/>
                                                                          </w:divBdr>
                                                                          <w:divsChild>
                                                                            <w:div w:id="433595117">
                                                                              <w:marLeft w:val="0"/>
                                                                              <w:marRight w:val="0"/>
                                                                              <w:marTop w:val="0"/>
                                                                              <w:marBottom w:val="0"/>
                                                                              <w:divBdr>
                                                                                <w:top w:val="none" w:sz="0" w:space="0" w:color="auto"/>
                                                                                <w:left w:val="none" w:sz="0" w:space="0" w:color="auto"/>
                                                                                <w:bottom w:val="none" w:sz="0" w:space="0" w:color="auto"/>
                                                                                <w:right w:val="none" w:sz="0" w:space="0" w:color="auto"/>
                                                                              </w:divBdr>
                                                                              <w:divsChild>
                                                                                <w:div w:id="1127700810">
                                                                                  <w:marLeft w:val="0"/>
                                                                                  <w:marRight w:val="0"/>
                                                                                  <w:marTop w:val="0"/>
                                                                                  <w:marBottom w:val="0"/>
                                                                                  <w:divBdr>
                                                                                    <w:top w:val="none" w:sz="0" w:space="0" w:color="auto"/>
                                                                                    <w:left w:val="none" w:sz="0" w:space="0" w:color="auto"/>
                                                                                    <w:bottom w:val="none" w:sz="0" w:space="0" w:color="auto"/>
                                                                                    <w:right w:val="none" w:sz="0" w:space="0" w:color="auto"/>
                                                                                  </w:divBdr>
                                                                                  <w:divsChild>
                                                                                    <w:div w:id="833421610">
                                                                                      <w:marLeft w:val="0"/>
                                                                                      <w:marRight w:val="0"/>
                                                                                      <w:marTop w:val="120"/>
                                                                                      <w:marBottom w:val="0"/>
                                                                                      <w:divBdr>
                                                                                        <w:top w:val="none" w:sz="0" w:space="0" w:color="auto"/>
                                                                                        <w:left w:val="none" w:sz="0" w:space="0" w:color="auto"/>
                                                                                        <w:bottom w:val="none" w:sz="0" w:space="0" w:color="auto"/>
                                                                                        <w:right w:val="none" w:sz="0" w:space="0" w:color="auto"/>
                                                                                      </w:divBdr>
                                                                                      <w:divsChild>
                                                                                        <w:div w:id="416679617">
                                                                                          <w:marLeft w:val="0"/>
                                                                                          <w:marRight w:val="0"/>
                                                                                          <w:marTop w:val="0"/>
                                                                                          <w:marBottom w:val="285"/>
                                                                                          <w:divBdr>
                                                                                            <w:top w:val="none" w:sz="0" w:space="0" w:color="auto"/>
                                                                                            <w:left w:val="none" w:sz="0" w:space="0" w:color="auto"/>
                                                                                            <w:bottom w:val="none" w:sz="0" w:space="0" w:color="auto"/>
                                                                                            <w:right w:val="none" w:sz="0" w:space="0" w:color="auto"/>
                                                                                          </w:divBdr>
                                                                                          <w:divsChild>
                                                                                            <w:div w:id="406920338">
                                                                                              <w:marLeft w:val="0"/>
                                                                                              <w:marRight w:val="0"/>
                                                                                              <w:marTop w:val="0"/>
                                                                                              <w:marBottom w:val="0"/>
                                                                                              <w:divBdr>
                                                                                                <w:top w:val="none" w:sz="0" w:space="0" w:color="auto"/>
                                                                                                <w:left w:val="none" w:sz="0" w:space="0" w:color="auto"/>
                                                                                                <w:bottom w:val="none" w:sz="0" w:space="0" w:color="auto"/>
                                                                                                <w:right w:val="none" w:sz="0" w:space="0" w:color="auto"/>
                                                                                              </w:divBdr>
                                                                                              <w:divsChild>
                                                                                                <w:div w:id="832141417">
                                                                                                  <w:marLeft w:val="0"/>
                                                                                                  <w:marRight w:val="0"/>
                                                                                                  <w:marTop w:val="0"/>
                                                                                                  <w:marBottom w:val="0"/>
                                                                                                  <w:divBdr>
                                                                                                    <w:top w:val="single" w:sz="12" w:space="5" w:color="CCCCCC"/>
                                                                                                    <w:left w:val="single" w:sz="12" w:space="5" w:color="CCCCCC"/>
                                                                                                    <w:bottom w:val="single" w:sz="12" w:space="5" w:color="CCCCCC"/>
                                                                                                    <w:right w:val="single" w:sz="12" w:space="5" w:color="CCCCCC"/>
                                                                                                  </w:divBdr>
                                                                                                  <w:divsChild>
                                                                                                    <w:div w:id="106580010">
                                                                                                      <w:marLeft w:val="-135"/>
                                                                                                      <w:marRight w:val="-135"/>
                                                                                                      <w:marTop w:val="0"/>
                                                                                                      <w:marBottom w:val="0"/>
                                                                                                      <w:divBdr>
                                                                                                        <w:top w:val="none" w:sz="0" w:space="0" w:color="auto"/>
                                                                                                        <w:left w:val="none" w:sz="0" w:space="0" w:color="auto"/>
                                                                                                        <w:bottom w:val="none" w:sz="0" w:space="0" w:color="auto"/>
                                                                                                        <w:right w:val="none" w:sz="0" w:space="0" w:color="auto"/>
                                                                                                      </w:divBdr>
                                                                                                    </w:div>
                                                                                                    <w:div w:id="420493047">
                                                                                                      <w:marLeft w:val="0"/>
                                                                                                      <w:marRight w:val="0"/>
                                                                                                      <w:marTop w:val="0"/>
                                                                                                      <w:marBottom w:val="0"/>
                                                                                                      <w:divBdr>
                                                                                                        <w:top w:val="none" w:sz="0" w:space="0" w:color="auto"/>
                                                                                                        <w:left w:val="none" w:sz="0" w:space="0" w:color="auto"/>
                                                                                                        <w:bottom w:val="none" w:sz="0" w:space="0" w:color="auto"/>
                                                                                                        <w:right w:val="none" w:sz="0" w:space="0" w:color="auto"/>
                                                                                                      </w:divBdr>
                                                                                                    </w:div>
                                                                                                  </w:divsChild>
                                                                                                </w:div>
                                                                                                <w:div w:id="1590852210">
                                                                                                  <w:marLeft w:val="0"/>
                                                                                                  <w:marRight w:val="0"/>
                                                                                                  <w:marTop w:val="0"/>
                                                                                                  <w:marBottom w:val="0"/>
                                                                                                  <w:divBdr>
                                                                                                    <w:top w:val="single" w:sz="12" w:space="5" w:color="CCCCCC"/>
                                                                                                    <w:left w:val="single" w:sz="12" w:space="5" w:color="CCCCCC"/>
                                                                                                    <w:bottom w:val="single" w:sz="12" w:space="5" w:color="CCCCCC"/>
                                                                                                    <w:right w:val="single" w:sz="12" w:space="5" w:color="CCCCCC"/>
                                                                                                  </w:divBdr>
                                                                                                  <w:divsChild>
                                                                                                    <w:div w:id="86659754">
                                                                                                      <w:marLeft w:val="-135"/>
                                                                                                      <w:marRight w:val="-135"/>
                                                                                                      <w:marTop w:val="0"/>
                                                                                                      <w:marBottom w:val="0"/>
                                                                                                      <w:divBdr>
                                                                                                        <w:top w:val="none" w:sz="0" w:space="0" w:color="auto"/>
                                                                                                        <w:left w:val="none" w:sz="0" w:space="0" w:color="auto"/>
                                                                                                        <w:bottom w:val="none" w:sz="0" w:space="0" w:color="auto"/>
                                                                                                        <w:right w:val="none" w:sz="0" w:space="0" w:color="auto"/>
                                                                                                      </w:divBdr>
                                                                                                    </w:div>
                                                                                                    <w:div w:id="1677269883">
                                                                                                      <w:marLeft w:val="0"/>
                                                                                                      <w:marRight w:val="0"/>
                                                                                                      <w:marTop w:val="0"/>
                                                                                                      <w:marBottom w:val="0"/>
                                                                                                      <w:divBdr>
                                                                                                        <w:top w:val="none" w:sz="0" w:space="0" w:color="auto"/>
                                                                                                        <w:left w:val="none" w:sz="0" w:space="0" w:color="auto"/>
                                                                                                        <w:bottom w:val="none" w:sz="0" w:space="0" w:color="auto"/>
                                                                                                        <w:right w:val="none" w:sz="0" w:space="0" w:color="auto"/>
                                                                                                      </w:divBdr>
                                                                                                    </w:div>
                                                                                                  </w:divsChild>
                                                                                                </w:div>
                                                                                                <w:div w:id="535582455">
                                                                                                  <w:marLeft w:val="0"/>
                                                                                                  <w:marRight w:val="0"/>
                                                                                                  <w:marTop w:val="0"/>
                                                                                                  <w:marBottom w:val="0"/>
                                                                                                  <w:divBdr>
                                                                                                    <w:top w:val="single" w:sz="12" w:space="5" w:color="CCCCCC"/>
                                                                                                    <w:left w:val="single" w:sz="12" w:space="5" w:color="CCCCCC"/>
                                                                                                    <w:bottom w:val="single" w:sz="12" w:space="5" w:color="CCCCCC"/>
                                                                                                    <w:right w:val="single" w:sz="12" w:space="5" w:color="CCCCCC"/>
                                                                                                  </w:divBdr>
                                                                                                  <w:divsChild>
                                                                                                    <w:div w:id="175197267">
                                                                                                      <w:marLeft w:val="-135"/>
                                                                                                      <w:marRight w:val="-135"/>
                                                                                                      <w:marTop w:val="0"/>
                                                                                                      <w:marBottom w:val="0"/>
                                                                                                      <w:divBdr>
                                                                                                        <w:top w:val="none" w:sz="0" w:space="0" w:color="auto"/>
                                                                                                        <w:left w:val="none" w:sz="0" w:space="0" w:color="auto"/>
                                                                                                        <w:bottom w:val="none" w:sz="0" w:space="0" w:color="auto"/>
                                                                                                        <w:right w:val="none" w:sz="0" w:space="0" w:color="auto"/>
                                                                                                      </w:divBdr>
                                                                                                    </w:div>
                                                                                                    <w:div w:id="693507187">
                                                                                                      <w:marLeft w:val="0"/>
                                                                                                      <w:marRight w:val="0"/>
                                                                                                      <w:marTop w:val="0"/>
                                                                                                      <w:marBottom w:val="0"/>
                                                                                                      <w:divBdr>
                                                                                                        <w:top w:val="none" w:sz="0" w:space="0" w:color="auto"/>
                                                                                                        <w:left w:val="none" w:sz="0" w:space="0" w:color="auto"/>
                                                                                                        <w:bottom w:val="none" w:sz="0" w:space="0" w:color="auto"/>
                                                                                                        <w:right w:val="none" w:sz="0" w:space="0" w:color="auto"/>
                                                                                                      </w:divBdr>
                                                                                                    </w:div>
                                                                                                  </w:divsChild>
                                                                                                </w:div>
                                                                                                <w:div w:id="740372219">
                                                                                                  <w:marLeft w:val="0"/>
                                                                                                  <w:marRight w:val="0"/>
                                                                                                  <w:marTop w:val="0"/>
                                                                                                  <w:marBottom w:val="0"/>
                                                                                                  <w:divBdr>
                                                                                                    <w:top w:val="single" w:sz="12" w:space="5" w:color="CCCCCC"/>
                                                                                                    <w:left w:val="single" w:sz="12" w:space="5" w:color="CCCCCC"/>
                                                                                                    <w:bottom w:val="single" w:sz="12" w:space="5" w:color="CCCCCC"/>
                                                                                                    <w:right w:val="single" w:sz="12" w:space="5" w:color="CCCCCC"/>
                                                                                                  </w:divBdr>
                                                                                                  <w:divsChild>
                                                                                                    <w:div w:id="1921520361">
                                                                                                      <w:marLeft w:val="-135"/>
                                                                                                      <w:marRight w:val="-135"/>
                                                                                                      <w:marTop w:val="0"/>
                                                                                                      <w:marBottom w:val="0"/>
                                                                                                      <w:divBdr>
                                                                                                        <w:top w:val="none" w:sz="0" w:space="0" w:color="auto"/>
                                                                                                        <w:left w:val="none" w:sz="0" w:space="0" w:color="auto"/>
                                                                                                        <w:bottom w:val="none" w:sz="0" w:space="0" w:color="auto"/>
                                                                                                        <w:right w:val="none" w:sz="0" w:space="0" w:color="auto"/>
                                                                                                      </w:divBdr>
                                                                                                    </w:div>
                                                                                                    <w:div w:id="196357865">
                                                                                                      <w:marLeft w:val="0"/>
                                                                                                      <w:marRight w:val="0"/>
                                                                                                      <w:marTop w:val="0"/>
                                                                                                      <w:marBottom w:val="0"/>
                                                                                                      <w:divBdr>
                                                                                                        <w:top w:val="none" w:sz="0" w:space="0" w:color="auto"/>
                                                                                                        <w:left w:val="none" w:sz="0" w:space="0" w:color="auto"/>
                                                                                                        <w:bottom w:val="none" w:sz="0" w:space="0" w:color="auto"/>
                                                                                                        <w:right w:val="none" w:sz="0" w:space="0" w:color="auto"/>
                                                                                                      </w:divBdr>
                                                                                                    </w:div>
                                                                                                  </w:divsChild>
                                                                                                </w:div>
                                                                                                <w:div w:id="1225801954">
                                                                                                  <w:marLeft w:val="0"/>
                                                                                                  <w:marRight w:val="0"/>
                                                                                                  <w:marTop w:val="0"/>
                                                                                                  <w:marBottom w:val="0"/>
                                                                                                  <w:divBdr>
                                                                                                    <w:top w:val="single" w:sz="12" w:space="5" w:color="CCCCCC"/>
                                                                                                    <w:left w:val="single" w:sz="12" w:space="5" w:color="CCCCCC"/>
                                                                                                    <w:bottom w:val="single" w:sz="12" w:space="5" w:color="CCCCCC"/>
                                                                                                    <w:right w:val="single" w:sz="12" w:space="5" w:color="CCCCCC"/>
                                                                                                  </w:divBdr>
                                                                                                  <w:divsChild>
                                                                                                    <w:div w:id="1847555486">
                                                                                                      <w:marLeft w:val="-135"/>
                                                                                                      <w:marRight w:val="-135"/>
                                                                                                      <w:marTop w:val="0"/>
                                                                                                      <w:marBottom w:val="0"/>
                                                                                                      <w:divBdr>
                                                                                                        <w:top w:val="none" w:sz="0" w:space="0" w:color="auto"/>
                                                                                                        <w:left w:val="none" w:sz="0" w:space="0" w:color="auto"/>
                                                                                                        <w:bottom w:val="none" w:sz="0" w:space="0" w:color="auto"/>
                                                                                                        <w:right w:val="none" w:sz="0" w:space="0" w:color="auto"/>
                                                                                                      </w:divBdr>
                                                                                                    </w:div>
                                                                                                    <w:div w:id="1598101050">
                                                                                                      <w:marLeft w:val="0"/>
                                                                                                      <w:marRight w:val="0"/>
                                                                                                      <w:marTop w:val="0"/>
                                                                                                      <w:marBottom w:val="0"/>
                                                                                                      <w:divBdr>
                                                                                                        <w:top w:val="none" w:sz="0" w:space="0" w:color="auto"/>
                                                                                                        <w:left w:val="none" w:sz="0" w:space="0" w:color="auto"/>
                                                                                                        <w:bottom w:val="none" w:sz="0" w:space="0" w:color="auto"/>
                                                                                                        <w:right w:val="none" w:sz="0" w:space="0" w:color="auto"/>
                                                                                                      </w:divBdr>
                                                                                                    </w:div>
                                                                                                  </w:divsChild>
                                                                                                </w:div>
                                                                                                <w:div w:id="2084831563">
                                                                                                  <w:marLeft w:val="0"/>
                                                                                                  <w:marRight w:val="0"/>
                                                                                                  <w:marTop w:val="0"/>
                                                                                                  <w:marBottom w:val="0"/>
                                                                                                  <w:divBdr>
                                                                                                    <w:top w:val="single" w:sz="12" w:space="5" w:color="CCCCCC"/>
                                                                                                    <w:left w:val="single" w:sz="12" w:space="5" w:color="CCCCCC"/>
                                                                                                    <w:bottom w:val="single" w:sz="12" w:space="5" w:color="CCCCCC"/>
                                                                                                    <w:right w:val="single" w:sz="12" w:space="5" w:color="CCCCCC"/>
                                                                                                  </w:divBdr>
                                                                                                  <w:divsChild>
                                                                                                    <w:div w:id="1169441186">
                                                                                                      <w:marLeft w:val="-135"/>
                                                                                                      <w:marRight w:val="-135"/>
                                                                                                      <w:marTop w:val="0"/>
                                                                                                      <w:marBottom w:val="0"/>
                                                                                                      <w:divBdr>
                                                                                                        <w:top w:val="none" w:sz="0" w:space="0" w:color="auto"/>
                                                                                                        <w:left w:val="none" w:sz="0" w:space="0" w:color="auto"/>
                                                                                                        <w:bottom w:val="none" w:sz="0" w:space="0" w:color="auto"/>
                                                                                                        <w:right w:val="none" w:sz="0" w:space="0" w:color="auto"/>
                                                                                                      </w:divBdr>
                                                                                                    </w:div>
                                                                                                    <w:div w:id="437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681748">
      <w:bodyDiv w:val="1"/>
      <w:marLeft w:val="0"/>
      <w:marRight w:val="0"/>
      <w:marTop w:val="0"/>
      <w:marBottom w:val="0"/>
      <w:divBdr>
        <w:top w:val="none" w:sz="0" w:space="0" w:color="auto"/>
        <w:left w:val="none" w:sz="0" w:space="0" w:color="auto"/>
        <w:bottom w:val="none" w:sz="0" w:space="0" w:color="auto"/>
        <w:right w:val="none" w:sz="0" w:space="0" w:color="auto"/>
      </w:divBdr>
    </w:div>
    <w:div w:id="752354235">
      <w:bodyDiv w:val="1"/>
      <w:marLeft w:val="0"/>
      <w:marRight w:val="0"/>
      <w:marTop w:val="0"/>
      <w:marBottom w:val="0"/>
      <w:divBdr>
        <w:top w:val="none" w:sz="0" w:space="0" w:color="auto"/>
        <w:left w:val="none" w:sz="0" w:space="0" w:color="auto"/>
        <w:bottom w:val="none" w:sz="0" w:space="0" w:color="auto"/>
        <w:right w:val="none" w:sz="0" w:space="0" w:color="auto"/>
      </w:divBdr>
    </w:div>
    <w:div w:id="768163353">
      <w:bodyDiv w:val="1"/>
      <w:marLeft w:val="0"/>
      <w:marRight w:val="0"/>
      <w:marTop w:val="0"/>
      <w:marBottom w:val="0"/>
      <w:divBdr>
        <w:top w:val="none" w:sz="0" w:space="0" w:color="auto"/>
        <w:left w:val="none" w:sz="0" w:space="0" w:color="auto"/>
        <w:bottom w:val="none" w:sz="0" w:space="0" w:color="auto"/>
        <w:right w:val="none" w:sz="0" w:space="0" w:color="auto"/>
      </w:divBdr>
    </w:div>
    <w:div w:id="923415915">
      <w:bodyDiv w:val="1"/>
      <w:marLeft w:val="0"/>
      <w:marRight w:val="0"/>
      <w:marTop w:val="0"/>
      <w:marBottom w:val="0"/>
      <w:divBdr>
        <w:top w:val="none" w:sz="0" w:space="0" w:color="auto"/>
        <w:left w:val="none" w:sz="0" w:space="0" w:color="auto"/>
        <w:bottom w:val="none" w:sz="0" w:space="0" w:color="auto"/>
        <w:right w:val="none" w:sz="0" w:space="0" w:color="auto"/>
      </w:divBdr>
    </w:div>
    <w:div w:id="965430505">
      <w:bodyDiv w:val="1"/>
      <w:marLeft w:val="0"/>
      <w:marRight w:val="0"/>
      <w:marTop w:val="0"/>
      <w:marBottom w:val="0"/>
      <w:divBdr>
        <w:top w:val="none" w:sz="0" w:space="0" w:color="auto"/>
        <w:left w:val="none" w:sz="0" w:space="0" w:color="auto"/>
        <w:bottom w:val="none" w:sz="0" w:space="0" w:color="auto"/>
        <w:right w:val="none" w:sz="0" w:space="0" w:color="auto"/>
      </w:divBdr>
    </w:div>
    <w:div w:id="1215236884">
      <w:bodyDiv w:val="1"/>
      <w:marLeft w:val="0"/>
      <w:marRight w:val="0"/>
      <w:marTop w:val="0"/>
      <w:marBottom w:val="0"/>
      <w:divBdr>
        <w:top w:val="none" w:sz="0" w:space="0" w:color="auto"/>
        <w:left w:val="none" w:sz="0" w:space="0" w:color="auto"/>
        <w:bottom w:val="none" w:sz="0" w:space="0" w:color="auto"/>
        <w:right w:val="none" w:sz="0" w:space="0" w:color="auto"/>
      </w:divBdr>
    </w:div>
    <w:div w:id="1413622832">
      <w:bodyDiv w:val="1"/>
      <w:marLeft w:val="0"/>
      <w:marRight w:val="0"/>
      <w:marTop w:val="0"/>
      <w:marBottom w:val="0"/>
      <w:divBdr>
        <w:top w:val="none" w:sz="0" w:space="0" w:color="auto"/>
        <w:left w:val="none" w:sz="0" w:space="0" w:color="auto"/>
        <w:bottom w:val="none" w:sz="0" w:space="0" w:color="auto"/>
        <w:right w:val="none" w:sz="0" w:space="0" w:color="auto"/>
      </w:divBdr>
    </w:div>
    <w:div w:id="1720207249">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info@tga.gov.au"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hdphoto" Target="media/hdphoto4.wdp"/><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6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6DBE0-01C6-4E75-806F-34DF76A72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14</TotalTime>
  <Pages>32</Pages>
  <Words>10102</Words>
  <Characters>57584</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Australian public assessment for Alectinib</vt:lpstr>
    </vt:vector>
  </TitlesOfParts>
  <Company>Department of Health Therapeutic Goods Administration</Company>
  <LinksUpToDate>false</LinksUpToDate>
  <CharactersWithSpaces>67551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Alectinib</dc:title>
  <dc:subject>prescription medicines</dc:subject>
  <dc:creator>Therapeutic Goods Administration</dc:creator>
  <cp:keywords>AusPARs</cp:keywords>
  <cp:lastModifiedBy>LACK, Janet</cp:lastModifiedBy>
  <cp:revision>3</cp:revision>
  <cp:lastPrinted>2015-09-22T23:39:00Z</cp:lastPrinted>
  <dcterms:created xsi:type="dcterms:W3CDTF">2018-03-25T22:48:00Z</dcterms:created>
  <dcterms:modified xsi:type="dcterms:W3CDTF">2018-03-25T23:04:00Z</dcterms:modified>
  <cp:category/>
</cp:coreProperties>
</file>