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08" w:rsidRPr="00EF74CB" w:rsidRDefault="002D31A3">
      <w:pPr>
        <w:pStyle w:val="Title"/>
        <w:rPr>
          <w:b w:val="0"/>
        </w:rPr>
      </w:pPr>
      <w:r w:rsidRPr="00EF74CB">
        <w:t>PRODUCT INFORMATION</w:t>
      </w:r>
    </w:p>
    <w:p w:rsidR="007201F1" w:rsidRPr="00EF74CB" w:rsidRDefault="009C3B58" w:rsidP="00F522F1">
      <w:pPr>
        <w:spacing w:before="200" w:line="240" w:lineRule="auto"/>
        <w:jc w:val="center"/>
        <w:rPr>
          <w:rFonts w:ascii="Arial" w:eastAsia="Times New Roman" w:hAnsi="Arial" w:cs="Arial"/>
          <w:b/>
          <w:caps/>
          <w:sz w:val="24"/>
          <w:szCs w:val="24"/>
          <w:lang w:val="en-AU"/>
        </w:rPr>
      </w:pPr>
      <w:r w:rsidRPr="00EF74CB">
        <w:rPr>
          <w:rFonts w:ascii="Arial" w:eastAsia="Times New Roman" w:hAnsi="Arial" w:cs="Arial"/>
          <w:b/>
          <w:caps/>
          <w:sz w:val="24"/>
          <w:szCs w:val="24"/>
          <w:lang w:val="en-AU"/>
        </w:rPr>
        <w:t>NESINA</w:t>
      </w:r>
      <w:r w:rsidR="002D31A3" w:rsidRPr="00EF74CB">
        <w:rPr>
          <w:rFonts w:ascii="Arial" w:eastAsia="Times New Roman" w:hAnsi="Arial" w:cs="Arial"/>
          <w:b/>
          <w:caps/>
          <w:sz w:val="24"/>
          <w:szCs w:val="24"/>
          <w:vertAlign w:val="superscript"/>
          <w:lang w:val="en-AU"/>
        </w:rPr>
        <w:t>®</w:t>
      </w:r>
      <w:r w:rsidR="002D31A3" w:rsidRPr="00EF74CB">
        <w:rPr>
          <w:rFonts w:ascii="Arial" w:eastAsia="Times New Roman" w:hAnsi="Arial" w:cs="Arial"/>
          <w:b/>
          <w:caps/>
          <w:sz w:val="24"/>
          <w:szCs w:val="24"/>
          <w:lang w:val="en-AU"/>
        </w:rPr>
        <w:t xml:space="preserve"> </w:t>
      </w:r>
    </w:p>
    <w:p w:rsidR="00691008" w:rsidRPr="00EF74CB" w:rsidRDefault="002D31A3">
      <w:pPr>
        <w:pStyle w:val="Heading1"/>
        <w:spacing w:after="240"/>
        <w:rPr>
          <w:rFonts w:cs="Arial"/>
          <w:b w:val="0"/>
          <w:sz w:val="22"/>
          <w:szCs w:val="22"/>
        </w:rPr>
      </w:pPr>
      <w:r w:rsidRPr="00EF74CB">
        <w:rPr>
          <w:rFonts w:cs="Arial"/>
          <w:sz w:val="22"/>
          <w:szCs w:val="22"/>
        </w:rPr>
        <w:t>NAME OF THE MEDICINE</w:t>
      </w:r>
    </w:p>
    <w:p w:rsidR="00691008" w:rsidRPr="00EF74CB" w:rsidRDefault="000F52CD">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Non-proprietary name: </w:t>
      </w:r>
      <w:r w:rsidR="0082273E" w:rsidRPr="00EF74CB">
        <w:rPr>
          <w:rFonts w:ascii="Arial" w:eastAsia="Times New Roman" w:hAnsi="Arial" w:cs="Arial"/>
          <w:lang w:val="en-AU"/>
        </w:rPr>
        <w:t>a</w:t>
      </w:r>
      <w:r w:rsidR="00965E6F" w:rsidRPr="00EF74CB">
        <w:rPr>
          <w:rFonts w:ascii="Arial" w:eastAsia="Times New Roman" w:hAnsi="Arial" w:cs="Arial"/>
          <w:lang w:val="en-AU"/>
        </w:rPr>
        <w:t xml:space="preserve">logliptin </w:t>
      </w:r>
      <w:r w:rsidR="0082273E" w:rsidRPr="00EF74CB">
        <w:rPr>
          <w:rFonts w:ascii="Arial" w:eastAsia="Times New Roman" w:hAnsi="Arial" w:cs="Arial"/>
          <w:lang w:val="en-AU"/>
        </w:rPr>
        <w:t>b</w:t>
      </w:r>
      <w:r w:rsidR="00965E6F" w:rsidRPr="00EF74CB">
        <w:rPr>
          <w:rFonts w:ascii="Arial" w:eastAsia="Times New Roman" w:hAnsi="Arial" w:cs="Arial"/>
          <w:lang w:val="en-AU"/>
        </w:rPr>
        <w:t>enzoate</w:t>
      </w:r>
    </w:p>
    <w:p w:rsidR="000F52CD" w:rsidRPr="00EF74CB" w:rsidRDefault="000F52CD" w:rsidP="000F52CD">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structural formula </w:t>
      </w:r>
      <w:r w:rsidR="00770496" w:rsidRPr="00EF74CB">
        <w:rPr>
          <w:rFonts w:ascii="Arial" w:eastAsia="Times New Roman" w:hAnsi="Arial" w:cs="Arial"/>
          <w:lang w:val="en-AU"/>
        </w:rPr>
        <w:t xml:space="preserve">of alogliptin benzoate </w:t>
      </w:r>
      <w:r w:rsidRPr="00EF74CB">
        <w:rPr>
          <w:rFonts w:ascii="Arial" w:eastAsia="Times New Roman" w:hAnsi="Arial" w:cs="Arial"/>
          <w:lang w:val="en-AU"/>
        </w:rPr>
        <w:t>is:</w:t>
      </w:r>
    </w:p>
    <w:p w:rsidR="005306C9" w:rsidRPr="00EF74CB" w:rsidRDefault="005306C9" w:rsidP="000F52CD">
      <w:pPr>
        <w:spacing w:after="240" w:line="240" w:lineRule="auto"/>
        <w:jc w:val="both"/>
        <w:rPr>
          <w:rFonts w:ascii="Arial" w:eastAsia="Times New Roman" w:hAnsi="Arial" w:cs="Arial"/>
          <w:lang w:val="en-AU"/>
        </w:rPr>
      </w:pPr>
      <w:r w:rsidRPr="00EF74CB">
        <w:rPr>
          <w:rFonts w:ascii="Arial" w:hAnsi="Arial" w:cs="Arial"/>
          <w:noProof/>
          <w:sz w:val="16"/>
          <w:szCs w:val="16"/>
          <w:lang w:val="en-AU" w:eastAsia="en-AU"/>
        </w:rPr>
        <w:drawing>
          <wp:inline distT="0" distB="0" distL="0" distR="0">
            <wp:extent cx="2612390" cy="1840865"/>
            <wp:effectExtent l="0" t="0" r="0" b="0"/>
            <wp:docPr id="2" name="Picture 1" descr="structural formula of alogliptin benz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12390" cy="1840865"/>
                    </a:xfrm>
                    <a:prstGeom prst="rect">
                      <a:avLst/>
                    </a:prstGeom>
                    <a:noFill/>
                    <a:ln w="9525">
                      <a:noFill/>
                      <a:miter lim="800000"/>
                      <a:headEnd/>
                      <a:tailEnd/>
                    </a:ln>
                  </pic:spPr>
                </pic:pic>
              </a:graphicData>
            </a:graphic>
          </wp:inline>
        </w:drawing>
      </w:r>
    </w:p>
    <w:p w:rsidR="00E85C88" w:rsidRPr="00EF74CB" w:rsidRDefault="00F23B0F" w:rsidP="001367E2">
      <w:pPr>
        <w:spacing w:after="120" w:line="240" w:lineRule="auto"/>
        <w:jc w:val="both"/>
        <w:rPr>
          <w:rFonts w:ascii="Arial" w:eastAsia="Times New Roman" w:hAnsi="Arial" w:cs="Arial"/>
          <w:lang w:val="en-AU"/>
        </w:rPr>
      </w:pPr>
      <w:r w:rsidRPr="00EF74CB">
        <w:rPr>
          <w:rFonts w:ascii="Arial" w:eastAsia="Times New Roman" w:hAnsi="Arial" w:cs="Arial"/>
          <w:lang w:val="en-AU"/>
        </w:rPr>
        <w:t>Molecular formula: C</w:t>
      </w:r>
      <w:r w:rsidRPr="00EF74CB">
        <w:rPr>
          <w:rFonts w:ascii="Arial" w:eastAsia="Times New Roman" w:hAnsi="Arial" w:cs="Arial"/>
          <w:vertAlign w:val="subscript"/>
          <w:lang w:val="en-AU"/>
        </w:rPr>
        <w:t>18</w:t>
      </w:r>
      <w:r w:rsidRPr="00EF74CB">
        <w:rPr>
          <w:rFonts w:ascii="Arial" w:eastAsia="Times New Roman" w:hAnsi="Arial" w:cs="Arial"/>
          <w:lang w:val="en-AU"/>
        </w:rPr>
        <w:t>H</w:t>
      </w:r>
      <w:r w:rsidRPr="00EF74CB">
        <w:rPr>
          <w:rFonts w:ascii="Arial" w:eastAsia="Times New Roman" w:hAnsi="Arial" w:cs="Arial"/>
          <w:vertAlign w:val="subscript"/>
          <w:lang w:val="en-AU"/>
        </w:rPr>
        <w:t>21</w:t>
      </w:r>
      <w:r w:rsidRPr="00EF74CB">
        <w:rPr>
          <w:rFonts w:ascii="Arial" w:eastAsia="Times New Roman" w:hAnsi="Arial" w:cs="Arial"/>
          <w:lang w:val="en-AU"/>
        </w:rPr>
        <w:t>N</w:t>
      </w:r>
      <w:r w:rsidRPr="00EF74CB">
        <w:rPr>
          <w:rFonts w:ascii="Arial" w:eastAsia="Times New Roman" w:hAnsi="Arial" w:cs="Arial"/>
          <w:vertAlign w:val="subscript"/>
          <w:lang w:val="en-AU"/>
        </w:rPr>
        <w:t>5</w:t>
      </w:r>
      <w:r w:rsidRPr="00EF74CB">
        <w:rPr>
          <w:rFonts w:ascii="Arial" w:eastAsia="Times New Roman" w:hAnsi="Arial" w:cs="Arial"/>
          <w:lang w:val="en-AU"/>
        </w:rPr>
        <w:t>O</w:t>
      </w:r>
      <w:r w:rsidRPr="00EF74CB">
        <w:rPr>
          <w:rFonts w:ascii="Arial" w:eastAsia="Times New Roman" w:hAnsi="Arial" w:cs="Arial"/>
          <w:vertAlign w:val="subscript"/>
          <w:lang w:val="en-AU"/>
        </w:rPr>
        <w:t>2</w:t>
      </w:r>
      <w:r w:rsidRPr="00EF74CB">
        <w:rPr>
          <w:rFonts w:ascii="Arial" w:eastAsia="Times New Roman" w:hAnsi="Arial" w:cs="Arial"/>
          <w:lang w:val="en-AU"/>
        </w:rPr>
        <w:t>•C</w:t>
      </w:r>
      <w:r w:rsidRPr="00EF74CB">
        <w:rPr>
          <w:rFonts w:ascii="Arial" w:eastAsia="Times New Roman" w:hAnsi="Arial" w:cs="Arial"/>
          <w:vertAlign w:val="subscript"/>
          <w:lang w:val="en-AU"/>
        </w:rPr>
        <w:t>7</w:t>
      </w:r>
      <w:r w:rsidRPr="00EF74CB">
        <w:rPr>
          <w:rFonts w:ascii="Arial" w:eastAsia="Times New Roman" w:hAnsi="Arial" w:cs="Arial"/>
          <w:lang w:val="en-AU"/>
        </w:rPr>
        <w:t>H</w:t>
      </w:r>
      <w:r w:rsidRPr="00EF74CB">
        <w:rPr>
          <w:rFonts w:ascii="Arial" w:eastAsia="Times New Roman" w:hAnsi="Arial" w:cs="Arial"/>
          <w:vertAlign w:val="subscript"/>
          <w:lang w:val="en-AU"/>
        </w:rPr>
        <w:t>6</w:t>
      </w:r>
      <w:r w:rsidRPr="00EF74CB">
        <w:rPr>
          <w:rFonts w:ascii="Arial" w:eastAsia="Times New Roman" w:hAnsi="Arial" w:cs="Arial"/>
          <w:lang w:val="en-AU"/>
        </w:rPr>
        <w:t>O</w:t>
      </w:r>
      <w:r w:rsidRPr="00EF74CB">
        <w:rPr>
          <w:rFonts w:ascii="Arial" w:eastAsia="Times New Roman" w:hAnsi="Arial" w:cs="Arial"/>
          <w:vertAlign w:val="subscript"/>
          <w:lang w:val="en-AU"/>
        </w:rPr>
        <w:t>2</w:t>
      </w:r>
      <w:r w:rsidRPr="00EF74CB">
        <w:rPr>
          <w:rFonts w:ascii="Arial" w:eastAsia="Times New Roman" w:hAnsi="Arial" w:cs="Arial"/>
          <w:lang w:val="en-AU"/>
        </w:rPr>
        <w:t xml:space="preserve"> </w:t>
      </w:r>
    </w:p>
    <w:p w:rsidR="00E85C88" w:rsidRPr="00EF74CB" w:rsidRDefault="00F23B0F" w:rsidP="001367E2">
      <w:pPr>
        <w:spacing w:after="120" w:line="240" w:lineRule="auto"/>
        <w:jc w:val="both"/>
        <w:rPr>
          <w:rFonts w:ascii="Arial" w:eastAsia="Times New Roman" w:hAnsi="Arial" w:cs="Arial"/>
          <w:lang w:val="en-AU"/>
        </w:rPr>
      </w:pPr>
      <w:r w:rsidRPr="00EF74CB">
        <w:rPr>
          <w:rFonts w:ascii="Arial" w:eastAsia="Times New Roman" w:hAnsi="Arial" w:cs="Arial"/>
          <w:lang w:val="en-AU"/>
        </w:rPr>
        <w:t xml:space="preserve">Molecular weight: 461.51 </w:t>
      </w:r>
    </w:p>
    <w:p w:rsidR="000F52CD" w:rsidRPr="00EF74CB" w:rsidRDefault="00E85C88" w:rsidP="000F52CD">
      <w:pPr>
        <w:spacing w:after="240" w:line="240" w:lineRule="auto"/>
        <w:jc w:val="both"/>
        <w:rPr>
          <w:rFonts w:ascii="Arial" w:eastAsia="Times New Roman" w:hAnsi="Arial" w:cs="Arial"/>
          <w:lang w:val="en-AU"/>
        </w:rPr>
      </w:pPr>
      <w:r w:rsidRPr="00EF74CB">
        <w:rPr>
          <w:rFonts w:ascii="Arial" w:eastAsia="Times New Roman" w:hAnsi="Arial" w:cs="Arial"/>
          <w:lang w:val="en-AU"/>
        </w:rPr>
        <w:t>CAS Registry Number:  850649-62-6</w:t>
      </w:r>
    </w:p>
    <w:p w:rsidR="00691008" w:rsidRPr="00EF74CB" w:rsidRDefault="002D31A3">
      <w:pPr>
        <w:pStyle w:val="Heading1"/>
        <w:spacing w:after="240"/>
        <w:rPr>
          <w:rFonts w:cs="Arial"/>
          <w:b w:val="0"/>
          <w:sz w:val="22"/>
          <w:szCs w:val="22"/>
        </w:rPr>
      </w:pPr>
      <w:r w:rsidRPr="00EF74CB">
        <w:rPr>
          <w:rFonts w:cs="Arial"/>
          <w:sz w:val="22"/>
          <w:szCs w:val="22"/>
        </w:rPr>
        <w:t>DESCRIPTION</w:t>
      </w:r>
    </w:p>
    <w:p w:rsidR="001B4FB7" w:rsidRPr="00EF74CB" w:rsidRDefault="007B6866" w:rsidP="007B6866">
      <w:pPr>
        <w:spacing w:after="240" w:line="240" w:lineRule="auto"/>
        <w:jc w:val="both"/>
        <w:rPr>
          <w:rFonts w:ascii="Arial" w:eastAsia="Times New Roman" w:hAnsi="Arial" w:cs="Arial"/>
          <w:lang w:val="en-AU"/>
        </w:rPr>
      </w:pPr>
      <w:r w:rsidRPr="00EF74CB">
        <w:rPr>
          <w:rFonts w:ascii="Arial" w:eastAsia="Times New Roman" w:hAnsi="Arial" w:cs="Arial"/>
          <w:lang w:val="en-AU"/>
        </w:rPr>
        <w:t>Alogliptin (MW=339.39, freebase) is a</w:t>
      </w:r>
      <w:r w:rsidR="000868DB" w:rsidRPr="00EF74CB">
        <w:rPr>
          <w:rFonts w:ascii="Arial" w:eastAsia="Times New Roman" w:hAnsi="Arial" w:cs="Arial"/>
          <w:lang w:val="en-AU"/>
        </w:rPr>
        <w:t>n</w:t>
      </w:r>
      <w:r w:rsidRPr="00EF74CB">
        <w:rPr>
          <w:rFonts w:ascii="Arial" w:eastAsia="Times New Roman" w:hAnsi="Arial" w:cs="Arial"/>
          <w:lang w:val="en-AU"/>
        </w:rPr>
        <w:t xml:space="preserve"> orally bioavailable inhibitor of the enzymatic activity of DPP-4. Chemically, alogliptin is prepared as a benzoate </w:t>
      </w:r>
      <w:r w:rsidR="00624146" w:rsidRPr="00EF74CB">
        <w:rPr>
          <w:rFonts w:ascii="Arial" w:eastAsia="Times New Roman" w:hAnsi="Arial" w:cs="Arial"/>
          <w:lang w:val="en-AU"/>
        </w:rPr>
        <w:t>salt</w:t>
      </w:r>
      <w:r w:rsidRPr="00EF74CB">
        <w:rPr>
          <w:rFonts w:ascii="Arial" w:eastAsia="Times New Roman" w:hAnsi="Arial" w:cs="Arial"/>
          <w:lang w:val="en-AU"/>
        </w:rPr>
        <w:t xml:space="preserve">, which is identified as 2-({6-[(3R)-3-aminopiperidin-1-yl]-3-methyl-2,4-dioxo-3,4-dihydropyrimidin-1(2H)-yl}methyl)benzonitrile monobenzoate. </w:t>
      </w:r>
    </w:p>
    <w:p w:rsidR="00714910" w:rsidRPr="00EF74CB" w:rsidRDefault="007B6866">
      <w:pPr>
        <w:autoSpaceDE w:val="0"/>
        <w:autoSpaceDN w:val="0"/>
        <w:jc w:val="both"/>
        <w:rPr>
          <w:rFonts w:ascii="Arial" w:hAnsi="Arial" w:cs="Arial"/>
          <w:i/>
          <w:iCs/>
          <w:sz w:val="20"/>
          <w:szCs w:val="20"/>
          <w:lang w:val="en-AU"/>
        </w:rPr>
      </w:pPr>
      <w:r w:rsidRPr="00EF74CB">
        <w:rPr>
          <w:rFonts w:ascii="Arial" w:eastAsia="Times New Roman" w:hAnsi="Arial" w:cs="Arial"/>
          <w:lang w:val="en-AU"/>
        </w:rPr>
        <w:t xml:space="preserve">Alogliptin </w:t>
      </w:r>
      <w:r w:rsidR="00624146" w:rsidRPr="00EF74CB">
        <w:rPr>
          <w:rFonts w:ascii="Arial" w:eastAsia="Times New Roman" w:hAnsi="Arial" w:cs="Arial"/>
          <w:lang w:val="en-AU"/>
        </w:rPr>
        <w:t>benzoate</w:t>
      </w:r>
      <w:r w:rsidRPr="00EF74CB">
        <w:rPr>
          <w:rFonts w:ascii="Arial" w:eastAsia="Times New Roman" w:hAnsi="Arial" w:cs="Arial"/>
          <w:lang w:val="en-AU"/>
        </w:rPr>
        <w:t xml:space="preserve"> is a white to off-white, </w:t>
      </w:r>
      <w:r w:rsidR="00770496" w:rsidRPr="00EF74CB">
        <w:rPr>
          <w:rFonts w:ascii="Arial" w:eastAsia="Times New Roman" w:hAnsi="Arial" w:cs="Arial"/>
          <w:lang w:val="en-AU"/>
        </w:rPr>
        <w:t>crystalline powder, containing one</w:t>
      </w:r>
      <w:r w:rsidRPr="00EF74CB">
        <w:rPr>
          <w:rFonts w:ascii="Arial" w:eastAsia="Times New Roman" w:hAnsi="Arial" w:cs="Arial"/>
          <w:lang w:val="en-AU"/>
        </w:rPr>
        <w:t xml:space="preserve"> asymmetric carbon in the aminopiperidine moiety. It is soluble in dimethyl sulfoxide, sparingly soluble in water and methanol, slightly soluble in ethanol, and very slightly soluble in octanol and isopropyl acetate. </w:t>
      </w:r>
      <w:r w:rsidR="003D51BA" w:rsidRPr="00EF74CB">
        <w:rPr>
          <w:rFonts w:ascii="Arial" w:eastAsia="Times New Roman" w:hAnsi="Arial" w:cs="Arial"/>
          <w:lang w:val="en-AU"/>
        </w:rPr>
        <w:t>The partition coefficient (C</w:t>
      </w:r>
      <w:r w:rsidR="003D51BA" w:rsidRPr="00EF74CB">
        <w:rPr>
          <w:rFonts w:ascii="Arial" w:eastAsia="Times New Roman" w:hAnsi="Arial" w:cs="Arial"/>
          <w:vertAlign w:val="subscript"/>
          <w:lang w:val="en-AU"/>
        </w:rPr>
        <w:t>1-octanol</w:t>
      </w:r>
      <w:r w:rsidR="003D51BA" w:rsidRPr="00EF74CB">
        <w:rPr>
          <w:rFonts w:ascii="Arial" w:eastAsia="Times New Roman" w:hAnsi="Arial" w:cs="Arial"/>
          <w:lang w:val="en-AU"/>
        </w:rPr>
        <w:t>/C</w:t>
      </w:r>
      <w:r w:rsidR="003D51BA" w:rsidRPr="00EF74CB">
        <w:rPr>
          <w:rFonts w:ascii="Arial" w:eastAsia="Times New Roman" w:hAnsi="Arial" w:cs="Arial"/>
          <w:vertAlign w:val="subscript"/>
          <w:lang w:val="en-AU"/>
        </w:rPr>
        <w:t>aqueous</w:t>
      </w:r>
      <w:r w:rsidR="003D51BA" w:rsidRPr="00EF74CB">
        <w:rPr>
          <w:rFonts w:ascii="Arial" w:eastAsia="Times New Roman" w:hAnsi="Arial" w:cs="Arial"/>
          <w:lang w:val="en-AU"/>
        </w:rPr>
        <w:t>) of alogliptin benzoate at 25°C and pH 7.4 is -0.5. The pKa is 8.5.</w:t>
      </w:r>
    </w:p>
    <w:p w:rsidR="00602B93" w:rsidRPr="00EF74CB" w:rsidRDefault="009C3B58" w:rsidP="00602B93">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602B93" w:rsidRPr="00EF74CB">
        <w:rPr>
          <w:rFonts w:ascii="Arial" w:eastAsia="Times New Roman" w:hAnsi="Arial" w:cs="Arial"/>
          <w:lang w:val="en-AU"/>
        </w:rPr>
        <w:t xml:space="preserve"> is available for oral use as film-coated tablets containing alogliptin benzoate equivalent to 6.25, 12.5 or 25 mg of free base. </w:t>
      </w:r>
    </w:p>
    <w:p w:rsidR="00602B93" w:rsidRPr="00EF74CB" w:rsidRDefault="00602B93" w:rsidP="00602B93">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Each tablet also contains the following inactive ingredients: mannitol, microcrystalline cellulose, hydroxypropylcellulose, croscarmellose sodium, magnesium stearate, hypromellose, titanium dioxide (E171), iron oxide red </w:t>
      </w:r>
      <w:r w:rsidR="00F4721A" w:rsidRPr="00EF74CB">
        <w:rPr>
          <w:rFonts w:ascii="Arial" w:eastAsia="Times New Roman" w:hAnsi="Arial" w:cs="Arial"/>
          <w:lang w:val="en-AU"/>
        </w:rPr>
        <w:t xml:space="preserve">CI77491 </w:t>
      </w:r>
      <w:r w:rsidRPr="00EF74CB">
        <w:rPr>
          <w:rFonts w:ascii="Arial" w:eastAsia="Times New Roman" w:hAnsi="Arial" w:cs="Arial"/>
          <w:lang w:val="en-AU"/>
        </w:rPr>
        <w:t>(6.25 mg and 25 mg tablets), iron oxide yellow</w:t>
      </w:r>
      <w:r w:rsidR="00F4721A" w:rsidRPr="00EF74CB">
        <w:rPr>
          <w:rFonts w:ascii="Arial" w:eastAsia="Times New Roman" w:hAnsi="Arial" w:cs="Arial"/>
          <w:lang w:val="en-AU"/>
        </w:rPr>
        <w:t xml:space="preserve"> CI77492</w:t>
      </w:r>
      <w:r w:rsidRPr="00EF74CB">
        <w:rPr>
          <w:rFonts w:ascii="Arial" w:eastAsia="Times New Roman" w:hAnsi="Arial" w:cs="Arial"/>
          <w:lang w:val="en-AU"/>
        </w:rPr>
        <w:t xml:space="preserve"> (12.5 mg tablets), macrogol, </w:t>
      </w:r>
      <w:r w:rsidR="005326B6" w:rsidRPr="00EF74CB">
        <w:rPr>
          <w:rFonts w:ascii="Arial" w:eastAsia="Times New Roman" w:hAnsi="Arial" w:cs="Arial"/>
          <w:lang w:val="en-AU"/>
        </w:rPr>
        <w:t>E</w:t>
      </w:r>
      <w:r w:rsidR="00F4721A" w:rsidRPr="00EF74CB">
        <w:rPr>
          <w:rFonts w:ascii="Arial" w:eastAsia="Times New Roman" w:hAnsi="Arial" w:cs="Arial"/>
          <w:lang w:val="en-AU"/>
        </w:rPr>
        <w:t xml:space="preserve">dible Ink Gray F1 (PI </w:t>
      </w:r>
      <w:r w:rsidR="00054F5E" w:rsidRPr="00EF74CB">
        <w:rPr>
          <w:rFonts w:ascii="Arial" w:eastAsia="Times New Roman" w:hAnsi="Arial" w:cs="Arial"/>
          <w:lang w:val="en-AU"/>
        </w:rPr>
        <w:t>108445</w:t>
      </w:r>
      <w:r w:rsidR="00F4721A" w:rsidRPr="00EF74CB">
        <w:rPr>
          <w:rFonts w:ascii="Arial" w:eastAsia="Times New Roman" w:hAnsi="Arial" w:cs="Arial"/>
          <w:lang w:val="en-AU"/>
        </w:rPr>
        <w:t>)</w:t>
      </w:r>
      <w:r w:rsidRPr="00EF74CB">
        <w:rPr>
          <w:rFonts w:ascii="Arial" w:eastAsia="Times New Roman" w:hAnsi="Arial" w:cs="Arial"/>
          <w:lang w:val="en-AU"/>
        </w:rPr>
        <w:t>.</w:t>
      </w:r>
    </w:p>
    <w:p w:rsidR="00691008" w:rsidRPr="00EF74CB" w:rsidRDefault="002D31A3">
      <w:pPr>
        <w:pStyle w:val="Heading1"/>
        <w:spacing w:after="240"/>
        <w:rPr>
          <w:rFonts w:cs="Arial"/>
          <w:b w:val="0"/>
          <w:sz w:val="22"/>
          <w:szCs w:val="22"/>
        </w:rPr>
      </w:pPr>
      <w:r w:rsidRPr="00EF74CB">
        <w:rPr>
          <w:rFonts w:cs="Arial"/>
          <w:sz w:val="22"/>
          <w:szCs w:val="22"/>
        </w:rPr>
        <w:t>PHARMACOLOGY</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Alogliptin is a potent </w:t>
      </w:r>
      <w:r w:rsidR="00C50A3E" w:rsidRPr="00EF74CB">
        <w:rPr>
          <w:rFonts w:ascii="Arial" w:eastAsia="Times New Roman" w:hAnsi="Arial" w:cs="Arial"/>
          <w:lang w:val="en-AU"/>
        </w:rPr>
        <w:t>(IC</w:t>
      </w:r>
      <w:r w:rsidR="00C50A3E" w:rsidRPr="00EF74CB">
        <w:rPr>
          <w:rFonts w:ascii="Arial" w:eastAsia="Times New Roman" w:hAnsi="Arial" w:cs="Arial"/>
          <w:vertAlign w:val="subscript"/>
          <w:lang w:val="en-AU"/>
        </w:rPr>
        <w:t>50</w:t>
      </w:r>
      <w:r w:rsidR="00C50A3E" w:rsidRPr="00EF74CB">
        <w:rPr>
          <w:rFonts w:ascii="Arial" w:eastAsia="Times New Roman" w:hAnsi="Arial" w:cs="Arial"/>
          <w:lang w:val="en-AU"/>
        </w:rPr>
        <w:t xml:space="preserve"> around 7nM) </w:t>
      </w:r>
      <w:r w:rsidRPr="00EF74CB">
        <w:rPr>
          <w:rFonts w:ascii="Arial" w:eastAsia="Times New Roman" w:hAnsi="Arial" w:cs="Arial"/>
          <w:lang w:val="en-AU"/>
        </w:rPr>
        <w:t>and highly selective</w:t>
      </w:r>
      <w:r w:rsidR="00C50A3E" w:rsidRPr="00EF74CB">
        <w:rPr>
          <w:rFonts w:ascii="Arial" w:eastAsia="Times New Roman" w:hAnsi="Arial" w:cs="Arial"/>
          <w:lang w:val="en-AU"/>
        </w:rPr>
        <w:t xml:space="preserve"> (&gt;10</w:t>
      </w:r>
      <w:r w:rsidR="00905D7F" w:rsidRPr="00EF74CB">
        <w:rPr>
          <w:rFonts w:ascii="Arial" w:eastAsia="Times New Roman" w:hAnsi="Arial" w:cs="Arial"/>
          <w:lang w:val="en-AU"/>
        </w:rPr>
        <w:t>,</w:t>
      </w:r>
      <w:r w:rsidR="00C50A3E" w:rsidRPr="00EF74CB">
        <w:rPr>
          <w:rFonts w:ascii="Arial" w:eastAsia="Times New Roman" w:hAnsi="Arial" w:cs="Arial"/>
          <w:lang w:val="en-AU"/>
        </w:rPr>
        <w:t>000 fold selectivity versus DPP-8 or DPP-9)</w:t>
      </w:r>
      <w:r w:rsidRPr="00EF74CB">
        <w:rPr>
          <w:rFonts w:ascii="Arial" w:eastAsia="Times New Roman" w:hAnsi="Arial" w:cs="Arial"/>
          <w:lang w:val="en-AU"/>
        </w:rPr>
        <w:t xml:space="preserve">, reversible, competitive inhibitor of DPP-4, an enzyme that rapidly degrades incretin hormones.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lastRenderedPageBreak/>
        <w:t xml:space="preserve">The incretins are part of an endogenous hormonal system involved in the physiological regulation of glucose and insulin homeostasis.  The incretin hormones, including glucagon-like peptide-1 (GLP-1) and glucose-dependent insulinotropic polypeptide (GIP), are released from the intestine throughout the day and their levels are markedly increased in response to ingestion of a meal.  The incretins stimulate insulin synthesis and glucose-dependent insulin secretion by pancreatic beta-cells.  This incretin effect accounts for approximately 70% of insulin secretion in response to a meal.  GLP-1 also suppresses glucagon secretion from pancreatic alpha-cells which leads to reduced hepatic glucose production, delayed gastric emptying and increased satiety.  In nonclinical models, GLP-1 and GIP have also been shown to preserve beta-cell mass through regulation of beta-cell neogenesis, proliferation and apoptosis.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In patients with type 2 diabetes mellitus, levels of GLP-1 are reduced and the actions of both GLP</w:t>
      </w:r>
      <w:r w:rsidRPr="00EF74CB">
        <w:rPr>
          <w:rFonts w:ascii="Arial" w:eastAsia="Times New Roman" w:hAnsi="Arial" w:cs="Arial"/>
          <w:lang w:val="en-AU"/>
        </w:rPr>
        <w:noBreakHyphen/>
        <w:t>1 and GIP are blunted.  This markedly diminished incretin effect contributes to hyperglycaemia.  DPP</w:t>
      </w:r>
      <w:r w:rsidRPr="00EF74CB">
        <w:rPr>
          <w:rFonts w:ascii="Arial" w:eastAsia="Times New Roman" w:hAnsi="Arial" w:cs="Arial"/>
          <w:lang w:val="en-AU"/>
        </w:rPr>
        <w:noBreakHyphen/>
        <w:t xml:space="preserve">4 inhibition targets the diminished incretin effect by increasing circulating blood levels of endogenous incretins which in turn increase insulin levels and decrease glucagon levels in a glucose-dependent manner.  The increase in insulin levels enhances glucose uptake by tissues and the decrease in glucagon levels reduces hepatic glucose production leading to improved glycaemic control.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Alogliptin is selective for DPP-4 and does not inhibit the activity of other closely related enzymes in vitro at concentrations 15-fold greater than the mean human plasma exposure at the recommended clinical dose.  Alogliptin (mean IC50 = 6.9) is more than 10,000-fold more selective for DPP</w:t>
      </w:r>
      <w:r w:rsidRPr="00EF74CB">
        <w:rPr>
          <w:rFonts w:ascii="Arial" w:eastAsia="Times New Roman" w:hAnsi="Arial" w:cs="Arial"/>
          <w:lang w:val="en-AU"/>
        </w:rPr>
        <w:noBreakHyphen/>
        <w:t>4 than other related enzymes including DPP-8 and DPP-9.</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Pharmacodynamics</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Administration of </w:t>
      </w:r>
      <w:r w:rsidR="009C3B58" w:rsidRPr="00EF74CB">
        <w:rPr>
          <w:rFonts w:ascii="Arial" w:eastAsia="Times New Roman" w:hAnsi="Arial" w:cs="Arial"/>
          <w:lang w:val="en-AU"/>
        </w:rPr>
        <w:t>NESINA</w:t>
      </w:r>
      <w:r w:rsidR="007913FB" w:rsidRPr="00EF74CB">
        <w:rPr>
          <w:rFonts w:ascii="Arial" w:eastAsia="Times New Roman" w:hAnsi="Arial" w:cs="Arial"/>
          <w:lang w:val="en-AU"/>
        </w:rPr>
        <w:t xml:space="preserve"> </w:t>
      </w:r>
      <w:r w:rsidRPr="00EF74CB">
        <w:rPr>
          <w:rFonts w:ascii="Arial" w:eastAsia="Times New Roman" w:hAnsi="Arial" w:cs="Arial"/>
          <w:lang w:val="en-AU"/>
        </w:rPr>
        <w:t xml:space="preserve">25 mg to patients with type 2 diabetes mellitus produced peak inhibition of DPP-4 within 1 to 2 hours and exceeded 93% both after a single 25 mg dose and after 14 </w:t>
      </w:r>
      <w:r w:rsidR="00704D61" w:rsidRPr="00EF74CB">
        <w:rPr>
          <w:rFonts w:ascii="Arial" w:eastAsia="Times New Roman" w:hAnsi="Arial" w:cs="Arial"/>
          <w:lang w:val="en-AU"/>
        </w:rPr>
        <w:t xml:space="preserve">days of once </w:t>
      </w:r>
      <w:r w:rsidRPr="00EF74CB">
        <w:rPr>
          <w:rFonts w:ascii="Arial" w:eastAsia="Times New Roman" w:hAnsi="Arial" w:cs="Arial"/>
          <w:lang w:val="en-AU"/>
        </w:rPr>
        <w:t>daily dosing.  Inhibition of DPP</w:t>
      </w:r>
      <w:r w:rsidRPr="00EF74CB">
        <w:rPr>
          <w:rFonts w:ascii="Arial" w:eastAsia="Times New Roman" w:hAnsi="Arial" w:cs="Arial"/>
          <w:lang w:val="en-AU"/>
        </w:rPr>
        <w:noBreakHyphen/>
        <w:t xml:space="preserve">4 remained above 81% at 24 hours after 14 days of dosing.  The 4-hour postprandial glucose concentrations were consistently reduced from baseline following breakfast, lunch and dinner.  When these glucose concentrations were averaged across all 3 meals, 14 days of treatment with </w:t>
      </w:r>
      <w:r w:rsidR="009C3B58" w:rsidRPr="00EF74CB">
        <w:rPr>
          <w:rFonts w:ascii="Arial" w:eastAsia="Times New Roman" w:hAnsi="Arial" w:cs="Arial"/>
          <w:lang w:val="en-AU"/>
        </w:rPr>
        <w:t>NESINA</w:t>
      </w:r>
      <w:r w:rsidR="007B7634" w:rsidRPr="00EF74CB">
        <w:rPr>
          <w:rFonts w:ascii="Arial" w:eastAsia="Times New Roman" w:hAnsi="Arial" w:cs="Arial"/>
          <w:lang w:val="en-AU"/>
        </w:rPr>
        <w:t xml:space="preserve"> </w:t>
      </w:r>
      <w:r w:rsidRPr="00EF74CB">
        <w:rPr>
          <w:rFonts w:ascii="Arial" w:eastAsia="Times New Roman" w:hAnsi="Arial" w:cs="Arial"/>
          <w:lang w:val="en-AU"/>
        </w:rPr>
        <w:t xml:space="preserve">25 mg resulted in a mean placebo-corrected </w:t>
      </w:r>
      <w:r w:rsidR="00530859" w:rsidRPr="00EF74CB">
        <w:rPr>
          <w:rFonts w:ascii="Arial" w:eastAsia="Times New Roman" w:hAnsi="Arial" w:cs="Arial"/>
          <w:lang w:val="en-AU"/>
        </w:rPr>
        <w:t xml:space="preserve">reduction from baseline of </w:t>
      </w:r>
      <w:r w:rsidR="00C9132D" w:rsidRPr="00EF74CB">
        <w:rPr>
          <w:rFonts w:ascii="Arial" w:eastAsia="Times New Roman" w:hAnsi="Arial" w:cs="Arial"/>
          <w:lang w:val="en-AU"/>
        </w:rPr>
        <w:noBreakHyphen/>
      </w:r>
      <w:r w:rsidR="00500C08" w:rsidRPr="00EF74CB">
        <w:rPr>
          <w:rFonts w:ascii="Arial" w:eastAsia="Times New Roman" w:hAnsi="Arial" w:cs="Arial"/>
          <w:lang w:val="en-AU"/>
        </w:rPr>
        <w:t>1.9</w:t>
      </w:r>
      <w:r w:rsidR="009F03AC" w:rsidRPr="00EF74CB">
        <w:rPr>
          <w:rFonts w:ascii="Arial" w:eastAsia="Times New Roman" w:hAnsi="Arial" w:cs="Arial"/>
          <w:lang w:val="en-AU"/>
        </w:rPr>
        <w:t>5</w:t>
      </w:r>
      <w:r w:rsidR="00C9132D" w:rsidRPr="00EF74CB">
        <w:rPr>
          <w:rFonts w:ascii="Arial" w:eastAsia="Times New Roman" w:hAnsi="Arial" w:cs="Arial"/>
          <w:lang w:val="en-AU"/>
        </w:rPr>
        <w:t> </w:t>
      </w:r>
      <w:r w:rsidR="00500C08" w:rsidRPr="00EF74CB">
        <w:rPr>
          <w:rFonts w:ascii="Arial" w:eastAsia="Times New Roman" w:hAnsi="Arial" w:cs="Arial"/>
          <w:lang w:val="en-AU"/>
        </w:rPr>
        <w:t>mmol</w:t>
      </w:r>
      <w:r w:rsidR="00C9132D" w:rsidRPr="00EF74CB">
        <w:rPr>
          <w:rFonts w:ascii="Arial" w:eastAsia="Times New Roman" w:hAnsi="Arial" w:cs="Arial"/>
          <w:lang w:val="en-AU"/>
        </w:rPr>
        <w:t>/</w:t>
      </w:r>
      <w:r w:rsidR="00BE1161" w:rsidRPr="00EF74CB">
        <w:rPr>
          <w:rFonts w:ascii="Arial" w:eastAsia="Times New Roman" w:hAnsi="Arial" w:cs="Arial"/>
          <w:lang w:val="en-AU"/>
        </w:rPr>
        <w:t>L.</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Both </w:t>
      </w:r>
      <w:r w:rsidR="009C3B58" w:rsidRPr="00EF74CB">
        <w:rPr>
          <w:rFonts w:ascii="Arial" w:eastAsia="Times New Roman" w:hAnsi="Arial" w:cs="Arial"/>
          <w:lang w:val="en-AU"/>
        </w:rPr>
        <w:t>NESINA</w:t>
      </w:r>
      <w:r w:rsidR="004C39AB" w:rsidRPr="00EF74CB">
        <w:rPr>
          <w:rFonts w:ascii="Arial" w:eastAsia="Times New Roman" w:hAnsi="Arial" w:cs="Arial"/>
          <w:lang w:val="en-AU"/>
        </w:rPr>
        <w:t xml:space="preserve"> </w:t>
      </w:r>
      <w:r w:rsidRPr="00EF74CB">
        <w:rPr>
          <w:rFonts w:ascii="Arial" w:eastAsia="Times New Roman" w:hAnsi="Arial" w:cs="Arial"/>
          <w:lang w:val="en-AU"/>
        </w:rPr>
        <w:t xml:space="preserve">25 mg alone and in combination with 30 mg pioglitazone demonstrated significant decreases in postprandial glucose and postprandial glucagon whilst significantly increasing postprandial active GLP-1 levels at Week 16 compared to placebo (p&lt;0.05).  In addition, </w:t>
      </w:r>
      <w:r w:rsidR="009C3B58" w:rsidRPr="00EF74CB">
        <w:rPr>
          <w:rFonts w:ascii="Arial" w:eastAsia="Times New Roman" w:hAnsi="Arial" w:cs="Arial"/>
          <w:lang w:val="en-AU"/>
        </w:rPr>
        <w:t>NESINA</w:t>
      </w:r>
      <w:r w:rsidR="004C39AB" w:rsidRPr="00EF74CB">
        <w:rPr>
          <w:rFonts w:ascii="Arial" w:eastAsia="Times New Roman" w:hAnsi="Arial" w:cs="Arial"/>
          <w:lang w:val="en-AU"/>
        </w:rPr>
        <w:t xml:space="preserve"> </w:t>
      </w:r>
      <w:r w:rsidRPr="00EF74CB">
        <w:rPr>
          <w:rFonts w:ascii="Arial" w:eastAsia="Times New Roman" w:hAnsi="Arial" w:cs="Arial"/>
          <w:lang w:val="en-AU"/>
        </w:rPr>
        <w:t xml:space="preserve">25 mg  alone and in combination with 30 mg pioglitazone produced statistically significant (p&lt;0.001) reductions in total triglycerides at Week 16 as measured by postprandial incremental </w:t>
      </w:r>
      <w:r w:rsidR="003D51BA" w:rsidRPr="00EF74CB">
        <w:rPr>
          <w:rFonts w:ascii="Arial" w:eastAsia="Times New Roman" w:hAnsi="Arial" w:cs="Arial"/>
          <w:lang w:val="en-AU"/>
        </w:rPr>
        <w:t>AUC</w:t>
      </w:r>
      <w:r w:rsidR="0069554B" w:rsidRPr="00EF74CB">
        <w:rPr>
          <w:rFonts w:ascii="Arial" w:eastAsia="Times New Roman" w:hAnsi="Arial" w:cs="Arial"/>
          <w:vertAlign w:val="subscript"/>
          <w:lang w:val="en-AU"/>
        </w:rPr>
        <w:t>(0</w:t>
      </w:r>
      <w:r w:rsidR="0069554B" w:rsidRPr="00EF74CB">
        <w:rPr>
          <w:rFonts w:ascii="Arial" w:eastAsia="Times New Roman" w:hAnsi="Arial" w:cs="Arial"/>
          <w:vertAlign w:val="subscript"/>
          <w:lang w:val="en-AU"/>
        </w:rPr>
        <w:noBreakHyphen/>
        <w:t xml:space="preserve">8) </w:t>
      </w:r>
      <w:r w:rsidRPr="00EF74CB">
        <w:rPr>
          <w:rFonts w:ascii="Arial" w:eastAsia="Times New Roman" w:hAnsi="Arial" w:cs="Arial"/>
          <w:lang w:val="en-AU"/>
        </w:rPr>
        <w:t>change from baseline compared to placebo.</w:t>
      </w:r>
    </w:p>
    <w:p w:rsidR="00600418" w:rsidRPr="00EF74CB" w:rsidRDefault="00600418" w:rsidP="00CE3D4C">
      <w:pPr>
        <w:pStyle w:val="NoSpacing"/>
        <w:spacing w:after="240"/>
        <w:jc w:val="both"/>
        <w:rPr>
          <w:rFonts w:ascii="Arial" w:hAnsi="Arial" w:cs="Arial"/>
          <w:i/>
          <w:lang w:val="en-AU"/>
        </w:rPr>
      </w:pPr>
      <w:r w:rsidRPr="00EF74CB">
        <w:rPr>
          <w:rFonts w:ascii="Arial" w:hAnsi="Arial" w:cs="Arial"/>
          <w:i/>
          <w:lang w:val="en-AU"/>
        </w:rPr>
        <w:t>Cardiac Electrophysiology</w:t>
      </w:r>
    </w:p>
    <w:p w:rsidR="00600418" w:rsidRPr="00EF74CB" w:rsidRDefault="00600418" w:rsidP="00600418">
      <w:pPr>
        <w:spacing w:after="240" w:line="240" w:lineRule="auto"/>
        <w:jc w:val="both"/>
        <w:rPr>
          <w:rFonts w:ascii="Arial" w:eastAsia="Times New Roman" w:hAnsi="Arial" w:cs="Arial"/>
          <w:lang w:val="en-AU"/>
        </w:rPr>
      </w:pPr>
      <w:r w:rsidRPr="00EF74CB">
        <w:rPr>
          <w:rFonts w:ascii="Arial" w:eastAsia="Times New Roman" w:hAnsi="Arial" w:cs="Arial"/>
          <w:lang w:val="en-AU"/>
        </w:rPr>
        <w:t>In a randomized, placebo-controlled, 4-arm, parallel-group study, 257 subjects were administered either alogliptin 50 mg, alogliptin 400 mg, moxifloxacin 400 mg, or placebo once-daily for a total of 7 days. No increase in QTc was observed with either dose of alogliptin (50 or 400 mg). At the 400 mg dose, peak alogliptin plasma concentrations were 19-fold higher than the peak concentrations following a therapeutic dose of 25 mg.</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Pharmacokinetics</w:t>
      </w:r>
    </w:p>
    <w:p w:rsidR="00BC2D19" w:rsidRPr="00EF74CB" w:rsidRDefault="00BC2D19" w:rsidP="00BC2D19">
      <w:pPr>
        <w:spacing w:after="240" w:line="240" w:lineRule="auto"/>
        <w:jc w:val="both"/>
        <w:rPr>
          <w:rFonts w:ascii="Arial" w:hAnsi="Arial" w:cs="Arial"/>
          <w:iCs/>
          <w:noProof/>
          <w:sz w:val="20"/>
          <w:szCs w:val="20"/>
          <w:u w:val="single"/>
          <w:lang w:val="en-AU"/>
        </w:rPr>
      </w:pPr>
      <w:r w:rsidRPr="00EF74CB">
        <w:rPr>
          <w:rFonts w:ascii="Arial" w:eastAsia="Times New Roman" w:hAnsi="Arial" w:cs="Arial"/>
          <w:lang w:val="en-AU"/>
        </w:rPr>
        <w:t xml:space="preserve">The pharmacokinetics of </w:t>
      </w:r>
      <w:r w:rsidR="009C3B58" w:rsidRPr="00EF74CB">
        <w:rPr>
          <w:rFonts w:ascii="Arial" w:eastAsia="Times New Roman" w:hAnsi="Arial" w:cs="Arial"/>
          <w:lang w:val="en-AU"/>
        </w:rPr>
        <w:t>NESINA</w:t>
      </w:r>
      <w:r w:rsidR="004C39AB" w:rsidRPr="00EF74CB">
        <w:rPr>
          <w:rFonts w:ascii="Arial" w:eastAsia="Times New Roman" w:hAnsi="Arial" w:cs="Arial"/>
          <w:lang w:val="en-AU"/>
        </w:rPr>
        <w:t xml:space="preserve"> </w:t>
      </w:r>
      <w:r w:rsidRPr="00EF74CB">
        <w:rPr>
          <w:rFonts w:ascii="Arial" w:eastAsia="Times New Roman" w:hAnsi="Arial" w:cs="Arial"/>
          <w:lang w:val="en-AU"/>
        </w:rPr>
        <w:t xml:space="preserve">have been studied in healthy subjects and in patients with type 2 diabetes mellitus, and have been shown to be generally similar. </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lastRenderedPageBreak/>
        <w:t>Absorption</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absolute bioavailability of </w:t>
      </w:r>
      <w:r w:rsidR="009C3B58" w:rsidRPr="00EF74CB">
        <w:rPr>
          <w:rFonts w:ascii="Arial" w:eastAsia="Times New Roman" w:hAnsi="Arial" w:cs="Arial"/>
          <w:lang w:val="en-AU"/>
        </w:rPr>
        <w:t>NESINA</w:t>
      </w:r>
      <w:r w:rsidR="004C39AB" w:rsidRPr="00EF74CB">
        <w:rPr>
          <w:rFonts w:ascii="Arial" w:eastAsia="Times New Roman" w:hAnsi="Arial" w:cs="Arial"/>
          <w:lang w:val="en-AU"/>
        </w:rPr>
        <w:t xml:space="preserve"> </w:t>
      </w:r>
      <w:r w:rsidRPr="00EF74CB">
        <w:rPr>
          <w:rFonts w:ascii="Arial" w:eastAsia="Times New Roman" w:hAnsi="Arial" w:cs="Arial"/>
          <w:lang w:val="en-AU"/>
        </w:rPr>
        <w:t xml:space="preserve">is approximately 100%.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Administration with a high-fat meal resulted in no change in total and peak exposure to alogliptin.  </w:t>
      </w:r>
      <w:r w:rsidR="009C3B58" w:rsidRPr="00EF74CB">
        <w:rPr>
          <w:rFonts w:ascii="Arial" w:eastAsia="Times New Roman" w:hAnsi="Arial" w:cs="Arial"/>
          <w:lang w:val="en-AU"/>
        </w:rPr>
        <w:t>NESINA</w:t>
      </w:r>
      <w:r w:rsidRPr="00EF74CB">
        <w:rPr>
          <w:rFonts w:ascii="Arial" w:eastAsia="Times New Roman" w:hAnsi="Arial" w:cs="Arial"/>
          <w:lang w:val="en-AU"/>
        </w:rPr>
        <w:t xml:space="preserve"> may, therefore, be administered with or without food.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After administration of single, oral doses of up to 800 mg in healthy subjects, alogliptin was rapidly absorbed with peak plasma concentrations occurring 1 to 2 hours (median T</w:t>
      </w:r>
      <w:r w:rsidRPr="00EF74CB">
        <w:rPr>
          <w:rFonts w:ascii="Arial" w:eastAsia="Times New Roman" w:hAnsi="Arial" w:cs="Arial"/>
          <w:vertAlign w:val="subscript"/>
          <w:lang w:val="en-AU"/>
        </w:rPr>
        <w:t>max</w:t>
      </w:r>
      <w:r w:rsidRPr="00EF74CB">
        <w:rPr>
          <w:rFonts w:ascii="Arial" w:eastAsia="Times New Roman" w:hAnsi="Arial" w:cs="Arial"/>
          <w:lang w:val="en-AU"/>
        </w:rPr>
        <w:t>) after dosing.</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 clinically relevant accumulation after multiple dosing was observed in either healthy subjects or in patients with type 2 diabetes mellitus.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Total and peak exposure to alogliptin increased proportionally across single doses of up to 100 mg alogliptin.  The inter-subject coefficient of variation for alogliptin AUC was small (17%).  </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Distribution</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Following a single intravenous dose of 12.5 mg alogliptin to healthy subjects, the volume of distribution during the terminal phase was 417 L indicating that the drug is well distributed into tissues.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Alogliptin is 20% bound to plasma proteins.</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Metabolism</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Alogliptin does not undergo extensive metabolism and 60-71% of the dose is excreted as unchanged drug in the urine.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Two minor metabolites were detected following administration of an oral dose of [</w:t>
      </w:r>
      <w:r w:rsidRPr="00EF74CB">
        <w:rPr>
          <w:rFonts w:ascii="Arial" w:eastAsia="Times New Roman" w:hAnsi="Arial" w:cs="Arial"/>
          <w:vertAlign w:val="superscript"/>
          <w:lang w:val="en-AU"/>
        </w:rPr>
        <w:t>14</w:t>
      </w:r>
      <w:r w:rsidRPr="00EF74CB">
        <w:rPr>
          <w:rFonts w:ascii="Arial" w:eastAsia="Times New Roman" w:hAnsi="Arial" w:cs="Arial"/>
          <w:lang w:val="en-AU"/>
        </w:rPr>
        <w:t>C] alogliptin, N</w:t>
      </w:r>
      <w:r w:rsidRPr="00EF74CB">
        <w:rPr>
          <w:rFonts w:ascii="Arial" w:eastAsia="Times New Roman" w:hAnsi="Arial" w:cs="Arial"/>
          <w:lang w:val="en-AU"/>
        </w:rPr>
        <w:noBreakHyphen/>
        <w:t xml:space="preserve">demethylated alogliptin, M-I (&lt; 1% of the parent compound), and N-acetylated alogliptin, M-II (&lt; 6% of the parent compound).  M-I is an active metabolite </w:t>
      </w:r>
      <w:r w:rsidR="00C71EF8" w:rsidRPr="00EF74CB">
        <w:rPr>
          <w:rFonts w:ascii="Arial" w:eastAsia="Times New Roman" w:hAnsi="Arial" w:cs="Arial"/>
          <w:lang w:val="en-AU"/>
        </w:rPr>
        <w:t xml:space="preserve">with equal potency </w:t>
      </w:r>
      <w:r w:rsidRPr="00EF74CB">
        <w:rPr>
          <w:rFonts w:ascii="Arial" w:eastAsia="Times New Roman" w:hAnsi="Arial" w:cs="Arial"/>
          <w:lang w:val="en-AU"/>
        </w:rPr>
        <w:t>to alogliptin; M-II does not display any inhibitory activity towards DPP-4 or other DPP</w:t>
      </w:r>
      <w:r w:rsidRPr="00EF74CB">
        <w:rPr>
          <w:rFonts w:ascii="Arial" w:eastAsia="Times New Roman" w:hAnsi="Arial" w:cs="Arial"/>
          <w:lang w:val="en-AU"/>
        </w:rPr>
        <w:noBreakHyphen/>
        <w:t xml:space="preserve">related enzymes.  </w:t>
      </w:r>
      <w:r w:rsidR="0069554B" w:rsidRPr="00EF74CB">
        <w:rPr>
          <w:rFonts w:ascii="Arial" w:eastAsia="Times New Roman" w:hAnsi="Arial" w:cs="Arial"/>
          <w:i/>
          <w:lang w:val="en-AU"/>
        </w:rPr>
        <w:t>In vitro</w:t>
      </w:r>
      <w:r w:rsidRPr="00EF74CB">
        <w:rPr>
          <w:rFonts w:ascii="Arial" w:eastAsia="Times New Roman" w:hAnsi="Arial" w:cs="Arial"/>
          <w:lang w:val="en-AU"/>
        </w:rPr>
        <w:t xml:space="preserve"> data indicate that CYP2D6 and CYP3A4 contribute to the limited metabolism of alogliptin.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i/>
          <w:lang w:val="en-AU"/>
        </w:rPr>
        <w:t>In vitro</w:t>
      </w:r>
      <w:r w:rsidRPr="00EF74CB">
        <w:rPr>
          <w:rFonts w:ascii="Arial" w:eastAsia="Times New Roman" w:hAnsi="Arial" w:cs="Arial"/>
          <w:lang w:val="en-AU"/>
        </w:rPr>
        <w:t xml:space="preserve"> studies indicate that alogliptin does not induce CYP1A2, CYP2B6, CYP2C9, CYP2C19 or CYP3A4 and does not inhibit CYP1A2, CYP2C8, CYP2C9, CYP2C19, CYP2D6 or CYP3A4 at concentrations achieved with the recommended dose of 25 mg alogliptin.</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Alogliptin exists predominantly as the (R)</w:t>
      </w:r>
      <w:r w:rsidRPr="00EF74CB">
        <w:rPr>
          <w:rFonts w:ascii="Arial" w:eastAsia="Times New Roman" w:hAnsi="Arial" w:cs="Arial"/>
          <w:lang w:val="en-AU"/>
        </w:rPr>
        <w:noBreakHyphen/>
        <w:t xml:space="preserve">enantiomer (&gt; 99%) and undergoes little or no chiral conversion </w:t>
      </w:r>
      <w:r w:rsidRPr="00EF74CB">
        <w:rPr>
          <w:rFonts w:ascii="Arial" w:eastAsia="Times New Roman" w:hAnsi="Arial" w:cs="Arial"/>
          <w:i/>
          <w:lang w:val="en-AU"/>
        </w:rPr>
        <w:t>in vivo</w:t>
      </w:r>
      <w:r w:rsidRPr="00EF74CB">
        <w:rPr>
          <w:rFonts w:ascii="Arial" w:eastAsia="Times New Roman" w:hAnsi="Arial" w:cs="Arial"/>
          <w:lang w:val="en-AU"/>
        </w:rPr>
        <w:t xml:space="preserve"> to the (S)</w:t>
      </w:r>
      <w:r w:rsidRPr="00EF74CB">
        <w:rPr>
          <w:rFonts w:ascii="Arial" w:eastAsia="Times New Roman" w:hAnsi="Arial" w:cs="Arial"/>
          <w:lang w:val="en-AU"/>
        </w:rPr>
        <w:noBreakHyphen/>
        <w:t xml:space="preserve">enantiomer.  The (S)-enantiomer is not detectable at therapeutic doses. </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Excretion</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recommended daily dose of </w:t>
      </w:r>
      <w:r w:rsidR="009C3B58" w:rsidRPr="00EF74CB">
        <w:rPr>
          <w:rFonts w:ascii="Arial" w:eastAsia="Times New Roman" w:hAnsi="Arial" w:cs="Arial"/>
          <w:lang w:val="en-AU"/>
        </w:rPr>
        <w:t>NESINA</w:t>
      </w:r>
      <w:r w:rsidR="004C39AB" w:rsidRPr="00EF74CB">
        <w:rPr>
          <w:rFonts w:ascii="Arial" w:eastAsia="Times New Roman" w:hAnsi="Arial" w:cs="Arial"/>
          <w:lang w:val="en-AU"/>
        </w:rPr>
        <w:t xml:space="preserve"> </w:t>
      </w:r>
      <w:r w:rsidRPr="00EF74CB">
        <w:rPr>
          <w:rFonts w:ascii="Arial" w:eastAsia="Times New Roman" w:hAnsi="Arial" w:cs="Arial"/>
          <w:lang w:val="en-AU"/>
        </w:rPr>
        <w:t>25 mg was eliminated with a mean terminal half life (T</w:t>
      </w:r>
      <w:r w:rsidRPr="00EF74CB">
        <w:rPr>
          <w:rFonts w:ascii="Arial" w:eastAsia="Times New Roman" w:hAnsi="Arial" w:cs="Arial"/>
          <w:vertAlign w:val="subscript"/>
          <w:lang w:val="en-AU"/>
        </w:rPr>
        <w:t>1/2</w:t>
      </w:r>
      <w:r w:rsidRPr="00EF74CB">
        <w:rPr>
          <w:rFonts w:ascii="Arial" w:eastAsia="Times New Roman" w:hAnsi="Arial" w:cs="Arial"/>
          <w:lang w:val="en-AU"/>
        </w:rPr>
        <w:t xml:space="preserve">) of approximately 21 hours.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Following administration of an oral dose of [</w:t>
      </w:r>
      <w:r w:rsidR="0069554B" w:rsidRPr="00EF74CB">
        <w:rPr>
          <w:rFonts w:ascii="Arial" w:eastAsia="Times New Roman" w:hAnsi="Arial" w:cs="Arial"/>
          <w:vertAlign w:val="superscript"/>
          <w:lang w:val="en-AU"/>
        </w:rPr>
        <w:t>14</w:t>
      </w:r>
      <w:r w:rsidR="00BF3779" w:rsidRPr="00EF74CB">
        <w:rPr>
          <w:rFonts w:ascii="Arial" w:eastAsia="Times New Roman" w:hAnsi="Arial" w:cs="Arial"/>
          <w:lang w:val="en-AU"/>
        </w:rPr>
        <w:t>C]</w:t>
      </w:r>
      <w:r w:rsidRPr="00EF74CB">
        <w:rPr>
          <w:rFonts w:ascii="Arial" w:eastAsia="Times New Roman" w:hAnsi="Arial" w:cs="Arial"/>
          <w:lang w:val="en-AU"/>
        </w:rPr>
        <w:t> alogliptin, 76% of total radioactivity was eliminated in the urine and involved some active renal tubular secretion, and 13% was recovered in the faeces.</w:t>
      </w:r>
      <w:r w:rsidRPr="00EF74CB" w:rsidDel="00B83A2B">
        <w:rPr>
          <w:rFonts w:ascii="Arial" w:eastAsia="Times New Roman" w:hAnsi="Arial" w:cs="Arial"/>
          <w:lang w:val="en-AU"/>
        </w:rPr>
        <w:t xml:space="preserve"> </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Linearity</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Total exposure (</w:t>
      </w:r>
      <w:r w:rsidR="00BF3779" w:rsidRPr="00EF74CB">
        <w:rPr>
          <w:rFonts w:ascii="Arial" w:eastAsia="Times New Roman" w:hAnsi="Arial" w:cs="Arial"/>
          <w:lang w:val="en-AU"/>
        </w:rPr>
        <w:t>AUC</w:t>
      </w:r>
      <w:r w:rsidR="0069554B" w:rsidRPr="00EF74CB">
        <w:rPr>
          <w:rFonts w:ascii="Arial" w:eastAsia="Times New Roman" w:hAnsi="Arial" w:cs="Arial"/>
          <w:vertAlign w:val="subscript"/>
          <w:lang w:val="en-AU"/>
        </w:rPr>
        <w:t>(0-inf)</w:t>
      </w:r>
      <w:r w:rsidR="00BF3779" w:rsidRPr="00EF74CB">
        <w:rPr>
          <w:rFonts w:ascii="Arial" w:eastAsia="Times New Roman" w:hAnsi="Arial" w:cs="Arial"/>
          <w:lang w:val="en-AU"/>
        </w:rPr>
        <w:t>)</w:t>
      </w:r>
      <w:r w:rsidRPr="00EF74CB">
        <w:rPr>
          <w:rFonts w:ascii="Arial" w:eastAsia="Times New Roman" w:hAnsi="Arial" w:cs="Arial"/>
          <w:lang w:val="en-AU"/>
        </w:rPr>
        <w:t xml:space="preserve"> to alogliptin following administration of a single dose was similar to exposure during one dose interval (</w:t>
      </w:r>
      <w:r w:rsidR="00BF3779" w:rsidRPr="00EF74CB">
        <w:rPr>
          <w:rFonts w:ascii="Arial" w:eastAsia="Times New Roman" w:hAnsi="Arial" w:cs="Arial"/>
          <w:lang w:val="en-AU"/>
        </w:rPr>
        <w:t>AUC</w:t>
      </w:r>
      <w:r w:rsidR="0069554B" w:rsidRPr="00EF74CB">
        <w:rPr>
          <w:rFonts w:ascii="Arial" w:eastAsia="Times New Roman" w:hAnsi="Arial" w:cs="Arial"/>
          <w:vertAlign w:val="subscript"/>
          <w:lang w:val="en-AU"/>
        </w:rPr>
        <w:t>(0-24)</w:t>
      </w:r>
      <w:r w:rsidR="00BF3779" w:rsidRPr="00EF74CB">
        <w:rPr>
          <w:rFonts w:ascii="Arial" w:eastAsia="Times New Roman" w:hAnsi="Arial" w:cs="Arial"/>
          <w:lang w:val="en-AU"/>
        </w:rPr>
        <w:t>)</w:t>
      </w:r>
      <w:r w:rsidRPr="00EF74CB">
        <w:rPr>
          <w:rFonts w:ascii="Arial" w:eastAsia="Times New Roman" w:hAnsi="Arial" w:cs="Arial"/>
          <w:lang w:val="en-AU"/>
        </w:rPr>
        <w:t xml:space="preserve"> after 6 days of once daily dosing.  This indicates linear kinetics of alogliptin after multiple dosing.</w:t>
      </w:r>
    </w:p>
    <w:p w:rsidR="00BC2D19" w:rsidRPr="00EF74CB" w:rsidRDefault="00BC2D19" w:rsidP="00BC2D19">
      <w:pPr>
        <w:spacing w:after="240" w:line="240" w:lineRule="auto"/>
        <w:jc w:val="both"/>
        <w:rPr>
          <w:rFonts w:ascii="Arial" w:eastAsia="Times New Roman" w:hAnsi="Arial" w:cs="Arial"/>
          <w:i/>
          <w:u w:val="single"/>
          <w:lang w:val="en-AU"/>
        </w:rPr>
      </w:pPr>
      <w:r w:rsidRPr="00EF74CB">
        <w:rPr>
          <w:rFonts w:ascii="Arial" w:eastAsia="Times New Roman" w:hAnsi="Arial" w:cs="Arial"/>
          <w:i/>
          <w:u w:val="single"/>
          <w:lang w:val="en-AU"/>
        </w:rPr>
        <w:t>Special populations</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Renal impairment</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A single-dose of 50 mg alogliptin was administered to 4 groups of patients with varying degrees of renal impairment (creatinine clearance (CrCl) using the Cockcroft-Gault formula): mild (CrCl = &gt; 50 to ≤ 80 </w:t>
      </w:r>
      <w:r w:rsidR="003D51BA" w:rsidRPr="00EF74CB">
        <w:rPr>
          <w:rFonts w:ascii="Arial" w:eastAsia="Times New Roman" w:hAnsi="Arial" w:cs="Arial"/>
          <w:lang w:val="en-AU"/>
        </w:rPr>
        <w:t>mL/min)</w:t>
      </w:r>
      <w:r w:rsidRPr="00EF74CB">
        <w:rPr>
          <w:rFonts w:ascii="Arial" w:eastAsia="Times New Roman" w:hAnsi="Arial" w:cs="Arial"/>
          <w:lang w:val="en-AU"/>
        </w:rPr>
        <w:t>, moderate (CrCl</w:t>
      </w:r>
      <w:r w:rsidR="00477053" w:rsidRPr="00EF74CB">
        <w:rPr>
          <w:rFonts w:ascii="Arial" w:eastAsia="Times New Roman" w:hAnsi="Arial" w:cs="Arial"/>
          <w:lang w:val="en-AU"/>
        </w:rPr>
        <w:t xml:space="preserve"> = ≥ </w:t>
      </w:r>
      <w:r w:rsidRPr="00EF74CB">
        <w:rPr>
          <w:rFonts w:ascii="Arial" w:eastAsia="Times New Roman" w:hAnsi="Arial" w:cs="Arial"/>
          <w:lang w:val="en-AU"/>
        </w:rPr>
        <w:t>30 to</w:t>
      </w:r>
      <w:r w:rsidR="009B196A" w:rsidRPr="00EF74CB">
        <w:rPr>
          <w:rFonts w:ascii="Arial" w:eastAsia="Times New Roman" w:hAnsi="Arial" w:cs="Arial"/>
          <w:lang w:val="en-AU"/>
        </w:rPr>
        <w:t xml:space="preserve"> ≤ </w:t>
      </w:r>
      <w:r w:rsidRPr="00EF74CB">
        <w:rPr>
          <w:rFonts w:ascii="Arial" w:eastAsia="Times New Roman" w:hAnsi="Arial" w:cs="Arial"/>
          <w:lang w:val="en-AU"/>
        </w:rPr>
        <w:t xml:space="preserve">50 </w:t>
      </w:r>
      <w:r w:rsidR="003D51BA" w:rsidRPr="00EF74CB">
        <w:rPr>
          <w:rFonts w:ascii="Arial" w:eastAsia="Times New Roman" w:hAnsi="Arial" w:cs="Arial"/>
          <w:lang w:val="en-AU"/>
        </w:rPr>
        <w:t>mL/min</w:t>
      </w:r>
      <w:r w:rsidRPr="00EF74CB">
        <w:rPr>
          <w:rFonts w:ascii="Arial" w:eastAsia="Times New Roman" w:hAnsi="Arial" w:cs="Arial"/>
          <w:lang w:val="en-AU"/>
        </w:rPr>
        <w:t>), severe (CrCl = </w:t>
      </w:r>
      <w:r w:rsidR="003D51BA" w:rsidRPr="00EF74CB">
        <w:rPr>
          <w:rFonts w:ascii="Arial" w:eastAsia="Times New Roman" w:hAnsi="Arial" w:cs="Arial"/>
          <w:lang w:val="en-AU"/>
        </w:rPr>
        <w:t>&lt;</w:t>
      </w:r>
      <w:r w:rsidRPr="00EF74CB">
        <w:rPr>
          <w:rFonts w:ascii="Arial" w:eastAsia="Times New Roman" w:hAnsi="Arial" w:cs="Arial"/>
          <w:lang w:val="en-AU"/>
        </w:rPr>
        <w:t> 30 </w:t>
      </w:r>
      <w:r w:rsidR="003D51BA" w:rsidRPr="00EF74CB">
        <w:rPr>
          <w:rFonts w:ascii="Arial" w:eastAsia="Times New Roman" w:hAnsi="Arial" w:cs="Arial"/>
          <w:lang w:val="en-AU"/>
        </w:rPr>
        <w:t>mL/min</w:t>
      </w:r>
      <w:r w:rsidRPr="00EF74CB">
        <w:rPr>
          <w:rFonts w:ascii="Arial" w:eastAsia="Times New Roman" w:hAnsi="Arial" w:cs="Arial"/>
          <w:lang w:val="en-AU"/>
        </w:rPr>
        <w:t xml:space="preserve">) and End-Stage Renal Disease (ESRD) on haemodialysis. </w:t>
      </w:r>
      <w:r w:rsidR="00D02631">
        <w:rPr>
          <w:rFonts w:ascii="Arial" w:eastAsia="Times New Roman" w:hAnsi="Arial" w:cs="Arial"/>
          <w:lang w:val="en-AU"/>
        </w:rPr>
        <w:t xml:space="preserve">Six </w:t>
      </w:r>
      <w:r w:rsidR="00D02631" w:rsidRPr="00D0572B">
        <w:rPr>
          <w:rFonts w:ascii="Arial" w:eastAsia="Times New Roman" w:hAnsi="Arial" w:cs="Arial"/>
          <w:lang w:val="en-AU"/>
        </w:rPr>
        <w:t>patients</w:t>
      </w:r>
      <w:r w:rsidR="00D0572B" w:rsidRPr="00D0572B">
        <w:rPr>
          <w:rFonts w:ascii="Arial" w:eastAsia="Times New Roman" w:hAnsi="Arial" w:cs="Arial"/>
          <w:lang w:val="en-AU"/>
        </w:rPr>
        <w:t xml:space="preserve"> were included in each of the 4 groups</w:t>
      </w:r>
      <w:r w:rsidR="00D0572B">
        <w:rPr>
          <w:rFonts w:ascii="Arial" w:eastAsia="Times New Roman" w:hAnsi="Arial" w:cs="Arial"/>
          <w:lang w:val="en-AU"/>
        </w:rPr>
        <w:t>.</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An approximate 1.7-fold increase in AUC for alogliptin was observed in patients with mild renal impairment.  However, as the distribution of AUC values for alogliptin in these patients was within the same range as control subjects, no dose adjustment for patients with mild renal impairment is necessary (see DOSAGE AND ADMINISTRATION).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In patients with moderate or severe renal impairment, or ESRD on haemodialysis, an increase in systemic exposure to alogliptin of approximately 2</w:t>
      </w:r>
      <w:r w:rsidRPr="00EF74CB">
        <w:rPr>
          <w:rFonts w:ascii="Arial" w:eastAsia="Times New Roman" w:hAnsi="Arial" w:cs="Arial"/>
          <w:lang w:val="en-AU"/>
        </w:rPr>
        <w:noBreakHyphen/>
        <w:t xml:space="preserve"> and 4-fold was observed, respectively.  Patients with ESRD underwent haemodialysis immediately after alogliptin dosing.  Based on mean dialysate concentrations, approximately 7% of the drug was removed during a 3-hour haemodialysis session.  Therefore, in order to maintain systemic exposures to </w:t>
      </w:r>
      <w:r w:rsidR="009C3B58" w:rsidRPr="00EF74CB">
        <w:rPr>
          <w:rFonts w:ascii="Arial" w:eastAsia="Times New Roman" w:hAnsi="Arial" w:cs="Arial"/>
          <w:lang w:val="en-AU"/>
        </w:rPr>
        <w:t>NESINA</w:t>
      </w:r>
      <w:r w:rsidR="003C0E59" w:rsidRPr="00EF74CB">
        <w:rPr>
          <w:rFonts w:ascii="Arial" w:eastAsia="Times New Roman" w:hAnsi="Arial" w:cs="Arial"/>
          <w:lang w:val="en-AU"/>
        </w:rPr>
        <w:t xml:space="preserve"> </w:t>
      </w:r>
      <w:r w:rsidRPr="00EF74CB">
        <w:rPr>
          <w:rFonts w:ascii="Arial" w:eastAsia="Times New Roman" w:hAnsi="Arial" w:cs="Arial"/>
          <w:lang w:val="en-AU"/>
        </w:rPr>
        <w:t xml:space="preserve">that are similar to those observed in patients with normal renal function, lower doses of </w:t>
      </w:r>
      <w:r w:rsidR="009C3B58" w:rsidRPr="00EF74CB">
        <w:rPr>
          <w:rFonts w:ascii="Arial" w:eastAsia="Times New Roman" w:hAnsi="Arial" w:cs="Arial"/>
          <w:lang w:val="en-AU"/>
        </w:rPr>
        <w:t>NESINA</w:t>
      </w:r>
      <w:r w:rsidR="003C0E59" w:rsidRPr="00EF74CB">
        <w:rPr>
          <w:rFonts w:ascii="Arial" w:eastAsia="Times New Roman" w:hAnsi="Arial" w:cs="Arial"/>
          <w:lang w:val="en-AU"/>
        </w:rPr>
        <w:t xml:space="preserve"> </w:t>
      </w:r>
      <w:r w:rsidRPr="00EF74CB">
        <w:rPr>
          <w:rFonts w:ascii="Arial" w:eastAsia="Times New Roman" w:hAnsi="Arial" w:cs="Arial"/>
          <w:lang w:val="en-AU"/>
        </w:rPr>
        <w:t xml:space="preserve">should be used in patients with moderate or severe renal impairment, or ESRD requiring dialysis (see DOSAGE AND ADMINISTRATION). </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There was no significant difference in exposure to the active metabolite, M-I (&lt; 1% of the parent compound), in patients with mild renal impairment compared to control subjects.  Total exposure to M-I was approximately 2- and 3-fold higher in patients with moderate or severe renal impairment, respectively.  However, the ratios of AUC for M</w:t>
      </w:r>
      <w:r w:rsidRPr="00EF74CB">
        <w:rPr>
          <w:rFonts w:ascii="Arial" w:eastAsia="Times New Roman" w:hAnsi="Arial" w:cs="Arial"/>
          <w:lang w:val="en-AU"/>
        </w:rPr>
        <w:noBreakHyphen/>
        <w:t xml:space="preserve">I/alogliptin in control subjects and patients with severe renal impairment or ESRD were similar.  </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Hepatic impairment</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Total </w:t>
      </w:r>
      <w:r w:rsidR="005A3E75" w:rsidRPr="00EF74CB">
        <w:rPr>
          <w:rFonts w:ascii="Arial" w:eastAsia="Times New Roman" w:hAnsi="Arial" w:cs="Arial"/>
          <w:lang w:val="en-AU"/>
        </w:rPr>
        <w:t>exposure</w:t>
      </w:r>
      <w:r w:rsidRPr="00EF74CB">
        <w:rPr>
          <w:rFonts w:ascii="Arial" w:eastAsia="Times New Roman" w:hAnsi="Arial" w:cs="Arial"/>
          <w:lang w:val="en-AU"/>
        </w:rPr>
        <w:t xml:space="preserve"> to alogliptin was approximately 10% lower and peak exposure was approximately 8% lower in patients with moderate hepatic impairment compared to </w:t>
      </w:r>
      <w:r w:rsidR="003D51BA" w:rsidRPr="00EF74CB">
        <w:rPr>
          <w:rFonts w:ascii="Arial" w:eastAsia="Times New Roman" w:hAnsi="Arial" w:cs="Arial"/>
          <w:lang w:val="en-AU"/>
        </w:rPr>
        <w:t>healthy</w:t>
      </w:r>
      <w:r w:rsidRPr="00EF74CB">
        <w:rPr>
          <w:rFonts w:ascii="Arial" w:eastAsia="Times New Roman" w:hAnsi="Arial" w:cs="Arial"/>
          <w:lang w:val="en-AU"/>
        </w:rPr>
        <w:t xml:space="preserve"> control subjects.  The magnitude of these reductions was not considered to be clinically relevant.  Therefore, no dose adjustment is necessary for patients with mild to moderate hepatic impairment (Child-Pugh scores of 5 to 9).  </w:t>
      </w:r>
      <w:r w:rsidR="009C3B58" w:rsidRPr="00EF74CB">
        <w:rPr>
          <w:rFonts w:ascii="Arial" w:eastAsia="Times New Roman" w:hAnsi="Arial" w:cs="Arial"/>
          <w:lang w:val="en-AU"/>
        </w:rPr>
        <w:t>NESINA</w:t>
      </w:r>
      <w:r w:rsidR="003C0E59" w:rsidRPr="00EF74CB">
        <w:rPr>
          <w:rFonts w:ascii="Arial" w:eastAsia="Times New Roman" w:hAnsi="Arial" w:cs="Arial"/>
          <w:lang w:val="en-AU"/>
        </w:rPr>
        <w:t xml:space="preserve"> </w:t>
      </w:r>
      <w:r w:rsidRPr="00EF74CB">
        <w:rPr>
          <w:rFonts w:ascii="Arial" w:eastAsia="Times New Roman" w:hAnsi="Arial" w:cs="Arial"/>
          <w:lang w:val="en-AU"/>
        </w:rPr>
        <w:t>has not been studied in patients with severe hepatic impairment (Child</w:t>
      </w:r>
      <w:r w:rsidRPr="00EF74CB">
        <w:rPr>
          <w:rFonts w:ascii="Arial" w:eastAsia="Times New Roman" w:hAnsi="Arial" w:cs="Arial"/>
          <w:lang w:val="en-AU"/>
        </w:rPr>
        <w:noBreakHyphen/>
        <w:t>Pugh score &gt; 9, see DOSAGE AND ADMINISTRATION).</w:t>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Age, gender, race, body weight</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Age (≥ 65 years old), gender, race (white, black and Asian) and body weight did not have any clinically relevant effect on the pharmacokinetics of alogliptin.  No dose adjustment is necessary (see DOSAGE AND ADMINISTRATION). </w:t>
      </w:r>
    </w:p>
    <w:p w:rsidR="003F5988" w:rsidRDefault="003F5988">
      <w:pPr>
        <w:rPr>
          <w:rFonts w:ascii="Arial" w:eastAsia="Times New Roman" w:hAnsi="Arial" w:cs="Arial"/>
          <w:i/>
          <w:lang w:val="en-AU"/>
        </w:rPr>
      </w:pPr>
      <w:r>
        <w:rPr>
          <w:rFonts w:ascii="Arial" w:eastAsia="Times New Roman" w:hAnsi="Arial" w:cs="Arial"/>
          <w:i/>
          <w:lang w:val="en-AU"/>
        </w:rPr>
        <w:br w:type="page"/>
      </w:r>
    </w:p>
    <w:p w:rsidR="00BC2D19" w:rsidRPr="00EF74CB" w:rsidRDefault="00BC2D19" w:rsidP="00BC2D19">
      <w:pPr>
        <w:spacing w:after="240" w:line="240" w:lineRule="auto"/>
        <w:jc w:val="both"/>
        <w:rPr>
          <w:rFonts w:ascii="Arial" w:eastAsia="Times New Roman" w:hAnsi="Arial" w:cs="Arial"/>
          <w:i/>
          <w:lang w:val="en-AU"/>
        </w:rPr>
      </w:pPr>
      <w:r w:rsidRPr="00EF74CB">
        <w:rPr>
          <w:rFonts w:ascii="Arial" w:eastAsia="Times New Roman" w:hAnsi="Arial" w:cs="Arial"/>
          <w:i/>
          <w:lang w:val="en-AU"/>
        </w:rPr>
        <w:t>Paediatric population</w:t>
      </w:r>
    </w:p>
    <w:p w:rsidR="00BC2D19" w:rsidRPr="00EF74CB" w:rsidRDefault="00BC2D19" w:rsidP="00BC2D1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pharmacokinetics of alogliptin in patients &lt; 18 years old have not yet been established.  No data are available (see DOSAGE AND ADMINISTRATION). </w:t>
      </w:r>
    </w:p>
    <w:p w:rsidR="00691008" w:rsidRPr="00EF74CB" w:rsidRDefault="002D31A3">
      <w:pPr>
        <w:pStyle w:val="NoSpacing"/>
        <w:keepNext/>
        <w:spacing w:after="240"/>
        <w:jc w:val="both"/>
        <w:rPr>
          <w:rFonts w:ascii="Arial" w:hAnsi="Arial" w:cs="Arial"/>
          <w:b/>
          <w:lang w:val="en-AU"/>
        </w:rPr>
      </w:pPr>
      <w:r w:rsidRPr="00EF74CB">
        <w:rPr>
          <w:rFonts w:ascii="Arial" w:hAnsi="Arial" w:cs="Arial"/>
          <w:b/>
          <w:lang w:val="en-AU"/>
        </w:rPr>
        <w:t>CLINICAL TRIALS</w:t>
      </w:r>
    </w:p>
    <w:p w:rsidR="00FA4094" w:rsidRPr="00EF74CB" w:rsidRDefault="009C3B58"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00FA4094" w:rsidRPr="00EF74CB">
        <w:rPr>
          <w:rFonts w:ascii="Arial" w:eastAsia="Times New Roman" w:hAnsi="Arial" w:cs="Arial"/>
          <w:lang w:val="en-AU"/>
        </w:rPr>
        <w:t>has been studied as monotherapy, as initial combination therapy with metformin or a</w:t>
      </w:r>
      <w:r w:rsidR="00FA4094" w:rsidRPr="00EF74CB">
        <w:rPr>
          <w:noProof/>
          <w:lang w:val="en-AU"/>
        </w:rPr>
        <w:t xml:space="preserve"> </w:t>
      </w:r>
      <w:r w:rsidR="00FA4094" w:rsidRPr="00EF74CB">
        <w:rPr>
          <w:rFonts w:ascii="Arial" w:eastAsia="Times New Roman" w:hAnsi="Arial" w:cs="Arial"/>
          <w:lang w:val="en-AU"/>
        </w:rPr>
        <w:t xml:space="preserve">thiazolidinedione, and as add-on therapy to metformin, or a sulphonylurea, or a thiazolidinedione (with or without metformin or a sulphonylurea), or insulin (with or without metformin). </w:t>
      </w:r>
    </w:p>
    <w:p w:rsidR="00FA4094" w:rsidRPr="00EF74CB" w:rsidRDefault="00FA4094"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 total of 9404 patients with type 2 diabetes mellitus, including 3749 patients treated with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25 mg</w:t>
      </w:r>
      <w:r w:rsidR="00EF74CB" w:rsidRPr="00EF74CB">
        <w:rPr>
          <w:rFonts w:ascii="Arial" w:eastAsia="Times New Roman" w:hAnsi="Arial" w:cs="Arial"/>
          <w:lang w:val="en-AU"/>
        </w:rPr>
        <w:t> and</w:t>
      </w:r>
      <w:r w:rsidRPr="00EF74CB">
        <w:rPr>
          <w:rFonts w:ascii="Arial" w:eastAsia="Times New Roman" w:hAnsi="Arial" w:cs="Arial"/>
          <w:lang w:val="en-AU"/>
        </w:rPr>
        <w:t xml:space="preserve"> 2476 patients treated with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12.5 mg, participated in one phase 2 or 12 phase 3 double</w:t>
      </w:r>
      <w:r w:rsidRPr="00EF74CB">
        <w:rPr>
          <w:rFonts w:ascii="Arial" w:eastAsia="Times New Roman" w:hAnsi="Arial" w:cs="Arial"/>
          <w:lang w:val="en-AU"/>
        </w:rPr>
        <w:noBreakHyphen/>
        <w:t xml:space="preserve">blind, placebo- or active-controlled clinical studies conducted to evaluate the effects of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 xml:space="preserve">on glycaemic control and its safety.  In these studies, 1285 </w:t>
      </w:r>
      <w:r w:rsidR="009C3B58" w:rsidRPr="00EF74CB">
        <w:rPr>
          <w:rFonts w:ascii="Arial" w:eastAsia="Times New Roman" w:hAnsi="Arial" w:cs="Arial"/>
          <w:lang w:val="en-AU"/>
        </w:rPr>
        <w:t>NESINA</w:t>
      </w:r>
      <w:r w:rsidRPr="00EF74CB">
        <w:rPr>
          <w:rFonts w:ascii="Arial" w:eastAsia="Times New Roman" w:hAnsi="Arial" w:cs="Arial"/>
          <w:lang w:val="en-AU"/>
        </w:rPr>
        <w:t>-treated patients were</w:t>
      </w:r>
      <w:r w:rsidR="00920414">
        <w:rPr>
          <w:rFonts w:ascii="Arial" w:eastAsia="Times New Roman" w:hAnsi="Arial" w:cs="Arial"/>
          <w:lang w:val="en-AU"/>
        </w:rPr>
        <w:t xml:space="preserve"> ≥ </w:t>
      </w:r>
      <w:r w:rsidRPr="00EF74CB">
        <w:rPr>
          <w:rFonts w:ascii="Arial" w:eastAsia="Times New Roman" w:hAnsi="Arial" w:cs="Arial"/>
          <w:lang w:val="en-AU"/>
        </w:rPr>
        <w:t>65 years old and 141 </w:t>
      </w:r>
      <w:r w:rsidR="009C3B58" w:rsidRPr="00EF74CB">
        <w:rPr>
          <w:rFonts w:ascii="Arial" w:eastAsia="Times New Roman" w:hAnsi="Arial" w:cs="Arial"/>
          <w:lang w:val="en-AU"/>
        </w:rPr>
        <w:t>NESINA</w:t>
      </w:r>
      <w:r w:rsidRPr="00EF74CB">
        <w:rPr>
          <w:rFonts w:ascii="Arial" w:eastAsia="Times New Roman" w:hAnsi="Arial" w:cs="Arial"/>
          <w:lang w:val="en-AU"/>
        </w:rPr>
        <w:t>-treated patients were</w:t>
      </w:r>
      <w:r w:rsidR="00920414">
        <w:rPr>
          <w:rFonts w:ascii="Arial" w:eastAsia="Times New Roman" w:hAnsi="Arial" w:cs="Arial"/>
          <w:lang w:val="en-AU"/>
        </w:rPr>
        <w:t xml:space="preserve"> ≥ </w:t>
      </w:r>
      <w:r w:rsidRPr="00EF74CB">
        <w:rPr>
          <w:rFonts w:ascii="Arial" w:eastAsia="Times New Roman" w:hAnsi="Arial" w:cs="Arial"/>
          <w:lang w:val="en-AU"/>
        </w:rPr>
        <w:t xml:space="preserve">75 years old.  The studies included 4215 patients with mild renal impairment and 600 patients with moderate renal impairment treated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w:t>
      </w:r>
    </w:p>
    <w:p w:rsidR="00FA4094" w:rsidRPr="00EF74CB" w:rsidRDefault="00FA4094"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Overall, treatment with the recommended daily dose of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 xml:space="preserve">25 mg improved glycaemic control when given as monotherapy and as initial or add-on combination therapy.  This was determined by clinically relevant and statistically significant reductions in glycosylated haemoglobin (HbA1c) and fasting plasma glucose (FPG) compared to control from baseline to study endpoint.  Reductions in HbA1c were similar across different subgroups including renal impairment, age, gender, race and body mass index (BMI).  Clinically meaningful reductions in HbA1c compared to control were also observed with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 xml:space="preserve">25 mg regardless of baseline background medication dose.  Higher baseline HbA1c was associated with a greater reduction in HbA1c.  Generally, the effects of </w:t>
      </w:r>
      <w:r w:rsidR="009C3B58" w:rsidRPr="00EF74CB">
        <w:rPr>
          <w:rFonts w:ascii="Arial" w:eastAsia="Times New Roman" w:hAnsi="Arial" w:cs="Arial"/>
          <w:lang w:val="en-AU"/>
        </w:rPr>
        <w:t>NESINA</w:t>
      </w:r>
      <w:r w:rsidR="00BE4875" w:rsidRPr="00EF74CB">
        <w:rPr>
          <w:rFonts w:ascii="Arial" w:eastAsia="Times New Roman" w:hAnsi="Arial" w:cs="Arial"/>
          <w:lang w:val="en-AU"/>
        </w:rPr>
        <w:t xml:space="preserve"> </w:t>
      </w:r>
      <w:r w:rsidRPr="00EF74CB">
        <w:rPr>
          <w:rFonts w:ascii="Arial" w:eastAsia="Times New Roman" w:hAnsi="Arial" w:cs="Arial"/>
          <w:lang w:val="en-AU"/>
        </w:rPr>
        <w:t>on body weight and lipids were neutral.</w:t>
      </w:r>
    </w:p>
    <w:p w:rsidR="00FA4094" w:rsidRPr="00EF74CB" w:rsidRDefault="009C3B58" w:rsidP="00FA4094">
      <w:pPr>
        <w:spacing w:after="240" w:line="240" w:lineRule="auto"/>
        <w:jc w:val="both"/>
        <w:rPr>
          <w:rFonts w:ascii="Arial" w:eastAsia="Times New Roman" w:hAnsi="Arial" w:cs="Arial"/>
          <w:i/>
          <w:lang w:val="en-AU"/>
        </w:rPr>
      </w:pPr>
      <w:r w:rsidRPr="00EF74CB">
        <w:rPr>
          <w:rFonts w:ascii="Arial" w:eastAsia="Times New Roman" w:hAnsi="Arial" w:cs="Arial"/>
          <w:i/>
          <w:lang w:val="en-AU"/>
        </w:rPr>
        <w:t>NESINA</w:t>
      </w:r>
      <w:r w:rsidR="00D03AD1" w:rsidRPr="00EF74CB">
        <w:rPr>
          <w:rFonts w:ascii="Arial" w:eastAsia="Times New Roman" w:hAnsi="Arial" w:cs="Arial"/>
          <w:i/>
          <w:lang w:val="en-AU"/>
        </w:rPr>
        <w:t xml:space="preserve"> </w:t>
      </w:r>
      <w:r w:rsidR="00FA4094" w:rsidRPr="00EF74CB">
        <w:rPr>
          <w:rFonts w:ascii="Arial" w:eastAsia="Times New Roman" w:hAnsi="Arial" w:cs="Arial"/>
          <w:i/>
          <w:lang w:val="en-AU"/>
        </w:rPr>
        <w:t>as add-on therapy to metformin</w:t>
      </w:r>
      <w:r w:rsidR="00AE03E7" w:rsidRPr="00EF74CB">
        <w:rPr>
          <w:rFonts w:ascii="Arial" w:eastAsia="Times New Roman" w:hAnsi="Arial" w:cs="Arial"/>
          <w:i/>
          <w:lang w:val="en-AU"/>
        </w:rPr>
        <w:t xml:space="preserve"> </w:t>
      </w:r>
    </w:p>
    <w:p w:rsidR="00FA4094" w:rsidRPr="00EF74CB" w:rsidRDefault="00FA4094"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addition of </w:t>
      </w:r>
      <w:r w:rsidR="009C3B58" w:rsidRPr="00EF74CB">
        <w:rPr>
          <w:rFonts w:ascii="Arial" w:eastAsia="Times New Roman" w:hAnsi="Arial" w:cs="Arial"/>
          <w:lang w:val="en-AU"/>
        </w:rPr>
        <w:t>NESINA</w:t>
      </w:r>
      <w:r w:rsidR="00D03AD1" w:rsidRPr="00EF74CB">
        <w:rPr>
          <w:rFonts w:ascii="Arial" w:eastAsia="Times New Roman" w:hAnsi="Arial" w:cs="Arial"/>
          <w:lang w:val="en-AU"/>
        </w:rPr>
        <w:t xml:space="preserve"> </w:t>
      </w:r>
      <w:r w:rsidRPr="00EF74CB">
        <w:rPr>
          <w:rFonts w:ascii="Arial" w:eastAsia="Times New Roman" w:hAnsi="Arial" w:cs="Arial"/>
          <w:lang w:val="en-AU"/>
        </w:rPr>
        <w:t>25 mg once daily to metformin therapy (mean dose = 1846.7 mg) resulted in statistically significant improvements from baseline in HbA1c and FPG at Week 26 when compared to the addition of placebo (Table 1)</w:t>
      </w:r>
      <w:r w:rsidR="001A5E88" w:rsidRPr="00EF74CB">
        <w:rPr>
          <w:rFonts w:ascii="Arial" w:eastAsia="Times New Roman" w:hAnsi="Arial" w:cs="Arial"/>
          <w:lang w:val="en-AU"/>
        </w:rPr>
        <w:t xml:space="preserve"> (Study SYR-322-MET-008)</w:t>
      </w:r>
      <w:r w:rsidRPr="00EF74CB">
        <w:rPr>
          <w:rFonts w:ascii="Arial" w:eastAsia="Times New Roman" w:hAnsi="Arial" w:cs="Arial"/>
          <w:lang w:val="en-AU"/>
        </w:rPr>
        <w:t xml:space="preserve">.  Significantly more patients receiving </w:t>
      </w:r>
      <w:r w:rsidR="009C3B58" w:rsidRPr="00EF74CB">
        <w:rPr>
          <w:rFonts w:ascii="Arial" w:eastAsia="Times New Roman" w:hAnsi="Arial" w:cs="Arial"/>
          <w:lang w:val="en-AU"/>
        </w:rPr>
        <w:t>NESINA</w:t>
      </w:r>
      <w:r w:rsidR="00D03AD1" w:rsidRPr="00EF74CB">
        <w:rPr>
          <w:rFonts w:ascii="Arial" w:eastAsia="Times New Roman" w:hAnsi="Arial" w:cs="Arial"/>
          <w:lang w:val="en-AU"/>
        </w:rPr>
        <w:t xml:space="preserve"> </w:t>
      </w:r>
      <w:r w:rsidRPr="00EF74CB">
        <w:rPr>
          <w:rFonts w:ascii="Arial" w:eastAsia="Times New Roman" w:hAnsi="Arial" w:cs="Arial"/>
          <w:lang w:val="en-AU"/>
        </w:rPr>
        <w:t xml:space="preserve">25 mg (44.4%)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placebo (18.3%) at Week 26 (p&lt;0.001).  Also, significantly fewer patients receiving </w:t>
      </w:r>
      <w:r w:rsidR="009C3B58" w:rsidRPr="00EF74CB">
        <w:rPr>
          <w:rFonts w:ascii="Arial" w:eastAsia="Times New Roman" w:hAnsi="Arial" w:cs="Arial"/>
          <w:lang w:val="en-AU"/>
        </w:rPr>
        <w:t>NESINA</w:t>
      </w:r>
      <w:r w:rsidR="00D03AD1" w:rsidRPr="00EF74CB">
        <w:rPr>
          <w:rFonts w:ascii="Arial" w:eastAsia="Times New Roman" w:hAnsi="Arial" w:cs="Arial"/>
          <w:lang w:val="en-AU"/>
        </w:rPr>
        <w:t xml:space="preserve"> </w:t>
      </w:r>
      <w:r w:rsidRPr="00EF74CB">
        <w:rPr>
          <w:rFonts w:ascii="Arial" w:eastAsia="Times New Roman" w:hAnsi="Arial" w:cs="Arial"/>
          <w:lang w:val="en-AU"/>
        </w:rPr>
        <w:t xml:space="preserve">25 mg (8.2%) required hyperglycaemic rescue compared to those receiving placebo (24.0%) during the study (p=0.003). </w:t>
      </w:r>
    </w:p>
    <w:p w:rsidR="00C07E13" w:rsidRPr="00EF74CB" w:rsidRDefault="00C07E13" w:rsidP="00453ECB">
      <w:pPr>
        <w:tabs>
          <w:tab w:val="left" w:pos="3969"/>
        </w:tabs>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Improvements in HbA1c were not affected by gender, age, race, baseline BMI, or baseline metformin dose. Patients who entered the study with a higher baseline HbA1c level generally achieved a greater treatment effect. An analysis by baseline HbA1c demonstrated that patients who entered the study with </w:t>
      </w:r>
      <w:r w:rsidR="00EF74CB" w:rsidRPr="00EF74CB">
        <w:rPr>
          <w:rFonts w:ascii="Arial" w:eastAsia="Times New Roman" w:hAnsi="Arial" w:cs="Arial"/>
          <w:lang w:val="en-AU"/>
        </w:rPr>
        <w:t>a</w:t>
      </w:r>
      <w:r w:rsidRPr="00EF74CB">
        <w:rPr>
          <w:rFonts w:ascii="Arial" w:eastAsia="Times New Roman" w:hAnsi="Arial" w:cs="Arial"/>
          <w:lang w:val="en-AU"/>
        </w:rPr>
        <w:t xml:space="preserve"> H</w:t>
      </w:r>
      <w:r w:rsidR="00E53BCA" w:rsidRPr="00EF74CB">
        <w:rPr>
          <w:rFonts w:ascii="Arial" w:eastAsia="Times New Roman" w:hAnsi="Arial" w:cs="Arial"/>
          <w:lang w:val="en-AU"/>
        </w:rPr>
        <w:t>bA1c</w:t>
      </w:r>
      <w:r w:rsidR="00B62569" w:rsidRPr="00EF74CB">
        <w:rPr>
          <w:rFonts w:ascii="Arial" w:eastAsia="Times New Roman" w:hAnsi="Arial" w:cs="Arial"/>
          <w:lang w:val="en-AU"/>
        </w:rPr>
        <w:t xml:space="preserve"> ≥</w:t>
      </w:r>
      <w:r w:rsidR="00E53BCA" w:rsidRPr="00EF74CB">
        <w:rPr>
          <w:rFonts w:ascii="Arial" w:eastAsia="Times New Roman" w:hAnsi="Arial" w:cs="Arial"/>
          <w:lang w:val="en-AU"/>
        </w:rPr>
        <w:t xml:space="preserve"> 8%</w:t>
      </w:r>
      <w:r w:rsidRPr="00EF74CB">
        <w:rPr>
          <w:rFonts w:ascii="Arial" w:eastAsia="Times New Roman" w:hAnsi="Arial" w:cs="Arial"/>
          <w:lang w:val="en-AU"/>
        </w:rPr>
        <w:t xml:space="preserve"> achieved a significant mean reduction from baseline of -0.8%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versus -0.3% on placebo at Week 26. A similar decrease in body weight was observed for both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and placebo when given in combination with metformin at Week 26. Lipid effects were generally neutral.</w:t>
      </w:r>
    </w:p>
    <w:p w:rsidR="00FA4094" w:rsidRPr="00EF74CB" w:rsidRDefault="0065492C"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a second study </w:t>
      </w:r>
      <w:r w:rsidR="00AE03E7" w:rsidRPr="00EF74CB">
        <w:rPr>
          <w:rFonts w:ascii="Arial" w:eastAsia="Times New Roman" w:hAnsi="Arial" w:cs="Arial"/>
          <w:lang w:val="en-AU"/>
        </w:rPr>
        <w:t xml:space="preserve">(Study SYR-322-305) </w:t>
      </w:r>
      <w:r w:rsidRPr="00EF74CB">
        <w:rPr>
          <w:rFonts w:ascii="Arial" w:eastAsia="Times New Roman" w:hAnsi="Arial" w:cs="Arial"/>
          <w:lang w:val="en-AU"/>
        </w:rPr>
        <w:t xml:space="preserve">evaluating the addition of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w:t>
      </w:r>
      <w:r w:rsidR="00D02631" w:rsidRPr="00EF74CB">
        <w:rPr>
          <w:rFonts w:ascii="Arial" w:eastAsia="Times New Roman" w:hAnsi="Arial" w:cs="Arial"/>
          <w:lang w:val="en-AU"/>
        </w:rPr>
        <w:t>mg versus</w:t>
      </w:r>
      <w:r w:rsidRPr="00EF74CB">
        <w:rPr>
          <w:rFonts w:ascii="Arial" w:eastAsia="Times New Roman" w:hAnsi="Arial" w:cs="Arial"/>
          <w:lang w:val="en-AU"/>
        </w:rPr>
        <w:t xml:space="preserve"> glipizide to metformin </w:t>
      </w:r>
      <w:r w:rsidR="00EF74CB" w:rsidRPr="00EF74CB">
        <w:rPr>
          <w:rFonts w:ascii="Arial" w:eastAsia="Times New Roman" w:hAnsi="Arial" w:cs="Arial"/>
          <w:lang w:val="en-AU"/>
        </w:rPr>
        <w:t>therapy</w:t>
      </w:r>
      <w:r w:rsidRPr="00EF74CB">
        <w:rPr>
          <w:rFonts w:ascii="Arial" w:eastAsia="Times New Roman" w:hAnsi="Arial" w:cs="Arial"/>
          <w:lang w:val="en-AU"/>
        </w:rPr>
        <w:t>, t</w:t>
      </w:r>
      <w:r w:rsidR="00FA4094" w:rsidRPr="00EF74CB">
        <w:rPr>
          <w:rFonts w:ascii="Arial" w:eastAsia="Times New Roman" w:hAnsi="Arial" w:cs="Arial"/>
          <w:lang w:val="en-AU"/>
        </w:rPr>
        <w:t xml:space="preserve">he addition of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00FA4094" w:rsidRPr="00EF74CB">
        <w:rPr>
          <w:rFonts w:ascii="Arial" w:eastAsia="Times New Roman" w:hAnsi="Arial" w:cs="Arial"/>
          <w:lang w:val="en-AU"/>
        </w:rPr>
        <w:t xml:space="preserve">25 mg once daily to metformin therapy (mean dose = 1835.3 mg) resulted in improvements from baseline in HbA1c at Week 52 (-0.61%) that were statistically non-inferior to those produced by glipizide (mean dose = 5.2 mg) and metformin therapy (mean dose = 1823.5 mg, </w:t>
      </w:r>
      <w:r w:rsidR="00FA4094" w:rsidRPr="00EF74CB">
        <w:rPr>
          <w:rFonts w:ascii="Arial" w:eastAsia="Times New Roman" w:hAnsi="Arial" w:cs="Arial"/>
          <w:lang w:val="en-AU"/>
        </w:rPr>
        <w:noBreakHyphen/>
        <w:t xml:space="preserve">0.52%, Table 2).  Mean change from baseline in FPG at Week 52 for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00FA4094" w:rsidRPr="00EF74CB">
        <w:rPr>
          <w:rFonts w:ascii="Arial" w:eastAsia="Times New Roman" w:hAnsi="Arial" w:cs="Arial"/>
          <w:lang w:val="en-AU"/>
        </w:rPr>
        <w:t xml:space="preserve">25 mg and metformin was significantly greater than that for glipizide and metformin (p&lt;0.001).  Significantly more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00FA4094" w:rsidRPr="00EF74CB">
        <w:rPr>
          <w:rFonts w:ascii="Arial" w:eastAsia="Times New Roman" w:hAnsi="Arial" w:cs="Arial"/>
          <w:lang w:val="en-AU"/>
        </w:rPr>
        <w:t xml:space="preserve">25 mg and metformin (55.3%) achieved target HbA1c levels of </w:t>
      </w:r>
      <w:r w:rsidR="00FA4094" w:rsidRPr="00EF74CB">
        <w:rPr>
          <w:rFonts w:ascii="Arial" w:eastAsia="Times New Roman" w:hAnsi="Arial" w:cs="Arial"/>
          <w:lang w:val="en-AU"/>
        </w:rPr>
        <w:sym w:font="Symbol" w:char="F0A3"/>
      </w:r>
      <w:r w:rsidR="00FA4094" w:rsidRPr="00EF74CB">
        <w:rPr>
          <w:rFonts w:ascii="Arial" w:eastAsia="Times New Roman" w:hAnsi="Arial" w:cs="Arial"/>
          <w:lang w:val="en-AU"/>
        </w:rPr>
        <w:t xml:space="preserve"> 7.0% compared to those receiving glipizide and metformin (47.4%) at Week 52 (p&lt;0.001).  Also, fewer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00FA4094" w:rsidRPr="00EF74CB">
        <w:rPr>
          <w:rFonts w:ascii="Arial" w:eastAsia="Times New Roman" w:hAnsi="Arial" w:cs="Arial"/>
          <w:lang w:val="en-AU"/>
        </w:rPr>
        <w:t>25 mg  and metformin (9.1%) required hyperglycaemic rescue compared to those receiving glipizide and metformin (12.0%) during the study (p=0.036).</w:t>
      </w:r>
    </w:p>
    <w:p w:rsidR="00A910B6" w:rsidRPr="00EF74CB" w:rsidRDefault="00A910B6" w:rsidP="00A910B6">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Following 52 weeks of treatment, the </w:t>
      </w:r>
      <w:r w:rsidR="009C3B58" w:rsidRPr="00EF74CB">
        <w:rPr>
          <w:rFonts w:ascii="Arial" w:eastAsia="Times New Roman" w:hAnsi="Arial" w:cs="Arial"/>
          <w:lang w:val="en-AU"/>
        </w:rPr>
        <w:t>NESINA</w:t>
      </w:r>
      <w:r w:rsidRPr="00EF74CB">
        <w:rPr>
          <w:rFonts w:ascii="Arial" w:eastAsia="Times New Roman" w:hAnsi="Arial" w:cs="Arial"/>
          <w:lang w:val="en-AU"/>
        </w:rPr>
        <w:t xml:space="preserve"> treatment groups resulted in LS mean decreases in weight compared to an increase in weight in the glipizide treatment group. </w:t>
      </w:r>
      <w:r w:rsidR="00704D61" w:rsidRPr="00EF74CB">
        <w:rPr>
          <w:rFonts w:ascii="Arial" w:eastAsia="Times New Roman" w:hAnsi="Arial" w:cs="Arial"/>
          <w:lang w:val="en-AU"/>
        </w:rPr>
        <w:t xml:space="preserve">Statistically significant differences in body weight were observed between each of the metformin + </w:t>
      </w:r>
      <w:r w:rsidR="009C3B58" w:rsidRPr="00EF74CB">
        <w:rPr>
          <w:rFonts w:ascii="Arial" w:eastAsia="Times New Roman" w:hAnsi="Arial" w:cs="Arial"/>
          <w:lang w:val="en-AU"/>
        </w:rPr>
        <w:t>NESINA</w:t>
      </w:r>
      <w:r w:rsidR="00704D61" w:rsidRPr="00EF74CB">
        <w:rPr>
          <w:rFonts w:ascii="Arial" w:eastAsia="Times New Roman" w:hAnsi="Arial" w:cs="Arial"/>
          <w:lang w:val="en-AU"/>
        </w:rPr>
        <w:t xml:space="preserve"> treatment groups and the metformin + glipizide treatment group (p&lt;0.001) at each post-baseline visit, with the largest decrease in body weight observed in the metformin + </w:t>
      </w:r>
      <w:r w:rsidR="009C3B58" w:rsidRPr="00EF74CB">
        <w:rPr>
          <w:rFonts w:ascii="Arial" w:eastAsia="Times New Roman" w:hAnsi="Arial" w:cs="Arial"/>
          <w:lang w:val="en-AU"/>
        </w:rPr>
        <w:t>NESINA</w:t>
      </w:r>
      <w:r w:rsidR="00704D61" w:rsidRPr="00EF74CB">
        <w:rPr>
          <w:rFonts w:ascii="Arial" w:eastAsia="Times New Roman" w:hAnsi="Arial" w:cs="Arial"/>
          <w:lang w:val="en-AU"/>
        </w:rPr>
        <w:t xml:space="preserve"> 25mg treatment group.</w:t>
      </w:r>
    </w:p>
    <w:p w:rsidR="00A910B6" w:rsidRPr="00EF74CB" w:rsidRDefault="00704D61" w:rsidP="00A910B6">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For total cholesterol, LDL, and triglycerides, changes from Baseline to Week 52 were statistically significantly better in the metformin +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25mg treatment group compared with the metformin + glipizide treatment group (p≤0.043). </w:t>
      </w:r>
    </w:p>
    <w:p w:rsidR="00FA4094" w:rsidRPr="00EF74CB" w:rsidRDefault="009C3B58" w:rsidP="00FA4094">
      <w:pPr>
        <w:spacing w:after="240" w:line="240" w:lineRule="auto"/>
        <w:jc w:val="both"/>
        <w:rPr>
          <w:rFonts w:ascii="Arial" w:eastAsia="Times New Roman" w:hAnsi="Arial" w:cs="Arial"/>
          <w:i/>
          <w:lang w:val="en-AU"/>
        </w:rPr>
      </w:pPr>
      <w:r w:rsidRPr="00EF74CB">
        <w:rPr>
          <w:rFonts w:ascii="Arial" w:eastAsia="Times New Roman" w:hAnsi="Arial" w:cs="Arial"/>
          <w:i/>
          <w:lang w:val="en-AU"/>
        </w:rPr>
        <w:t>NESINA</w:t>
      </w:r>
      <w:r w:rsidR="0050624D" w:rsidRPr="00EF74CB">
        <w:rPr>
          <w:rFonts w:ascii="Arial" w:eastAsia="Times New Roman" w:hAnsi="Arial" w:cs="Arial"/>
          <w:i/>
          <w:lang w:val="en-AU"/>
        </w:rPr>
        <w:t xml:space="preserve"> </w:t>
      </w:r>
      <w:r w:rsidR="00FA4094" w:rsidRPr="00EF74CB">
        <w:rPr>
          <w:rFonts w:ascii="Arial" w:eastAsia="Times New Roman" w:hAnsi="Arial" w:cs="Arial"/>
          <w:i/>
          <w:lang w:val="en-AU"/>
        </w:rPr>
        <w:t>as add-on therapy to a sulphonylurea (SU)</w:t>
      </w:r>
      <w:r w:rsidR="00DC08F8" w:rsidRPr="00EF74CB">
        <w:rPr>
          <w:rFonts w:ascii="Arial" w:eastAsia="Times New Roman" w:hAnsi="Arial" w:cs="Arial"/>
          <w:i/>
          <w:lang w:val="en-AU"/>
        </w:rPr>
        <w:t xml:space="preserve"> (Study SYR-322-SULF-007)</w:t>
      </w:r>
    </w:p>
    <w:p w:rsidR="00FA4094" w:rsidRPr="00EF74CB" w:rsidRDefault="00FA4094"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addition of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once daily to </w:t>
      </w:r>
      <w:r w:rsidR="00545699" w:rsidRPr="00EF74CB">
        <w:rPr>
          <w:rFonts w:ascii="Arial" w:eastAsia="Times New Roman" w:hAnsi="Arial" w:cs="Arial"/>
          <w:lang w:val="en-AU"/>
        </w:rPr>
        <w:t xml:space="preserve">glibenclamide </w:t>
      </w:r>
      <w:r w:rsidRPr="00EF74CB">
        <w:rPr>
          <w:rFonts w:ascii="Arial" w:eastAsia="Times New Roman" w:hAnsi="Arial" w:cs="Arial"/>
          <w:lang w:val="en-AU"/>
        </w:rPr>
        <w:t xml:space="preserve">therapy (mean dose = 12.2 mg) resulted in statistically significant improvements from baseline in HbA1c at Week 26 when compared to the addition of placebo (Table 1).  Mean change from baseline in FPG at Week 26 for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showed a reduction of </w:t>
      </w:r>
      <w:r w:rsidR="00500C08" w:rsidRPr="00EF74CB">
        <w:rPr>
          <w:rFonts w:ascii="Arial" w:eastAsia="Times New Roman" w:hAnsi="Arial" w:cs="Arial"/>
          <w:lang w:val="en-AU"/>
        </w:rPr>
        <w:t>0.47</w:t>
      </w:r>
      <w:r w:rsidR="00C9132D" w:rsidRPr="00EF74CB">
        <w:rPr>
          <w:rFonts w:ascii="Arial" w:eastAsia="Times New Roman" w:hAnsi="Arial" w:cs="Arial"/>
          <w:lang w:val="en-AU"/>
        </w:rPr>
        <w:t> </w:t>
      </w:r>
      <w:r w:rsidR="00500C08" w:rsidRPr="00EF74CB">
        <w:rPr>
          <w:rFonts w:ascii="Arial" w:eastAsia="Times New Roman" w:hAnsi="Arial" w:cs="Arial"/>
          <w:lang w:val="en-AU"/>
        </w:rPr>
        <w:t>mmol</w:t>
      </w:r>
      <w:r w:rsidR="00C9132D" w:rsidRPr="00EF74CB">
        <w:rPr>
          <w:rFonts w:ascii="Arial" w:eastAsia="Times New Roman" w:hAnsi="Arial" w:cs="Arial"/>
          <w:lang w:val="en-AU"/>
        </w:rPr>
        <w:t>/L</w:t>
      </w:r>
      <w:r w:rsidR="007B7634" w:rsidRPr="00EF74CB">
        <w:rPr>
          <w:rFonts w:ascii="Arial" w:eastAsia="Times New Roman" w:hAnsi="Arial" w:cs="Arial"/>
          <w:lang w:val="en-AU"/>
        </w:rPr>
        <w:t xml:space="preserve"> </w:t>
      </w:r>
      <w:r w:rsidRPr="00EF74CB">
        <w:rPr>
          <w:rFonts w:ascii="Arial" w:eastAsia="Times New Roman" w:hAnsi="Arial" w:cs="Arial"/>
          <w:lang w:val="en-AU"/>
        </w:rPr>
        <w:t xml:space="preserve">compared to an increase of </w:t>
      </w:r>
      <w:r w:rsidR="00500C08" w:rsidRPr="00EF74CB">
        <w:rPr>
          <w:rFonts w:ascii="Arial" w:eastAsia="Times New Roman" w:hAnsi="Arial" w:cs="Arial"/>
          <w:lang w:val="en-AU"/>
        </w:rPr>
        <w:t>0.12</w:t>
      </w:r>
      <w:r w:rsidR="00C9132D" w:rsidRPr="00EF74CB">
        <w:rPr>
          <w:rFonts w:ascii="Arial" w:eastAsia="Times New Roman" w:hAnsi="Arial" w:cs="Arial"/>
          <w:lang w:val="en-AU"/>
        </w:rPr>
        <w:t> </w:t>
      </w:r>
      <w:r w:rsidR="00500C08" w:rsidRPr="00EF74CB">
        <w:rPr>
          <w:rFonts w:ascii="Arial" w:eastAsia="Times New Roman" w:hAnsi="Arial" w:cs="Arial"/>
          <w:lang w:val="en-AU"/>
        </w:rPr>
        <w:t>mmol</w:t>
      </w:r>
      <w:r w:rsidR="00C9132D" w:rsidRPr="00EF74CB">
        <w:rPr>
          <w:rFonts w:ascii="Arial" w:eastAsia="Times New Roman" w:hAnsi="Arial" w:cs="Arial"/>
          <w:lang w:val="en-AU"/>
        </w:rPr>
        <w:t>/L</w:t>
      </w:r>
      <w:r w:rsidR="007B7634" w:rsidRPr="00EF74CB">
        <w:rPr>
          <w:rFonts w:ascii="Arial" w:eastAsia="Times New Roman" w:hAnsi="Arial" w:cs="Arial"/>
          <w:lang w:val="en-AU"/>
        </w:rPr>
        <w:t xml:space="preserve"> </w:t>
      </w:r>
      <w:r w:rsidRPr="00EF74CB">
        <w:rPr>
          <w:rFonts w:ascii="Arial" w:eastAsia="Times New Roman" w:hAnsi="Arial" w:cs="Arial"/>
          <w:lang w:val="en-AU"/>
        </w:rPr>
        <w:t xml:space="preserve">with placebo.  Significantly more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(34.8%)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placebo (18.2%) at Week 26 (p=0.002).  Also, significantly fewer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(15.7%) required hyperglycaemic rescue compared to those receiving placebo (28.3%) during the study (p=0.030).  </w:t>
      </w:r>
    </w:p>
    <w:p w:rsidR="00BC4B4F" w:rsidRPr="00EF74CB" w:rsidRDefault="00BC4B4F" w:rsidP="00BC4B4F">
      <w:pPr>
        <w:spacing w:after="240" w:line="240" w:lineRule="auto"/>
        <w:jc w:val="both"/>
        <w:rPr>
          <w:rFonts w:ascii="Arial" w:eastAsia="Times New Roman" w:hAnsi="Arial" w:cs="Arial"/>
          <w:lang w:val="en-AU"/>
        </w:rPr>
      </w:pPr>
      <w:r w:rsidRPr="00EF74CB">
        <w:rPr>
          <w:rFonts w:ascii="Arial" w:eastAsia="Times New Roman" w:hAnsi="Arial" w:cs="Arial"/>
          <w:lang w:val="en-AU"/>
        </w:rPr>
        <w:t>Improvements in HbA1c were not affected by gender, age, race, baseline BMI, or baseline glibenclamide dose. Patients who entered the study with a higher baseline HbA1c level generally achieved a greater treatment effect. An analysis by baseline HbA1c demonstrated that patients who entered the study with a HbA1c</w:t>
      </w:r>
      <w:r w:rsidR="00CB2490" w:rsidRPr="00EF74CB">
        <w:rPr>
          <w:rFonts w:ascii="Arial" w:eastAsia="Times New Roman" w:hAnsi="Arial" w:cs="Arial"/>
          <w:lang w:val="en-AU"/>
        </w:rPr>
        <w:t xml:space="preserve"> ≥ </w:t>
      </w:r>
      <w:r w:rsidRPr="00EF74CB">
        <w:rPr>
          <w:rFonts w:ascii="Arial" w:eastAsia="Times New Roman" w:hAnsi="Arial" w:cs="Arial"/>
          <w:lang w:val="en-AU"/>
        </w:rPr>
        <w:t xml:space="preserve">8% achieved a significant mean reduction from baseline of -0.7%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versus -0.1% on placebo at Week 26. Body weight increased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compared with placebo when given in combination with </w:t>
      </w:r>
      <w:r w:rsidR="00D02631">
        <w:rPr>
          <w:rFonts w:ascii="Arial" w:eastAsia="Times New Roman" w:hAnsi="Arial" w:cs="Arial"/>
          <w:lang w:val="en-AU"/>
        </w:rPr>
        <w:t>g</w:t>
      </w:r>
      <w:r w:rsidR="00D02631" w:rsidRPr="00EF74CB">
        <w:rPr>
          <w:rFonts w:ascii="Arial" w:eastAsia="Times New Roman" w:hAnsi="Arial" w:cs="Arial"/>
          <w:lang w:val="en-AU"/>
        </w:rPr>
        <w:t>libenclamide at</w:t>
      </w:r>
      <w:r w:rsidRPr="00EF74CB">
        <w:rPr>
          <w:rFonts w:ascii="Arial" w:eastAsia="Times New Roman" w:hAnsi="Arial" w:cs="Arial"/>
          <w:lang w:val="en-AU"/>
        </w:rPr>
        <w:t xml:space="preserve"> Week 26. Lipid effects were generally neutral.</w:t>
      </w:r>
    </w:p>
    <w:p w:rsidR="00DC69E5" w:rsidRPr="00EF74CB" w:rsidRDefault="009C3B58" w:rsidP="00DC69E5">
      <w:pPr>
        <w:spacing w:after="240" w:line="240" w:lineRule="auto"/>
        <w:jc w:val="both"/>
        <w:rPr>
          <w:rFonts w:ascii="Arial" w:eastAsia="Times New Roman" w:hAnsi="Arial" w:cs="Arial"/>
          <w:i/>
          <w:lang w:val="en-AU"/>
        </w:rPr>
      </w:pPr>
      <w:r w:rsidRPr="00EF74CB">
        <w:rPr>
          <w:rFonts w:ascii="Arial" w:eastAsia="Times New Roman" w:hAnsi="Arial" w:cs="Arial"/>
          <w:i/>
          <w:lang w:val="en-AU"/>
        </w:rPr>
        <w:t>NESINA</w:t>
      </w:r>
      <w:r w:rsidR="0050624D" w:rsidRPr="00EF74CB">
        <w:rPr>
          <w:rFonts w:ascii="Arial" w:eastAsia="Times New Roman" w:hAnsi="Arial" w:cs="Arial"/>
          <w:i/>
          <w:lang w:val="en-AU"/>
        </w:rPr>
        <w:t xml:space="preserve"> </w:t>
      </w:r>
      <w:r w:rsidR="00DC69E5" w:rsidRPr="00EF74CB">
        <w:rPr>
          <w:rFonts w:ascii="Arial" w:eastAsia="Times New Roman" w:hAnsi="Arial" w:cs="Arial"/>
          <w:i/>
          <w:lang w:val="en-AU"/>
        </w:rPr>
        <w:t>as initial combination therapy with a thiazolidinedione</w:t>
      </w:r>
      <w:r w:rsidR="00771320" w:rsidRPr="00EF74CB">
        <w:rPr>
          <w:rFonts w:ascii="Arial" w:eastAsia="Times New Roman" w:hAnsi="Arial" w:cs="Arial"/>
          <w:i/>
          <w:lang w:val="en-AU"/>
        </w:rPr>
        <w:t xml:space="preserve"> (TZD)</w:t>
      </w:r>
      <w:r w:rsidR="0098159C" w:rsidRPr="00EF74CB">
        <w:rPr>
          <w:rFonts w:ascii="Arial" w:eastAsia="Times New Roman" w:hAnsi="Arial" w:cs="Arial"/>
          <w:i/>
          <w:lang w:val="en-AU"/>
        </w:rPr>
        <w:t xml:space="preserve"> (Study 01-06-TL-322OPI-002)</w:t>
      </w:r>
    </w:p>
    <w:p w:rsidR="00DC69E5" w:rsidRPr="00EF74CB" w:rsidRDefault="00DC69E5" w:rsidP="00DC69E5">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Co-administration of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and 30 mg pioglitazone once daily resulted in statistically significant improvements from baseline in HbA1c and FPG at Week 26 when compared to either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alone or 30 mg pioglitazone alone (Table 1).  Significantly more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and 30 mg pioglitazone (62.8%)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either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alone (24.4%, p&lt;0.001) or 30 mg pioglitazone alone (33.7%, p&lt;0.001) at Week 26.  Also, fewer patients receiving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 xml:space="preserve">25 mg and 30 mg pioglitazone (2.5%) required hyperglycaemic rescue compared to those receiving either </w:t>
      </w:r>
      <w:r w:rsidR="009C3B58" w:rsidRPr="00EF74CB">
        <w:rPr>
          <w:rFonts w:ascii="Arial" w:eastAsia="Times New Roman" w:hAnsi="Arial" w:cs="Arial"/>
          <w:lang w:val="en-AU"/>
        </w:rPr>
        <w:t>NESINA</w:t>
      </w:r>
      <w:r w:rsidR="0050624D" w:rsidRPr="00EF74CB">
        <w:rPr>
          <w:rFonts w:ascii="Arial" w:eastAsia="Times New Roman" w:hAnsi="Arial" w:cs="Arial"/>
          <w:lang w:val="en-AU"/>
        </w:rPr>
        <w:t xml:space="preserve"> </w:t>
      </w:r>
      <w:r w:rsidRPr="00EF74CB">
        <w:rPr>
          <w:rFonts w:ascii="Arial" w:eastAsia="Times New Roman" w:hAnsi="Arial" w:cs="Arial"/>
          <w:lang w:val="en-AU"/>
        </w:rPr>
        <w:t>25 mg alone (11.3%, p=0.018) or 30 mg pioglitazone alone (6.4%) during the study.</w:t>
      </w:r>
    </w:p>
    <w:p w:rsidR="00DC69E5" w:rsidRPr="00EF74CB" w:rsidRDefault="00DC69E5" w:rsidP="00DC69E5">
      <w:pPr>
        <w:spacing w:after="240" w:line="240" w:lineRule="auto"/>
        <w:jc w:val="both"/>
        <w:rPr>
          <w:rFonts w:ascii="Arial" w:eastAsia="Times New Roman" w:hAnsi="Arial" w:cs="Arial"/>
          <w:lang w:val="en-AU"/>
        </w:rPr>
      </w:pPr>
      <w:r w:rsidRPr="00EF74CB">
        <w:rPr>
          <w:rFonts w:ascii="Arial" w:eastAsia="Times New Roman" w:hAnsi="Arial" w:cs="Arial"/>
          <w:lang w:val="en-AU"/>
        </w:rPr>
        <w:t>Improvements in HbA1c were not affected by gender, age, race or baseline BMI. Patients who entered the study with a higher baseline HbA1c level generally achieved a greater treatment effect. An analysis by baseline HbA1c demonstrated that patients who entered the study with a HbA1c</w:t>
      </w:r>
      <w:r w:rsidR="00B16BA2">
        <w:rPr>
          <w:rFonts w:ascii="Arial" w:eastAsia="Times New Roman" w:hAnsi="Arial" w:cs="Arial"/>
          <w:lang w:val="en-AU"/>
        </w:rPr>
        <w:t xml:space="preserve"> ≥ </w:t>
      </w:r>
      <w:r w:rsidRPr="00EF74CB">
        <w:rPr>
          <w:rFonts w:ascii="Arial" w:eastAsia="Times New Roman" w:hAnsi="Arial" w:cs="Arial"/>
          <w:lang w:val="en-AU"/>
        </w:rPr>
        <w:t xml:space="preserve">9% achieved a significant adjusted mean </w:t>
      </w:r>
      <w:r w:rsidR="00505694">
        <w:rPr>
          <w:rFonts w:ascii="Arial" w:eastAsia="Times New Roman" w:hAnsi="Arial" w:cs="Arial"/>
          <w:lang w:val="en-AU"/>
        </w:rPr>
        <w:t>reduction</w:t>
      </w:r>
      <w:r w:rsidRPr="00EF74CB">
        <w:rPr>
          <w:rFonts w:ascii="Arial" w:eastAsia="Times New Roman" w:hAnsi="Arial" w:cs="Arial"/>
          <w:lang w:val="en-AU"/>
        </w:rPr>
        <w:t xml:space="preserve"> in HbA1c from baseline of -2.3%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co-administered with pioglitazone 30 mg versus -1.2%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and -1.4% on pioglitazone 30 mg at Week 26. Body weight decreased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alone, however body weight increases were observed with pioglitazone alone and </w:t>
      </w:r>
      <w:r w:rsidR="009C3B58" w:rsidRPr="00EF74CB">
        <w:rPr>
          <w:rFonts w:ascii="Arial" w:eastAsia="Times New Roman" w:hAnsi="Arial" w:cs="Arial"/>
          <w:lang w:val="en-AU"/>
        </w:rPr>
        <w:t>NESINA</w:t>
      </w:r>
      <w:r w:rsidRPr="00EF74CB">
        <w:rPr>
          <w:rFonts w:ascii="Arial" w:eastAsia="Times New Roman" w:hAnsi="Arial" w:cs="Arial"/>
          <w:lang w:val="en-AU"/>
        </w:rPr>
        <w:t xml:space="preserve"> co-administered with pioglitazone. </w:t>
      </w:r>
      <w:r w:rsidR="009C3B58" w:rsidRPr="00EF74CB">
        <w:rPr>
          <w:rFonts w:ascii="Arial" w:eastAsia="Times New Roman" w:hAnsi="Arial" w:cs="Arial"/>
          <w:lang w:val="en-AU"/>
        </w:rPr>
        <w:t>NESINA</w:t>
      </w:r>
      <w:r w:rsidRPr="00EF74CB">
        <w:rPr>
          <w:rFonts w:ascii="Arial" w:eastAsia="Times New Roman" w:hAnsi="Arial" w:cs="Arial"/>
          <w:lang w:val="en-AU"/>
        </w:rPr>
        <w:t xml:space="preserve"> co-administered with pioglitazone resulted in statistically significant increases in fasting HDL cholesterol and decreases in triglycerides when compared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alone, however these differences were not seen in comparison to pioglitazone alone. Changes in LDL and total cholesterol were similar between treatment groups.</w:t>
      </w:r>
    </w:p>
    <w:p w:rsidR="00FA4094" w:rsidRPr="00EF74CB" w:rsidRDefault="009C3B58" w:rsidP="00FA4094">
      <w:pPr>
        <w:spacing w:after="240" w:line="240" w:lineRule="auto"/>
        <w:jc w:val="both"/>
        <w:rPr>
          <w:rFonts w:ascii="Arial" w:eastAsia="Times New Roman" w:hAnsi="Arial" w:cs="Arial"/>
          <w:i/>
          <w:lang w:val="en-AU"/>
        </w:rPr>
      </w:pPr>
      <w:r w:rsidRPr="00EF74CB">
        <w:rPr>
          <w:rFonts w:ascii="Arial" w:eastAsia="Times New Roman" w:hAnsi="Arial" w:cs="Arial"/>
          <w:i/>
          <w:lang w:val="en-AU"/>
        </w:rPr>
        <w:t>NESINA</w:t>
      </w:r>
      <w:r w:rsidR="009E7430" w:rsidRPr="00EF74CB">
        <w:rPr>
          <w:rFonts w:ascii="Arial" w:eastAsia="Times New Roman" w:hAnsi="Arial" w:cs="Arial"/>
          <w:i/>
          <w:lang w:val="en-AU"/>
        </w:rPr>
        <w:t xml:space="preserve"> </w:t>
      </w:r>
      <w:r w:rsidR="00FA4094" w:rsidRPr="00EF74CB">
        <w:rPr>
          <w:rFonts w:ascii="Arial" w:eastAsia="Times New Roman" w:hAnsi="Arial" w:cs="Arial"/>
          <w:i/>
          <w:lang w:val="en-AU"/>
        </w:rPr>
        <w:t>as add-on therapy to a thiazolidinedione (TZD)</w:t>
      </w:r>
      <w:r w:rsidR="00781291" w:rsidRPr="00EF74CB">
        <w:rPr>
          <w:rFonts w:ascii="Arial" w:eastAsia="Times New Roman" w:hAnsi="Arial" w:cs="Arial"/>
          <w:i/>
          <w:lang w:val="en-AU"/>
        </w:rPr>
        <w:t xml:space="preserve"> (Study SYR-322-TZD-009)</w:t>
      </w:r>
    </w:p>
    <w:p w:rsidR="00FA4094" w:rsidRPr="00EF74CB" w:rsidRDefault="00FA4094" w:rsidP="00FA409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addition of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once daily to pioglitazone therapy (mean dose = 35.0 mg, with or without metformin or a sulphonylurea) resulted in statistically significant improvements from baseline in HbA1c and FPG at Week 26 when compared to the addition of placebo (Table 1).  Clinically meaningful reductions in HbA1c compared to placebo were also observed with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regardless of whether patients were receiving concomitant metformin or sulphonylurea therapy.  Significantly more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(49.2%)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placebo (34.0%) at Week 26 (p=0.004).  Also, fewer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(9.0%) required hyperglycaemic rescue compared to those receiving placebo (12.4%) during the study.  </w:t>
      </w:r>
    </w:p>
    <w:p w:rsidR="00A64046" w:rsidRPr="00EF74CB" w:rsidRDefault="00A64046" w:rsidP="00A64046">
      <w:pPr>
        <w:spacing w:after="240" w:line="240" w:lineRule="auto"/>
        <w:jc w:val="both"/>
        <w:rPr>
          <w:rFonts w:ascii="Arial" w:eastAsia="Times New Roman" w:hAnsi="Arial" w:cs="Arial"/>
          <w:lang w:val="en-AU"/>
        </w:rPr>
      </w:pPr>
      <w:r w:rsidRPr="00EF74CB">
        <w:rPr>
          <w:rFonts w:ascii="Arial" w:eastAsia="Times New Roman" w:hAnsi="Arial" w:cs="Arial"/>
          <w:lang w:val="en-AU"/>
        </w:rPr>
        <w:t>Improvements in HbA1c were not affected by gender, age, race, baseline BMI, or baseline pioglitazone dose. Patients who entered the study with a higher baseline HbA1c level generally achieved a greater treatment effect. An analysis by baseline HbA1c demonstrated that patients who entered the study with a HbA1c</w:t>
      </w:r>
      <w:r w:rsidR="009A5F81" w:rsidRPr="00EF74CB">
        <w:rPr>
          <w:rFonts w:ascii="Arial" w:eastAsia="Times New Roman" w:hAnsi="Arial" w:cs="Arial"/>
          <w:lang w:val="en-AU"/>
        </w:rPr>
        <w:t xml:space="preserve"> ≥ </w:t>
      </w:r>
      <w:r w:rsidRPr="00EF74CB">
        <w:rPr>
          <w:rFonts w:ascii="Arial" w:eastAsia="Times New Roman" w:hAnsi="Arial" w:cs="Arial"/>
          <w:lang w:val="en-AU"/>
        </w:rPr>
        <w:t xml:space="preserve">8% achieved a significant mean reduction from baseline of -1.1%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versus -0.3% on placebo at Week 26. Compared to placebo, clinically meaningful reductions in HbA1c were also observed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regardless of whether subjects were receiving concomitant metformin or sulfonylurea therapy. There was no significant difference in body weight change between </w:t>
      </w:r>
      <w:r w:rsidR="009C3B58" w:rsidRPr="00EF74CB">
        <w:rPr>
          <w:rFonts w:ascii="Arial" w:eastAsia="Times New Roman" w:hAnsi="Arial" w:cs="Arial"/>
          <w:lang w:val="en-AU"/>
        </w:rPr>
        <w:t>NESINA</w:t>
      </w:r>
      <w:r w:rsidRPr="00EF74CB">
        <w:rPr>
          <w:rFonts w:ascii="Arial" w:eastAsia="Times New Roman" w:hAnsi="Arial" w:cs="Arial"/>
          <w:lang w:val="en-AU"/>
        </w:rPr>
        <w:t xml:space="preserve"> and placebo when given in combination with pioglitazone. Lipid effects were generally neutral.</w:t>
      </w:r>
    </w:p>
    <w:p w:rsidR="00FA4094" w:rsidRPr="00EF74CB" w:rsidRDefault="0009563A" w:rsidP="00FA4094">
      <w:pPr>
        <w:spacing w:after="240" w:line="240" w:lineRule="auto"/>
        <w:jc w:val="both"/>
        <w:rPr>
          <w:rFonts w:ascii="Arial" w:eastAsia="Times New Roman" w:hAnsi="Arial" w:cs="Arial"/>
          <w:i/>
          <w:lang w:val="en-AU"/>
        </w:rPr>
      </w:pPr>
      <w:r w:rsidRPr="00A0307F">
        <w:rPr>
          <w:rFonts w:ascii="Arial" w:eastAsia="Times New Roman" w:hAnsi="Arial" w:cs="Arial"/>
          <w:i/>
          <w:lang w:val="en-AU"/>
        </w:rPr>
        <w:t>NESINA as add-on therapy to a thiazolidinedione</w:t>
      </w:r>
      <w:r w:rsidR="00FA4094" w:rsidRPr="00EF74CB">
        <w:rPr>
          <w:rFonts w:ascii="Arial" w:eastAsia="Times New Roman" w:hAnsi="Arial" w:cs="Arial"/>
          <w:i/>
          <w:lang w:val="en-AU"/>
        </w:rPr>
        <w:t xml:space="preserve"> with metformin</w:t>
      </w:r>
      <w:r w:rsidR="00B93A8D" w:rsidRPr="00EF74CB">
        <w:rPr>
          <w:rFonts w:ascii="Arial" w:eastAsia="Times New Roman" w:hAnsi="Arial" w:cs="Arial"/>
          <w:i/>
          <w:lang w:val="en-AU"/>
        </w:rPr>
        <w:t xml:space="preserve"> (Study 01-06-TL-322OPI-004)</w:t>
      </w:r>
    </w:p>
    <w:p w:rsidR="00FA4094" w:rsidRPr="00EF74CB" w:rsidRDefault="00FA4094" w:rsidP="002C65F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addition of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25 mg once daily to 30 mg pioglitazone and metformin therapy (mean dose = 1867.9 mg) resulted in improvements from baseline in HbA1c at Week 52 that were both non</w:t>
      </w:r>
      <w:r w:rsidRPr="00EF74CB">
        <w:rPr>
          <w:rFonts w:ascii="Arial" w:eastAsia="Times New Roman" w:hAnsi="Arial" w:cs="Arial"/>
          <w:lang w:val="en-AU"/>
        </w:rPr>
        <w:noBreakHyphen/>
        <w:t xml:space="preserve">inferior and statistically superior to those produced by 45 mg pioglitazone and metformin therapy (mean dose = 1847.6 mg, Table 2).  The significant reductions in HbA1c observed with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plus 30 mg pioglitazone and metformin were consistent over the entire 52-week treatment period compared to 45 mg pioglitazone and metformin (p&lt;0.001 at all time points).  In addition, </w:t>
      </w:r>
      <w:r w:rsidRPr="00EF74CB" w:rsidDel="00611491">
        <w:rPr>
          <w:rFonts w:ascii="Arial" w:eastAsia="Times New Roman" w:hAnsi="Arial" w:cs="Arial"/>
          <w:lang w:val="en-AU"/>
        </w:rPr>
        <w:t>m</w:t>
      </w:r>
      <w:r w:rsidRPr="00EF74CB">
        <w:rPr>
          <w:rFonts w:ascii="Arial" w:eastAsia="Times New Roman" w:hAnsi="Arial" w:cs="Arial"/>
          <w:lang w:val="en-AU"/>
        </w:rPr>
        <w:t xml:space="preserve">ean change from baseline in FPG at Week 52 for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plus 30 mg pioglitazone and metformin was significantly greater than that for 45 mg pioglitazone and metformin (p&lt;0.001).  Significantly more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plus 30 mg pioglitazone and metformin (33.2%)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45 mg pioglitazone and metformin (21.3%) at Week 52 (p&lt;0.001).  Also, fewer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25 mg plus 30 mg pioglitazone and metformin (10.9%) required hyperglycaemic rescue compared to those receiving 45 mg pioglitazone and metformin (21.7%) during the study (p&lt;0.001).</w:t>
      </w:r>
    </w:p>
    <w:p w:rsidR="00C65456" w:rsidRPr="00EF74CB" w:rsidRDefault="00C65456" w:rsidP="00C65456">
      <w:pPr>
        <w:spacing w:after="240" w:line="240" w:lineRule="auto"/>
        <w:jc w:val="both"/>
        <w:rPr>
          <w:rFonts w:ascii="Arial" w:eastAsia="Times New Roman" w:hAnsi="Arial" w:cs="Arial"/>
          <w:lang w:val="en-AU"/>
        </w:rPr>
      </w:pPr>
      <w:r w:rsidRPr="00EF74CB">
        <w:rPr>
          <w:rFonts w:ascii="Arial" w:eastAsia="Times New Roman" w:hAnsi="Arial" w:cs="Arial"/>
          <w:lang w:val="en-AU"/>
        </w:rPr>
        <w:t>Improvements in HbA1c were not affected by gender, age, race or baseline BMI. Patients who entered the study with a higher baseline HbA1c level generally achieved a greater treatment effect. An analysis by baseline HbA1c demonstrated that patients who entered the study with a HbA1c</w:t>
      </w:r>
      <w:r w:rsidR="009642EF">
        <w:rPr>
          <w:rFonts w:ascii="Arial" w:eastAsia="Times New Roman" w:hAnsi="Arial" w:cs="Arial"/>
          <w:lang w:val="en-AU"/>
        </w:rPr>
        <w:t xml:space="preserve"> ≥ </w:t>
      </w:r>
      <w:r w:rsidRPr="00EF74CB">
        <w:rPr>
          <w:rFonts w:ascii="Arial" w:eastAsia="Times New Roman" w:hAnsi="Arial" w:cs="Arial"/>
          <w:lang w:val="en-AU"/>
        </w:rPr>
        <w:t xml:space="preserve">8% achieved a significant mean reduction from baseline of -1%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in combination with pioglitazone 30 mg and metformin compared to -0.5% in patients receiving a dose titration of pioglitazone from 30 to 45 mg in combination with metformin. A greater increase in body weight was observed in patients receiving a dose titration of pioglitazone from 30 mg to 45 mg in combination with metformin compared to patients receiving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in combination with pioglitazone 30 mg and metformin, although there was no significant difference between treatment groups. Lipid effects were generally neutral.</w:t>
      </w:r>
    </w:p>
    <w:p w:rsidR="00403D65" w:rsidRPr="00EF74CB" w:rsidRDefault="009C3B58" w:rsidP="002C65FC">
      <w:pPr>
        <w:spacing w:after="240" w:line="240" w:lineRule="auto"/>
        <w:jc w:val="both"/>
        <w:rPr>
          <w:rFonts w:ascii="Arial" w:eastAsia="Times New Roman" w:hAnsi="Arial" w:cs="Arial"/>
          <w:i/>
          <w:lang w:val="en-AU"/>
        </w:rPr>
      </w:pPr>
      <w:r w:rsidRPr="00EF74CB">
        <w:rPr>
          <w:rFonts w:ascii="Arial" w:eastAsia="Times New Roman" w:hAnsi="Arial" w:cs="Arial"/>
          <w:i/>
          <w:lang w:val="en-AU"/>
        </w:rPr>
        <w:t>NESINA</w:t>
      </w:r>
      <w:r w:rsidR="009E7430" w:rsidRPr="00EF74CB">
        <w:rPr>
          <w:rFonts w:ascii="Arial" w:eastAsia="Times New Roman" w:hAnsi="Arial" w:cs="Arial"/>
          <w:i/>
          <w:lang w:val="en-AU"/>
        </w:rPr>
        <w:t xml:space="preserve"> </w:t>
      </w:r>
      <w:r w:rsidR="00FA4094" w:rsidRPr="00EF74CB">
        <w:rPr>
          <w:rFonts w:ascii="Arial" w:eastAsia="Times New Roman" w:hAnsi="Arial" w:cs="Arial"/>
          <w:i/>
          <w:lang w:val="en-AU"/>
        </w:rPr>
        <w:t>as add-on therapy to insulin (with or without metformin)</w:t>
      </w:r>
      <w:r w:rsidR="00A47B2E" w:rsidRPr="00EF74CB">
        <w:rPr>
          <w:rFonts w:ascii="Arial" w:eastAsia="Times New Roman" w:hAnsi="Arial" w:cs="Arial"/>
          <w:i/>
          <w:lang w:val="en-AU"/>
        </w:rPr>
        <w:t xml:space="preserve"> (Study SYR-322-INS-011)</w:t>
      </w:r>
    </w:p>
    <w:p w:rsidR="00403D65" w:rsidRPr="00EF74CB" w:rsidRDefault="00FA4094" w:rsidP="00245CD8">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addition of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once daily to insulin therapy (mean dose = 56.5 IU, with or without metformin) resulted in statistically significant improvements from baseline in HbA1c and FPG at Week 26 when compared to the addition of placebo (Table 1).  Clinically meaningful reductions in HbA1c compared to placebo were also observed with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regardless of whether patients were receiving concomitant metformin therapy.  More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 xml:space="preserve">25 mg (7.8%) achieved target HbA1c levels of </w:t>
      </w:r>
      <w:r w:rsidRPr="00EF74CB">
        <w:rPr>
          <w:rFonts w:ascii="Arial" w:eastAsia="Times New Roman" w:hAnsi="Arial" w:cs="Arial"/>
          <w:lang w:val="en-AU"/>
        </w:rPr>
        <w:sym w:font="Symbol" w:char="F0A3"/>
      </w:r>
      <w:r w:rsidRPr="00EF74CB">
        <w:rPr>
          <w:rFonts w:ascii="Arial" w:eastAsia="Times New Roman" w:hAnsi="Arial" w:cs="Arial"/>
          <w:lang w:val="en-AU"/>
        </w:rPr>
        <w:t xml:space="preserve"> 7.0% compared to those receiving placebo (0.8%) at Week 26.  Also, significantly fewer patients receiving </w:t>
      </w:r>
      <w:r w:rsidR="009C3B58" w:rsidRPr="00EF74CB">
        <w:rPr>
          <w:rFonts w:ascii="Arial" w:eastAsia="Times New Roman" w:hAnsi="Arial" w:cs="Arial"/>
          <w:lang w:val="en-AU"/>
        </w:rPr>
        <w:t>NESINA</w:t>
      </w:r>
      <w:r w:rsidR="009E7430" w:rsidRPr="00EF74CB">
        <w:rPr>
          <w:rFonts w:ascii="Arial" w:eastAsia="Times New Roman" w:hAnsi="Arial" w:cs="Arial"/>
          <w:lang w:val="en-AU"/>
        </w:rPr>
        <w:t xml:space="preserve"> </w:t>
      </w:r>
      <w:r w:rsidRPr="00EF74CB">
        <w:rPr>
          <w:rFonts w:ascii="Arial" w:eastAsia="Times New Roman" w:hAnsi="Arial" w:cs="Arial"/>
          <w:lang w:val="en-AU"/>
        </w:rPr>
        <w:t>25 mg (19.4%) required hyperglycaemic rescue compared to those receiving placebo (40.0%) during the study (p&lt;0.001).</w:t>
      </w:r>
      <w:r w:rsidR="00403D65" w:rsidRPr="00EF74CB">
        <w:rPr>
          <w:rFonts w:ascii="Arial" w:eastAsia="Times New Roman" w:hAnsi="Arial" w:cs="Arial"/>
          <w:lang w:val="en-AU"/>
        </w:rPr>
        <w:t xml:space="preserve"> </w:t>
      </w:r>
    </w:p>
    <w:p w:rsidR="009C4B54" w:rsidRPr="00EF74CB" w:rsidRDefault="00E0346E" w:rsidP="009C4B5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Improvements in HbA1c were not affected by gender, age, race, baseline BMI, or baseline insulin dose. Patients who entered the study with a higher baseline </w:t>
      </w:r>
      <w:r w:rsidR="00FF656F" w:rsidRPr="00EF74CB">
        <w:rPr>
          <w:rFonts w:ascii="Arial" w:eastAsia="Times New Roman" w:hAnsi="Arial" w:cs="Arial"/>
          <w:lang w:val="en-AU"/>
        </w:rPr>
        <w:t>Hb</w:t>
      </w:r>
      <w:r w:rsidRPr="00EF74CB">
        <w:rPr>
          <w:rFonts w:ascii="Arial" w:eastAsia="Times New Roman" w:hAnsi="Arial" w:cs="Arial"/>
          <w:lang w:val="en-AU"/>
        </w:rPr>
        <w:t>A1</w:t>
      </w:r>
      <w:r w:rsidR="00FF656F" w:rsidRPr="00EF74CB">
        <w:rPr>
          <w:rFonts w:ascii="Arial" w:eastAsia="Times New Roman" w:hAnsi="Arial" w:cs="Arial"/>
          <w:lang w:val="en-AU"/>
        </w:rPr>
        <w:t>c</w:t>
      </w:r>
      <w:r w:rsidRPr="00EF74CB">
        <w:rPr>
          <w:rFonts w:ascii="Arial" w:eastAsia="Times New Roman" w:hAnsi="Arial" w:cs="Arial"/>
          <w:lang w:val="en-AU"/>
        </w:rPr>
        <w:t xml:space="preserve"> level generally achieved a greater treatment effect. An analysis by baseline HbA1c demonstrated that patients who entered the study with a </w:t>
      </w:r>
      <w:r w:rsidR="00BF3779" w:rsidRPr="00EF74CB">
        <w:rPr>
          <w:rFonts w:ascii="Arial" w:eastAsia="Times New Roman" w:hAnsi="Arial" w:cs="Arial"/>
          <w:lang w:val="en-AU"/>
        </w:rPr>
        <w:t>HbA1c</w:t>
      </w:r>
      <w:r w:rsidR="008F33ED" w:rsidRPr="00EF74CB">
        <w:rPr>
          <w:rFonts w:ascii="Arial" w:eastAsia="Times New Roman" w:hAnsi="Arial" w:cs="Arial"/>
          <w:lang w:val="en-AU"/>
        </w:rPr>
        <w:t xml:space="preserve"> ≥ </w:t>
      </w:r>
      <w:r w:rsidR="00BF3779" w:rsidRPr="00EF74CB">
        <w:rPr>
          <w:rFonts w:ascii="Arial" w:eastAsia="Times New Roman" w:hAnsi="Arial" w:cs="Arial"/>
          <w:lang w:val="en-AU"/>
        </w:rPr>
        <w:t>9%</w:t>
      </w:r>
      <w:r w:rsidRPr="00EF74CB">
        <w:rPr>
          <w:rFonts w:ascii="Arial" w:eastAsia="Times New Roman" w:hAnsi="Arial" w:cs="Arial"/>
          <w:lang w:val="en-AU"/>
        </w:rPr>
        <w:t xml:space="preserve"> achieved significant reductions from baseline of -0.8% on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versus -0.3% with placebo at Week 26. Compared to placebo, clinically meaningful reductions in HbA1c were also observed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regardless of whether patients were also receiving concomitant metformin therapy. Body weight changes were similar between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and placebo when given in combination with insulin. Lipid effects were generally neutral.</w:t>
      </w:r>
    </w:p>
    <w:p w:rsidR="00403D65" w:rsidRPr="00EF74CB" w:rsidRDefault="00FA4094" w:rsidP="00976406">
      <w:pPr>
        <w:keepLines/>
        <w:widowControl w:val="0"/>
        <w:spacing w:after="0" w:line="240" w:lineRule="auto"/>
        <w:jc w:val="both"/>
        <w:rPr>
          <w:rFonts w:ascii="Arial" w:hAnsi="Arial" w:cs="Arial"/>
          <w:b/>
          <w:sz w:val="18"/>
          <w:szCs w:val="18"/>
          <w:lang w:val="en-AU"/>
        </w:rPr>
      </w:pPr>
      <w:r w:rsidRPr="00EF74CB">
        <w:rPr>
          <w:rFonts w:ascii="Arial" w:hAnsi="Arial" w:cs="Arial"/>
          <w:b/>
          <w:sz w:val="18"/>
          <w:szCs w:val="18"/>
          <w:lang w:val="en-AU"/>
        </w:rPr>
        <w:t xml:space="preserve">Table </w:t>
      </w:r>
      <w:r w:rsidR="00BC6C8C" w:rsidRPr="00EF74CB">
        <w:rPr>
          <w:rFonts w:ascii="Arial" w:hAnsi="Arial" w:cs="Arial"/>
          <w:b/>
          <w:sz w:val="18"/>
          <w:szCs w:val="18"/>
          <w:lang w:val="en-AU"/>
        </w:rPr>
        <w:fldChar w:fldCharType="begin"/>
      </w:r>
      <w:r w:rsidRPr="00EF74CB">
        <w:rPr>
          <w:rFonts w:ascii="Arial" w:hAnsi="Arial" w:cs="Arial"/>
          <w:b/>
          <w:sz w:val="18"/>
          <w:szCs w:val="18"/>
          <w:lang w:val="en-AU"/>
        </w:rPr>
        <w:instrText xml:space="preserve"> SEQ Table \* ARABIC </w:instrText>
      </w:r>
      <w:r w:rsidR="00BC6C8C" w:rsidRPr="00EF74CB">
        <w:rPr>
          <w:rFonts w:ascii="Arial" w:hAnsi="Arial" w:cs="Arial"/>
          <w:b/>
          <w:sz w:val="18"/>
          <w:szCs w:val="18"/>
          <w:lang w:val="en-AU"/>
        </w:rPr>
        <w:fldChar w:fldCharType="separate"/>
      </w:r>
      <w:r w:rsidR="00BC20FD" w:rsidRPr="00EF74CB">
        <w:rPr>
          <w:rFonts w:ascii="Arial" w:hAnsi="Arial" w:cs="Arial"/>
          <w:b/>
          <w:noProof/>
          <w:sz w:val="18"/>
          <w:szCs w:val="18"/>
          <w:lang w:val="en-AU"/>
        </w:rPr>
        <w:t>1</w:t>
      </w:r>
      <w:r w:rsidR="00BC6C8C" w:rsidRPr="00EF74CB">
        <w:rPr>
          <w:rFonts w:ascii="Arial" w:hAnsi="Arial" w:cs="Arial"/>
          <w:b/>
          <w:sz w:val="18"/>
          <w:szCs w:val="18"/>
          <w:lang w:val="en-AU"/>
        </w:rPr>
        <w:fldChar w:fldCharType="end"/>
      </w:r>
      <w:r w:rsidRPr="00EF74CB">
        <w:rPr>
          <w:rFonts w:ascii="Arial" w:hAnsi="Arial" w:cs="Arial"/>
          <w:b/>
          <w:sz w:val="18"/>
          <w:szCs w:val="18"/>
          <w:lang w:val="en-AU"/>
        </w:rPr>
        <w:tab/>
        <w:t xml:space="preserve">Change in HbA1c (%) from baseline with </w:t>
      </w:r>
      <w:r w:rsidR="009C3B58" w:rsidRPr="00EF74CB">
        <w:rPr>
          <w:rFonts w:ascii="Arial" w:hAnsi="Arial" w:cs="Arial"/>
          <w:b/>
          <w:sz w:val="18"/>
          <w:szCs w:val="18"/>
          <w:lang w:val="en-AU"/>
        </w:rPr>
        <w:t>NESINA</w:t>
      </w:r>
      <w:r w:rsidR="009E7430" w:rsidRPr="00EF74CB">
        <w:rPr>
          <w:rFonts w:ascii="Arial" w:hAnsi="Arial" w:cs="Arial"/>
          <w:b/>
          <w:sz w:val="18"/>
          <w:szCs w:val="18"/>
          <w:lang w:val="en-AU"/>
        </w:rPr>
        <w:t xml:space="preserve"> </w:t>
      </w:r>
      <w:r w:rsidRPr="00EF74CB">
        <w:rPr>
          <w:rFonts w:ascii="Arial" w:hAnsi="Arial" w:cs="Arial"/>
          <w:b/>
          <w:sz w:val="18"/>
          <w:szCs w:val="18"/>
          <w:lang w:val="en-AU"/>
        </w:rPr>
        <w:t xml:space="preserve">25 mg at Week 26 by placebo- or </w:t>
      </w:r>
      <w:r w:rsidR="0082273E" w:rsidRPr="00EF74CB">
        <w:rPr>
          <w:rFonts w:ascii="Arial" w:hAnsi="Arial" w:cs="Arial"/>
          <w:b/>
          <w:sz w:val="18"/>
          <w:szCs w:val="18"/>
          <w:lang w:val="en-AU"/>
        </w:rPr>
        <w:t>a</w:t>
      </w:r>
      <w:r w:rsidRPr="00EF74CB">
        <w:rPr>
          <w:rFonts w:ascii="Arial" w:hAnsi="Arial" w:cs="Arial"/>
          <w:b/>
          <w:sz w:val="18"/>
          <w:szCs w:val="18"/>
          <w:lang w:val="en-AU"/>
        </w:rPr>
        <w:t>ctive</w:t>
      </w:r>
      <w:r w:rsidRPr="00EF74CB">
        <w:rPr>
          <w:rFonts w:ascii="Arial" w:hAnsi="Arial" w:cs="Arial"/>
          <w:b/>
          <w:sz w:val="18"/>
          <w:szCs w:val="18"/>
          <w:lang w:val="en-AU"/>
        </w:rPr>
        <w:noBreakHyphen/>
        <w:t>controlled study (FAS, LOCF)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993"/>
        <w:gridCol w:w="992"/>
        <w:gridCol w:w="1134"/>
        <w:gridCol w:w="1276"/>
        <w:gridCol w:w="1275"/>
      </w:tblGrid>
      <w:tr w:rsidR="00403D65" w:rsidRPr="00EF74CB" w:rsidTr="00E26BD3">
        <w:tc>
          <w:tcPr>
            <w:tcW w:w="3402" w:type="dxa"/>
          </w:tcPr>
          <w:p w:rsidR="00403D65" w:rsidRPr="00EF74CB" w:rsidRDefault="00403D65" w:rsidP="009C4B54">
            <w:pPr>
              <w:keepLines/>
              <w:widowControl w:val="0"/>
              <w:spacing w:after="0"/>
              <w:rPr>
                <w:rFonts w:ascii="Arial" w:eastAsia="Calibri" w:hAnsi="Arial" w:cs="Arial"/>
                <w:b/>
                <w:sz w:val="18"/>
                <w:szCs w:val="18"/>
                <w:lang w:val="en-AU"/>
              </w:rPr>
            </w:pPr>
            <w:r w:rsidRPr="00EF74CB">
              <w:rPr>
                <w:rFonts w:ascii="Arial" w:eastAsia="Calibri" w:hAnsi="Arial" w:cs="Arial"/>
                <w:b/>
                <w:sz w:val="18"/>
                <w:szCs w:val="18"/>
                <w:lang w:val="en-AU"/>
              </w:rPr>
              <w:t>Study</w:t>
            </w:r>
          </w:p>
        </w:tc>
        <w:tc>
          <w:tcPr>
            <w:tcW w:w="993" w:type="dxa"/>
          </w:tcPr>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FAS patients</w:t>
            </w:r>
          </w:p>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(n)</w:t>
            </w:r>
          </w:p>
          <w:p w:rsidR="00403D65" w:rsidRPr="00EF74CB" w:rsidRDefault="00403D65" w:rsidP="009C4B54">
            <w:pPr>
              <w:keepLines/>
              <w:widowControl w:val="0"/>
              <w:spacing w:after="0"/>
              <w:jc w:val="center"/>
              <w:rPr>
                <w:rFonts w:ascii="Arial" w:eastAsia="Calibri" w:hAnsi="Arial" w:cs="Arial"/>
                <w:b/>
                <w:sz w:val="18"/>
                <w:szCs w:val="18"/>
                <w:lang w:val="en-AU"/>
              </w:rPr>
            </w:pPr>
          </w:p>
        </w:tc>
        <w:tc>
          <w:tcPr>
            <w:tcW w:w="992" w:type="dxa"/>
          </w:tcPr>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 xml:space="preserve">Mean baseline HbA1c (%) </w:t>
            </w:r>
          </w:p>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(SD)</w:t>
            </w:r>
          </w:p>
        </w:tc>
        <w:tc>
          <w:tcPr>
            <w:tcW w:w="1134" w:type="dxa"/>
          </w:tcPr>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 xml:space="preserve">Least squares mean change from baseline in HbA1c (%) </w:t>
            </w:r>
          </w:p>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(SE)</w:t>
            </w:r>
          </w:p>
        </w:tc>
        <w:tc>
          <w:tcPr>
            <w:tcW w:w="1276" w:type="dxa"/>
          </w:tcPr>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Treatment-corrected least squares mean change from baseline in HbA1c (%) (2-sided 95% CI)</w:t>
            </w:r>
          </w:p>
        </w:tc>
        <w:tc>
          <w:tcPr>
            <w:tcW w:w="1275" w:type="dxa"/>
          </w:tcPr>
          <w:p w:rsidR="00403D65" w:rsidRPr="00EF74CB" w:rsidRDefault="00403D65"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Statistical significance compared to placebo / active-control</w:t>
            </w:r>
          </w:p>
        </w:tc>
      </w:tr>
      <w:tr w:rsidR="00403D65" w:rsidRPr="00EF74CB" w:rsidTr="00E26BD3">
        <w:tc>
          <w:tcPr>
            <w:tcW w:w="9072" w:type="dxa"/>
            <w:gridSpan w:val="6"/>
          </w:tcPr>
          <w:p w:rsidR="00403D65" w:rsidRPr="00EF74CB" w:rsidRDefault="00403D65" w:rsidP="00F768A4">
            <w:pPr>
              <w:keepLines/>
              <w:widowControl w:val="0"/>
              <w:spacing w:after="0"/>
              <w:rPr>
                <w:rFonts w:ascii="Arial" w:eastAsia="Calibri" w:hAnsi="Arial" w:cs="Arial"/>
                <w:i/>
                <w:noProof/>
                <w:sz w:val="18"/>
                <w:szCs w:val="18"/>
                <w:lang w:val="en-AU" w:eastAsia="sv-SE"/>
              </w:rPr>
            </w:pPr>
            <w:r w:rsidRPr="00EF74CB">
              <w:rPr>
                <w:rFonts w:ascii="Arial" w:eastAsia="Calibri" w:hAnsi="Arial" w:cs="Arial"/>
                <w:i/>
                <w:noProof/>
                <w:sz w:val="18"/>
                <w:szCs w:val="18"/>
                <w:lang w:val="en-AU"/>
              </w:rPr>
              <w:t xml:space="preserve">Add-on </w:t>
            </w:r>
            <w:r w:rsidRPr="00EF74CB">
              <w:rPr>
                <w:rFonts w:ascii="Arial" w:eastAsia="Calibri" w:hAnsi="Arial" w:cs="Arial"/>
                <w:i/>
                <w:noProof/>
                <w:sz w:val="18"/>
                <w:szCs w:val="18"/>
                <w:lang w:val="en-AU" w:eastAsia="sv-SE"/>
              </w:rPr>
              <w:t xml:space="preserve">combination therapy </w:t>
            </w:r>
            <w:r w:rsidR="000F6F6A" w:rsidRPr="00EF74CB">
              <w:rPr>
                <w:rFonts w:ascii="Arial" w:eastAsia="Calibri" w:hAnsi="Arial" w:cs="Arial"/>
                <w:i/>
                <w:noProof/>
                <w:sz w:val="18"/>
                <w:szCs w:val="18"/>
                <w:lang w:val="en-AU" w:eastAsia="sv-SE"/>
              </w:rPr>
              <w:t xml:space="preserve">with metformin, </w:t>
            </w:r>
            <w:r w:rsidR="00067C45" w:rsidRPr="00EF74CB">
              <w:rPr>
                <w:rFonts w:ascii="Arial" w:eastAsia="Calibri" w:hAnsi="Arial" w:cs="Arial"/>
                <w:i/>
                <w:noProof/>
                <w:sz w:val="18"/>
                <w:szCs w:val="18"/>
                <w:lang w:val="en-AU" w:eastAsia="sv-SE"/>
              </w:rPr>
              <w:t xml:space="preserve">or </w:t>
            </w:r>
            <w:r w:rsidR="000F6F6A" w:rsidRPr="00EF74CB">
              <w:rPr>
                <w:rFonts w:ascii="Arial" w:eastAsia="Calibri" w:hAnsi="Arial" w:cs="Arial"/>
                <w:i/>
                <w:noProof/>
                <w:sz w:val="18"/>
                <w:szCs w:val="18"/>
                <w:lang w:val="en-AU" w:eastAsia="sv-SE"/>
              </w:rPr>
              <w:t>SU</w:t>
            </w:r>
            <w:r w:rsidR="00067C45" w:rsidRPr="00EF74CB">
              <w:rPr>
                <w:rFonts w:ascii="Arial" w:eastAsia="Calibri" w:hAnsi="Arial" w:cs="Arial"/>
                <w:i/>
                <w:noProof/>
                <w:sz w:val="18"/>
                <w:szCs w:val="18"/>
                <w:lang w:val="en-AU" w:eastAsia="sv-SE"/>
              </w:rPr>
              <w:t>,</w:t>
            </w:r>
            <w:r w:rsidR="000F6F6A" w:rsidRPr="00EF74CB">
              <w:rPr>
                <w:rFonts w:ascii="Arial" w:eastAsia="Calibri" w:hAnsi="Arial" w:cs="Arial"/>
                <w:i/>
                <w:noProof/>
                <w:sz w:val="18"/>
                <w:szCs w:val="18"/>
                <w:lang w:val="en-AU" w:eastAsia="sv-SE"/>
              </w:rPr>
              <w:t xml:space="preserve"> or insulin (with or without metformin)</w:t>
            </w:r>
            <w:r w:rsidR="00F768A4" w:rsidRPr="00EF74CB">
              <w:rPr>
                <w:rFonts w:ascii="Arial" w:eastAsia="Calibri" w:hAnsi="Arial" w:cs="Arial"/>
                <w:i/>
                <w:noProof/>
                <w:sz w:val="18"/>
                <w:szCs w:val="18"/>
                <w:lang w:val="en-AU" w:eastAsia="sv-SE"/>
              </w:rPr>
              <w:t xml:space="preserve"> [</w:t>
            </w:r>
            <w:r w:rsidR="00F768A4" w:rsidRPr="00EF74CB">
              <w:rPr>
                <w:rFonts w:ascii="Arial" w:eastAsia="Calibri" w:hAnsi="Arial" w:cs="Arial"/>
                <w:i/>
                <w:sz w:val="18"/>
                <w:szCs w:val="18"/>
                <w:lang w:val="en-AU"/>
              </w:rPr>
              <w:t>placebo-controlled</w:t>
            </w:r>
            <w:r w:rsidR="00F768A4" w:rsidRPr="00EF74CB">
              <w:rPr>
                <w:rFonts w:ascii="Arial" w:eastAsia="Calibri" w:hAnsi="Arial" w:cs="Arial"/>
                <w:i/>
                <w:noProof/>
                <w:sz w:val="18"/>
                <w:szCs w:val="18"/>
                <w:lang w:val="en-AU" w:eastAsia="sv-SE"/>
              </w:rPr>
              <w:t>]</w:t>
            </w:r>
          </w:p>
        </w:tc>
      </w:tr>
      <w:tr w:rsidR="00403D65" w:rsidRPr="00EF74CB" w:rsidTr="00E26BD3">
        <w:tc>
          <w:tcPr>
            <w:tcW w:w="3402" w:type="dxa"/>
          </w:tcPr>
          <w:p w:rsidR="00D04C07" w:rsidRPr="00EF74CB" w:rsidRDefault="009C3B58" w:rsidP="009C4B54">
            <w:pPr>
              <w:keepLines/>
              <w:widowControl w:val="0"/>
              <w:spacing w:after="0"/>
              <w:ind w:left="180"/>
              <w:rPr>
                <w:rFonts w:ascii="Arial" w:eastAsia="Calibri" w:hAnsi="Arial" w:cs="Arial"/>
                <w:noProof/>
                <w:sz w:val="18"/>
                <w:szCs w:val="18"/>
                <w:lang w:val="en-AU"/>
              </w:rPr>
            </w:pPr>
            <w:r w:rsidRPr="00EF74CB">
              <w:rPr>
                <w:rFonts w:ascii="Arial" w:eastAsia="Calibri" w:hAnsi="Arial" w:cs="Arial"/>
                <w:sz w:val="18"/>
                <w:szCs w:val="18"/>
                <w:lang w:val="en-AU"/>
              </w:rPr>
              <w:t>NESINA</w:t>
            </w:r>
            <w:r w:rsidR="009E7430" w:rsidRPr="00EF74CB">
              <w:rPr>
                <w:rFonts w:ascii="Arial" w:eastAsia="Calibri" w:hAnsi="Arial" w:cs="Arial"/>
                <w:sz w:val="18"/>
                <w:szCs w:val="18"/>
                <w:lang w:val="en-AU"/>
              </w:rPr>
              <w:t xml:space="preserve"> </w:t>
            </w:r>
            <w:r w:rsidR="00403D65" w:rsidRPr="00EF74CB">
              <w:rPr>
                <w:rFonts w:ascii="Arial" w:eastAsia="Calibri" w:hAnsi="Arial" w:cs="Arial"/>
                <w:sz w:val="18"/>
                <w:szCs w:val="18"/>
                <w:lang w:val="en-AU"/>
              </w:rPr>
              <w:t xml:space="preserve">25 mg once daily </w:t>
            </w:r>
            <w:r w:rsidR="00403D65" w:rsidRPr="00EF74CB">
              <w:rPr>
                <w:rFonts w:ascii="Arial" w:eastAsia="Calibri" w:hAnsi="Arial" w:cs="Arial"/>
                <w:noProof/>
                <w:sz w:val="18"/>
                <w:szCs w:val="18"/>
                <w:lang w:val="en-AU"/>
              </w:rPr>
              <w:t>with metformin</w:t>
            </w:r>
            <w:r w:rsidR="001663E9" w:rsidRPr="00EF74CB">
              <w:rPr>
                <w:rFonts w:ascii="Arial" w:eastAsia="Calibri" w:hAnsi="Arial" w:cs="Arial"/>
                <w:noProof/>
                <w:sz w:val="18"/>
                <w:szCs w:val="18"/>
                <w:lang w:val="en-AU"/>
              </w:rPr>
              <w:t xml:space="preserve"> </w:t>
            </w:r>
          </w:p>
          <w:p w:rsidR="00403D65" w:rsidRPr="00EF74CB" w:rsidRDefault="001663E9" w:rsidP="009C4B54">
            <w:pPr>
              <w:keepLines/>
              <w:widowControl w:val="0"/>
              <w:spacing w:after="0"/>
              <w:ind w:left="180"/>
              <w:rPr>
                <w:rFonts w:ascii="Arial" w:eastAsia="Calibri" w:hAnsi="Arial" w:cs="Arial"/>
                <w:noProof/>
                <w:sz w:val="18"/>
                <w:szCs w:val="18"/>
                <w:lang w:val="en-AU"/>
              </w:rPr>
            </w:pPr>
            <w:r w:rsidRPr="00EF74CB">
              <w:rPr>
                <w:rFonts w:ascii="Arial" w:eastAsia="Calibri" w:hAnsi="Arial" w:cs="Arial"/>
                <w:noProof/>
                <w:sz w:val="18"/>
                <w:szCs w:val="18"/>
                <w:lang w:val="en-AU"/>
              </w:rPr>
              <w:t>(Study SYR-322-MET-008)</w:t>
            </w:r>
          </w:p>
        </w:tc>
        <w:tc>
          <w:tcPr>
            <w:tcW w:w="993"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203</w:t>
            </w:r>
          </w:p>
        </w:tc>
        <w:tc>
          <w:tcPr>
            <w:tcW w:w="992"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7.93</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(0.799)</w:t>
            </w:r>
          </w:p>
        </w:tc>
        <w:tc>
          <w:tcPr>
            <w:tcW w:w="1134"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-0.59</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(0.054)</w:t>
            </w:r>
          </w:p>
        </w:tc>
        <w:tc>
          <w:tcPr>
            <w:tcW w:w="1276"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-0.48*</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(-0.67, -0.30)</w:t>
            </w:r>
          </w:p>
        </w:tc>
        <w:tc>
          <w:tcPr>
            <w:tcW w:w="1275" w:type="dxa"/>
          </w:tcPr>
          <w:p w:rsidR="00403D65" w:rsidRPr="00EF74CB" w:rsidRDefault="002A013C" w:rsidP="009C4B54">
            <w:pPr>
              <w:keepLines/>
              <w:widowControl w:val="0"/>
              <w:spacing w:after="0"/>
              <w:jc w:val="center"/>
              <w:rPr>
                <w:rFonts w:ascii="Arial" w:eastAsia="Calibri" w:hAnsi="Arial" w:cs="Arial"/>
                <w:b/>
                <w:sz w:val="18"/>
                <w:szCs w:val="18"/>
                <w:lang w:val="en-AU"/>
              </w:rPr>
            </w:pPr>
            <w:r w:rsidRPr="00EF74CB">
              <w:rPr>
                <w:rFonts w:ascii="Arial" w:eastAsia="Calibri" w:hAnsi="Arial" w:cs="Arial"/>
                <w:sz w:val="18"/>
                <w:szCs w:val="18"/>
                <w:lang w:val="en-AU"/>
              </w:rPr>
              <w:t>p</w:t>
            </w:r>
            <w:r w:rsidR="00403D65" w:rsidRPr="00EF74CB">
              <w:rPr>
                <w:rFonts w:ascii="Arial" w:eastAsia="Calibri" w:hAnsi="Arial" w:cs="Arial"/>
                <w:sz w:val="18"/>
                <w:szCs w:val="18"/>
                <w:lang w:val="en-AU"/>
              </w:rPr>
              <w:t>&lt;0.001</w:t>
            </w:r>
          </w:p>
        </w:tc>
      </w:tr>
      <w:tr w:rsidR="00403D65" w:rsidRPr="00EF74CB" w:rsidTr="00E26BD3">
        <w:tc>
          <w:tcPr>
            <w:tcW w:w="3402" w:type="dxa"/>
          </w:tcPr>
          <w:p w:rsidR="00D04C07" w:rsidRPr="00EF74CB" w:rsidRDefault="009C3B58" w:rsidP="00ED60CC">
            <w:pPr>
              <w:spacing w:after="0" w:line="240" w:lineRule="auto"/>
              <w:ind w:left="176"/>
              <w:jc w:val="both"/>
              <w:rPr>
                <w:rFonts w:ascii="Arial" w:eastAsia="Calibri" w:hAnsi="Arial" w:cs="Arial"/>
                <w:noProof/>
                <w:sz w:val="18"/>
                <w:szCs w:val="18"/>
                <w:lang w:val="en-AU"/>
              </w:rPr>
            </w:pPr>
            <w:r w:rsidRPr="00EF74CB">
              <w:rPr>
                <w:rFonts w:ascii="Arial" w:eastAsia="Calibri" w:hAnsi="Arial" w:cs="Arial"/>
                <w:noProof/>
                <w:sz w:val="18"/>
                <w:szCs w:val="18"/>
                <w:lang w:val="en-AU"/>
              </w:rPr>
              <w:t>NESINA</w:t>
            </w:r>
            <w:r w:rsidR="009E7430" w:rsidRPr="00EF74CB">
              <w:rPr>
                <w:rFonts w:ascii="Arial" w:eastAsia="Calibri" w:hAnsi="Arial" w:cs="Arial"/>
                <w:noProof/>
                <w:sz w:val="18"/>
                <w:szCs w:val="18"/>
                <w:lang w:val="en-AU"/>
              </w:rPr>
              <w:t xml:space="preserve"> </w:t>
            </w:r>
            <w:r w:rsidR="00403D65" w:rsidRPr="00EF74CB">
              <w:rPr>
                <w:rFonts w:ascii="Arial" w:eastAsia="Calibri" w:hAnsi="Arial" w:cs="Arial"/>
                <w:noProof/>
                <w:sz w:val="18"/>
                <w:szCs w:val="18"/>
                <w:lang w:val="en-AU"/>
              </w:rPr>
              <w:t>25 mg once daily with a SU</w:t>
            </w:r>
            <w:r w:rsidR="001A0ACE" w:rsidRPr="00EF74CB">
              <w:rPr>
                <w:rFonts w:ascii="Arial" w:eastAsia="Calibri" w:hAnsi="Arial" w:cs="Arial"/>
                <w:noProof/>
                <w:sz w:val="18"/>
                <w:szCs w:val="18"/>
                <w:lang w:val="en-AU"/>
              </w:rPr>
              <w:t xml:space="preserve"> </w:t>
            </w:r>
          </w:p>
          <w:p w:rsidR="00403D65" w:rsidRPr="00EF74CB" w:rsidRDefault="001A0ACE" w:rsidP="00ED60CC">
            <w:pPr>
              <w:spacing w:after="0" w:line="240" w:lineRule="auto"/>
              <w:ind w:left="176"/>
              <w:jc w:val="both"/>
              <w:rPr>
                <w:rFonts w:ascii="Arial" w:eastAsia="Calibri" w:hAnsi="Arial" w:cs="Arial"/>
                <w:sz w:val="18"/>
                <w:szCs w:val="18"/>
                <w:lang w:val="en-AU"/>
              </w:rPr>
            </w:pPr>
            <w:r w:rsidRPr="00EF74CB">
              <w:rPr>
                <w:rFonts w:ascii="Arial" w:eastAsia="Calibri" w:hAnsi="Arial" w:cs="Arial"/>
                <w:noProof/>
                <w:sz w:val="18"/>
                <w:szCs w:val="18"/>
                <w:lang w:val="en-AU"/>
              </w:rPr>
              <w:t>(Study SYR-322-SULF-007)</w:t>
            </w:r>
          </w:p>
        </w:tc>
        <w:tc>
          <w:tcPr>
            <w:tcW w:w="993"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197</w:t>
            </w:r>
          </w:p>
        </w:tc>
        <w:tc>
          <w:tcPr>
            <w:tcW w:w="992"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8.09</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(0.898)</w:t>
            </w:r>
          </w:p>
        </w:tc>
        <w:tc>
          <w:tcPr>
            <w:tcW w:w="1134"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-0.52</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(0.058)</w:t>
            </w:r>
          </w:p>
        </w:tc>
        <w:tc>
          <w:tcPr>
            <w:tcW w:w="1276" w:type="dxa"/>
          </w:tcPr>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-0.53*</w:t>
            </w:r>
          </w:p>
          <w:p w:rsidR="00403D65" w:rsidRPr="00EF74CB" w:rsidRDefault="00403D65"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(-0.73, -0.33)</w:t>
            </w:r>
          </w:p>
        </w:tc>
        <w:tc>
          <w:tcPr>
            <w:tcW w:w="1275" w:type="dxa"/>
          </w:tcPr>
          <w:p w:rsidR="00403D65" w:rsidRPr="00EF74CB" w:rsidRDefault="002A013C" w:rsidP="009C4B54">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p</w:t>
            </w:r>
            <w:r w:rsidR="00403D65" w:rsidRPr="00EF74CB">
              <w:rPr>
                <w:rFonts w:ascii="Arial" w:eastAsia="Calibri" w:hAnsi="Arial" w:cs="Arial"/>
                <w:sz w:val="18"/>
                <w:szCs w:val="18"/>
                <w:lang w:val="en-AU"/>
              </w:rPr>
              <w:t>&lt;0.001</w:t>
            </w:r>
          </w:p>
        </w:tc>
      </w:tr>
      <w:tr w:rsidR="00D85C78" w:rsidRPr="00EF74CB" w:rsidTr="00932C45">
        <w:tc>
          <w:tcPr>
            <w:tcW w:w="3402" w:type="dxa"/>
            <w:tcBorders>
              <w:top w:val="nil"/>
            </w:tcBorders>
          </w:tcPr>
          <w:p w:rsidR="00D85C78" w:rsidRPr="00EF74CB" w:rsidRDefault="009C3B58" w:rsidP="00C8389E">
            <w:pPr>
              <w:keepLines/>
              <w:widowControl w:val="0"/>
              <w:spacing w:after="0"/>
              <w:ind w:left="180"/>
              <w:rPr>
                <w:rFonts w:ascii="Arial" w:eastAsia="Calibri" w:hAnsi="Arial" w:cs="Arial"/>
                <w:sz w:val="18"/>
                <w:szCs w:val="18"/>
                <w:lang w:val="en-AU"/>
              </w:rPr>
            </w:pPr>
            <w:r w:rsidRPr="00EF74CB">
              <w:rPr>
                <w:rFonts w:ascii="Arial" w:eastAsia="Calibri" w:hAnsi="Arial" w:cs="Arial"/>
                <w:sz w:val="18"/>
                <w:szCs w:val="18"/>
                <w:lang w:val="en-AU"/>
              </w:rPr>
              <w:t>NESINA</w:t>
            </w:r>
            <w:r w:rsidR="00D85C78" w:rsidRPr="00EF74CB">
              <w:rPr>
                <w:rFonts w:ascii="Arial" w:eastAsia="Calibri" w:hAnsi="Arial" w:cs="Arial"/>
                <w:sz w:val="18"/>
                <w:szCs w:val="18"/>
                <w:lang w:val="en-AU"/>
              </w:rPr>
              <w:t xml:space="preserve"> 25 mg once daily with insulin (+/-) metformin </w:t>
            </w:r>
          </w:p>
          <w:p w:rsidR="00D85C78" w:rsidRPr="00EF74CB" w:rsidRDefault="00D85C78" w:rsidP="00C8389E">
            <w:pPr>
              <w:keepLines/>
              <w:widowControl w:val="0"/>
              <w:spacing w:after="0"/>
              <w:ind w:left="180"/>
              <w:rPr>
                <w:rFonts w:ascii="Arial" w:eastAsia="Calibri" w:hAnsi="Arial" w:cs="Arial"/>
                <w:sz w:val="18"/>
                <w:szCs w:val="18"/>
                <w:lang w:val="en-AU"/>
              </w:rPr>
            </w:pPr>
            <w:r w:rsidRPr="00EF74CB">
              <w:rPr>
                <w:rFonts w:ascii="Arial" w:eastAsia="Calibri" w:hAnsi="Arial" w:cs="Arial"/>
                <w:sz w:val="18"/>
                <w:szCs w:val="18"/>
                <w:lang w:val="en-AU"/>
              </w:rPr>
              <w:t>(Study SYR-322-INS-011)</w:t>
            </w:r>
          </w:p>
        </w:tc>
        <w:tc>
          <w:tcPr>
            <w:tcW w:w="993" w:type="dxa"/>
            <w:tcBorders>
              <w:top w:val="nil"/>
            </w:tcBorders>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126</w:t>
            </w:r>
          </w:p>
        </w:tc>
        <w:tc>
          <w:tcPr>
            <w:tcW w:w="992" w:type="dxa"/>
            <w:tcBorders>
              <w:top w:val="nil"/>
            </w:tcBorders>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9.27</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(1.127)</w:t>
            </w:r>
          </w:p>
        </w:tc>
        <w:tc>
          <w:tcPr>
            <w:tcW w:w="1134" w:type="dxa"/>
            <w:tcBorders>
              <w:top w:val="nil"/>
            </w:tcBorders>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-0.71</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(0.078)</w:t>
            </w:r>
          </w:p>
        </w:tc>
        <w:tc>
          <w:tcPr>
            <w:tcW w:w="1276" w:type="dxa"/>
            <w:tcBorders>
              <w:top w:val="nil"/>
            </w:tcBorders>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-0.59*</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(-0.80, -0.37)</w:t>
            </w:r>
          </w:p>
        </w:tc>
        <w:tc>
          <w:tcPr>
            <w:tcW w:w="1275" w:type="dxa"/>
            <w:tcBorders>
              <w:top w:val="nil"/>
            </w:tcBorders>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p&lt;0.001</w:t>
            </w:r>
          </w:p>
        </w:tc>
      </w:tr>
    </w:tbl>
    <w:p w:rsidR="003F5988" w:rsidRDefault="003F5988"/>
    <w:p w:rsidR="003F5988" w:rsidRDefault="003F5988"/>
    <w:p w:rsidR="003F5988" w:rsidRPr="00EE426C" w:rsidRDefault="00EE426C" w:rsidP="00EE426C">
      <w:pPr>
        <w:jc w:val="right"/>
        <w:rPr>
          <w:rFonts w:ascii="Arial" w:eastAsia="Calibri" w:hAnsi="Arial" w:cs="Arial"/>
          <w:sz w:val="18"/>
          <w:szCs w:val="18"/>
          <w:lang w:val="en-AU"/>
        </w:rPr>
      </w:pPr>
      <w:r w:rsidRPr="00EE426C">
        <w:rPr>
          <w:rFonts w:ascii="Arial" w:eastAsia="Calibri" w:hAnsi="Arial" w:cs="Arial"/>
          <w:sz w:val="18"/>
          <w:szCs w:val="18"/>
          <w:lang w:val="en-AU"/>
        </w:rPr>
        <w:t>(cont.)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993"/>
        <w:gridCol w:w="424"/>
        <w:gridCol w:w="568"/>
        <w:gridCol w:w="1134"/>
        <w:gridCol w:w="1276"/>
        <w:gridCol w:w="1275"/>
      </w:tblGrid>
      <w:tr w:rsidR="00EE426C" w:rsidRPr="00EF74CB" w:rsidTr="00386BF4">
        <w:tc>
          <w:tcPr>
            <w:tcW w:w="3402" w:type="dxa"/>
          </w:tcPr>
          <w:p w:rsidR="00EE426C" w:rsidRPr="00EF74CB" w:rsidRDefault="00EE426C" w:rsidP="00386BF4">
            <w:pPr>
              <w:keepLines/>
              <w:widowControl w:val="0"/>
              <w:spacing w:after="0"/>
              <w:rPr>
                <w:rFonts w:ascii="Arial" w:eastAsia="Calibri" w:hAnsi="Arial" w:cs="Arial"/>
                <w:b/>
                <w:sz w:val="18"/>
                <w:szCs w:val="18"/>
                <w:lang w:val="en-AU"/>
              </w:rPr>
            </w:pPr>
            <w:r w:rsidRPr="00EF74CB">
              <w:rPr>
                <w:rFonts w:ascii="Arial" w:eastAsia="Calibri" w:hAnsi="Arial" w:cs="Arial"/>
                <w:b/>
                <w:sz w:val="18"/>
                <w:szCs w:val="18"/>
                <w:lang w:val="en-AU"/>
              </w:rPr>
              <w:t>Study</w:t>
            </w:r>
          </w:p>
        </w:tc>
        <w:tc>
          <w:tcPr>
            <w:tcW w:w="993" w:type="dxa"/>
          </w:tcPr>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FAS patients</w:t>
            </w:r>
          </w:p>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(n)</w:t>
            </w:r>
          </w:p>
          <w:p w:rsidR="00EE426C" w:rsidRPr="00EF74CB" w:rsidRDefault="00EE426C" w:rsidP="00386BF4">
            <w:pPr>
              <w:keepLines/>
              <w:widowControl w:val="0"/>
              <w:spacing w:after="0"/>
              <w:jc w:val="center"/>
              <w:rPr>
                <w:rFonts w:ascii="Arial" w:eastAsia="Calibri" w:hAnsi="Arial" w:cs="Arial"/>
                <w:b/>
                <w:sz w:val="18"/>
                <w:szCs w:val="18"/>
                <w:lang w:val="en-AU"/>
              </w:rPr>
            </w:pPr>
          </w:p>
        </w:tc>
        <w:tc>
          <w:tcPr>
            <w:tcW w:w="992" w:type="dxa"/>
            <w:gridSpan w:val="2"/>
          </w:tcPr>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 xml:space="preserve">Mean baseline HbA1c (%) </w:t>
            </w:r>
          </w:p>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(SD)</w:t>
            </w:r>
          </w:p>
        </w:tc>
        <w:tc>
          <w:tcPr>
            <w:tcW w:w="1134" w:type="dxa"/>
          </w:tcPr>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 xml:space="preserve">Least squares mean change from baseline in HbA1c (%) </w:t>
            </w:r>
          </w:p>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(SE)</w:t>
            </w:r>
          </w:p>
        </w:tc>
        <w:tc>
          <w:tcPr>
            <w:tcW w:w="1276" w:type="dxa"/>
          </w:tcPr>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Treatment-corrected least squares mean change from baseline in HbA1c (%) (2-sided 95% CI)</w:t>
            </w:r>
          </w:p>
        </w:tc>
        <w:tc>
          <w:tcPr>
            <w:tcW w:w="1275" w:type="dxa"/>
          </w:tcPr>
          <w:p w:rsidR="00EE426C" w:rsidRPr="00EF74CB" w:rsidRDefault="00EE426C" w:rsidP="00386BF4">
            <w:pPr>
              <w:keepLines/>
              <w:widowControl w:val="0"/>
              <w:spacing w:after="0"/>
              <w:jc w:val="center"/>
              <w:rPr>
                <w:rFonts w:ascii="Arial" w:eastAsia="Calibri" w:hAnsi="Arial" w:cs="Arial"/>
                <w:b/>
                <w:sz w:val="18"/>
                <w:szCs w:val="18"/>
                <w:lang w:val="en-AU"/>
              </w:rPr>
            </w:pPr>
            <w:r w:rsidRPr="00EF74CB">
              <w:rPr>
                <w:rFonts w:ascii="Arial" w:eastAsia="Calibri" w:hAnsi="Arial" w:cs="Arial"/>
                <w:b/>
                <w:sz w:val="18"/>
                <w:szCs w:val="18"/>
                <w:lang w:val="en-AU"/>
              </w:rPr>
              <w:t>Statistical significance compared to placebo / active-control</w:t>
            </w:r>
          </w:p>
        </w:tc>
      </w:tr>
      <w:tr w:rsidR="00D85C78" w:rsidRPr="00EF74CB" w:rsidTr="00C8389E">
        <w:tc>
          <w:tcPr>
            <w:tcW w:w="9072" w:type="dxa"/>
            <w:gridSpan w:val="7"/>
            <w:tcBorders>
              <w:top w:val="nil"/>
            </w:tcBorders>
          </w:tcPr>
          <w:p w:rsidR="00D85C78" w:rsidRPr="00EF74CB" w:rsidRDefault="00D85C78" w:rsidP="00C8389E">
            <w:pPr>
              <w:keepLines/>
              <w:widowControl w:val="0"/>
              <w:spacing w:after="0"/>
              <w:rPr>
                <w:rFonts w:ascii="Arial" w:eastAsia="Calibri" w:hAnsi="Arial" w:cs="Arial"/>
                <w:i/>
                <w:noProof/>
                <w:sz w:val="18"/>
                <w:szCs w:val="18"/>
                <w:lang w:val="en-AU"/>
              </w:rPr>
            </w:pPr>
            <w:r w:rsidRPr="00EF74CB">
              <w:rPr>
                <w:rFonts w:ascii="Arial" w:eastAsia="Calibri" w:hAnsi="Arial" w:cs="Arial"/>
                <w:i/>
                <w:noProof/>
                <w:sz w:val="18"/>
                <w:szCs w:val="18"/>
                <w:lang w:val="en-AU"/>
              </w:rPr>
              <w:t>Initial combination therapy with TZD factorial study (Study 01-06-TL-322OPI-002)</w:t>
            </w:r>
          </w:p>
        </w:tc>
      </w:tr>
      <w:tr w:rsidR="00D85C78" w:rsidRPr="00EF74CB" w:rsidTr="00C8389E">
        <w:tc>
          <w:tcPr>
            <w:tcW w:w="3402" w:type="dxa"/>
          </w:tcPr>
          <w:p w:rsidR="00D85C78" w:rsidRPr="00EF74CB" w:rsidRDefault="009C3B58" w:rsidP="00C8389E">
            <w:pPr>
              <w:keepLines/>
              <w:widowControl w:val="0"/>
              <w:spacing w:after="0"/>
              <w:ind w:left="180"/>
              <w:rPr>
                <w:rFonts w:ascii="Arial" w:eastAsia="Calibri" w:hAnsi="Arial" w:cs="Arial"/>
                <w:sz w:val="18"/>
                <w:szCs w:val="18"/>
                <w:lang w:val="en-AU"/>
              </w:rPr>
            </w:pPr>
            <w:r w:rsidRPr="00EF74CB">
              <w:rPr>
                <w:rFonts w:ascii="Arial" w:eastAsia="Calibri" w:hAnsi="Arial" w:cs="Arial"/>
                <w:sz w:val="18"/>
                <w:szCs w:val="18"/>
                <w:lang w:val="en-AU"/>
              </w:rPr>
              <w:t>NESINA</w:t>
            </w:r>
            <w:r w:rsidR="00D85C78" w:rsidRPr="00EF74CB">
              <w:rPr>
                <w:rFonts w:ascii="Arial" w:eastAsia="Calibri" w:hAnsi="Arial" w:cs="Arial"/>
                <w:sz w:val="18"/>
                <w:szCs w:val="18"/>
                <w:lang w:val="en-AU"/>
              </w:rPr>
              <w:t xml:space="preserve"> 25 mg once daily</w:t>
            </w:r>
          </w:p>
          <w:p w:rsidR="00D85C78" w:rsidRPr="00EF74CB" w:rsidRDefault="00D85C78" w:rsidP="00C8389E">
            <w:pPr>
              <w:keepLines/>
              <w:widowControl w:val="0"/>
              <w:spacing w:after="0"/>
              <w:ind w:left="540"/>
              <w:rPr>
                <w:rFonts w:ascii="Arial" w:eastAsia="Calibri" w:hAnsi="Arial" w:cs="Arial"/>
                <w:sz w:val="18"/>
                <w:szCs w:val="18"/>
                <w:lang w:val="en-AU"/>
              </w:rPr>
            </w:pPr>
            <w:r w:rsidRPr="00EF74CB">
              <w:rPr>
                <w:rFonts w:ascii="Arial" w:eastAsia="Calibri" w:hAnsi="Arial" w:cs="Arial"/>
                <w:sz w:val="18"/>
                <w:szCs w:val="18"/>
                <w:lang w:val="en-AU"/>
              </w:rPr>
              <w:t>Overall population</w:t>
            </w:r>
          </w:p>
          <w:p w:rsidR="00D85C78" w:rsidRPr="00EF74CB" w:rsidRDefault="00D85C78" w:rsidP="00C8389E">
            <w:pPr>
              <w:keepLines/>
              <w:widowControl w:val="0"/>
              <w:spacing w:after="0"/>
              <w:ind w:left="540"/>
              <w:rPr>
                <w:rFonts w:ascii="Arial" w:eastAsia="Calibri" w:hAnsi="Arial" w:cs="Arial"/>
                <w:sz w:val="18"/>
                <w:szCs w:val="18"/>
                <w:lang w:val="en-AU"/>
              </w:rPr>
            </w:pPr>
          </w:p>
          <w:p w:rsidR="00D85C78" w:rsidRPr="00EF74CB" w:rsidRDefault="00D85C78" w:rsidP="00C8389E">
            <w:pPr>
              <w:keepLines/>
              <w:widowControl w:val="0"/>
              <w:spacing w:after="0"/>
              <w:ind w:left="540"/>
              <w:rPr>
                <w:rFonts w:ascii="Arial" w:eastAsia="Calibri" w:hAnsi="Arial" w:cs="Arial"/>
                <w:sz w:val="18"/>
                <w:szCs w:val="18"/>
                <w:lang w:val="en-AU"/>
              </w:rPr>
            </w:pPr>
            <w:r w:rsidRPr="00EF74CB">
              <w:rPr>
                <w:rFonts w:ascii="Arial" w:eastAsia="Calibri" w:hAnsi="Arial" w:cs="Arial"/>
                <w:sz w:val="18"/>
                <w:szCs w:val="18"/>
                <w:lang w:val="en-AU"/>
              </w:rPr>
              <w:t>Baseline HbA1c ≥ 10% stratum</w:t>
            </w:r>
          </w:p>
          <w:p w:rsidR="00D85C78" w:rsidRPr="00EF74CB" w:rsidRDefault="00D85C78" w:rsidP="00C8389E">
            <w:pPr>
              <w:keepLines/>
              <w:widowControl w:val="0"/>
              <w:spacing w:after="0"/>
              <w:ind w:left="180"/>
              <w:rPr>
                <w:rFonts w:ascii="Arial" w:eastAsia="Calibri" w:hAnsi="Arial" w:cs="Arial"/>
                <w:sz w:val="18"/>
                <w:szCs w:val="18"/>
                <w:lang w:val="en-AU"/>
              </w:rPr>
            </w:pPr>
          </w:p>
          <w:p w:rsidR="00D85C78" w:rsidRPr="00EF74CB" w:rsidRDefault="009C3B58" w:rsidP="00C8389E">
            <w:pPr>
              <w:keepLines/>
              <w:widowControl w:val="0"/>
              <w:spacing w:after="0"/>
              <w:ind w:left="180"/>
              <w:rPr>
                <w:rFonts w:ascii="Arial" w:eastAsia="Calibri" w:hAnsi="Arial" w:cs="Arial"/>
                <w:sz w:val="18"/>
                <w:szCs w:val="18"/>
                <w:lang w:val="en-AU"/>
              </w:rPr>
            </w:pPr>
            <w:r w:rsidRPr="00EF74CB">
              <w:rPr>
                <w:rFonts w:ascii="Arial" w:eastAsia="Calibri" w:hAnsi="Arial" w:cs="Arial"/>
                <w:sz w:val="18"/>
                <w:szCs w:val="18"/>
                <w:lang w:val="en-AU"/>
              </w:rPr>
              <w:t>NESINA</w:t>
            </w:r>
            <w:r w:rsidR="00D85C78" w:rsidRPr="00EF74CB">
              <w:rPr>
                <w:rFonts w:ascii="Arial" w:eastAsia="Calibri" w:hAnsi="Arial" w:cs="Arial"/>
                <w:sz w:val="18"/>
                <w:szCs w:val="18"/>
                <w:lang w:val="en-AU"/>
              </w:rPr>
              <w:t xml:space="preserve"> 25 mg &amp; a TZD once daily</w:t>
            </w:r>
          </w:p>
          <w:p w:rsidR="00D85C78" w:rsidRPr="00EF74CB" w:rsidRDefault="00D85C78" w:rsidP="00C8389E">
            <w:pPr>
              <w:keepLines/>
              <w:widowControl w:val="0"/>
              <w:spacing w:after="0"/>
              <w:ind w:left="540"/>
              <w:rPr>
                <w:rFonts w:ascii="Arial" w:eastAsia="Calibri" w:hAnsi="Arial" w:cs="Arial"/>
                <w:sz w:val="18"/>
                <w:szCs w:val="18"/>
                <w:lang w:val="en-AU"/>
              </w:rPr>
            </w:pPr>
            <w:r w:rsidRPr="00EF74CB">
              <w:rPr>
                <w:rFonts w:ascii="Arial" w:eastAsia="Calibri" w:hAnsi="Arial" w:cs="Arial"/>
                <w:sz w:val="18"/>
                <w:szCs w:val="18"/>
                <w:lang w:val="en-AU"/>
              </w:rPr>
              <w:t>Overall population</w:t>
            </w:r>
          </w:p>
          <w:p w:rsidR="00D85C78" w:rsidRPr="00EF74CB" w:rsidRDefault="00D85C78" w:rsidP="00C8389E">
            <w:pPr>
              <w:keepLines/>
              <w:widowControl w:val="0"/>
              <w:spacing w:after="0"/>
              <w:ind w:left="540"/>
              <w:rPr>
                <w:rFonts w:ascii="Arial" w:eastAsia="Calibri" w:hAnsi="Arial" w:cs="Arial"/>
                <w:sz w:val="18"/>
                <w:szCs w:val="18"/>
                <w:lang w:val="en-AU"/>
              </w:rPr>
            </w:pPr>
          </w:p>
          <w:p w:rsidR="00D85C78" w:rsidRPr="00EF74CB" w:rsidRDefault="00D85C78" w:rsidP="00C8389E">
            <w:pPr>
              <w:keepLines/>
              <w:widowControl w:val="0"/>
              <w:spacing w:after="0"/>
              <w:ind w:left="540"/>
              <w:rPr>
                <w:rFonts w:ascii="Arial" w:eastAsia="Calibri" w:hAnsi="Arial" w:cs="Arial"/>
                <w:sz w:val="18"/>
                <w:szCs w:val="18"/>
                <w:lang w:val="en-AU"/>
              </w:rPr>
            </w:pPr>
          </w:p>
          <w:p w:rsidR="00D85C78" w:rsidRPr="00EF74CB" w:rsidRDefault="00D85C78" w:rsidP="00C8389E">
            <w:pPr>
              <w:keepLines/>
              <w:widowControl w:val="0"/>
              <w:spacing w:after="0"/>
              <w:ind w:left="540"/>
              <w:rPr>
                <w:rFonts w:ascii="Arial" w:eastAsia="Calibri" w:hAnsi="Arial" w:cs="Arial"/>
                <w:sz w:val="18"/>
                <w:szCs w:val="18"/>
                <w:lang w:val="en-AU"/>
              </w:rPr>
            </w:pPr>
          </w:p>
          <w:p w:rsidR="00D85C78" w:rsidRPr="00EF74CB" w:rsidRDefault="00D85C78" w:rsidP="00C8389E">
            <w:pPr>
              <w:keepLines/>
              <w:widowControl w:val="0"/>
              <w:spacing w:after="0"/>
              <w:ind w:left="540"/>
              <w:rPr>
                <w:rFonts w:ascii="Arial" w:eastAsia="Calibri" w:hAnsi="Arial" w:cs="Arial"/>
                <w:sz w:val="18"/>
                <w:szCs w:val="18"/>
                <w:lang w:val="en-AU"/>
              </w:rPr>
            </w:pPr>
            <w:r w:rsidRPr="00EF74CB">
              <w:rPr>
                <w:rFonts w:ascii="Arial" w:eastAsia="Calibri" w:hAnsi="Arial" w:cs="Arial"/>
                <w:sz w:val="18"/>
                <w:szCs w:val="18"/>
                <w:lang w:val="en-AU"/>
              </w:rPr>
              <w:t>Baseline HbA1c ≥ 10% stratum</w:t>
            </w:r>
          </w:p>
        </w:tc>
        <w:tc>
          <w:tcPr>
            <w:tcW w:w="993" w:type="dxa"/>
          </w:tcPr>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160</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23</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158</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noProof/>
                <w:sz w:val="18"/>
                <w:szCs w:val="18"/>
                <w:lang w:val="en-AU"/>
              </w:rPr>
              <w:t>24</w:t>
            </w:r>
          </w:p>
        </w:tc>
        <w:tc>
          <w:tcPr>
            <w:tcW w:w="992" w:type="dxa"/>
            <w:gridSpan w:val="2"/>
          </w:tcPr>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 xml:space="preserve">8.80 </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(0.988)</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10.58</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(0.421)</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8.80</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(0.962)</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10.41</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noProof/>
                <w:sz w:val="18"/>
                <w:szCs w:val="18"/>
                <w:lang w:val="en-AU"/>
              </w:rPr>
              <w:t>(0.246)</w:t>
            </w:r>
          </w:p>
        </w:tc>
        <w:tc>
          <w:tcPr>
            <w:tcW w:w="1134" w:type="dxa"/>
          </w:tcPr>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-0.96</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(0.081)</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-1.60</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(0.326)</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 xml:space="preserve">-1.71 </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(0.081)</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-2.60</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(0.320)</w:t>
            </w:r>
          </w:p>
        </w:tc>
        <w:tc>
          <w:tcPr>
            <w:tcW w:w="1276" w:type="dxa"/>
          </w:tcPr>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-0.75**</w:t>
            </w:r>
            <w:r w:rsidRPr="00EF74CB">
              <w:rPr>
                <w:rFonts w:ascii="Arial" w:eastAsia="Calibri" w:hAnsi="Arial" w:cs="Arial"/>
                <w:noProof/>
                <w:sz w:val="18"/>
                <w:szCs w:val="18"/>
                <w:lang w:val="en-AU"/>
              </w:rPr>
              <w:br/>
              <w:t>(-0.98, -0.53)</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-0.56***</w:t>
            </w: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(-0.78, -0.33)</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-1.00**</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(-1.92, -0.08)</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-0.85***</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(-1.76, 0.07)</w:t>
            </w:r>
          </w:p>
        </w:tc>
        <w:tc>
          <w:tcPr>
            <w:tcW w:w="1275" w:type="dxa"/>
          </w:tcPr>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p</w:t>
            </w:r>
            <w:r w:rsidRPr="00EF74CB">
              <w:rPr>
                <w:rFonts w:ascii="Arial" w:eastAsia="Calibri" w:hAnsi="Arial" w:cs="Arial"/>
                <w:noProof/>
                <w:sz w:val="18"/>
                <w:szCs w:val="18"/>
                <w:lang w:val="en-AU"/>
              </w:rPr>
              <w:sym w:font="Symbol" w:char="F03C"/>
            </w:r>
            <w:r w:rsidRPr="00EF74CB">
              <w:rPr>
                <w:rFonts w:ascii="Arial" w:eastAsia="Calibri" w:hAnsi="Arial" w:cs="Arial"/>
                <w:noProof/>
                <w:sz w:val="18"/>
                <w:szCs w:val="18"/>
                <w:lang w:val="en-AU"/>
              </w:rPr>
              <w:t>0.001</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spacing w:after="0"/>
              <w:jc w:val="center"/>
              <w:rPr>
                <w:rFonts w:ascii="Arial" w:eastAsia="Calibri" w:hAnsi="Arial" w:cs="Arial"/>
                <w:noProof/>
                <w:sz w:val="18"/>
                <w:szCs w:val="18"/>
                <w:lang w:val="en-AU"/>
              </w:rPr>
            </w:pPr>
            <w:r w:rsidRPr="00EF74CB">
              <w:rPr>
                <w:rFonts w:ascii="Arial" w:eastAsia="Calibri" w:hAnsi="Arial" w:cs="Arial"/>
                <w:noProof/>
                <w:sz w:val="18"/>
                <w:szCs w:val="18"/>
                <w:lang w:val="en-AU"/>
              </w:rPr>
              <w:t>p</w:t>
            </w:r>
            <w:r w:rsidRPr="00EF74CB">
              <w:rPr>
                <w:rFonts w:ascii="Arial" w:eastAsia="Calibri" w:hAnsi="Arial" w:cs="Arial"/>
                <w:noProof/>
                <w:sz w:val="18"/>
                <w:szCs w:val="18"/>
                <w:lang w:val="en-AU"/>
              </w:rPr>
              <w:sym w:font="Symbol" w:char="F03C"/>
            </w:r>
            <w:r w:rsidRPr="00EF74CB">
              <w:rPr>
                <w:rFonts w:ascii="Arial" w:eastAsia="Calibri" w:hAnsi="Arial" w:cs="Arial"/>
                <w:noProof/>
                <w:sz w:val="18"/>
                <w:szCs w:val="18"/>
                <w:lang w:val="en-AU"/>
              </w:rPr>
              <w:t>0.001</w:t>
            </w:r>
          </w:p>
          <w:p w:rsidR="00D85C78" w:rsidRPr="00EF74CB" w:rsidRDefault="00D85C78" w:rsidP="00C8389E">
            <w:pPr>
              <w:keepLines/>
              <w:widowControl w:val="0"/>
              <w:spacing w:after="0"/>
              <w:jc w:val="center"/>
              <w:rPr>
                <w:rFonts w:ascii="Arial" w:eastAsia="Calibri" w:hAnsi="Arial" w:cs="Arial"/>
                <w:noProof/>
                <w:sz w:val="18"/>
                <w:szCs w:val="18"/>
                <w:lang w:val="en-AU"/>
              </w:rPr>
            </w:pPr>
          </w:p>
          <w:p w:rsidR="00D85C78" w:rsidRPr="00EF74CB" w:rsidRDefault="00D85C78" w:rsidP="00C8389E">
            <w:pPr>
              <w:keepLines/>
              <w:widowControl w:val="0"/>
              <w:autoSpaceDE w:val="0"/>
              <w:autoSpaceDN w:val="0"/>
              <w:adjustRightInd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p=0.034</w:t>
            </w:r>
          </w:p>
          <w:p w:rsidR="00D85C78" w:rsidRPr="00EF74CB" w:rsidRDefault="00D85C78" w:rsidP="00C8389E">
            <w:pPr>
              <w:keepLines/>
              <w:widowControl w:val="0"/>
              <w:autoSpaceDE w:val="0"/>
              <w:autoSpaceDN w:val="0"/>
              <w:adjustRightInd w:val="0"/>
              <w:spacing w:after="0"/>
              <w:jc w:val="center"/>
              <w:rPr>
                <w:rFonts w:ascii="Arial" w:eastAsia="Calibri" w:hAnsi="Arial" w:cs="Arial"/>
                <w:sz w:val="18"/>
                <w:szCs w:val="18"/>
                <w:lang w:val="en-AU"/>
              </w:rPr>
            </w:pPr>
          </w:p>
          <w:p w:rsidR="00D85C78" w:rsidRPr="00EF74CB" w:rsidRDefault="00D85C78" w:rsidP="00C8389E">
            <w:pPr>
              <w:keepLines/>
              <w:widowControl w:val="0"/>
              <w:autoSpaceDE w:val="0"/>
              <w:autoSpaceDN w:val="0"/>
              <w:adjustRightInd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p=0.070</w:t>
            </w:r>
          </w:p>
        </w:tc>
      </w:tr>
      <w:tr w:rsidR="00D85C78" w:rsidRPr="00EF74CB" w:rsidTr="00C8389E">
        <w:tc>
          <w:tcPr>
            <w:tcW w:w="9072" w:type="dxa"/>
            <w:gridSpan w:val="7"/>
          </w:tcPr>
          <w:p w:rsidR="00D85C78" w:rsidRPr="00EF74CB" w:rsidRDefault="00D85C78" w:rsidP="00C8389E">
            <w:pPr>
              <w:keepLines/>
              <w:widowControl w:val="0"/>
              <w:spacing w:after="0"/>
              <w:rPr>
                <w:rFonts w:ascii="Arial" w:eastAsia="Calibri" w:hAnsi="Arial" w:cs="Arial"/>
                <w:sz w:val="18"/>
                <w:szCs w:val="18"/>
                <w:lang w:val="en-AU"/>
              </w:rPr>
            </w:pPr>
            <w:r w:rsidRPr="00EF74CB">
              <w:rPr>
                <w:rFonts w:ascii="Arial" w:eastAsia="Calibri" w:hAnsi="Arial" w:cs="Arial"/>
                <w:i/>
                <w:noProof/>
                <w:sz w:val="18"/>
                <w:szCs w:val="18"/>
                <w:lang w:val="en-AU"/>
              </w:rPr>
              <w:t xml:space="preserve">Add-on </w:t>
            </w:r>
            <w:r w:rsidRPr="00EF74CB">
              <w:rPr>
                <w:rFonts w:ascii="Arial" w:eastAsia="Calibri" w:hAnsi="Arial" w:cs="Arial"/>
                <w:i/>
                <w:noProof/>
                <w:sz w:val="18"/>
                <w:szCs w:val="18"/>
                <w:lang w:val="en-AU" w:eastAsia="sv-SE"/>
              </w:rPr>
              <w:t xml:space="preserve">combination therapy </w:t>
            </w:r>
            <w:r w:rsidRPr="00EF74CB">
              <w:rPr>
                <w:rFonts w:ascii="Arial" w:eastAsia="Calibri" w:hAnsi="Arial" w:cs="Arial"/>
                <w:i/>
                <w:sz w:val="18"/>
                <w:szCs w:val="18"/>
                <w:lang w:val="en-AU"/>
              </w:rPr>
              <w:t xml:space="preserve">with TZD (+/-) metformin or a SU </w:t>
            </w:r>
            <w:r w:rsidRPr="00EF74CB">
              <w:rPr>
                <w:rFonts w:ascii="Arial" w:eastAsia="Calibri" w:hAnsi="Arial" w:cs="Arial"/>
                <w:i/>
                <w:noProof/>
                <w:sz w:val="18"/>
                <w:szCs w:val="18"/>
                <w:lang w:val="en-AU" w:eastAsia="sv-SE"/>
              </w:rPr>
              <w:t>(</w:t>
            </w:r>
            <w:r w:rsidRPr="00EF74CB">
              <w:rPr>
                <w:rFonts w:ascii="Arial" w:eastAsia="Calibri" w:hAnsi="Arial" w:cs="Arial"/>
                <w:i/>
                <w:sz w:val="18"/>
                <w:szCs w:val="18"/>
                <w:lang w:val="en-AU"/>
              </w:rPr>
              <w:t>placebo-controlled) (Study SYR-322-TZD-009)</w:t>
            </w:r>
          </w:p>
        </w:tc>
      </w:tr>
      <w:tr w:rsidR="00D85C78" w:rsidRPr="00EF74CB" w:rsidTr="00C8389E">
        <w:tc>
          <w:tcPr>
            <w:tcW w:w="3402" w:type="dxa"/>
          </w:tcPr>
          <w:p w:rsidR="00D85C78" w:rsidRPr="00EF74CB" w:rsidRDefault="009C3B58" w:rsidP="00C8389E">
            <w:pPr>
              <w:keepLines/>
              <w:widowControl w:val="0"/>
              <w:spacing w:after="0"/>
              <w:ind w:left="180"/>
              <w:rPr>
                <w:rFonts w:ascii="Arial" w:eastAsia="Calibri" w:hAnsi="Arial" w:cs="Arial"/>
                <w:sz w:val="18"/>
                <w:szCs w:val="18"/>
                <w:lang w:val="en-AU"/>
              </w:rPr>
            </w:pPr>
            <w:r w:rsidRPr="00EF74CB">
              <w:rPr>
                <w:rFonts w:ascii="Arial" w:eastAsia="Calibri" w:hAnsi="Arial" w:cs="Arial"/>
                <w:sz w:val="18"/>
                <w:szCs w:val="18"/>
                <w:lang w:val="en-AU"/>
              </w:rPr>
              <w:t>NESINA</w:t>
            </w:r>
            <w:r w:rsidR="00D85C78" w:rsidRPr="00EF74CB">
              <w:rPr>
                <w:rFonts w:ascii="Arial" w:eastAsia="Calibri" w:hAnsi="Arial" w:cs="Arial"/>
                <w:sz w:val="18"/>
                <w:szCs w:val="18"/>
                <w:lang w:val="en-AU"/>
              </w:rPr>
              <w:t xml:space="preserve"> 25 mg once daily with a TZD (+/-) metformin or a SU</w:t>
            </w:r>
          </w:p>
        </w:tc>
        <w:tc>
          <w:tcPr>
            <w:tcW w:w="993" w:type="dxa"/>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195</w:t>
            </w:r>
          </w:p>
        </w:tc>
        <w:tc>
          <w:tcPr>
            <w:tcW w:w="992" w:type="dxa"/>
            <w:gridSpan w:val="2"/>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8.01</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(0.837)</w:t>
            </w:r>
          </w:p>
        </w:tc>
        <w:tc>
          <w:tcPr>
            <w:tcW w:w="1134" w:type="dxa"/>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-0.80</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(0.056)</w:t>
            </w:r>
          </w:p>
        </w:tc>
        <w:tc>
          <w:tcPr>
            <w:tcW w:w="1276" w:type="dxa"/>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-0.61*</w:t>
            </w:r>
          </w:p>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(-0.80, -0.41)</w:t>
            </w:r>
          </w:p>
        </w:tc>
        <w:tc>
          <w:tcPr>
            <w:tcW w:w="1275" w:type="dxa"/>
          </w:tcPr>
          <w:p w:rsidR="00D85C78" w:rsidRPr="00EF74CB" w:rsidRDefault="00D85C78" w:rsidP="00C8389E">
            <w:pPr>
              <w:keepLines/>
              <w:widowControl w:val="0"/>
              <w:spacing w:after="0"/>
              <w:jc w:val="center"/>
              <w:rPr>
                <w:rFonts w:ascii="Arial" w:eastAsia="Calibri" w:hAnsi="Arial" w:cs="Arial"/>
                <w:sz w:val="18"/>
                <w:szCs w:val="18"/>
                <w:lang w:val="en-AU"/>
              </w:rPr>
            </w:pPr>
            <w:r w:rsidRPr="00EF74CB">
              <w:rPr>
                <w:rFonts w:ascii="Arial" w:eastAsia="Calibri" w:hAnsi="Arial" w:cs="Arial"/>
                <w:sz w:val="18"/>
                <w:szCs w:val="18"/>
                <w:lang w:val="en-AU"/>
              </w:rPr>
              <w:t>p&lt;0.001</w:t>
            </w:r>
          </w:p>
        </w:tc>
      </w:tr>
      <w:tr w:rsidR="00D85C78" w:rsidRPr="00EF74CB" w:rsidTr="00C8389E">
        <w:tc>
          <w:tcPr>
            <w:tcW w:w="4819" w:type="dxa"/>
            <w:gridSpan w:val="3"/>
            <w:tcBorders>
              <w:right w:val="nil"/>
            </w:tcBorders>
          </w:tcPr>
          <w:p w:rsidR="00D85C78" w:rsidRPr="00846E8C" w:rsidRDefault="00014CB1" w:rsidP="00C8389E">
            <w:pPr>
              <w:keepLines/>
              <w:widowControl w:val="0"/>
              <w:spacing w:after="0"/>
              <w:rPr>
                <w:rFonts w:ascii="Arial" w:eastAsia="Calibri" w:hAnsi="Arial" w:cs="Arial"/>
                <w:sz w:val="18"/>
                <w:szCs w:val="18"/>
                <w:lang w:val="en-AU"/>
              </w:rPr>
            </w:pPr>
            <w:r w:rsidRPr="00846E8C">
              <w:rPr>
                <w:rFonts w:ascii="Arial" w:eastAsia="Calibri" w:hAnsi="Arial" w:cs="Arial"/>
                <w:sz w:val="18"/>
                <w:szCs w:val="18"/>
                <w:lang w:val="en-AU"/>
              </w:rPr>
              <w:t>FAS = full analysis set</w:t>
            </w:r>
          </w:p>
          <w:p w:rsidR="00D85C78" w:rsidRPr="00846E8C" w:rsidRDefault="00014CB1" w:rsidP="00C8389E">
            <w:pPr>
              <w:keepLines/>
              <w:widowControl w:val="0"/>
              <w:spacing w:after="0"/>
              <w:rPr>
                <w:rFonts w:ascii="Arial" w:eastAsia="Calibri" w:hAnsi="Arial" w:cs="Arial"/>
                <w:sz w:val="18"/>
                <w:szCs w:val="18"/>
                <w:lang w:val="en-AU"/>
              </w:rPr>
            </w:pPr>
            <w:r w:rsidRPr="00846E8C">
              <w:rPr>
                <w:rFonts w:ascii="Arial" w:eastAsia="Calibri" w:hAnsi="Arial" w:cs="Arial"/>
                <w:sz w:val="18"/>
                <w:szCs w:val="18"/>
                <w:lang w:val="en-AU"/>
              </w:rPr>
              <w:t>LOCF = last observation carried forward</w:t>
            </w:r>
          </w:p>
        </w:tc>
        <w:tc>
          <w:tcPr>
            <w:tcW w:w="4253" w:type="dxa"/>
            <w:gridSpan w:val="4"/>
            <w:tcBorders>
              <w:left w:val="nil"/>
            </w:tcBorders>
          </w:tcPr>
          <w:p w:rsidR="00D85C78" w:rsidRPr="00846E8C" w:rsidRDefault="00014CB1" w:rsidP="00C8389E">
            <w:pPr>
              <w:keepLines/>
              <w:widowControl w:val="0"/>
              <w:spacing w:after="0"/>
              <w:rPr>
                <w:rFonts w:ascii="Arial" w:eastAsia="Calibri" w:hAnsi="Arial" w:cs="Arial"/>
                <w:sz w:val="18"/>
                <w:szCs w:val="18"/>
                <w:lang w:val="en-AU"/>
              </w:rPr>
            </w:pPr>
            <w:r w:rsidRPr="00846E8C">
              <w:rPr>
                <w:rFonts w:ascii="Arial" w:eastAsia="Calibri" w:hAnsi="Arial" w:cs="Arial"/>
                <w:sz w:val="18"/>
                <w:szCs w:val="18"/>
                <w:lang w:val="en-AU"/>
              </w:rPr>
              <w:t>* = Difference vs placebo</w:t>
            </w:r>
          </w:p>
          <w:p w:rsidR="00D85C78" w:rsidRPr="00846E8C" w:rsidRDefault="00014CB1" w:rsidP="00C8389E">
            <w:pPr>
              <w:keepLines/>
              <w:widowControl w:val="0"/>
              <w:spacing w:after="0"/>
              <w:rPr>
                <w:rFonts w:ascii="Arial" w:eastAsia="Calibri" w:hAnsi="Arial" w:cs="Arial"/>
                <w:sz w:val="18"/>
                <w:szCs w:val="18"/>
                <w:lang w:val="en-AU"/>
              </w:rPr>
            </w:pPr>
            <w:r w:rsidRPr="00846E8C">
              <w:rPr>
                <w:rFonts w:ascii="Arial" w:eastAsia="Calibri" w:hAnsi="Arial" w:cs="Arial"/>
                <w:sz w:val="18"/>
                <w:szCs w:val="18"/>
                <w:lang w:val="en-AU"/>
              </w:rPr>
              <w:t>** = Difference vs NESINA 25 mg</w:t>
            </w:r>
          </w:p>
          <w:p w:rsidR="00D85C78" w:rsidRPr="00846E8C" w:rsidRDefault="00014CB1" w:rsidP="00C8389E">
            <w:pPr>
              <w:keepLines/>
              <w:widowControl w:val="0"/>
              <w:spacing w:after="0"/>
              <w:rPr>
                <w:rFonts w:ascii="Arial" w:eastAsia="Calibri" w:hAnsi="Arial" w:cs="Arial"/>
                <w:sz w:val="18"/>
                <w:szCs w:val="18"/>
                <w:lang w:val="en-AU"/>
              </w:rPr>
            </w:pPr>
            <w:r w:rsidRPr="00846E8C">
              <w:rPr>
                <w:rFonts w:ascii="Arial" w:eastAsia="Calibri" w:hAnsi="Arial" w:cs="Arial"/>
                <w:sz w:val="18"/>
                <w:szCs w:val="18"/>
                <w:lang w:val="en-AU"/>
              </w:rPr>
              <w:t>*** = Difference vs pioglitazone 30 mg</w:t>
            </w:r>
          </w:p>
        </w:tc>
      </w:tr>
    </w:tbl>
    <w:p w:rsidR="00D85C78" w:rsidRPr="00EF74CB" w:rsidRDefault="00D85C78" w:rsidP="00D85C78">
      <w:pPr>
        <w:spacing w:after="0" w:line="240" w:lineRule="auto"/>
        <w:ind w:left="720" w:hanging="720"/>
        <w:jc w:val="both"/>
        <w:rPr>
          <w:rFonts w:ascii="Arial" w:hAnsi="Arial" w:cs="Arial"/>
          <w:b/>
          <w:sz w:val="18"/>
          <w:szCs w:val="18"/>
          <w:lang w:val="en-AU"/>
        </w:rPr>
      </w:pPr>
    </w:p>
    <w:p w:rsidR="004408B0" w:rsidRDefault="004408B0">
      <w:pPr>
        <w:rPr>
          <w:rFonts w:ascii="Arial" w:hAnsi="Arial" w:cs="Arial"/>
          <w:b/>
          <w:sz w:val="18"/>
          <w:szCs w:val="18"/>
          <w:lang w:val="en-AU"/>
        </w:rPr>
      </w:pPr>
      <w:r>
        <w:rPr>
          <w:rFonts w:ascii="Arial" w:hAnsi="Arial" w:cs="Arial"/>
          <w:b/>
          <w:sz w:val="18"/>
          <w:szCs w:val="18"/>
          <w:lang w:val="en-AU"/>
        </w:rPr>
        <w:br w:type="page"/>
      </w:r>
    </w:p>
    <w:p w:rsidR="00F643DA" w:rsidRPr="00EF74CB" w:rsidRDefault="00F643DA" w:rsidP="00067C45">
      <w:pPr>
        <w:keepLines/>
        <w:spacing w:after="120" w:line="240" w:lineRule="auto"/>
        <w:ind w:left="720" w:hanging="720"/>
        <w:jc w:val="both"/>
        <w:rPr>
          <w:rFonts w:ascii="Arial" w:hAnsi="Arial" w:cs="Arial"/>
          <w:b/>
          <w:sz w:val="18"/>
          <w:szCs w:val="18"/>
          <w:lang w:val="en-AU"/>
        </w:rPr>
      </w:pPr>
      <w:r w:rsidRPr="00EF74CB">
        <w:rPr>
          <w:rFonts w:ascii="Arial" w:hAnsi="Arial" w:cs="Arial"/>
          <w:b/>
          <w:sz w:val="18"/>
          <w:szCs w:val="18"/>
          <w:lang w:val="en-AU"/>
        </w:rPr>
        <w:t xml:space="preserve">Table </w:t>
      </w:r>
      <w:r w:rsidR="00BC6C8C" w:rsidRPr="00EF74CB">
        <w:rPr>
          <w:rFonts w:ascii="Arial" w:hAnsi="Arial" w:cs="Arial"/>
          <w:b/>
          <w:sz w:val="18"/>
          <w:szCs w:val="18"/>
          <w:lang w:val="en-AU"/>
        </w:rPr>
        <w:fldChar w:fldCharType="begin"/>
      </w:r>
      <w:r w:rsidRPr="00EF74CB">
        <w:rPr>
          <w:rFonts w:ascii="Arial" w:hAnsi="Arial" w:cs="Arial"/>
          <w:b/>
          <w:sz w:val="18"/>
          <w:szCs w:val="18"/>
          <w:lang w:val="en-AU"/>
        </w:rPr>
        <w:instrText xml:space="preserve"> SEQ Table \* ARABIC </w:instrText>
      </w:r>
      <w:r w:rsidR="00BC6C8C" w:rsidRPr="00EF74CB">
        <w:rPr>
          <w:rFonts w:ascii="Arial" w:hAnsi="Arial" w:cs="Arial"/>
          <w:b/>
          <w:sz w:val="18"/>
          <w:szCs w:val="18"/>
          <w:lang w:val="en-AU"/>
        </w:rPr>
        <w:fldChar w:fldCharType="separate"/>
      </w:r>
      <w:r w:rsidR="00BC20FD" w:rsidRPr="00EF74CB">
        <w:rPr>
          <w:rFonts w:ascii="Arial" w:hAnsi="Arial" w:cs="Arial"/>
          <w:b/>
          <w:noProof/>
          <w:sz w:val="18"/>
          <w:szCs w:val="18"/>
          <w:lang w:val="en-AU"/>
        </w:rPr>
        <w:t>2</w:t>
      </w:r>
      <w:r w:rsidR="00BC6C8C" w:rsidRPr="00EF74CB">
        <w:rPr>
          <w:rFonts w:ascii="Arial" w:hAnsi="Arial" w:cs="Arial"/>
          <w:b/>
          <w:sz w:val="18"/>
          <w:szCs w:val="18"/>
          <w:lang w:val="en-AU"/>
        </w:rPr>
        <w:fldChar w:fldCharType="end"/>
      </w:r>
      <w:r w:rsidRPr="00EF74CB">
        <w:rPr>
          <w:rFonts w:ascii="Arial" w:hAnsi="Arial" w:cs="Arial"/>
          <w:b/>
          <w:sz w:val="18"/>
          <w:szCs w:val="18"/>
          <w:lang w:val="en-AU"/>
        </w:rPr>
        <w:tab/>
        <w:t xml:space="preserve">Change in HbA1c (%) from baseline with </w:t>
      </w:r>
      <w:r w:rsidR="009C3B58" w:rsidRPr="00EF74CB">
        <w:rPr>
          <w:rFonts w:ascii="Arial" w:hAnsi="Arial" w:cs="Arial"/>
          <w:b/>
          <w:sz w:val="18"/>
          <w:szCs w:val="18"/>
          <w:lang w:val="en-AU"/>
        </w:rPr>
        <w:t>NESINA</w:t>
      </w:r>
      <w:r w:rsidR="009E7430" w:rsidRPr="00EF74CB">
        <w:rPr>
          <w:rFonts w:ascii="Arial" w:hAnsi="Arial" w:cs="Arial"/>
          <w:b/>
          <w:sz w:val="18"/>
          <w:szCs w:val="18"/>
          <w:lang w:val="en-AU"/>
        </w:rPr>
        <w:t xml:space="preserve"> </w:t>
      </w:r>
      <w:r w:rsidRPr="00EF74CB">
        <w:rPr>
          <w:rFonts w:ascii="Arial" w:hAnsi="Arial" w:cs="Arial"/>
          <w:b/>
          <w:sz w:val="18"/>
          <w:szCs w:val="18"/>
          <w:lang w:val="en-AU"/>
        </w:rPr>
        <w:t>25 mg by active-controlled study (PPS, LOCF)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3"/>
        <w:gridCol w:w="1559"/>
        <w:gridCol w:w="1701"/>
        <w:gridCol w:w="1984"/>
      </w:tblGrid>
      <w:tr w:rsidR="00FA4094" w:rsidRPr="00EF74CB" w:rsidTr="00E72A08">
        <w:trPr>
          <w:tblHeader/>
        </w:trPr>
        <w:tc>
          <w:tcPr>
            <w:tcW w:w="2835" w:type="dxa"/>
            <w:shd w:val="clear" w:color="auto" w:fill="auto"/>
          </w:tcPr>
          <w:p w:rsidR="00FA4094" w:rsidRPr="00EF74CB" w:rsidRDefault="00FA4094" w:rsidP="00771320">
            <w:pPr>
              <w:keepLines/>
              <w:spacing w:after="0"/>
              <w:rPr>
                <w:rFonts w:ascii="Arial" w:hAnsi="Arial" w:cs="Arial"/>
                <w:b/>
                <w:sz w:val="18"/>
                <w:szCs w:val="18"/>
                <w:lang w:val="en-AU"/>
              </w:rPr>
            </w:pPr>
            <w:r w:rsidRPr="00EF74CB">
              <w:rPr>
                <w:rFonts w:ascii="Arial" w:hAnsi="Arial" w:cs="Arial"/>
                <w:b/>
                <w:sz w:val="18"/>
                <w:szCs w:val="18"/>
                <w:lang w:val="en-AU"/>
              </w:rPr>
              <w:t>Study</w:t>
            </w:r>
          </w:p>
        </w:tc>
        <w:tc>
          <w:tcPr>
            <w:tcW w:w="993" w:type="dxa"/>
            <w:shd w:val="clear" w:color="auto" w:fill="auto"/>
          </w:tcPr>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PPS patients</w:t>
            </w:r>
          </w:p>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(n)</w:t>
            </w:r>
          </w:p>
        </w:tc>
        <w:tc>
          <w:tcPr>
            <w:tcW w:w="1559" w:type="dxa"/>
            <w:shd w:val="clear" w:color="auto" w:fill="auto"/>
          </w:tcPr>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 xml:space="preserve">Mean baseline HbA1c (%) </w:t>
            </w:r>
          </w:p>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(SD)</w:t>
            </w:r>
          </w:p>
        </w:tc>
        <w:tc>
          <w:tcPr>
            <w:tcW w:w="1701" w:type="dxa"/>
            <w:shd w:val="clear" w:color="auto" w:fill="auto"/>
          </w:tcPr>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 xml:space="preserve">Least squares mean change from baseline in HbA1c (%) </w:t>
            </w:r>
          </w:p>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(SE)</w:t>
            </w:r>
          </w:p>
        </w:tc>
        <w:tc>
          <w:tcPr>
            <w:tcW w:w="1984" w:type="dxa"/>
            <w:shd w:val="clear" w:color="auto" w:fill="auto"/>
          </w:tcPr>
          <w:p w:rsidR="00FA4094" w:rsidRPr="00EF74CB" w:rsidRDefault="00FA4094" w:rsidP="00771320">
            <w:pPr>
              <w:keepLines/>
              <w:spacing w:after="0"/>
              <w:jc w:val="center"/>
              <w:rPr>
                <w:rFonts w:ascii="Arial" w:hAnsi="Arial" w:cs="Arial"/>
                <w:b/>
                <w:sz w:val="18"/>
                <w:szCs w:val="18"/>
                <w:lang w:val="en-AU"/>
              </w:rPr>
            </w:pPr>
            <w:r w:rsidRPr="00EF74CB">
              <w:rPr>
                <w:rFonts w:ascii="Arial" w:hAnsi="Arial" w:cs="Arial"/>
                <w:b/>
                <w:sz w:val="18"/>
                <w:szCs w:val="18"/>
                <w:lang w:val="en-AU"/>
              </w:rPr>
              <w:t>Treatment-corrected least squares mean change from baseline in HbA1c (%) (1-sided CI)</w:t>
            </w:r>
          </w:p>
        </w:tc>
      </w:tr>
      <w:tr w:rsidR="00FA4094" w:rsidRPr="00EF74CB" w:rsidTr="00FA4094">
        <w:tc>
          <w:tcPr>
            <w:tcW w:w="9072" w:type="dxa"/>
            <w:gridSpan w:val="5"/>
            <w:tcBorders>
              <w:bottom w:val="single" w:sz="4" w:space="0" w:color="auto"/>
            </w:tcBorders>
            <w:shd w:val="clear" w:color="auto" w:fill="auto"/>
          </w:tcPr>
          <w:p w:rsidR="00FA4094" w:rsidRPr="00EF74CB" w:rsidRDefault="00FA4094" w:rsidP="00771320">
            <w:pPr>
              <w:keepLines/>
              <w:spacing w:after="0"/>
              <w:rPr>
                <w:rFonts w:ascii="Arial" w:hAnsi="Arial" w:cs="Arial"/>
                <w:b/>
                <w:i/>
                <w:sz w:val="18"/>
                <w:szCs w:val="18"/>
                <w:lang w:val="en-AU"/>
              </w:rPr>
            </w:pPr>
            <w:r w:rsidRPr="00EF74CB">
              <w:rPr>
                <w:rFonts w:ascii="Arial" w:hAnsi="Arial" w:cs="Arial"/>
                <w:i/>
                <w:noProof/>
                <w:sz w:val="18"/>
                <w:szCs w:val="18"/>
                <w:lang w:val="en-AU"/>
              </w:rPr>
              <w:t xml:space="preserve">Add-on </w:t>
            </w:r>
            <w:r w:rsidRPr="00EF74CB">
              <w:rPr>
                <w:rFonts w:ascii="Arial" w:hAnsi="Arial" w:cs="Arial"/>
                <w:i/>
                <w:noProof/>
                <w:sz w:val="18"/>
                <w:szCs w:val="18"/>
                <w:lang w:val="en-AU" w:eastAsia="sv-SE"/>
              </w:rPr>
              <w:t>combination therapy studies</w:t>
            </w:r>
          </w:p>
        </w:tc>
      </w:tr>
      <w:tr w:rsidR="00FA4094" w:rsidRPr="00EF74CB" w:rsidTr="00FA4094">
        <w:tc>
          <w:tcPr>
            <w:tcW w:w="2835" w:type="dxa"/>
            <w:shd w:val="clear" w:color="auto" w:fill="auto"/>
          </w:tcPr>
          <w:p w:rsidR="00B7351F" w:rsidRPr="00EF74CB" w:rsidRDefault="009C3B58" w:rsidP="00771320">
            <w:pPr>
              <w:keepLines/>
              <w:spacing w:after="0"/>
              <w:ind w:left="180"/>
              <w:rPr>
                <w:rFonts w:ascii="Arial" w:hAnsi="Arial" w:cs="Arial"/>
                <w:sz w:val="18"/>
                <w:szCs w:val="18"/>
                <w:lang w:val="en-AU"/>
              </w:rPr>
            </w:pPr>
            <w:r w:rsidRPr="00EF74CB">
              <w:rPr>
                <w:rFonts w:ascii="Arial" w:hAnsi="Arial" w:cs="Arial"/>
                <w:sz w:val="18"/>
                <w:szCs w:val="18"/>
                <w:lang w:val="en-AU"/>
              </w:rPr>
              <w:t>NESINA</w:t>
            </w:r>
            <w:r w:rsidR="009E7430" w:rsidRPr="00EF74CB">
              <w:rPr>
                <w:rFonts w:ascii="Arial" w:hAnsi="Arial" w:cs="Arial"/>
                <w:sz w:val="18"/>
                <w:szCs w:val="18"/>
                <w:lang w:val="en-AU"/>
              </w:rPr>
              <w:t xml:space="preserve"> </w:t>
            </w:r>
            <w:r w:rsidR="00FA4094" w:rsidRPr="00EF74CB">
              <w:rPr>
                <w:rFonts w:ascii="Arial" w:hAnsi="Arial" w:cs="Arial"/>
                <w:sz w:val="18"/>
                <w:szCs w:val="18"/>
                <w:lang w:val="en-AU"/>
              </w:rPr>
              <w:t>25 mg once daily with metformin vs a SU &amp; metformin</w:t>
            </w:r>
            <w:r w:rsidR="00E6039F" w:rsidRPr="00EF74CB">
              <w:rPr>
                <w:rFonts w:ascii="Arial" w:hAnsi="Arial" w:cs="Arial"/>
                <w:sz w:val="18"/>
                <w:szCs w:val="18"/>
                <w:lang w:val="en-AU"/>
              </w:rPr>
              <w:t xml:space="preserve"> </w:t>
            </w:r>
          </w:p>
          <w:p w:rsidR="00FA4094" w:rsidRPr="00EF74CB" w:rsidRDefault="00E6039F" w:rsidP="00771320">
            <w:pPr>
              <w:keepLines/>
              <w:spacing w:after="0"/>
              <w:ind w:left="180"/>
              <w:rPr>
                <w:rFonts w:ascii="Arial" w:hAnsi="Arial" w:cs="Arial"/>
                <w:sz w:val="18"/>
                <w:szCs w:val="18"/>
                <w:lang w:val="en-AU"/>
              </w:rPr>
            </w:pPr>
            <w:r w:rsidRPr="00EF74CB">
              <w:rPr>
                <w:rFonts w:ascii="Arial" w:hAnsi="Arial" w:cs="Arial"/>
                <w:sz w:val="18"/>
                <w:szCs w:val="18"/>
                <w:lang w:val="en-AU"/>
              </w:rPr>
              <w:t>(Study SYR-322-305)</w:t>
            </w:r>
          </w:p>
          <w:p w:rsidR="00FA4094" w:rsidRPr="00EF74CB" w:rsidRDefault="00FA4094" w:rsidP="00771320">
            <w:pPr>
              <w:keepLines/>
              <w:spacing w:after="0"/>
              <w:ind w:left="540"/>
              <w:rPr>
                <w:rFonts w:ascii="Arial" w:hAnsi="Arial" w:cs="Arial"/>
                <w:sz w:val="18"/>
                <w:szCs w:val="18"/>
                <w:lang w:val="en-AU"/>
              </w:rPr>
            </w:pPr>
            <w:r w:rsidRPr="00EF74CB">
              <w:rPr>
                <w:rFonts w:ascii="Arial" w:hAnsi="Arial" w:cs="Arial"/>
                <w:sz w:val="18"/>
                <w:szCs w:val="18"/>
                <w:lang w:val="en-AU"/>
              </w:rPr>
              <w:t>Change at Week 52</w:t>
            </w:r>
          </w:p>
        </w:tc>
        <w:tc>
          <w:tcPr>
            <w:tcW w:w="993" w:type="dxa"/>
            <w:shd w:val="clear" w:color="auto" w:fill="auto"/>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E6039F" w:rsidRPr="00EF74CB" w:rsidRDefault="00E6039F"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537</w:t>
            </w:r>
          </w:p>
        </w:tc>
        <w:tc>
          <w:tcPr>
            <w:tcW w:w="1559" w:type="dxa"/>
            <w:shd w:val="clear" w:color="auto" w:fill="auto"/>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E6039F" w:rsidRPr="00EF74CB" w:rsidRDefault="00E6039F"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7.67</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(0.527)</w:t>
            </w:r>
          </w:p>
        </w:tc>
        <w:tc>
          <w:tcPr>
            <w:tcW w:w="1701" w:type="dxa"/>
            <w:shd w:val="clear" w:color="auto" w:fill="auto"/>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E6039F" w:rsidRPr="00EF74CB" w:rsidRDefault="00E6039F" w:rsidP="00771320">
            <w:pPr>
              <w:keepLines/>
              <w:spacing w:after="0"/>
              <w:jc w:val="center"/>
              <w:rPr>
                <w:rFonts w:ascii="Arial" w:hAnsi="Arial" w:cs="Arial"/>
                <w:noProof/>
                <w:sz w:val="18"/>
                <w:szCs w:val="18"/>
                <w:lang w:val="en-AU"/>
              </w:rPr>
            </w:pPr>
          </w:p>
          <w:p w:rsidR="00FA4094" w:rsidRPr="00EF74CB" w:rsidRDefault="00FA4094" w:rsidP="00771320">
            <w:pPr>
              <w:keepLines/>
              <w:spacing w:after="0"/>
              <w:jc w:val="center"/>
              <w:rPr>
                <w:rFonts w:ascii="Arial" w:hAnsi="Arial" w:cs="Arial"/>
                <w:noProof/>
                <w:sz w:val="18"/>
                <w:szCs w:val="18"/>
                <w:lang w:val="en-AU"/>
              </w:rPr>
            </w:pPr>
            <w:r w:rsidRPr="00EF74CB">
              <w:rPr>
                <w:rFonts w:ascii="Arial" w:hAnsi="Arial" w:cs="Arial"/>
                <w:noProof/>
                <w:sz w:val="18"/>
                <w:szCs w:val="18"/>
                <w:lang w:val="en-AU"/>
              </w:rPr>
              <w:t xml:space="preserve">-0.61 </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noProof/>
                <w:sz w:val="18"/>
                <w:szCs w:val="18"/>
                <w:lang w:val="en-AU"/>
              </w:rPr>
              <w:t>(0.030)</w:t>
            </w:r>
          </w:p>
        </w:tc>
        <w:tc>
          <w:tcPr>
            <w:tcW w:w="1984" w:type="dxa"/>
            <w:shd w:val="clear" w:color="auto" w:fill="auto"/>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E6039F" w:rsidRPr="00EF74CB" w:rsidRDefault="00E6039F" w:rsidP="00771320">
            <w:pPr>
              <w:keepLines/>
              <w:spacing w:after="0"/>
              <w:jc w:val="center"/>
              <w:rPr>
                <w:rFonts w:ascii="Arial" w:hAnsi="Arial" w:cs="Arial"/>
                <w:noProof/>
                <w:sz w:val="18"/>
                <w:szCs w:val="18"/>
                <w:lang w:val="en-AU"/>
              </w:rPr>
            </w:pPr>
          </w:p>
          <w:p w:rsidR="00FA4094" w:rsidRPr="00EF74CB" w:rsidRDefault="00FA4094" w:rsidP="00771320">
            <w:pPr>
              <w:keepLines/>
              <w:spacing w:after="0"/>
              <w:jc w:val="center"/>
              <w:rPr>
                <w:rFonts w:ascii="Arial" w:hAnsi="Arial" w:cs="Arial"/>
                <w:noProof/>
                <w:sz w:val="18"/>
                <w:szCs w:val="18"/>
                <w:lang w:val="en-AU"/>
              </w:rPr>
            </w:pPr>
            <w:r w:rsidRPr="00EF74CB">
              <w:rPr>
                <w:rFonts w:ascii="Arial" w:hAnsi="Arial" w:cs="Arial"/>
                <w:noProof/>
                <w:sz w:val="18"/>
                <w:szCs w:val="18"/>
                <w:lang w:val="en-AU"/>
              </w:rPr>
              <w:t>-0.09</w:t>
            </w:r>
            <w:r w:rsidR="003D51BA" w:rsidRPr="00EF74CB">
              <w:rPr>
                <w:rFonts w:ascii="Arial" w:hAnsi="Arial" w:cs="Arial"/>
                <w:noProof/>
                <w:sz w:val="18"/>
                <w:szCs w:val="18"/>
                <w:vertAlign w:val="superscript"/>
                <w:lang w:val="en-AU"/>
              </w:rPr>
              <w:t>#</w:t>
            </w:r>
            <w:r w:rsidRPr="00EF74CB">
              <w:rPr>
                <w:rFonts w:ascii="Arial" w:hAnsi="Arial" w:cs="Arial"/>
                <w:noProof/>
                <w:sz w:val="18"/>
                <w:szCs w:val="18"/>
                <w:lang w:val="en-AU"/>
              </w:rPr>
              <w:t xml:space="preserve"> </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noProof/>
                <w:sz w:val="18"/>
                <w:szCs w:val="18"/>
                <w:lang w:val="en-AU"/>
              </w:rPr>
              <w:t>(-infinity, 0.004)*</w:t>
            </w:r>
          </w:p>
        </w:tc>
      </w:tr>
      <w:tr w:rsidR="00FA4094" w:rsidRPr="00EF74CB" w:rsidTr="00FA4094">
        <w:tc>
          <w:tcPr>
            <w:tcW w:w="2835" w:type="dxa"/>
          </w:tcPr>
          <w:p w:rsidR="00FA4094" w:rsidRPr="00EF74CB" w:rsidRDefault="009C3B58" w:rsidP="00771320">
            <w:pPr>
              <w:keepLines/>
              <w:spacing w:after="0"/>
              <w:ind w:left="180"/>
              <w:rPr>
                <w:rFonts w:ascii="Arial" w:hAnsi="Arial" w:cs="Arial"/>
                <w:sz w:val="18"/>
                <w:szCs w:val="18"/>
                <w:lang w:val="en-AU"/>
              </w:rPr>
            </w:pPr>
            <w:r w:rsidRPr="00EF74CB">
              <w:rPr>
                <w:rFonts w:ascii="Arial" w:hAnsi="Arial" w:cs="Arial"/>
                <w:sz w:val="18"/>
                <w:szCs w:val="18"/>
                <w:lang w:val="en-AU"/>
              </w:rPr>
              <w:t>NESINA</w:t>
            </w:r>
            <w:r w:rsidR="009E7430" w:rsidRPr="00EF74CB">
              <w:rPr>
                <w:rFonts w:ascii="Arial" w:hAnsi="Arial" w:cs="Arial"/>
                <w:sz w:val="18"/>
                <w:szCs w:val="18"/>
                <w:lang w:val="en-AU"/>
              </w:rPr>
              <w:t xml:space="preserve"> </w:t>
            </w:r>
            <w:r w:rsidR="00FA4094" w:rsidRPr="00EF74CB">
              <w:rPr>
                <w:rFonts w:ascii="Arial" w:hAnsi="Arial" w:cs="Arial"/>
                <w:sz w:val="18"/>
                <w:szCs w:val="18"/>
                <w:lang w:val="en-AU"/>
              </w:rPr>
              <w:t>25 mg once daily with a TZD &amp; metformin vs  titrating TZD &amp; metformin</w:t>
            </w:r>
          </w:p>
          <w:p w:rsidR="0010670A" w:rsidRPr="00EF74CB" w:rsidRDefault="0010670A" w:rsidP="0010670A">
            <w:pPr>
              <w:spacing w:after="0" w:line="240" w:lineRule="auto"/>
              <w:jc w:val="both"/>
              <w:rPr>
                <w:rFonts w:ascii="Arial" w:hAnsi="Arial" w:cs="Arial"/>
                <w:sz w:val="18"/>
                <w:szCs w:val="18"/>
                <w:lang w:val="en-AU"/>
              </w:rPr>
            </w:pPr>
            <w:r w:rsidRPr="00EF74CB">
              <w:rPr>
                <w:rFonts w:ascii="Arial" w:hAnsi="Arial" w:cs="Arial"/>
                <w:sz w:val="18"/>
                <w:szCs w:val="18"/>
                <w:lang w:val="en-AU"/>
              </w:rPr>
              <w:t>(Study 01-06-TL-322OPI-004)</w:t>
            </w:r>
          </w:p>
          <w:p w:rsidR="00FA4094" w:rsidRPr="00EF74CB" w:rsidRDefault="00FA4094" w:rsidP="00771320">
            <w:pPr>
              <w:keepLines/>
              <w:tabs>
                <w:tab w:val="left" w:pos="192"/>
              </w:tabs>
              <w:spacing w:after="0"/>
              <w:ind w:left="540"/>
              <w:rPr>
                <w:rFonts w:ascii="Arial" w:hAnsi="Arial" w:cs="Arial"/>
                <w:sz w:val="18"/>
                <w:szCs w:val="18"/>
                <w:lang w:val="en-AU"/>
              </w:rPr>
            </w:pPr>
            <w:r w:rsidRPr="00EF74CB">
              <w:rPr>
                <w:rFonts w:ascii="Arial" w:hAnsi="Arial" w:cs="Arial"/>
                <w:sz w:val="18"/>
                <w:szCs w:val="18"/>
                <w:lang w:val="en-AU"/>
              </w:rPr>
              <w:t>Change at Week 26</w:t>
            </w:r>
          </w:p>
          <w:p w:rsidR="00FA4094" w:rsidRPr="00EF74CB" w:rsidRDefault="00FA4094" w:rsidP="00771320">
            <w:pPr>
              <w:keepLines/>
              <w:spacing w:after="0"/>
              <w:ind w:left="540"/>
              <w:rPr>
                <w:rFonts w:ascii="Arial" w:hAnsi="Arial" w:cs="Arial"/>
                <w:sz w:val="18"/>
                <w:szCs w:val="18"/>
                <w:lang w:val="en-AU"/>
              </w:rPr>
            </w:pPr>
          </w:p>
          <w:p w:rsidR="00FA4094" w:rsidRPr="00EF74CB" w:rsidRDefault="00FA4094" w:rsidP="00771320">
            <w:pPr>
              <w:keepLines/>
              <w:spacing w:after="0"/>
              <w:ind w:left="540"/>
              <w:rPr>
                <w:rFonts w:ascii="Arial" w:hAnsi="Arial" w:cs="Arial"/>
                <w:sz w:val="18"/>
                <w:szCs w:val="18"/>
                <w:lang w:val="en-AU"/>
              </w:rPr>
            </w:pPr>
            <w:r w:rsidRPr="00EF74CB">
              <w:rPr>
                <w:rFonts w:ascii="Arial" w:hAnsi="Arial" w:cs="Arial"/>
                <w:sz w:val="18"/>
                <w:szCs w:val="18"/>
                <w:lang w:val="en-AU"/>
              </w:rPr>
              <w:t>Change at Week 52</w:t>
            </w:r>
          </w:p>
        </w:tc>
        <w:tc>
          <w:tcPr>
            <w:tcW w:w="993" w:type="dxa"/>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10670A" w:rsidRPr="00EF74CB" w:rsidRDefault="0010670A"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303</w:t>
            </w: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303</w:t>
            </w:r>
          </w:p>
        </w:tc>
        <w:tc>
          <w:tcPr>
            <w:tcW w:w="1559" w:type="dxa"/>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10670A" w:rsidRPr="00EF74CB" w:rsidRDefault="0010670A"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8.25</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(0.820)</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8.25</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(0.820)</w:t>
            </w:r>
          </w:p>
        </w:tc>
        <w:tc>
          <w:tcPr>
            <w:tcW w:w="1701" w:type="dxa"/>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10670A" w:rsidRPr="00EF74CB" w:rsidRDefault="0010670A"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-0.89</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(0.042)</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-0.70</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(0.048)</w:t>
            </w:r>
          </w:p>
        </w:tc>
        <w:tc>
          <w:tcPr>
            <w:tcW w:w="1984" w:type="dxa"/>
          </w:tcPr>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p>
          <w:p w:rsidR="0010670A" w:rsidRPr="00EF74CB" w:rsidRDefault="0010670A" w:rsidP="00771320">
            <w:pPr>
              <w:keepLines/>
              <w:spacing w:after="0"/>
              <w:jc w:val="center"/>
              <w:rPr>
                <w:rFonts w:ascii="Arial" w:hAnsi="Arial" w:cs="Arial"/>
                <w:sz w:val="18"/>
                <w:szCs w:val="18"/>
                <w:lang w:val="en-AU"/>
              </w:rPr>
            </w:pP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-0.</w:t>
            </w:r>
            <w:r w:rsidR="00BF3779" w:rsidRPr="00EF74CB">
              <w:rPr>
                <w:rFonts w:ascii="Arial" w:hAnsi="Arial" w:cs="Arial"/>
                <w:sz w:val="18"/>
                <w:szCs w:val="18"/>
                <w:lang w:val="en-AU"/>
              </w:rPr>
              <w:t>47</w:t>
            </w:r>
            <w:r w:rsidR="003D51BA" w:rsidRPr="00EF74CB">
              <w:rPr>
                <w:rFonts w:ascii="Arial" w:hAnsi="Arial" w:cs="Arial"/>
                <w:sz w:val="18"/>
                <w:szCs w:val="18"/>
                <w:vertAlign w:val="superscript"/>
                <w:lang w:val="en-AU"/>
              </w:rPr>
              <w:t>##</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w:t>
            </w:r>
            <w:r w:rsidRPr="00EF74CB">
              <w:rPr>
                <w:rFonts w:ascii="Arial" w:hAnsi="Arial" w:cs="Arial"/>
                <w:sz w:val="18"/>
                <w:szCs w:val="18"/>
                <w:lang w:val="en-AU"/>
              </w:rPr>
              <w:noBreakHyphen/>
              <w:t xml:space="preserve">infinity, </w:t>
            </w:r>
            <w:r w:rsidRPr="00EF74CB">
              <w:rPr>
                <w:rFonts w:ascii="Arial" w:hAnsi="Arial" w:cs="Arial"/>
                <w:sz w:val="18"/>
                <w:szCs w:val="18"/>
                <w:lang w:val="en-AU"/>
              </w:rPr>
              <w:noBreakHyphen/>
              <w:t>0.35)**</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w:t>
            </w:r>
            <w:r w:rsidR="00BF3779" w:rsidRPr="00EF74CB">
              <w:rPr>
                <w:rFonts w:ascii="Arial" w:hAnsi="Arial" w:cs="Arial"/>
                <w:sz w:val="18"/>
                <w:szCs w:val="18"/>
                <w:lang w:val="en-AU"/>
              </w:rPr>
              <w:t>0.42</w:t>
            </w:r>
            <w:r w:rsidR="00BF3779" w:rsidRPr="00EF74CB">
              <w:rPr>
                <w:rFonts w:ascii="Arial" w:hAnsi="Arial" w:cs="Arial"/>
                <w:sz w:val="18"/>
                <w:szCs w:val="18"/>
                <w:vertAlign w:val="superscript"/>
                <w:lang w:val="en-AU"/>
              </w:rPr>
              <w:t>###</w:t>
            </w:r>
          </w:p>
          <w:p w:rsidR="00FA4094" w:rsidRPr="00EF74CB" w:rsidRDefault="00FA4094" w:rsidP="00771320">
            <w:pPr>
              <w:keepLines/>
              <w:spacing w:after="0"/>
              <w:jc w:val="center"/>
              <w:rPr>
                <w:rFonts w:ascii="Arial" w:hAnsi="Arial" w:cs="Arial"/>
                <w:sz w:val="18"/>
                <w:szCs w:val="18"/>
                <w:lang w:val="en-AU"/>
              </w:rPr>
            </w:pPr>
            <w:r w:rsidRPr="00EF74CB">
              <w:rPr>
                <w:rFonts w:ascii="Arial" w:hAnsi="Arial" w:cs="Arial"/>
                <w:sz w:val="18"/>
                <w:szCs w:val="18"/>
                <w:lang w:val="en-AU"/>
              </w:rPr>
              <w:t>(</w:t>
            </w:r>
            <w:r w:rsidRPr="00EF74CB">
              <w:rPr>
                <w:rFonts w:ascii="Arial" w:hAnsi="Arial" w:cs="Arial"/>
                <w:sz w:val="18"/>
                <w:szCs w:val="18"/>
                <w:lang w:val="en-AU"/>
              </w:rPr>
              <w:noBreakHyphen/>
              <w:t xml:space="preserve">infinity, </w:t>
            </w:r>
            <w:r w:rsidRPr="00EF74CB">
              <w:rPr>
                <w:rFonts w:ascii="Arial" w:hAnsi="Arial" w:cs="Arial"/>
                <w:sz w:val="18"/>
                <w:szCs w:val="18"/>
                <w:lang w:val="en-AU"/>
              </w:rPr>
              <w:noBreakHyphen/>
              <w:t>0.28)**</w:t>
            </w:r>
          </w:p>
        </w:tc>
      </w:tr>
      <w:tr w:rsidR="00FA4094" w:rsidRPr="00EF74CB" w:rsidTr="00FA4094">
        <w:tc>
          <w:tcPr>
            <w:tcW w:w="9072" w:type="dxa"/>
            <w:gridSpan w:val="5"/>
          </w:tcPr>
          <w:p w:rsidR="00FA4094" w:rsidRPr="00EF74CB" w:rsidRDefault="00FA4094" w:rsidP="00771320">
            <w:pPr>
              <w:keepLines/>
              <w:spacing w:after="0"/>
              <w:rPr>
                <w:rFonts w:ascii="Arial" w:hAnsi="Arial" w:cs="Arial"/>
                <w:sz w:val="18"/>
                <w:szCs w:val="18"/>
                <w:lang w:val="en-AU"/>
              </w:rPr>
            </w:pPr>
            <w:r w:rsidRPr="00EF74CB">
              <w:rPr>
                <w:rFonts w:ascii="Arial" w:hAnsi="Arial" w:cs="Arial"/>
                <w:sz w:val="18"/>
                <w:szCs w:val="18"/>
                <w:lang w:val="en-AU"/>
              </w:rPr>
              <w:t>PPS = per protocol set</w:t>
            </w:r>
          </w:p>
          <w:p w:rsidR="00A44323" w:rsidRPr="00EF74CB" w:rsidRDefault="003D51BA" w:rsidP="00771320">
            <w:pPr>
              <w:keepLines/>
              <w:spacing w:after="0"/>
              <w:rPr>
                <w:rFonts w:ascii="Arial" w:hAnsi="Arial" w:cs="Arial"/>
                <w:sz w:val="18"/>
                <w:szCs w:val="18"/>
                <w:lang w:val="en-AU"/>
              </w:rPr>
            </w:pPr>
            <w:r w:rsidRPr="00EF74CB">
              <w:rPr>
                <w:rFonts w:ascii="Arial" w:hAnsi="Arial" w:cs="Arial"/>
                <w:sz w:val="18"/>
                <w:szCs w:val="18"/>
                <w:vertAlign w:val="superscript"/>
                <w:lang w:val="en-AU"/>
              </w:rPr>
              <w:t>#</w:t>
            </w:r>
            <w:r w:rsidR="00BF3779" w:rsidRPr="00EF74CB">
              <w:rPr>
                <w:rFonts w:ascii="Arial" w:hAnsi="Arial" w:cs="Arial"/>
                <w:sz w:val="18"/>
                <w:szCs w:val="18"/>
                <w:lang w:val="en-AU"/>
              </w:rPr>
              <w:t>Non</w:t>
            </w:r>
            <w:r w:rsidR="00A44323" w:rsidRPr="00EF74CB">
              <w:rPr>
                <w:rFonts w:ascii="Arial" w:hAnsi="Arial" w:cs="Arial"/>
                <w:sz w:val="18"/>
                <w:szCs w:val="18"/>
                <w:lang w:val="en-AU"/>
              </w:rPr>
              <w:t>-inferior to SU + metformin at the 0.0125 1-sided significance level</w:t>
            </w:r>
          </w:p>
          <w:p w:rsidR="00FA4094" w:rsidRPr="00EF74CB" w:rsidRDefault="00FA4094" w:rsidP="00771320">
            <w:pPr>
              <w:keepLines/>
              <w:spacing w:after="0"/>
              <w:rPr>
                <w:rFonts w:ascii="Arial" w:hAnsi="Arial" w:cs="Arial"/>
                <w:sz w:val="18"/>
                <w:szCs w:val="18"/>
                <w:lang w:val="en-AU"/>
              </w:rPr>
            </w:pPr>
            <w:r w:rsidRPr="00EF74CB">
              <w:rPr>
                <w:rFonts w:ascii="Arial" w:hAnsi="Arial" w:cs="Arial"/>
                <w:sz w:val="18"/>
                <w:szCs w:val="18"/>
                <w:lang w:val="en-AU"/>
              </w:rPr>
              <w:t xml:space="preserve">* = 98.75% 1-sided </w:t>
            </w:r>
            <w:r w:rsidR="00A44323" w:rsidRPr="00EF74CB">
              <w:rPr>
                <w:rFonts w:ascii="Arial" w:hAnsi="Arial" w:cs="Arial"/>
                <w:sz w:val="18"/>
                <w:szCs w:val="18"/>
                <w:lang w:val="en-AU"/>
              </w:rPr>
              <w:t>CI</w:t>
            </w:r>
            <w:r w:rsidRPr="00EF74CB">
              <w:rPr>
                <w:rFonts w:ascii="Arial" w:hAnsi="Arial" w:cs="Arial"/>
                <w:sz w:val="18"/>
                <w:szCs w:val="18"/>
                <w:lang w:val="en-AU"/>
              </w:rPr>
              <w:t>.</w:t>
            </w:r>
          </w:p>
          <w:p w:rsidR="00A44323" w:rsidRPr="00EF74CB" w:rsidRDefault="00A44323" w:rsidP="00771320">
            <w:pPr>
              <w:keepLines/>
              <w:spacing w:after="0"/>
              <w:rPr>
                <w:rFonts w:ascii="Arial" w:hAnsi="Arial" w:cs="Arial"/>
                <w:sz w:val="18"/>
                <w:szCs w:val="18"/>
                <w:lang w:val="en-AU"/>
              </w:rPr>
            </w:pPr>
            <w:r w:rsidRPr="00EF74CB">
              <w:rPr>
                <w:rFonts w:ascii="Arial" w:hAnsi="Arial" w:cs="Arial"/>
                <w:sz w:val="18"/>
                <w:szCs w:val="18"/>
                <w:vertAlign w:val="superscript"/>
                <w:lang w:val="en-AU"/>
              </w:rPr>
              <w:t>##</w:t>
            </w:r>
            <w:r w:rsidRPr="00EF74CB">
              <w:rPr>
                <w:rFonts w:ascii="Arial" w:hAnsi="Arial" w:cs="Arial"/>
                <w:sz w:val="18"/>
                <w:szCs w:val="18"/>
                <w:lang w:val="en-AU"/>
              </w:rPr>
              <w:t>Non-inferior to metformin + pioglitazone at the 0.025 1-sided significance level</w:t>
            </w:r>
            <w:r w:rsidR="00573359" w:rsidRPr="00EF74CB">
              <w:rPr>
                <w:rFonts w:ascii="Arial" w:hAnsi="Arial" w:cs="Arial"/>
                <w:sz w:val="18"/>
                <w:szCs w:val="18"/>
                <w:lang w:val="en-AU"/>
              </w:rPr>
              <w:t>; statistical superiority was not tested</w:t>
            </w:r>
          </w:p>
          <w:p w:rsidR="00FA4094" w:rsidRPr="00EF74CB" w:rsidRDefault="00FA4094" w:rsidP="00771320">
            <w:pPr>
              <w:keepLines/>
              <w:spacing w:after="0"/>
              <w:rPr>
                <w:rFonts w:ascii="Arial" w:hAnsi="Arial" w:cs="Arial"/>
                <w:sz w:val="18"/>
                <w:szCs w:val="18"/>
                <w:lang w:val="en-AU"/>
              </w:rPr>
            </w:pPr>
            <w:r w:rsidRPr="00EF74CB">
              <w:rPr>
                <w:rFonts w:ascii="Arial" w:hAnsi="Arial" w:cs="Arial"/>
                <w:sz w:val="18"/>
                <w:szCs w:val="18"/>
                <w:lang w:val="en-AU"/>
              </w:rPr>
              <w:t>** = 97.5% 1-sided CI.</w:t>
            </w:r>
          </w:p>
          <w:p w:rsidR="002F1735" w:rsidRPr="00EF74CB" w:rsidRDefault="002F1735" w:rsidP="003D669A">
            <w:pPr>
              <w:keepLines/>
              <w:spacing w:after="0"/>
              <w:rPr>
                <w:rFonts w:ascii="Arial" w:hAnsi="Arial" w:cs="Arial"/>
                <w:sz w:val="18"/>
                <w:szCs w:val="18"/>
                <w:lang w:val="en-AU"/>
              </w:rPr>
            </w:pPr>
            <w:r w:rsidRPr="00EF74CB">
              <w:rPr>
                <w:rFonts w:ascii="Arial" w:hAnsi="Arial" w:cs="Arial"/>
                <w:sz w:val="18"/>
                <w:szCs w:val="18"/>
                <w:vertAlign w:val="superscript"/>
                <w:lang w:val="en-AU"/>
              </w:rPr>
              <w:t>#</w:t>
            </w:r>
            <w:r w:rsidR="00A44323" w:rsidRPr="00EF74CB">
              <w:rPr>
                <w:rFonts w:ascii="Arial" w:hAnsi="Arial" w:cs="Arial"/>
                <w:sz w:val="18"/>
                <w:szCs w:val="18"/>
                <w:vertAlign w:val="superscript"/>
                <w:lang w:val="en-AU"/>
              </w:rPr>
              <w:t>##</w:t>
            </w:r>
            <w:r w:rsidRPr="00EF74CB">
              <w:rPr>
                <w:rFonts w:ascii="Arial" w:hAnsi="Arial" w:cs="Arial"/>
                <w:sz w:val="18"/>
                <w:szCs w:val="18"/>
                <w:lang w:val="en-AU"/>
              </w:rPr>
              <w:t>Non-inferior and statistically superior to metformin + pioglitazone at the 0.025 1-sided significance level</w:t>
            </w:r>
          </w:p>
        </w:tc>
      </w:tr>
    </w:tbl>
    <w:p w:rsidR="00067C45" w:rsidRPr="00EF74CB" w:rsidRDefault="00067C45" w:rsidP="00A61164">
      <w:pPr>
        <w:spacing w:after="240" w:line="240" w:lineRule="auto"/>
        <w:jc w:val="both"/>
        <w:rPr>
          <w:rFonts w:ascii="Arial" w:eastAsia="Times New Roman" w:hAnsi="Arial" w:cs="Arial"/>
          <w:i/>
          <w:lang w:val="en-AU"/>
        </w:rPr>
      </w:pPr>
    </w:p>
    <w:p w:rsidR="00FA4094" w:rsidRPr="00EF74CB" w:rsidRDefault="00FA4094" w:rsidP="00A61164">
      <w:pPr>
        <w:spacing w:after="240" w:line="240" w:lineRule="auto"/>
        <w:jc w:val="both"/>
        <w:rPr>
          <w:rFonts w:ascii="Arial" w:eastAsia="Times New Roman" w:hAnsi="Arial" w:cs="Arial"/>
          <w:i/>
          <w:lang w:val="en-AU"/>
        </w:rPr>
      </w:pPr>
      <w:r w:rsidRPr="00EF74CB">
        <w:rPr>
          <w:rFonts w:ascii="Arial" w:eastAsia="Times New Roman" w:hAnsi="Arial" w:cs="Arial"/>
          <w:i/>
          <w:lang w:val="en-AU"/>
        </w:rPr>
        <w:t>Patients with renal impairment</w:t>
      </w:r>
    </w:p>
    <w:p w:rsidR="00FA4094" w:rsidRPr="00EF74CB" w:rsidRDefault="00A15C3B" w:rsidP="002C65FC">
      <w:pPr>
        <w:jc w:val="both"/>
        <w:rPr>
          <w:rFonts w:ascii="Arial" w:hAnsi="Arial" w:cs="Arial"/>
          <w:lang w:val="en-AU"/>
        </w:rPr>
      </w:pPr>
      <w:r w:rsidRPr="002C2B3C">
        <w:rPr>
          <w:rFonts w:ascii="Arial" w:hAnsi="Arial" w:cs="Arial"/>
          <w:lang w:val="en-AU"/>
        </w:rPr>
        <w:t>The efficacy of the recommended doses of NESINA in patients with type 2 diabetes mellitus and renal impairment</w:t>
      </w:r>
      <w:r w:rsidR="002C2B3C">
        <w:rPr>
          <w:rFonts w:ascii="Arial" w:hAnsi="Arial" w:cs="Arial"/>
          <w:lang w:val="en-AU"/>
        </w:rPr>
        <w:t xml:space="preserve"> from </w:t>
      </w:r>
      <w:r w:rsidR="002C2B3C" w:rsidRPr="002C2B3C">
        <w:rPr>
          <w:rFonts w:ascii="Arial" w:hAnsi="Arial" w:cs="Arial"/>
          <w:lang w:val="en-AU"/>
        </w:rPr>
        <w:t xml:space="preserve">the interim results of Study 402 (n=1180 with mild renal impairment [566 placebo, 614 alogliptin], n=586 with moderate renal impairment [306 placebo, 280 alogliptin], and n=58 with severe renal impairment [31 placebo, 27 alogliptin]) was </w:t>
      </w:r>
      <w:r w:rsidRPr="002C2B3C">
        <w:rPr>
          <w:rFonts w:ascii="Arial" w:hAnsi="Arial" w:cs="Arial"/>
          <w:lang w:val="en-AU"/>
        </w:rPr>
        <w:t xml:space="preserve">reviewed and found to be consistent with the </w:t>
      </w:r>
      <w:r w:rsidR="002C2B3C">
        <w:rPr>
          <w:rFonts w:ascii="Arial" w:hAnsi="Arial" w:cs="Arial"/>
          <w:lang w:val="en-AU"/>
        </w:rPr>
        <w:t xml:space="preserve">efficacy </w:t>
      </w:r>
      <w:r w:rsidRPr="002C2B3C">
        <w:rPr>
          <w:rFonts w:ascii="Arial" w:hAnsi="Arial" w:cs="Arial"/>
          <w:lang w:val="en-AU"/>
        </w:rPr>
        <w:t>profile obtained in patients with normal renal function</w:t>
      </w:r>
      <w:r w:rsidR="002C2B3C">
        <w:rPr>
          <w:rFonts w:ascii="Arial" w:hAnsi="Arial" w:cs="Arial"/>
          <w:lang w:val="en-AU"/>
        </w:rPr>
        <w:t xml:space="preserve"> </w:t>
      </w:r>
      <w:r w:rsidR="002C2B3C" w:rsidRPr="002C2B3C">
        <w:rPr>
          <w:rFonts w:ascii="Arial" w:hAnsi="Arial" w:cs="Arial"/>
          <w:lang w:val="en-AU"/>
        </w:rPr>
        <w:t>(n=241 [128 placebo, 113 alogliptin]) (see PHARMACOLOGY, Pharmacokinetics -  Special Populations; see also DOSAGE &amp; ADMINISTRATION)</w:t>
      </w:r>
      <w:r w:rsidR="00FA4094" w:rsidRPr="00EF74CB">
        <w:rPr>
          <w:rFonts w:ascii="Arial" w:hAnsi="Arial" w:cs="Arial"/>
          <w:lang w:val="en-AU"/>
        </w:rPr>
        <w:t>.</w:t>
      </w:r>
    </w:p>
    <w:p w:rsidR="00FA4094" w:rsidRPr="00EF74CB" w:rsidRDefault="00FA4094" w:rsidP="00A61164">
      <w:pPr>
        <w:spacing w:after="240" w:line="240" w:lineRule="auto"/>
        <w:jc w:val="both"/>
        <w:rPr>
          <w:rFonts w:ascii="Arial" w:eastAsia="Times New Roman" w:hAnsi="Arial" w:cs="Arial"/>
          <w:i/>
          <w:lang w:val="en-AU"/>
        </w:rPr>
      </w:pPr>
      <w:r w:rsidRPr="00EF74CB">
        <w:rPr>
          <w:rFonts w:ascii="Arial" w:eastAsia="Times New Roman" w:hAnsi="Arial" w:cs="Arial"/>
          <w:i/>
          <w:lang w:val="en-AU"/>
        </w:rPr>
        <w:t>Elderly patients (≥ 65 years old)</w:t>
      </w:r>
      <w:r w:rsidR="00097D9B" w:rsidRPr="00EF74CB">
        <w:rPr>
          <w:rFonts w:ascii="Arial" w:eastAsia="Times New Roman" w:hAnsi="Arial" w:cs="Arial"/>
          <w:i/>
          <w:lang w:val="en-AU"/>
        </w:rPr>
        <w:t xml:space="preserve"> (Study SYR-322-303)</w:t>
      </w:r>
    </w:p>
    <w:p w:rsidR="00FA4094" w:rsidRPr="00EF74CB" w:rsidRDefault="00FA4094" w:rsidP="002C65FC">
      <w:pPr>
        <w:jc w:val="both"/>
        <w:rPr>
          <w:rFonts w:ascii="Arial" w:hAnsi="Arial" w:cs="Arial"/>
          <w:lang w:val="en-AU"/>
        </w:rPr>
      </w:pPr>
      <w:r w:rsidRPr="00EF74CB">
        <w:rPr>
          <w:rFonts w:ascii="Arial" w:hAnsi="Arial" w:cs="Arial"/>
          <w:lang w:val="en-AU"/>
        </w:rPr>
        <w:t xml:space="preserve">Treatment with </w:t>
      </w:r>
      <w:r w:rsidR="009C3B58" w:rsidRPr="00EF74CB">
        <w:rPr>
          <w:rFonts w:ascii="Arial" w:eastAsia="Times New Roman" w:hAnsi="Arial" w:cs="Arial"/>
          <w:lang w:val="en-AU"/>
        </w:rPr>
        <w:t>NESINA</w:t>
      </w:r>
      <w:r w:rsidR="009E7430" w:rsidRPr="00EF74CB">
        <w:rPr>
          <w:rFonts w:ascii="Arial" w:hAnsi="Arial" w:cs="Arial"/>
          <w:lang w:val="en-AU"/>
        </w:rPr>
        <w:t xml:space="preserve"> </w:t>
      </w:r>
      <w:r w:rsidRPr="00EF74CB">
        <w:rPr>
          <w:rFonts w:ascii="Arial" w:hAnsi="Arial" w:cs="Arial"/>
          <w:lang w:val="en-AU"/>
        </w:rPr>
        <w:t xml:space="preserve">25 mg once daily resulted in improvements from baseline in HbA1c at Week 52 that were non-inferior to those produced by glipizide (mean dose = 5.4 mg).  Importantly, despite </w:t>
      </w:r>
      <w:r w:rsidR="009C3B58" w:rsidRPr="00EF74CB">
        <w:rPr>
          <w:rFonts w:ascii="Arial" w:eastAsia="Times New Roman" w:hAnsi="Arial" w:cs="Arial"/>
          <w:lang w:val="en-AU"/>
        </w:rPr>
        <w:t>NESINA</w:t>
      </w:r>
      <w:r w:rsidRPr="00EF74CB">
        <w:rPr>
          <w:rFonts w:ascii="Arial" w:hAnsi="Arial" w:cs="Arial"/>
          <w:lang w:val="en-AU"/>
        </w:rPr>
        <w:t xml:space="preserve"> and glipizide having similar HbA1c and FPG changes from baseline, episodes of hypoglycaemia were notably less frequent in patients receiving </w:t>
      </w:r>
      <w:r w:rsidR="009C3B58" w:rsidRPr="00EF74CB">
        <w:rPr>
          <w:rFonts w:ascii="Arial" w:eastAsia="Times New Roman" w:hAnsi="Arial" w:cs="Arial"/>
          <w:lang w:val="en-AU"/>
        </w:rPr>
        <w:t>NESINA</w:t>
      </w:r>
      <w:r w:rsidR="009E7430" w:rsidRPr="00EF74CB">
        <w:rPr>
          <w:rFonts w:ascii="Arial" w:hAnsi="Arial" w:cs="Arial"/>
          <w:lang w:val="en-AU"/>
        </w:rPr>
        <w:t xml:space="preserve"> </w:t>
      </w:r>
      <w:r w:rsidRPr="00EF74CB">
        <w:rPr>
          <w:rFonts w:ascii="Arial" w:hAnsi="Arial" w:cs="Arial"/>
          <w:lang w:val="en-AU"/>
        </w:rPr>
        <w:t>25 mg (5.4%) compared to those receiving glipizide (26.0%).</w:t>
      </w:r>
    </w:p>
    <w:p w:rsidR="0021430E" w:rsidRDefault="00FA4094">
      <w:pPr>
        <w:pStyle w:val="NoSpacing"/>
        <w:spacing w:after="240"/>
        <w:jc w:val="both"/>
        <w:rPr>
          <w:rFonts w:ascii="Arial" w:hAnsi="Arial" w:cs="Arial"/>
          <w:lang w:val="en-AU"/>
        </w:rPr>
      </w:pPr>
      <w:r w:rsidRPr="00EF74CB">
        <w:rPr>
          <w:rFonts w:ascii="Arial" w:hAnsi="Arial" w:cs="Arial"/>
          <w:lang w:val="en-AU"/>
        </w:rPr>
        <w:t xml:space="preserve">In addition, the efficacy and safety of the recommended doses of </w:t>
      </w:r>
      <w:r w:rsidR="009C3B58" w:rsidRPr="00EF74CB">
        <w:rPr>
          <w:rFonts w:ascii="Arial" w:eastAsia="Times New Roman" w:hAnsi="Arial" w:cs="Arial"/>
          <w:lang w:val="en-AU"/>
        </w:rPr>
        <w:t>NESINA</w:t>
      </w:r>
      <w:r w:rsidRPr="00EF74CB">
        <w:rPr>
          <w:rFonts w:ascii="Arial" w:hAnsi="Arial" w:cs="Arial"/>
          <w:lang w:val="en-AU"/>
        </w:rPr>
        <w:t xml:space="preserve"> in a subgroup of patients with type 2 diabetes mellitus and </w:t>
      </w:r>
      <w:r w:rsidR="00045A44" w:rsidRPr="00EF74CB">
        <w:rPr>
          <w:rFonts w:ascii="Arial" w:hAnsi="Arial" w:cs="Arial"/>
          <w:lang w:val="en-AU"/>
        </w:rPr>
        <w:t xml:space="preserve">≥ </w:t>
      </w:r>
      <w:r w:rsidRPr="00EF74CB">
        <w:rPr>
          <w:rFonts w:ascii="Arial" w:hAnsi="Arial" w:cs="Arial"/>
          <w:lang w:val="en-AU"/>
        </w:rPr>
        <w:t>65 years old were reviewed and found to be consistent with the profile obtained in patients &lt; 65 years old.</w:t>
      </w:r>
    </w:p>
    <w:p w:rsidR="004120F3" w:rsidRDefault="004120F3">
      <w:pPr>
        <w:rPr>
          <w:rFonts w:ascii="Arial" w:hAnsi="Arial" w:cs="Arial"/>
          <w:b/>
          <w:lang w:val="en-AU"/>
        </w:rPr>
      </w:pPr>
      <w:r>
        <w:rPr>
          <w:rFonts w:ascii="Arial" w:hAnsi="Arial" w:cs="Arial"/>
          <w:b/>
          <w:lang w:val="en-AU"/>
        </w:rPr>
        <w:br w:type="page"/>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INDICATIONS</w:t>
      </w:r>
    </w:p>
    <w:p w:rsidR="00DB0970" w:rsidRPr="00EF74CB" w:rsidRDefault="00014CB1" w:rsidP="00DB0970">
      <w:pPr>
        <w:jc w:val="both"/>
        <w:rPr>
          <w:rFonts w:ascii="Arial" w:hAnsi="Arial" w:cs="Arial"/>
          <w:lang w:val="en-AU"/>
        </w:rPr>
      </w:pPr>
      <w:r w:rsidRPr="00BB26AE">
        <w:rPr>
          <w:rFonts w:ascii="Arial" w:hAnsi="Arial" w:cs="Arial"/>
          <w:lang w:val="en-AU"/>
        </w:rPr>
        <w:t xml:space="preserve">NESINA is indicated to improve glycaemic control in adult patients </w:t>
      </w:r>
      <w:r w:rsidR="00E377DF">
        <w:rPr>
          <w:rFonts w:ascii="Arial" w:hAnsi="Arial" w:cs="Arial"/>
          <w:lang w:val="en-AU"/>
        </w:rPr>
        <w:t>(≥</w:t>
      </w:r>
      <w:r w:rsidRPr="00BB26AE">
        <w:rPr>
          <w:rFonts w:ascii="Arial" w:hAnsi="Arial" w:cs="Arial"/>
          <w:lang w:val="en-AU"/>
        </w:rPr>
        <w:t xml:space="preserve"> 18 years old) with type 2 diabetes mellitus when diet and exercise do not provide adequate glycaemic control, as add on to metformin, a sulphonylurea, a thiazolidinedione, </w:t>
      </w:r>
      <w:r w:rsidR="00E041CB">
        <w:rPr>
          <w:rFonts w:ascii="Arial" w:hAnsi="Arial" w:cs="Arial"/>
          <w:lang w:val="en-AU"/>
        </w:rPr>
        <w:t>i</w:t>
      </w:r>
      <w:r w:rsidR="00BB26AE" w:rsidRPr="00BB26AE">
        <w:rPr>
          <w:rFonts w:ascii="Arial" w:hAnsi="Arial" w:cs="Arial"/>
          <w:lang w:val="en-AU"/>
        </w:rPr>
        <w:t>nsulin (with or without</w:t>
      </w:r>
      <w:r w:rsidR="00BB26AE" w:rsidRPr="009F0C19">
        <w:rPr>
          <w:rFonts w:ascii="Arial" w:hAnsi="Arial" w:cs="Arial"/>
          <w:lang w:val="en-AU"/>
        </w:rPr>
        <w:t xml:space="preserve"> metformin)</w:t>
      </w:r>
      <w:r w:rsidR="00BB26AE">
        <w:rPr>
          <w:rFonts w:ascii="Arial" w:hAnsi="Arial" w:cs="Arial"/>
          <w:lang w:val="en-AU"/>
        </w:rPr>
        <w:t xml:space="preserve">, or in combination with </w:t>
      </w:r>
      <w:r w:rsidRPr="00BB26AE">
        <w:rPr>
          <w:rFonts w:ascii="Arial" w:hAnsi="Arial" w:cs="Arial"/>
          <w:lang w:val="en-AU"/>
        </w:rPr>
        <w:t>metformin and a thiazolidinedione</w:t>
      </w:r>
      <w:r w:rsidR="00A92E05">
        <w:rPr>
          <w:rFonts w:ascii="Arial" w:hAnsi="Arial" w:cs="Arial"/>
          <w:lang w:val="en-AU"/>
        </w:rPr>
        <w:t xml:space="preserve"> when dual therapy </w:t>
      </w:r>
      <w:r w:rsidR="00A92E05" w:rsidRPr="00A92E05">
        <w:rPr>
          <w:rFonts w:ascii="Arial" w:hAnsi="Arial" w:cs="Arial"/>
          <w:lang w:val="en-AU"/>
        </w:rPr>
        <w:t>does not provide adequate glycaemic control</w:t>
      </w:r>
      <w:r w:rsidR="0009563A" w:rsidRPr="009F0C19">
        <w:rPr>
          <w:rFonts w:ascii="Arial" w:hAnsi="Arial" w:cs="Arial"/>
          <w:lang w:val="en-AU"/>
        </w:rPr>
        <w:t>.</w:t>
      </w:r>
    </w:p>
    <w:p w:rsidR="00691008" w:rsidRPr="00EF74CB" w:rsidRDefault="002D31A3" w:rsidP="00DB0970">
      <w:pPr>
        <w:pStyle w:val="NoSpacing"/>
        <w:spacing w:after="240"/>
        <w:jc w:val="both"/>
        <w:rPr>
          <w:rFonts w:ascii="Arial" w:hAnsi="Arial" w:cs="Arial"/>
          <w:b/>
          <w:lang w:val="en-AU"/>
        </w:rPr>
      </w:pPr>
      <w:r w:rsidRPr="00EF74CB">
        <w:rPr>
          <w:rFonts w:ascii="Arial" w:hAnsi="Arial" w:cs="Arial"/>
          <w:b/>
          <w:lang w:val="en-AU"/>
        </w:rPr>
        <w:t>CONTRAINDICATIONS</w:t>
      </w:r>
    </w:p>
    <w:p w:rsidR="008A0966" w:rsidRPr="00EF74CB" w:rsidRDefault="008A0966" w:rsidP="008A0966">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Hypersensitivity to the active substance or to any of the excipients (see ADVERSE EFFECTS). </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PRECAUTIONS</w:t>
      </w:r>
    </w:p>
    <w:p w:rsidR="008E138E" w:rsidRPr="00EF74CB" w:rsidRDefault="008E138E" w:rsidP="008E138E">
      <w:pPr>
        <w:pStyle w:val="NoSpacing"/>
        <w:spacing w:after="240"/>
        <w:jc w:val="both"/>
        <w:rPr>
          <w:rFonts w:ascii="Arial" w:hAnsi="Arial" w:cs="Arial"/>
          <w:b/>
          <w:lang w:val="en-AU"/>
        </w:rPr>
      </w:pPr>
      <w:r w:rsidRPr="00EF74CB">
        <w:rPr>
          <w:rFonts w:ascii="Arial" w:hAnsi="Arial" w:cs="Arial"/>
          <w:b/>
          <w:lang w:val="en-AU"/>
        </w:rPr>
        <w:t>General</w:t>
      </w:r>
    </w:p>
    <w:p w:rsidR="008E138E" w:rsidRPr="00EF74CB" w:rsidRDefault="009C3B58" w:rsidP="008E138E">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8E138E" w:rsidRPr="00EF74CB">
        <w:rPr>
          <w:rFonts w:ascii="Arial" w:eastAsia="Times New Roman" w:hAnsi="Arial" w:cs="Arial"/>
          <w:lang w:val="en-AU"/>
        </w:rPr>
        <w:t xml:space="preserve"> should not be used in patients with type 1 diabetes mellitus or for the treatment of diabetic ketoacidosis. </w:t>
      </w:r>
    </w:p>
    <w:p w:rsidR="008E138E" w:rsidRPr="00EF74CB" w:rsidRDefault="008E138E" w:rsidP="008E138E">
      <w:pPr>
        <w:pStyle w:val="NoSpacing"/>
        <w:spacing w:after="240"/>
        <w:jc w:val="both"/>
        <w:rPr>
          <w:rFonts w:ascii="Arial" w:hAnsi="Arial" w:cs="Arial"/>
          <w:b/>
          <w:lang w:val="en-AU"/>
        </w:rPr>
      </w:pPr>
      <w:r w:rsidRPr="00EF74CB">
        <w:rPr>
          <w:rFonts w:ascii="Arial" w:hAnsi="Arial" w:cs="Arial"/>
          <w:b/>
          <w:lang w:val="en-AU"/>
        </w:rPr>
        <w:t>Use with other antihyperglycaemic medications and hypoglycaemia</w:t>
      </w:r>
    </w:p>
    <w:p w:rsidR="008E138E" w:rsidRPr="00EF74CB" w:rsidRDefault="008E138E" w:rsidP="008E138E">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Clinical trials of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alone or as add-on therapy to metformin or a thiazolidinedione demonstrated that there was no clinically relevant increase in hypoglycaemia rate compared to placebo.  In a clinical trial of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as add-on therapy to a sulphonylurea, the incidence of hypoglycaemia was lower than that of placebo.  The incidence of hypoglycaemia was greater in studies of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as add-on therapy to metformin with a thiazolidinedione and as add-on therapy to insulin (with or without metformin) compared to active-control or placebo, respectively (see ADVERSE EFFECTS).</w:t>
      </w:r>
    </w:p>
    <w:p w:rsidR="008E138E" w:rsidRPr="00EF74CB" w:rsidRDefault="00ED075E"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I</w:t>
      </w:r>
      <w:r w:rsidR="008E138E" w:rsidRPr="00EF74CB">
        <w:rPr>
          <w:rFonts w:ascii="Arial" w:eastAsia="Times New Roman" w:hAnsi="Arial" w:cs="Arial"/>
          <w:lang w:val="en-AU"/>
        </w:rPr>
        <w:t xml:space="preserve">nsulin </w:t>
      </w:r>
      <w:r w:rsidRPr="00EF74CB">
        <w:rPr>
          <w:rFonts w:ascii="Arial" w:eastAsia="Times New Roman" w:hAnsi="Arial" w:cs="Arial"/>
          <w:lang w:val="en-AU"/>
        </w:rPr>
        <w:t xml:space="preserve">and insulin secretagogues, such as sulphonylureas, </w:t>
      </w:r>
      <w:r w:rsidR="008E138E" w:rsidRPr="00EF74CB">
        <w:rPr>
          <w:rFonts w:ascii="Arial" w:eastAsia="Times New Roman" w:hAnsi="Arial" w:cs="Arial"/>
          <w:lang w:val="en-AU"/>
        </w:rPr>
        <w:t xml:space="preserve">are known to cause hypoglycaemia.  Therefore, a lower dose of insulin </w:t>
      </w:r>
      <w:r w:rsidR="004B031A" w:rsidRPr="00EF74CB">
        <w:rPr>
          <w:rFonts w:ascii="Arial" w:eastAsia="Times New Roman" w:hAnsi="Arial" w:cs="Arial"/>
          <w:lang w:val="en-AU"/>
        </w:rPr>
        <w:t xml:space="preserve">or insulin secretagogue </w:t>
      </w:r>
      <w:r w:rsidR="008E138E" w:rsidRPr="00EF74CB">
        <w:rPr>
          <w:rFonts w:ascii="Arial" w:eastAsia="Times New Roman" w:hAnsi="Arial" w:cs="Arial"/>
          <w:lang w:val="en-AU"/>
        </w:rPr>
        <w:t xml:space="preserve">may be </w:t>
      </w:r>
      <w:r w:rsidR="004B031A" w:rsidRPr="00EF74CB">
        <w:rPr>
          <w:rFonts w:ascii="Arial" w:eastAsia="Times New Roman" w:hAnsi="Arial" w:cs="Arial"/>
          <w:lang w:val="en-AU"/>
        </w:rPr>
        <w:t xml:space="preserve">required to </w:t>
      </w:r>
      <w:r w:rsidR="003D669A" w:rsidRPr="00EF74CB">
        <w:rPr>
          <w:rFonts w:ascii="Arial" w:eastAsia="Times New Roman" w:hAnsi="Arial" w:cs="Arial"/>
          <w:lang w:val="en-AU"/>
        </w:rPr>
        <w:t>minimise</w:t>
      </w:r>
      <w:r w:rsidR="008E138E" w:rsidRPr="00EF74CB">
        <w:rPr>
          <w:rFonts w:ascii="Arial" w:eastAsia="Times New Roman" w:hAnsi="Arial" w:cs="Arial"/>
          <w:lang w:val="en-AU"/>
        </w:rPr>
        <w:t xml:space="preserve"> the risk of hypoglycaemia when used in combination with </w:t>
      </w:r>
      <w:r w:rsidR="004B031A" w:rsidRPr="00EF74CB">
        <w:rPr>
          <w:rFonts w:ascii="Arial" w:eastAsia="Times New Roman" w:hAnsi="Arial" w:cs="Arial"/>
          <w:lang w:val="en-AU"/>
        </w:rPr>
        <w:t xml:space="preserve">alogliptin </w:t>
      </w:r>
      <w:r w:rsidR="008E138E" w:rsidRPr="00EF74CB">
        <w:rPr>
          <w:rFonts w:ascii="Arial" w:eastAsia="Times New Roman" w:hAnsi="Arial" w:cs="Arial"/>
          <w:lang w:val="en-AU"/>
        </w:rPr>
        <w:t xml:space="preserve">(see </w:t>
      </w:r>
      <w:r w:rsidR="00DB0970" w:rsidRPr="00EF74CB">
        <w:rPr>
          <w:rFonts w:ascii="Arial" w:eastAsia="Times New Roman" w:hAnsi="Arial" w:cs="Arial"/>
          <w:lang w:val="en-AU"/>
        </w:rPr>
        <w:t>DOSAGE AND ADMINISTRATION</w:t>
      </w:r>
      <w:r w:rsidR="008E138E" w:rsidRPr="00EF74CB">
        <w:rPr>
          <w:rFonts w:ascii="Arial" w:eastAsia="Times New Roman" w:hAnsi="Arial" w:cs="Arial"/>
          <w:lang w:val="en-AU"/>
        </w:rPr>
        <w:t>).</w:t>
      </w:r>
    </w:p>
    <w:p w:rsidR="008E138E" w:rsidRPr="00EF74CB" w:rsidRDefault="008E138E" w:rsidP="005D0FC0">
      <w:pPr>
        <w:pStyle w:val="NoSpacing"/>
        <w:spacing w:after="240"/>
        <w:jc w:val="both"/>
        <w:rPr>
          <w:rFonts w:ascii="Arial" w:hAnsi="Arial" w:cs="Arial"/>
          <w:b/>
          <w:lang w:val="en-AU"/>
        </w:rPr>
      </w:pPr>
      <w:r w:rsidRPr="00EF74CB">
        <w:rPr>
          <w:rFonts w:ascii="Arial" w:hAnsi="Arial" w:cs="Arial"/>
          <w:b/>
          <w:lang w:val="en-AU"/>
        </w:rPr>
        <w:t>Renal impairment</w:t>
      </w:r>
    </w:p>
    <w:p w:rsidR="008E138E" w:rsidRPr="00EF74CB" w:rsidRDefault="008E138E"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As there is a need for dose adjustment in patients with moderate or severe renal impairment, or End</w:t>
      </w:r>
      <w:r w:rsidRPr="00EF74CB">
        <w:rPr>
          <w:rFonts w:ascii="Arial" w:eastAsia="Times New Roman" w:hAnsi="Arial" w:cs="Arial"/>
          <w:lang w:val="en-AU"/>
        </w:rPr>
        <w:noBreakHyphen/>
        <w:t xml:space="preserve">Stage Renal Disease (ESRD) requiring dialysis, appropriate assessment of renal function is recommended prior to initiation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and periodically thereafter (see </w:t>
      </w:r>
      <w:r w:rsidR="005D0FC0" w:rsidRPr="00EF74CB">
        <w:rPr>
          <w:rFonts w:ascii="Arial" w:eastAsia="Times New Roman" w:hAnsi="Arial" w:cs="Arial"/>
          <w:lang w:val="en-AU"/>
        </w:rPr>
        <w:t>DOSAGE AND ADMINISTRATION</w:t>
      </w:r>
      <w:r w:rsidRPr="00EF74CB">
        <w:rPr>
          <w:rFonts w:ascii="Arial" w:eastAsia="Times New Roman" w:hAnsi="Arial" w:cs="Arial"/>
          <w:lang w:val="en-AU"/>
        </w:rPr>
        <w:t xml:space="preserve">).  </w:t>
      </w:r>
    </w:p>
    <w:p w:rsidR="008E138E" w:rsidRPr="00EF74CB" w:rsidRDefault="008E138E"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Experience in patients with severe renal impairment or ESRD requiring dialysis is limited and </w:t>
      </w:r>
      <w:r w:rsidR="009C3B58" w:rsidRPr="00EF74CB">
        <w:rPr>
          <w:rFonts w:ascii="Arial" w:eastAsia="Times New Roman" w:hAnsi="Arial" w:cs="Arial"/>
          <w:lang w:val="en-AU"/>
        </w:rPr>
        <w:t>NESINA</w:t>
      </w:r>
      <w:r w:rsidRPr="00EF74CB">
        <w:rPr>
          <w:rFonts w:ascii="Arial" w:eastAsia="Times New Roman" w:hAnsi="Arial" w:cs="Arial"/>
          <w:lang w:val="en-AU"/>
        </w:rPr>
        <w:t xml:space="preserve"> should be used with caution in such patients (see sections </w:t>
      </w:r>
      <w:r w:rsidR="005D0FC0" w:rsidRPr="00EF74CB">
        <w:rPr>
          <w:rFonts w:ascii="Arial" w:eastAsia="Times New Roman" w:hAnsi="Arial" w:cs="Arial"/>
          <w:lang w:val="en-AU"/>
        </w:rPr>
        <w:t>PHA</w:t>
      </w:r>
      <w:r w:rsidR="006E67CF">
        <w:rPr>
          <w:rFonts w:ascii="Arial" w:eastAsia="Times New Roman" w:hAnsi="Arial" w:cs="Arial"/>
          <w:lang w:val="en-AU"/>
        </w:rPr>
        <w:t>R</w:t>
      </w:r>
      <w:r w:rsidR="005D0FC0" w:rsidRPr="00EF74CB">
        <w:rPr>
          <w:rFonts w:ascii="Arial" w:eastAsia="Times New Roman" w:hAnsi="Arial" w:cs="Arial"/>
          <w:lang w:val="en-AU"/>
        </w:rPr>
        <w:t xml:space="preserve">MACOKINETICS </w:t>
      </w:r>
      <w:r w:rsidRPr="00EF74CB">
        <w:rPr>
          <w:rFonts w:ascii="Arial" w:eastAsia="Times New Roman" w:hAnsi="Arial" w:cs="Arial"/>
          <w:lang w:val="en-AU"/>
        </w:rPr>
        <w:t xml:space="preserve">and </w:t>
      </w:r>
      <w:r w:rsidR="005D0FC0" w:rsidRPr="00EF74CB">
        <w:rPr>
          <w:rFonts w:ascii="Arial" w:eastAsia="Times New Roman" w:hAnsi="Arial" w:cs="Arial"/>
          <w:lang w:val="en-AU"/>
        </w:rPr>
        <w:t>DOSAGE AND ADMINISTRATION</w:t>
      </w:r>
      <w:r w:rsidRPr="00EF74CB">
        <w:rPr>
          <w:rFonts w:ascii="Arial" w:eastAsia="Times New Roman" w:hAnsi="Arial" w:cs="Arial"/>
          <w:lang w:val="en-AU"/>
        </w:rPr>
        <w:t>).</w:t>
      </w:r>
    </w:p>
    <w:p w:rsidR="008E138E" w:rsidRPr="00EF74CB" w:rsidRDefault="008E138E" w:rsidP="005D0FC0">
      <w:pPr>
        <w:pStyle w:val="NoSpacing"/>
        <w:spacing w:after="240"/>
        <w:jc w:val="both"/>
        <w:rPr>
          <w:rFonts w:ascii="Arial" w:hAnsi="Arial" w:cs="Arial"/>
          <w:b/>
          <w:lang w:val="en-AU"/>
        </w:rPr>
      </w:pPr>
      <w:r w:rsidRPr="00EF74CB">
        <w:rPr>
          <w:rFonts w:ascii="Arial" w:hAnsi="Arial" w:cs="Arial"/>
          <w:b/>
          <w:lang w:val="en-AU"/>
        </w:rPr>
        <w:t>Hepatic impairment</w:t>
      </w:r>
    </w:p>
    <w:p w:rsidR="008E138E" w:rsidRPr="00EF74CB" w:rsidRDefault="009C3B58"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008E138E" w:rsidRPr="00EF74CB">
        <w:rPr>
          <w:rFonts w:ascii="Arial" w:eastAsia="Times New Roman" w:hAnsi="Arial" w:cs="Arial"/>
          <w:lang w:val="en-AU"/>
        </w:rPr>
        <w:t xml:space="preserve">has not been studied in patients with severe hepatic impairment (Child-Pugh score &gt; 9) and is, therefore, not recommended for use in such patients </w:t>
      </w:r>
      <w:r w:rsidR="005D0FC0" w:rsidRPr="00EF74CB">
        <w:rPr>
          <w:rFonts w:ascii="Arial" w:eastAsia="Times New Roman" w:hAnsi="Arial" w:cs="Arial"/>
          <w:lang w:val="en-AU"/>
        </w:rPr>
        <w:t>(see sections PHA</w:t>
      </w:r>
      <w:r w:rsidR="006E67CF">
        <w:rPr>
          <w:rFonts w:ascii="Arial" w:eastAsia="Times New Roman" w:hAnsi="Arial" w:cs="Arial"/>
          <w:lang w:val="en-AU"/>
        </w:rPr>
        <w:t>R</w:t>
      </w:r>
      <w:r w:rsidR="005D0FC0" w:rsidRPr="00EF74CB">
        <w:rPr>
          <w:rFonts w:ascii="Arial" w:eastAsia="Times New Roman" w:hAnsi="Arial" w:cs="Arial"/>
          <w:lang w:val="en-AU"/>
        </w:rPr>
        <w:t>MACOKINETICS and DOSAGE AND ADMINISTRATION)</w:t>
      </w:r>
      <w:r w:rsidR="008E138E" w:rsidRPr="00EF74CB">
        <w:rPr>
          <w:rFonts w:ascii="Arial" w:eastAsia="Times New Roman" w:hAnsi="Arial" w:cs="Arial"/>
          <w:lang w:val="en-AU"/>
        </w:rPr>
        <w:t xml:space="preserve">. </w:t>
      </w:r>
    </w:p>
    <w:p w:rsidR="004120F3" w:rsidRDefault="004120F3">
      <w:pPr>
        <w:rPr>
          <w:rFonts w:ascii="Arial" w:hAnsi="Arial" w:cs="Arial"/>
          <w:b/>
          <w:lang w:val="en-AU"/>
        </w:rPr>
      </w:pPr>
      <w:r>
        <w:rPr>
          <w:rFonts w:ascii="Arial" w:hAnsi="Arial" w:cs="Arial"/>
          <w:b/>
          <w:lang w:val="en-AU"/>
        </w:rPr>
        <w:br w:type="page"/>
      </w:r>
    </w:p>
    <w:p w:rsidR="000C35CB" w:rsidRPr="00EF74CB" w:rsidRDefault="000C35CB" w:rsidP="000C35CB">
      <w:pPr>
        <w:pStyle w:val="NoSpacing"/>
        <w:spacing w:after="240"/>
        <w:jc w:val="both"/>
        <w:rPr>
          <w:rFonts w:ascii="Arial" w:hAnsi="Arial" w:cs="Arial"/>
          <w:b/>
          <w:lang w:val="en-AU"/>
        </w:rPr>
      </w:pPr>
      <w:r w:rsidRPr="00EF74CB">
        <w:rPr>
          <w:rFonts w:ascii="Arial" w:hAnsi="Arial" w:cs="Arial"/>
          <w:b/>
          <w:lang w:val="en-AU"/>
        </w:rPr>
        <w:t xml:space="preserve">Hepatic </w:t>
      </w:r>
      <w:r w:rsidR="00022AC9" w:rsidRPr="00EF74CB">
        <w:rPr>
          <w:rFonts w:ascii="Arial" w:hAnsi="Arial" w:cs="Arial"/>
          <w:b/>
          <w:lang w:val="en-AU"/>
        </w:rPr>
        <w:t>effects</w:t>
      </w:r>
    </w:p>
    <w:p w:rsidR="008D3CB5" w:rsidRPr="00EF74CB" w:rsidRDefault="008D3CB5" w:rsidP="008D3CB5">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Postmarketing reports of hepatic dysfunction including hepatic failure have been received. Patients should be observed closely for possible liver abnormalities. Obtain liver function tests promptly in patients </w:t>
      </w:r>
      <w:r w:rsidR="000F7B75" w:rsidRPr="00EF74CB">
        <w:rPr>
          <w:rFonts w:ascii="Arial" w:eastAsia="Times New Roman" w:hAnsi="Arial" w:cs="Arial"/>
          <w:lang w:val="en-AU"/>
        </w:rPr>
        <w:t xml:space="preserve">who </w:t>
      </w:r>
      <w:r w:rsidR="00D02631" w:rsidRPr="00EF74CB">
        <w:rPr>
          <w:rFonts w:ascii="Arial" w:eastAsia="Times New Roman" w:hAnsi="Arial" w:cs="Arial"/>
          <w:lang w:val="en-AU"/>
        </w:rPr>
        <w:t>report symptoms</w:t>
      </w:r>
      <w:r w:rsidRPr="00EF74CB">
        <w:rPr>
          <w:rFonts w:ascii="Arial" w:eastAsia="Times New Roman" w:hAnsi="Arial" w:cs="Arial"/>
          <w:lang w:val="en-AU"/>
        </w:rPr>
        <w:t xml:space="preserve"> </w:t>
      </w:r>
      <w:r w:rsidR="000F7B75" w:rsidRPr="00EF74CB">
        <w:rPr>
          <w:rFonts w:ascii="Arial" w:eastAsia="Times New Roman" w:hAnsi="Arial" w:cs="Arial"/>
          <w:lang w:val="en-AU"/>
        </w:rPr>
        <w:t>that may indicate</w:t>
      </w:r>
      <w:r w:rsidRPr="00EF74CB">
        <w:rPr>
          <w:rFonts w:ascii="Arial" w:eastAsia="Times New Roman" w:hAnsi="Arial" w:cs="Arial"/>
          <w:lang w:val="en-AU"/>
        </w:rPr>
        <w:t xml:space="preserve"> liver injury. If an abnormality is found and an alternative etiology is not established, consider discontinuation of alogliptin treatment.</w:t>
      </w:r>
    </w:p>
    <w:p w:rsidR="00943BCB" w:rsidRPr="00EF74CB" w:rsidRDefault="004915B7">
      <w:pPr>
        <w:pStyle w:val="NoSpacing"/>
        <w:spacing w:after="240"/>
        <w:jc w:val="both"/>
        <w:rPr>
          <w:rFonts w:ascii="Arial" w:hAnsi="Arial" w:cs="Arial"/>
          <w:b/>
          <w:lang w:val="en-AU"/>
        </w:rPr>
      </w:pPr>
      <w:r w:rsidRPr="00EF74CB">
        <w:rPr>
          <w:rFonts w:ascii="Arial" w:hAnsi="Arial" w:cs="Arial"/>
          <w:b/>
          <w:lang w:val="en-AU"/>
        </w:rPr>
        <w:t>Acute Pancreatitis</w:t>
      </w:r>
    </w:p>
    <w:p w:rsidR="00943BCB" w:rsidRPr="00EF74CB" w:rsidRDefault="004915B7">
      <w:pPr>
        <w:spacing w:after="240" w:line="240" w:lineRule="auto"/>
        <w:jc w:val="both"/>
        <w:rPr>
          <w:rFonts w:ascii="Arial" w:eastAsia="Times New Roman" w:hAnsi="Arial" w:cs="Arial"/>
          <w:lang w:val="en-AU"/>
        </w:rPr>
      </w:pPr>
      <w:r w:rsidRPr="00EF74CB">
        <w:rPr>
          <w:rFonts w:ascii="Arial" w:eastAsia="Times New Roman" w:hAnsi="Arial" w:cs="Arial"/>
          <w:lang w:val="en-AU"/>
        </w:rPr>
        <w:t>Postmarketing</w:t>
      </w:r>
      <w:r w:rsidR="00CE2C9A" w:rsidRPr="00EF74CB">
        <w:rPr>
          <w:rFonts w:ascii="Arial" w:eastAsia="Times New Roman" w:hAnsi="Arial" w:cs="Arial"/>
          <w:lang w:val="en-AU"/>
        </w:rPr>
        <w:t xml:space="preserve"> events of acute pancreatitis have been reported for alogliptin and have been associated with other DPP-4 inhibitors. After initiation of alogliptin, patients should be observed carefully for signs and symptoms of pancreatitis. If pancreatitis is suspected, alogliptin should be promptly discontinued and appropriate management should be initiated.</w:t>
      </w:r>
    </w:p>
    <w:p w:rsidR="00943BCB" w:rsidRPr="00EF74CB" w:rsidRDefault="004915B7">
      <w:pPr>
        <w:pStyle w:val="NoSpacing"/>
        <w:spacing w:after="240"/>
        <w:jc w:val="both"/>
        <w:rPr>
          <w:rFonts w:ascii="Arial" w:hAnsi="Arial" w:cs="Arial"/>
          <w:b/>
          <w:lang w:val="en-AU"/>
        </w:rPr>
      </w:pPr>
      <w:r w:rsidRPr="00EF74CB">
        <w:rPr>
          <w:rFonts w:ascii="Arial" w:hAnsi="Arial" w:cs="Arial"/>
          <w:b/>
          <w:lang w:val="en-AU"/>
        </w:rPr>
        <w:t>Hypersensitivity Reactions</w:t>
      </w:r>
    </w:p>
    <w:p w:rsidR="00943BCB" w:rsidRPr="00EF74CB" w:rsidRDefault="00CE2C9A">
      <w:pPr>
        <w:spacing w:after="240" w:line="240" w:lineRule="auto"/>
        <w:jc w:val="both"/>
        <w:rPr>
          <w:rFonts w:ascii="Arial" w:eastAsia="Times New Roman" w:hAnsi="Arial" w:cs="Arial"/>
          <w:lang w:val="en-AU"/>
        </w:rPr>
      </w:pPr>
      <w:r w:rsidRPr="00EF74CB">
        <w:rPr>
          <w:rFonts w:ascii="Arial" w:eastAsia="Times New Roman" w:hAnsi="Arial" w:cs="Arial"/>
          <w:lang w:val="en-AU"/>
        </w:rPr>
        <w:t>Postmarketing events of serious hypersensitivity reactions in patients treated with alogliptin such as angioedema and severe cutaneous adverse reactions including Stevens-</w:t>
      </w:r>
      <w:r w:rsidR="00412F12">
        <w:rPr>
          <w:rFonts w:ascii="Arial" w:eastAsia="Times New Roman" w:hAnsi="Arial" w:cs="Arial"/>
          <w:lang w:val="en-AU"/>
        </w:rPr>
        <w:t>J</w:t>
      </w:r>
      <w:r w:rsidR="00412F12" w:rsidRPr="00EF74CB">
        <w:rPr>
          <w:rFonts w:ascii="Arial" w:eastAsia="Times New Roman" w:hAnsi="Arial" w:cs="Arial"/>
          <w:lang w:val="en-AU"/>
        </w:rPr>
        <w:t xml:space="preserve">ohnson </w:t>
      </w:r>
      <w:r w:rsidRPr="00EF74CB">
        <w:rPr>
          <w:rFonts w:ascii="Arial" w:eastAsia="Times New Roman" w:hAnsi="Arial" w:cs="Arial"/>
          <w:lang w:val="en-AU"/>
        </w:rPr>
        <w:t>syndrome have been reported and have been associated with other DPP-4 inhibitors. If a serious hypersensitivity reaction is suspected, alogliptin should be discontinued.</w:t>
      </w:r>
    </w:p>
    <w:p w:rsidR="008E138E" w:rsidRPr="00EF74CB" w:rsidRDefault="008E138E" w:rsidP="005D0FC0">
      <w:pPr>
        <w:pStyle w:val="NoSpacing"/>
        <w:spacing w:after="240"/>
        <w:jc w:val="both"/>
        <w:rPr>
          <w:rFonts w:ascii="Arial" w:hAnsi="Arial" w:cs="Arial"/>
          <w:b/>
          <w:lang w:val="en-AU"/>
        </w:rPr>
      </w:pPr>
      <w:r w:rsidRPr="00EF74CB">
        <w:rPr>
          <w:rFonts w:ascii="Arial" w:hAnsi="Arial" w:cs="Arial"/>
          <w:b/>
          <w:lang w:val="en-AU"/>
        </w:rPr>
        <w:t>Cardiac failure</w:t>
      </w:r>
    </w:p>
    <w:p w:rsidR="008E138E" w:rsidRPr="00EF74CB" w:rsidRDefault="008E138E"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There is limited experience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therapy in patients with congestive heart failure of New York Heart Association (NYHA) functional classes III and IV.  </w:t>
      </w:r>
      <w:r w:rsidR="009C3B58" w:rsidRPr="00EF74CB">
        <w:rPr>
          <w:rFonts w:ascii="Arial" w:eastAsia="Times New Roman" w:hAnsi="Arial" w:cs="Arial"/>
          <w:lang w:val="en-AU"/>
        </w:rPr>
        <w:t>NESINA</w:t>
      </w:r>
      <w:r w:rsidR="005D0FC0" w:rsidRPr="00EF74CB">
        <w:rPr>
          <w:rFonts w:ascii="Arial" w:eastAsia="Times New Roman" w:hAnsi="Arial" w:cs="Arial"/>
          <w:lang w:val="en-AU"/>
        </w:rPr>
        <w:t xml:space="preserve"> </w:t>
      </w:r>
      <w:r w:rsidRPr="00EF74CB">
        <w:rPr>
          <w:rFonts w:ascii="Arial" w:eastAsia="Times New Roman" w:hAnsi="Arial" w:cs="Arial"/>
          <w:lang w:val="en-AU"/>
        </w:rPr>
        <w:t xml:space="preserve">should, therefore, be used with caution in these patients (see </w:t>
      </w:r>
      <w:r w:rsidR="005D0FC0" w:rsidRPr="00616742">
        <w:rPr>
          <w:rFonts w:ascii="Arial" w:eastAsia="Times New Roman" w:hAnsi="Arial" w:cs="Arial"/>
          <w:lang w:val="en-AU"/>
        </w:rPr>
        <w:t>ADVERSE EFFECTS</w:t>
      </w:r>
      <w:r w:rsidRPr="00616742">
        <w:rPr>
          <w:rFonts w:ascii="Arial" w:eastAsia="Times New Roman" w:hAnsi="Arial" w:cs="Arial"/>
          <w:lang w:val="en-AU"/>
        </w:rPr>
        <w:t>).</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 xml:space="preserve">Effects on </w:t>
      </w:r>
      <w:r w:rsidR="00506327" w:rsidRPr="00EF74CB">
        <w:rPr>
          <w:rFonts w:ascii="Arial" w:hAnsi="Arial" w:cs="Arial"/>
          <w:b/>
          <w:lang w:val="en-AU"/>
        </w:rPr>
        <w:t>F</w:t>
      </w:r>
      <w:r w:rsidRPr="00EF74CB">
        <w:rPr>
          <w:rFonts w:ascii="Arial" w:hAnsi="Arial" w:cs="Arial"/>
          <w:b/>
          <w:lang w:val="en-AU"/>
        </w:rPr>
        <w:t>ertility</w:t>
      </w:r>
    </w:p>
    <w:p w:rsidR="00131821" w:rsidRPr="00EF74CB" w:rsidRDefault="00131821" w:rsidP="001318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effect of alogliptin on fertility in humans has not been studied.  </w:t>
      </w:r>
    </w:p>
    <w:p w:rsidR="005D0FC0" w:rsidRPr="00EF74CB" w:rsidRDefault="005D0FC0" w:rsidP="005D0FC0">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 adverse effects of alogliptin were observed </w:t>
      </w:r>
      <w:r w:rsidR="00131821" w:rsidRPr="00EF74CB">
        <w:rPr>
          <w:rFonts w:ascii="Arial" w:eastAsia="Times New Roman" w:hAnsi="Arial" w:cs="Arial"/>
          <w:lang w:val="en-AU"/>
        </w:rPr>
        <w:t>on</w:t>
      </w:r>
      <w:r w:rsidRPr="00EF74CB">
        <w:rPr>
          <w:rFonts w:ascii="Arial" w:eastAsia="Times New Roman" w:hAnsi="Arial" w:cs="Arial"/>
          <w:lang w:val="en-AU"/>
        </w:rPr>
        <w:t xml:space="preserve"> fertility, reproductive performance, or early embryonic development in </w:t>
      </w:r>
      <w:r w:rsidR="00D379C2" w:rsidRPr="00EF74CB">
        <w:rPr>
          <w:rFonts w:ascii="Arial" w:eastAsia="Times New Roman" w:hAnsi="Arial" w:cs="Arial"/>
          <w:lang w:val="en-AU"/>
        </w:rPr>
        <w:t xml:space="preserve">male and female </w:t>
      </w:r>
      <w:r w:rsidRPr="00EF74CB">
        <w:rPr>
          <w:rFonts w:ascii="Arial" w:eastAsia="Times New Roman" w:hAnsi="Arial" w:cs="Arial"/>
          <w:lang w:val="en-AU"/>
        </w:rPr>
        <w:t>rats</w:t>
      </w:r>
      <w:r w:rsidR="00D379C2" w:rsidRPr="00EF74CB">
        <w:rPr>
          <w:rFonts w:ascii="Arial" w:eastAsia="Times New Roman" w:hAnsi="Arial" w:cs="Arial"/>
          <w:lang w:val="en-AU"/>
        </w:rPr>
        <w:t xml:space="preserve"> given alogliptin orally at doses up to 500 mg/kg/day</w:t>
      </w:r>
      <w:r w:rsidRPr="00EF74CB">
        <w:rPr>
          <w:rFonts w:ascii="Arial" w:eastAsia="Times New Roman" w:hAnsi="Arial" w:cs="Arial"/>
          <w:lang w:val="en-AU"/>
        </w:rPr>
        <w:t xml:space="preserve">.  </w:t>
      </w:r>
      <w:r w:rsidR="000971B0" w:rsidRPr="00EF74CB">
        <w:rPr>
          <w:rFonts w:ascii="Arial" w:eastAsia="Times New Roman" w:hAnsi="Arial" w:cs="Arial"/>
          <w:lang w:val="en-AU"/>
        </w:rPr>
        <w:t>The e</w:t>
      </w:r>
      <w:r w:rsidRPr="00EF74CB">
        <w:rPr>
          <w:rFonts w:ascii="Arial" w:eastAsia="Times New Roman" w:hAnsi="Arial" w:cs="Arial"/>
          <w:lang w:val="en-AU"/>
        </w:rPr>
        <w:t xml:space="preserve">xposure margin at the NOAEL in rats </w:t>
      </w:r>
      <w:r w:rsidR="000971B0" w:rsidRPr="00EF74CB">
        <w:rPr>
          <w:rFonts w:ascii="Arial" w:eastAsia="Times New Roman" w:hAnsi="Arial" w:cs="Arial"/>
          <w:lang w:val="en-AU"/>
        </w:rPr>
        <w:t>was at least 170</w:t>
      </w:r>
      <w:r w:rsidRPr="00EF74CB">
        <w:rPr>
          <w:rFonts w:ascii="Arial" w:eastAsia="Times New Roman" w:hAnsi="Arial" w:cs="Arial"/>
          <w:lang w:val="en-AU"/>
        </w:rPr>
        <w:t xml:space="preserve">-fold the exposure in humans at the recommended dose of 25 mg alogliptin.  </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 xml:space="preserve">Use in </w:t>
      </w:r>
      <w:r w:rsidR="00506327" w:rsidRPr="00EF74CB">
        <w:rPr>
          <w:rFonts w:ascii="Arial" w:hAnsi="Arial" w:cs="Arial"/>
          <w:b/>
          <w:lang w:val="en-AU"/>
        </w:rPr>
        <w:t>P</w:t>
      </w:r>
      <w:r w:rsidRPr="00EF74CB">
        <w:rPr>
          <w:rFonts w:ascii="Arial" w:hAnsi="Arial" w:cs="Arial"/>
          <w:b/>
          <w:lang w:val="en-AU"/>
        </w:rPr>
        <w:t xml:space="preserve">regnancy </w:t>
      </w:r>
      <w:r w:rsidR="00F9001C" w:rsidRPr="00EF74CB">
        <w:rPr>
          <w:rFonts w:ascii="Arial" w:hAnsi="Arial" w:cs="Arial"/>
          <w:b/>
          <w:lang w:val="en-AU"/>
        </w:rPr>
        <w:t>(C</w:t>
      </w:r>
      <w:r w:rsidRPr="00EF74CB">
        <w:rPr>
          <w:rFonts w:ascii="Arial" w:hAnsi="Arial" w:cs="Arial"/>
          <w:b/>
          <w:lang w:val="en-AU"/>
        </w:rPr>
        <w:t xml:space="preserve">ategory </w:t>
      </w:r>
      <w:r w:rsidR="00276F81" w:rsidRPr="00EF74CB">
        <w:rPr>
          <w:rFonts w:ascii="Arial" w:hAnsi="Arial" w:cs="Arial"/>
          <w:b/>
          <w:lang w:val="en-AU"/>
        </w:rPr>
        <w:t>B3</w:t>
      </w:r>
      <w:r w:rsidR="00F9001C" w:rsidRPr="00EF74CB">
        <w:rPr>
          <w:rFonts w:ascii="Arial" w:hAnsi="Arial" w:cs="Arial"/>
          <w:b/>
          <w:lang w:val="en-AU"/>
        </w:rPr>
        <w:t>)</w:t>
      </w:r>
    </w:p>
    <w:p w:rsidR="001B59D9" w:rsidRPr="00EF74CB" w:rsidRDefault="001B59D9" w:rsidP="001B59D9">
      <w:pPr>
        <w:spacing w:after="240" w:line="240" w:lineRule="auto"/>
        <w:jc w:val="both"/>
        <w:rPr>
          <w:rFonts w:ascii="Arial" w:eastAsia="Times New Roman" w:hAnsi="Arial" w:cs="Arial"/>
          <w:lang w:val="en-AU"/>
        </w:rPr>
      </w:pPr>
      <w:r w:rsidRPr="00EF74CB">
        <w:rPr>
          <w:rFonts w:ascii="Arial" w:eastAsia="Times New Roman" w:hAnsi="Arial" w:cs="Arial"/>
          <w:lang w:val="en-AU"/>
        </w:rPr>
        <w:t>There are no data from the use of</w:t>
      </w:r>
      <w:r w:rsidR="00FC7E07" w:rsidRPr="00EF74CB">
        <w:rPr>
          <w:rFonts w:ascii="Arial" w:eastAsia="Times New Roman" w:hAnsi="Arial" w:cs="Arial"/>
          <w:lang w:val="en-AU"/>
        </w:rPr>
        <w:t xml:space="preserve"> alogliptin in pregnant women. </w:t>
      </w:r>
      <w:r w:rsidRPr="00EF74CB">
        <w:rPr>
          <w:rFonts w:ascii="Arial" w:eastAsia="Times New Roman" w:hAnsi="Arial" w:cs="Arial"/>
          <w:lang w:val="en-AU"/>
        </w:rPr>
        <w:t xml:space="preserve">Animal studies do not indicate direct harmful effects with respect to reproductive toxicity. </w:t>
      </w:r>
      <w:r w:rsidR="00B30EA2" w:rsidRPr="00EF74CB">
        <w:rPr>
          <w:rFonts w:ascii="Arial" w:eastAsia="Times New Roman" w:hAnsi="Arial" w:cs="Arial"/>
          <w:lang w:val="en-AU"/>
        </w:rPr>
        <w:t>As with other oral antihyperglycaemic agents, a</w:t>
      </w:r>
      <w:r w:rsidRPr="00EF74CB">
        <w:rPr>
          <w:rFonts w:ascii="Arial" w:eastAsia="Times New Roman" w:hAnsi="Arial" w:cs="Arial"/>
          <w:lang w:val="en-AU"/>
        </w:rPr>
        <w:t xml:space="preserve">s a precautionary measure it is preferable to avoid the use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during pregnancy.</w:t>
      </w:r>
    </w:p>
    <w:p w:rsidR="001B59D9" w:rsidRPr="00EF74CB" w:rsidRDefault="001B59D9" w:rsidP="001B59D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Placental transfer of alogliptin occurs in rats. Alogliptin was not teratogenic in rats or rabbits.  The exposure margins at the NOAEL established in rats </w:t>
      </w:r>
      <w:r w:rsidR="00C6267D" w:rsidRPr="00EF74CB">
        <w:rPr>
          <w:rFonts w:ascii="Arial" w:eastAsia="Times New Roman" w:hAnsi="Arial" w:cs="Arial"/>
          <w:lang w:val="en-AU"/>
        </w:rPr>
        <w:t>(</w:t>
      </w:r>
      <w:r w:rsidR="001876F0" w:rsidRPr="00EF74CB">
        <w:rPr>
          <w:rFonts w:ascii="Arial" w:eastAsia="Times New Roman" w:hAnsi="Arial" w:cs="Arial"/>
          <w:lang w:val="en-AU"/>
        </w:rPr>
        <w:t>500 mg/kg/day</w:t>
      </w:r>
      <w:r w:rsidR="00C6267D" w:rsidRPr="00EF74CB">
        <w:rPr>
          <w:rFonts w:ascii="Arial" w:eastAsia="Times New Roman" w:hAnsi="Arial" w:cs="Arial"/>
          <w:lang w:val="en-AU"/>
        </w:rPr>
        <w:t xml:space="preserve">) </w:t>
      </w:r>
      <w:r w:rsidRPr="00EF74CB">
        <w:rPr>
          <w:rFonts w:ascii="Arial" w:eastAsia="Times New Roman" w:hAnsi="Arial" w:cs="Arial"/>
          <w:lang w:val="en-AU"/>
        </w:rPr>
        <w:t xml:space="preserve">and rabbits </w:t>
      </w:r>
      <w:r w:rsidR="0061074E" w:rsidRPr="00EF74CB">
        <w:rPr>
          <w:rFonts w:ascii="Arial" w:eastAsia="Times New Roman" w:hAnsi="Arial" w:cs="Arial"/>
          <w:lang w:val="en-AU"/>
        </w:rPr>
        <w:t xml:space="preserve">(200 mg/Kg/day) </w:t>
      </w:r>
      <w:r w:rsidRPr="00EF74CB">
        <w:rPr>
          <w:rFonts w:ascii="Arial" w:eastAsia="Times New Roman" w:hAnsi="Arial" w:cs="Arial"/>
          <w:lang w:val="en-AU"/>
        </w:rPr>
        <w:t xml:space="preserve">were approximately </w:t>
      </w:r>
      <w:r w:rsidR="001876F0" w:rsidRPr="00EF74CB">
        <w:rPr>
          <w:rFonts w:ascii="Arial" w:eastAsia="Times New Roman" w:hAnsi="Arial" w:cs="Arial"/>
          <w:lang w:val="en-AU"/>
        </w:rPr>
        <w:t>180</w:t>
      </w:r>
      <w:r w:rsidRPr="00EF74CB">
        <w:rPr>
          <w:rFonts w:ascii="Arial" w:eastAsia="Times New Roman" w:hAnsi="Arial" w:cs="Arial"/>
          <w:lang w:val="en-AU"/>
        </w:rPr>
        <w:t xml:space="preserve">- and </w:t>
      </w:r>
      <w:r w:rsidR="001876F0" w:rsidRPr="00EF74CB">
        <w:rPr>
          <w:rFonts w:ascii="Arial" w:eastAsia="Times New Roman" w:hAnsi="Arial" w:cs="Arial"/>
          <w:lang w:val="en-AU"/>
        </w:rPr>
        <w:t>149</w:t>
      </w:r>
      <w:r w:rsidRPr="00EF74CB">
        <w:rPr>
          <w:rFonts w:ascii="Arial" w:eastAsia="Times New Roman" w:hAnsi="Arial" w:cs="Arial"/>
          <w:lang w:val="en-AU"/>
        </w:rPr>
        <w:t>-fold, respectively, the exposure in humans at the recommended dose of 25</w:t>
      </w:r>
      <w:r w:rsidR="00FC7E07" w:rsidRPr="00EF74CB">
        <w:rPr>
          <w:rFonts w:ascii="Arial" w:eastAsia="Times New Roman" w:hAnsi="Arial" w:cs="Arial"/>
          <w:lang w:val="en-AU"/>
        </w:rPr>
        <w:t xml:space="preserve"> </w:t>
      </w:r>
      <w:r w:rsidRPr="00EF74CB">
        <w:rPr>
          <w:rFonts w:ascii="Arial" w:eastAsia="Times New Roman" w:hAnsi="Arial" w:cs="Arial"/>
          <w:lang w:val="en-AU"/>
        </w:rPr>
        <w:t>mg alogliptin. Higher doses of alogliptin were not teratogenic but resulted in maternal toxicity, and were associated with delayed and/or lack of ossification of bones and decreased fetal body weights.</w:t>
      </w:r>
    </w:p>
    <w:p w:rsidR="001B59D9" w:rsidRPr="00EF74CB" w:rsidRDefault="001B59D9" w:rsidP="001B59D9">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a pre- and postnatal development study in rats, </w:t>
      </w:r>
      <w:r w:rsidR="002E095B" w:rsidRPr="00EF74CB">
        <w:rPr>
          <w:rFonts w:ascii="Arial" w:eastAsia="Times New Roman" w:hAnsi="Arial" w:cs="Arial"/>
          <w:lang w:val="en-AU"/>
        </w:rPr>
        <w:t>doses of 250 mg/kg/day (</w:t>
      </w:r>
      <w:r w:rsidRPr="00EF74CB">
        <w:rPr>
          <w:rFonts w:ascii="Arial" w:eastAsia="Times New Roman" w:hAnsi="Arial" w:cs="Arial"/>
          <w:lang w:val="en-AU"/>
        </w:rPr>
        <w:t>approximately 95-fold the exposure in humans at the recommended dose of 25 mg alogliptin</w:t>
      </w:r>
      <w:r w:rsidR="002E095B" w:rsidRPr="00EF74CB">
        <w:rPr>
          <w:rFonts w:ascii="Arial" w:eastAsia="Times New Roman" w:hAnsi="Arial" w:cs="Arial"/>
          <w:lang w:val="en-AU"/>
        </w:rPr>
        <w:t>)</w:t>
      </w:r>
      <w:r w:rsidRPr="00EF74CB">
        <w:rPr>
          <w:rFonts w:ascii="Arial" w:eastAsia="Times New Roman" w:hAnsi="Arial" w:cs="Arial"/>
          <w:lang w:val="en-AU"/>
        </w:rPr>
        <w:t xml:space="preserve"> did not harm the developing embryo or affect offspring growth and development.  Higher doses of alogliptin, providing exposures exceeding </w:t>
      </w:r>
      <w:r w:rsidR="00276F81" w:rsidRPr="00EF74CB">
        <w:rPr>
          <w:rFonts w:ascii="Arial" w:eastAsia="Times New Roman" w:hAnsi="Arial" w:cs="Arial"/>
          <w:lang w:val="en-AU"/>
        </w:rPr>
        <w:t>190</w:t>
      </w:r>
      <w:r w:rsidRPr="00EF74CB">
        <w:rPr>
          <w:rFonts w:ascii="Arial" w:eastAsia="Times New Roman" w:hAnsi="Arial" w:cs="Arial"/>
          <w:lang w:val="en-AU"/>
        </w:rPr>
        <w:noBreakHyphen/>
        <w:t xml:space="preserve">fold the human exposure, decreased offspring body weight without adversely affecting developmental behaviour, maturation </w:t>
      </w:r>
      <w:r w:rsidR="00492B88" w:rsidRPr="00EF74CB">
        <w:rPr>
          <w:rFonts w:ascii="Arial" w:eastAsia="Times New Roman" w:hAnsi="Arial" w:cs="Arial"/>
          <w:lang w:val="en-AU"/>
        </w:rPr>
        <w:t xml:space="preserve">and </w:t>
      </w:r>
      <w:r w:rsidRPr="00EF74CB">
        <w:rPr>
          <w:rFonts w:ascii="Arial" w:eastAsia="Times New Roman" w:hAnsi="Arial" w:cs="Arial"/>
          <w:lang w:val="en-AU"/>
        </w:rPr>
        <w:t xml:space="preserve">reproductive success. </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 xml:space="preserve">Use in </w:t>
      </w:r>
      <w:r w:rsidR="00506327" w:rsidRPr="00EF74CB">
        <w:rPr>
          <w:rFonts w:ascii="Arial" w:hAnsi="Arial" w:cs="Arial"/>
          <w:b/>
          <w:lang w:val="en-AU"/>
        </w:rPr>
        <w:t>L</w:t>
      </w:r>
      <w:r w:rsidRPr="00EF74CB">
        <w:rPr>
          <w:rFonts w:ascii="Arial" w:hAnsi="Arial" w:cs="Arial"/>
          <w:b/>
          <w:lang w:val="en-AU"/>
        </w:rPr>
        <w:t>actation</w:t>
      </w:r>
    </w:p>
    <w:p w:rsidR="00D70513" w:rsidRPr="00EF74CB" w:rsidRDefault="00D70513" w:rsidP="00D70513">
      <w:pPr>
        <w:spacing w:after="240" w:line="240" w:lineRule="auto"/>
        <w:jc w:val="both"/>
        <w:rPr>
          <w:rFonts w:ascii="Arial" w:eastAsia="Times New Roman" w:hAnsi="Arial" w:cs="Arial"/>
          <w:lang w:val="en-AU"/>
        </w:rPr>
      </w:pPr>
      <w:r w:rsidRPr="00EF74CB">
        <w:rPr>
          <w:rFonts w:ascii="Arial" w:eastAsia="Times New Roman" w:hAnsi="Arial" w:cs="Arial"/>
          <w:lang w:val="en-AU"/>
        </w:rPr>
        <w:t>It is unknown whether alogliptin is excreted in human milk.</w:t>
      </w:r>
      <w:r w:rsidR="002003DA" w:rsidRPr="00EF74CB">
        <w:rPr>
          <w:rFonts w:ascii="Arial" w:eastAsia="Times New Roman" w:hAnsi="Arial" w:cs="Arial"/>
          <w:lang w:val="en-AU"/>
        </w:rPr>
        <w:t xml:space="preserve"> </w:t>
      </w:r>
      <w:r w:rsidRPr="00EF74CB">
        <w:rPr>
          <w:rFonts w:ascii="Arial" w:eastAsia="Times New Roman" w:hAnsi="Arial" w:cs="Arial"/>
          <w:lang w:val="en-AU"/>
        </w:rPr>
        <w:t xml:space="preserve">Studies in lactating rats indicate that alogliptin is excreted in milk.  A risk to the </w:t>
      </w:r>
      <w:r w:rsidR="003D669A" w:rsidRPr="00EF74CB">
        <w:rPr>
          <w:rFonts w:ascii="Arial" w:eastAsia="Times New Roman" w:hAnsi="Arial" w:cs="Arial"/>
          <w:lang w:val="en-AU"/>
        </w:rPr>
        <w:t>breastfeeding</w:t>
      </w:r>
      <w:r w:rsidRPr="00EF74CB">
        <w:rPr>
          <w:rFonts w:ascii="Arial" w:eastAsia="Times New Roman" w:hAnsi="Arial" w:cs="Arial"/>
          <w:lang w:val="en-AU"/>
        </w:rPr>
        <w:t xml:space="preserve"> child cannot be excluded.  </w:t>
      </w:r>
    </w:p>
    <w:p w:rsidR="00D70513" w:rsidRPr="00EF74CB" w:rsidRDefault="00D70513" w:rsidP="00D70513">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 decision on whether to discontinue breastfeeding or to discontinue </w:t>
      </w:r>
      <w:r w:rsidR="009C3B58" w:rsidRPr="00EF74CB">
        <w:rPr>
          <w:rFonts w:ascii="Arial" w:eastAsia="Times New Roman" w:hAnsi="Arial" w:cs="Arial"/>
          <w:lang w:val="en-AU"/>
        </w:rPr>
        <w:t>NESINA</w:t>
      </w:r>
      <w:r w:rsidRPr="00EF74CB">
        <w:rPr>
          <w:rFonts w:ascii="Arial" w:eastAsia="Times New Roman" w:hAnsi="Arial" w:cs="Arial"/>
          <w:lang w:val="en-AU"/>
        </w:rPr>
        <w:t xml:space="preserve"> therapy should be made taking into account the benefit of breastfeeding for the child and the benefit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therapy for the woman.</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 xml:space="preserve">Paediatric </w:t>
      </w:r>
      <w:r w:rsidR="00506327" w:rsidRPr="00EF74CB">
        <w:rPr>
          <w:rFonts w:ascii="Arial" w:hAnsi="Arial" w:cs="Arial"/>
          <w:b/>
          <w:lang w:val="en-AU"/>
        </w:rPr>
        <w:t>U</w:t>
      </w:r>
      <w:r w:rsidRPr="00EF74CB">
        <w:rPr>
          <w:rFonts w:ascii="Arial" w:hAnsi="Arial" w:cs="Arial"/>
          <w:b/>
          <w:lang w:val="en-AU"/>
        </w:rPr>
        <w:t>se</w:t>
      </w:r>
    </w:p>
    <w:p w:rsidR="00BA296A" w:rsidRPr="00EF74CB" w:rsidRDefault="00BA296A" w:rsidP="00BA296A">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safety and efficacy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in patients &lt;</w:t>
      </w:r>
      <w:r w:rsidR="00BD21D1" w:rsidRPr="00EF74CB">
        <w:rPr>
          <w:rFonts w:ascii="Arial" w:eastAsia="Times New Roman" w:hAnsi="Arial" w:cs="Arial"/>
          <w:lang w:val="en-AU"/>
        </w:rPr>
        <w:t xml:space="preserve"> </w:t>
      </w:r>
      <w:r w:rsidRPr="00EF74CB">
        <w:rPr>
          <w:rFonts w:ascii="Arial" w:eastAsia="Times New Roman" w:hAnsi="Arial" w:cs="Arial"/>
          <w:lang w:val="en-AU"/>
        </w:rPr>
        <w:t xml:space="preserve">18 years old have not yet been established.  No data are available. </w:t>
      </w:r>
    </w:p>
    <w:p w:rsidR="00691008" w:rsidRPr="00EF74CB" w:rsidRDefault="002D31A3">
      <w:pPr>
        <w:spacing w:after="240"/>
        <w:jc w:val="both"/>
        <w:rPr>
          <w:rFonts w:ascii="Arial" w:hAnsi="Arial" w:cs="Arial"/>
          <w:b/>
          <w:lang w:val="en-AU"/>
        </w:rPr>
      </w:pPr>
      <w:r w:rsidRPr="00EF74CB">
        <w:rPr>
          <w:rFonts w:ascii="Arial" w:hAnsi="Arial" w:cs="Arial"/>
          <w:b/>
          <w:lang w:val="en-AU"/>
        </w:rPr>
        <w:t xml:space="preserve">Use in the </w:t>
      </w:r>
      <w:r w:rsidR="00506327" w:rsidRPr="00EF74CB">
        <w:rPr>
          <w:rFonts w:ascii="Arial" w:hAnsi="Arial" w:cs="Arial"/>
          <w:b/>
          <w:lang w:val="en-AU"/>
        </w:rPr>
        <w:t>E</w:t>
      </w:r>
      <w:r w:rsidRPr="00EF74CB">
        <w:rPr>
          <w:rFonts w:ascii="Arial" w:hAnsi="Arial" w:cs="Arial"/>
          <w:b/>
          <w:lang w:val="en-AU"/>
        </w:rPr>
        <w:t>lderly</w:t>
      </w:r>
    </w:p>
    <w:p w:rsidR="00CB6CE3" w:rsidRPr="00EF74CB" w:rsidRDefault="00CB6CE3" w:rsidP="00CB6CE3">
      <w:pPr>
        <w:spacing w:after="240" w:line="240" w:lineRule="auto"/>
        <w:jc w:val="both"/>
        <w:rPr>
          <w:rFonts w:ascii="Arial" w:eastAsia="Times New Roman" w:hAnsi="Arial" w:cs="Arial"/>
          <w:lang w:val="en-AU"/>
        </w:rPr>
      </w:pPr>
      <w:r w:rsidRPr="006928EA">
        <w:rPr>
          <w:rFonts w:ascii="Arial" w:eastAsia="Times New Roman" w:hAnsi="Arial" w:cs="Arial"/>
          <w:lang w:val="en-AU"/>
        </w:rPr>
        <w:t xml:space="preserve">No dose adjustment </w:t>
      </w:r>
      <w:r w:rsidR="00A918A0" w:rsidRPr="006928EA">
        <w:rPr>
          <w:rFonts w:ascii="Arial" w:eastAsia="Times New Roman" w:hAnsi="Arial" w:cs="Arial"/>
          <w:lang w:val="en-AU"/>
        </w:rPr>
        <w:t xml:space="preserve">of </w:t>
      </w:r>
      <w:r w:rsidR="009C3B58" w:rsidRPr="006928EA">
        <w:rPr>
          <w:rFonts w:ascii="Arial" w:eastAsia="Times New Roman" w:hAnsi="Arial" w:cs="Arial"/>
          <w:lang w:val="en-AU"/>
        </w:rPr>
        <w:t>NESINA</w:t>
      </w:r>
      <w:r w:rsidR="00A918A0" w:rsidRPr="006928EA">
        <w:rPr>
          <w:rFonts w:ascii="Arial" w:eastAsia="Times New Roman" w:hAnsi="Arial" w:cs="Arial"/>
          <w:lang w:val="en-AU"/>
        </w:rPr>
        <w:t xml:space="preserve"> </w:t>
      </w:r>
      <w:r w:rsidRPr="006928EA">
        <w:rPr>
          <w:rFonts w:ascii="Arial" w:eastAsia="Times New Roman" w:hAnsi="Arial" w:cs="Arial"/>
          <w:lang w:val="en-AU"/>
        </w:rPr>
        <w:t xml:space="preserve">is necessary based on age.  </w:t>
      </w:r>
      <w:r w:rsidR="00C577CA" w:rsidRPr="006928EA">
        <w:rPr>
          <w:rFonts w:ascii="Arial" w:eastAsia="Times New Roman" w:hAnsi="Arial" w:cs="Arial"/>
          <w:lang w:val="en-AU"/>
        </w:rPr>
        <w:t>However, dosing of alogliptin should be conservative in patients with advanced age due to the potential for decreased renal function in this population</w:t>
      </w:r>
      <w:r w:rsidR="0063120E">
        <w:rPr>
          <w:rFonts w:ascii="Arial" w:eastAsia="Times New Roman" w:hAnsi="Arial" w:cs="Arial"/>
          <w:lang w:val="en-AU"/>
        </w:rPr>
        <w:t xml:space="preserve"> (see PRECAUTIONS, </w:t>
      </w:r>
      <w:r w:rsidR="006928EA" w:rsidRPr="006928EA">
        <w:rPr>
          <w:rFonts w:ascii="Arial" w:eastAsia="Times New Roman" w:hAnsi="Arial" w:cs="Arial"/>
          <w:lang w:val="en-AU"/>
        </w:rPr>
        <w:t>Renal Impairment</w:t>
      </w:r>
      <w:r w:rsidRPr="006928EA">
        <w:rPr>
          <w:rFonts w:ascii="Arial" w:eastAsia="Times New Roman" w:hAnsi="Arial" w:cs="Arial"/>
          <w:lang w:val="en-AU"/>
        </w:rPr>
        <w:t>).</w:t>
      </w:r>
    </w:p>
    <w:p w:rsidR="002D7F2C" w:rsidRPr="00EF74CB" w:rsidRDefault="002D7F2C" w:rsidP="002D7F2C">
      <w:pPr>
        <w:pStyle w:val="NoSpacing"/>
        <w:spacing w:after="240"/>
        <w:jc w:val="both"/>
        <w:rPr>
          <w:rFonts w:ascii="Arial" w:hAnsi="Arial" w:cs="Arial"/>
          <w:b/>
          <w:lang w:val="en-AU"/>
        </w:rPr>
      </w:pPr>
      <w:r w:rsidRPr="00EF74CB">
        <w:rPr>
          <w:rFonts w:ascii="Arial" w:hAnsi="Arial" w:cs="Arial"/>
          <w:b/>
          <w:lang w:val="en-AU"/>
        </w:rPr>
        <w:t>Genotoxicity</w:t>
      </w:r>
    </w:p>
    <w:p w:rsidR="00131821" w:rsidRPr="00EF74CB" w:rsidRDefault="003D51BA" w:rsidP="001318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Alogliptin was not genotoxic in </w:t>
      </w:r>
      <w:r w:rsidR="00F24C58" w:rsidRPr="00EF74CB">
        <w:rPr>
          <w:rFonts w:ascii="Arial" w:eastAsia="Times New Roman" w:hAnsi="Arial" w:cs="Arial"/>
          <w:lang w:val="en-AU"/>
        </w:rPr>
        <w:t>the Ames test, the forward mutation test in mouse lymphoma cells, and the mouse micronucleus test</w:t>
      </w:r>
      <w:r w:rsidRPr="00EF74CB">
        <w:rPr>
          <w:rFonts w:ascii="Arial" w:eastAsia="Times New Roman" w:hAnsi="Arial" w:cs="Arial"/>
          <w:lang w:val="en-AU"/>
        </w:rPr>
        <w:t>.</w:t>
      </w:r>
    </w:p>
    <w:p w:rsidR="00691008" w:rsidRPr="00EF74CB" w:rsidRDefault="002D31A3">
      <w:pPr>
        <w:spacing w:after="240"/>
        <w:jc w:val="both"/>
        <w:rPr>
          <w:rFonts w:ascii="Arial" w:hAnsi="Arial" w:cs="Arial"/>
          <w:b/>
          <w:lang w:val="en-AU"/>
        </w:rPr>
      </w:pPr>
      <w:r w:rsidRPr="00EF74CB">
        <w:rPr>
          <w:rFonts w:ascii="Arial" w:hAnsi="Arial" w:cs="Arial"/>
          <w:b/>
          <w:lang w:val="en-AU"/>
        </w:rPr>
        <w:t xml:space="preserve">Carcinogenicity </w:t>
      </w:r>
    </w:p>
    <w:p w:rsidR="00557307" w:rsidRPr="00EF74CB" w:rsidRDefault="003D51BA" w:rsidP="00131821">
      <w:pPr>
        <w:spacing w:after="240" w:line="240" w:lineRule="auto"/>
        <w:jc w:val="both"/>
        <w:rPr>
          <w:rFonts w:ascii="Arial" w:eastAsia="Times New Roman" w:hAnsi="Arial" w:cs="Arial"/>
          <w:lang w:val="en-AU"/>
        </w:rPr>
      </w:pPr>
      <w:r w:rsidRPr="00EF74CB">
        <w:rPr>
          <w:rFonts w:ascii="Arial" w:eastAsia="Times New Roman" w:hAnsi="Arial" w:cs="Arial"/>
          <w:lang w:val="en-AU"/>
        </w:rPr>
        <w:t>Alogliptin was not carcinogenic in 2-year carcinogenicity studies conducted in rats and mice.</w:t>
      </w:r>
      <w:r w:rsidR="00557307" w:rsidRPr="00EF74CB">
        <w:rPr>
          <w:rFonts w:ascii="Arial" w:eastAsia="Times New Roman" w:hAnsi="Arial" w:cs="Arial"/>
          <w:lang w:val="en-AU"/>
        </w:rPr>
        <w:t xml:space="preserve"> In the 2-year study in rats, a dose-related increase in thyroid C-cell adenomas and carcinomas was seen in males only at oral doses greater than or equal to 400 mg/kg/day (at least 240-fold the exposure in humans at the recommended dose of 25 mg). Exposure at the no effect level (75 mg/kg/day) was 27</w:t>
      </w:r>
      <w:r w:rsidR="00557307" w:rsidRPr="00EF74CB">
        <w:rPr>
          <w:rFonts w:ascii="Arial" w:eastAsia="Times New Roman" w:hAnsi="Arial" w:cs="Arial"/>
          <w:lang w:val="en-AU"/>
        </w:rPr>
        <w:noBreakHyphen/>
        <w:t>fold the maximum recommended clinical dose of 25 mg, based on AUC. There was no evidence of a drug-related increase in tumour incidence in female rats or mice of both sexes treated for 2 years with doses up to 800 mg/kg/day and 300 mg/kg/day, respectively, alogliptin (400-fold and 51-fold, respectively, the exposure in humans at the recommended dose of 25 mg).</w:t>
      </w:r>
    </w:p>
    <w:p w:rsidR="00691008" w:rsidRPr="00EF74CB" w:rsidRDefault="002D31A3" w:rsidP="006646C5">
      <w:pPr>
        <w:pStyle w:val="NoSpacing"/>
        <w:spacing w:after="240"/>
        <w:jc w:val="both"/>
        <w:rPr>
          <w:rFonts w:ascii="Arial" w:hAnsi="Arial" w:cs="Arial"/>
          <w:b/>
          <w:caps/>
          <w:lang w:val="en-AU"/>
        </w:rPr>
      </w:pPr>
      <w:r w:rsidRPr="00EF74CB">
        <w:rPr>
          <w:rFonts w:ascii="Arial" w:hAnsi="Arial" w:cs="Arial"/>
          <w:b/>
          <w:caps/>
          <w:lang w:val="en-AU"/>
        </w:rPr>
        <w:t>Interactions with other medicines</w:t>
      </w:r>
    </w:p>
    <w:p w:rsidR="005E1E2C" w:rsidRPr="00EF74CB" w:rsidRDefault="009C3B58"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5E1E2C" w:rsidRPr="00EF74CB">
        <w:rPr>
          <w:rFonts w:ascii="Arial" w:eastAsia="Times New Roman" w:hAnsi="Arial" w:cs="Arial"/>
          <w:lang w:val="en-AU"/>
        </w:rPr>
        <w:t xml:space="preserve"> is primarily renally excreted and CYP-related metabolism is negligible. No drug-drug interactions were observed with the CYP-substrates or inhibitors tested, or with renally excreted drugs.</w:t>
      </w:r>
    </w:p>
    <w:p w:rsidR="005E1E2C" w:rsidRPr="00EF74CB" w:rsidRDefault="005E1E2C" w:rsidP="005E1E2C">
      <w:pPr>
        <w:spacing w:after="240" w:line="240" w:lineRule="auto"/>
        <w:jc w:val="both"/>
        <w:rPr>
          <w:rFonts w:ascii="Arial" w:hAnsi="Arial" w:cs="Arial"/>
          <w:b/>
          <w:lang w:val="en-AU"/>
        </w:rPr>
      </w:pPr>
      <w:r w:rsidRPr="00EF74CB">
        <w:rPr>
          <w:rFonts w:ascii="Arial" w:hAnsi="Arial" w:cs="Arial"/>
          <w:b/>
          <w:i/>
          <w:lang w:val="en-AU"/>
        </w:rPr>
        <w:t>In Vitro</w:t>
      </w:r>
      <w:r w:rsidRPr="00EF74CB">
        <w:rPr>
          <w:rFonts w:ascii="Arial" w:hAnsi="Arial" w:cs="Arial"/>
          <w:b/>
          <w:lang w:val="en-AU"/>
        </w:rPr>
        <w:t xml:space="preserve"> Assessment of Drug Interactions</w:t>
      </w:r>
    </w:p>
    <w:p w:rsidR="005E1E2C" w:rsidRDefault="005E1E2C" w:rsidP="005E1E2C">
      <w:pPr>
        <w:spacing w:after="240" w:line="240" w:lineRule="auto"/>
        <w:jc w:val="both"/>
        <w:rPr>
          <w:rFonts w:ascii="Arial" w:eastAsia="Times New Roman" w:hAnsi="Arial" w:cs="Arial"/>
          <w:lang w:val="en-AU"/>
        </w:rPr>
      </w:pPr>
      <w:r w:rsidRPr="00731BC4">
        <w:rPr>
          <w:rFonts w:ascii="Arial" w:eastAsia="Times New Roman" w:hAnsi="Arial" w:cs="Arial"/>
          <w:i/>
          <w:lang w:val="en-AU"/>
        </w:rPr>
        <w:t>In vitro</w:t>
      </w:r>
      <w:r w:rsidRPr="00EF74CB">
        <w:rPr>
          <w:rFonts w:ascii="Arial" w:eastAsia="Times New Roman" w:hAnsi="Arial" w:cs="Arial"/>
          <w:lang w:val="en-AU"/>
        </w:rPr>
        <w:t xml:space="preserve"> studies indicate that alogliptin is neither an inducer of CYP1A2, CYP2B6, CYP2C9, CYP2C19, and CYP3A4, nor an inhibitor of CYP1A2, CYP2C8, CYP2C9, CYP2C19, CYP3A4 and CYP2D6 at clinically relevant concentrations.</w:t>
      </w:r>
      <w:r w:rsidR="00731BC4">
        <w:rPr>
          <w:rFonts w:ascii="Arial" w:eastAsia="Times New Roman" w:hAnsi="Arial" w:cs="Arial"/>
          <w:lang w:val="en-AU"/>
        </w:rPr>
        <w:t xml:space="preserve"> </w:t>
      </w:r>
    </w:p>
    <w:p w:rsidR="00731BC4" w:rsidRPr="00EF74CB" w:rsidRDefault="00731BC4" w:rsidP="00731BC4">
      <w:pPr>
        <w:spacing w:after="240" w:line="240" w:lineRule="auto"/>
        <w:jc w:val="both"/>
        <w:rPr>
          <w:rFonts w:ascii="Arial" w:eastAsia="Times New Roman" w:hAnsi="Arial" w:cs="Arial"/>
          <w:lang w:val="en-AU"/>
        </w:rPr>
      </w:pPr>
      <w:r w:rsidRPr="00731BC4">
        <w:rPr>
          <w:rFonts w:ascii="Arial" w:eastAsia="Times New Roman" w:hAnsi="Arial" w:cs="Arial"/>
          <w:lang w:val="en-AU"/>
        </w:rPr>
        <w:t xml:space="preserve">In </w:t>
      </w:r>
      <w:r w:rsidRPr="00731BC4">
        <w:rPr>
          <w:rFonts w:ascii="Arial" w:eastAsia="Times New Roman" w:hAnsi="Arial" w:cs="Arial"/>
          <w:i/>
          <w:lang w:val="en-AU"/>
        </w:rPr>
        <w:t>in vitro</w:t>
      </w:r>
      <w:r w:rsidRPr="00731BC4">
        <w:rPr>
          <w:rFonts w:ascii="Arial" w:eastAsia="Times New Roman" w:hAnsi="Arial" w:cs="Arial"/>
          <w:lang w:val="en-AU"/>
        </w:rPr>
        <w:t xml:space="preserve"> studies, alogliptin</w:t>
      </w:r>
      <w:r>
        <w:rPr>
          <w:rFonts w:ascii="Arial" w:eastAsia="Times New Roman" w:hAnsi="Arial" w:cs="Arial"/>
          <w:lang w:val="en-AU"/>
        </w:rPr>
        <w:t xml:space="preserve"> </w:t>
      </w:r>
      <w:r w:rsidRPr="00731BC4">
        <w:rPr>
          <w:rFonts w:ascii="Arial" w:eastAsia="Times New Roman" w:hAnsi="Arial" w:cs="Arial"/>
          <w:lang w:val="en-AU"/>
        </w:rPr>
        <w:t>was found to be neither a substrate nor an inhibitor of key transporters associated with drug disposition</w:t>
      </w:r>
      <w:r>
        <w:rPr>
          <w:rFonts w:ascii="Arial" w:eastAsia="Times New Roman" w:hAnsi="Arial" w:cs="Arial"/>
          <w:lang w:val="en-AU"/>
        </w:rPr>
        <w:t xml:space="preserve"> </w:t>
      </w:r>
      <w:r w:rsidRPr="00731BC4">
        <w:rPr>
          <w:rFonts w:ascii="Arial" w:eastAsia="Times New Roman" w:hAnsi="Arial" w:cs="Arial"/>
          <w:lang w:val="en-AU"/>
        </w:rPr>
        <w:t>in the kidney: organic anion transporter-1</w:t>
      </w:r>
      <w:r>
        <w:rPr>
          <w:rFonts w:ascii="Arial" w:eastAsia="Times New Roman" w:hAnsi="Arial" w:cs="Arial"/>
          <w:lang w:val="en-AU"/>
        </w:rPr>
        <w:t xml:space="preserve"> (OAT1)</w:t>
      </w:r>
      <w:r w:rsidRPr="00731BC4">
        <w:rPr>
          <w:rFonts w:ascii="Arial" w:eastAsia="Times New Roman" w:hAnsi="Arial" w:cs="Arial"/>
          <w:lang w:val="en-AU"/>
        </w:rPr>
        <w:t>, organic anion transporter-3</w:t>
      </w:r>
      <w:r>
        <w:rPr>
          <w:rFonts w:ascii="Arial" w:eastAsia="Times New Roman" w:hAnsi="Arial" w:cs="Arial"/>
          <w:lang w:val="en-AU"/>
        </w:rPr>
        <w:t xml:space="preserve"> (OAT3)</w:t>
      </w:r>
      <w:r w:rsidRPr="00731BC4">
        <w:rPr>
          <w:rFonts w:ascii="Arial" w:eastAsia="Times New Roman" w:hAnsi="Arial" w:cs="Arial"/>
          <w:lang w:val="en-AU"/>
        </w:rPr>
        <w:t xml:space="preserve"> or organic cationic transporter-2</w:t>
      </w:r>
      <w:r>
        <w:rPr>
          <w:rFonts w:ascii="Arial" w:eastAsia="Times New Roman" w:hAnsi="Arial" w:cs="Arial"/>
          <w:lang w:val="en-AU"/>
        </w:rPr>
        <w:t xml:space="preserve"> </w:t>
      </w:r>
      <w:r w:rsidRPr="00731BC4">
        <w:rPr>
          <w:rFonts w:ascii="Arial" w:eastAsia="Times New Roman" w:hAnsi="Arial" w:cs="Arial"/>
          <w:lang w:val="en-AU"/>
        </w:rPr>
        <w:t>(OCT2).</w:t>
      </w:r>
      <w:r w:rsidR="00982CA9">
        <w:rPr>
          <w:rFonts w:ascii="Arial" w:eastAsia="Times New Roman" w:hAnsi="Arial" w:cs="Arial"/>
          <w:lang w:val="en-AU"/>
        </w:rPr>
        <w:t xml:space="preserve"> </w:t>
      </w:r>
      <w:r w:rsidR="00982CA9" w:rsidRPr="00982CA9">
        <w:rPr>
          <w:rFonts w:ascii="Arial" w:eastAsia="Times New Roman" w:hAnsi="Arial" w:cs="Arial"/>
          <w:lang w:val="en-AU"/>
        </w:rPr>
        <w:t>However, renal clearance of alogliptin (approx</w:t>
      </w:r>
      <w:r w:rsidR="00982CA9">
        <w:rPr>
          <w:rFonts w:ascii="Arial" w:eastAsia="Times New Roman" w:hAnsi="Arial" w:cs="Arial"/>
          <w:lang w:val="en-AU"/>
        </w:rPr>
        <w:t>imately</w:t>
      </w:r>
      <w:r w:rsidR="00982CA9" w:rsidRPr="00982CA9">
        <w:rPr>
          <w:rFonts w:ascii="Arial" w:eastAsia="Times New Roman" w:hAnsi="Arial" w:cs="Arial"/>
          <w:lang w:val="en-AU"/>
        </w:rPr>
        <w:t xml:space="preserve"> 170</w:t>
      </w:r>
      <w:r w:rsidR="00AF5AFB">
        <w:rPr>
          <w:rFonts w:ascii="Arial" w:eastAsia="Times New Roman" w:hAnsi="Arial" w:cs="Arial"/>
          <w:lang w:val="en-AU"/>
        </w:rPr>
        <w:t xml:space="preserve"> </w:t>
      </w:r>
      <w:r w:rsidR="00982CA9" w:rsidRPr="00982CA9">
        <w:rPr>
          <w:rFonts w:ascii="Arial" w:eastAsia="Times New Roman" w:hAnsi="Arial" w:cs="Arial"/>
          <w:lang w:val="en-AU"/>
        </w:rPr>
        <w:t>mL/min) exceeds GFR (120</w:t>
      </w:r>
      <w:r w:rsidR="00AF5AFB">
        <w:rPr>
          <w:rFonts w:ascii="Arial" w:eastAsia="Times New Roman" w:hAnsi="Arial" w:cs="Arial"/>
          <w:lang w:val="en-AU"/>
        </w:rPr>
        <w:t xml:space="preserve"> </w:t>
      </w:r>
      <w:r w:rsidR="00982CA9" w:rsidRPr="00982CA9">
        <w:rPr>
          <w:rFonts w:ascii="Arial" w:eastAsia="Times New Roman" w:hAnsi="Arial" w:cs="Arial"/>
          <w:lang w:val="en-AU"/>
        </w:rPr>
        <w:t>mL/min)</w:t>
      </w:r>
      <w:r w:rsidR="00982CA9">
        <w:rPr>
          <w:rFonts w:ascii="Arial" w:eastAsia="Times New Roman" w:hAnsi="Arial" w:cs="Arial"/>
          <w:lang w:val="en-AU"/>
        </w:rPr>
        <w:t>,</w:t>
      </w:r>
      <w:r w:rsidR="00982CA9" w:rsidRPr="00982CA9">
        <w:rPr>
          <w:rFonts w:ascii="Arial" w:eastAsia="Times New Roman" w:hAnsi="Arial" w:cs="Arial"/>
          <w:lang w:val="en-AU"/>
        </w:rPr>
        <w:t xml:space="preserve"> indicating net renal active excretion by an unknown mechanism.</w:t>
      </w:r>
    </w:p>
    <w:p w:rsidR="005E1E2C" w:rsidRPr="00EF74CB" w:rsidRDefault="005E1E2C" w:rsidP="005E1E2C">
      <w:pPr>
        <w:spacing w:after="240" w:line="240" w:lineRule="auto"/>
        <w:jc w:val="both"/>
        <w:rPr>
          <w:rFonts w:ascii="Arial" w:hAnsi="Arial" w:cs="Arial"/>
          <w:b/>
          <w:lang w:val="en-AU"/>
        </w:rPr>
      </w:pPr>
      <w:r w:rsidRPr="00EF74CB">
        <w:rPr>
          <w:rFonts w:ascii="Arial" w:hAnsi="Arial" w:cs="Arial"/>
          <w:b/>
          <w:i/>
          <w:lang w:val="en-AU"/>
        </w:rPr>
        <w:t>In Vivo</w:t>
      </w:r>
      <w:r w:rsidRPr="00EF74CB">
        <w:rPr>
          <w:rFonts w:ascii="Arial" w:hAnsi="Arial" w:cs="Arial"/>
          <w:b/>
          <w:lang w:val="en-AU"/>
        </w:rPr>
        <w:t xml:space="preserve"> Assessment of Drug Interactions</w:t>
      </w:r>
    </w:p>
    <w:p w:rsidR="005E1E2C" w:rsidRPr="00EF74CB" w:rsidRDefault="005E1E2C" w:rsidP="005E1E2C">
      <w:pPr>
        <w:spacing w:after="240" w:line="240" w:lineRule="auto"/>
        <w:jc w:val="both"/>
        <w:rPr>
          <w:rFonts w:ascii="Arial" w:eastAsia="Times New Roman" w:hAnsi="Arial" w:cs="Arial"/>
          <w:u w:val="single"/>
          <w:lang w:val="en-AU"/>
        </w:rPr>
      </w:pPr>
      <w:r w:rsidRPr="00EF74CB">
        <w:rPr>
          <w:rFonts w:ascii="Arial" w:eastAsia="Times New Roman" w:hAnsi="Arial" w:cs="Arial"/>
          <w:u w:val="single"/>
          <w:lang w:val="en-AU"/>
        </w:rPr>
        <w:t>Effects of Alogliptin on Other Drugs</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clinical studies, alogliptin did not meaningfully increase the systemic exposure to drugs that are metabolized by CYP isozymes or drugs that are excreted unchanged in urine when the following drugs were administered concomitantly. No dose adjustment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is recommended based on results of the described pharmacokinetic studies.</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Digoxin: Administration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once daily with a P-glycoprotein substrate, digoxin 0.2 mg, once daily for 10 days had no meaningful effect on the pharmacokinetics or the renal clearance of digoxin.</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Warfarin: Administration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once daily with stable doses of warfarin once daily for 7 days had no meaningful effect on the pharmacokinetics of (S)-warfarin (a CYP2C9 substrate) and (R)-warfarin (a CYP1A2 substrate). In healthy subjects, alogliptin had no effect on prothrombin time (PT) or International Normalized Ratio (INR).</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Metformin: Administration of alogliptin 100 mg once daily with metformin 1000 mg twice daily for 6 days had no meaningful effect on the pharmacokinetics and renal clearance of metformin.</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Cimetidine: Administration of alogliptin 100 mg once daily with cimetidine 400 mg once daily for 6 days had no meaningful effect on the pharmacokinetics and renal clearance of cimetidine.</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Sulfonylureas: Administration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once daily for 8 days had no meaningful effect on the pharmacokinetics of a single dose of </w:t>
      </w:r>
      <w:r w:rsidR="00545699" w:rsidRPr="00EF74CB">
        <w:rPr>
          <w:rFonts w:ascii="Arial" w:eastAsia="Times New Roman" w:hAnsi="Arial" w:cs="Arial"/>
          <w:lang w:val="en-AU"/>
        </w:rPr>
        <w:t>glibenclamide</w:t>
      </w:r>
      <w:r w:rsidRPr="00EF74CB">
        <w:rPr>
          <w:rFonts w:ascii="Arial" w:eastAsia="Times New Roman" w:hAnsi="Arial" w:cs="Arial"/>
          <w:lang w:val="en-AU"/>
        </w:rPr>
        <w:t xml:space="preserve"> 5 mg.</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Pioglitazone: Administration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once daily with a CYP2C8 substrate, pioglitazone 45 mg, once daily for 12 days had no meaningful effect on the pharmacokinetics of pioglitazone and its active metabolites.</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Atorvastatin: Administration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25 mg once daily with a CYP3A4 substrate, atorvastatin 80 mg, once daily for 7 days had no meaningful effect on the pharmacokinetics of atorvastatin and its active metabolites.</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Oral contraceptives: Administration of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Pr="00EF74CB">
        <w:rPr>
          <w:rFonts w:ascii="Arial" w:eastAsia="Times New Roman" w:hAnsi="Arial" w:cs="Arial"/>
          <w:lang w:val="en-AU"/>
        </w:rPr>
        <w:t>25 mg once daily with an oral contraceptive (1 mg norethindrone and 35 mcg of ethinyl estradiol) for 21 days had no meaningful effect on the pharmacokinetics and pharmacodynamics of CYP3A4 substrates, norethindrone, and ethinyl estradiol.</w:t>
      </w:r>
    </w:p>
    <w:p w:rsidR="005E1E2C" w:rsidRPr="00EF74CB" w:rsidRDefault="005E1E2C" w:rsidP="005E1E2C">
      <w:pPr>
        <w:spacing w:after="240" w:line="240" w:lineRule="auto"/>
        <w:jc w:val="both"/>
        <w:rPr>
          <w:rFonts w:ascii="Arial" w:eastAsia="Times New Roman" w:hAnsi="Arial" w:cs="Arial"/>
          <w:u w:val="single"/>
          <w:lang w:val="en-AU"/>
        </w:rPr>
      </w:pPr>
      <w:r w:rsidRPr="00EF74CB">
        <w:rPr>
          <w:rFonts w:ascii="Arial" w:eastAsia="Times New Roman" w:hAnsi="Arial" w:cs="Arial"/>
          <w:u w:val="single"/>
          <w:lang w:val="en-AU"/>
        </w:rPr>
        <w:t>Effects of Other Drugs on Alogliptin</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Clinical data described below suggest that alogliptin is not susceptible to interactions when administered concomitantly with the drugs described below.</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Cyclosporine: Administration of a single dose of a P-glycoprotein inhibitor, cyclosporine </w:t>
      </w:r>
      <w:r w:rsidR="00B06C1C" w:rsidRPr="00EF74CB">
        <w:rPr>
          <w:rFonts w:ascii="Arial" w:eastAsia="Times New Roman" w:hAnsi="Arial" w:cs="Arial"/>
          <w:lang w:val="en-AU"/>
        </w:rPr>
        <w:t xml:space="preserve">   </w:t>
      </w:r>
      <w:r w:rsidRPr="00EF74CB">
        <w:rPr>
          <w:rFonts w:ascii="Arial" w:eastAsia="Times New Roman" w:hAnsi="Arial" w:cs="Arial"/>
          <w:lang w:val="en-AU"/>
        </w:rPr>
        <w:t xml:space="preserve">600 mg, with a single dose of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Pr="00EF74CB">
        <w:rPr>
          <w:rFonts w:ascii="Arial" w:eastAsia="Times New Roman" w:hAnsi="Arial" w:cs="Arial"/>
          <w:lang w:val="en-AU"/>
        </w:rPr>
        <w:t>25 mg did not result in any meaningful changes in the renal clearance of or systemic exposure to alogliptin. Interactions with other P</w:t>
      </w:r>
      <w:r w:rsidR="00BD7E49" w:rsidRPr="00EF74CB">
        <w:rPr>
          <w:rFonts w:ascii="Arial" w:eastAsia="Times New Roman" w:hAnsi="Arial" w:cs="Arial"/>
          <w:lang w:val="en-AU"/>
        </w:rPr>
        <w:t>-</w:t>
      </w:r>
      <w:r w:rsidRPr="00EF74CB">
        <w:rPr>
          <w:rFonts w:ascii="Arial" w:eastAsia="Times New Roman" w:hAnsi="Arial" w:cs="Arial"/>
          <w:lang w:val="en-AU"/>
        </w:rPr>
        <w:t>glycoprotein inhibitors are therefore not expected.</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Voglibose: Co-administration of voglibose (an alpha-glucosidase inhibitor) and alogliptin did not result in any meaningful changes in the pharmacokinetics of alogliptin. </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No significant increases in the single-dose systemic exposure to alogliptin were seen when administered concomitantly with multiple doses of drugs that inhibit CYP isozymes: fluconazole (CYP2C9 inhibitor), ketoconazole (CYP3A4 inhibitor), and gemfibrozil (CYP2C8 inhibitor). Since alogliptin is primarily renally excreted and CYP</w:t>
      </w:r>
      <w:r w:rsidR="00BD7E49" w:rsidRPr="00EF74CB">
        <w:rPr>
          <w:rFonts w:ascii="Arial" w:eastAsia="Times New Roman" w:hAnsi="Arial" w:cs="Arial"/>
          <w:lang w:val="en-AU"/>
        </w:rPr>
        <w:t>-</w:t>
      </w:r>
      <w:r w:rsidRPr="00EF74CB">
        <w:rPr>
          <w:rFonts w:ascii="Arial" w:eastAsia="Times New Roman" w:hAnsi="Arial" w:cs="Arial"/>
          <w:lang w:val="en-AU"/>
        </w:rPr>
        <w:t>related metabolism is negligible, inhibitors of CYP enzymes are unlikely to affect exposure to alogliptin.</w:t>
      </w:r>
    </w:p>
    <w:p w:rsidR="005E1E2C" w:rsidRPr="00EF74CB" w:rsidRDefault="005E1E2C" w:rsidP="005E1E2C">
      <w:pPr>
        <w:spacing w:after="240" w:line="240" w:lineRule="auto"/>
        <w:jc w:val="both"/>
        <w:rPr>
          <w:rFonts w:ascii="Arial" w:eastAsia="Times New Roman" w:hAnsi="Arial" w:cs="Arial"/>
          <w:lang w:val="en-AU"/>
        </w:rPr>
      </w:pPr>
      <w:r w:rsidRPr="00EF74CB">
        <w:rPr>
          <w:rFonts w:ascii="Arial" w:eastAsia="Times New Roman" w:hAnsi="Arial" w:cs="Arial"/>
          <w:lang w:val="en-AU"/>
        </w:rPr>
        <w:t>Results from clinical studies also demonstrate that there are no meaningful effects of digoxin, metformin, cimetidine, pioglitazone, or atorvastatin on the pharmacokinetics of alogliptin.</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ADVERSE EFFECTS</w:t>
      </w:r>
    </w:p>
    <w:p w:rsidR="00DA4404" w:rsidRPr="00EF74CB" w:rsidRDefault="00DA4404" w:rsidP="00DA4404">
      <w:pPr>
        <w:pStyle w:val="NoSpacing"/>
        <w:spacing w:after="240"/>
        <w:jc w:val="both"/>
        <w:rPr>
          <w:rFonts w:ascii="Arial" w:hAnsi="Arial" w:cs="Arial"/>
          <w:b/>
          <w:lang w:val="en-AU"/>
        </w:rPr>
      </w:pPr>
      <w:r w:rsidRPr="00EF74CB">
        <w:rPr>
          <w:rFonts w:ascii="Arial" w:hAnsi="Arial" w:cs="Arial"/>
          <w:b/>
          <w:lang w:val="en-AU"/>
        </w:rPr>
        <w:t>Clinical Trials Experience</w:t>
      </w:r>
    </w:p>
    <w:p w:rsidR="00386721" w:rsidRPr="00EF74CB" w:rsidRDefault="00386721" w:rsidP="003867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information provided is based on a total of 9404 patients with type 2 diabetes mellitus, including 3749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25 mg and 2476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12.5 mg, who participated in one phase 2 or 12 phase 3 double-blind, placebo- or active-controlled clinical studies.  These studies evaluated the effects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on glycaemic control and its safety as monotherapy, as initial combination therapy with metformin or a thiazolidinedione, and as add-on therapy to metformin, or a sulphonylurea, or a thiazolidinedione (with or without metformin or a sulphonylurea), or insulin (with or without metformin).</w:t>
      </w:r>
    </w:p>
    <w:p w:rsidR="00386721" w:rsidRPr="00EF74CB" w:rsidRDefault="00386721" w:rsidP="00386721">
      <w:pPr>
        <w:spacing w:after="240" w:line="240" w:lineRule="auto"/>
        <w:jc w:val="both"/>
        <w:rPr>
          <w:rFonts w:ascii="Arial" w:eastAsia="Times New Roman" w:hAnsi="Arial" w:cs="Arial"/>
          <w:lang w:val="en-AU"/>
        </w:rPr>
      </w:pPr>
      <w:bookmarkStart w:id="0" w:name="OLE_LINK8"/>
      <w:bookmarkStart w:id="1" w:name="OLE_LINK7"/>
      <w:r w:rsidRPr="00EF74CB">
        <w:rPr>
          <w:rFonts w:ascii="Arial" w:eastAsia="Times New Roman" w:hAnsi="Arial" w:cs="Arial"/>
          <w:lang w:val="en-AU"/>
        </w:rPr>
        <w:t xml:space="preserve">In a pooled analysis of the data from these 13 studies, the overall incidences of adverse events, serious adverse events and adverse events resulting in discontinuation of therapy were comparable in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25 mg,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12.5 mg, active control or placebo.  </w:t>
      </w:r>
    </w:p>
    <w:p w:rsidR="00386721" w:rsidRPr="00EF74CB" w:rsidRDefault="00386721" w:rsidP="003867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this pooled analysis, the most common adverse event considered to be related to the recommended dose of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005171DC" w:rsidRPr="00EF74CB">
        <w:rPr>
          <w:rFonts w:ascii="Arial" w:eastAsia="Times New Roman" w:hAnsi="Arial" w:cs="Arial"/>
          <w:lang w:val="en-AU"/>
        </w:rPr>
        <w:t>[</w:t>
      </w:r>
      <w:r w:rsidRPr="00EF74CB">
        <w:rPr>
          <w:rFonts w:ascii="Arial" w:eastAsia="Times New Roman" w:hAnsi="Arial" w:cs="Arial"/>
          <w:lang w:val="en-AU"/>
        </w:rPr>
        <w:t>i.e. reported in</w:t>
      </w:r>
      <w:r w:rsidR="00F90D88" w:rsidRPr="00EF74CB">
        <w:rPr>
          <w:rFonts w:ascii="Arial" w:eastAsia="Times New Roman" w:hAnsi="Arial" w:cs="Arial"/>
          <w:lang w:val="en-AU"/>
        </w:rPr>
        <w:t xml:space="preserve"> ≥</w:t>
      </w:r>
      <w:r w:rsidRPr="00EF74CB">
        <w:rPr>
          <w:rFonts w:ascii="Arial" w:eastAsia="Times New Roman" w:hAnsi="Arial" w:cs="Arial"/>
          <w:lang w:val="en-AU"/>
        </w:rPr>
        <w:t xml:space="preserve"> 1%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25 mg and</w:t>
      </w:r>
      <w:r w:rsidR="00F90D88" w:rsidRPr="00EF74CB">
        <w:rPr>
          <w:rFonts w:ascii="Arial" w:eastAsia="Times New Roman" w:hAnsi="Arial" w:cs="Arial"/>
          <w:lang w:val="en-AU"/>
        </w:rPr>
        <w:t xml:space="preserve"> ≥ </w:t>
      </w:r>
      <w:r w:rsidRPr="00EF74CB">
        <w:rPr>
          <w:rFonts w:ascii="Arial" w:eastAsia="Times New Roman" w:hAnsi="Arial" w:cs="Arial"/>
          <w:lang w:val="en-AU"/>
        </w:rPr>
        <w:t xml:space="preserve">2 </w:t>
      </w:r>
      <w:r w:rsidRPr="00EF74CB">
        <w:rPr>
          <w:rFonts w:ascii="Arial" w:eastAsia="Times New Roman" w:hAnsi="Arial" w:cs="Arial"/>
          <w:lang w:val="en-AU"/>
        </w:rPr>
        <w:sym w:font="Symbol" w:char="F0B4"/>
      </w:r>
      <w:r w:rsidRPr="00EF74CB">
        <w:rPr>
          <w:rFonts w:ascii="Arial" w:eastAsia="Times New Roman" w:hAnsi="Arial" w:cs="Arial"/>
          <w:lang w:val="en-AU"/>
        </w:rPr>
        <w:t xml:space="preserve"> more frequently than with placebo (or in</w:t>
      </w:r>
      <w:r w:rsidR="00F90D88" w:rsidRPr="00EF74CB">
        <w:rPr>
          <w:rFonts w:ascii="Arial" w:eastAsia="Times New Roman" w:hAnsi="Arial" w:cs="Arial"/>
          <w:lang w:val="en-AU"/>
        </w:rPr>
        <w:t xml:space="preserve"> ≥ </w:t>
      </w:r>
      <w:r w:rsidRPr="00EF74CB">
        <w:rPr>
          <w:rFonts w:ascii="Arial" w:eastAsia="Times New Roman" w:hAnsi="Arial" w:cs="Arial"/>
          <w:lang w:val="en-AU"/>
        </w:rPr>
        <w:t>2 patients if the frequency for placebo is zero)</w:t>
      </w:r>
      <w:r w:rsidR="005171DC" w:rsidRPr="00EF74CB">
        <w:rPr>
          <w:rFonts w:ascii="Arial" w:eastAsia="Times New Roman" w:hAnsi="Arial" w:cs="Arial"/>
          <w:lang w:val="en-AU"/>
        </w:rPr>
        <w:t>]</w:t>
      </w:r>
      <w:r w:rsidRPr="00EF74CB">
        <w:rPr>
          <w:rFonts w:ascii="Arial" w:eastAsia="Times New Roman" w:hAnsi="Arial" w:cs="Arial"/>
          <w:lang w:val="en-AU"/>
        </w:rPr>
        <w:t xml:space="preserve"> was pruritus.  The most common skin and subcutaneous tissue disorders reported in patients treated with </w:t>
      </w:r>
      <w:r w:rsidR="009C3B58" w:rsidRPr="00EF74CB">
        <w:rPr>
          <w:rFonts w:ascii="Arial" w:eastAsia="Times New Roman" w:hAnsi="Arial" w:cs="Arial"/>
          <w:lang w:val="en-AU"/>
        </w:rPr>
        <w:t>NESINA</w:t>
      </w:r>
      <w:r w:rsidRPr="00EF74CB">
        <w:rPr>
          <w:rFonts w:ascii="Arial" w:eastAsia="Times New Roman" w:hAnsi="Arial" w:cs="Arial"/>
          <w:lang w:val="en-AU"/>
        </w:rPr>
        <w:t xml:space="preserve"> (regardless of causality) were pruritus and rash.  The majority of these events were non</w:t>
      </w:r>
      <w:r w:rsidRPr="00EF74CB">
        <w:rPr>
          <w:rFonts w:ascii="Arial" w:eastAsia="Times New Roman" w:hAnsi="Arial" w:cs="Arial"/>
          <w:lang w:val="en-AU"/>
        </w:rPr>
        <w:noBreakHyphen/>
        <w:t xml:space="preserve">serious, mild in intensity, transient and did not result in discontinuation of therapy.  </w:t>
      </w:r>
    </w:p>
    <w:bookmarkEnd w:id="0"/>
    <w:bookmarkEnd w:id="1"/>
    <w:p w:rsidR="00386721" w:rsidRPr="00EF74CB" w:rsidRDefault="00386721" w:rsidP="00386721">
      <w:pPr>
        <w:rPr>
          <w:rFonts w:ascii="Arial" w:eastAsia="Times New Roman" w:hAnsi="Arial" w:cs="Arial"/>
          <w:u w:val="single"/>
          <w:lang w:val="en-AU"/>
        </w:rPr>
      </w:pPr>
      <w:r w:rsidRPr="00EF74CB">
        <w:rPr>
          <w:rFonts w:ascii="Arial" w:eastAsia="Times New Roman" w:hAnsi="Arial" w:cs="Arial"/>
          <w:u w:val="single"/>
          <w:lang w:val="en-AU"/>
        </w:rPr>
        <w:t>Tabulated list of adverse reactions</w:t>
      </w:r>
    </w:p>
    <w:p w:rsidR="00386721" w:rsidRPr="00EF74CB" w:rsidRDefault="00386721" w:rsidP="003867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Due to the impact of background medication on adverse reactions, the information provided is based on the data from individual clinical studies according to the respective treatment regimen. </w:t>
      </w:r>
    </w:p>
    <w:p w:rsidR="006F1A70" w:rsidRPr="00EF74CB" w:rsidRDefault="00386721" w:rsidP="0038672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26-week clinical trials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as monotherapy and as add-on combination therapy, the adverse events listed below (Table </w:t>
      </w:r>
      <w:r w:rsidR="00D10E0C" w:rsidRPr="00EF74CB">
        <w:rPr>
          <w:rFonts w:ascii="Arial" w:eastAsia="Times New Roman" w:hAnsi="Arial" w:cs="Arial"/>
          <w:lang w:val="en-AU"/>
        </w:rPr>
        <w:t>3</w:t>
      </w:r>
      <w:r w:rsidRPr="00EF74CB">
        <w:rPr>
          <w:rFonts w:ascii="Arial" w:eastAsia="Times New Roman" w:hAnsi="Arial" w:cs="Arial"/>
          <w:lang w:val="en-AU"/>
        </w:rPr>
        <w:t xml:space="preserve">) were considered to be related to </w:t>
      </w:r>
      <w:r w:rsidR="009C3B58" w:rsidRPr="00EF74CB">
        <w:rPr>
          <w:rFonts w:ascii="Arial" w:eastAsia="Times New Roman" w:hAnsi="Arial" w:cs="Arial"/>
          <w:lang w:val="en-AU"/>
        </w:rPr>
        <w:t>NESINA</w:t>
      </w:r>
      <w:r w:rsidRPr="00EF74CB">
        <w:rPr>
          <w:rFonts w:ascii="Arial" w:eastAsia="Times New Roman" w:hAnsi="Arial" w:cs="Arial"/>
          <w:lang w:val="en-AU"/>
        </w:rPr>
        <w:t xml:space="preserve"> based on their comparative incidence to placebo </w:t>
      </w:r>
      <w:r w:rsidR="005171DC" w:rsidRPr="00EF74CB">
        <w:rPr>
          <w:rFonts w:ascii="Arial" w:eastAsia="Times New Roman" w:hAnsi="Arial" w:cs="Arial"/>
          <w:lang w:val="en-AU"/>
        </w:rPr>
        <w:t>[</w:t>
      </w:r>
      <w:r w:rsidRPr="00EF74CB">
        <w:rPr>
          <w:rFonts w:ascii="Arial" w:eastAsia="Times New Roman" w:hAnsi="Arial" w:cs="Arial"/>
          <w:lang w:val="en-AU"/>
        </w:rPr>
        <w:t>i.e. reported in</w:t>
      </w:r>
      <w:r w:rsidR="00EB5434" w:rsidRPr="00EF74CB">
        <w:rPr>
          <w:rFonts w:ascii="Arial" w:eastAsia="Times New Roman" w:hAnsi="Arial" w:cs="Arial"/>
          <w:lang w:val="en-AU"/>
        </w:rPr>
        <w:t xml:space="preserve"> ≥</w:t>
      </w:r>
      <w:r w:rsidRPr="00EF74CB">
        <w:rPr>
          <w:rFonts w:ascii="Arial" w:eastAsia="Times New Roman" w:hAnsi="Arial" w:cs="Arial"/>
          <w:lang w:val="en-AU"/>
        </w:rPr>
        <w:t xml:space="preserve"> 1%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25 mg and</w:t>
      </w:r>
      <w:r w:rsidR="00EB5434" w:rsidRPr="00EF74CB">
        <w:rPr>
          <w:rFonts w:ascii="Arial" w:eastAsia="Times New Roman" w:hAnsi="Arial" w:cs="Arial"/>
          <w:lang w:val="en-AU"/>
        </w:rPr>
        <w:t xml:space="preserve"> ≥</w:t>
      </w:r>
      <w:r w:rsidRPr="00EF74CB">
        <w:rPr>
          <w:rFonts w:ascii="Arial" w:eastAsia="Times New Roman" w:hAnsi="Arial" w:cs="Arial"/>
          <w:lang w:val="en-AU"/>
        </w:rPr>
        <w:t> 2 </w:t>
      </w:r>
      <w:r w:rsidRPr="00EF74CB">
        <w:rPr>
          <w:rFonts w:ascii="Arial" w:eastAsia="Times New Roman" w:hAnsi="Arial" w:cs="Arial"/>
          <w:lang w:val="en-AU"/>
        </w:rPr>
        <w:sym w:font="Symbol" w:char="F0B4"/>
      </w:r>
      <w:r w:rsidRPr="00EF74CB">
        <w:rPr>
          <w:rFonts w:ascii="Arial" w:eastAsia="Times New Roman" w:hAnsi="Arial" w:cs="Arial"/>
          <w:lang w:val="en-AU"/>
        </w:rPr>
        <w:t xml:space="preserve"> more frequently than with placebo (or in</w:t>
      </w:r>
      <w:r w:rsidR="00EB5434" w:rsidRPr="00EF74CB">
        <w:rPr>
          <w:rFonts w:ascii="Arial" w:eastAsia="Times New Roman" w:hAnsi="Arial" w:cs="Arial"/>
          <w:lang w:val="en-AU"/>
        </w:rPr>
        <w:t xml:space="preserve"> ≥</w:t>
      </w:r>
      <w:r w:rsidRPr="00EF74CB">
        <w:rPr>
          <w:rFonts w:ascii="Arial" w:eastAsia="Times New Roman" w:hAnsi="Arial" w:cs="Arial"/>
          <w:lang w:val="en-AU"/>
        </w:rPr>
        <w:t> 2 patients if the frequency for placebo is zero)</w:t>
      </w:r>
      <w:r w:rsidR="005171DC" w:rsidRPr="00EF74CB">
        <w:rPr>
          <w:rFonts w:ascii="Arial" w:eastAsia="Times New Roman" w:hAnsi="Arial" w:cs="Arial"/>
          <w:lang w:val="en-AU"/>
        </w:rPr>
        <w:t>]</w:t>
      </w:r>
      <w:r w:rsidRPr="00EF74CB">
        <w:rPr>
          <w:rFonts w:ascii="Arial" w:eastAsia="Times New Roman" w:hAnsi="Arial" w:cs="Arial"/>
          <w:lang w:val="en-AU"/>
        </w:rPr>
        <w:t>:</w:t>
      </w:r>
    </w:p>
    <w:p w:rsidR="004408B0" w:rsidRDefault="004408B0">
      <w:pPr>
        <w:rPr>
          <w:rFonts w:ascii="Arial" w:hAnsi="Arial" w:cs="Arial"/>
          <w:b/>
          <w:sz w:val="18"/>
          <w:szCs w:val="18"/>
          <w:lang w:val="en-AU"/>
        </w:rPr>
      </w:pPr>
      <w:r>
        <w:rPr>
          <w:rFonts w:ascii="Arial" w:hAnsi="Arial" w:cs="Arial"/>
          <w:b/>
          <w:sz w:val="18"/>
          <w:szCs w:val="18"/>
          <w:lang w:val="en-AU"/>
        </w:rPr>
        <w:br w:type="page"/>
      </w:r>
    </w:p>
    <w:p w:rsidR="005171DC" w:rsidRPr="00EF74CB" w:rsidRDefault="005171DC" w:rsidP="005171DC">
      <w:pPr>
        <w:spacing w:after="240" w:line="240" w:lineRule="auto"/>
        <w:ind w:left="720" w:hanging="720"/>
        <w:jc w:val="both"/>
        <w:rPr>
          <w:rFonts w:ascii="Arial" w:hAnsi="Arial" w:cs="Arial"/>
          <w:b/>
          <w:sz w:val="18"/>
          <w:szCs w:val="18"/>
          <w:lang w:val="en-AU"/>
        </w:rPr>
      </w:pPr>
      <w:r w:rsidRPr="00EF74CB">
        <w:rPr>
          <w:rFonts w:ascii="Arial" w:hAnsi="Arial" w:cs="Arial"/>
          <w:b/>
          <w:sz w:val="18"/>
          <w:szCs w:val="18"/>
          <w:lang w:val="en-AU"/>
        </w:rPr>
        <w:t xml:space="preserve">Table </w:t>
      </w:r>
      <w:r w:rsidR="00BC6C8C" w:rsidRPr="00EF74CB">
        <w:rPr>
          <w:rFonts w:ascii="Arial" w:hAnsi="Arial" w:cs="Arial"/>
          <w:b/>
          <w:sz w:val="18"/>
          <w:szCs w:val="18"/>
          <w:lang w:val="en-AU"/>
        </w:rPr>
        <w:fldChar w:fldCharType="begin"/>
      </w:r>
      <w:r w:rsidRPr="00EF74CB">
        <w:rPr>
          <w:rFonts w:ascii="Arial" w:hAnsi="Arial" w:cs="Arial"/>
          <w:b/>
          <w:sz w:val="18"/>
          <w:szCs w:val="18"/>
          <w:lang w:val="en-AU"/>
        </w:rPr>
        <w:instrText xml:space="preserve"> SEQ Table \* ARABIC </w:instrText>
      </w:r>
      <w:r w:rsidR="00BC6C8C" w:rsidRPr="00EF74CB">
        <w:rPr>
          <w:rFonts w:ascii="Arial" w:hAnsi="Arial" w:cs="Arial"/>
          <w:b/>
          <w:sz w:val="18"/>
          <w:szCs w:val="18"/>
          <w:lang w:val="en-AU"/>
        </w:rPr>
        <w:fldChar w:fldCharType="separate"/>
      </w:r>
      <w:r w:rsidR="00BC20FD" w:rsidRPr="00EF74CB">
        <w:rPr>
          <w:rFonts w:ascii="Arial" w:hAnsi="Arial" w:cs="Arial"/>
          <w:b/>
          <w:noProof/>
          <w:sz w:val="18"/>
          <w:szCs w:val="18"/>
          <w:lang w:val="en-AU"/>
        </w:rPr>
        <w:t>3</w:t>
      </w:r>
      <w:r w:rsidR="00BC6C8C" w:rsidRPr="00EF74CB">
        <w:rPr>
          <w:rFonts w:ascii="Arial" w:hAnsi="Arial" w:cs="Arial"/>
          <w:b/>
          <w:sz w:val="18"/>
          <w:szCs w:val="18"/>
          <w:lang w:val="en-AU"/>
        </w:rPr>
        <w:fldChar w:fldCharType="end"/>
      </w:r>
      <w:r w:rsidRPr="00EF74CB">
        <w:rPr>
          <w:rFonts w:ascii="Arial" w:hAnsi="Arial" w:cs="Arial"/>
          <w:b/>
          <w:sz w:val="18"/>
          <w:szCs w:val="18"/>
          <w:lang w:val="en-AU"/>
        </w:rPr>
        <w:tab/>
        <w:t xml:space="preserve">Adverse events considered to be related to </w:t>
      </w:r>
      <w:r w:rsidR="009C3B58" w:rsidRPr="00EF74CB">
        <w:rPr>
          <w:rFonts w:ascii="Arial" w:hAnsi="Arial" w:cs="Arial"/>
          <w:b/>
          <w:sz w:val="18"/>
          <w:szCs w:val="18"/>
          <w:lang w:val="en-AU"/>
        </w:rPr>
        <w:t>NESINA</w:t>
      </w:r>
      <w:r w:rsidRPr="00EF74CB">
        <w:rPr>
          <w:rFonts w:ascii="Arial" w:hAnsi="Arial" w:cs="Arial"/>
          <w:b/>
          <w:sz w:val="18"/>
          <w:szCs w:val="18"/>
          <w:lang w:val="en-AU"/>
        </w:rPr>
        <w:t xml:space="preserve"> based on their comparative incidence in individual, 26-week, placebo-controlled clinical studies</w:t>
      </w:r>
    </w:p>
    <w:tbl>
      <w:tblPr>
        <w:tblW w:w="9072" w:type="dxa"/>
        <w:tblInd w:w="108" w:type="dxa"/>
        <w:tblLayout w:type="fixed"/>
        <w:tblLook w:val="01E0"/>
      </w:tblPr>
      <w:tblGrid>
        <w:gridCol w:w="2410"/>
        <w:gridCol w:w="1418"/>
        <w:gridCol w:w="991"/>
        <w:gridCol w:w="255"/>
        <w:gridCol w:w="1333"/>
        <w:gridCol w:w="1332"/>
        <w:gridCol w:w="1333"/>
      </w:tblGrid>
      <w:tr w:rsidR="00386721" w:rsidRPr="00EF74CB" w:rsidTr="003E7040">
        <w:trPr>
          <w:tblHeader/>
        </w:trPr>
        <w:tc>
          <w:tcPr>
            <w:tcW w:w="9072" w:type="dxa"/>
            <w:gridSpan w:val="7"/>
            <w:tcBorders>
              <w:top w:val="single" w:sz="4" w:space="0" w:color="auto"/>
              <w:left w:val="single" w:sz="4" w:space="0" w:color="auto"/>
              <w:bottom w:val="single" w:sz="4" w:space="0" w:color="auto"/>
              <w:right w:val="single" w:sz="4" w:space="0" w:color="auto"/>
            </w:tcBorders>
            <w:vAlign w:val="center"/>
          </w:tcPr>
          <w:p w:rsidR="00386721" w:rsidRPr="00EF74CB" w:rsidRDefault="00386721" w:rsidP="00BF2872">
            <w:pPr>
              <w:spacing w:before="120" w:after="120"/>
              <w:jc w:val="center"/>
              <w:rPr>
                <w:rFonts w:ascii="Arial" w:hAnsi="Arial" w:cs="Arial"/>
                <w:b/>
                <w:sz w:val="18"/>
                <w:szCs w:val="18"/>
                <w:lang w:val="en-AU"/>
              </w:rPr>
            </w:pPr>
            <w:r w:rsidRPr="00EF74CB">
              <w:rPr>
                <w:rFonts w:ascii="Arial" w:hAnsi="Arial" w:cs="Arial"/>
                <w:b/>
                <w:sz w:val="18"/>
                <w:szCs w:val="18"/>
                <w:lang w:val="en-AU"/>
              </w:rPr>
              <w:t>Frequency of adverse reactions by system organ class and treatment regimen</w:t>
            </w:r>
          </w:p>
        </w:tc>
      </w:tr>
      <w:tr w:rsidR="00386721" w:rsidRPr="00EF74CB" w:rsidTr="003E7040">
        <w:trPr>
          <w:tblHeader/>
        </w:trPr>
        <w:tc>
          <w:tcPr>
            <w:tcW w:w="2410" w:type="dxa"/>
            <w:tcBorders>
              <w:left w:val="single" w:sz="4" w:space="0" w:color="auto"/>
              <w:bottom w:val="single" w:sz="4" w:space="0" w:color="auto"/>
              <w:right w:val="single" w:sz="4" w:space="0" w:color="auto"/>
            </w:tcBorders>
          </w:tcPr>
          <w:p w:rsidR="00386721" w:rsidRPr="00EF74CB" w:rsidRDefault="00386721" w:rsidP="006F24B7">
            <w:pPr>
              <w:spacing w:after="0"/>
              <w:rPr>
                <w:rFonts w:ascii="Arial" w:hAnsi="Arial" w:cs="Arial"/>
                <w:b/>
                <w:sz w:val="18"/>
                <w:szCs w:val="18"/>
                <w:lang w:val="en-AU"/>
              </w:rPr>
            </w:pPr>
          </w:p>
          <w:p w:rsidR="00386721" w:rsidRPr="00EF74CB" w:rsidRDefault="00386721" w:rsidP="006F24B7">
            <w:pPr>
              <w:spacing w:after="0"/>
              <w:rPr>
                <w:rFonts w:ascii="Arial" w:hAnsi="Arial" w:cs="Arial"/>
                <w:b/>
                <w:sz w:val="18"/>
                <w:szCs w:val="18"/>
                <w:lang w:val="en-AU"/>
              </w:rPr>
            </w:pPr>
            <w:r w:rsidRPr="00EF74CB">
              <w:rPr>
                <w:rFonts w:ascii="Arial" w:hAnsi="Arial" w:cs="Arial"/>
                <w:b/>
                <w:sz w:val="18"/>
                <w:szCs w:val="18"/>
                <w:lang w:val="en-AU"/>
              </w:rPr>
              <w:t>System organ class</w:t>
            </w:r>
          </w:p>
          <w:p w:rsidR="00386721" w:rsidRPr="00EF74CB" w:rsidRDefault="00446A84" w:rsidP="006F24B7">
            <w:pPr>
              <w:tabs>
                <w:tab w:val="left" w:pos="318"/>
              </w:tabs>
              <w:spacing w:after="0"/>
              <w:rPr>
                <w:rFonts w:ascii="Arial" w:hAnsi="Arial" w:cs="Arial"/>
                <w:sz w:val="18"/>
                <w:szCs w:val="18"/>
                <w:lang w:val="en-AU"/>
              </w:rPr>
            </w:pPr>
            <w:r w:rsidRPr="00EF74CB">
              <w:rPr>
                <w:rFonts w:ascii="Arial" w:hAnsi="Arial" w:cs="Arial"/>
                <w:sz w:val="18"/>
                <w:szCs w:val="18"/>
                <w:lang w:val="en-AU"/>
              </w:rPr>
              <w:tab/>
            </w:r>
            <w:r w:rsidR="00386721" w:rsidRPr="00EF74CB">
              <w:rPr>
                <w:rFonts w:ascii="Arial" w:hAnsi="Arial" w:cs="Arial"/>
                <w:sz w:val="18"/>
                <w:szCs w:val="18"/>
                <w:lang w:val="en-AU"/>
              </w:rPr>
              <w:t>Adverse reaction</w:t>
            </w:r>
          </w:p>
        </w:tc>
        <w:tc>
          <w:tcPr>
            <w:tcW w:w="1418" w:type="dxa"/>
            <w:tcBorders>
              <w:top w:val="single" w:sz="4" w:space="0" w:color="auto"/>
              <w:left w:val="single" w:sz="4" w:space="0" w:color="auto"/>
              <w:bottom w:val="single" w:sz="4" w:space="0" w:color="auto"/>
            </w:tcBorders>
          </w:tcPr>
          <w:p w:rsidR="00386721" w:rsidRPr="006928EA" w:rsidRDefault="00386721" w:rsidP="006F24B7">
            <w:pPr>
              <w:spacing w:after="0"/>
              <w:jc w:val="center"/>
              <w:rPr>
                <w:rFonts w:ascii="Arial" w:hAnsi="Arial" w:cs="Arial"/>
                <w:b/>
                <w:sz w:val="18"/>
                <w:szCs w:val="18"/>
                <w:lang w:val="en-AU"/>
              </w:rPr>
            </w:pPr>
          </w:p>
          <w:p w:rsidR="00386721" w:rsidRPr="006928EA" w:rsidRDefault="0063120E" w:rsidP="006F24B7">
            <w:pPr>
              <w:spacing w:after="0"/>
              <w:jc w:val="center"/>
              <w:rPr>
                <w:rFonts w:ascii="Arial" w:hAnsi="Arial" w:cs="Arial"/>
                <w:b/>
                <w:sz w:val="18"/>
                <w:szCs w:val="18"/>
                <w:lang w:val="en-AU"/>
              </w:rPr>
            </w:pPr>
            <w:r>
              <w:rPr>
                <w:rFonts w:ascii="Arial" w:hAnsi="Arial" w:cs="Arial"/>
                <w:b/>
                <w:sz w:val="18"/>
                <w:szCs w:val="18"/>
                <w:lang w:val="en-AU"/>
              </w:rPr>
              <w:t>NESINA monotherapy</w:t>
            </w:r>
          </w:p>
          <w:p w:rsidR="00386721" w:rsidRPr="006928EA" w:rsidRDefault="00386721" w:rsidP="006F24B7">
            <w:pPr>
              <w:spacing w:after="0"/>
              <w:jc w:val="center"/>
              <w:rPr>
                <w:rFonts w:ascii="Arial" w:hAnsi="Arial" w:cs="Arial"/>
                <w:b/>
                <w:sz w:val="18"/>
                <w:szCs w:val="18"/>
                <w:lang w:val="en-AU"/>
              </w:rPr>
            </w:pPr>
          </w:p>
        </w:tc>
        <w:tc>
          <w:tcPr>
            <w:tcW w:w="1246" w:type="dxa"/>
            <w:gridSpan w:val="2"/>
            <w:tcBorders>
              <w:top w:val="single" w:sz="4" w:space="0" w:color="auto"/>
              <w:left w:val="nil"/>
              <w:bottom w:val="single" w:sz="4" w:space="0" w:color="auto"/>
            </w:tcBorders>
          </w:tcPr>
          <w:p w:rsidR="00386721" w:rsidRPr="00EF74CB" w:rsidRDefault="00386721" w:rsidP="006F24B7">
            <w:pPr>
              <w:spacing w:after="0"/>
              <w:jc w:val="center"/>
              <w:rPr>
                <w:rFonts w:ascii="Arial" w:hAnsi="Arial" w:cs="Arial"/>
                <w:b/>
                <w:sz w:val="18"/>
                <w:szCs w:val="18"/>
                <w:lang w:val="en-AU"/>
              </w:rPr>
            </w:pPr>
          </w:p>
          <w:p w:rsidR="00386721" w:rsidRPr="00EF74CB" w:rsidRDefault="009C3B58" w:rsidP="00F6511A">
            <w:pPr>
              <w:spacing w:after="0"/>
              <w:jc w:val="center"/>
              <w:rPr>
                <w:rFonts w:ascii="Arial" w:hAnsi="Arial" w:cs="Arial"/>
                <w:b/>
                <w:sz w:val="18"/>
                <w:szCs w:val="18"/>
                <w:lang w:val="en-AU"/>
              </w:rPr>
            </w:pPr>
            <w:r w:rsidRPr="00EF74CB">
              <w:rPr>
                <w:rFonts w:ascii="Arial" w:hAnsi="Arial" w:cs="Arial"/>
                <w:b/>
                <w:sz w:val="18"/>
                <w:szCs w:val="18"/>
                <w:lang w:val="en-AU"/>
              </w:rPr>
              <w:t>NESINA</w:t>
            </w:r>
            <w:r w:rsidR="00F6511A" w:rsidRPr="00EF74CB" w:rsidDel="00F6511A">
              <w:rPr>
                <w:rFonts w:ascii="Arial" w:hAnsi="Arial" w:cs="Arial"/>
                <w:b/>
                <w:sz w:val="18"/>
                <w:szCs w:val="18"/>
                <w:lang w:val="en-AU"/>
              </w:rPr>
              <w:t xml:space="preserve"> </w:t>
            </w:r>
            <w:r w:rsidR="00386721" w:rsidRPr="00EF74CB">
              <w:rPr>
                <w:rFonts w:ascii="Arial" w:hAnsi="Arial" w:cs="Arial"/>
                <w:b/>
                <w:sz w:val="18"/>
                <w:szCs w:val="18"/>
                <w:lang w:val="en-AU"/>
              </w:rPr>
              <w:t>with</w:t>
            </w:r>
            <w:r w:rsidR="00F6511A" w:rsidRPr="00EF74CB">
              <w:rPr>
                <w:rFonts w:ascii="Arial" w:hAnsi="Arial" w:cs="Arial"/>
                <w:b/>
                <w:sz w:val="18"/>
                <w:szCs w:val="18"/>
                <w:lang w:val="en-AU"/>
              </w:rPr>
              <w:t xml:space="preserve"> </w:t>
            </w:r>
            <w:r w:rsidR="00386721" w:rsidRPr="00EF74CB">
              <w:rPr>
                <w:rFonts w:ascii="Arial" w:hAnsi="Arial" w:cs="Arial"/>
                <w:b/>
                <w:sz w:val="18"/>
                <w:szCs w:val="18"/>
                <w:lang w:val="en-AU"/>
              </w:rPr>
              <w:t>metformin</w:t>
            </w:r>
          </w:p>
        </w:tc>
        <w:tc>
          <w:tcPr>
            <w:tcW w:w="1333" w:type="dxa"/>
            <w:tcBorders>
              <w:top w:val="single" w:sz="4" w:space="0" w:color="auto"/>
              <w:left w:val="nil"/>
              <w:bottom w:val="single" w:sz="4" w:space="0" w:color="auto"/>
            </w:tcBorders>
          </w:tcPr>
          <w:p w:rsidR="00386721" w:rsidRPr="00EF74CB" w:rsidRDefault="00386721" w:rsidP="006F24B7">
            <w:pPr>
              <w:spacing w:after="0"/>
              <w:jc w:val="center"/>
              <w:rPr>
                <w:rFonts w:ascii="Arial" w:hAnsi="Arial" w:cs="Arial"/>
                <w:b/>
                <w:sz w:val="18"/>
                <w:szCs w:val="18"/>
                <w:lang w:val="en-AU"/>
              </w:rPr>
            </w:pPr>
          </w:p>
          <w:p w:rsidR="00F6511A" w:rsidRPr="00EF74CB" w:rsidRDefault="009C3B58" w:rsidP="006F24B7">
            <w:pPr>
              <w:spacing w:after="0"/>
              <w:jc w:val="center"/>
              <w:rPr>
                <w:rFonts w:ascii="Arial" w:hAnsi="Arial" w:cs="Arial"/>
                <w:b/>
                <w:sz w:val="18"/>
                <w:szCs w:val="18"/>
                <w:lang w:val="en-AU"/>
              </w:rPr>
            </w:pPr>
            <w:r w:rsidRPr="00EF74CB">
              <w:rPr>
                <w:rFonts w:ascii="Arial" w:hAnsi="Arial" w:cs="Arial"/>
                <w:b/>
                <w:sz w:val="18"/>
                <w:szCs w:val="18"/>
                <w:lang w:val="en-AU"/>
              </w:rPr>
              <w:t>NESINA</w:t>
            </w:r>
            <w:r w:rsidR="00F6511A" w:rsidRPr="00EF74CB" w:rsidDel="00F6511A">
              <w:rPr>
                <w:rFonts w:ascii="Arial" w:hAnsi="Arial" w:cs="Arial"/>
                <w:b/>
                <w:sz w:val="18"/>
                <w:szCs w:val="18"/>
                <w:lang w:val="en-AU"/>
              </w:rPr>
              <w:t xml:space="preserve"> </w:t>
            </w:r>
          </w:p>
          <w:p w:rsidR="00386721" w:rsidRPr="00EF74CB" w:rsidRDefault="00386721" w:rsidP="006F24B7">
            <w:pPr>
              <w:spacing w:after="0"/>
              <w:jc w:val="center"/>
              <w:rPr>
                <w:rFonts w:ascii="Arial" w:hAnsi="Arial" w:cs="Arial"/>
                <w:b/>
                <w:sz w:val="18"/>
                <w:szCs w:val="18"/>
                <w:lang w:val="en-AU"/>
              </w:rPr>
            </w:pPr>
            <w:r w:rsidRPr="00EF74CB">
              <w:rPr>
                <w:rFonts w:ascii="Arial" w:hAnsi="Arial" w:cs="Arial"/>
                <w:b/>
                <w:sz w:val="18"/>
                <w:szCs w:val="18"/>
                <w:lang w:val="en-AU"/>
              </w:rPr>
              <w:t>with a SU</w:t>
            </w:r>
          </w:p>
          <w:p w:rsidR="00386721" w:rsidRPr="00EF74CB" w:rsidRDefault="00386721" w:rsidP="006F24B7">
            <w:pPr>
              <w:spacing w:after="0"/>
              <w:jc w:val="center"/>
              <w:rPr>
                <w:rFonts w:ascii="Arial" w:hAnsi="Arial" w:cs="Arial"/>
                <w:b/>
                <w:sz w:val="18"/>
                <w:szCs w:val="18"/>
                <w:lang w:val="en-AU"/>
              </w:rPr>
            </w:pPr>
          </w:p>
        </w:tc>
        <w:tc>
          <w:tcPr>
            <w:tcW w:w="1332" w:type="dxa"/>
            <w:tcBorders>
              <w:top w:val="single" w:sz="4" w:space="0" w:color="auto"/>
              <w:left w:val="nil"/>
              <w:bottom w:val="single" w:sz="4" w:space="0" w:color="auto"/>
            </w:tcBorders>
          </w:tcPr>
          <w:p w:rsidR="00386721" w:rsidRPr="00EF74CB" w:rsidRDefault="00386721" w:rsidP="006F24B7">
            <w:pPr>
              <w:spacing w:after="0"/>
              <w:jc w:val="center"/>
              <w:rPr>
                <w:rFonts w:ascii="Arial" w:hAnsi="Arial" w:cs="Arial"/>
                <w:b/>
                <w:sz w:val="18"/>
                <w:szCs w:val="18"/>
                <w:lang w:val="en-AU"/>
              </w:rPr>
            </w:pPr>
          </w:p>
          <w:p w:rsidR="00F6511A" w:rsidRPr="00EF74CB" w:rsidRDefault="009C3B58" w:rsidP="006F24B7">
            <w:pPr>
              <w:spacing w:after="0"/>
              <w:jc w:val="center"/>
              <w:rPr>
                <w:rFonts w:ascii="Arial" w:hAnsi="Arial" w:cs="Arial"/>
                <w:b/>
                <w:sz w:val="18"/>
                <w:szCs w:val="18"/>
                <w:lang w:val="en-AU"/>
              </w:rPr>
            </w:pPr>
            <w:r w:rsidRPr="00EF74CB">
              <w:rPr>
                <w:rFonts w:ascii="Arial" w:hAnsi="Arial" w:cs="Arial"/>
                <w:b/>
                <w:sz w:val="18"/>
                <w:szCs w:val="18"/>
                <w:lang w:val="en-AU"/>
              </w:rPr>
              <w:t>NESINA</w:t>
            </w:r>
            <w:r w:rsidR="00F6511A" w:rsidRPr="00EF74CB" w:rsidDel="00F6511A">
              <w:rPr>
                <w:rFonts w:ascii="Arial" w:hAnsi="Arial" w:cs="Arial"/>
                <w:b/>
                <w:sz w:val="18"/>
                <w:szCs w:val="18"/>
                <w:lang w:val="en-AU"/>
              </w:rPr>
              <w:t xml:space="preserve"> </w:t>
            </w:r>
          </w:p>
          <w:p w:rsidR="00386721" w:rsidRPr="00EF74CB" w:rsidRDefault="00386721" w:rsidP="006F24B7">
            <w:pPr>
              <w:spacing w:after="0"/>
              <w:jc w:val="center"/>
              <w:rPr>
                <w:rFonts w:ascii="Arial" w:hAnsi="Arial" w:cs="Arial"/>
                <w:b/>
                <w:sz w:val="18"/>
                <w:szCs w:val="18"/>
                <w:lang w:val="en-AU"/>
              </w:rPr>
            </w:pPr>
            <w:r w:rsidRPr="00EF74CB">
              <w:rPr>
                <w:rFonts w:ascii="Arial" w:hAnsi="Arial" w:cs="Arial"/>
                <w:b/>
                <w:sz w:val="18"/>
                <w:szCs w:val="18"/>
                <w:lang w:val="en-AU"/>
              </w:rPr>
              <w:t>with a TZD</w:t>
            </w:r>
          </w:p>
          <w:p w:rsidR="00386721" w:rsidRPr="00EF74CB" w:rsidRDefault="00386721" w:rsidP="006F24B7">
            <w:pPr>
              <w:spacing w:after="0"/>
              <w:jc w:val="center"/>
              <w:rPr>
                <w:rFonts w:ascii="Arial" w:hAnsi="Arial" w:cs="Arial"/>
                <w:b/>
                <w:sz w:val="18"/>
                <w:szCs w:val="18"/>
                <w:lang w:val="en-AU"/>
              </w:rPr>
            </w:pPr>
          </w:p>
        </w:tc>
        <w:tc>
          <w:tcPr>
            <w:tcW w:w="1333" w:type="dxa"/>
            <w:tcBorders>
              <w:top w:val="single" w:sz="4" w:space="0" w:color="auto"/>
              <w:left w:val="nil"/>
              <w:bottom w:val="single" w:sz="4" w:space="0" w:color="auto"/>
              <w:right w:val="single" w:sz="4" w:space="0" w:color="auto"/>
            </w:tcBorders>
          </w:tcPr>
          <w:p w:rsidR="00F6511A" w:rsidRPr="00EF74CB" w:rsidRDefault="009C3B58" w:rsidP="006F24B7">
            <w:pPr>
              <w:spacing w:after="0"/>
              <w:jc w:val="center"/>
              <w:rPr>
                <w:rFonts w:ascii="Arial" w:hAnsi="Arial" w:cs="Arial"/>
                <w:b/>
                <w:sz w:val="18"/>
                <w:szCs w:val="18"/>
                <w:lang w:val="en-AU"/>
              </w:rPr>
            </w:pPr>
            <w:r w:rsidRPr="00EF74CB">
              <w:rPr>
                <w:rFonts w:ascii="Arial" w:hAnsi="Arial" w:cs="Arial"/>
                <w:b/>
                <w:sz w:val="18"/>
                <w:szCs w:val="18"/>
                <w:lang w:val="en-AU"/>
              </w:rPr>
              <w:t>NESINA</w:t>
            </w:r>
            <w:r w:rsidR="00F6511A" w:rsidRPr="00EF74CB" w:rsidDel="00F6511A">
              <w:rPr>
                <w:rFonts w:ascii="Arial" w:hAnsi="Arial" w:cs="Arial"/>
                <w:b/>
                <w:sz w:val="18"/>
                <w:szCs w:val="18"/>
                <w:lang w:val="en-AU"/>
              </w:rPr>
              <w:t xml:space="preserve"> </w:t>
            </w:r>
          </w:p>
          <w:p w:rsidR="00386721" w:rsidRPr="00EF74CB" w:rsidRDefault="00386721" w:rsidP="006F24B7">
            <w:pPr>
              <w:spacing w:after="0"/>
              <w:jc w:val="center"/>
              <w:rPr>
                <w:rFonts w:ascii="Arial" w:hAnsi="Arial" w:cs="Arial"/>
                <w:b/>
                <w:sz w:val="18"/>
                <w:szCs w:val="18"/>
                <w:lang w:val="en-AU"/>
              </w:rPr>
            </w:pPr>
            <w:r w:rsidRPr="00EF74CB">
              <w:rPr>
                <w:rFonts w:ascii="Arial" w:hAnsi="Arial" w:cs="Arial"/>
                <w:b/>
                <w:sz w:val="18"/>
                <w:szCs w:val="18"/>
                <w:lang w:val="en-AU"/>
              </w:rPr>
              <w:t>with insulin</w:t>
            </w:r>
          </w:p>
          <w:p w:rsidR="00386721" w:rsidRPr="00EF74CB" w:rsidRDefault="00386721" w:rsidP="006F24B7">
            <w:pPr>
              <w:spacing w:after="0"/>
              <w:jc w:val="center"/>
              <w:rPr>
                <w:rFonts w:ascii="Arial" w:hAnsi="Arial" w:cs="Arial"/>
                <w:b/>
                <w:sz w:val="18"/>
                <w:szCs w:val="18"/>
                <w:lang w:val="en-AU"/>
              </w:rPr>
            </w:pPr>
            <w:r w:rsidRPr="00EF74CB">
              <w:rPr>
                <w:rFonts w:ascii="Arial" w:hAnsi="Arial" w:cs="Arial"/>
                <w:b/>
                <w:sz w:val="18"/>
                <w:szCs w:val="18"/>
                <w:lang w:val="en-AU"/>
              </w:rPr>
              <w:t>(+/-) metformin</w:t>
            </w:r>
          </w:p>
        </w:tc>
      </w:tr>
      <w:tr w:rsidR="00386721" w:rsidRPr="00EF74CB" w:rsidTr="003E7040">
        <w:tc>
          <w:tcPr>
            <w:tcW w:w="2410" w:type="dxa"/>
            <w:tcBorders>
              <w:top w:val="single" w:sz="4" w:space="0" w:color="auto"/>
              <w:left w:val="single" w:sz="4" w:space="0" w:color="auto"/>
              <w:right w:val="single" w:sz="4" w:space="0" w:color="auto"/>
            </w:tcBorders>
          </w:tcPr>
          <w:p w:rsidR="00386721" w:rsidRPr="00EF74CB" w:rsidRDefault="00386721" w:rsidP="006F24B7">
            <w:pPr>
              <w:spacing w:after="0"/>
              <w:rPr>
                <w:rFonts w:ascii="Arial" w:hAnsi="Arial" w:cs="Arial"/>
                <w:b/>
                <w:sz w:val="18"/>
                <w:szCs w:val="18"/>
                <w:lang w:val="en-AU"/>
              </w:rPr>
            </w:pPr>
            <w:r w:rsidRPr="00EF74CB">
              <w:rPr>
                <w:rFonts w:ascii="Arial" w:hAnsi="Arial" w:cs="Arial"/>
                <w:b/>
                <w:sz w:val="18"/>
                <w:szCs w:val="18"/>
                <w:lang w:val="en-AU"/>
              </w:rPr>
              <w:t>Infections and infestations</w:t>
            </w:r>
          </w:p>
        </w:tc>
        <w:tc>
          <w:tcPr>
            <w:tcW w:w="1418" w:type="dxa"/>
            <w:tcBorders>
              <w:top w:val="single" w:sz="4" w:space="0" w:color="auto"/>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autoSpaceDE w:val="0"/>
              <w:autoSpaceDN w:val="0"/>
              <w:adjustRightInd w:val="0"/>
              <w:spacing w:after="0"/>
              <w:ind w:left="284"/>
              <w:rPr>
                <w:rFonts w:ascii="Arial" w:hAnsi="Arial" w:cs="Arial"/>
                <w:sz w:val="18"/>
                <w:szCs w:val="18"/>
                <w:lang w:val="en-AU"/>
              </w:rPr>
            </w:pPr>
            <w:r w:rsidRPr="00EF74CB">
              <w:rPr>
                <w:rFonts w:ascii="Arial" w:hAnsi="Arial" w:cs="Arial"/>
                <w:sz w:val="18"/>
                <w:szCs w:val="18"/>
                <w:lang w:val="en-AU"/>
              </w:rPr>
              <w:t>Upper respiratory tract infection</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autoSpaceDE w:val="0"/>
              <w:autoSpaceDN w:val="0"/>
              <w:adjustRightInd w:val="0"/>
              <w:spacing w:after="0"/>
              <w:ind w:left="284"/>
              <w:rPr>
                <w:rFonts w:ascii="Arial" w:hAnsi="Arial" w:cs="Arial"/>
                <w:sz w:val="18"/>
                <w:szCs w:val="18"/>
                <w:lang w:val="en-AU"/>
              </w:rPr>
            </w:pPr>
            <w:r w:rsidRPr="00EF74CB">
              <w:rPr>
                <w:rFonts w:ascii="Arial" w:hAnsi="Arial" w:cs="Arial"/>
                <w:sz w:val="18"/>
                <w:szCs w:val="18"/>
                <w:lang w:val="en-AU"/>
              </w:rPr>
              <w:t>Nasopharyngitis</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autoSpaceDE w:val="0"/>
              <w:autoSpaceDN w:val="0"/>
              <w:adjustRightInd w:val="0"/>
              <w:spacing w:after="0"/>
              <w:ind w:left="284"/>
              <w:rPr>
                <w:rFonts w:ascii="Arial" w:hAnsi="Arial" w:cs="Arial"/>
                <w:sz w:val="18"/>
                <w:szCs w:val="18"/>
                <w:lang w:val="en-AU"/>
              </w:rPr>
            </w:pPr>
            <w:r w:rsidRPr="00EF74CB">
              <w:rPr>
                <w:rFonts w:ascii="Arial" w:hAnsi="Arial" w:cs="Arial"/>
                <w:sz w:val="18"/>
                <w:szCs w:val="18"/>
                <w:lang w:val="en-AU"/>
              </w:rPr>
              <w:t>Influenza</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2" w:type="dxa"/>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top w:val="single" w:sz="4" w:space="0" w:color="auto"/>
              <w:left w:val="single" w:sz="4" w:space="0" w:color="auto"/>
              <w:right w:val="single" w:sz="4" w:space="0" w:color="auto"/>
            </w:tcBorders>
          </w:tcPr>
          <w:p w:rsidR="00386721" w:rsidRPr="00EF74CB" w:rsidRDefault="00386721" w:rsidP="006F24B7">
            <w:pPr>
              <w:spacing w:after="0"/>
              <w:rPr>
                <w:rFonts w:ascii="Arial" w:hAnsi="Arial" w:cs="Arial"/>
                <w:b/>
                <w:sz w:val="18"/>
                <w:szCs w:val="18"/>
                <w:lang w:val="en-AU"/>
              </w:rPr>
            </w:pPr>
            <w:r w:rsidRPr="00EF74CB">
              <w:rPr>
                <w:rFonts w:ascii="Arial" w:hAnsi="Arial" w:cs="Arial"/>
                <w:b/>
                <w:sz w:val="18"/>
                <w:szCs w:val="18"/>
                <w:lang w:val="en-AU"/>
              </w:rPr>
              <w:t>Nervous system disorders</w:t>
            </w:r>
          </w:p>
        </w:tc>
        <w:tc>
          <w:tcPr>
            <w:tcW w:w="1418" w:type="dxa"/>
            <w:tcBorders>
              <w:top w:val="single" w:sz="4" w:space="0" w:color="auto"/>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bottom w:val="single" w:sz="4" w:space="0" w:color="auto"/>
              <w:right w:val="single" w:sz="4" w:space="0" w:color="auto"/>
            </w:tcBorders>
          </w:tcPr>
          <w:p w:rsidR="00386721" w:rsidRPr="00EF74CB" w:rsidRDefault="00386721" w:rsidP="006F24B7">
            <w:pPr>
              <w:autoSpaceDE w:val="0"/>
              <w:autoSpaceDN w:val="0"/>
              <w:adjustRightInd w:val="0"/>
              <w:spacing w:after="0"/>
              <w:ind w:left="284"/>
              <w:rPr>
                <w:rFonts w:ascii="Arial" w:hAnsi="Arial" w:cs="Arial"/>
                <w:sz w:val="18"/>
                <w:szCs w:val="18"/>
                <w:lang w:val="en-AU"/>
              </w:rPr>
            </w:pPr>
            <w:r w:rsidRPr="00EF74CB">
              <w:rPr>
                <w:rFonts w:ascii="Arial" w:hAnsi="Arial" w:cs="Arial"/>
                <w:sz w:val="18"/>
                <w:szCs w:val="18"/>
                <w:lang w:val="en-AU"/>
              </w:rPr>
              <w:t>Headache</w:t>
            </w:r>
          </w:p>
        </w:tc>
        <w:tc>
          <w:tcPr>
            <w:tcW w:w="1418" w:type="dxa"/>
            <w:tcBorders>
              <w:left w:val="single" w:sz="4" w:space="0" w:color="auto"/>
              <w:bottom w:val="single" w:sz="4" w:space="0" w:color="auto"/>
            </w:tcBorders>
          </w:tcPr>
          <w:p w:rsidR="00386721" w:rsidRPr="006928EA" w:rsidRDefault="00C577CA" w:rsidP="006F24B7">
            <w:pPr>
              <w:spacing w:after="0"/>
              <w:jc w:val="center"/>
              <w:rPr>
                <w:rFonts w:ascii="Arial" w:hAnsi="Arial" w:cs="Arial"/>
                <w:sz w:val="18"/>
                <w:szCs w:val="18"/>
                <w:lang w:val="en-AU"/>
              </w:rPr>
            </w:pPr>
            <w:r w:rsidRPr="006928EA">
              <w:rPr>
                <w:rFonts w:ascii="Arial" w:hAnsi="Arial" w:cs="Arial"/>
                <w:sz w:val="18"/>
                <w:szCs w:val="18"/>
                <w:lang w:val="en-AU"/>
              </w:rPr>
              <w:t>Common</w:t>
            </w:r>
          </w:p>
        </w:tc>
        <w:tc>
          <w:tcPr>
            <w:tcW w:w="1246" w:type="dxa"/>
            <w:gridSpan w:val="2"/>
            <w:tcBorders>
              <w:bottom w:val="single" w:sz="4" w:space="0" w:color="auto"/>
            </w:tcBorders>
          </w:tcPr>
          <w:p w:rsidR="00386721" w:rsidRPr="00EF74CB" w:rsidRDefault="00386721" w:rsidP="006F24B7">
            <w:pPr>
              <w:tabs>
                <w:tab w:val="left" w:pos="692"/>
              </w:tabs>
              <w:spacing w:after="0"/>
              <w:jc w:val="center"/>
              <w:rPr>
                <w:rFonts w:ascii="Arial" w:hAnsi="Arial" w:cs="Arial"/>
                <w:sz w:val="18"/>
                <w:szCs w:val="18"/>
                <w:lang w:val="en-AU"/>
              </w:rPr>
            </w:pPr>
          </w:p>
        </w:tc>
        <w:tc>
          <w:tcPr>
            <w:tcW w:w="1333"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2"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top w:val="single" w:sz="4" w:space="0" w:color="auto"/>
              <w:left w:val="single" w:sz="4" w:space="0" w:color="auto"/>
              <w:right w:val="single" w:sz="4" w:space="0" w:color="auto"/>
            </w:tcBorders>
          </w:tcPr>
          <w:p w:rsidR="00386721" w:rsidRPr="00EF74CB" w:rsidRDefault="00386721" w:rsidP="006F24B7">
            <w:pPr>
              <w:spacing w:after="0"/>
              <w:rPr>
                <w:rFonts w:ascii="Arial" w:hAnsi="Arial" w:cs="Arial"/>
                <w:b/>
                <w:sz w:val="18"/>
                <w:szCs w:val="18"/>
                <w:lang w:val="en-AU"/>
              </w:rPr>
            </w:pPr>
            <w:r w:rsidRPr="00EF74CB">
              <w:rPr>
                <w:rFonts w:ascii="Arial" w:hAnsi="Arial" w:cs="Arial"/>
                <w:b/>
                <w:sz w:val="18"/>
                <w:szCs w:val="18"/>
                <w:lang w:val="en-AU"/>
              </w:rPr>
              <w:t>Gastrointestinal disorders</w:t>
            </w:r>
          </w:p>
        </w:tc>
        <w:tc>
          <w:tcPr>
            <w:tcW w:w="1418" w:type="dxa"/>
            <w:tcBorders>
              <w:top w:val="single" w:sz="4" w:space="0" w:color="auto"/>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spacing w:after="0"/>
              <w:ind w:left="284"/>
              <w:rPr>
                <w:rFonts w:ascii="Arial" w:hAnsi="Arial" w:cs="Arial"/>
                <w:sz w:val="18"/>
                <w:szCs w:val="18"/>
                <w:lang w:val="en-AU"/>
              </w:rPr>
            </w:pPr>
            <w:r w:rsidRPr="00EF74CB">
              <w:rPr>
                <w:rFonts w:ascii="Arial" w:hAnsi="Arial" w:cs="Arial"/>
                <w:sz w:val="18"/>
                <w:szCs w:val="18"/>
                <w:lang w:val="en-AU"/>
              </w:rPr>
              <w:t>Abdominal pain</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spacing w:after="0"/>
              <w:ind w:left="284"/>
              <w:rPr>
                <w:rFonts w:ascii="Arial" w:hAnsi="Arial" w:cs="Arial"/>
                <w:sz w:val="18"/>
                <w:szCs w:val="18"/>
                <w:lang w:val="en-AU"/>
              </w:rPr>
            </w:pPr>
            <w:r w:rsidRPr="00EF74CB">
              <w:rPr>
                <w:rFonts w:ascii="Arial" w:hAnsi="Arial" w:cs="Arial"/>
                <w:sz w:val="18"/>
                <w:szCs w:val="18"/>
                <w:lang w:val="en-AU"/>
              </w:rPr>
              <w:t>Diarrhoea</w:t>
            </w:r>
          </w:p>
        </w:tc>
        <w:tc>
          <w:tcPr>
            <w:tcW w:w="1418" w:type="dxa"/>
            <w:tcBorders>
              <w:left w:val="single" w:sz="4" w:space="0" w:color="auto"/>
            </w:tcBorders>
          </w:tcPr>
          <w:p w:rsidR="00386721" w:rsidRPr="006928EA" w:rsidRDefault="00C577CA" w:rsidP="006F24B7">
            <w:pPr>
              <w:spacing w:after="0"/>
              <w:jc w:val="center"/>
              <w:rPr>
                <w:rFonts w:ascii="Arial" w:hAnsi="Arial" w:cs="Arial"/>
                <w:sz w:val="18"/>
                <w:szCs w:val="18"/>
                <w:lang w:val="en-AU"/>
              </w:rPr>
            </w:pPr>
            <w:r w:rsidRPr="006928EA">
              <w:rPr>
                <w:rFonts w:ascii="Arial" w:hAnsi="Arial" w:cs="Arial"/>
                <w:sz w:val="18"/>
                <w:szCs w:val="18"/>
                <w:lang w:val="en-AU"/>
              </w:rPr>
              <w:t>Common</w:t>
            </w: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bottom w:val="single" w:sz="4" w:space="0" w:color="auto"/>
              <w:right w:val="single" w:sz="4" w:space="0" w:color="auto"/>
            </w:tcBorders>
          </w:tcPr>
          <w:p w:rsidR="00386721" w:rsidRPr="00EF74CB" w:rsidRDefault="00386721" w:rsidP="006F24B7">
            <w:pPr>
              <w:spacing w:after="0"/>
              <w:ind w:left="284"/>
              <w:rPr>
                <w:rFonts w:ascii="Arial" w:hAnsi="Arial" w:cs="Arial"/>
                <w:sz w:val="18"/>
                <w:szCs w:val="18"/>
                <w:lang w:val="en-AU"/>
              </w:rPr>
            </w:pPr>
            <w:r w:rsidRPr="00EF74CB">
              <w:rPr>
                <w:rFonts w:ascii="Arial" w:hAnsi="Arial" w:cs="Arial"/>
                <w:sz w:val="18"/>
                <w:szCs w:val="18"/>
                <w:lang w:val="en-AU"/>
              </w:rPr>
              <w:t>Nausea</w:t>
            </w:r>
          </w:p>
        </w:tc>
        <w:tc>
          <w:tcPr>
            <w:tcW w:w="1418" w:type="dxa"/>
            <w:tcBorders>
              <w:left w:val="single" w:sz="4" w:space="0" w:color="auto"/>
              <w:bottom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r>
      <w:tr w:rsidR="00386721" w:rsidRPr="00EF74CB" w:rsidTr="003E7040">
        <w:tc>
          <w:tcPr>
            <w:tcW w:w="2410" w:type="dxa"/>
            <w:tcBorders>
              <w:top w:val="single" w:sz="4" w:space="0" w:color="auto"/>
              <w:left w:val="single" w:sz="4" w:space="0" w:color="auto"/>
              <w:right w:val="single" w:sz="4" w:space="0" w:color="auto"/>
            </w:tcBorders>
          </w:tcPr>
          <w:p w:rsidR="00386721" w:rsidRPr="00EF74CB" w:rsidRDefault="00386721" w:rsidP="006F24B7">
            <w:pPr>
              <w:keepNext/>
              <w:keepLines/>
              <w:spacing w:after="0"/>
              <w:rPr>
                <w:rFonts w:ascii="Arial" w:hAnsi="Arial" w:cs="Arial"/>
                <w:b/>
                <w:sz w:val="18"/>
                <w:szCs w:val="18"/>
                <w:lang w:val="en-AU"/>
              </w:rPr>
            </w:pPr>
            <w:r w:rsidRPr="00EF74CB">
              <w:rPr>
                <w:rFonts w:ascii="Arial" w:hAnsi="Arial" w:cs="Arial"/>
                <w:b/>
                <w:sz w:val="18"/>
                <w:szCs w:val="18"/>
                <w:lang w:val="en-AU"/>
              </w:rPr>
              <w:t xml:space="preserve">Skin and subcutaneous tissue disorders </w:t>
            </w:r>
          </w:p>
        </w:tc>
        <w:tc>
          <w:tcPr>
            <w:tcW w:w="1418" w:type="dxa"/>
            <w:tcBorders>
              <w:top w:val="single" w:sz="4" w:space="0" w:color="auto"/>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top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top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keepNext/>
              <w:keepLines/>
              <w:spacing w:after="0"/>
              <w:ind w:left="284"/>
              <w:rPr>
                <w:rFonts w:ascii="Arial" w:hAnsi="Arial" w:cs="Arial"/>
                <w:sz w:val="18"/>
                <w:szCs w:val="18"/>
                <w:lang w:val="en-AU"/>
              </w:rPr>
            </w:pPr>
            <w:r w:rsidRPr="00EF74CB">
              <w:rPr>
                <w:rFonts w:ascii="Arial" w:hAnsi="Arial" w:cs="Arial"/>
                <w:sz w:val="18"/>
                <w:szCs w:val="18"/>
                <w:lang w:val="en-AU"/>
              </w:rPr>
              <w:t>Pruritus</w:t>
            </w:r>
          </w:p>
        </w:tc>
        <w:tc>
          <w:tcPr>
            <w:tcW w:w="1418" w:type="dxa"/>
            <w:tcBorders>
              <w:left w:val="single" w:sz="4" w:space="0" w:color="auto"/>
            </w:tcBorders>
          </w:tcPr>
          <w:p w:rsidR="00386721" w:rsidRPr="006928EA" w:rsidRDefault="00C577CA" w:rsidP="006F24B7">
            <w:pPr>
              <w:spacing w:after="0"/>
              <w:jc w:val="center"/>
              <w:rPr>
                <w:rFonts w:ascii="Arial" w:hAnsi="Arial" w:cs="Arial"/>
                <w:sz w:val="18"/>
                <w:szCs w:val="18"/>
                <w:lang w:val="en-AU"/>
              </w:rPr>
            </w:pPr>
            <w:r w:rsidRPr="006928EA">
              <w:rPr>
                <w:rFonts w:ascii="Arial" w:hAnsi="Arial" w:cs="Arial"/>
                <w:sz w:val="18"/>
                <w:szCs w:val="18"/>
                <w:lang w:val="en-AU"/>
              </w:rPr>
              <w:t>Common</w:t>
            </w:r>
          </w:p>
        </w:tc>
        <w:tc>
          <w:tcPr>
            <w:tcW w:w="1246" w:type="dxa"/>
            <w:gridSpan w:val="2"/>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3" w:type="dxa"/>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r>
      <w:tr w:rsidR="00386721" w:rsidRPr="00EF74CB" w:rsidTr="003E7040">
        <w:tc>
          <w:tcPr>
            <w:tcW w:w="2410" w:type="dxa"/>
            <w:tcBorders>
              <w:left w:val="single" w:sz="4" w:space="0" w:color="auto"/>
              <w:bottom w:val="single" w:sz="4" w:space="0" w:color="auto"/>
              <w:right w:val="single" w:sz="4" w:space="0" w:color="auto"/>
            </w:tcBorders>
          </w:tcPr>
          <w:p w:rsidR="00386721" w:rsidRPr="00EF74CB" w:rsidRDefault="00386721" w:rsidP="006F24B7">
            <w:pPr>
              <w:keepNext/>
              <w:keepLines/>
              <w:spacing w:after="0"/>
              <w:ind w:left="284"/>
              <w:rPr>
                <w:rFonts w:ascii="Arial" w:hAnsi="Arial" w:cs="Arial"/>
                <w:sz w:val="18"/>
                <w:szCs w:val="18"/>
                <w:lang w:val="en-AU"/>
              </w:rPr>
            </w:pPr>
            <w:r w:rsidRPr="00EF74CB">
              <w:rPr>
                <w:rFonts w:ascii="Arial" w:hAnsi="Arial" w:cs="Arial"/>
                <w:sz w:val="18"/>
                <w:szCs w:val="18"/>
                <w:lang w:val="en-AU"/>
              </w:rPr>
              <w:t>Rash</w:t>
            </w:r>
          </w:p>
        </w:tc>
        <w:tc>
          <w:tcPr>
            <w:tcW w:w="1418" w:type="dxa"/>
            <w:tcBorders>
              <w:left w:val="single" w:sz="4" w:space="0" w:color="auto"/>
              <w:bottom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Borders>
              <w:bottom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3"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2"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keepNext/>
              <w:keepLines/>
              <w:spacing w:after="0"/>
              <w:rPr>
                <w:rFonts w:ascii="Arial" w:hAnsi="Arial" w:cs="Arial"/>
                <w:b/>
                <w:sz w:val="18"/>
                <w:szCs w:val="18"/>
                <w:lang w:val="en-AU"/>
              </w:rPr>
            </w:pPr>
            <w:r w:rsidRPr="00EF74CB">
              <w:rPr>
                <w:rFonts w:ascii="Arial" w:hAnsi="Arial" w:cs="Arial"/>
                <w:b/>
                <w:sz w:val="18"/>
                <w:szCs w:val="18"/>
                <w:lang w:val="en-AU"/>
              </w:rPr>
              <w:t>Musculoskeletal and connective tissue disorders</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keepNext/>
              <w:keepLines/>
              <w:spacing w:after="0"/>
              <w:ind w:left="284"/>
              <w:rPr>
                <w:rFonts w:ascii="Arial" w:hAnsi="Arial" w:cs="Arial"/>
                <w:sz w:val="18"/>
                <w:szCs w:val="18"/>
                <w:lang w:val="en-AU"/>
              </w:rPr>
            </w:pPr>
            <w:r w:rsidRPr="00EF74CB">
              <w:rPr>
                <w:rFonts w:ascii="Arial" w:hAnsi="Arial" w:cs="Arial"/>
                <w:sz w:val="18"/>
                <w:szCs w:val="18"/>
                <w:lang w:val="en-AU"/>
              </w:rPr>
              <w:t>Back pain</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r>
      <w:tr w:rsidR="00386721" w:rsidRPr="00EF74CB" w:rsidTr="003E7040">
        <w:tc>
          <w:tcPr>
            <w:tcW w:w="2410" w:type="dxa"/>
            <w:tcBorders>
              <w:left w:val="single" w:sz="4" w:space="0" w:color="auto"/>
              <w:right w:val="single" w:sz="4" w:space="0" w:color="auto"/>
            </w:tcBorders>
          </w:tcPr>
          <w:p w:rsidR="00386721" w:rsidRPr="00EF74CB" w:rsidRDefault="00386721" w:rsidP="006F24B7">
            <w:pPr>
              <w:keepNext/>
              <w:keepLines/>
              <w:spacing w:after="0"/>
              <w:ind w:left="284"/>
              <w:rPr>
                <w:rFonts w:ascii="Arial" w:hAnsi="Arial" w:cs="Arial"/>
                <w:sz w:val="18"/>
                <w:szCs w:val="18"/>
                <w:lang w:val="en-AU"/>
              </w:rPr>
            </w:pPr>
            <w:r w:rsidRPr="00EF74CB">
              <w:rPr>
                <w:rFonts w:ascii="Arial" w:hAnsi="Arial" w:cs="Arial"/>
                <w:sz w:val="18"/>
                <w:szCs w:val="18"/>
                <w:lang w:val="en-AU"/>
              </w:rPr>
              <w:t>Musculoskeletal pain</w:t>
            </w:r>
          </w:p>
        </w:tc>
        <w:tc>
          <w:tcPr>
            <w:tcW w:w="1418" w:type="dxa"/>
            <w:tcBorders>
              <w:left w:val="single" w:sz="4" w:space="0" w:color="auto"/>
            </w:tcBorders>
          </w:tcPr>
          <w:p w:rsidR="00386721" w:rsidRPr="006928EA" w:rsidRDefault="00386721" w:rsidP="006F24B7">
            <w:pPr>
              <w:spacing w:after="0"/>
              <w:jc w:val="center"/>
              <w:rPr>
                <w:rFonts w:ascii="Arial" w:hAnsi="Arial" w:cs="Arial"/>
                <w:sz w:val="18"/>
                <w:szCs w:val="18"/>
                <w:lang w:val="en-AU"/>
              </w:rPr>
            </w:pPr>
          </w:p>
        </w:tc>
        <w:tc>
          <w:tcPr>
            <w:tcW w:w="1246" w:type="dxa"/>
            <w:gridSpan w:val="2"/>
          </w:tcPr>
          <w:p w:rsidR="00386721" w:rsidRPr="00EF74CB" w:rsidRDefault="00386721" w:rsidP="006F24B7">
            <w:pPr>
              <w:spacing w:after="0"/>
              <w:jc w:val="center"/>
              <w:rPr>
                <w:rFonts w:ascii="Arial" w:hAnsi="Arial" w:cs="Arial"/>
                <w:sz w:val="18"/>
                <w:szCs w:val="18"/>
                <w:lang w:val="en-AU"/>
              </w:rPr>
            </w:pPr>
            <w:r w:rsidRPr="00EF74CB">
              <w:rPr>
                <w:rFonts w:ascii="Arial" w:hAnsi="Arial" w:cs="Arial"/>
                <w:sz w:val="18"/>
                <w:szCs w:val="18"/>
                <w:lang w:val="en-AU"/>
              </w:rPr>
              <w:t>Common</w:t>
            </w:r>
          </w:p>
        </w:tc>
        <w:tc>
          <w:tcPr>
            <w:tcW w:w="1333" w:type="dxa"/>
          </w:tcPr>
          <w:p w:rsidR="00386721" w:rsidRPr="00EF74CB" w:rsidRDefault="00386721" w:rsidP="006F24B7">
            <w:pPr>
              <w:spacing w:after="0"/>
              <w:jc w:val="center"/>
              <w:rPr>
                <w:rFonts w:ascii="Arial" w:hAnsi="Arial" w:cs="Arial"/>
                <w:sz w:val="18"/>
                <w:szCs w:val="18"/>
                <w:lang w:val="en-AU"/>
              </w:rPr>
            </w:pPr>
          </w:p>
        </w:tc>
        <w:tc>
          <w:tcPr>
            <w:tcW w:w="1332" w:type="dxa"/>
          </w:tcPr>
          <w:p w:rsidR="00386721" w:rsidRPr="00EF74CB" w:rsidRDefault="00386721" w:rsidP="006F24B7">
            <w:pPr>
              <w:spacing w:after="0"/>
              <w:jc w:val="center"/>
              <w:rPr>
                <w:rFonts w:ascii="Arial" w:hAnsi="Arial" w:cs="Arial"/>
                <w:sz w:val="18"/>
                <w:szCs w:val="18"/>
                <w:lang w:val="en-AU"/>
              </w:rPr>
            </w:pPr>
          </w:p>
        </w:tc>
        <w:tc>
          <w:tcPr>
            <w:tcW w:w="1333" w:type="dxa"/>
            <w:tcBorders>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c>
          <w:tcPr>
            <w:tcW w:w="2410" w:type="dxa"/>
            <w:tcBorders>
              <w:left w:val="single" w:sz="4" w:space="0" w:color="auto"/>
              <w:bottom w:val="single" w:sz="4" w:space="0" w:color="auto"/>
              <w:right w:val="single" w:sz="4" w:space="0" w:color="auto"/>
            </w:tcBorders>
          </w:tcPr>
          <w:p w:rsidR="00386721" w:rsidRPr="00EF74CB" w:rsidRDefault="00386721" w:rsidP="006F24B7">
            <w:pPr>
              <w:keepNext/>
              <w:keepLines/>
              <w:spacing w:after="0"/>
              <w:ind w:left="284"/>
              <w:rPr>
                <w:rFonts w:ascii="Arial" w:hAnsi="Arial" w:cs="Arial"/>
                <w:sz w:val="18"/>
                <w:szCs w:val="18"/>
                <w:lang w:val="en-AU"/>
              </w:rPr>
            </w:pPr>
            <w:r w:rsidRPr="00EF74CB">
              <w:rPr>
                <w:rFonts w:ascii="Arial" w:hAnsi="Arial" w:cs="Arial"/>
                <w:sz w:val="18"/>
                <w:szCs w:val="18"/>
                <w:lang w:val="en-AU"/>
              </w:rPr>
              <w:t>Myalgia</w:t>
            </w:r>
          </w:p>
        </w:tc>
        <w:tc>
          <w:tcPr>
            <w:tcW w:w="1418" w:type="dxa"/>
            <w:tcBorders>
              <w:left w:val="single" w:sz="4" w:space="0" w:color="auto"/>
              <w:bottom w:val="single" w:sz="4" w:space="0" w:color="auto"/>
            </w:tcBorders>
          </w:tcPr>
          <w:p w:rsidR="00386721" w:rsidRPr="006928EA" w:rsidRDefault="00C577CA" w:rsidP="006F24B7">
            <w:pPr>
              <w:spacing w:after="0"/>
              <w:jc w:val="center"/>
              <w:rPr>
                <w:rFonts w:ascii="Arial" w:hAnsi="Arial" w:cs="Arial"/>
                <w:sz w:val="18"/>
                <w:szCs w:val="18"/>
                <w:lang w:val="en-AU"/>
              </w:rPr>
            </w:pPr>
            <w:r w:rsidRPr="006928EA">
              <w:rPr>
                <w:rFonts w:ascii="Arial" w:hAnsi="Arial" w:cs="Arial"/>
                <w:sz w:val="18"/>
                <w:szCs w:val="18"/>
                <w:lang w:val="en-AU"/>
              </w:rPr>
              <w:t>Common</w:t>
            </w:r>
          </w:p>
        </w:tc>
        <w:tc>
          <w:tcPr>
            <w:tcW w:w="1246" w:type="dxa"/>
            <w:gridSpan w:val="2"/>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2" w:type="dxa"/>
            <w:tcBorders>
              <w:bottom w:val="single" w:sz="4" w:space="0" w:color="auto"/>
            </w:tcBorders>
          </w:tcPr>
          <w:p w:rsidR="00386721" w:rsidRPr="00EF74CB" w:rsidRDefault="00386721" w:rsidP="006F24B7">
            <w:pPr>
              <w:spacing w:after="0"/>
              <w:jc w:val="center"/>
              <w:rPr>
                <w:rFonts w:ascii="Arial" w:hAnsi="Arial" w:cs="Arial"/>
                <w:sz w:val="18"/>
                <w:szCs w:val="18"/>
                <w:lang w:val="en-AU"/>
              </w:rPr>
            </w:pPr>
          </w:p>
        </w:tc>
        <w:tc>
          <w:tcPr>
            <w:tcW w:w="1333" w:type="dxa"/>
            <w:tcBorders>
              <w:bottom w:val="single" w:sz="4" w:space="0" w:color="auto"/>
              <w:right w:val="single" w:sz="4" w:space="0" w:color="auto"/>
            </w:tcBorders>
          </w:tcPr>
          <w:p w:rsidR="00386721" w:rsidRPr="00EF74CB" w:rsidRDefault="00386721" w:rsidP="006F24B7">
            <w:pPr>
              <w:spacing w:after="0"/>
              <w:jc w:val="center"/>
              <w:rPr>
                <w:rFonts w:ascii="Arial" w:hAnsi="Arial" w:cs="Arial"/>
                <w:sz w:val="18"/>
                <w:szCs w:val="18"/>
                <w:lang w:val="en-AU"/>
              </w:rPr>
            </w:pPr>
          </w:p>
        </w:tc>
      </w:tr>
      <w:tr w:rsidR="00386721" w:rsidRPr="00EF74CB" w:rsidTr="003E7040">
        <w:trPr>
          <w:trHeight w:val="562"/>
        </w:trPr>
        <w:tc>
          <w:tcPr>
            <w:tcW w:w="4819" w:type="dxa"/>
            <w:gridSpan w:val="3"/>
            <w:tcBorders>
              <w:top w:val="single" w:sz="4" w:space="0" w:color="auto"/>
              <w:left w:val="single" w:sz="4" w:space="0" w:color="auto"/>
              <w:bottom w:val="single" w:sz="4" w:space="0" w:color="auto"/>
            </w:tcBorders>
          </w:tcPr>
          <w:p w:rsidR="00386721" w:rsidRPr="00EF74CB" w:rsidRDefault="00386721" w:rsidP="006F24B7">
            <w:pPr>
              <w:spacing w:after="0"/>
              <w:rPr>
                <w:rFonts w:ascii="Arial" w:hAnsi="Arial" w:cs="Arial"/>
                <w:sz w:val="18"/>
                <w:szCs w:val="18"/>
                <w:lang w:val="en-AU"/>
              </w:rPr>
            </w:pPr>
            <w:r w:rsidRPr="00EF74CB">
              <w:rPr>
                <w:rFonts w:ascii="Arial" w:hAnsi="Arial" w:cs="Arial"/>
                <w:sz w:val="18"/>
                <w:szCs w:val="18"/>
                <w:lang w:val="en-AU"/>
              </w:rPr>
              <w:t>SU = sulphonylurea</w:t>
            </w:r>
          </w:p>
          <w:p w:rsidR="00386721" w:rsidRPr="00EF74CB" w:rsidRDefault="00386721" w:rsidP="006F24B7">
            <w:pPr>
              <w:spacing w:after="0"/>
              <w:rPr>
                <w:rFonts w:ascii="Arial" w:hAnsi="Arial" w:cs="Arial"/>
                <w:sz w:val="18"/>
                <w:szCs w:val="18"/>
                <w:lang w:val="en-AU"/>
              </w:rPr>
            </w:pPr>
            <w:r w:rsidRPr="00EF74CB">
              <w:rPr>
                <w:rFonts w:ascii="Arial" w:hAnsi="Arial" w:cs="Arial"/>
                <w:sz w:val="18"/>
                <w:szCs w:val="18"/>
                <w:lang w:val="en-AU"/>
              </w:rPr>
              <w:t>TZD = thiazolidinedione</w:t>
            </w:r>
          </w:p>
        </w:tc>
        <w:tc>
          <w:tcPr>
            <w:tcW w:w="4253" w:type="dxa"/>
            <w:gridSpan w:val="4"/>
            <w:tcBorders>
              <w:top w:val="single" w:sz="4" w:space="0" w:color="auto"/>
              <w:left w:val="nil"/>
              <w:bottom w:val="single" w:sz="4" w:space="0" w:color="auto"/>
              <w:right w:val="single" w:sz="4" w:space="0" w:color="auto"/>
            </w:tcBorders>
          </w:tcPr>
          <w:p w:rsidR="00386721" w:rsidRPr="00EF74CB" w:rsidRDefault="00386721" w:rsidP="006F24B7">
            <w:pPr>
              <w:autoSpaceDE w:val="0"/>
              <w:autoSpaceDN w:val="0"/>
              <w:adjustRightInd w:val="0"/>
              <w:spacing w:after="0"/>
              <w:ind w:right="-289"/>
              <w:rPr>
                <w:rFonts w:ascii="Arial" w:hAnsi="Arial" w:cs="Arial"/>
                <w:sz w:val="18"/>
                <w:szCs w:val="18"/>
                <w:lang w:val="en-AU"/>
              </w:rPr>
            </w:pPr>
            <w:r w:rsidRPr="00EF74CB">
              <w:rPr>
                <w:rFonts w:ascii="Arial" w:hAnsi="Arial" w:cs="Arial"/>
                <w:sz w:val="18"/>
                <w:szCs w:val="18"/>
                <w:lang w:val="en-AU"/>
              </w:rPr>
              <w:t>Frequency is defined as:</w:t>
            </w:r>
          </w:p>
          <w:p w:rsidR="00386721" w:rsidRPr="00EF74CB" w:rsidRDefault="00386721" w:rsidP="006F24B7">
            <w:pPr>
              <w:pStyle w:val="TableFootnote"/>
              <w:rPr>
                <w:rFonts w:ascii="Arial" w:hAnsi="Arial" w:cs="Arial"/>
                <w:sz w:val="18"/>
                <w:szCs w:val="18"/>
                <w:lang w:val="en-AU"/>
              </w:rPr>
            </w:pPr>
            <w:r w:rsidRPr="00EF74CB">
              <w:rPr>
                <w:rFonts w:ascii="Arial" w:hAnsi="Arial" w:cs="Arial"/>
                <w:sz w:val="18"/>
                <w:szCs w:val="18"/>
                <w:lang w:val="en-AU"/>
              </w:rPr>
              <w:t>Common (≥ 1/100 to &lt; 1/10)</w:t>
            </w:r>
          </w:p>
        </w:tc>
      </w:tr>
    </w:tbl>
    <w:p w:rsidR="00F75C53" w:rsidRPr="00EF74CB" w:rsidRDefault="00F75C53" w:rsidP="00F75C53">
      <w:pPr>
        <w:spacing w:after="0" w:line="240" w:lineRule="auto"/>
        <w:jc w:val="both"/>
        <w:rPr>
          <w:rFonts w:ascii="Arial" w:eastAsia="Times New Roman" w:hAnsi="Arial" w:cs="Arial"/>
          <w:lang w:val="en-AU"/>
        </w:rPr>
      </w:pPr>
    </w:p>
    <w:p w:rsidR="00F25D68" w:rsidRPr="00EF74CB" w:rsidRDefault="00F25D68" w:rsidP="00F25D68">
      <w:pPr>
        <w:spacing w:after="240" w:line="240" w:lineRule="auto"/>
        <w:jc w:val="both"/>
        <w:rPr>
          <w:rFonts w:ascii="Arial" w:eastAsia="Times New Roman" w:hAnsi="Arial" w:cs="Arial"/>
          <w:lang w:val="en-AU"/>
        </w:rPr>
      </w:pPr>
      <w:r w:rsidRPr="00EF74CB">
        <w:rPr>
          <w:rFonts w:ascii="Arial" w:eastAsia="Times New Roman" w:hAnsi="Arial" w:cs="Arial"/>
          <w:lang w:val="en-AU"/>
        </w:rPr>
        <w:t>In a 26-week, placebo and active-controlled, 7-arm clinical trial of alogliptin 12.5mg b.d. as initial combination therapy with metformin 500mg b.d. or 1000mg b.d., the following adverse events were considered to be related to the alogliptin and metformin combination, based on their comparative incidence to active-control (i.e. reported in</w:t>
      </w:r>
      <w:r w:rsidR="00F035D1" w:rsidRPr="00EF74CB">
        <w:rPr>
          <w:rFonts w:ascii="Arial" w:eastAsia="Times New Roman" w:hAnsi="Arial" w:cs="Arial"/>
          <w:lang w:val="en-AU"/>
        </w:rPr>
        <w:t xml:space="preserve"> ≥</w:t>
      </w:r>
      <w:r w:rsidRPr="00EF74CB">
        <w:rPr>
          <w:rFonts w:ascii="Arial" w:eastAsia="Times New Roman" w:hAnsi="Arial" w:cs="Arial"/>
          <w:lang w:val="en-AU"/>
        </w:rPr>
        <w:t xml:space="preserve"> 1% subjects in the 2 merged alogliptin and metformin combination therapy dose groups and </w:t>
      </w:r>
      <w:r w:rsidR="00F035D1" w:rsidRPr="00EF74CB">
        <w:rPr>
          <w:rFonts w:ascii="Arial" w:eastAsia="Times New Roman" w:hAnsi="Arial" w:cs="Arial"/>
          <w:lang w:val="en-AU"/>
        </w:rPr>
        <w:t>≥</w:t>
      </w:r>
      <w:r w:rsidRPr="00EF74CB">
        <w:rPr>
          <w:rFonts w:ascii="Arial" w:eastAsia="Times New Roman" w:hAnsi="Arial" w:cs="Arial"/>
          <w:lang w:val="en-AU"/>
        </w:rPr>
        <w:t xml:space="preserve"> 2  x more frequently than in either the 2 merged alogliptin monotherapy dose groups or in the 2 merged metformin monotherapy dose groups, (or in ≥ 2 patients on the alogliptin and metformin combination if the frequency for either active comparator group is zero)): </w:t>
      </w:r>
    </w:p>
    <w:p w:rsidR="00F25D68" w:rsidRPr="00EF74CB" w:rsidRDefault="00F25D68" w:rsidP="00F25D68">
      <w:pPr>
        <w:spacing w:after="240" w:line="240" w:lineRule="auto"/>
        <w:jc w:val="both"/>
        <w:rPr>
          <w:rFonts w:ascii="Arial" w:eastAsia="Times New Roman" w:hAnsi="Arial" w:cs="Arial"/>
          <w:lang w:val="en-AU"/>
        </w:rPr>
      </w:pPr>
      <w:r w:rsidRPr="00EF74CB">
        <w:rPr>
          <w:rFonts w:ascii="Arial" w:eastAsia="Times New Roman" w:hAnsi="Arial" w:cs="Arial"/>
          <w:lang w:val="en-AU"/>
        </w:rPr>
        <w:t>Common (≥ 1/100 to &lt; 1/10): sinusitis, influenza, viral infection, creatinine renal clearance decreased, decreased appetite</w:t>
      </w:r>
      <w:r w:rsidR="00D02631">
        <w:rPr>
          <w:rFonts w:ascii="Arial" w:eastAsia="Times New Roman" w:hAnsi="Arial" w:cs="Arial"/>
          <w:lang w:val="en-AU"/>
        </w:rPr>
        <w:t>,</w:t>
      </w:r>
      <w:r w:rsidRPr="00EF74CB">
        <w:rPr>
          <w:rFonts w:ascii="Arial" w:eastAsia="Times New Roman" w:hAnsi="Arial" w:cs="Arial"/>
          <w:lang w:val="en-AU"/>
        </w:rPr>
        <w:t xml:space="preserve"> diarrhoea, nausea, dyspepsia, flatulence.</w:t>
      </w:r>
    </w:p>
    <w:p w:rsidR="00386721" w:rsidRPr="00EF74CB" w:rsidRDefault="00386721" w:rsidP="00DA440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a 52-week clinical trial of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as add-on therapy to metformin with a thiazolidinedione, the following adverse events were considered to be related to </w:t>
      </w:r>
      <w:r w:rsidR="009C3B58" w:rsidRPr="00EF74CB">
        <w:rPr>
          <w:rFonts w:ascii="Arial" w:eastAsia="Times New Roman" w:hAnsi="Arial" w:cs="Arial"/>
          <w:lang w:val="en-AU"/>
        </w:rPr>
        <w:t>NESINA</w:t>
      </w:r>
      <w:r w:rsidRPr="00EF74CB">
        <w:rPr>
          <w:rFonts w:ascii="Arial" w:eastAsia="Times New Roman" w:hAnsi="Arial" w:cs="Arial"/>
          <w:lang w:val="en-AU"/>
        </w:rPr>
        <w:t xml:space="preserve"> based on their comparative incidence to active-control (i.e. reported in ≥ 1%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25 mg and</w:t>
      </w:r>
      <w:r w:rsidR="00F035D1" w:rsidRPr="00EF74CB">
        <w:rPr>
          <w:rFonts w:ascii="Arial" w:eastAsia="Times New Roman" w:hAnsi="Arial" w:cs="Arial"/>
          <w:lang w:val="en-AU"/>
        </w:rPr>
        <w:t xml:space="preserve"> ≥</w:t>
      </w:r>
      <w:r w:rsidRPr="00EF74CB">
        <w:rPr>
          <w:rFonts w:ascii="Arial" w:eastAsia="Times New Roman" w:hAnsi="Arial" w:cs="Arial"/>
          <w:lang w:val="en-AU"/>
        </w:rPr>
        <w:t> 2 </w:t>
      </w:r>
      <w:r w:rsidRPr="00EF74CB">
        <w:rPr>
          <w:rFonts w:ascii="Arial" w:eastAsia="Times New Roman" w:hAnsi="Arial" w:cs="Arial"/>
          <w:lang w:val="en-AU"/>
        </w:rPr>
        <w:sym w:font="Symbol" w:char="F0B4"/>
      </w:r>
      <w:r w:rsidRPr="00EF74CB">
        <w:rPr>
          <w:rFonts w:ascii="Arial" w:eastAsia="Times New Roman" w:hAnsi="Arial" w:cs="Arial"/>
          <w:lang w:val="en-AU"/>
        </w:rPr>
        <w:t xml:space="preserve"> more frequently than with the active comparator (or in </w:t>
      </w:r>
      <w:r w:rsidRPr="00EF74CB">
        <w:rPr>
          <w:rFonts w:ascii="Arial" w:eastAsia="Times New Roman" w:hAnsi="Arial" w:cs="Arial"/>
          <w:lang w:val="en-AU"/>
        </w:rPr>
        <w:sym w:font="Symbol" w:char="F0B3"/>
      </w:r>
      <w:r w:rsidRPr="00EF74CB">
        <w:rPr>
          <w:rFonts w:ascii="Arial" w:eastAsia="Times New Roman" w:hAnsi="Arial" w:cs="Arial"/>
          <w:lang w:val="en-AU"/>
        </w:rPr>
        <w:t xml:space="preserve"> 2 patients if the frequency for the active comparator is zero)): </w:t>
      </w:r>
    </w:p>
    <w:p w:rsidR="00386721" w:rsidRPr="00EF74CB" w:rsidRDefault="00386721" w:rsidP="00DA4404">
      <w:pPr>
        <w:spacing w:after="240" w:line="240" w:lineRule="auto"/>
        <w:jc w:val="both"/>
        <w:rPr>
          <w:rFonts w:ascii="Arial" w:eastAsia="Times New Roman" w:hAnsi="Arial" w:cs="Arial"/>
          <w:lang w:val="en-AU"/>
        </w:rPr>
      </w:pPr>
      <w:r w:rsidRPr="00EF74CB">
        <w:rPr>
          <w:rFonts w:ascii="Arial" w:eastAsia="Times New Roman" w:hAnsi="Arial" w:cs="Arial"/>
          <w:lang w:val="en-AU"/>
        </w:rPr>
        <w:t>Common (</w:t>
      </w:r>
      <w:r w:rsidR="00F035D1" w:rsidRPr="00EF74CB">
        <w:rPr>
          <w:rFonts w:ascii="Arial" w:eastAsia="Times New Roman" w:hAnsi="Arial" w:cs="Arial"/>
          <w:lang w:val="en-AU"/>
        </w:rPr>
        <w:t xml:space="preserve">≥ </w:t>
      </w:r>
      <w:r w:rsidRPr="00EF74CB">
        <w:rPr>
          <w:rFonts w:ascii="Arial" w:eastAsia="Times New Roman" w:hAnsi="Arial" w:cs="Arial"/>
          <w:lang w:val="en-AU"/>
        </w:rPr>
        <w:t>1/100 to &lt; 1/10): nasopharyngitis; insomnia; abdominal pain, dyspepsia, gastro</w:t>
      </w:r>
      <w:r w:rsidRPr="00EF74CB">
        <w:rPr>
          <w:rFonts w:ascii="Arial" w:eastAsia="Times New Roman" w:hAnsi="Arial" w:cs="Arial"/>
          <w:lang w:val="en-AU"/>
        </w:rPr>
        <w:noBreakHyphen/>
        <w:t xml:space="preserve">oesophageal reflux disease, nausea; muscle spasms, musculoskeletal pain. </w:t>
      </w:r>
    </w:p>
    <w:p w:rsidR="00386721" w:rsidRPr="00EF74CB" w:rsidRDefault="00386721" w:rsidP="00DA4404">
      <w:pPr>
        <w:spacing w:after="240" w:line="240" w:lineRule="auto"/>
        <w:jc w:val="both"/>
        <w:rPr>
          <w:rFonts w:ascii="Arial" w:eastAsia="Times New Roman" w:hAnsi="Arial" w:cs="Arial"/>
          <w:lang w:val="en-AU"/>
        </w:rPr>
      </w:pPr>
      <w:r w:rsidRPr="00EF74CB">
        <w:rPr>
          <w:rFonts w:ascii="Arial" w:eastAsia="Times New Roman" w:hAnsi="Arial" w:cs="Arial"/>
          <w:lang w:val="en-AU"/>
        </w:rPr>
        <w:t>Uncommon (≥ 1/1,000 to &lt; 1/100): hypersensitivity; headache; rash.</w:t>
      </w:r>
    </w:p>
    <w:p w:rsidR="00386721" w:rsidRPr="00EF74CB" w:rsidRDefault="00386721" w:rsidP="00132678">
      <w:pPr>
        <w:pStyle w:val="NoSpacing"/>
        <w:spacing w:after="240"/>
        <w:jc w:val="both"/>
        <w:rPr>
          <w:rFonts w:ascii="Arial" w:hAnsi="Arial" w:cs="Arial"/>
          <w:b/>
          <w:lang w:val="en-AU"/>
        </w:rPr>
      </w:pPr>
      <w:r w:rsidRPr="00EF74CB">
        <w:rPr>
          <w:rFonts w:ascii="Arial" w:hAnsi="Arial" w:cs="Arial"/>
          <w:b/>
          <w:lang w:val="en-AU"/>
        </w:rPr>
        <w:t>Post-marketing experience</w:t>
      </w:r>
    </w:p>
    <w:p w:rsidR="00386721" w:rsidRPr="00EF74CB" w:rsidRDefault="00386721" w:rsidP="00DA4404">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following adverse events have been reported (frequencies not known; cannot be estimated from the available data): </w:t>
      </w:r>
      <w:r w:rsidR="00897706">
        <w:rPr>
          <w:rFonts w:ascii="Arial" w:eastAsia="Times New Roman" w:hAnsi="Arial" w:cs="Arial"/>
          <w:lang w:val="en-AU"/>
        </w:rPr>
        <w:t>hypersensitivity</w:t>
      </w:r>
      <w:r w:rsidR="008B2B03">
        <w:rPr>
          <w:rFonts w:ascii="Arial" w:eastAsia="Times New Roman" w:hAnsi="Arial" w:cs="Arial"/>
          <w:lang w:val="en-AU"/>
        </w:rPr>
        <w:t xml:space="preserve"> reactions including anaphylaxis,</w:t>
      </w:r>
      <w:r w:rsidR="00897706">
        <w:rPr>
          <w:rFonts w:ascii="Arial" w:eastAsia="Times New Roman" w:hAnsi="Arial" w:cs="Arial"/>
          <w:lang w:val="en-AU"/>
        </w:rPr>
        <w:t xml:space="preserve"> </w:t>
      </w:r>
      <w:r w:rsidRPr="00EF74CB">
        <w:rPr>
          <w:rFonts w:ascii="Arial" w:eastAsia="Times New Roman" w:hAnsi="Arial" w:cs="Arial"/>
          <w:lang w:val="en-AU"/>
        </w:rPr>
        <w:t xml:space="preserve">angioedema, and </w:t>
      </w:r>
      <w:r w:rsidR="008B2B03">
        <w:rPr>
          <w:rFonts w:ascii="Arial" w:eastAsia="Times New Roman" w:hAnsi="Arial" w:cs="Arial"/>
          <w:lang w:val="en-AU"/>
        </w:rPr>
        <w:t>severe cutaneous adverse reactions</w:t>
      </w:r>
      <w:r w:rsidRPr="00EF74CB">
        <w:rPr>
          <w:rFonts w:ascii="Arial" w:eastAsia="Times New Roman" w:hAnsi="Arial" w:cs="Arial"/>
          <w:lang w:val="en-AU"/>
        </w:rPr>
        <w:t xml:space="preserve"> including Stevens-Johnson syndrome; acute pancreatitis; </w:t>
      </w:r>
      <w:r w:rsidR="000239C8" w:rsidRPr="00EF74CB">
        <w:rPr>
          <w:rFonts w:ascii="Arial" w:eastAsia="Times New Roman" w:hAnsi="Arial" w:cs="Arial"/>
          <w:lang w:val="en-AU"/>
        </w:rPr>
        <w:t>hepatic dysfunction including hepatic failure</w:t>
      </w:r>
      <w:r w:rsidRPr="00EF74CB">
        <w:rPr>
          <w:rFonts w:ascii="Arial" w:eastAsia="Times New Roman" w:hAnsi="Arial" w:cs="Arial"/>
          <w:lang w:val="en-AU"/>
        </w:rPr>
        <w:t>.</w:t>
      </w:r>
    </w:p>
    <w:p w:rsidR="00386721" w:rsidRPr="00EF74CB" w:rsidRDefault="00386721" w:rsidP="00132678">
      <w:pPr>
        <w:spacing w:after="240" w:line="240" w:lineRule="auto"/>
        <w:jc w:val="both"/>
        <w:rPr>
          <w:rFonts w:ascii="Arial" w:eastAsia="Times New Roman" w:hAnsi="Arial" w:cs="Arial"/>
          <w:u w:val="single"/>
          <w:lang w:val="en-AU"/>
        </w:rPr>
      </w:pPr>
      <w:r w:rsidRPr="00EF74CB">
        <w:rPr>
          <w:rFonts w:ascii="Arial" w:eastAsia="Times New Roman" w:hAnsi="Arial" w:cs="Arial"/>
          <w:u w:val="single"/>
          <w:lang w:val="en-AU"/>
        </w:rPr>
        <w:t>Description of selected adverse reactions</w:t>
      </w:r>
    </w:p>
    <w:p w:rsidR="00386721" w:rsidRPr="00EF74CB" w:rsidRDefault="00386721" w:rsidP="00DA4404">
      <w:pPr>
        <w:spacing w:after="240" w:line="240" w:lineRule="auto"/>
        <w:jc w:val="both"/>
        <w:rPr>
          <w:rFonts w:ascii="Arial" w:eastAsia="Times New Roman" w:hAnsi="Arial" w:cs="Arial"/>
          <w:i/>
          <w:lang w:val="en-AU"/>
        </w:rPr>
      </w:pPr>
      <w:r w:rsidRPr="00EF74CB">
        <w:rPr>
          <w:rFonts w:ascii="Arial" w:eastAsia="Times New Roman" w:hAnsi="Arial" w:cs="Arial"/>
          <w:i/>
          <w:lang w:val="en-AU"/>
        </w:rPr>
        <w:t>Hypoglycaemia</w:t>
      </w:r>
    </w:p>
    <w:p w:rsidR="00386721" w:rsidRPr="00EF74CB" w:rsidRDefault="00386721" w:rsidP="00132678">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a pooled analysis of the data from 12 studies, the </w:t>
      </w:r>
      <w:bookmarkStart w:id="2" w:name="OLE_LINK2"/>
      <w:bookmarkStart w:id="3" w:name="OLE_LINK3"/>
      <w:r w:rsidRPr="00EF74CB">
        <w:rPr>
          <w:rFonts w:ascii="Arial" w:eastAsia="Times New Roman" w:hAnsi="Arial" w:cs="Arial"/>
          <w:lang w:val="en-AU"/>
        </w:rPr>
        <w:t xml:space="preserve">overall incidence of any episode of hypoglycaemia was lower in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25 mg than in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12.5 mg, active control or placebo.  The majority of these episodes were mild to moderate in intensity.</w:t>
      </w:r>
      <w:bookmarkEnd w:id="2"/>
      <w:bookmarkEnd w:id="3"/>
      <w:r w:rsidRPr="00EF74CB">
        <w:rPr>
          <w:rFonts w:ascii="Arial" w:eastAsia="Times New Roman" w:hAnsi="Arial" w:cs="Arial"/>
          <w:lang w:val="en-AU"/>
        </w:rPr>
        <w:t xml:space="preserve">  The overall incidence of episodes of severe hypoglycaemia was comparable in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25 mg or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12.5 mg, and lower than the incidence in patients treated with active control or placebo.  Therefore, based on this analysis, </w:t>
      </w:r>
      <w:r w:rsidR="009C3B58" w:rsidRPr="00EF74CB">
        <w:rPr>
          <w:rFonts w:ascii="Arial" w:eastAsia="Times New Roman" w:hAnsi="Arial" w:cs="Arial"/>
          <w:lang w:val="en-AU"/>
        </w:rPr>
        <w:t>NESINA</w:t>
      </w:r>
      <w:r w:rsidRPr="00EF74CB">
        <w:rPr>
          <w:rFonts w:ascii="Arial" w:eastAsia="Times New Roman" w:hAnsi="Arial" w:cs="Arial"/>
          <w:lang w:val="en-AU"/>
        </w:rPr>
        <w:t xml:space="preserve"> was considered to be risk neutral with respect to hypoglycaemia (see </w:t>
      </w:r>
      <w:r w:rsidR="0051531C" w:rsidRPr="00EF74CB">
        <w:rPr>
          <w:rFonts w:ascii="Arial" w:eastAsia="Times New Roman" w:hAnsi="Arial" w:cs="Arial"/>
          <w:lang w:val="en-AU"/>
        </w:rPr>
        <w:t>PRECAUTIONS</w:t>
      </w:r>
      <w:r w:rsidRPr="00EF74CB">
        <w:rPr>
          <w:rFonts w:ascii="Arial" w:eastAsia="Times New Roman" w:hAnsi="Arial" w:cs="Arial"/>
          <w:lang w:val="en-AU"/>
        </w:rPr>
        <w:t xml:space="preserve">). </w:t>
      </w:r>
    </w:p>
    <w:p w:rsidR="00386721" w:rsidRPr="00EF74CB" w:rsidRDefault="00386721" w:rsidP="00132678">
      <w:pPr>
        <w:spacing w:after="240" w:line="240" w:lineRule="auto"/>
        <w:jc w:val="both"/>
        <w:rPr>
          <w:rFonts w:ascii="Arial" w:eastAsia="Times New Roman" w:hAnsi="Arial" w:cs="Arial"/>
          <w:lang w:val="en-AU"/>
        </w:rPr>
      </w:pPr>
      <w:r w:rsidRPr="00EF74CB">
        <w:rPr>
          <w:rFonts w:ascii="Arial" w:eastAsia="Times New Roman" w:hAnsi="Arial" w:cs="Arial"/>
          <w:lang w:val="en-AU"/>
        </w:rPr>
        <w:t>Elderly patients (</w:t>
      </w:r>
      <w:r w:rsidR="00C01666" w:rsidRPr="00EF74CB">
        <w:rPr>
          <w:rFonts w:ascii="Arial" w:eastAsia="Times New Roman" w:hAnsi="Arial" w:cs="Arial"/>
          <w:lang w:val="en-AU"/>
        </w:rPr>
        <w:t xml:space="preserve">≥ </w:t>
      </w:r>
      <w:r w:rsidRPr="00EF74CB">
        <w:rPr>
          <w:rFonts w:ascii="Arial" w:eastAsia="Times New Roman" w:hAnsi="Arial" w:cs="Arial"/>
          <w:lang w:val="en-AU"/>
        </w:rPr>
        <w:t xml:space="preserve">65 years old) with type 2 diabetes mellitus are considered more susceptible to episodes of hypoglycaemia than patients &lt; 65 years old.  In a pooled analysis of the data from 12 studies, the overall incidence of any episode of hypoglycaemia was similar in patients </w:t>
      </w:r>
      <w:r w:rsidR="00C01666" w:rsidRPr="00EF74CB">
        <w:rPr>
          <w:rFonts w:ascii="Arial" w:eastAsia="Times New Roman" w:hAnsi="Arial" w:cs="Arial"/>
          <w:lang w:val="en-AU"/>
        </w:rPr>
        <w:t xml:space="preserve">≥ </w:t>
      </w:r>
      <w:r w:rsidRPr="00EF74CB">
        <w:rPr>
          <w:rFonts w:ascii="Arial" w:eastAsia="Times New Roman" w:hAnsi="Arial" w:cs="Arial"/>
          <w:lang w:val="en-AU"/>
        </w:rPr>
        <w:t xml:space="preserve">65 years old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25 mg  (3.8%) to that in patients &lt; 65 years old (3.6%).</w:t>
      </w:r>
    </w:p>
    <w:p w:rsidR="00386721" w:rsidRPr="00EF74CB" w:rsidRDefault="00386721" w:rsidP="00DA4404">
      <w:pPr>
        <w:spacing w:after="240" w:line="240" w:lineRule="auto"/>
        <w:jc w:val="both"/>
        <w:rPr>
          <w:rFonts w:ascii="Arial" w:eastAsia="Times New Roman" w:hAnsi="Arial" w:cs="Arial"/>
          <w:i/>
          <w:lang w:val="en-AU"/>
        </w:rPr>
      </w:pPr>
      <w:r w:rsidRPr="00EF74CB">
        <w:rPr>
          <w:rFonts w:ascii="Arial" w:eastAsia="Times New Roman" w:hAnsi="Arial" w:cs="Arial"/>
          <w:i/>
          <w:lang w:val="en-AU"/>
        </w:rPr>
        <w:t>Pancreatitis</w:t>
      </w:r>
    </w:p>
    <w:p w:rsidR="00386721" w:rsidRPr="00EF74CB" w:rsidRDefault="00386721" w:rsidP="00132678">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a pooled analysis of the data from 13 studies, the overall rates of pancreatitis reports in patients treated with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 xml:space="preserve">25 mg, </w:t>
      </w:r>
      <w:r w:rsidR="009C3B58" w:rsidRPr="00EF74CB">
        <w:rPr>
          <w:rFonts w:ascii="Arial" w:eastAsia="Times New Roman" w:hAnsi="Arial" w:cs="Arial"/>
          <w:lang w:val="en-AU"/>
        </w:rPr>
        <w:t>NESINA</w:t>
      </w:r>
      <w:r w:rsidR="00F6511A" w:rsidRPr="00EF74CB">
        <w:rPr>
          <w:rFonts w:ascii="Arial" w:eastAsia="Times New Roman" w:hAnsi="Arial" w:cs="Arial"/>
          <w:lang w:val="en-AU"/>
        </w:rPr>
        <w:t xml:space="preserve"> </w:t>
      </w:r>
      <w:r w:rsidRPr="00EF74CB">
        <w:rPr>
          <w:rFonts w:ascii="Arial" w:eastAsia="Times New Roman" w:hAnsi="Arial" w:cs="Arial"/>
          <w:lang w:val="en-AU"/>
        </w:rPr>
        <w:t>12.5 mg, active control or placebo were 3, 1, 1 or 0 events per 1000 patient</w:t>
      </w:r>
      <w:r w:rsidRPr="00EF74CB">
        <w:rPr>
          <w:rFonts w:ascii="Arial" w:eastAsia="Times New Roman" w:hAnsi="Arial" w:cs="Arial"/>
          <w:lang w:val="en-AU"/>
        </w:rPr>
        <w:noBreakHyphen/>
        <w:t>years, respectively.  Published epidemiological data have shown that patients with type 2 diabetes mellitus have an increased incidence of acute pancreatitis (0.54 to 4.22 per 1000 patient</w:t>
      </w:r>
      <w:r w:rsidRPr="00EF74CB">
        <w:rPr>
          <w:rFonts w:ascii="Arial" w:eastAsia="Times New Roman" w:hAnsi="Arial" w:cs="Arial"/>
          <w:lang w:val="en-AU"/>
        </w:rPr>
        <w:noBreakHyphen/>
        <w:t>years) compared to patients without type 2 diabetes mellitus (0.3 to 1.49 per 1000 patient-years).</w:t>
      </w:r>
    </w:p>
    <w:p w:rsidR="00386721" w:rsidRPr="0057064A" w:rsidRDefault="006029B6" w:rsidP="004408B0">
      <w:pPr>
        <w:rPr>
          <w:rFonts w:ascii="Arial" w:eastAsia="Times New Roman" w:hAnsi="Arial" w:cs="Arial"/>
          <w:i/>
          <w:lang w:val="en-AU"/>
        </w:rPr>
      </w:pPr>
      <w:r w:rsidRPr="0057064A">
        <w:rPr>
          <w:rFonts w:ascii="Arial" w:eastAsia="Times New Roman" w:hAnsi="Arial" w:cs="Arial"/>
          <w:i/>
          <w:lang w:val="en-AU"/>
        </w:rPr>
        <w:t xml:space="preserve">Cardiovascular </w:t>
      </w:r>
      <w:r w:rsidR="0057064A">
        <w:rPr>
          <w:rFonts w:ascii="Arial" w:eastAsia="Times New Roman" w:hAnsi="Arial" w:cs="Arial"/>
          <w:i/>
          <w:lang w:val="en-AU"/>
        </w:rPr>
        <w:t>Outcomes</w:t>
      </w:r>
    </w:p>
    <w:p w:rsidR="0057064A" w:rsidRPr="0057064A" w:rsidRDefault="0057064A" w:rsidP="0057064A">
      <w:pPr>
        <w:spacing w:after="240" w:line="240" w:lineRule="auto"/>
        <w:jc w:val="both"/>
        <w:rPr>
          <w:rFonts w:ascii="Arial" w:eastAsia="Times New Roman" w:hAnsi="Arial" w:cs="Arial"/>
          <w:lang w:val="en-AU"/>
        </w:rPr>
      </w:pPr>
      <w:r w:rsidRPr="0057064A">
        <w:rPr>
          <w:rFonts w:ascii="Arial" w:eastAsia="Times New Roman" w:hAnsi="Arial" w:cs="Arial"/>
          <w:lang w:val="en-AU"/>
        </w:rPr>
        <w:t xml:space="preserve">In a meta-analysis of independently adjudicated cardiovascular events from 13 phase II/III clinical studies involving 9450 patients with type 2 diabetes, the occurrence of MACE (CV death, nonfatal MI, nonfatal stroke) was similar in </w:t>
      </w:r>
      <w:r w:rsidR="00536ED0">
        <w:rPr>
          <w:rFonts w:ascii="Arial" w:eastAsia="Times New Roman" w:hAnsi="Arial" w:cs="Arial"/>
          <w:lang w:val="en-AU"/>
        </w:rPr>
        <w:t xml:space="preserve">the </w:t>
      </w:r>
      <w:r w:rsidRPr="0057064A">
        <w:rPr>
          <w:rFonts w:ascii="Arial" w:eastAsia="Times New Roman" w:hAnsi="Arial" w:cs="Arial"/>
          <w:lang w:val="en-AU"/>
        </w:rPr>
        <w:t xml:space="preserve">alogliptin grouping compared to all comparators for the composite endpoint. </w:t>
      </w:r>
    </w:p>
    <w:p w:rsidR="0057064A" w:rsidRDefault="0057064A" w:rsidP="0057064A">
      <w:pPr>
        <w:spacing w:after="240" w:line="240" w:lineRule="auto"/>
        <w:jc w:val="both"/>
        <w:rPr>
          <w:rFonts w:ascii="Arial" w:eastAsia="Times New Roman" w:hAnsi="Arial" w:cs="Arial"/>
          <w:lang w:val="en-AU"/>
        </w:rPr>
      </w:pPr>
      <w:r w:rsidRPr="0057064A">
        <w:rPr>
          <w:rFonts w:ascii="Arial" w:eastAsia="Times New Roman" w:hAnsi="Arial" w:cs="Arial"/>
          <w:lang w:val="en-AU"/>
        </w:rPr>
        <w:t>The CV risk of alogliptin is also being assessed in Study 402 (EXAMINE), a multicentre, randomised, double blind, placebo controlled study to evaluate CV outcomes following treatment with alogliptin in addition to standard of care in high risk patients with T2DM and ACS (within 15 to 90 days prior to randomisation). The results, once available, are expected to provid</w:t>
      </w:r>
      <w:r>
        <w:rPr>
          <w:rFonts w:ascii="Arial" w:eastAsia="Times New Roman" w:hAnsi="Arial" w:cs="Arial"/>
          <w:lang w:val="en-AU"/>
        </w:rPr>
        <w:t>e a suitable measure of CV risk</w:t>
      </w:r>
      <w:r w:rsidRPr="0057064A">
        <w:rPr>
          <w:rFonts w:ascii="Arial" w:eastAsia="Times New Roman" w:hAnsi="Arial" w:cs="Arial"/>
          <w:lang w:val="en-AU"/>
        </w:rPr>
        <w:t xml:space="preserve"> associated with alogliptin use. </w:t>
      </w:r>
    </w:p>
    <w:p w:rsidR="004120F3" w:rsidRDefault="004120F3">
      <w:pPr>
        <w:rPr>
          <w:rFonts w:ascii="Arial" w:hAnsi="Arial" w:cs="Arial"/>
          <w:b/>
          <w:lang w:val="en-AU"/>
        </w:rPr>
      </w:pPr>
      <w:r>
        <w:rPr>
          <w:rFonts w:ascii="Arial" w:hAnsi="Arial" w:cs="Arial"/>
          <w:b/>
          <w:lang w:val="en-AU"/>
        </w:rPr>
        <w:br w:type="page"/>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DOSAGE AND ADMINISTRATION</w:t>
      </w:r>
    </w:p>
    <w:p w:rsidR="001654DC" w:rsidRPr="00EF74CB" w:rsidRDefault="009C3B58" w:rsidP="001654DC">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1654DC" w:rsidRPr="00EF74CB">
        <w:rPr>
          <w:rFonts w:ascii="Arial" w:eastAsia="Times New Roman" w:hAnsi="Arial" w:cs="Arial"/>
          <w:lang w:val="en-AU"/>
        </w:rPr>
        <w:t xml:space="preserve"> should be taken orally once daily with or without food.  The tablets should be swallowed whole with water.  </w:t>
      </w:r>
    </w:p>
    <w:p w:rsidR="001654DC" w:rsidRPr="00EF74CB" w:rsidRDefault="001654DC" w:rsidP="001654D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If a dose is missed, it should be taken as soon as the patient remembers.  A double dose should not be taken on the same day. </w:t>
      </w:r>
    </w:p>
    <w:p w:rsidR="00F7692B" w:rsidRPr="00EF74CB" w:rsidRDefault="00F7692B" w:rsidP="00F7692B">
      <w:pPr>
        <w:spacing w:after="240" w:line="240" w:lineRule="auto"/>
        <w:jc w:val="both"/>
        <w:rPr>
          <w:rFonts w:ascii="Arial" w:eastAsia="Times New Roman" w:hAnsi="Arial" w:cs="Arial"/>
          <w:i/>
          <w:lang w:val="en-AU"/>
        </w:rPr>
      </w:pPr>
      <w:r w:rsidRPr="00EF74CB">
        <w:rPr>
          <w:rFonts w:ascii="Arial" w:eastAsia="Times New Roman" w:hAnsi="Arial" w:cs="Arial"/>
          <w:i/>
          <w:lang w:val="en-AU"/>
        </w:rPr>
        <w:t>Adults (</w:t>
      </w:r>
      <w:r w:rsidR="002211E9" w:rsidRPr="00EF74CB">
        <w:rPr>
          <w:rFonts w:ascii="Arial" w:eastAsia="Times New Roman" w:hAnsi="Arial" w:cs="Arial"/>
          <w:i/>
          <w:lang w:val="en-AU"/>
        </w:rPr>
        <w:t>≥</w:t>
      </w:r>
      <w:r w:rsidRPr="00EF74CB">
        <w:rPr>
          <w:rFonts w:ascii="Arial" w:eastAsia="Times New Roman" w:hAnsi="Arial" w:cs="Arial"/>
          <w:i/>
          <w:lang w:val="en-AU"/>
        </w:rPr>
        <w:t> 18 years old)</w:t>
      </w:r>
    </w:p>
    <w:p w:rsidR="00F7692B" w:rsidRPr="00EF74CB" w:rsidRDefault="00C577CA" w:rsidP="00F7692B">
      <w:pPr>
        <w:spacing w:after="240" w:line="240" w:lineRule="auto"/>
        <w:jc w:val="both"/>
        <w:rPr>
          <w:rFonts w:ascii="Arial" w:eastAsia="Times New Roman" w:hAnsi="Arial" w:cs="Arial"/>
          <w:lang w:val="en-AU"/>
        </w:rPr>
      </w:pPr>
      <w:r w:rsidRPr="00BB26AE">
        <w:rPr>
          <w:rFonts w:ascii="Arial" w:eastAsia="Times New Roman" w:hAnsi="Arial" w:cs="Arial"/>
          <w:lang w:val="en-AU"/>
        </w:rPr>
        <w:t>The recommended dose of NESINA is 25 mg once daily.</w:t>
      </w:r>
      <w:r w:rsidR="00F7692B" w:rsidRPr="00EF74CB">
        <w:rPr>
          <w:rFonts w:ascii="Arial" w:eastAsia="Times New Roman" w:hAnsi="Arial" w:cs="Arial"/>
          <w:lang w:val="en-AU"/>
        </w:rPr>
        <w:t xml:space="preserve"> </w:t>
      </w:r>
      <w:r w:rsidR="00771709">
        <w:rPr>
          <w:rFonts w:ascii="Arial" w:eastAsia="Times New Roman" w:hAnsi="Arial" w:cs="Arial"/>
          <w:lang w:val="en-AU"/>
        </w:rPr>
        <w:t xml:space="preserve"> </w:t>
      </w:r>
      <w:r w:rsidR="00A92E05">
        <w:rPr>
          <w:rFonts w:ascii="Arial" w:eastAsia="Times New Roman" w:hAnsi="Arial" w:cs="Arial"/>
          <w:lang w:val="en-AU"/>
        </w:rPr>
        <w:t>Nesina is not indicated for initial combination therapy.</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When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Pr="00EF74CB">
        <w:rPr>
          <w:rFonts w:ascii="Arial" w:eastAsia="Times New Roman" w:hAnsi="Arial" w:cs="Arial"/>
          <w:lang w:val="en-AU"/>
        </w:rPr>
        <w:t xml:space="preserve">is used in combination with metformin and/or a thiazolidinedione, the dose of metformin and/or the thiazolidinedione should be maintained, and </w:t>
      </w:r>
      <w:r w:rsidR="009C3B58" w:rsidRPr="00EF74CB">
        <w:rPr>
          <w:rFonts w:ascii="Arial" w:eastAsia="Times New Roman" w:hAnsi="Arial" w:cs="Arial"/>
          <w:lang w:val="en-AU"/>
        </w:rPr>
        <w:t>NESINA</w:t>
      </w:r>
      <w:r w:rsidRPr="00EF74CB">
        <w:rPr>
          <w:rFonts w:ascii="Arial" w:eastAsia="Times New Roman" w:hAnsi="Arial" w:cs="Arial"/>
          <w:lang w:val="en-AU"/>
        </w:rPr>
        <w:t xml:space="preserve"> administered concomitantly.</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When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Pr="00EF74CB">
        <w:rPr>
          <w:rFonts w:ascii="Arial" w:eastAsia="Times New Roman" w:hAnsi="Arial" w:cs="Arial"/>
          <w:lang w:val="en-AU"/>
        </w:rPr>
        <w:t>is used in combination with insulin</w:t>
      </w:r>
      <w:r w:rsidR="00B21F8F" w:rsidRPr="00EF74CB">
        <w:rPr>
          <w:rFonts w:ascii="Arial" w:eastAsia="Times New Roman" w:hAnsi="Arial" w:cs="Arial"/>
          <w:lang w:val="en-AU"/>
        </w:rPr>
        <w:t xml:space="preserve"> or </w:t>
      </w:r>
      <w:r w:rsidR="0009660B" w:rsidRPr="00EF74CB">
        <w:rPr>
          <w:rFonts w:ascii="Arial" w:eastAsia="Times New Roman" w:hAnsi="Arial" w:cs="Arial"/>
          <w:lang w:val="en-AU"/>
        </w:rPr>
        <w:t xml:space="preserve">an </w:t>
      </w:r>
      <w:r w:rsidR="00B21F8F" w:rsidRPr="00EF74CB">
        <w:rPr>
          <w:rFonts w:ascii="Arial" w:eastAsia="Times New Roman" w:hAnsi="Arial" w:cs="Arial"/>
          <w:lang w:val="en-AU"/>
        </w:rPr>
        <w:t>insulin secretagogue</w:t>
      </w:r>
      <w:r w:rsidR="000D5AC5">
        <w:rPr>
          <w:rFonts w:ascii="Arial" w:eastAsia="Times New Roman" w:hAnsi="Arial" w:cs="Arial"/>
          <w:lang w:val="en-AU"/>
        </w:rPr>
        <w:t xml:space="preserve"> </w:t>
      </w:r>
      <w:r w:rsidR="000D5AC5" w:rsidRPr="000D5AC5">
        <w:rPr>
          <w:rFonts w:ascii="Arial" w:eastAsia="Times New Roman" w:hAnsi="Arial" w:cs="Arial"/>
          <w:lang w:val="en-AU"/>
        </w:rPr>
        <w:t>such as a sulfonylurea</w:t>
      </w:r>
      <w:r w:rsidRPr="00EF74CB">
        <w:rPr>
          <w:rFonts w:ascii="Arial" w:eastAsia="Times New Roman" w:hAnsi="Arial" w:cs="Arial"/>
          <w:lang w:val="en-AU"/>
        </w:rPr>
        <w:t xml:space="preserve">, a lower dose of insulin </w:t>
      </w:r>
      <w:r w:rsidR="00B21F8F" w:rsidRPr="00EF74CB">
        <w:rPr>
          <w:rFonts w:ascii="Arial" w:eastAsia="Times New Roman" w:hAnsi="Arial" w:cs="Arial"/>
          <w:lang w:val="en-AU"/>
        </w:rPr>
        <w:t xml:space="preserve">or insulin secretagogue </w:t>
      </w:r>
      <w:r w:rsidRPr="00EF74CB">
        <w:rPr>
          <w:rFonts w:ascii="Arial" w:eastAsia="Times New Roman" w:hAnsi="Arial" w:cs="Arial"/>
          <w:lang w:val="en-AU"/>
        </w:rPr>
        <w:t xml:space="preserve">may be considered to </w:t>
      </w:r>
      <w:r w:rsidR="00B21F8F" w:rsidRPr="00EF74CB">
        <w:rPr>
          <w:rFonts w:ascii="Arial" w:eastAsia="Times New Roman" w:hAnsi="Arial" w:cs="Arial"/>
          <w:lang w:val="en-AU"/>
        </w:rPr>
        <w:t xml:space="preserve">minimise </w:t>
      </w:r>
      <w:r w:rsidRPr="00EF74CB">
        <w:rPr>
          <w:rFonts w:ascii="Arial" w:eastAsia="Times New Roman" w:hAnsi="Arial" w:cs="Arial"/>
          <w:lang w:val="en-AU"/>
        </w:rPr>
        <w:t>the risk of hypoglycaemia.</w:t>
      </w:r>
      <w:r w:rsidR="000D5AC5">
        <w:rPr>
          <w:rFonts w:ascii="Arial" w:eastAsia="Times New Roman" w:hAnsi="Arial" w:cs="Arial"/>
          <w:lang w:val="en-AU"/>
        </w:rPr>
        <w:t xml:space="preserve"> </w:t>
      </w:r>
      <w:r w:rsidR="000D5AC5" w:rsidRPr="000D5AC5">
        <w:rPr>
          <w:rFonts w:ascii="Arial" w:eastAsia="Times New Roman" w:hAnsi="Arial" w:cs="Arial"/>
          <w:lang w:val="en-AU"/>
        </w:rPr>
        <w:t>The combination of insulin and alogliptin has not been specifically studied in T2DM patients with moderate or severe renal failure. Caution is therefore required regarding risk of hypoglycaemia in this circumstance.</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safety and efficacy of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Pr="00EF74CB">
        <w:rPr>
          <w:rFonts w:ascii="Arial" w:eastAsia="Times New Roman" w:hAnsi="Arial" w:cs="Arial"/>
          <w:lang w:val="en-AU"/>
        </w:rPr>
        <w:t>when used as triple therapy with metformin and a sulphonylurea have not been established.</w:t>
      </w:r>
    </w:p>
    <w:p w:rsidR="00F7692B" w:rsidRPr="00EF74CB" w:rsidRDefault="00F7692B" w:rsidP="00F7692B">
      <w:pPr>
        <w:spacing w:after="240" w:line="240" w:lineRule="auto"/>
        <w:jc w:val="both"/>
        <w:rPr>
          <w:rFonts w:ascii="Arial" w:eastAsia="Times New Roman" w:hAnsi="Arial" w:cs="Arial"/>
          <w:u w:val="single"/>
          <w:lang w:val="en-AU"/>
        </w:rPr>
      </w:pPr>
      <w:r w:rsidRPr="00EF74CB">
        <w:rPr>
          <w:rFonts w:ascii="Arial" w:eastAsia="Times New Roman" w:hAnsi="Arial" w:cs="Arial"/>
          <w:u w:val="single"/>
          <w:lang w:val="en-AU"/>
        </w:rPr>
        <w:t>Special populations</w:t>
      </w:r>
    </w:p>
    <w:p w:rsidR="00F7692B" w:rsidRPr="00EF74CB" w:rsidRDefault="00F7692B" w:rsidP="00F7692B">
      <w:pPr>
        <w:spacing w:after="240" w:line="240" w:lineRule="auto"/>
        <w:jc w:val="both"/>
        <w:rPr>
          <w:rFonts w:ascii="Arial" w:eastAsia="Times New Roman" w:hAnsi="Arial" w:cs="Arial"/>
          <w:i/>
          <w:lang w:val="en-AU"/>
        </w:rPr>
      </w:pPr>
      <w:r w:rsidRPr="00EF74CB">
        <w:rPr>
          <w:rFonts w:ascii="Arial" w:eastAsia="Times New Roman" w:hAnsi="Arial" w:cs="Arial"/>
          <w:i/>
          <w:lang w:val="en-AU"/>
        </w:rPr>
        <w:t>Renal impairment</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For patients with mild renal impairment</w:t>
      </w:r>
      <w:r w:rsidR="006346E8">
        <w:rPr>
          <w:rFonts w:ascii="Arial" w:eastAsia="Times New Roman" w:hAnsi="Arial" w:cs="Arial"/>
          <w:lang w:val="en-AU"/>
        </w:rPr>
        <w:t xml:space="preserve"> </w:t>
      </w:r>
      <w:r w:rsidR="006346E8" w:rsidRPr="006346E8">
        <w:rPr>
          <w:rFonts w:ascii="Arial" w:eastAsia="Times New Roman" w:hAnsi="Arial" w:cs="Arial"/>
          <w:lang w:val="en-AU"/>
        </w:rPr>
        <w:t>(creatinine clearance &gt;50 to ≤80 mL/min)</w:t>
      </w:r>
      <w:r w:rsidRPr="00EF74CB">
        <w:rPr>
          <w:rFonts w:ascii="Arial" w:eastAsia="Times New Roman" w:hAnsi="Arial" w:cs="Arial"/>
          <w:lang w:val="en-AU"/>
        </w:rPr>
        <w:t xml:space="preserve">, no dose adjustment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is necessary.</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For patients with moderate renal impairment</w:t>
      </w:r>
      <w:r w:rsidR="006346E8">
        <w:rPr>
          <w:rFonts w:ascii="Arial" w:eastAsia="Times New Roman" w:hAnsi="Arial" w:cs="Arial"/>
          <w:lang w:val="en-AU"/>
        </w:rPr>
        <w:t xml:space="preserve"> (</w:t>
      </w:r>
      <w:r w:rsidR="006346E8" w:rsidRPr="006346E8">
        <w:rPr>
          <w:rFonts w:ascii="Arial" w:eastAsia="Times New Roman" w:hAnsi="Arial" w:cs="Arial"/>
          <w:lang w:val="en-AU"/>
        </w:rPr>
        <w:t>creatinine clearance ≥30 to ≤50 mL/min</w:t>
      </w:r>
      <w:r w:rsidR="006346E8">
        <w:rPr>
          <w:rFonts w:ascii="Arial" w:eastAsia="Times New Roman" w:hAnsi="Arial" w:cs="Arial"/>
          <w:lang w:val="en-AU"/>
        </w:rPr>
        <w:t>)</w:t>
      </w:r>
      <w:r w:rsidRPr="00EF74CB">
        <w:rPr>
          <w:rFonts w:ascii="Arial" w:eastAsia="Times New Roman" w:hAnsi="Arial" w:cs="Arial"/>
          <w:lang w:val="en-AU"/>
        </w:rPr>
        <w:t xml:space="preserve">, the recommended dose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w:t>
      </w:r>
      <w:r w:rsidR="006346E8">
        <w:rPr>
          <w:rFonts w:ascii="Arial" w:eastAsia="Times New Roman" w:hAnsi="Arial" w:cs="Arial"/>
          <w:lang w:val="en-AU"/>
        </w:rPr>
        <w:t>is</w:t>
      </w:r>
      <w:r w:rsidR="009B604C">
        <w:rPr>
          <w:rFonts w:ascii="Arial" w:eastAsia="Times New Roman" w:hAnsi="Arial" w:cs="Arial"/>
          <w:lang w:val="en-AU"/>
        </w:rPr>
        <w:t xml:space="preserve"> </w:t>
      </w:r>
      <w:r w:rsidRPr="00EF74CB">
        <w:rPr>
          <w:rFonts w:ascii="Arial" w:eastAsia="Times New Roman" w:hAnsi="Arial" w:cs="Arial"/>
          <w:lang w:val="en-AU"/>
        </w:rPr>
        <w:t>12.5 mg once daily.</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For patients with severe renal impairment</w:t>
      </w:r>
      <w:r w:rsidR="006346E8">
        <w:rPr>
          <w:rFonts w:ascii="Arial" w:eastAsia="Times New Roman" w:hAnsi="Arial" w:cs="Arial"/>
          <w:lang w:val="en-AU"/>
        </w:rPr>
        <w:t xml:space="preserve"> (</w:t>
      </w:r>
      <w:r w:rsidR="006346E8" w:rsidRPr="006346E8">
        <w:rPr>
          <w:rFonts w:ascii="Arial" w:eastAsia="Times New Roman" w:hAnsi="Arial" w:cs="Arial"/>
          <w:lang w:val="en-AU"/>
        </w:rPr>
        <w:t>creatinine clearance &lt;30 mL/min</w:t>
      </w:r>
      <w:r w:rsidR="006346E8">
        <w:rPr>
          <w:rFonts w:ascii="Arial" w:eastAsia="Times New Roman" w:hAnsi="Arial" w:cs="Arial"/>
          <w:lang w:val="en-AU"/>
        </w:rPr>
        <w:t>)</w:t>
      </w:r>
      <w:r w:rsidRPr="00EF74CB">
        <w:rPr>
          <w:rFonts w:ascii="Arial" w:eastAsia="Times New Roman" w:hAnsi="Arial" w:cs="Arial"/>
          <w:lang w:val="en-AU"/>
        </w:rPr>
        <w:t xml:space="preserve"> or End-Stage Renal Disease (ESRD) requiring dialysis, the recommended dose of </w:t>
      </w:r>
      <w:r w:rsidR="009C3B58" w:rsidRPr="00EF74CB">
        <w:rPr>
          <w:rFonts w:ascii="Arial" w:eastAsia="Times New Roman" w:hAnsi="Arial" w:cs="Arial"/>
          <w:lang w:val="en-AU"/>
        </w:rPr>
        <w:t>NESINA</w:t>
      </w:r>
      <w:r w:rsidR="00F6511A" w:rsidRPr="00EF74CB" w:rsidDel="00F6511A">
        <w:rPr>
          <w:rFonts w:ascii="Arial" w:eastAsia="Times New Roman" w:hAnsi="Arial" w:cs="Arial"/>
          <w:lang w:val="en-AU"/>
        </w:rPr>
        <w:t xml:space="preserve"> </w:t>
      </w:r>
      <w:r w:rsidR="006346E8">
        <w:rPr>
          <w:rFonts w:ascii="Arial" w:eastAsia="Times New Roman" w:hAnsi="Arial" w:cs="Arial"/>
          <w:lang w:val="en-AU"/>
        </w:rPr>
        <w:t xml:space="preserve">is </w:t>
      </w:r>
      <w:r w:rsidRPr="00EF74CB">
        <w:rPr>
          <w:rFonts w:ascii="Arial" w:eastAsia="Times New Roman" w:hAnsi="Arial" w:cs="Arial"/>
          <w:lang w:val="en-AU"/>
        </w:rPr>
        <w:t xml:space="preserve">6.25 mg once daily.  </w:t>
      </w:r>
      <w:r w:rsidR="00C577CA" w:rsidRPr="00194B89">
        <w:rPr>
          <w:rFonts w:ascii="Arial" w:eastAsia="Times New Roman" w:hAnsi="Arial" w:cs="Arial"/>
          <w:lang w:val="en-AU"/>
        </w:rPr>
        <w:t>NESINA may be administered without regard to the timing of dialysis.</w:t>
      </w:r>
      <w:r w:rsidRPr="00EF74CB">
        <w:rPr>
          <w:rFonts w:ascii="Arial" w:eastAsia="Times New Roman" w:hAnsi="Arial" w:cs="Arial"/>
          <w:lang w:val="en-AU"/>
        </w:rPr>
        <w:t xml:space="preserve">  However, experience in patients with severe renal impairment or ESRD requiring dialysis is limited and </w:t>
      </w:r>
      <w:r w:rsidR="009C3B58" w:rsidRPr="00EF74CB">
        <w:rPr>
          <w:rFonts w:ascii="Arial" w:eastAsia="Times New Roman" w:hAnsi="Arial" w:cs="Arial"/>
          <w:lang w:val="en-AU"/>
        </w:rPr>
        <w:t>NESINA</w:t>
      </w:r>
      <w:r w:rsidRPr="00EF74CB">
        <w:rPr>
          <w:rFonts w:ascii="Arial" w:eastAsia="Times New Roman" w:hAnsi="Arial" w:cs="Arial"/>
          <w:lang w:val="en-AU"/>
        </w:rPr>
        <w:t xml:space="preserve"> should be used with caution in such patients.</w:t>
      </w:r>
      <w:r w:rsidR="006346E8">
        <w:rPr>
          <w:rFonts w:ascii="Arial" w:eastAsia="Times New Roman" w:hAnsi="Arial" w:cs="Arial"/>
          <w:lang w:val="en-AU"/>
        </w:rPr>
        <w:t xml:space="preserve"> </w:t>
      </w:r>
      <w:r w:rsidR="006346E8" w:rsidRPr="006346E8">
        <w:rPr>
          <w:rFonts w:ascii="Arial" w:eastAsia="Times New Roman" w:hAnsi="Arial" w:cs="Arial"/>
          <w:lang w:val="en-AU"/>
        </w:rPr>
        <w:t>Alogliptin has not been studied in patients undergoing peritoneal dialysis</w:t>
      </w:r>
      <w:r w:rsidR="00C65B29" w:rsidRPr="00C65B29">
        <w:rPr>
          <w:rFonts w:ascii="Arial" w:eastAsia="Times New Roman" w:hAnsi="Arial" w:cs="Arial"/>
          <w:lang w:val="en-AU"/>
        </w:rPr>
        <w:t xml:space="preserve"> </w:t>
      </w:r>
      <w:r w:rsidR="00C65B29">
        <w:rPr>
          <w:rFonts w:ascii="Arial" w:eastAsia="Times New Roman" w:hAnsi="Arial" w:cs="Arial"/>
          <w:lang w:val="en-AU"/>
        </w:rPr>
        <w:t>(</w:t>
      </w:r>
      <w:r w:rsidR="00B37BC6">
        <w:rPr>
          <w:rFonts w:ascii="Arial" w:eastAsia="Times New Roman" w:hAnsi="Arial" w:cs="Arial"/>
          <w:lang w:val="en-AU"/>
        </w:rPr>
        <w:t xml:space="preserve">see </w:t>
      </w:r>
      <w:r w:rsidR="002C44A0" w:rsidRPr="00EF74CB">
        <w:rPr>
          <w:rFonts w:ascii="Arial" w:eastAsia="Times New Roman" w:hAnsi="Arial" w:cs="Arial"/>
          <w:lang w:val="en-AU"/>
        </w:rPr>
        <w:t>PHA</w:t>
      </w:r>
      <w:r w:rsidR="006E67CF">
        <w:rPr>
          <w:rFonts w:ascii="Arial" w:eastAsia="Times New Roman" w:hAnsi="Arial" w:cs="Arial"/>
          <w:lang w:val="en-AU"/>
        </w:rPr>
        <w:t>R</w:t>
      </w:r>
      <w:r w:rsidR="002C44A0" w:rsidRPr="00EF74CB">
        <w:rPr>
          <w:rFonts w:ascii="Arial" w:eastAsia="Times New Roman" w:hAnsi="Arial" w:cs="Arial"/>
          <w:lang w:val="en-AU"/>
        </w:rPr>
        <w:t>MACOKINETICS</w:t>
      </w:r>
      <w:r w:rsidR="002C44A0">
        <w:rPr>
          <w:rFonts w:ascii="Arial" w:eastAsia="Times New Roman" w:hAnsi="Arial" w:cs="Arial"/>
          <w:lang w:val="en-AU"/>
        </w:rPr>
        <w:t>,</w:t>
      </w:r>
      <w:r w:rsidR="00C65B29">
        <w:rPr>
          <w:rFonts w:ascii="Arial" w:eastAsia="Times New Roman" w:hAnsi="Arial" w:cs="Arial"/>
          <w:lang w:val="en-AU"/>
        </w:rPr>
        <w:t xml:space="preserve"> Special Populations</w:t>
      </w:r>
      <w:r w:rsidR="002C44A0">
        <w:rPr>
          <w:rFonts w:ascii="Arial" w:eastAsia="Times New Roman" w:hAnsi="Arial" w:cs="Arial"/>
          <w:lang w:val="en-AU"/>
        </w:rPr>
        <w:t>,</w:t>
      </w:r>
      <w:r w:rsidR="00C65B29">
        <w:rPr>
          <w:rFonts w:ascii="Arial" w:eastAsia="Times New Roman" w:hAnsi="Arial" w:cs="Arial"/>
          <w:lang w:val="en-AU"/>
        </w:rPr>
        <w:t xml:space="preserve"> Renal Impairment)</w:t>
      </w:r>
      <w:r w:rsidR="006346E8" w:rsidRPr="006346E8">
        <w:rPr>
          <w:rFonts w:ascii="Arial" w:eastAsia="Times New Roman" w:hAnsi="Arial" w:cs="Arial"/>
          <w:lang w:val="en-AU"/>
        </w:rPr>
        <w:t>.</w:t>
      </w:r>
    </w:p>
    <w:p w:rsidR="00F7692B" w:rsidRPr="00EF74CB" w:rsidRDefault="00F7692B" w:rsidP="00F7692B">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Appropriate assessment of renal function is recommended prior to initiation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and periodically thereafter. </w:t>
      </w:r>
    </w:p>
    <w:p w:rsidR="00F7692B" w:rsidRPr="00EF74CB" w:rsidRDefault="00F7692B" w:rsidP="00F7692B">
      <w:pPr>
        <w:spacing w:line="240" w:lineRule="auto"/>
        <w:rPr>
          <w:rFonts w:ascii="Arial" w:eastAsia="Times New Roman" w:hAnsi="Arial" w:cs="Arial"/>
          <w:i/>
          <w:lang w:val="en-AU"/>
        </w:rPr>
      </w:pPr>
      <w:r w:rsidRPr="00EF74CB">
        <w:rPr>
          <w:rFonts w:ascii="Arial" w:eastAsia="Times New Roman" w:hAnsi="Arial" w:cs="Arial"/>
          <w:i/>
          <w:lang w:val="en-AU"/>
        </w:rPr>
        <w:t>Hepatic impairment</w:t>
      </w:r>
    </w:p>
    <w:p w:rsidR="00F7692B" w:rsidRPr="00EF74CB" w:rsidRDefault="00F7692B" w:rsidP="001654D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 dose adjustment is necessary for patients with mild to moderate hepatic impairment (Child-Pugh </w:t>
      </w:r>
      <w:r w:rsidR="00F72521">
        <w:rPr>
          <w:rFonts w:ascii="Arial" w:eastAsia="Times New Roman" w:hAnsi="Arial" w:cs="Arial"/>
          <w:lang w:val="en-AU"/>
        </w:rPr>
        <w:t xml:space="preserve">Grade A and B or </w:t>
      </w:r>
      <w:r w:rsidRPr="00EF74CB">
        <w:rPr>
          <w:rFonts w:ascii="Arial" w:eastAsia="Times New Roman" w:hAnsi="Arial" w:cs="Arial"/>
          <w:lang w:val="en-AU"/>
        </w:rPr>
        <w:t xml:space="preserve">scores of 5 to 9).  </w:t>
      </w:r>
      <w:r w:rsidR="009C3B58" w:rsidRPr="00EF74CB">
        <w:rPr>
          <w:rFonts w:ascii="Arial" w:eastAsia="Times New Roman" w:hAnsi="Arial" w:cs="Arial"/>
          <w:lang w:val="en-AU"/>
        </w:rPr>
        <w:t>NESINA</w:t>
      </w:r>
      <w:r w:rsidR="00022141" w:rsidRPr="00EF74CB" w:rsidDel="00022141">
        <w:rPr>
          <w:rFonts w:ascii="Arial" w:eastAsia="Times New Roman" w:hAnsi="Arial" w:cs="Arial"/>
          <w:lang w:val="en-AU"/>
        </w:rPr>
        <w:t xml:space="preserve"> </w:t>
      </w:r>
      <w:r w:rsidRPr="00EF74CB">
        <w:rPr>
          <w:rFonts w:ascii="Arial" w:eastAsia="Times New Roman" w:hAnsi="Arial" w:cs="Arial"/>
          <w:lang w:val="en-AU"/>
        </w:rPr>
        <w:t>has not been studied in patients with severe hepatic impairment (Child</w:t>
      </w:r>
      <w:r w:rsidR="00F315F8">
        <w:rPr>
          <w:rFonts w:ascii="Arial" w:eastAsia="Times New Roman" w:hAnsi="Arial" w:cs="Arial"/>
          <w:lang w:val="en-AU"/>
        </w:rPr>
        <w:t>-</w:t>
      </w:r>
      <w:r w:rsidRPr="00EF74CB">
        <w:rPr>
          <w:rFonts w:ascii="Arial" w:eastAsia="Times New Roman" w:hAnsi="Arial" w:cs="Arial"/>
          <w:lang w:val="en-AU"/>
        </w:rPr>
        <w:t xml:space="preserve">Pugh </w:t>
      </w:r>
      <w:r w:rsidR="00F72521">
        <w:rPr>
          <w:rFonts w:ascii="Arial" w:eastAsia="Times New Roman" w:hAnsi="Arial" w:cs="Arial"/>
          <w:lang w:val="en-AU"/>
        </w:rPr>
        <w:t xml:space="preserve">Grade C or </w:t>
      </w:r>
      <w:r w:rsidRPr="00EF74CB">
        <w:rPr>
          <w:rFonts w:ascii="Arial" w:eastAsia="Times New Roman" w:hAnsi="Arial" w:cs="Arial"/>
          <w:lang w:val="en-AU"/>
        </w:rPr>
        <w:t>score &gt;</w:t>
      </w:r>
      <w:r w:rsidR="00A72EDE" w:rsidRPr="00EF74CB">
        <w:rPr>
          <w:rFonts w:ascii="Arial" w:eastAsia="Times New Roman" w:hAnsi="Arial" w:cs="Arial"/>
          <w:lang w:val="en-AU"/>
        </w:rPr>
        <w:t xml:space="preserve"> </w:t>
      </w:r>
      <w:r w:rsidRPr="00EF74CB">
        <w:rPr>
          <w:rFonts w:ascii="Arial" w:eastAsia="Times New Roman" w:hAnsi="Arial" w:cs="Arial"/>
          <w:lang w:val="en-AU"/>
        </w:rPr>
        <w:t>9) and is, therefore, not recom</w:t>
      </w:r>
      <w:r w:rsidR="00E26DE8" w:rsidRPr="00EF74CB">
        <w:rPr>
          <w:rFonts w:ascii="Arial" w:eastAsia="Times New Roman" w:hAnsi="Arial" w:cs="Arial"/>
          <w:lang w:val="en-AU"/>
        </w:rPr>
        <w:t>mended for use in such patients.</w:t>
      </w:r>
    </w:p>
    <w:p w:rsidR="004120F3" w:rsidRDefault="004120F3">
      <w:pPr>
        <w:rPr>
          <w:rFonts w:ascii="Arial" w:eastAsia="Times New Roman" w:hAnsi="Arial" w:cs="Arial"/>
          <w:i/>
          <w:lang w:val="en-AU"/>
        </w:rPr>
      </w:pPr>
      <w:r>
        <w:rPr>
          <w:rFonts w:ascii="Arial" w:eastAsia="Times New Roman" w:hAnsi="Arial" w:cs="Arial"/>
          <w:i/>
          <w:lang w:val="en-AU"/>
        </w:rPr>
        <w:br w:type="page"/>
      </w:r>
    </w:p>
    <w:p w:rsidR="00F7692B" w:rsidRPr="00EF74CB" w:rsidRDefault="00A72EDE" w:rsidP="00F7692B">
      <w:pPr>
        <w:spacing w:line="240" w:lineRule="auto"/>
        <w:rPr>
          <w:rFonts w:ascii="Arial" w:eastAsia="Times New Roman" w:hAnsi="Arial" w:cs="Arial"/>
          <w:i/>
          <w:lang w:val="en-AU"/>
        </w:rPr>
      </w:pPr>
      <w:r w:rsidRPr="00EF74CB">
        <w:rPr>
          <w:rFonts w:ascii="Arial" w:eastAsia="Times New Roman" w:hAnsi="Arial" w:cs="Arial"/>
          <w:i/>
          <w:lang w:val="en-AU"/>
        </w:rPr>
        <w:t>Elderly (≥</w:t>
      </w:r>
      <w:r w:rsidR="00F7692B" w:rsidRPr="00EF74CB">
        <w:rPr>
          <w:rFonts w:ascii="Arial" w:eastAsia="Times New Roman" w:hAnsi="Arial" w:cs="Arial"/>
          <w:i/>
          <w:lang w:val="en-AU"/>
        </w:rPr>
        <w:t xml:space="preserve"> 65 years old)</w:t>
      </w:r>
    </w:p>
    <w:p w:rsidR="00F7692B" w:rsidRPr="00EF74CB" w:rsidRDefault="00F7692B" w:rsidP="001654DC">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 dose adjustment is necessary based on age.  </w:t>
      </w:r>
      <w:r w:rsidR="0009563A" w:rsidRPr="00FA1914">
        <w:rPr>
          <w:rFonts w:ascii="Arial" w:eastAsia="Times New Roman" w:hAnsi="Arial" w:cs="Arial"/>
          <w:lang w:val="en-AU"/>
        </w:rPr>
        <w:t xml:space="preserve">However, dosing of NESINA should be conservative in patients with advanced age due to the potential for decreased renal function </w:t>
      </w:r>
      <w:r w:rsidR="00C577CA" w:rsidRPr="00DF5FB4">
        <w:rPr>
          <w:rFonts w:ascii="Arial" w:eastAsia="Times New Roman" w:hAnsi="Arial" w:cs="Arial"/>
          <w:lang w:val="en-AU"/>
        </w:rPr>
        <w:t>in this population</w:t>
      </w:r>
      <w:r w:rsidR="0063120E">
        <w:rPr>
          <w:rFonts w:ascii="Arial" w:eastAsia="Times New Roman" w:hAnsi="Arial" w:cs="Arial"/>
          <w:lang w:val="en-AU"/>
        </w:rPr>
        <w:t xml:space="preserve"> (see also Renal </w:t>
      </w:r>
      <w:r w:rsidR="00D02631">
        <w:rPr>
          <w:rFonts w:ascii="Arial" w:eastAsia="Times New Roman" w:hAnsi="Arial" w:cs="Arial"/>
          <w:lang w:val="en-AU"/>
        </w:rPr>
        <w:t>Impairment</w:t>
      </w:r>
      <w:r w:rsidR="0063120E">
        <w:rPr>
          <w:rFonts w:ascii="Arial" w:eastAsia="Times New Roman" w:hAnsi="Arial" w:cs="Arial"/>
          <w:lang w:val="en-AU"/>
        </w:rPr>
        <w:t xml:space="preserve">).  </w:t>
      </w:r>
    </w:p>
    <w:p w:rsidR="00F7692B" w:rsidRPr="00EF74CB" w:rsidRDefault="00F7692B" w:rsidP="001654DC">
      <w:pPr>
        <w:spacing w:line="240" w:lineRule="auto"/>
        <w:rPr>
          <w:rFonts w:ascii="Arial" w:eastAsia="Times New Roman" w:hAnsi="Arial" w:cs="Arial"/>
          <w:i/>
          <w:lang w:val="en-AU"/>
        </w:rPr>
      </w:pPr>
      <w:r w:rsidRPr="00EF74CB">
        <w:rPr>
          <w:rFonts w:ascii="Arial" w:eastAsia="Times New Roman" w:hAnsi="Arial" w:cs="Arial"/>
          <w:i/>
          <w:lang w:val="en-AU"/>
        </w:rPr>
        <w:t>Paediatric population</w:t>
      </w:r>
    </w:p>
    <w:p w:rsidR="00F7692B" w:rsidRPr="00EF74CB" w:rsidRDefault="00F7692B" w:rsidP="001654DC">
      <w:pPr>
        <w:spacing w:after="240" w:line="240" w:lineRule="auto"/>
        <w:jc w:val="both"/>
        <w:rPr>
          <w:noProof/>
          <w:lang w:val="en-AU"/>
        </w:rPr>
      </w:pPr>
      <w:r w:rsidRPr="00EF74CB">
        <w:rPr>
          <w:rFonts w:ascii="Arial" w:eastAsia="Times New Roman" w:hAnsi="Arial" w:cs="Arial"/>
          <w:lang w:val="en-AU"/>
        </w:rPr>
        <w:t xml:space="preserve">The safety and efficacy of </w:t>
      </w:r>
      <w:r w:rsidR="009C3B58" w:rsidRPr="00EF74CB">
        <w:rPr>
          <w:rFonts w:ascii="Arial" w:eastAsia="Times New Roman" w:hAnsi="Arial" w:cs="Arial"/>
          <w:lang w:val="en-AU"/>
        </w:rPr>
        <w:t>NESINA</w:t>
      </w:r>
      <w:r w:rsidRPr="00EF74CB">
        <w:rPr>
          <w:rFonts w:ascii="Arial" w:eastAsia="Times New Roman" w:hAnsi="Arial" w:cs="Arial"/>
          <w:lang w:val="en-AU"/>
        </w:rPr>
        <w:t xml:space="preserve"> in patients </w:t>
      </w:r>
      <w:r w:rsidR="00310CB5" w:rsidRPr="00EF74CB">
        <w:rPr>
          <w:rFonts w:ascii="Arial" w:eastAsia="Times New Roman" w:hAnsi="Arial" w:cs="Arial"/>
          <w:lang w:val="en-AU"/>
        </w:rPr>
        <w:t>under</w:t>
      </w:r>
      <w:r w:rsidRPr="00EF74CB">
        <w:rPr>
          <w:rFonts w:ascii="Arial" w:eastAsia="Times New Roman" w:hAnsi="Arial" w:cs="Arial"/>
          <w:lang w:val="en-AU"/>
        </w:rPr>
        <w:t xml:space="preserve"> 18 years </w:t>
      </w:r>
      <w:r w:rsidR="00310CB5" w:rsidRPr="00EF74CB">
        <w:rPr>
          <w:rFonts w:ascii="Arial" w:eastAsia="Times New Roman" w:hAnsi="Arial" w:cs="Arial"/>
          <w:lang w:val="en-AU"/>
        </w:rPr>
        <w:t>of age</w:t>
      </w:r>
      <w:r w:rsidRPr="00EF74CB">
        <w:rPr>
          <w:rFonts w:ascii="Arial" w:eastAsia="Times New Roman" w:hAnsi="Arial" w:cs="Arial"/>
          <w:lang w:val="en-AU"/>
        </w:rPr>
        <w:t xml:space="preserve"> have not yet been established.  </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OVERDOSAGE</w:t>
      </w:r>
    </w:p>
    <w:p w:rsidR="00D339F7" w:rsidRPr="00EF74CB" w:rsidRDefault="00D339F7" w:rsidP="00D339F7">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No adverse events associated with overdose of </w:t>
      </w:r>
      <w:r w:rsidR="009C3B58" w:rsidRPr="00EF74CB">
        <w:rPr>
          <w:rFonts w:ascii="Arial" w:eastAsia="Times New Roman" w:hAnsi="Arial" w:cs="Arial"/>
          <w:lang w:val="en-AU"/>
        </w:rPr>
        <w:t>NESINA</w:t>
      </w:r>
      <w:r w:rsidR="00022141" w:rsidRPr="00EF74CB" w:rsidDel="00022141">
        <w:rPr>
          <w:rFonts w:ascii="Arial" w:eastAsia="Times New Roman" w:hAnsi="Arial" w:cs="Arial"/>
          <w:lang w:val="en-AU"/>
        </w:rPr>
        <w:t xml:space="preserve"> </w:t>
      </w:r>
      <w:r w:rsidRPr="00EF74CB">
        <w:rPr>
          <w:rFonts w:ascii="Arial" w:eastAsia="Times New Roman" w:hAnsi="Arial" w:cs="Arial"/>
          <w:lang w:val="en-AU"/>
        </w:rPr>
        <w:t xml:space="preserve">were reported during clinical development.  </w:t>
      </w:r>
    </w:p>
    <w:p w:rsidR="00D339F7" w:rsidRPr="00EF74CB" w:rsidRDefault="00D339F7" w:rsidP="00D339F7">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The highest doses of alogliptin administered in clinical trials were single doses of 800 mg to healthy subjects and doses of 400 mg once daily for 14 days to </w:t>
      </w:r>
      <w:r w:rsidR="004C6F1A">
        <w:rPr>
          <w:rFonts w:ascii="Arial" w:eastAsia="Times New Roman" w:hAnsi="Arial" w:cs="Arial"/>
          <w:lang w:val="en-AU"/>
        </w:rPr>
        <w:t>subjects</w:t>
      </w:r>
      <w:r w:rsidR="004C6F1A" w:rsidRPr="00EF74CB">
        <w:rPr>
          <w:rFonts w:ascii="Arial" w:eastAsia="Times New Roman" w:hAnsi="Arial" w:cs="Arial"/>
          <w:lang w:val="en-AU"/>
        </w:rPr>
        <w:t xml:space="preserve"> </w:t>
      </w:r>
      <w:r w:rsidRPr="00EF74CB">
        <w:rPr>
          <w:rFonts w:ascii="Arial" w:eastAsia="Times New Roman" w:hAnsi="Arial" w:cs="Arial"/>
          <w:lang w:val="en-AU"/>
        </w:rPr>
        <w:t xml:space="preserve">with type 2 diabetes mellitus (equivalent to 32 times and 16 times the recommended daily dose of </w:t>
      </w:r>
      <w:r w:rsidR="00F315F8">
        <w:rPr>
          <w:rFonts w:ascii="Arial" w:eastAsia="Times New Roman" w:hAnsi="Arial" w:cs="Arial"/>
          <w:lang w:val="en-AU"/>
        </w:rPr>
        <w:t xml:space="preserve">             </w:t>
      </w:r>
      <w:r w:rsidR="009C3B58" w:rsidRPr="00EF74CB">
        <w:rPr>
          <w:rFonts w:ascii="Arial" w:eastAsia="Times New Roman" w:hAnsi="Arial" w:cs="Arial"/>
          <w:lang w:val="en-AU"/>
        </w:rPr>
        <w:t>NESINA</w:t>
      </w:r>
      <w:r w:rsidR="00F315F8">
        <w:rPr>
          <w:rFonts w:ascii="Arial" w:eastAsia="Times New Roman" w:hAnsi="Arial" w:cs="Arial"/>
          <w:lang w:val="en-AU"/>
        </w:rPr>
        <w:t xml:space="preserve"> </w:t>
      </w:r>
      <w:r w:rsidRPr="00EF74CB">
        <w:rPr>
          <w:rFonts w:ascii="Arial" w:eastAsia="Times New Roman" w:hAnsi="Arial" w:cs="Arial"/>
          <w:lang w:val="en-AU"/>
        </w:rPr>
        <w:t xml:space="preserve">25 mg, respectively).  No </w:t>
      </w:r>
      <w:r w:rsidR="00862C55">
        <w:rPr>
          <w:rFonts w:ascii="Arial" w:eastAsia="Times New Roman" w:hAnsi="Arial" w:cs="Arial"/>
          <w:lang w:val="en-AU"/>
        </w:rPr>
        <w:t>serious</w:t>
      </w:r>
      <w:r w:rsidRPr="00EF74CB">
        <w:rPr>
          <w:rFonts w:ascii="Arial" w:eastAsia="Times New Roman" w:hAnsi="Arial" w:cs="Arial"/>
          <w:lang w:val="en-AU"/>
        </w:rPr>
        <w:t xml:space="preserve"> adverse events were observed at these </w:t>
      </w:r>
      <w:r w:rsidR="00862C55" w:rsidRPr="00EF74CB">
        <w:rPr>
          <w:rFonts w:ascii="Arial" w:eastAsia="Times New Roman" w:hAnsi="Arial" w:cs="Arial"/>
          <w:lang w:val="en-AU"/>
        </w:rPr>
        <w:t>dose</w:t>
      </w:r>
      <w:r w:rsidR="00862C55">
        <w:rPr>
          <w:rFonts w:ascii="Arial" w:eastAsia="Times New Roman" w:hAnsi="Arial" w:cs="Arial"/>
          <w:lang w:val="en-AU"/>
        </w:rPr>
        <w:t xml:space="preserve"> levels</w:t>
      </w:r>
      <w:r w:rsidRPr="00EF74CB">
        <w:rPr>
          <w:rFonts w:ascii="Arial" w:eastAsia="Times New Roman" w:hAnsi="Arial" w:cs="Arial"/>
          <w:lang w:val="en-AU"/>
        </w:rPr>
        <w:t xml:space="preserve">.  </w:t>
      </w:r>
    </w:p>
    <w:p w:rsidR="00D339F7" w:rsidRPr="00EF74CB" w:rsidRDefault="00D339F7" w:rsidP="00D339F7">
      <w:pPr>
        <w:spacing w:after="240" w:line="240" w:lineRule="auto"/>
        <w:jc w:val="both"/>
        <w:rPr>
          <w:rFonts w:ascii="Arial" w:eastAsia="Times New Roman" w:hAnsi="Arial" w:cs="Arial"/>
          <w:i/>
          <w:lang w:val="en-AU"/>
        </w:rPr>
      </w:pPr>
      <w:r w:rsidRPr="00EF74CB">
        <w:rPr>
          <w:rFonts w:ascii="Arial" w:eastAsia="Times New Roman" w:hAnsi="Arial" w:cs="Arial"/>
          <w:i/>
          <w:lang w:val="en-AU"/>
        </w:rPr>
        <w:t>Treatment</w:t>
      </w:r>
    </w:p>
    <w:p w:rsidR="00D339F7" w:rsidRPr="00EF74CB" w:rsidRDefault="00D339F7" w:rsidP="00D339F7">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In the event of an overdose, </w:t>
      </w:r>
      <w:r w:rsidR="00F8275B">
        <w:rPr>
          <w:rFonts w:ascii="Arial" w:eastAsia="Times New Roman" w:hAnsi="Arial" w:cs="Arial"/>
          <w:lang w:val="en-AU"/>
        </w:rPr>
        <w:t xml:space="preserve">institute the necessary clinical monitoring and </w:t>
      </w:r>
      <w:r w:rsidRPr="00EF74CB">
        <w:rPr>
          <w:rFonts w:ascii="Arial" w:eastAsia="Times New Roman" w:hAnsi="Arial" w:cs="Arial"/>
          <w:lang w:val="en-AU"/>
        </w:rPr>
        <w:t xml:space="preserve">supportive </w:t>
      </w:r>
      <w:r w:rsidR="00F8275B">
        <w:rPr>
          <w:rFonts w:ascii="Arial" w:eastAsia="Times New Roman" w:hAnsi="Arial" w:cs="Arial"/>
          <w:lang w:val="en-AU"/>
        </w:rPr>
        <w:t>therapy</w:t>
      </w:r>
      <w:r w:rsidRPr="00EF74CB">
        <w:rPr>
          <w:rFonts w:ascii="Arial" w:eastAsia="Times New Roman" w:hAnsi="Arial" w:cs="Arial"/>
          <w:lang w:val="en-AU"/>
        </w:rPr>
        <w:t xml:space="preserve"> as dictated by the patient's clinical status. </w:t>
      </w:r>
    </w:p>
    <w:p w:rsidR="002C65FC" w:rsidRPr="00EF74CB" w:rsidRDefault="00D339F7" w:rsidP="002C65FC">
      <w:pPr>
        <w:spacing w:after="0" w:line="240" w:lineRule="auto"/>
        <w:jc w:val="both"/>
        <w:rPr>
          <w:rFonts w:ascii="Arial" w:eastAsia="Times New Roman" w:hAnsi="Arial" w:cs="Arial"/>
          <w:lang w:val="en-AU"/>
        </w:rPr>
      </w:pPr>
      <w:r w:rsidRPr="00EF74CB">
        <w:rPr>
          <w:rFonts w:ascii="Arial" w:eastAsia="Times New Roman" w:hAnsi="Arial" w:cs="Arial"/>
          <w:lang w:val="en-AU"/>
        </w:rPr>
        <w:t>Minimal quantities of alogliptin are removed by haemodialysis (approximately 7% of the drug was removed during a 3-hour haemodialysis session).  Therefore, haemodialysis is of little benefit in an overdose situation.  It is not known if alogliptin is removed by peritoneal dialysis.</w:t>
      </w:r>
      <w:r w:rsidRPr="00EF74CB">
        <w:rPr>
          <w:rFonts w:ascii="Arial" w:eastAsia="Times New Roman" w:hAnsi="Arial" w:cs="Arial"/>
          <w:lang w:val="en-AU"/>
        </w:rPr>
        <w:cr/>
      </w:r>
    </w:p>
    <w:p w:rsidR="006C404A" w:rsidRPr="00EF74CB" w:rsidRDefault="006C404A" w:rsidP="00D339F7">
      <w:pPr>
        <w:spacing w:after="240" w:line="240" w:lineRule="auto"/>
        <w:jc w:val="both"/>
        <w:rPr>
          <w:rFonts w:ascii="Arial" w:eastAsia="Times New Roman" w:hAnsi="Arial" w:cs="Arial"/>
          <w:lang w:val="en-AU"/>
        </w:rPr>
      </w:pPr>
      <w:r w:rsidRPr="00EF74CB">
        <w:rPr>
          <w:rFonts w:ascii="Arial" w:eastAsia="Times New Roman" w:hAnsi="Arial" w:cs="Arial"/>
          <w:lang w:val="en-AU"/>
        </w:rPr>
        <w:t>For information on the management of overdose, contact the Poison Information Centre on 131126 (Australia).</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PRESENTATION AND STORAGE CONDITIONS</w:t>
      </w:r>
    </w:p>
    <w:p w:rsidR="00E82C9A" w:rsidRPr="00EF74CB" w:rsidRDefault="009C3B58" w:rsidP="00B275A9">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E82C9A" w:rsidRPr="00EF74CB">
        <w:rPr>
          <w:rFonts w:ascii="Arial" w:eastAsia="Times New Roman" w:hAnsi="Arial" w:cs="Arial"/>
          <w:lang w:val="en-AU"/>
        </w:rPr>
        <w:t xml:space="preserve"> is available in the following presentations:</w:t>
      </w:r>
    </w:p>
    <w:p w:rsidR="00B275A9" w:rsidRPr="00EF74CB" w:rsidRDefault="009C3B58" w:rsidP="00B275A9">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B275A9" w:rsidRPr="00EF74CB">
        <w:rPr>
          <w:rFonts w:ascii="Arial" w:eastAsia="Times New Roman" w:hAnsi="Arial" w:cs="Arial"/>
          <w:lang w:val="en-AU"/>
        </w:rPr>
        <w:t xml:space="preserve"> 25 mg film-coated tablets: Light red, oval, biconvex, film-coated tablets with “TAK” and “ALG-25” printed on one side.</w:t>
      </w:r>
    </w:p>
    <w:p w:rsidR="00B275A9" w:rsidRPr="00EF74CB" w:rsidRDefault="009C3B58" w:rsidP="00B275A9">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B275A9" w:rsidRPr="00EF74CB">
        <w:rPr>
          <w:rFonts w:ascii="Arial" w:eastAsia="Times New Roman" w:hAnsi="Arial" w:cs="Arial"/>
          <w:lang w:val="en-AU"/>
        </w:rPr>
        <w:t xml:space="preserve"> 12.5 mg film-coated tablets: Yellow, oval, biconvex, film-coated tablets with “TAK” and “ALG-12.5” printed on one side.</w:t>
      </w:r>
    </w:p>
    <w:p w:rsidR="00B275A9" w:rsidRPr="00EF74CB" w:rsidRDefault="009C3B58" w:rsidP="00B275A9">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B275A9" w:rsidRPr="00EF74CB">
        <w:rPr>
          <w:rFonts w:ascii="Arial" w:eastAsia="Times New Roman" w:hAnsi="Arial" w:cs="Arial"/>
          <w:lang w:val="en-AU"/>
        </w:rPr>
        <w:t xml:space="preserve"> 6.25 mg film-coated tablets: Light pink, oval, biconvex, film-coated tablets with “TAK” and “ALG-6.25” printed on one side.</w:t>
      </w:r>
    </w:p>
    <w:p w:rsidR="00677CCF" w:rsidRPr="00EF74CB" w:rsidRDefault="009C3B58" w:rsidP="00677CCF">
      <w:pPr>
        <w:spacing w:after="240" w:line="240" w:lineRule="auto"/>
        <w:jc w:val="both"/>
        <w:rPr>
          <w:rFonts w:ascii="Arial" w:eastAsia="Times New Roman" w:hAnsi="Arial" w:cs="Arial"/>
          <w:lang w:val="en-AU"/>
        </w:rPr>
      </w:pPr>
      <w:r w:rsidRPr="00EF74CB">
        <w:rPr>
          <w:rFonts w:ascii="Arial" w:eastAsia="Times New Roman" w:hAnsi="Arial" w:cs="Arial"/>
          <w:lang w:val="en-AU"/>
        </w:rPr>
        <w:t>NESINA</w:t>
      </w:r>
      <w:r w:rsidR="006900C6" w:rsidRPr="00EF74CB">
        <w:rPr>
          <w:rFonts w:ascii="Arial" w:eastAsia="Times New Roman" w:hAnsi="Arial" w:cs="Arial"/>
          <w:lang w:val="en-AU"/>
        </w:rPr>
        <w:t xml:space="preserve"> is available in blister packs </w:t>
      </w:r>
      <w:r w:rsidR="00E82C9A" w:rsidRPr="00EF74CB">
        <w:rPr>
          <w:rFonts w:ascii="Arial" w:eastAsia="Times New Roman" w:hAnsi="Arial" w:cs="Arial"/>
          <w:lang w:val="en-AU"/>
        </w:rPr>
        <w:t xml:space="preserve">containing </w:t>
      </w:r>
      <w:r w:rsidR="00CC3F1A" w:rsidRPr="00EF74CB">
        <w:rPr>
          <w:rFonts w:ascii="Arial" w:eastAsia="Times New Roman" w:hAnsi="Arial" w:cs="Arial"/>
          <w:lang w:val="en-AU"/>
        </w:rPr>
        <w:t xml:space="preserve">7, </w:t>
      </w:r>
      <w:r w:rsidR="006900C6" w:rsidRPr="00EF74CB">
        <w:rPr>
          <w:rFonts w:ascii="Arial" w:eastAsia="Times New Roman" w:hAnsi="Arial" w:cs="Arial"/>
          <w:lang w:val="en-AU"/>
        </w:rPr>
        <w:t xml:space="preserve">10, 14, 28, 30, 56, 60, 90, 98 or 100 film-coated tablets. </w:t>
      </w:r>
    </w:p>
    <w:p w:rsidR="006900C6" w:rsidRPr="00EF74CB" w:rsidRDefault="006900C6" w:rsidP="006900C6">
      <w:pPr>
        <w:spacing w:after="240" w:line="240" w:lineRule="auto"/>
        <w:jc w:val="both"/>
        <w:rPr>
          <w:rFonts w:ascii="Arial" w:eastAsia="Times New Roman" w:hAnsi="Arial" w:cs="Arial"/>
          <w:lang w:val="en-AU"/>
        </w:rPr>
      </w:pPr>
      <w:r w:rsidRPr="00EF74CB">
        <w:rPr>
          <w:rFonts w:ascii="Arial" w:eastAsia="Times New Roman" w:hAnsi="Arial" w:cs="Arial"/>
          <w:lang w:val="en-AU"/>
        </w:rPr>
        <w:t>Not all pack sizes may be marketed.</w:t>
      </w:r>
    </w:p>
    <w:p w:rsidR="004120F3" w:rsidRPr="009C3A41" w:rsidRDefault="006900C6" w:rsidP="009C3A41">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Store below </w:t>
      </w:r>
      <w:r w:rsidR="0043016E" w:rsidRPr="00EF74CB">
        <w:rPr>
          <w:rFonts w:ascii="Arial" w:eastAsia="Times New Roman" w:hAnsi="Arial" w:cs="Arial"/>
          <w:lang w:val="en-AU"/>
        </w:rPr>
        <w:t>25</w:t>
      </w:r>
      <w:r w:rsidRPr="00EF74CB">
        <w:rPr>
          <w:rFonts w:ascii="Arial" w:eastAsia="Times New Roman" w:hAnsi="Arial" w:cs="Arial"/>
          <w:lang w:val="en-AU"/>
        </w:rPr>
        <w:t xml:space="preserve">ºC.  </w:t>
      </w:r>
      <w:r w:rsidR="004120F3">
        <w:rPr>
          <w:rFonts w:ascii="Arial" w:hAnsi="Arial" w:cs="Arial"/>
          <w:b/>
          <w:lang w:val="en-AU"/>
        </w:rPr>
        <w:br w:type="page"/>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NAME AND ADDRESS OF THE SPONSOR</w:t>
      </w:r>
    </w:p>
    <w:p w:rsidR="007832BB" w:rsidRPr="00EF74CB" w:rsidRDefault="006A4E62" w:rsidP="00B736D8">
      <w:pPr>
        <w:spacing w:after="0" w:line="240" w:lineRule="auto"/>
        <w:jc w:val="both"/>
        <w:rPr>
          <w:rFonts w:ascii="Arial" w:eastAsia="Times New Roman" w:hAnsi="Arial" w:cs="Arial"/>
          <w:lang w:val="en-AU"/>
        </w:rPr>
      </w:pPr>
      <w:r w:rsidRPr="00EF74CB">
        <w:rPr>
          <w:rFonts w:ascii="Arial" w:eastAsia="Times New Roman" w:hAnsi="Arial" w:cs="Arial"/>
          <w:lang w:val="en-AU"/>
        </w:rPr>
        <w:t>Takeda Pharmaceuticals Australia Pty Ltd</w:t>
      </w:r>
      <w:r w:rsidRPr="00EF74CB" w:rsidDel="006A4E62">
        <w:rPr>
          <w:rFonts w:ascii="Arial" w:eastAsia="Times New Roman" w:hAnsi="Arial" w:cs="Arial"/>
          <w:lang w:val="en-AU"/>
        </w:rPr>
        <w:t xml:space="preserve"> </w:t>
      </w:r>
    </w:p>
    <w:p w:rsidR="00B736D8" w:rsidRPr="00EF74CB" w:rsidRDefault="00B736D8" w:rsidP="00B736D8">
      <w:pPr>
        <w:spacing w:after="0" w:line="240" w:lineRule="auto"/>
        <w:jc w:val="both"/>
        <w:rPr>
          <w:rFonts w:ascii="Arial" w:eastAsia="Times New Roman" w:hAnsi="Arial" w:cs="Arial"/>
          <w:lang w:val="en-AU"/>
        </w:rPr>
      </w:pPr>
      <w:r w:rsidRPr="00EF74CB">
        <w:rPr>
          <w:rFonts w:ascii="Arial" w:eastAsia="Times New Roman" w:hAnsi="Arial" w:cs="Arial"/>
          <w:lang w:val="en-AU"/>
        </w:rPr>
        <w:t>2-4 Lyonpark Road</w:t>
      </w:r>
    </w:p>
    <w:p w:rsidR="00B736D8" w:rsidRPr="00EF74CB" w:rsidRDefault="006A4E62" w:rsidP="00B736D8">
      <w:pPr>
        <w:spacing w:after="240" w:line="240" w:lineRule="auto"/>
        <w:jc w:val="both"/>
        <w:rPr>
          <w:rFonts w:ascii="Arial" w:eastAsia="Times New Roman" w:hAnsi="Arial" w:cs="Arial"/>
          <w:lang w:val="en-AU"/>
        </w:rPr>
      </w:pPr>
      <w:r w:rsidRPr="00EF74CB">
        <w:rPr>
          <w:rFonts w:ascii="Arial" w:eastAsia="Times New Roman" w:hAnsi="Arial" w:cs="Arial"/>
          <w:lang w:val="en-AU"/>
        </w:rPr>
        <w:t xml:space="preserve">Macquarie Park </w:t>
      </w:r>
      <w:r w:rsidR="00B736D8" w:rsidRPr="00EF74CB">
        <w:rPr>
          <w:rFonts w:ascii="Arial" w:eastAsia="Times New Roman" w:hAnsi="Arial" w:cs="Arial"/>
          <w:lang w:val="en-AU"/>
        </w:rPr>
        <w:t>NSW 2113</w:t>
      </w:r>
    </w:p>
    <w:p w:rsidR="00691008" w:rsidRPr="00EF74CB" w:rsidRDefault="002D31A3" w:rsidP="00B736D8">
      <w:pPr>
        <w:pStyle w:val="NoSpacing"/>
        <w:spacing w:after="240"/>
        <w:jc w:val="both"/>
        <w:rPr>
          <w:rFonts w:ascii="Arial" w:hAnsi="Arial" w:cs="Arial"/>
          <w:b/>
          <w:lang w:val="en-AU"/>
        </w:rPr>
      </w:pPr>
      <w:r w:rsidRPr="00EF74CB">
        <w:rPr>
          <w:rFonts w:ascii="Arial" w:hAnsi="Arial" w:cs="Arial"/>
          <w:b/>
          <w:lang w:val="en-AU"/>
        </w:rPr>
        <w:t>POISON SCHEDULE OF THE MEDICINE</w:t>
      </w:r>
    </w:p>
    <w:p w:rsidR="00677CCF" w:rsidRPr="00EF74CB" w:rsidRDefault="0011097F" w:rsidP="00677CCF">
      <w:pPr>
        <w:spacing w:after="240" w:line="240" w:lineRule="auto"/>
        <w:jc w:val="both"/>
        <w:rPr>
          <w:rFonts w:ascii="Arial" w:eastAsia="Times New Roman" w:hAnsi="Arial" w:cs="Arial"/>
          <w:lang w:val="en-AU"/>
        </w:rPr>
      </w:pPr>
      <w:r w:rsidRPr="00EF74CB">
        <w:rPr>
          <w:rFonts w:ascii="Arial" w:eastAsia="Times New Roman" w:hAnsi="Arial" w:cs="Arial"/>
          <w:lang w:val="en-AU"/>
        </w:rPr>
        <w:t>Prescription Only Medicine (Schedule 4)</w:t>
      </w:r>
    </w:p>
    <w:p w:rsidR="00691008" w:rsidRPr="00EF74CB" w:rsidRDefault="002D31A3">
      <w:pPr>
        <w:pStyle w:val="NoSpacing"/>
        <w:spacing w:after="240"/>
        <w:jc w:val="both"/>
        <w:rPr>
          <w:rFonts w:ascii="Arial" w:hAnsi="Arial" w:cs="Arial"/>
          <w:b/>
          <w:lang w:val="en-AU"/>
        </w:rPr>
      </w:pPr>
      <w:r w:rsidRPr="00EF74CB">
        <w:rPr>
          <w:rFonts w:ascii="Arial" w:hAnsi="Arial" w:cs="Arial"/>
          <w:b/>
          <w:lang w:val="en-AU"/>
        </w:rPr>
        <w:t>DATE OF FIRST INCLUSION IN THE AUSTRALIAN REGISTER OF THERAPEUTIC GOODS (the ARTG)</w:t>
      </w:r>
    </w:p>
    <w:p w:rsidR="003122AF" w:rsidRPr="00EF74CB" w:rsidRDefault="00123FEF" w:rsidP="003122AF">
      <w:pPr>
        <w:spacing w:after="240" w:line="240" w:lineRule="auto"/>
        <w:jc w:val="both"/>
        <w:rPr>
          <w:rFonts w:ascii="Arial" w:eastAsia="Times New Roman" w:hAnsi="Arial" w:cs="Arial"/>
          <w:lang w:val="en-AU"/>
        </w:rPr>
      </w:pPr>
      <w:r>
        <w:rPr>
          <w:rFonts w:ascii="Arial" w:eastAsia="Times New Roman" w:hAnsi="Arial" w:cs="Arial"/>
          <w:lang w:val="en-AU"/>
        </w:rPr>
        <w:t>17 September 2013</w:t>
      </w:r>
    </w:p>
    <w:sectPr w:rsidR="003122AF" w:rsidRPr="00EF74CB" w:rsidSect="00995D03">
      <w:headerReference w:type="default" r:id="rId9"/>
      <w:footerReference w:type="default" r:id="rId10"/>
      <w:pgSz w:w="11906" w:h="16838"/>
      <w:pgMar w:top="1440" w:right="1440" w:bottom="1440" w:left="1440" w:header="288"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0D0" w:rsidRDefault="00BC30D0" w:rsidP="00A20F6E">
      <w:pPr>
        <w:spacing w:after="0" w:line="240" w:lineRule="auto"/>
      </w:pPr>
      <w:r>
        <w:separator/>
      </w:r>
    </w:p>
  </w:endnote>
  <w:endnote w:type="continuationSeparator" w:id="0">
    <w:p w:rsidR="00BC30D0" w:rsidRDefault="00BC30D0" w:rsidP="00A20F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74275"/>
      <w:docPartObj>
        <w:docPartGallery w:val="Page Numbers (Bottom of Page)"/>
        <w:docPartUnique/>
      </w:docPartObj>
    </w:sdtPr>
    <w:sdtContent>
      <w:p w:rsidR="00386BF4" w:rsidRPr="00D138F5" w:rsidRDefault="00386BF4">
        <w:pPr>
          <w:pStyle w:val="Footer"/>
          <w:jc w:val="right"/>
          <w:rPr>
            <w:i/>
          </w:rPr>
        </w:pPr>
      </w:p>
      <w:tbl>
        <w:tblPr>
          <w:tblW w:w="0" w:type="auto"/>
          <w:tblBorders>
            <w:top w:val="single" w:sz="4" w:space="0" w:color="auto"/>
          </w:tblBorders>
          <w:tblLook w:val="0000"/>
        </w:tblPr>
        <w:tblGrid>
          <w:gridCol w:w="3101"/>
          <w:gridCol w:w="3080"/>
          <w:gridCol w:w="3061"/>
        </w:tblGrid>
        <w:tr w:rsidR="00386BF4" w:rsidRPr="003B2589" w:rsidTr="002D7F2C">
          <w:tc>
            <w:tcPr>
              <w:tcW w:w="3382" w:type="dxa"/>
            </w:tcPr>
            <w:p w:rsidR="00386BF4" w:rsidRPr="003B2589" w:rsidRDefault="00386BF4" w:rsidP="00611503">
              <w:pPr>
                <w:pStyle w:val="Footer"/>
                <w:tabs>
                  <w:tab w:val="right" w:pos="-1843"/>
                  <w:tab w:val="center" w:pos="4962"/>
                  <w:tab w:val="right" w:pos="9923"/>
                  <w:tab w:val="right" w:pos="10632"/>
                </w:tabs>
                <w:rPr>
                  <w:rStyle w:val="PageNumber"/>
                  <w:rFonts w:ascii="Arial" w:hAnsi="Arial" w:cs="Arial"/>
                  <w:bCs/>
                  <w:i/>
                  <w:iCs/>
                  <w:sz w:val="18"/>
                  <w:szCs w:val="18"/>
                </w:rPr>
              </w:pPr>
              <w:r>
                <w:rPr>
                  <w:rFonts w:ascii="Arial" w:hAnsi="Arial" w:cs="Arial"/>
                  <w:bCs/>
                  <w:i/>
                  <w:iCs/>
                  <w:sz w:val="18"/>
                  <w:szCs w:val="18"/>
                </w:rPr>
                <w:t>NESINA</w:t>
              </w:r>
              <w:r w:rsidRPr="003B2589">
                <w:rPr>
                  <w:rFonts w:ascii="Arial" w:hAnsi="Arial" w:cs="Arial"/>
                  <w:bCs/>
                  <w:i/>
                  <w:iCs/>
                  <w:sz w:val="18"/>
                  <w:szCs w:val="18"/>
                  <w:vertAlign w:val="superscript"/>
                </w:rPr>
                <w:t>®</w:t>
              </w:r>
              <w:r w:rsidRPr="003B2589">
                <w:rPr>
                  <w:rFonts w:ascii="Arial" w:hAnsi="Arial" w:cs="Arial"/>
                  <w:bCs/>
                  <w:i/>
                  <w:iCs/>
                  <w:sz w:val="18"/>
                  <w:szCs w:val="18"/>
                </w:rPr>
                <w:t xml:space="preserve"> PI </w:t>
              </w:r>
            </w:p>
          </w:tc>
          <w:tc>
            <w:tcPr>
              <w:tcW w:w="3382" w:type="dxa"/>
            </w:tcPr>
            <w:p w:rsidR="00386BF4" w:rsidRPr="00E301F3" w:rsidRDefault="00386BF4" w:rsidP="00611503">
              <w:pPr>
                <w:pStyle w:val="Footer"/>
                <w:tabs>
                  <w:tab w:val="right" w:pos="-1843"/>
                  <w:tab w:val="center" w:pos="4962"/>
                  <w:tab w:val="right" w:pos="9923"/>
                  <w:tab w:val="right" w:pos="10632"/>
                </w:tabs>
                <w:jc w:val="center"/>
                <w:rPr>
                  <w:rStyle w:val="PageNumber"/>
                  <w:rFonts w:ascii="Arial" w:hAnsi="Arial" w:cs="Arial"/>
                  <w:bCs/>
                  <w:i/>
                  <w:iCs/>
                  <w:sz w:val="18"/>
                  <w:szCs w:val="18"/>
                  <w:highlight w:val="yellow"/>
                </w:rPr>
              </w:pPr>
              <w:r w:rsidRPr="00755EB3">
                <w:rPr>
                  <w:rStyle w:val="PageNumber"/>
                  <w:rFonts w:ascii="Arial" w:hAnsi="Arial" w:cs="Arial"/>
                  <w:bCs/>
                  <w:i/>
                  <w:iCs/>
                  <w:sz w:val="18"/>
                  <w:szCs w:val="18"/>
                </w:rPr>
                <w:t xml:space="preserve">version </w:t>
              </w:r>
              <w:r w:rsidR="00611503">
                <w:rPr>
                  <w:rStyle w:val="PageNumber"/>
                  <w:rFonts w:ascii="Arial" w:hAnsi="Arial" w:cs="Arial"/>
                  <w:bCs/>
                  <w:i/>
                  <w:iCs/>
                  <w:sz w:val="18"/>
                  <w:szCs w:val="18"/>
                </w:rPr>
                <w:t>1.0</w:t>
              </w:r>
            </w:p>
          </w:tc>
          <w:tc>
            <w:tcPr>
              <w:tcW w:w="3382" w:type="dxa"/>
            </w:tcPr>
            <w:p w:rsidR="00386BF4" w:rsidRPr="003B2589" w:rsidRDefault="00386BF4" w:rsidP="002D7F2C">
              <w:pPr>
                <w:pStyle w:val="Footer"/>
                <w:tabs>
                  <w:tab w:val="right" w:pos="-1843"/>
                  <w:tab w:val="center" w:pos="4962"/>
                  <w:tab w:val="right" w:pos="9923"/>
                  <w:tab w:val="right" w:pos="10632"/>
                </w:tabs>
                <w:jc w:val="right"/>
                <w:rPr>
                  <w:rStyle w:val="PageNumber"/>
                  <w:rFonts w:ascii="Arial" w:hAnsi="Arial" w:cs="Arial"/>
                  <w:bCs/>
                  <w:i/>
                  <w:iCs/>
                  <w:sz w:val="18"/>
                  <w:szCs w:val="18"/>
                </w:rPr>
              </w:pPr>
              <w:r w:rsidRPr="003B2589">
                <w:rPr>
                  <w:rFonts w:ascii="Arial" w:hAnsi="Arial" w:cs="Arial"/>
                  <w:bCs/>
                  <w:i/>
                  <w:iCs/>
                  <w:sz w:val="18"/>
                  <w:szCs w:val="18"/>
                </w:rPr>
                <w:t xml:space="preserve">Page </w:t>
              </w:r>
              <w:r w:rsidR="00BC6C8C" w:rsidRPr="003B2589">
                <w:rPr>
                  <w:rStyle w:val="PageNumber"/>
                  <w:rFonts w:ascii="Arial" w:hAnsi="Arial" w:cs="Arial"/>
                  <w:i/>
                  <w:iCs/>
                  <w:sz w:val="18"/>
                  <w:szCs w:val="18"/>
                </w:rPr>
                <w:fldChar w:fldCharType="begin"/>
              </w:r>
              <w:r w:rsidRPr="003B2589">
                <w:rPr>
                  <w:rStyle w:val="PageNumber"/>
                  <w:rFonts w:ascii="Arial" w:hAnsi="Arial" w:cs="Arial"/>
                  <w:i/>
                  <w:iCs/>
                  <w:sz w:val="18"/>
                  <w:szCs w:val="18"/>
                </w:rPr>
                <w:instrText xml:space="preserve"> PAGE </w:instrText>
              </w:r>
              <w:r w:rsidR="00BC6C8C" w:rsidRPr="003B2589">
                <w:rPr>
                  <w:rStyle w:val="PageNumber"/>
                  <w:rFonts w:ascii="Arial" w:hAnsi="Arial" w:cs="Arial"/>
                  <w:i/>
                  <w:iCs/>
                  <w:sz w:val="18"/>
                  <w:szCs w:val="18"/>
                </w:rPr>
                <w:fldChar w:fldCharType="separate"/>
              </w:r>
              <w:r w:rsidR="009C3A41">
                <w:rPr>
                  <w:rStyle w:val="PageNumber"/>
                  <w:rFonts w:ascii="Arial" w:hAnsi="Arial" w:cs="Arial"/>
                  <w:i/>
                  <w:iCs/>
                  <w:noProof/>
                  <w:sz w:val="18"/>
                  <w:szCs w:val="18"/>
                </w:rPr>
                <w:t>20</w:t>
              </w:r>
              <w:r w:rsidR="00BC6C8C" w:rsidRPr="003B2589">
                <w:rPr>
                  <w:rStyle w:val="PageNumber"/>
                  <w:rFonts w:ascii="Arial" w:hAnsi="Arial" w:cs="Arial"/>
                  <w:i/>
                  <w:iCs/>
                  <w:sz w:val="18"/>
                  <w:szCs w:val="18"/>
                </w:rPr>
                <w:fldChar w:fldCharType="end"/>
              </w:r>
              <w:r w:rsidRPr="003B2589">
                <w:rPr>
                  <w:rFonts w:ascii="Arial" w:hAnsi="Arial" w:cs="Arial"/>
                  <w:bCs/>
                  <w:i/>
                  <w:iCs/>
                  <w:sz w:val="18"/>
                  <w:szCs w:val="18"/>
                </w:rPr>
                <w:t xml:space="preserve"> </w:t>
              </w:r>
            </w:p>
          </w:tc>
        </w:tr>
      </w:tbl>
      <w:p w:rsidR="00386BF4" w:rsidRDefault="00BC6C8C">
        <w:pPr>
          <w:pStyle w:val="Footer"/>
          <w:jc w:val="right"/>
        </w:pPr>
      </w:p>
    </w:sdtContent>
  </w:sdt>
  <w:p w:rsidR="00386BF4" w:rsidRDefault="0038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0D0" w:rsidRDefault="00BC30D0" w:rsidP="00A20F6E">
      <w:pPr>
        <w:spacing w:after="0" w:line="240" w:lineRule="auto"/>
      </w:pPr>
      <w:r>
        <w:separator/>
      </w:r>
    </w:p>
  </w:footnote>
  <w:footnote w:type="continuationSeparator" w:id="0">
    <w:p w:rsidR="00BC30D0" w:rsidRDefault="00BC30D0" w:rsidP="00A20F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9C3A41" w:rsidRPr="009C3A41" w:rsidTr="00787D51">
      <w:tc>
        <w:tcPr>
          <w:tcW w:w="8720" w:type="dxa"/>
          <w:shd w:val="clear" w:color="auto" w:fill="E4F2E0"/>
        </w:tcPr>
        <w:p w:rsidR="009C3A41" w:rsidRPr="009C3A41" w:rsidRDefault="009C3A41" w:rsidP="00787D51">
          <w:pPr>
            <w:spacing w:before="40" w:after="40"/>
            <w:rPr>
              <w:rFonts w:ascii="Cambria" w:hAnsi="Cambria"/>
              <w:b/>
              <w:sz w:val="20"/>
              <w:szCs w:val="20"/>
            </w:rPr>
          </w:pPr>
          <w:r w:rsidRPr="009C3A41">
            <w:rPr>
              <w:rFonts w:ascii="Cambria" w:hAnsi="Cambria"/>
              <w:b/>
              <w:sz w:val="20"/>
              <w:szCs w:val="20"/>
            </w:rPr>
            <w:t xml:space="preserve">Attachment 1: Product information for </w:t>
          </w:r>
          <w:proofErr w:type="spellStart"/>
          <w:r w:rsidRPr="009C3A41">
            <w:rPr>
              <w:rFonts w:ascii="Cambria" w:hAnsi="Cambria"/>
              <w:b/>
              <w:sz w:val="20"/>
              <w:szCs w:val="20"/>
            </w:rPr>
            <w:t>AusPAR</w:t>
          </w:r>
          <w:proofErr w:type="spellEnd"/>
          <w:r w:rsidRPr="009C3A41">
            <w:rPr>
              <w:rFonts w:ascii="Cambria" w:hAnsi="Cambria"/>
              <w:b/>
              <w:sz w:val="20"/>
              <w:szCs w:val="20"/>
            </w:rPr>
            <w:t xml:space="preserve"> </w:t>
          </w:r>
          <w:proofErr w:type="spellStart"/>
          <w:r w:rsidRPr="009C3A41">
            <w:rPr>
              <w:rFonts w:ascii="Cambria" w:hAnsi="Cambria"/>
              <w:b/>
              <w:sz w:val="20"/>
              <w:szCs w:val="20"/>
            </w:rPr>
            <w:t>alogliptin</w:t>
          </w:r>
          <w:proofErr w:type="spellEnd"/>
          <w:r w:rsidRPr="009C3A41">
            <w:rPr>
              <w:rFonts w:ascii="Cambria" w:hAnsi="Cambria"/>
              <w:b/>
              <w:sz w:val="20"/>
              <w:szCs w:val="20"/>
            </w:rPr>
            <w:t xml:space="preserve"> (as benzoate), </w:t>
          </w:r>
          <w:proofErr w:type="spellStart"/>
          <w:r w:rsidRPr="009C3A41">
            <w:rPr>
              <w:rFonts w:ascii="Cambria" w:hAnsi="Cambria"/>
              <w:b/>
              <w:sz w:val="20"/>
              <w:szCs w:val="20"/>
            </w:rPr>
            <w:t>Nesina</w:t>
          </w:r>
          <w:proofErr w:type="spellEnd"/>
          <w:r w:rsidRPr="009C3A41">
            <w:rPr>
              <w:rFonts w:ascii="Cambria" w:hAnsi="Cambria"/>
              <w:b/>
              <w:sz w:val="20"/>
              <w:szCs w:val="20"/>
            </w:rPr>
            <w:t xml:space="preserve"> and </w:t>
          </w:r>
          <w:proofErr w:type="spellStart"/>
          <w:r w:rsidRPr="009C3A41">
            <w:rPr>
              <w:rFonts w:ascii="Cambria" w:hAnsi="Cambria"/>
              <w:b/>
              <w:sz w:val="20"/>
              <w:szCs w:val="20"/>
            </w:rPr>
            <w:t>Vipidia</w:t>
          </w:r>
          <w:proofErr w:type="spellEnd"/>
          <w:r w:rsidRPr="009C3A41">
            <w:rPr>
              <w:rFonts w:ascii="Cambria" w:hAnsi="Cambria"/>
              <w:b/>
              <w:sz w:val="20"/>
              <w:szCs w:val="20"/>
            </w:rPr>
            <w:t xml:space="preserve">, Takeda Pharmaceuticals Australia Pty Ltd PM-2012-01949-3-5 Date of Finalisation 9 January 2014. This Product Information was approved at the time this </w:t>
          </w:r>
          <w:proofErr w:type="spellStart"/>
          <w:r w:rsidRPr="009C3A41">
            <w:rPr>
              <w:rFonts w:ascii="Cambria" w:hAnsi="Cambria"/>
              <w:b/>
              <w:sz w:val="20"/>
              <w:szCs w:val="20"/>
            </w:rPr>
            <w:t>AusPAR</w:t>
          </w:r>
          <w:proofErr w:type="spellEnd"/>
          <w:r w:rsidRPr="009C3A41">
            <w:rPr>
              <w:rFonts w:ascii="Cambria" w:hAnsi="Cambria"/>
              <w:b/>
              <w:sz w:val="20"/>
              <w:szCs w:val="20"/>
            </w:rPr>
            <w:t xml:space="preserve"> was published.</w:t>
          </w:r>
        </w:p>
      </w:tc>
    </w:tr>
  </w:tbl>
  <w:p w:rsidR="009C3A41" w:rsidRPr="009C3A41" w:rsidRDefault="009C3A41">
    <w:pPr>
      <w:pStyle w:val="Header"/>
      <w:rPr>
        <w:rFonts w:ascii="Cambria" w:hAnsi="Cambria"/>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0322"/>
    <w:multiLevelType w:val="singleLevel"/>
    <w:tmpl w:val="A8F43FF2"/>
    <w:lvl w:ilvl="0">
      <w:start w:val="1"/>
      <w:numFmt w:val="decimal"/>
      <w:lvlText w:val="Figure: %1. "/>
      <w:lvlJc w:val="left"/>
      <w:pPr>
        <w:tabs>
          <w:tab w:val="num" w:pos="1080"/>
        </w:tabs>
        <w:ind w:left="360" w:hanging="360"/>
      </w:pPr>
    </w:lvl>
  </w:abstractNum>
  <w:abstractNum w:abstractNumId="1">
    <w:nsid w:val="09E12A80"/>
    <w:multiLevelType w:val="hybridMultilevel"/>
    <w:tmpl w:val="49AC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B6C0F"/>
    <w:multiLevelType w:val="hybridMultilevel"/>
    <w:tmpl w:val="1DE2E338"/>
    <w:lvl w:ilvl="0" w:tplc="0C090001">
      <w:start w:val="1"/>
      <w:numFmt w:val="bullet"/>
      <w:lvlText w:val=""/>
      <w:lvlJc w:val="left"/>
      <w:pPr>
        <w:ind w:left="720" w:hanging="360"/>
      </w:pPr>
      <w:rPr>
        <w:rFonts w:ascii="Symbol" w:hAnsi="Symbol"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D15D4A"/>
    <w:multiLevelType w:val="hybridMultilevel"/>
    <w:tmpl w:val="AB02F9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294D1889"/>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BB163CF"/>
    <w:multiLevelType w:val="hybridMultilevel"/>
    <w:tmpl w:val="B646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30019"/>
    <w:multiLevelType w:val="hybridMultilevel"/>
    <w:tmpl w:val="F26CC1B4"/>
    <w:lvl w:ilvl="0" w:tplc="0C09000F">
      <w:start w:val="1"/>
      <w:numFmt w:val="decimal"/>
      <w:lvlText w:val="%1."/>
      <w:lvlJc w:val="left"/>
      <w:pPr>
        <w:ind w:left="720" w:hanging="360"/>
      </w:pPr>
      <w:rPr>
        <w:rFonts w:hint="default"/>
      </w:rPr>
    </w:lvl>
    <w:lvl w:ilvl="1" w:tplc="8C2625E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91D1267"/>
    <w:multiLevelType w:val="hybridMultilevel"/>
    <w:tmpl w:val="39D86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7303E6A"/>
    <w:multiLevelType w:val="hybridMultilevel"/>
    <w:tmpl w:val="76E23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6"/>
  </w:num>
  <w:num w:numId="6">
    <w:abstractNumId w:val="3"/>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attachedTemplate r:id="rId1"/>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rsids>
    <w:rsidRoot w:val="00C24C46"/>
    <w:rsid w:val="00007E61"/>
    <w:rsid w:val="00011711"/>
    <w:rsid w:val="000123D1"/>
    <w:rsid w:val="00012DA7"/>
    <w:rsid w:val="00014CB1"/>
    <w:rsid w:val="000152A9"/>
    <w:rsid w:val="000154F2"/>
    <w:rsid w:val="0001571F"/>
    <w:rsid w:val="000175FC"/>
    <w:rsid w:val="00017C2A"/>
    <w:rsid w:val="0002031B"/>
    <w:rsid w:val="00022141"/>
    <w:rsid w:val="00022AC9"/>
    <w:rsid w:val="000239C8"/>
    <w:rsid w:val="00024C76"/>
    <w:rsid w:val="00025934"/>
    <w:rsid w:val="00025B7C"/>
    <w:rsid w:val="0002661E"/>
    <w:rsid w:val="00031788"/>
    <w:rsid w:val="00032DA6"/>
    <w:rsid w:val="0003313D"/>
    <w:rsid w:val="00034061"/>
    <w:rsid w:val="00036044"/>
    <w:rsid w:val="00040A9F"/>
    <w:rsid w:val="000422D2"/>
    <w:rsid w:val="00044F77"/>
    <w:rsid w:val="00045A44"/>
    <w:rsid w:val="000515A9"/>
    <w:rsid w:val="00054EAC"/>
    <w:rsid w:val="00054F5E"/>
    <w:rsid w:val="00064018"/>
    <w:rsid w:val="0006480E"/>
    <w:rsid w:val="000663CC"/>
    <w:rsid w:val="00067C45"/>
    <w:rsid w:val="00067F72"/>
    <w:rsid w:val="000733B0"/>
    <w:rsid w:val="00077256"/>
    <w:rsid w:val="0007743F"/>
    <w:rsid w:val="0008021D"/>
    <w:rsid w:val="000820A3"/>
    <w:rsid w:val="00083704"/>
    <w:rsid w:val="00085146"/>
    <w:rsid w:val="000868DB"/>
    <w:rsid w:val="00090733"/>
    <w:rsid w:val="0009563A"/>
    <w:rsid w:val="00096303"/>
    <w:rsid w:val="0009660B"/>
    <w:rsid w:val="000971B0"/>
    <w:rsid w:val="00097D9B"/>
    <w:rsid w:val="000A125C"/>
    <w:rsid w:val="000A167B"/>
    <w:rsid w:val="000A3A87"/>
    <w:rsid w:val="000A4C5F"/>
    <w:rsid w:val="000A651C"/>
    <w:rsid w:val="000A73C4"/>
    <w:rsid w:val="000A73DF"/>
    <w:rsid w:val="000A783A"/>
    <w:rsid w:val="000B0E3E"/>
    <w:rsid w:val="000C35CB"/>
    <w:rsid w:val="000C708D"/>
    <w:rsid w:val="000C7BE2"/>
    <w:rsid w:val="000D036F"/>
    <w:rsid w:val="000D0C98"/>
    <w:rsid w:val="000D2DC7"/>
    <w:rsid w:val="000D5AC5"/>
    <w:rsid w:val="000D7FC6"/>
    <w:rsid w:val="000E0625"/>
    <w:rsid w:val="000E37E9"/>
    <w:rsid w:val="000E4CC1"/>
    <w:rsid w:val="000E5208"/>
    <w:rsid w:val="000E56F3"/>
    <w:rsid w:val="000E6526"/>
    <w:rsid w:val="000F11C8"/>
    <w:rsid w:val="000F52CD"/>
    <w:rsid w:val="000F6F6A"/>
    <w:rsid w:val="000F7B75"/>
    <w:rsid w:val="00104B93"/>
    <w:rsid w:val="0010532C"/>
    <w:rsid w:val="001058D2"/>
    <w:rsid w:val="0010670A"/>
    <w:rsid w:val="0010768F"/>
    <w:rsid w:val="0011097F"/>
    <w:rsid w:val="00111B5B"/>
    <w:rsid w:val="001147D0"/>
    <w:rsid w:val="00123F85"/>
    <w:rsid w:val="00123FEF"/>
    <w:rsid w:val="00127472"/>
    <w:rsid w:val="00127A15"/>
    <w:rsid w:val="001313D8"/>
    <w:rsid w:val="00131821"/>
    <w:rsid w:val="00131B17"/>
    <w:rsid w:val="00132678"/>
    <w:rsid w:val="00132929"/>
    <w:rsid w:val="0013356B"/>
    <w:rsid w:val="00135A16"/>
    <w:rsid w:val="001367E2"/>
    <w:rsid w:val="00143BCB"/>
    <w:rsid w:val="00143EC0"/>
    <w:rsid w:val="0014644B"/>
    <w:rsid w:val="00150F55"/>
    <w:rsid w:val="001654DC"/>
    <w:rsid w:val="001663E9"/>
    <w:rsid w:val="00167460"/>
    <w:rsid w:val="00173D48"/>
    <w:rsid w:val="00173FC7"/>
    <w:rsid w:val="001758AF"/>
    <w:rsid w:val="00183E96"/>
    <w:rsid w:val="001876F0"/>
    <w:rsid w:val="001904BB"/>
    <w:rsid w:val="00190A20"/>
    <w:rsid w:val="0019354D"/>
    <w:rsid w:val="00193A63"/>
    <w:rsid w:val="00194415"/>
    <w:rsid w:val="00194B89"/>
    <w:rsid w:val="00194F98"/>
    <w:rsid w:val="00197C4B"/>
    <w:rsid w:val="001A0ACE"/>
    <w:rsid w:val="001A5016"/>
    <w:rsid w:val="001A5227"/>
    <w:rsid w:val="001A5E88"/>
    <w:rsid w:val="001B208A"/>
    <w:rsid w:val="001B2A58"/>
    <w:rsid w:val="001B4FB7"/>
    <w:rsid w:val="001B59D9"/>
    <w:rsid w:val="001D37C9"/>
    <w:rsid w:val="001D4688"/>
    <w:rsid w:val="001D63A1"/>
    <w:rsid w:val="001D6B5F"/>
    <w:rsid w:val="001D744F"/>
    <w:rsid w:val="001E22E3"/>
    <w:rsid w:val="001F025A"/>
    <w:rsid w:val="001F0C28"/>
    <w:rsid w:val="001F2FEC"/>
    <w:rsid w:val="001F49F8"/>
    <w:rsid w:val="001F7742"/>
    <w:rsid w:val="002003DA"/>
    <w:rsid w:val="00200986"/>
    <w:rsid w:val="002019A9"/>
    <w:rsid w:val="0021430E"/>
    <w:rsid w:val="00216F6E"/>
    <w:rsid w:val="00220A9D"/>
    <w:rsid w:val="002211E9"/>
    <w:rsid w:val="00222F2A"/>
    <w:rsid w:val="0022357E"/>
    <w:rsid w:val="00231741"/>
    <w:rsid w:val="0023174F"/>
    <w:rsid w:val="00231DD3"/>
    <w:rsid w:val="002331C9"/>
    <w:rsid w:val="00237C26"/>
    <w:rsid w:val="00241CD2"/>
    <w:rsid w:val="00245753"/>
    <w:rsid w:val="00245CD8"/>
    <w:rsid w:val="00253AB6"/>
    <w:rsid w:val="00257281"/>
    <w:rsid w:val="0025778C"/>
    <w:rsid w:val="00267272"/>
    <w:rsid w:val="0027336C"/>
    <w:rsid w:val="00276F81"/>
    <w:rsid w:val="00285EB3"/>
    <w:rsid w:val="00286EB7"/>
    <w:rsid w:val="00290572"/>
    <w:rsid w:val="002907E7"/>
    <w:rsid w:val="0029592A"/>
    <w:rsid w:val="002972C0"/>
    <w:rsid w:val="002A013C"/>
    <w:rsid w:val="002A3CB1"/>
    <w:rsid w:val="002A3F6E"/>
    <w:rsid w:val="002A597C"/>
    <w:rsid w:val="002A6115"/>
    <w:rsid w:val="002A7FDF"/>
    <w:rsid w:val="002B2394"/>
    <w:rsid w:val="002B296F"/>
    <w:rsid w:val="002B2EF7"/>
    <w:rsid w:val="002B370A"/>
    <w:rsid w:val="002C0319"/>
    <w:rsid w:val="002C0DBA"/>
    <w:rsid w:val="002C191C"/>
    <w:rsid w:val="002C2250"/>
    <w:rsid w:val="002C2B3C"/>
    <w:rsid w:val="002C44A0"/>
    <w:rsid w:val="002C51FD"/>
    <w:rsid w:val="002C576E"/>
    <w:rsid w:val="002C65FC"/>
    <w:rsid w:val="002D1211"/>
    <w:rsid w:val="002D2BA6"/>
    <w:rsid w:val="002D31A3"/>
    <w:rsid w:val="002D7F2C"/>
    <w:rsid w:val="002E095B"/>
    <w:rsid w:val="002E1734"/>
    <w:rsid w:val="002E285C"/>
    <w:rsid w:val="002F0915"/>
    <w:rsid w:val="002F09ED"/>
    <w:rsid w:val="002F0BCA"/>
    <w:rsid w:val="002F1735"/>
    <w:rsid w:val="002F339B"/>
    <w:rsid w:val="002F37BF"/>
    <w:rsid w:val="002F3897"/>
    <w:rsid w:val="002F4B3F"/>
    <w:rsid w:val="002F4BE8"/>
    <w:rsid w:val="002F60F6"/>
    <w:rsid w:val="003043DD"/>
    <w:rsid w:val="00305445"/>
    <w:rsid w:val="00307363"/>
    <w:rsid w:val="00310428"/>
    <w:rsid w:val="00310CB5"/>
    <w:rsid w:val="003122AF"/>
    <w:rsid w:val="00331707"/>
    <w:rsid w:val="0033170F"/>
    <w:rsid w:val="00332690"/>
    <w:rsid w:val="00333E5A"/>
    <w:rsid w:val="003422E9"/>
    <w:rsid w:val="00343150"/>
    <w:rsid w:val="00344C0D"/>
    <w:rsid w:val="0035430F"/>
    <w:rsid w:val="003554F5"/>
    <w:rsid w:val="00355C9E"/>
    <w:rsid w:val="0035728C"/>
    <w:rsid w:val="00360B1B"/>
    <w:rsid w:val="0036105C"/>
    <w:rsid w:val="00367651"/>
    <w:rsid w:val="0037426D"/>
    <w:rsid w:val="00376780"/>
    <w:rsid w:val="003816FF"/>
    <w:rsid w:val="00386721"/>
    <w:rsid w:val="00386BF4"/>
    <w:rsid w:val="00387227"/>
    <w:rsid w:val="00395141"/>
    <w:rsid w:val="00396951"/>
    <w:rsid w:val="003A178B"/>
    <w:rsid w:val="003A47E0"/>
    <w:rsid w:val="003A6B79"/>
    <w:rsid w:val="003B0027"/>
    <w:rsid w:val="003B2589"/>
    <w:rsid w:val="003B2A3C"/>
    <w:rsid w:val="003B5C96"/>
    <w:rsid w:val="003B6E28"/>
    <w:rsid w:val="003C070D"/>
    <w:rsid w:val="003C0E59"/>
    <w:rsid w:val="003C2027"/>
    <w:rsid w:val="003C3B6E"/>
    <w:rsid w:val="003D021A"/>
    <w:rsid w:val="003D19F4"/>
    <w:rsid w:val="003D4309"/>
    <w:rsid w:val="003D51BA"/>
    <w:rsid w:val="003D669A"/>
    <w:rsid w:val="003E2B72"/>
    <w:rsid w:val="003E3624"/>
    <w:rsid w:val="003E54FF"/>
    <w:rsid w:val="003E6FC4"/>
    <w:rsid w:val="003E7040"/>
    <w:rsid w:val="003E725F"/>
    <w:rsid w:val="003F4C3E"/>
    <w:rsid w:val="003F5988"/>
    <w:rsid w:val="003F65CA"/>
    <w:rsid w:val="003F7158"/>
    <w:rsid w:val="00403A9F"/>
    <w:rsid w:val="00403D65"/>
    <w:rsid w:val="004102A4"/>
    <w:rsid w:val="00410880"/>
    <w:rsid w:val="004120F3"/>
    <w:rsid w:val="00412F12"/>
    <w:rsid w:val="0041766C"/>
    <w:rsid w:val="00417C4B"/>
    <w:rsid w:val="004245D7"/>
    <w:rsid w:val="0042486E"/>
    <w:rsid w:val="00426AEA"/>
    <w:rsid w:val="0043016E"/>
    <w:rsid w:val="00430D38"/>
    <w:rsid w:val="00435855"/>
    <w:rsid w:val="00436727"/>
    <w:rsid w:val="00437220"/>
    <w:rsid w:val="004408B0"/>
    <w:rsid w:val="00446A84"/>
    <w:rsid w:val="00450E2E"/>
    <w:rsid w:val="00453ECB"/>
    <w:rsid w:val="00460BF9"/>
    <w:rsid w:val="0046270B"/>
    <w:rsid w:val="00465148"/>
    <w:rsid w:val="00465E29"/>
    <w:rsid w:val="00472740"/>
    <w:rsid w:val="00473CBA"/>
    <w:rsid w:val="004765AE"/>
    <w:rsid w:val="00477053"/>
    <w:rsid w:val="00483DDA"/>
    <w:rsid w:val="00483F9D"/>
    <w:rsid w:val="00484207"/>
    <w:rsid w:val="00491479"/>
    <w:rsid w:val="004915B7"/>
    <w:rsid w:val="00492B88"/>
    <w:rsid w:val="00495691"/>
    <w:rsid w:val="00496517"/>
    <w:rsid w:val="00496BF8"/>
    <w:rsid w:val="004A0B1C"/>
    <w:rsid w:val="004A396C"/>
    <w:rsid w:val="004A44E8"/>
    <w:rsid w:val="004A511A"/>
    <w:rsid w:val="004A5575"/>
    <w:rsid w:val="004B031A"/>
    <w:rsid w:val="004C028C"/>
    <w:rsid w:val="004C0DC2"/>
    <w:rsid w:val="004C1A0A"/>
    <w:rsid w:val="004C39AB"/>
    <w:rsid w:val="004C3AE8"/>
    <w:rsid w:val="004C6F1A"/>
    <w:rsid w:val="004D0962"/>
    <w:rsid w:val="004D28D9"/>
    <w:rsid w:val="004D45D4"/>
    <w:rsid w:val="004D54DC"/>
    <w:rsid w:val="004D7895"/>
    <w:rsid w:val="004E2A74"/>
    <w:rsid w:val="004E3EBE"/>
    <w:rsid w:val="004E45C3"/>
    <w:rsid w:val="004E5166"/>
    <w:rsid w:val="004E5806"/>
    <w:rsid w:val="004F65B3"/>
    <w:rsid w:val="00500C08"/>
    <w:rsid w:val="00505694"/>
    <w:rsid w:val="0050624D"/>
    <w:rsid w:val="00506327"/>
    <w:rsid w:val="0051007D"/>
    <w:rsid w:val="00511E17"/>
    <w:rsid w:val="0051531C"/>
    <w:rsid w:val="005155CB"/>
    <w:rsid w:val="00516A9D"/>
    <w:rsid w:val="005171DC"/>
    <w:rsid w:val="00520DC9"/>
    <w:rsid w:val="00523118"/>
    <w:rsid w:val="00530375"/>
    <w:rsid w:val="005306C9"/>
    <w:rsid w:val="00530859"/>
    <w:rsid w:val="005326B6"/>
    <w:rsid w:val="00533354"/>
    <w:rsid w:val="0053473A"/>
    <w:rsid w:val="00535E7A"/>
    <w:rsid w:val="00536ED0"/>
    <w:rsid w:val="005405D7"/>
    <w:rsid w:val="00545699"/>
    <w:rsid w:val="00545E4A"/>
    <w:rsid w:val="00547836"/>
    <w:rsid w:val="00550CFF"/>
    <w:rsid w:val="00550EBA"/>
    <w:rsid w:val="00551158"/>
    <w:rsid w:val="00552E15"/>
    <w:rsid w:val="005543A6"/>
    <w:rsid w:val="005567A6"/>
    <w:rsid w:val="00557307"/>
    <w:rsid w:val="00561C21"/>
    <w:rsid w:val="00562F38"/>
    <w:rsid w:val="0057064A"/>
    <w:rsid w:val="005707D7"/>
    <w:rsid w:val="00570FE2"/>
    <w:rsid w:val="00571399"/>
    <w:rsid w:val="00571BE9"/>
    <w:rsid w:val="00573359"/>
    <w:rsid w:val="00573E4C"/>
    <w:rsid w:val="0057653F"/>
    <w:rsid w:val="00576768"/>
    <w:rsid w:val="00576B65"/>
    <w:rsid w:val="005804FB"/>
    <w:rsid w:val="0058158E"/>
    <w:rsid w:val="005832EC"/>
    <w:rsid w:val="005901F5"/>
    <w:rsid w:val="00592325"/>
    <w:rsid w:val="00592E5F"/>
    <w:rsid w:val="00594838"/>
    <w:rsid w:val="00597203"/>
    <w:rsid w:val="005A1D94"/>
    <w:rsid w:val="005A2555"/>
    <w:rsid w:val="005A3E75"/>
    <w:rsid w:val="005A5CE7"/>
    <w:rsid w:val="005B3F73"/>
    <w:rsid w:val="005B4D23"/>
    <w:rsid w:val="005B5F6C"/>
    <w:rsid w:val="005C5C84"/>
    <w:rsid w:val="005C66B8"/>
    <w:rsid w:val="005D0FC0"/>
    <w:rsid w:val="005D1F3A"/>
    <w:rsid w:val="005D4DE1"/>
    <w:rsid w:val="005D52EE"/>
    <w:rsid w:val="005D732F"/>
    <w:rsid w:val="005E0D9B"/>
    <w:rsid w:val="005E1E2C"/>
    <w:rsid w:val="005E2505"/>
    <w:rsid w:val="005E4B98"/>
    <w:rsid w:val="005E5AD9"/>
    <w:rsid w:val="005E7F24"/>
    <w:rsid w:val="005F07F9"/>
    <w:rsid w:val="005F1CDE"/>
    <w:rsid w:val="005F33EE"/>
    <w:rsid w:val="005F4DE2"/>
    <w:rsid w:val="005F582F"/>
    <w:rsid w:val="005F65A6"/>
    <w:rsid w:val="00600418"/>
    <w:rsid w:val="00600CE9"/>
    <w:rsid w:val="00600E17"/>
    <w:rsid w:val="00602017"/>
    <w:rsid w:val="006029B6"/>
    <w:rsid w:val="00602B93"/>
    <w:rsid w:val="00605EEA"/>
    <w:rsid w:val="006068E2"/>
    <w:rsid w:val="00607FE5"/>
    <w:rsid w:val="0061074E"/>
    <w:rsid w:val="006107D9"/>
    <w:rsid w:val="00611026"/>
    <w:rsid w:val="00611503"/>
    <w:rsid w:val="00612B90"/>
    <w:rsid w:val="00616742"/>
    <w:rsid w:val="00617936"/>
    <w:rsid w:val="00624146"/>
    <w:rsid w:val="006261F8"/>
    <w:rsid w:val="00630BC7"/>
    <w:rsid w:val="0063120E"/>
    <w:rsid w:val="006343C6"/>
    <w:rsid w:val="006346E8"/>
    <w:rsid w:val="00637403"/>
    <w:rsid w:val="00640ABD"/>
    <w:rsid w:val="00641113"/>
    <w:rsid w:val="0064130E"/>
    <w:rsid w:val="00644110"/>
    <w:rsid w:val="006452C7"/>
    <w:rsid w:val="00647E5C"/>
    <w:rsid w:val="0065210C"/>
    <w:rsid w:val="006529F4"/>
    <w:rsid w:val="0065492C"/>
    <w:rsid w:val="006646C5"/>
    <w:rsid w:val="0067038F"/>
    <w:rsid w:val="0067179E"/>
    <w:rsid w:val="00672E0C"/>
    <w:rsid w:val="006744AD"/>
    <w:rsid w:val="00674DA9"/>
    <w:rsid w:val="00677CCF"/>
    <w:rsid w:val="006806B0"/>
    <w:rsid w:val="00682C6A"/>
    <w:rsid w:val="006900C6"/>
    <w:rsid w:val="00690306"/>
    <w:rsid w:val="00691008"/>
    <w:rsid w:val="006928EA"/>
    <w:rsid w:val="0069554B"/>
    <w:rsid w:val="00696696"/>
    <w:rsid w:val="006A026A"/>
    <w:rsid w:val="006A44F9"/>
    <w:rsid w:val="006A4E62"/>
    <w:rsid w:val="006A64BB"/>
    <w:rsid w:val="006B11FD"/>
    <w:rsid w:val="006B2AB9"/>
    <w:rsid w:val="006B4C92"/>
    <w:rsid w:val="006B5256"/>
    <w:rsid w:val="006C32AC"/>
    <w:rsid w:val="006C404A"/>
    <w:rsid w:val="006C41E9"/>
    <w:rsid w:val="006C7935"/>
    <w:rsid w:val="006D1BE0"/>
    <w:rsid w:val="006D47FB"/>
    <w:rsid w:val="006D6C8F"/>
    <w:rsid w:val="006E2F52"/>
    <w:rsid w:val="006E67CF"/>
    <w:rsid w:val="006F14F1"/>
    <w:rsid w:val="006F1A70"/>
    <w:rsid w:val="006F24B7"/>
    <w:rsid w:val="006F3868"/>
    <w:rsid w:val="00704D61"/>
    <w:rsid w:val="00705AB6"/>
    <w:rsid w:val="007069BD"/>
    <w:rsid w:val="007103C5"/>
    <w:rsid w:val="00714910"/>
    <w:rsid w:val="007201F1"/>
    <w:rsid w:val="007204D7"/>
    <w:rsid w:val="0072185D"/>
    <w:rsid w:val="0072279D"/>
    <w:rsid w:val="00722D84"/>
    <w:rsid w:val="00724BBB"/>
    <w:rsid w:val="00725DD5"/>
    <w:rsid w:val="00730FFF"/>
    <w:rsid w:val="0073131F"/>
    <w:rsid w:val="00731BC4"/>
    <w:rsid w:val="00743EFB"/>
    <w:rsid w:val="00744762"/>
    <w:rsid w:val="00751533"/>
    <w:rsid w:val="00751971"/>
    <w:rsid w:val="00751F4B"/>
    <w:rsid w:val="00755EB3"/>
    <w:rsid w:val="007566B5"/>
    <w:rsid w:val="00761397"/>
    <w:rsid w:val="00762CA4"/>
    <w:rsid w:val="00767504"/>
    <w:rsid w:val="00767F4D"/>
    <w:rsid w:val="00770496"/>
    <w:rsid w:val="00771320"/>
    <w:rsid w:val="00771709"/>
    <w:rsid w:val="0077243A"/>
    <w:rsid w:val="00772A50"/>
    <w:rsid w:val="00774B1B"/>
    <w:rsid w:val="00775673"/>
    <w:rsid w:val="00777B11"/>
    <w:rsid w:val="00781291"/>
    <w:rsid w:val="007832BB"/>
    <w:rsid w:val="0078514B"/>
    <w:rsid w:val="007913FB"/>
    <w:rsid w:val="00792525"/>
    <w:rsid w:val="0079277B"/>
    <w:rsid w:val="00792F85"/>
    <w:rsid w:val="00793E1A"/>
    <w:rsid w:val="007A1833"/>
    <w:rsid w:val="007A20EA"/>
    <w:rsid w:val="007A5722"/>
    <w:rsid w:val="007A6CC1"/>
    <w:rsid w:val="007B01AD"/>
    <w:rsid w:val="007B1774"/>
    <w:rsid w:val="007B3E4D"/>
    <w:rsid w:val="007B6866"/>
    <w:rsid w:val="007B7634"/>
    <w:rsid w:val="007C43FA"/>
    <w:rsid w:val="007C4B92"/>
    <w:rsid w:val="007C52E0"/>
    <w:rsid w:val="007C5852"/>
    <w:rsid w:val="007D1746"/>
    <w:rsid w:val="007D5BCC"/>
    <w:rsid w:val="007D696C"/>
    <w:rsid w:val="007D7610"/>
    <w:rsid w:val="007E04E5"/>
    <w:rsid w:val="007E530F"/>
    <w:rsid w:val="007E59F3"/>
    <w:rsid w:val="007E62AC"/>
    <w:rsid w:val="007F3DF5"/>
    <w:rsid w:val="007F6870"/>
    <w:rsid w:val="007F73DF"/>
    <w:rsid w:val="00800606"/>
    <w:rsid w:val="008044B9"/>
    <w:rsid w:val="00805CA2"/>
    <w:rsid w:val="0081064C"/>
    <w:rsid w:val="00811920"/>
    <w:rsid w:val="00812333"/>
    <w:rsid w:val="00814401"/>
    <w:rsid w:val="00815720"/>
    <w:rsid w:val="00815E80"/>
    <w:rsid w:val="008161BF"/>
    <w:rsid w:val="00816D48"/>
    <w:rsid w:val="00820EC3"/>
    <w:rsid w:val="00821CD5"/>
    <w:rsid w:val="0082273E"/>
    <w:rsid w:val="0082442A"/>
    <w:rsid w:val="00824A10"/>
    <w:rsid w:val="00827C41"/>
    <w:rsid w:val="00830729"/>
    <w:rsid w:val="00830761"/>
    <w:rsid w:val="00836DA9"/>
    <w:rsid w:val="00840110"/>
    <w:rsid w:val="00844709"/>
    <w:rsid w:val="00846E8C"/>
    <w:rsid w:val="00847898"/>
    <w:rsid w:val="00851CE1"/>
    <w:rsid w:val="00854C85"/>
    <w:rsid w:val="008565EB"/>
    <w:rsid w:val="0085699F"/>
    <w:rsid w:val="00857B8A"/>
    <w:rsid w:val="00861A39"/>
    <w:rsid w:val="00862C55"/>
    <w:rsid w:val="00862F4B"/>
    <w:rsid w:val="008642D2"/>
    <w:rsid w:val="00864BB6"/>
    <w:rsid w:val="008660DD"/>
    <w:rsid w:val="00871240"/>
    <w:rsid w:val="008721EF"/>
    <w:rsid w:val="00874725"/>
    <w:rsid w:val="00876829"/>
    <w:rsid w:val="008802A0"/>
    <w:rsid w:val="008841D7"/>
    <w:rsid w:val="008923A6"/>
    <w:rsid w:val="00893411"/>
    <w:rsid w:val="00894A0B"/>
    <w:rsid w:val="00894EBE"/>
    <w:rsid w:val="00897706"/>
    <w:rsid w:val="008A0966"/>
    <w:rsid w:val="008A280C"/>
    <w:rsid w:val="008A531D"/>
    <w:rsid w:val="008A610F"/>
    <w:rsid w:val="008A70FC"/>
    <w:rsid w:val="008B0766"/>
    <w:rsid w:val="008B2B03"/>
    <w:rsid w:val="008B4DEB"/>
    <w:rsid w:val="008B71F6"/>
    <w:rsid w:val="008B77E3"/>
    <w:rsid w:val="008C03F0"/>
    <w:rsid w:val="008C1656"/>
    <w:rsid w:val="008C195F"/>
    <w:rsid w:val="008C199E"/>
    <w:rsid w:val="008C2B5A"/>
    <w:rsid w:val="008D053E"/>
    <w:rsid w:val="008D154B"/>
    <w:rsid w:val="008D193F"/>
    <w:rsid w:val="008D3CB5"/>
    <w:rsid w:val="008D54D5"/>
    <w:rsid w:val="008D6212"/>
    <w:rsid w:val="008D726F"/>
    <w:rsid w:val="008E138E"/>
    <w:rsid w:val="008E1C29"/>
    <w:rsid w:val="008E22D8"/>
    <w:rsid w:val="008E3009"/>
    <w:rsid w:val="008E3298"/>
    <w:rsid w:val="008E33BC"/>
    <w:rsid w:val="008E3E92"/>
    <w:rsid w:val="008F33ED"/>
    <w:rsid w:val="008F534C"/>
    <w:rsid w:val="008F7010"/>
    <w:rsid w:val="00900D0B"/>
    <w:rsid w:val="0090316A"/>
    <w:rsid w:val="00905D7F"/>
    <w:rsid w:val="00906AA5"/>
    <w:rsid w:val="00907764"/>
    <w:rsid w:val="00911F14"/>
    <w:rsid w:val="009179FA"/>
    <w:rsid w:val="00917FE4"/>
    <w:rsid w:val="00920414"/>
    <w:rsid w:val="0092110E"/>
    <w:rsid w:val="009219FB"/>
    <w:rsid w:val="00923C30"/>
    <w:rsid w:val="00924713"/>
    <w:rsid w:val="009327A2"/>
    <w:rsid w:val="00932C45"/>
    <w:rsid w:val="009403F4"/>
    <w:rsid w:val="00940BE6"/>
    <w:rsid w:val="00941EE7"/>
    <w:rsid w:val="009424CD"/>
    <w:rsid w:val="0094339D"/>
    <w:rsid w:val="00943BCB"/>
    <w:rsid w:val="00943F5E"/>
    <w:rsid w:val="0094534A"/>
    <w:rsid w:val="0094542D"/>
    <w:rsid w:val="00947C5C"/>
    <w:rsid w:val="00950F37"/>
    <w:rsid w:val="0095170C"/>
    <w:rsid w:val="00952140"/>
    <w:rsid w:val="0095253A"/>
    <w:rsid w:val="00953CAE"/>
    <w:rsid w:val="00955869"/>
    <w:rsid w:val="00956BAB"/>
    <w:rsid w:val="0095746F"/>
    <w:rsid w:val="009642EF"/>
    <w:rsid w:val="00965458"/>
    <w:rsid w:val="00965E6F"/>
    <w:rsid w:val="0096732B"/>
    <w:rsid w:val="00976406"/>
    <w:rsid w:val="00980B0D"/>
    <w:rsid w:val="00980D61"/>
    <w:rsid w:val="0098159C"/>
    <w:rsid w:val="00982CA9"/>
    <w:rsid w:val="009843FA"/>
    <w:rsid w:val="009844FA"/>
    <w:rsid w:val="00985135"/>
    <w:rsid w:val="009928E9"/>
    <w:rsid w:val="00994097"/>
    <w:rsid w:val="0099410C"/>
    <w:rsid w:val="009946CC"/>
    <w:rsid w:val="009951AF"/>
    <w:rsid w:val="00995672"/>
    <w:rsid w:val="00995D03"/>
    <w:rsid w:val="009A1601"/>
    <w:rsid w:val="009A3C19"/>
    <w:rsid w:val="009A47C5"/>
    <w:rsid w:val="009A5F81"/>
    <w:rsid w:val="009A652D"/>
    <w:rsid w:val="009B196A"/>
    <w:rsid w:val="009B604C"/>
    <w:rsid w:val="009C11D9"/>
    <w:rsid w:val="009C2315"/>
    <w:rsid w:val="009C36C0"/>
    <w:rsid w:val="009C3A41"/>
    <w:rsid w:val="009C3B58"/>
    <w:rsid w:val="009C4B54"/>
    <w:rsid w:val="009C544B"/>
    <w:rsid w:val="009D0D14"/>
    <w:rsid w:val="009D379C"/>
    <w:rsid w:val="009D464C"/>
    <w:rsid w:val="009D49F7"/>
    <w:rsid w:val="009D6630"/>
    <w:rsid w:val="009D675A"/>
    <w:rsid w:val="009E0D73"/>
    <w:rsid w:val="009E2D0F"/>
    <w:rsid w:val="009E7430"/>
    <w:rsid w:val="009F03AC"/>
    <w:rsid w:val="009F0C19"/>
    <w:rsid w:val="009F13DE"/>
    <w:rsid w:val="009F574A"/>
    <w:rsid w:val="00A0307F"/>
    <w:rsid w:val="00A06993"/>
    <w:rsid w:val="00A07714"/>
    <w:rsid w:val="00A15C3B"/>
    <w:rsid w:val="00A20F6E"/>
    <w:rsid w:val="00A22285"/>
    <w:rsid w:val="00A33824"/>
    <w:rsid w:val="00A3767B"/>
    <w:rsid w:val="00A439BE"/>
    <w:rsid w:val="00A44323"/>
    <w:rsid w:val="00A449E6"/>
    <w:rsid w:val="00A46313"/>
    <w:rsid w:val="00A47B2E"/>
    <w:rsid w:val="00A525A2"/>
    <w:rsid w:val="00A52FD7"/>
    <w:rsid w:val="00A5523B"/>
    <w:rsid w:val="00A55B12"/>
    <w:rsid w:val="00A5736F"/>
    <w:rsid w:val="00A61164"/>
    <w:rsid w:val="00A64046"/>
    <w:rsid w:val="00A645FA"/>
    <w:rsid w:val="00A648E3"/>
    <w:rsid w:val="00A70D70"/>
    <w:rsid w:val="00A72EDE"/>
    <w:rsid w:val="00A73F01"/>
    <w:rsid w:val="00A74839"/>
    <w:rsid w:val="00A7507B"/>
    <w:rsid w:val="00A7762B"/>
    <w:rsid w:val="00A81FF6"/>
    <w:rsid w:val="00A84F48"/>
    <w:rsid w:val="00A90175"/>
    <w:rsid w:val="00A910B6"/>
    <w:rsid w:val="00A918A0"/>
    <w:rsid w:val="00A92E05"/>
    <w:rsid w:val="00A959A3"/>
    <w:rsid w:val="00A979C2"/>
    <w:rsid w:val="00AA1879"/>
    <w:rsid w:val="00AA4D1C"/>
    <w:rsid w:val="00AA6EB4"/>
    <w:rsid w:val="00AA7AC8"/>
    <w:rsid w:val="00AB29FF"/>
    <w:rsid w:val="00AB350C"/>
    <w:rsid w:val="00AB6426"/>
    <w:rsid w:val="00AC0853"/>
    <w:rsid w:val="00AC152A"/>
    <w:rsid w:val="00AC24D7"/>
    <w:rsid w:val="00AC34CA"/>
    <w:rsid w:val="00AC448E"/>
    <w:rsid w:val="00AC44C2"/>
    <w:rsid w:val="00AD1426"/>
    <w:rsid w:val="00AD43F7"/>
    <w:rsid w:val="00AD56BB"/>
    <w:rsid w:val="00AD6B54"/>
    <w:rsid w:val="00AE03E7"/>
    <w:rsid w:val="00AF1B8D"/>
    <w:rsid w:val="00AF3021"/>
    <w:rsid w:val="00AF5A1A"/>
    <w:rsid w:val="00AF5AFB"/>
    <w:rsid w:val="00B000A5"/>
    <w:rsid w:val="00B01AFF"/>
    <w:rsid w:val="00B06C1C"/>
    <w:rsid w:val="00B16BA2"/>
    <w:rsid w:val="00B20ED2"/>
    <w:rsid w:val="00B21F8F"/>
    <w:rsid w:val="00B2388D"/>
    <w:rsid w:val="00B23D0B"/>
    <w:rsid w:val="00B2707C"/>
    <w:rsid w:val="00B275A9"/>
    <w:rsid w:val="00B30EA2"/>
    <w:rsid w:val="00B36439"/>
    <w:rsid w:val="00B37209"/>
    <w:rsid w:val="00B37BC6"/>
    <w:rsid w:val="00B44962"/>
    <w:rsid w:val="00B45A0C"/>
    <w:rsid w:val="00B463A4"/>
    <w:rsid w:val="00B54C27"/>
    <w:rsid w:val="00B57939"/>
    <w:rsid w:val="00B61285"/>
    <w:rsid w:val="00B62569"/>
    <w:rsid w:val="00B639AF"/>
    <w:rsid w:val="00B66BF2"/>
    <w:rsid w:val="00B7351F"/>
    <w:rsid w:val="00B736D8"/>
    <w:rsid w:val="00B73AB0"/>
    <w:rsid w:val="00B8238C"/>
    <w:rsid w:val="00B866B0"/>
    <w:rsid w:val="00B9010F"/>
    <w:rsid w:val="00B90856"/>
    <w:rsid w:val="00B916A1"/>
    <w:rsid w:val="00B91A05"/>
    <w:rsid w:val="00B93A8D"/>
    <w:rsid w:val="00BA1886"/>
    <w:rsid w:val="00BA265E"/>
    <w:rsid w:val="00BA296A"/>
    <w:rsid w:val="00BA7448"/>
    <w:rsid w:val="00BB26AE"/>
    <w:rsid w:val="00BB4D1A"/>
    <w:rsid w:val="00BB565A"/>
    <w:rsid w:val="00BC0077"/>
    <w:rsid w:val="00BC0722"/>
    <w:rsid w:val="00BC20FD"/>
    <w:rsid w:val="00BC2D19"/>
    <w:rsid w:val="00BC30D0"/>
    <w:rsid w:val="00BC4B4F"/>
    <w:rsid w:val="00BC6C8C"/>
    <w:rsid w:val="00BD1CBC"/>
    <w:rsid w:val="00BD21D1"/>
    <w:rsid w:val="00BD265E"/>
    <w:rsid w:val="00BD2B47"/>
    <w:rsid w:val="00BD42D2"/>
    <w:rsid w:val="00BD7A66"/>
    <w:rsid w:val="00BD7E49"/>
    <w:rsid w:val="00BE092A"/>
    <w:rsid w:val="00BE1161"/>
    <w:rsid w:val="00BE183D"/>
    <w:rsid w:val="00BE2CF7"/>
    <w:rsid w:val="00BE4875"/>
    <w:rsid w:val="00BE4F05"/>
    <w:rsid w:val="00BF04CF"/>
    <w:rsid w:val="00BF2872"/>
    <w:rsid w:val="00BF2A47"/>
    <w:rsid w:val="00BF2A7B"/>
    <w:rsid w:val="00BF3575"/>
    <w:rsid w:val="00BF3779"/>
    <w:rsid w:val="00C00E01"/>
    <w:rsid w:val="00C01666"/>
    <w:rsid w:val="00C03340"/>
    <w:rsid w:val="00C0740E"/>
    <w:rsid w:val="00C07E13"/>
    <w:rsid w:val="00C108B0"/>
    <w:rsid w:val="00C139E8"/>
    <w:rsid w:val="00C14018"/>
    <w:rsid w:val="00C15B64"/>
    <w:rsid w:val="00C1699F"/>
    <w:rsid w:val="00C16A3F"/>
    <w:rsid w:val="00C20F75"/>
    <w:rsid w:val="00C24C46"/>
    <w:rsid w:val="00C25487"/>
    <w:rsid w:val="00C27198"/>
    <w:rsid w:val="00C31B6C"/>
    <w:rsid w:val="00C32AE7"/>
    <w:rsid w:val="00C3767F"/>
    <w:rsid w:val="00C41512"/>
    <w:rsid w:val="00C42C2D"/>
    <w:rsid w:val="00C4326F"/>
    <w:rsid w:val="00C434C3"/>
    <w:rsid w:val="00C4563F"/>
    <w:rsid w:val="00C46A24"/>
    <w:rsid w:val="00C50A3E"/>
    <w:rsid w:val="00C515B2"/>
    <w:rsid w:val="00C5624F"/>
    <w:rsid w:val="00C57690"/>
    <w:rsid w:val="00C577CA"/>
    <w:rsid w:val="00C602BA"/>
    <w:rsid w:val="00C61645"/>
    <w:rsid w:val="00C6267D"/>
    <w:rsid w:val="00C64325"/>
    <w:rsid w:val="00C64742"/>
    <w:rsid w:val="00C65456"/>
    <w:rsid w:val="00C6564A"/>
    <w:rsid w:val="00C65B29"/>
    <w:rsid w:val="00C6610F"/>
    <w:rsid w:val="00C66E55"/>
    <w:rsid w:val="00C71EF8"/>
    <w:rsid w:val="00C73778"/>
    <w:rsid w:val="00C81E31"/>
    <w:rsid w:val="00C8389E"/>
    <w:rsid w:val="00C87253"/>
    <w:rsid w:val="00C9023B"/>
    <w:rsid w:val="00C912EC"/>
    <w:rsid w:val="00C9132D"/>
    <w:rsid w:val="00C977BB"/>
    <w:rsid w:val="00C97DC6"/>
    <w:rsid w:val="00CA0200"/>
    <w:rsid w:val="00CA28BE"/>
    <w:rsid w:val="00CA2D8A"/>
    <w:rsid w:val="00CB1951"/>
    <w:rsid w:val="00CB2490"/>
    <w:rsid w:val="00CB3CBC"/>
    <w:rsid w:val="00CB6CE3"/>
    <w:rsid w:val="00CB71FA"/>
    <w:rsid w:val="00CB7E50"/>
    <w:rsid w:val="00CC32C4"/>
    <w:rsid w:val="00CC3498"/>
    <w:rsid w:val="00CC3F1A"/>
    <w:rsid w:val="00CD10B8"/>
    <w:rsid w:val="00CD17FC"/>
    <w:rsid w:val="00CD1C90"/>
    <w:rsid w:val="00CD2130"/>
    <w:rsid w:val="00CD220D"/>
    <w:rsid w:val="00CE059D"/>
    <w:rsid w:val="00CE2C9A"/>
    <w:rsid w:val="00CE3D4C"/>
    <w:rsid w:val="00CE417E"/>
    <w:rsid w:val="00CF15E3"/>
    <w:rsid w:val="00CF24D0"/>
    <w:rsid w:val="00CF3CE7"/>
    <w:rsid w:val="00D00F4A"/>
    <w:rsid w:val="00D02631"/>
    <w:rsid w:val="00D03AD1"/>
    <w:rsid w:val="00D03BBB"/>
    <w:rsid w:val="00D04C07"/>
    <w:rsid w:val="00D04D3F"/>
    <w:rsid w:val="00D055AB"/>
    <w:rsid w:val="00D0572B"/>
    <w:rsid w:val="00D079FF"/>
    <w:rsid w:val="00D109A5"/>
    <w:rsid w:val="00D10E0C"/>
    <w:rsid w:val="00D138F5"/>
    <w:rsid w:val="00D15004"/>
    <w:rsid w:val="00D16130"/>
    <w:rsid w:val="00D2169A"/>
    <w:rsid w:val="00D218C8"/>
    <w:rsid w:val="00D22A07"/>
    <w:rsid w:val="00D22BE5"/>
    <w:rsid w:val="00D26069"/>
    <w:rsid w:val="00D30000"/>
    <w:rsid w:val="00D332A5"/>
    <w:rsid w:val="00D339F7"/>
    <w:rsid w:val="00D35464"/>
    <w:rsid w:val="00D3681A"/>
    <w:rsid w:val="00D379C2"/>
    <w:rsid w:val="00D42364"/>
    <w:rsid w:val="00D42871"/>
    <w:rsid w:val="00D42F5B"/>
    <w:rsid w:val="00D439BD"/>
    <w:rsid w:val="00D440FC"/>
    <w:rsid w:val="00D46875"/>
    <w:rsid w:val="00D46F62"/>
    <w:rsid w:val="00D47260"/>
    <w:rsid w:val="00D47772"/>
    <w:rsid w:val="00D51805"/>
    <w:rsid w:val="00D539D2"/>
    <w:rsid w:val="00D54FE9"/>
    <w:rsid w:val="00D64B21"/>
    <w:rsid w:val="00D67393"/>
    <w:rsid w:val="00D673A6"/>
    <w:rsid w:val="00D70513"/>
    <w:rsid w:val="00D71EB4"/>
    <w:rsid w:val="00D7209D"/>
    <w:rsid w:val="00D817C6"/>
    <w:rsid w:val="00D851D2"/>
    <w:rsid w:val="00D85C78"/>
    <w:rsid w:val="00D865BA"/>
    <w:rsid w:val="00DA111B"/>
    <w:rsid w:val="00DA375C"/>
    <w:rsid w:val="00DA4404"/>
    <w:rsid w:val="00DA5E37"/>
    <w:rsid w:val="00DB0970"/>
    <w:rsid w:val="00DB5600"/>
    <w:rsid w:val="00DB7AC0"/>
    <w:rsid w:val="00DC08F8"/>
    <w:rsid w:val="00DC1C23"/>
    <w:rsid w:val="00DC5C78"/>
    <w:rsid w:val="00DC69E5"/>
    <w:rsid w:val="00DD4D26"/>
    <w:rsid w:val="00DE0913"/>
    <w:rsid w:val="00DE1BA6"/>
    <w:rsid w:val="00DE3522"/>
    <w:rsid w:val="00DE68CA"/>
    <w:rsid w:val="00DF0869"/>
    <w:rsid w:val="00DF2306"/>
    <w:rsid w:val="00DF2767"/>
    <w:rsid w:val="00DF5FB4"/>
    <w:rsid w:val="00E0346E"/>
    <w:rsid w:val="00E041CB"/>
    <w:rsid w:val="00E05D44"/>
    <w:rsid w:val="00E06BCE"/>
    <w:rsid w:val="00E13ED6"/>
    <w:rsid w:val="00E25561"/>
    <w:rsid w:val="00E26BD3"/>
    <w:rsid w:val="00E26DCF"/>
    <w:rsid w:val="00E26DE8"/>
    <w:rsid w:val="00E27762"/>
    <w:rsid w:val="00E301F3"/>
    <w:rsid w:val="00E31524"/>
    <w:rsid w:val="00E31757"/>
    <w:rsid w:val="00E32CBA"/>
    <w:rsid w:val="00E347C1"/>
    <w:rsid w:val="00E376A8"/>
    <w:rsid w:val="00E377DF"/>
    <w:rsid w:val="00E4644E"/>
    <w:rsid w:val="00E50BEE"/>
    <w:rsid w:val="00E53BCA"/>
    <w:rsid w:val="00E6039F"/>
    <w:rsid w:val="00E61BF6"/>
    <w:rsid w:val="00E7058E"/>
    <w:rsid w:val="00E7255E"/>
    <w:rsid w:val="00E72A08"/>
    <w:rsid w:val="00E73F7F"/>
    <w:rsid w:val="00E822C4"/>
    <w:rsid w:val="00E82C9A"/>
    <w:rsid w:val="00E83A95"/>
    <w:rsid w:val="00E85C88"/>
    <w:rsid w:val="00E862E7"/>
    <w:rsid w:val="00E864B3"/>
    <w:rsid w:val="00E91820"/>
    <w:rsid w:val="00EA07DB"/>
    <w:rsid w:val="00EA55C9"/>
    <w:rsid w:val="00EA62B0"/>
    <w:rsid w:val="00EA63DA"/>
    <w:rsid w:val="00EA76F9"/>
    <w:rsid w:val="00EB2EAD"/>
    <w:rsid w:val="00EB39F7"/>
    <w:rsid w:val="00EB5434"/>
    <w:rsid w:val="00EB601B"/>
    <w:rsid w:val="00EB7163"/>
    <w:rsid w:val="00EC0C8A"/>
    <w:rsid w:val="00EC10CF"/>
    <w:rsid w:val="00EC1439"/>
    <w:rsid w:val="00EC303B"/>
    <w:rsid w:val="00EC39DA"/>
    <w:rsid w:val="00EC69B7"/>
    <w:rsid w:val="00ED075E"/>
    <w:rsid w:val="00ED1474"/>
    <w:rsid w:val="00ED3F36"/>
    <w:rsid w:val="00ED48A4"/>
    <w:rsid w:val="00ED48EF"/>
    <w:rsid w:val="00ED5BFB"/>
    <w:rsid w:val="00ED5EC3"/>
    <w:rsid w:val="00ED60CC"/>
    <w:rsid w:val="00ED63F6"/>
    <w:rsid w:val="00ED67EE"/>
    <w:rsid w:val="00EE426C"/>
    <w:rsid w:val="00EF32C3"/>
    <w:rsid w:val="00EF430D"/>
    <w:rsid w:val="00EF655A"/>
    <w:rsid w:val="00EF6663"/>
    <w:rsid w:val="00EF74CB"/>
    <w:rsid w:val="00F000D2"/>
    <w:rsid w:val="00F01A25"/>
    <w:rsid w:val="00F035D1"/>
    <w:rsid w:val="00F06886"/>
    <w:rsid w:val="00F10606"/>
    <w:rsid w:val="00F10B7A"/>
    <w:rsid w:val="00F12D84"/>
    <w:rsid w:val="00F20082"/>
    <w:rsid w:val="00F22C09"/>
    <w:rsid w:val="00F23B0F"/>
    <w:rsid w:val="00F24C58"/>
    <w:rsid w:val="00F25D68"/>
    <w:rsid w:val="00F315F8"/>
    <w:rsid w:val="00F379D1"/>
    <w:rsid w:val="00F44E63"/>
    <w:rsid w:val="00F4721A"/>
    <w:rsid w:val="00F4769F"/>
    <w:rsid w:val="00F47FC3"/>
    <w:rsid w:val="00F522F1"/>
    <w:rsid w:val="00F60AE5"/>
    <w:rsid w:val="00F61668"/>
    <w:rsid w:val="00F6246A"/>
    <w:rsid w:val="00F643DA"/>
    <w:rsid w:val="00F6511A"/>
    <w:rsid w:val="00F72521"/>
    <w:rsid w:val="00F75C53"/>
    <w:rsid w:val="00F768A4"/>
    <w:rsid w:val="00F7692B"/>
    <w:rsid w:val="00F8275B"/>
    <w:rsid w:val="00F82D20"/>
    <w:rsid w:val="00F833EB"/>
    <w:rsid w:val="00F9001C"/>
    <w:rsid w:val="00F90D88"/>
    <w:rsid w:val="00FA004E"/>
    <w:rsid w:val="00FA1914"/>
    <w:rsid w:val="00FA24AF"/>
    <w:rsid w:val="00FA4094"/>
    <w:rsid w:val="00FA42EA"/>
    <w:rsid w:val="00FB0797"/>
    <w:rsid w:val="00FB0C1C"/>
    <w:rsid w:val="00FB31D2"/>
    <w:rsid w:val="00FB46EE"/>
    <w:rsid w:val="00FB5272"/>
    <w:rsid w:val="00FB6213"/>
    <w:rsid w:val="00FC0F99"/>
    <w:rsid w:val="00FC4A07"/>
    <w:rsid w:val="00FC7E07"/>
    <w:rsid w:val="00FD0E6D"/>
    <w:rsid w:val="00FD3F60"/>
    <w:rsid w:val="00FE2B00"/>
    <w:rsid w:val="00FE4507"/>
    <w:rsid w:val="00FE4E3B"/>
    <w:rsid w:val="00FF0E2E"/>
    <w:rsid w:val="00FF23A9"/>
    <w:rsid w:val="00FF39BD"/>
    <w:rsid w:val="00FF516E"/>
    <w:rsid w:val="00FF6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F1"/>
  </w:style>
  <w:style w:type="paragraph" w:styleId="Heading1">
    <w:name w:val="heading 1"/>
    <w:basedOn w:val="Normal"/>
    <w:next w:val="Normal"/>
    <w:link w:val="Heading1Char"/>
    <w:qFormat/>
    <w:rsid w:val="003D4309"/>
    <w:pPr>
      <w:keepNext/>
      <w:spacing w:before="240" w:after="60" w:line="240" w:lineRule="auto"/>
      <w:jc w:val="both"/>
      <w:outlineLvl w:val="0"/>
    </w:pPr>
    <w:rPr>
      <w:rFonts w:ascii="Arial" w:eastAsia="Times New Roman" w:hAnsi="Arial" w:cs="Times New Roman"/>
      <w:b/>
      <w:caps/>
      <w:sz w:val="24"/>
      <w:szCs w:val="20"/>
      <w:lang w:val="en-AU"/>
    </w:rPr>
  </w:style>
  <w:style w:type="paragraph" w:styleId="Heading2">
    <w:name w:val="heading 2"/>
    <w:basedOn w:val="Normal"/>
    <w:next w:val="Normal"/>
    <w:link w:val="Heading2Char"/>
    <w:uiPriority w:val="9"/>
    <w:unhideWhenUsed/>
    <w:qFormat/>
    <w:rsid w:val="00756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456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1F1"/>
    <w:pPr>
      <w:spacing w:after="0" w:line="240" w:lineRule="auto"/>
    </w:pPr>
  </w:style>
  <w:style w:type="character" w:styleId="CommentReference">
    <w:name w:val="annotation reference"/>
    <w:basedOn w:val="DefaultParagraphFont"/>
    <w:semiHidden/>
    <w:unhideWhenUsed/>
    <w:rsid w:val="007201F1"/>
    <w:rPr>
      <w:sz w:val="16"/>
      <w:szCs w:val="16"/>
    </w:rPr>
  </w:style>
  <w:style w:type="paragraph" w:styleId="CommentText">
    <w:name w:val="annotation text"/>
    <w:basedOn w:val="Normal"/>
    <w:link w:val="CommentTextChar"/>
    <w:uiPriority w:val="99"/>
    <w:semiHidden/>
    <w:unhideWhenUsed/>
    <w:rsid w:val="007201F1"/>
    <w:pPr>
      <w:spacing w:line="240" w:lineRule="auto"/>
    </w:pPr>
    <w:rPr>
      <w:sz w:val="20"/>
      <w:szCs w:val="20"/>
    </w:rPr>
  </w:style>
  <w:style w:type="character" w:customStyle="1" w:styleId="CommentTextChar">
    <w:name w:val="Comment Text Char"/>
    <w:basedOn w:val="DefaultParagraphFont"/>
    <w:link w:val="CommentText"/>
    <w:uiPriority w:val="99"/>
    <w:semiHidden/>
    <w:rsid w:val="007201F1"/>
    <w:rPr>
      <w:sz w:val="20"/>
      <w:szCs w:val="20"/>
    </w:rPr>
  </w:style>
  <w:style w:type="table" w:styleId="TableGrid">
    <w:name w:val="Table Grid"/>
    <w:basedOn w:val="TableNormal"/>
    <w:uiPriority w:val="59"/>
    <w:rsid w:val="007201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1F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C028C"/>
    <w:rPr>
      <w:b/>
      <w:bCs/>
    </w:rPr>
  </w:style>
  <w:style w:type="character" w:customStyle="1" w:styleId="CommentSubjectChar">
    <w:name w:val="Comment Subject Char"/>
    <w:basedOn w:val="CommentTextChar"/>
    <w:link w:val="CommentSubject"/>
    <w:uiPriority w:val="99"/>
    <w:semiHidden/>
    <w:rsid w:val="004C028C"/>
    <w:rPr>
      <w:b/>
      <w:bCs/>
    </w:rPr>
  </w:style>
  <w:style w:type="paragraph" w:styleId="Revision">
    <w:name w:val="Revision"/>
    <w:hidden/>
    <w:uiPriority w:val="99"/>
    <w:semiHidden/>
    <w:rsid w:val="000123D1"/>
    <w:pPr>
      <w:spacing w:after="0" w:line="240" w:lineRule="auto"/>
    </w:pPr>
  </w:style>
  <w:style w:type="paragraph" w:styleId="Header">
    <w:name w:val="header"/>
    <w:basedOn w:val="Normal"/>
    <w:link w:val="HeaderChar"/>
    <w:uiPriority w:val="99"/>
    <w:semiHidden/>
    <w:unhideWhenUsed/>
    <w:rsid w:val="00A20F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0F6E"/>
  </w:style>
  <w:style w:type="paragraph" w:styleId="Footer">
    <w:name w:val="footer"/>
    <w:basedOn w:val="Normal"/>
    <w:link w:val="FooterChar"/>
    <w:unhideWhenUsed/>
    <w:rsid w:val="00A20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F6E"/>
  </w:style>
  <w:style w:type="paragraph" w:styleId="Title">
    <w:name w:val="Title"/>
    <w:basedOn w:val="Normal"/>
    <w:link w:val="TitleChar"/>
    <w:qFormat/>
    <w:rsid w:val="003D4309"/>
    <w:pPr>
      <w:spacing w:before="240" w:after="60" w:line="240" w:lineRule="auto"/>
      <w:jc w:val="center"/>
      <w:outlineLvl w:val="0"/>
    </w:pPr>
    <w:rPr>
      <w:rFonts w:ascii="Arial" w:eastAsia="Times New Roman" w:hAnsi="Arial" w:cs="Arial"/>
      <w:b/>
      <w:bCs/>
      <w:caps/>
      <w:kern w:val="28"/>
      <w:sz w:val="28"/>
      <w:szCs w:val="32"/>
      <w:lang w:val="en-AU"/>
    </w:rPr>
  </w:style>
  <w:style w:type="character" w:customStyle="1" w:styleId="TitleChar">
    <w:name w:val="Title Char"/>
    <w:basedOn w:val="DefaultParagraphFont"/>
    <w:link w:val="Title"/>
    <w:rsid w:val="003D4309"/>
    <w:rPr>
      <w:rFonts w:ascii="Arial" w:eastAsia="Times New Roman" w:hAnsi="Arial" w:cs="Arial"/>
      <w:b/>
      <w:bCs/>
      <w:caps/>
      <w:kern w:val="28"/>
      <w:sz w:val="28"/>
      <w:szCs w:val="32"/>
      <w:lang w:val="en-AU"/>
    </w:rPr>
  </w:style>
  <w:style w:type="character" w:customStyle="1" w:styleId="Heading1Char">
    <w:name w:val="Heading 1 Char"/>
    <w:basedOn w:val="DefaultParagraphFont"/>
    <w:link w:val="Heading1"/>
    <w:rsid w:val="003D4309"/>
    <w:rPr>
      <w:rFonts w:ascii="Arial" w:eastAsia="Times New Roman" w:hAnsi="Arial" w:cs="Times New Roman"/>
      <w:b/>
      <w:caps/>
      <w:sz w:val="24"/>
      <w:szCs w:val="20"/>
      <w:lang w:val="en-AU"/>
    </w:rPr>
  </w:style>
  <w:style w:type="character" w:styleId="PageNumber">
    <w:name w:val="page number"/>
    <w:basedOn w:val="DefaultParagraphFont"/>
    <w:rsid w:val="002D7F2C"/>
  </w:style>
  <w:style w:type="paragraph" w:customStyle="1" w:styleId="Default">
    <w:name w:val="Default"/>
    <w:rsid w:val="00677CCF"/>
    <w:pPr>
      <w:autoSpaceDE w:val="0"/>
      <w:autoSpaceDN w:val="0"/>
      <w:adjustRightInd w:val="0"/>
      <w:spacing w:after="0" w:line="240" w:lineRule="auto"/>
    </w:pPr>
    <w:rPr>
      <w:rFonts w:ascii="Cambria" w:hAnsi="Cambria" w:cs="Cambria"/>
      <w:color w:val="000000"/>
      <w:sz w:val="24"/>
      <w:szCs w:val="24"/>
      <w:lang w:val="en-AU"/>
    </w:rPr>
  </w:style>
  <w:style w:type="paragraph" w:styleId="ListParagraph">
    <w:name w:val="List Paragraph"/>
    <w:basedOn w:val="Normal"/>
    <w:uiPriority w:val="34"/>
    <w:qFormat/>
    <w:rsid w:val="00677CCF"/>
    <w:pPr>
      <w:ind w:left="720"/>
      <w:contextualSpacing/>
    </w:pPr>
  </w:style>
  <w:style w:type="paragraph" w:customStyle="1" w:styleId="ColorfulList-Accent11">
    <w:name w:val="Colorful List - Accent 11"/>
    <w:basedOn w:val="Normal"/>
    <w:qFormat/>
    <w:rsid w:val="00F7692B"/>
    <w:pPr>
      <w:ind w:left="720"/>
      <w:contextualSpacing/>
    </w:pPr>
    <w:rPr>
      <w:rFonts w:ascii="Calibri" w:eastAsia="Calibri" w:hAnsi="Calibri" w:cs="Times New Roman"/>
      <w:lang w:val="en-US"/>
    </w:rPr>
  </w:style>
  <w:style w:type="character" w:customStyle="1" w:styleId="hdr1">
    <w:name w:val="hdr1"/>
    <w:basedOn w:val="DefaultParagraphFont"/>
    <w:rsid w:val="00E85C88"/>
    <w:rPr>
      <w:b/>
      <w:bCs/>
    </w:rPr>
  </w:style>
  <w:style w:type="paragraph" w:styleId="BodyText">
    <w:name w:val="Body Text"/>
    <w:basedOn w:val="Normal"/>
    <w:link w:val="BodyTextChar"/>
    <w:rsid w:val="00BC2D19"/>
    <w:pPr>
      <w:spacing w:after="0" w:line="240" w:lineRule="auto"/>
    </w:pPr>
    <w:rPr>
      <w:rFonts w:ascii="Times New Roman" w:eastAsia="Times New Roman" w:hAnsi="Times New Roman" w:cs="Times New Roman"/>
      <w:i/>
      <w:color w:val="008000"/>
      <w:szCs w:val="20"/>
    </w:rPr>
  </w:style>
  <w:style w:type="character" w:customStyle="1" w:styleId="BodyTextChar">
    <w:name w:val="Body Text Char"/>
    <w:basedOn w:val="DefaultParagraphFont"/>
    <w:link w:val="BodyText"/>
    <w:rsid w:val="00BC2D19"/>
    <w:rPr>
      <w:rFonts w:ascii="Times New Roman" w:eastAsia="Times New Roman" w:hAnsi="Times New Roman" w:cs="Times New Roman"/>
      <w:i/>
      <w:color w:val="008000"/>
      <w:szCs w:val="20"/>
    </w:rPr>
  </w:style>
  <w:style w:type="paragraph" w:styleId="Caption">
    <w:name w:val="caption"/>
    <w:basedOn w:val="Normal"/>
    <w:next w:val="Normal"/>
    <w:uiPriority w:val="35"/>
    <w:unhideWhenUsed/>
    <w:qFormat/>
    <w:rsid w:val="00FA4094"/>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semiHidden/>
    <w:rsid w:val="00C4563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456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Footnote">
    <w:name w:val="TableFootnote"/>
    <w:basedOn w:val="Normal"/>
    <w:next w:val="BodyText"/>
    <w:rsid w:val="00386721"/>
    <w:pPr>
      <w:tabs>
        <w:tab w:val="left" w:pos="284"/>
      </w:tabs>
      <w:spacing w:after="0" w:line="240" w:lineRule="auto"/>
      <w:ind w:left="284" w:hanging="284"/>
    </w:pPr>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7566B5"/>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A3767B"/>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17084">
      <w:bodyDiv w:val="1"/>
      <w:marLeft w:val="0"/>
      <w:marRight w:val="0"/>
      <w:marTop w:val="0"/>
      <w:marBottom w:val="0"/>
      <w:divBdr>
        <w:top w:val="none" w:sz="0" w:space="0" w:color="auto"/>
        <w:left w:val="none" w:sz="0" w:space="0" w:color="auto"/>
        <w:bottom w:val="none" w:sz="0" w:space="0" w:color="auto"/>
        <w:right w:val="none" w:sz="0" w:space="0" w:color="auto"/>
      </w:divBdr>
    </w:div>
    <w:div w:id="294525140">
      <w:bodyDiv w:val="1"/>
      <w:marLeft w:val="0"/>
      <w:marRight w:val="0"/>
      <w:marTop w:val="0"/>
      <w:marBottom w:val="0"/>
      <w:divBdr>
        <w:top w:val="none" w:sz="0" w:space="0" w:color="auto"/>
        <w:left w:val="none" w:sz="0" w:space="0" w:color="auto"/>
        <w:bottom w:val="none" w:sz="0" w:space="0" w:color="auto"/>
        <w:right w:val="none" w:sz="0" w:space="0" w:color="auto"/>
      </w:divBdr>
    </w:div>
    <w:div w:id="485977068">
      <w:bodyDiv w:val="1"/>
      <w:marLeft w:val="0"/>
      <w:marRight w:val="0"/>
      <w:marTop w:val="0"/>
      <w:marBottom w:val="0"/>
      <w:divBdr>
        <w:top w:val="none" w:sz="0" w:space="0" w:color="auto"/>
        <w:left w:val="none" w:sz="0" w:space="0" w:color="auto"/>
        <w:bottom w:val="none" w:sz="0" w:space="0" w:color="auto"/>
        <w:right w:val="none" w:sz="0" w:space="0" w:color="auto"/>
      </w:divBdr>
      <w:divsChild>
        <w:div w:id="1013453102">
          <w:marLeft w:val="0"/>
          <w:marRight w:val="0"/>
          <w:marTop w:val="0"/>
          <w:marBottom w:val="0"/>
          <w:divBdr>
            <w:top w:val="none" w:sz="0" w:space="0" w:color="auto"/>
            <w:left w:val="none" w:sz="0" w:space="0" w:color="auto"/>
            <w:bottom w:val="none" w:sz="0" w:space="0" w:color="auto"/>
            <w:right w:val="none" w:sz="0" w:space="0" w:color="auto"/>
          </w:divBdr>
          <w:divsChild>
            <w:div w:id="1188133484">
              <w:marLeft w:val="0"/>
              <w:marRight w:val="0"/>
              <w:marTop w:val="0"/>
              <w:marBottom w:val="0"/>
              <w:divBdr>
                <w:top w:val="none" w:sz="0" w:space="0" w:color="auto"/>
                <w:left w:val="none" w:sz="0" w:space="0" w:color="auto"/>
                <w:bottom w:val="none" w:sz="0" w:space="0" w:color="auto"/>
                <w:right w:val="none" w:sz="0" w:space="0" w:color="auto"/>
              </w:divBdr>
              <w:divsChild>
                <w:div w:id="1820345978">
                  <w:marLeft w:val="0"/>
                  <w:marRight w:val="0"/>
                  <w:marTop w:val="0"/>
                  <w:marBottom w:val="0"/>
                  <w:divBdr>
                    <w:top w:val="none" w:sz="0" w:space="0" w:color="auto"/>
                    <w:left w:val="none" w:sz="0" w:space="0" w:color="auto"/>
                    <w:bottom w:val="none" w:sz="0" w:space="0" w:color="auto"/>
                    <w:right w:val="none" w:sz="0" w:space="0" w:color="auto"/>
                  </w:divBdr>
                  <w:divsChild>
                    <w:div w:id="873425944">
                      <w:marLeft w:val="0"/>
                      <w:marRight w:val="0"/>
                      <w:marTop w:val="0"/>
                      <w:marBottom w:val="0"/>
                      <w:divBdr>
                        <w:top w:val="none" w:sz="0" w:space="0" w:color="auto"/>
                        <w:left w:val="none" w:sz="0" w:space="0" w:color="auto"/>
                        <w:bottom w:val="none" w:sz="0" w:space="0" w:color="auto"/>
                        <w:right w:val="none" w:sz="0" w:space="0" w:color="auto"/>
                      </w:divBdr>
                      <w:divsChild>
                        <w:div w:id="5413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973287">
      <w:bodyDiv w:val="1"/>
      <w:marLeft w:val="0"/>
      <w:marRight w:val="0"/>
      <w:marTop w:val="0"/>
      <w:marBottom w:val="0"/>
      <w:divBdr>
        <w:top w:val="none" w:sz="0" w:space="0" w:color="auto"/>
        <w:left w:val="none" w:sz="0" w:space="0" w:color="auto"/>
        <w:bottom w:val="none" w:sz="0" w:space="0" w:color="auto"/>
        <w:right w:val="none" w:sz="0" w:space="0" w:color="auto"/>
      </w:divBdr>
    </w:div>
    <w:div w:id="741102463">
      <w:bodyDiv w:val="1"/>
      <w:marLeft w:val="0"/>
      <w:marRight w:val="0"/>
      <w:marTop w:val="0"/>
      <w:marBottom w:val="0"/>
      <w:divBdr>
        <w:top w:val="none" w:sz="0" w:space="0" w:color="auto"/>
        <w:left w:val="none" w:sz="0" w:space="0" w:color="auto"/>
        <w:bottom w:val="none" w:sz="0" w:space="0" w:color="auto"/>
        <w:right w:val="none" w:sz="0" w:space="0" w:color="auto"/>
      </w:divBdr>
    </w:div>
    <w:div w:id="860628736">
      <w:bodyDiv w:val="1"/>
      <w:marLeft w:val="0"/>
      <w:marRight w:val="0"/>
      <w:marTop w:val="0"/>
      <w:marBottom w:val="0"/>
      <w:divBdr>
        <w:top w:val="none" w:sz="0" w:space="0" w:color="auto"/>
        <w:left w:val="none" w:sz="0" w:space="0" w:color="auto"/>
        <w:bottom w:val="none" w:sz="0" w:space="0" w:color="auto"/>
        <w:right w:val="none" w:sz="0" w:space="0" w:color="auto"/>
      </w:divBdr>
    </w:div>
    <w:div w:id="949894191">
      <w:bodyDiv w:val="1"/>
      <w:marLeft w:val="0"/>
      <w:marRight w:val="0"/>
      <w:marTop w:val="0"/>
      <w:marBottom w:val="0"/>
      <w:divBdr>
        <w:top w:val="none" w:sz="0" w:space="0" w:color="auto"/>
        <w:left w:val="none" w:sz="0" w:space="0" w:color="auto"/>
        <w:bottom w:val="none" w:sz="0" w:space="0" w:color="auto"/>
        <w:right w:val="none" w:sz="0" w:space="0" w:color="auto"/>
      </w:divBdr>
      <w:divsChild>
        <w:div w:id="1773553393">
          <w:marLeft w:val="0"/>
          <w:marRight w:val="0"/>
          <w:marTop w:val="0"/>
          <w:marBottom w:val="0"/>
          <w:divBdr>
            <w:top w:val="none" w:sz="0" w:space="0" w:color="auto"/>
            <w:left w:val="none" w:sz="0" w:space="0" w:color="auto"/>
            <w:bottom w:val="none" w:sz="0" w:space="0" w:color="auto"/>
            <w:right w:val="none" w:sz="0" w:space="0" w:color="auto"/>
          </w:divBdr>
          <w:divsChild>
            <w:div w:id="925379676">
              <w:marLeft w:val="0"/>
              <w:marRight w:val="0"/>
              <w:marTop w:val="0"/>
              <w:marBottom w:val="0"/>
              <w:divBdr>
                <w:top w:val="none" w:sz="0" w:space="0" w:color="auto"/>
                <w:left w:val="none" w:sz="0" w:space="0" w:color="auto"/>
                <w:bottom w:val="none" w:sz="0" w:space="0" w:color="auto"/>
                <w:right w:val="none" w:sz="0" w:space="0" w:color="auto"/>
              </w:divBdr>
              <w:divsChild>
                <w:div w:id="260335778">
                  <w:marLeft w:val="0"/>
                  <w:marRight w:val="0"/>
                  <w:marTop w:val="0"/>
                  <w:marBottom w:val="0"/>
                  <w:divBdr>
                    <w:top w:val="none" w:sz="0" w:space="0" w:color="auto"/>
                    <w:left w:val="none" w:sz="0" w:space="0" w:color="auto"/>
                    <w:bottom w:val="none" w:sz="0" w:space="0" w:color="auto"/>
                    <w:right w:val="none" w:sz="0" w:space="0" w:color="auto"/>
                  </w:divBdr>
                  <w:divsChild>
                    <w:div w:id="347030019">
                      <w:marLeft w:val="0"/>
                      <w:marRight w:val="0"/>
                      <w:marTop w:val="0"/>
                      <w:marBottom w:val="0"/>
                      <w:divBdr>
                        <w:top w:val="none" w:sz="0" w:space="0" w:color="auto"/>
                        <w:left w:val="none" w:sz="0" w:space="0" w:color="auto"/>
                        <w:bottom w:val="none" w:sz="0" w:space="0" w:color="auto"/>
                        <w:right w:val="none" w:sz="0" w:space="0" w:color="auto"/>
                      </w:divBdr>
                      <w:divsChild>
                        <w:div w:id="1909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50285">
      <w:bodyDiv w:val="1"/>
      <w:marLeft w:val="0"/>
      <w:marRight w:val="0"/>
      <w:marTop w:val="0"/>
      <w:marBottom w:val="0"/>
      <w:divBdr>
        <w:top w:val="none" w:sz="0" w:space="0" w:color="auto"/>
        <w:left w:val="none" w:sz="0" w:space="0" w:color="auto"/>
        <w:bottom w:val="none" w:sz="0" w:space="0" w:color="auto"/>
        <w:right w:val="none" w:sz="0" w:space="0" w:color="auto"/>
      </w:divBdr>
    </w:div>
    <w:div w:id="1531336688">
      <w:bodyDiv w:val="1"/>
      <w:marLeft w:val="0"/>
      <w:marRight w:val="0"/>
      <w:marTop w:val="0"/>
      <w:marBottom w:val="0"/>
      <w:divBdr>
        <w:top w:val="none" w:sz="0" w:space="0" w:color="auto"/>
        <w:left w:val="none" w:sz="0" w:space="0" w:color="auto"/>
        <w:bottom w:val="none" w:sz="0" w:space="0" w:color="auto"/>
        <w:right w:val="none" w:sz="0" w:space="0" w:color="auto"/>
      </w:divBdr>
      <w:divsChild>
        <w:div w:id="301351646">
          <w:marLeft w:val="0"/>
          <w:marRight w:val="0"/>
          <w:marTop w:val="0"/>
          <w:marBottom w:val="0"/>
          <w:divBdr>
            <w:top w:val="none" w:sz="0" w:space="0" w:color="auto"/>
            <w:left w:val="none" w:sz="0" w:space="0" w:color="auto"/>
            <w:bottom w:val="none" w:sz="0" w:space="0" w:color="auto"/>
            <w:right w:val="none" w:sz="0" w:space="0" w:color="auto"/>
          </w:divBdr>
          <w:divsChild>
            <w:div w:id="1063484512">
              <w:marLeft w:val="0"/>
              <w:marRight w:val="0"/>
              <w:marTop w:val="0"/>
              <w:marBottom w:val="0"/>
              <w:divBdr>
                <w:top w:val="none" w:sz="0" w:space="0" w:color="auto"/>
                <w:left w:val="none" w:sz="0" w:space="0" w:color="auto"/>
                <w:bottom w:val="none" w:sz="0" w:space="0" w:color="auto"/>
                <w:right w:val="none" w:sz="0" w:space="0" w:color="auto"/>
              </w:divBdr>
              <w:divsChild>
                <w:div w:id="6911753">
                  <w:marLeft w:val="0"/>
                  <w:marRight w:val="0"/>
                  <w:marTop w:val="0"/>
                  <w:marBottom w:val="0"/>
                  <w:divBdr>
                    <w:top w:val="none" w:sz="0" w:space="0" w:color="auto"/>
                    <w:left w:val="none" w:sz="0" w:space="0" w:color="auto"/>
                    <w:bottom w:val="none" w:sz="0" w:space="0" w:color="auto"/>
                    <w:right w:val="none" w:sz="0" w:space="0" w:color="auto"/>
                  </w:divBdr>
                  <w:divsChild>
                    <w:div w:id="1426458247">
                      <w:marLeft w:val="0"/>
                      <w:marRight w:val="0"/>
                      <w:marTop w:val="0"/>
                      <w:marBottom w:val="0"/>
                      <w:divBdr>
                        <w:top w:val="none" w:sz="0" w:space="0" w:color="auto"/>
                        <w:left w:val="none" w:sz="0" w:space="0" w:color="auto"/>
                        <w:bottom w:val="none" w:sz="0" w:space="0" w:color="auto"/>
                        <w:right w:val="none" w:sz="0" w:space="0" w:color="auto"/>
                      </w:divBdr>
                      <w:divsChild>
                        <w:div w:id="9976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6338">
      <w:bodyDiv w:val="1"/>
      <w:marLeft w:val="0"/>
      <w:marRight w:val="0"/>
      <w:marTop w:val="0"/>
      <w:marBottom w:val="0"/>
      <w:divBdr>
        <w:top w:val="none" w:sz="0" w:space="0" w:color="auto"/>
        <w:left w:val="none" w:sz="0" w:space="0" w:color="auto"/>
        <w:bottom w:val="none" w:sz="0" w:space="0" w:color="auto"/>
        <w:right w:val="none" w:sz="0" w:space="0" w:color="auto"/>
      </w:divBdr>
    </w:div>
    <w:div w:id="2015647869">
      <w:bodyDiv w:val="1"/>
      <w:marLeft w:val="0"/>
      <w:marRight w:val="0"/>
      <w:marTop w:val="0"/>
      <w:marBottom w:val="0"/>
      <w:divBdr>
        <w:top w:val="none" w:sz="0" w:space="0" w:color="auto"/>
        <w:left w:val="none" w:sz="0" w:space="0" w:color="auto"/>
        <w:bottom w:val="none" w:sz="0" w:space="0" w:color="auto"/>
        <w:right w:val="none" w:sz="0" w:space="0" w:color="auto"/>
      </w:divBdr>
    </w:div>
    <w:div w:id="2121954050">
      <w:bodyDiv w:val="1"/>
      <w:marLeft w:val="0"/>
      <w:marRight w:val="0"/>
      <w:marTop w:val="0"/>
      <w:marBottom w:val="0"/>
      <w:divBdr>
        <w:top w:val="none" w:sz="0" w:space="0" w:color="auto"/>
        <w:left w:val="none" w:sz="0" w:space="0" w:color="auto"/>
        <w:bottom w:val="none" w:sz="0" w:space="0" w:color="auto"/>
        <w:right w:val="none" w:sz="0" w:space="0" w:color="auto"/>
      </w:divBdr>
      <w:divsChild>
        <w:div w:id="1197112208">
          <w:marLeft w:val="0"/>
          <w:marRight w:val="0"/>
          <w:marTop w:val="0"/>
          <w:marBottom w:val="0"/>
          <w:divBdr>
            <w:top w:val="none" w:sz="0" w:space="0" w:color="auto"/>
            <w:left w:val="none" w:sz="0" w:space="0" w:color="auto"/>
            <w:bottom w:val="none" w:sz="0" w:space="0" w:color="auto"/>
            <w:right w:val="none" w:sz="0" w:space="0" w:color="auto"/>
          </w:divBdr>
          <w:divsChild>
            <w:div w:id="1764764904">
              <w:marLeft w:val="0"/>
              <w:marRight w:val="0"/>
              <w:marTop w:val="0"/>
              <w:marBottom w:val="0"/>
              <w:divBdr>
                <w:top w:val="none" w:sz="0" w:space="0" w:color="auto"/>
                <w:left w:val="none" w:sz="0" w:space="0" w:color="auto"/>
                <w:bottom w:val="none" w:sz="0" w:space="0" w:color="auto"/>
                <w:right w:val="none" w:sz="0" w:space="0" w:color="auto"/>
              </w:divBdr>
              <w:divsChild>
                <w:div w:id="684790975">
                  <w:marLeft w:val="0"/>
                  <w:marRight w:val="0"/>
                  <w:marTop w:val="0"/>
                  <w:marBottom w:val="0"/>
                  <w:divBdr>
                    <w:top w:val="none" w:sz="0" w:space="0" w:color="auto"/>
                    <w:left w:val="none" w:sz="0" w:space="0" w:color="auto"/>
                    <w:bottom w:val="none" w:sz="0" w:space="0" w:color="auto"/>
                    <w:right w:val="none" w:sz="0" w:space="0" w:color="auto"/>
                  </w:divBdr>
                  <w:divsChild>
                    <w:div w:id="771586288">
                      <w:marLeft w:val="0"/>
                      <w:marRight w:val="0"/>
                      <w:marTop w:val="0"/>
                      <w:marBottom w:val="0"/>
                      <w:divBdr>
                        <w:top w:val="none" w:sz="0" w:space="0" w:color="auto"/>
                        <w:left w:val="none" w:sz="0" w:space="0" w:color="auto"/>
                        <w:bottom w:val="none" w:sz="0" w:space="0" w:color="auto"/>
                        <w:right w:val="none" w:sz="0" w:space="0" w:color="auto"/>
                      </w:divBdr>
                      <w:divsChild>
                        <w:div w:id="2621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Product%20Inform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5C55-4584-42CC-A4A7-4945E96D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 Information Form.dotx</Template>
  <TotalTime>5</TotalTime>
  <Pages>20</Pages>
  <Words>7823</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Attachment 1. Product Information for Nesina and Vipidia</vt:lpstr>
    </vt:vector>
  </TitlesOfParts>
  <Company>Takeda Pharmaceuticals Australia Pty Ltd</Company>
  <LinksUpToDate>false</LinksUpToDate>
  <CharactersWithSpaces>52316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Nesina and Vipidia</dc:title>
  <dc:subject>prescription medicine regulation</dc:subject>
  <dc:creator>Takeda Pharmaceuticals Australia Pty Ltd</dc:creator>
  <cp:keywords>product information, prescription, medicine, regulation, nesina, vipidia, takeda, pharmaceuticals, australia, alogliptin, benzoate</cp:keywords>
  <cp:lastModifiedBy>Searson, Lisa</cp:lastModifiedBy>
  <cp:revision>6</cp:revision>
  <cp:lastPrinted>2013-07-08T01:41:00Z</cp:lastPrinted>
  <dcterms:created xsi:type="dcterms:W3CDTF">2013-09-08T23:36:00Z</dcterms:created>
  <dcterms:modified xsi:type="dcterms:W3CDTF">2014-01-16T23:51:00Z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oFAAC41Wbh9etaXQ2kdq1tf6p13sfuM/6Vkb97pDdSACX7Iu/+jRaViKTuyYXVG4Uwvk+Hrm/QKoTPmC
Fsdc6Efi6xP2r9JTtQ2tg56L4C4Rt2Rgg/XP3Zlfuno/Jd0dmAvmWFoUg5WByc4EJssnA0LnlrnX
oR6Gat52sELkHIO432gDuth/GFOtq2a4ibxV8e/lE5ZJi/ONNSoVmFGxTWg4Cpd4fW4HEXkNBXzi
Ow1+HuMH+ZwjcrlsE</vt:lpwstr>
  </property>
  <property fmtid="{D5CDD505-2E9C-101B-9397-08002B2CF9AE}" pid="3" name="MAIL_MSG_ID2">
    <vt:lpwstr>T/hTXTd0prmyzwtMKup7KyAqOcM9+Sz4Grsi94u5t6PNKVoWxY7gKCTywIa
Yq1xA9+h3K58Sd5/hcQhQaOUEy1KNmKvP4av4Px0GpQTFa//</vt:lpwstr>
  </property>
  <property fmtid="{D5CDD505-2E9C-101B-9397-08002B2CF9AE}" pid="4" name="RESPONSE_SENDER_NAME">
    <vt:lpwstr>4AAA9mrMv1QjWAuCy+84LOaiHMHs7QsLFm3SVe5BcxXxPCPgRBVxpD8qNA==</vt:lpwstr>
  </property>
  <property fmtid="{D5CDD505-2E9C-101B-9397-08002B2CF9AE}" pid="5" name="EMAIL_OWNER_ADDRESS">
    <vt:lpwstr>4AAAv2pPQheLA5UPB5UoqHq7mAy85Zz6gll3MXQNrPDDZ5FOmqfrriUYQA==</vt:lpwstr>
  </property>
</Properties>
</file>