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AFF0C" w14:textId="4D280839" w:rsidR="00256154" w:rsidRDefault="00256154" w:rsidP="00256154">
      <w:r w:rsidRPr="00256154">
        <w:rPr>
          <w:noProof/>
        </w:rPr>
        <mc:AlternateContent>
          <mc:Choice Requires="wps">
            <w:drawing>
              <wp:inline distT="0" distB="0" distL="0" distR="0" wp14:anchorId="555C2152" wp14:editId="4A772AD1">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C2A2E" w14:textId="77777777" w:rsidR="00360AEB" w:rsidRDefault="00360AEB" w:rsidP="00256154">
                            <w:pPr>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555C2152"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" stroked="f">
                <v:textbox inset="0,0,0,0">
                  <w:txbxContent>
                    <w:p w14:paraId="391C2A2E" w14:textId="77777777" w:rsidR="00360AEB" w:rsidRDefault="00360AEB" w:rsidP="00256154">
                      <w:pPr>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256154">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256154">
          <w:rPr>
            <w:rStyle w:val="Hyperlink"/>
          </w:rPr>
          <w:t>https://www.tga.gov.au/reporting-problems</w:t>
        </w:r>
      </w:hyperlink>
    </w:p>
    <w:p w14:paraId="75273796" w14:textId="3AD5850B" w:rsidR="004032BD" w:rsidRPr="00CF3CA1" w:rsidRDefault="004032BD" w:rsidP="00CF3CA1">
      <w:pPr>
        <w:pStyle w:val="Title"/>
      </w:pPr>
      <w:r w:rsidRPr="00CF3CA1">
        <w:t>Australian P</w:t>
      </w:r>
      <w:r w:rsidR="00677840" w:rsidRPr="00CF3CA1">
        <w:t xml:space="preserve">roduct </w:t>
      </w:r>
      <w:r w:rsidRPr="00CF3CA1">
        <w:t>I</w:t>
      </w:r>
      <w:r w:rsidR="00677840" w:rsidRPr="00CF3CA1">
        <w:t>nformation</w:t>
      </w:r>
      <w:r w:rsidRPr="00CF3CA1">
        <w:t xml:space="preserve"> – </w:t>
      </w:r>
      <w:r w:rsidR="00C055CC">
        <w:t>RUZURGI</w:t>
      </w:r>
      <w:r w:rsidR="007E693C" w:rsidRPr="00CF3CA1">
        <w:t xml:space="preserve"> </w:t>
      </w:r>
      <w:r w:rsidRPr="00CF3CA1">
        <w:t>(</w:t>
      </w:r>
      <w:r w:rsidR="00C055CC" w:rsidRPr="00C055CC">
        <w:t>amifampridine)</w:t>
      </w:r>
      <w:r w:rsidR="00497C85" w:rsidRPr="00CF3CA1">
        <w:t xml:space="preserve"> </w:t>
      </w:r>
      <w:r w:rsidR="00C055CC">
        <w:t>TABLETS</w:t>
      </w:r>
    </w:p>
    <w:p w14:paraId="7C8C7996" w14:textId="1DD5A79B" w:rsidR="001A3992" w:rsidRDefault="001A3992" w:rsidP="00CF3CA1">
      <w:pPr>
        <w:pStyle w:val="Heading1"/>
      </w:pPr>
      <w:r w:rsidRPr="00CF3CA1">
        <w:t>Name of the medicine</w:t>
      </w:r>
    </w:p>
    <w:p w14:paraId="288B9856" w14:textId="745E449A" w:rsidR="00FE3B10" w:rsidRPr="00FE3B10" w:rsidRDefault="00FE3B10" w:rsidP="00FE3B10">
      <w:r>
        <w:t>A</w:t>
      </w:r>
      <w:r w:rsidRPr="00FE3B10">
        <w:t>mifampridine</w:t>
      </w:r>
    </w:p>
    <w:p w14:paraId="342178B0" w14:textId="77777777" w:rsidR="001A3992" w:rsidRPr="00497C85" w:rsidRDefault="001A3992" w:rsidP="00CF3CA1">
      <w:pPr>
        <w:pStyle w:val="Heading1"/>
      </w:pPr>
      <w:r w:rsidRPr="00497C85">
        <w:t>Qualitative and quantitative composition</w:t>
      </w:r>
    </w:p>
    <w:p w14:paraId="3E7A078A" w14:textId="41238C2A" w:rsidR="008123B3" w:rsidRPr="006F2795" w:rsidRDefault="008123B3" w:rsidP="00655AA2">
      <w:r w:rsidRPr="006F2795">
        <w:t xml:space="preserve">Each RUZURGI tablet contains 10 mg of amifampridine. </w:t>
      </w:r>
    </w:p>
    <w:p w14:paraId="031FC1E5" w14:textId="30BB70DD" w:rsidR="00497C85" w:rsidRPr="00CF3CA1" w:rsidRDefault="00497C85" w:rsidP="00CF3CA1">
      <w:r w:rsidRPr="006F2795">
        <w:t>For the full list of excipients, see Section 6.1 List of excipients.</w:t>
      </w:r>
      <w:r w:rsidRPr="00CF3CA1">
        <w:t xml:space="preserve"> </w:t>
      </w:r>
    </w:p>
    <w:p w14:paraId="745E2C61" w14:textId="21E58A01" w:rsidR="001A3992" w:rsidRDefault="001A3992" w:rsidP="00CF3CA1">
      <w:pPr>
        <w:pStyle w:val="Heading1"/>
      </w:pPr>
      <w:r w:rsidRPr="00497C85">
        <w:t>Pharmaceutical form</w:t>
      </w:r>
    </w:p>
    <w:p w14:paraId="1DC487E8" w14:textId="77777777" w:rsidR="00B6737E" w:rsidRDefault="00655AA2" w:rsidP="00B6737E">
      <w:r>
        <w:t>Tablets</w:t>
      </w:r>
    </w:p>
    <w:p w14:paraId="7DEC1948" w14:textId="7CB5802D" w:rsidR="00655AA2" w:rsidRPr="00655AA2" w:rsidRDefault="00B6737E" w:rsidP="00B6737E">
      <w:r>
        <w:t xml:space="preserve">Each tablet is functionally scored, </w:t>
      </w:r>
      <w:r>
        <w:rPr>
          <w:rFonts w:hint="eastAsia"/>
        </w:rPr>
        <w:t xml:space="preserve">oval, white to off-white, and debossed </w:t>
      </w:r>
      <w:r>
        <w:t>with “</w:t>
      </w:r>
      <w:r>
        <w:rPr>
          <w:rFonts w:hint="eastAsia"/>
        </w:rPr>
        <w:t>10</w:t>
      </w:r>
      <w:r>
        <w:t xml:space="preserve"> </w:t>
      </w:r>
      <w:r>
        <w:rPr>
          <w:rFonts w:hint="eastAsia"/>
        </w:rPr>
        <w:t>|</w:t>
      </w:r>
      <w:r>
        <w:t xml:space="preserve"> </w:t>
      </w:r>
      <w:r>
        <w:rPr>
          <w:rFonts w:hint="eastAsia"/>
        </w:rPr>
        <w:t>110</w:t>
      </w:r>
      <w:r>
        <w:t>”</w:t>
      </w:r>
      <w:r>
        <w:rPr>
          <w:rFonts w:hint="eastAsia"/>
        </w:rPr>
        <w:t xml:space="preserve"> on one side and </w:t>
      </w:r>
      <w:r>
        <w:t>“</w:t>
      </w:r>
      <w:r>
        <w:rPr>
          <w:rFonts w:hint="eastAsia"/>
        </w:rPr>
        <w:t>JACOBUS</w:t>
      </w:r>
      <w:r>
        <w:t xml:space="preserve">” </w:t>
      </w:r>
      <w:r>
        <w:rPr>
          <w:rFonts w:hint="eastAsia"/>
        </w:rPr>
        <w:t>on the other side</w:t>
      </w:r>
      <w:r w:rsidR="00655AA2">
        <w:t>.</w:t>
      </w:r>
    </w:p>
    <w:p w14:paraId="5BD97C4D" w14:textId="77777777" w:rsidR="001A3992" w:rsidRPr="00497C85" w:rsidRDefault="001A3992" w:rsidP="00CF3CA1">
      <w:pPr>
        <w:pStyle w:val="Heading1"/>
      </w:pPr>
      <w:r w:rsidRPr="00497C85">
        <w:t>Clinical particulars</w:t>
      </w:r>
    </w:p>
    <w:p w14:paraId="41827881" w14:textId="24AC831F" w:rsidR="001A3992" w:rsidRPr="00DB6543" w:rsidRDefault="001A3992" w:rsidP="00CF3CA1">
      <w:pPr>
        <w:pStyle w:val="Heading2"/>
      </w:pPr>
      <w:r w:rsidRPr="00DB6543">
        <w:t xml:space="preserve">Therapeutic indications </w:t>
      </w:r>
    </w:p>
    <w:p w14:paraId="092F1056" w14:textId="4A3AF588" w:rsidR="007B1076" w:rsidRPr="006F2795" w:rsidRDefault="007B1076" w:rsidP="007B1076">
      <w:r w:rsidRPr="006F2795">
        <w:t>RUZU</w:t>
      </w:r>
      <w:r w:rsidRPr="002C2983">
        <w:t xml:space="preserve">RGI is </w:t>
      </w:r>
      <w:r w:rsidRPr="006F2795">
        <w:t xml:space="preserve">indicated for the treatment of Lambert-Eaton myasthenic syndrome (LEMS) in </w:t>
      </w:r>
      <w:r w:rsidR="00CC7DBF" w:rsidRPr="006F2795">
        <w:t xml:space="preserve">adults and children aged </w:t>
      </w:r>
      <w:r w:rsidRPr="006F2795">
        <w:t xml:space="preserve">6 </w:t>
      </w:r>
      <w:r w:rsidR="00CC7DBF" w:rsidRPr="006F2795">
        <w:t>years and above</w:t>
      </w:r>
      <w:r w:rsidRPr="006F2795">
        <w:t>.</w:t>
      </w:r>
    </w:p>
    <w:p w14:paraId="4555C13C" w14:textId="7D2B3A2B" w:rsidR="001A3992" w:rsidRPr="00DB6543" w:rsidRDefault="001A3992" w:rsidP="00CF3CA1">
      <w:pPr>
        <w:pStyle w:val="Heading2"/>
      </w:pPr>
      <w:r w:rsidRPr="00DB6543">
        <w:t xml:space="preserve">Dose and method of administration </w:t>
      </w:r>
    </w:p>
    <w:p w14:paraId="7E638B63" w14:textId="5F2A13B8" w:rsidR="00D43257" w:rsidRDefault="00D43257" w:rsidP="00D43257">
      <w:pPr>
        <w:pStyle w:val="Heading3"/>
      </w:pPr>
      <w:r w:rsidRPr="00D43257">
        <w:t>Dos</w:t>
      </w:r>
      <w:r w:rsidR="00C87FEA">
        <w:t>e</w:t>
      </w:r>
    </w:p>
    <w:p w14:paraId="50275478" w14:textId="746DD576" w:rsidR="00E2504A" w:rsidRDefault="00E2504A" w:rsidP="00E2504A">
      <w:r>
        <w:t xml:space="preserve">Dosing should be </w:t>
      </w:r>
      <w:proofErr w:type="spellStart"/>
      <w:r>
        <w:t>individualised</w:t>
      </w:r>
      <w:proofErr w:type="spellEnd"/>
      <w:r>
        <w:t xml:space="preserve"> based on </w:t>
      </w:r>
      <w:r w:rsidR="008A062E">
        <w:t>clinical circumstances</w:t>
      </w:r>
      <w:r>
        <w:t xml:space="preserve">, patient response, and patient population. The dose should be gradually titrated to the optimal effective dose with </w:t>
      </w:r>
      <w:r>
        <w:lastRenderedPageBreak/>
        <w:t>the minimum of side effects. Once achieved, this optimal dose should be maintained, and dosing frequency should be adjusted, as needed.</w:t>
      </w:r>
    </w:p>
    <w:p w14:paraId="34F9F0FF" w14:textId="7C6206BD" w:rsidR="00E878A2" w:rsidRDefault="00E878A2" w:rsidP="00E878A2">
      <w:pPr>
        <w:spacing w:after="240"/>
      </w:pPr>
      <w:r>
        <w:t>The recommended oral dose is based on body weight (see Table 1).</w:t>
      </w:r>
    </w:p>
    <w:p w14:paraId="1D2BCB2D" w14:textId="77777777" w:rsidR="00E878A2" w:rsidRPr="006F2795" w:rsidRDefault="00E878A2" w:rsidP="00E878A2">
      <w:r w:rsidRPr="006F2795">
        <w:t>Safety and effectiveness in p</w:t>
      </w:r>
      <w:r>
        <w:t>a</w:t>
      </w:r>
      <w:r w:rsidRPr="006F2795">
        <w:t>ediatric patients below the age of 6 years have not been established.</w:t>
      </w:r>
    </w:p>
    <w:p w14:paraId="76362D61" w14:textId="7B0FC4D3" w:rsidR="00C21F24" w:rsidRPr="0064243D" w:rsidRDefault="0037440A" w:rsidP="0064243D">
      <w:pPr>
        <w:rPr>
          <w:b/>
          <w:bCs/>
        </w:rPr>
      </w:pPr>
      <w:r w:rsidRPr="0037440A">
        <w:t xml:space="preserve">If a dose is missed by a few hours, patients who experience weakness should take their usual dose as soon as possible. If it is close to their next dose, they should take their medication at the next regular interval. Patients should not take double or extra doses.  </w:t>
      </w:r>
    </w:p>
    <w:p w14:paraId="270D1FB2" w14:textId="26FED3D5" w:rsidR="00580C43" w:rsidRPr="00580C43" w:rsidRDefault="009B4A02" w:rsidP="009B4A02">
      <w:pPr>
        <w:spacing w:after="240"/>
      </w:pPr>
      <w:r w:rsidRPr="006F2795">
        <w:rPr>
          <w:b/>
          <w:bCs/>
        </w:rPr>
        <w:t xml:space="preserve">Table </w:t>
      </w:r>
      <w:r>
        <w:rPr>
          <w:b/>
          <w:bCs/>
        </w:rPr>
        <w:t>1</w:t>
      </w:r>
      <w:r w:rsidRPr="006F2795">
        <w:rPr>
          <w:b/>
          <w:bCs/>
        </w:rPr>
        <w:t xml:space="preserve">: </w:t>
      </w:r>
      <w:r>
        <w:rPr>
          <w:b/>
          <w:bCs/>
        </w:rPr>
        <w:t xml:space="preserve">Recommended dose </w:t>
      </w:r>
      <w:r w:rsidRPr="006F2795">
        <w:rPr>
          <w:b/>
          <w:bCs/>
        </w:rPr>
        <w:t xml:space="preserve">for patients </w:t>
      </w:r>
      <w:r w:rsidR="00E878A2">
        <w:rPr>
          <w:b/>
          <w:bCs/>
        </w:rPr>
        <w:t>6</w:t>
      </w:r>
      <w:r>
        <w:rPr>
          <w:b/>
          <w:bCs/>
        </w:rPr>
        <w:t xml:space="preserve"> years </w:t>
      </w:r>
      <w:r w:rsidR="00E878A2">
        <w:rPr>
          <w:b/>
          <w:bCs/>
        </w:rPr>
        <w:t xml:space="preserve">of age </w:t>
      </w:r>
      <w:r>
        <w:rPr>
          <w:b/>
          <w:bCs/>
        </w:rPr>
        <w:t>and older</w:t>
      </w:r>
    </w:p>
    <w:tbl>
      <w:tblPr>
        <w:tblStyle w:val="TableGrid"/>
        <w:tblW w:w="9634" w:type="dxa"/>
        <w:tblLook w:val="04A0" w:firstRow="1" w:lastRow="0" w:firstColumn="1" w:lastColumn="0" w:noHBand="0" w:noVBand="1"/>
      </w:tblPr>
      <w:tblGrid>
        <w:gridCol w:w="1803"/>
        <w:gridCol w:w="1803"/>
        <w:gridCol w:w="1803"/>
        <w:gridCol w:w="1803"/>
        <w:gridCol w:w="2422"/>
      </w:tblGrid>
      <w:tr w:rsidR="00A73DC9" w:rsidRPr="006F2795" w14:paraId="68A8243C" w14:textId="77777777" w:rsidTr="00A73DC9">
        <w:tc>
          <w:tcPr>
            <w:tcW w:w="1803" w:type="dxa"/>
          </w:tcPr>
          <w:p w14:paraId="4F2AC43B" w14:textId="6E9AD0F5" w:rsidR="00580C43" w:rsidRPr="006F2795" w:rsidRDefault="00580C43" w:rsidP="00457B3D">
            <w:pPr>
              <w:jc w:val="center"/>
              <w:rPr>
                <w:b/>
                <w:bCs/>
              </w:rPr>
            </w:pPr>
            <w:r w:rsidRPr="006F2795">
              <w:rPr>
                <w:b/>
                <w:bCs/>
              </w:rPr>
              <w:t>Age</w:t>
            </w:r>
          </w:p>
        </w:tc>
        <w:tc>
          <w:tcPr>
            <w:tcW w:w="1803" w:type="dxa"/>
          </w:tcPr>
          <w:p w14:paraId="36B6DA2F" w14:textId="19114B8D" w:rsidR="00580C43" w:rsidRPr="006F2795" w:rsidRDefault="00580C43" w:rsidP="00457B3D">
            <w:pPr>
              <w:jc w:val="center"/>
              <w:rPr>
                <w:b/>
                <w:bCs/>
              </w:rPr>
            </w:pPr>
            <w:r w:rsidRPr="006F2795">
              <w:rPr>
                <w:b/>
                <w:bCs/>
              </w:rPr>
              <w:t>Initial Dos</w:t>
            </w:r>
            <w:r>
              <w:rPr>
                <w:b/>
                <w:bCs/>
              </w:rPr>
              <w:t>e</w:t>
            </w:r>
          </w:p>
        </w:tc>
        <w:tc>
          <w:tcPr>
            <w:tcW w:w="1803" w:type="dxa"/>
          </w:tcPr>
          <w:p w14:paraId="1FDD133E" w14:textId="478C2A67" w:rsidR="00580C43" w:rsidRPr="006F2795" w:rsidRDefault="00580C43" w:rsidP="00457B3D">
            <w:pPr>
              <w:jc w:val="center"/>
              <w:rPr>
                <w:b/>
                <w:bCs/>
              </w:rPr>
            </w:pPr>
            <w:r w:rsidRPr="006F2795">
              <w:rPr>
                <w:b/>
                <w:bCs/>
              </w:rPr>
              <w:t>Titration Regimen</w:t>
            </w:r>
          </w:p>
        </w:tc>
        <w:tc>
          <w:tcPr>
            <w:tcW w:w="1803" w:type="dxa"/>
          </w:tcPr>
          <w:p w14:paraId="21936F43" w14:textId="67438483" w:rsidR="00580C43" w:rsidRDefault="00580C43" w:rsidP="00457B3D">
            <w:pPr>
              <w:jc w:val="center"/>
              <w:rPr>
                <w:b/>
                <w:bCs/>
              </w:rPr>
            </w:pPr>
            <w:r w:rsidRPr="006F2795">
              <w:rPr>
                <w:b/>
                <w:bCs/>
              </w:rPr>
              <w:t xml:space="preserve">Maximum </w:t>
            </w:r>
            <w:r w:rsidR="00A73DC9">
              <w:rPr>
                <w:b/>
                <w:bCs/>
              </w:rPr>
              <w:t xml:space="preserve">Recommended </w:t>
            </w:r>
            <w:r w:rsidRPr="006F2795">
              <w:rPr>
                <w:b/>
                <w:bCs/>
              </w:rPr>
              <w:t>Single Dose</w:t>
            </w:r>
          </w:p>
          <w:p w14:paraId="7F380703" w14:textId="6EC1F2FB" w:rsidR="00A73DC9" w:rsidRPr="006F2795" w:rsidRDefault="00A73DC9" w:rsidP="00457B3D">
            <w:pPr>
              <w:jc w:val="center"/>
              <w:rPr>
                <w:b/>
                <w:bCs/>
              </w:rPr>
            </w:pPr>
          </w:p>
        </w:tc>
        <w:tc>
          <w:tcPr>
            <w:tcW w:w="2422" w:type="dxa"/>
          </w:tcPr>
          <w:p w14:paraId="237207F6" w14:textId="243F804A" w:rsidR="00580C43" w:rsidRPr="006F2795" w:rsidRDefault="00580C43" w:rsidP="00457B3D">
            <w:pPr>
              <w:jc w:val="center"/>
              <w:rPr>
                <w:b/>
                <w:bCs/>
              </w:rPr>
            </w:pPr>
            <w:r w:rsidRPr="006F2795">
              <w:rPr>
                <w:b/>
                <w:bCs/>
              </w:rPr>
              <w:t xml:space="preserve">Maximum Total Daily </w:t>
            </w:r>
            <w:r w:rsidR="00A73DC9">
              <w:rPr>
                <w:b/>
                <w:bCs/>
              </w:rPr>
              <w:t>Maintenance Dose</w:t>
            </w:r>
          </w:p>
        </w:tc>
      </w:tr>
      <w:tr w:rsidR="000903B4" w:rsidRPr="006F2795" w14:paraId="7B1BE3E7" w14:textId="77777777" w:rsidTr="00A73DC9">
        <w:tc>
          <w:tcPr>
            <w:tcW w:w="1803" w:type="dxa"/>
          </w:tcPr>
          <w:p w14:paraId="58F344AF" w14:textId="6C1BD7DB" w:rsidR="000903B4" w:rsidRDefault="000903B4" w:rsidP="000903B4">
            <w:pPr>
              <w:spacing w:before="0"/>
              <w:jc w:val="center"/>
            </w:pPr>
            <w:r>
              <w:rPr>
                <w:sz w:val="22"/>
                <w:szCs w:val="22"/>
              </w:rPr>
              <w:t>All patients weighing less than 45 kg</w:t>
            </w:r>
          </w:p>
        </w:tc>
        <w:tc>
          <w:tcPr>
            <w:tcW w:w="1803" w:type="dxa"/>
          </w:tcPr>
          <w:p w14:paraId="079ED667" w14:textId="0334EECA" w:rsidR="000903B4" w:rsidRPr="006F2795" w:rsidRDefault="000903B4" w:rsidP="000903B4">
            <w:pPr>
              <w:spacing w:before="0"/>
              <w:jc w:val="center"/>
            </w:pPr>
            <w:r w:rsidRPr="002C1096">
              <w:rPr>
                <w:sz w:val="22"/>
                <w:szCs w:val="22"/>
              </w:rPr>
              <w:t>5 mg t</w:t>
            </w:r>
            <w:r>
              <w:rPr>
                <w:sz w:val="22"/>
                <w:szCs w:val="22"/>
              </w:rPr>
              <w:t>o</w:t>
            </w:r>
            <w:r w:rsidRPr="002C1096">
              <w:rPr>
                <w:sz w:val="22"/>
                <w:szCs w:val="22"/>
              </w:rPr>
              <w:t xml:space="preserve"> </w:t>
            </w:r>
            <w:r>
              <w:rPr>
                <w:sz w:val="22"/>
                <w:szCs w:val="22"/>
              </w:rPr>
              <w:t>1</w:t>
            </w:r>
            <w:r w:rsidRPr="002C1096">
              <w:rPr>
                <w:sz w:val="22"/>
                <w:szCs w:val="22"/>
              </w:rPr>
              <w:t>0 mg daily, in divided doses (2 to 3 times per day)</w:t>
            </w:r>
          </w:p>
        </w:tc>
        <w:tc>
          <w:tcPr>
            <w:tcW w:w="1803" w:type="dxa"/>
          </w:tcPr>
          <w:p w14:paraId="7393E550" w14:textId="20B9632C" w:rsidR="000903B4" w:rsidRPr="006F2795" w:rsidRDefault="000903B4" w:rsidP="000903B4">
            <w:pPr>
              <w:spacing w:before="0"/>
              <w:jc w:val="center"/>
            </w:pPr>
            <w:r w:rsidRPr="002C1096">
              <w:rPr>
                <w:sz w:val="22"/>
                <w:szCs w:val="22"/>
              </w:rPr>
              <w:t xml:space="preserve">Increase daily in </w:t>
            </w:r>
            <w:r>
              <w:rPr>
                <w:sz w:val="22"/>
                <w:szCs w:val="22"/>
              </w:rPr>
              <w:t>2.</w:t>
            </w:r>
            <w:r w:rsidRPr="002C1096">
              <w:rPr>
                <w:sz w:val="22"/>
                <w:szCs w:val="22"/>
              </w:rPr>
              <w:t>5</w:t>
            </w:r>
            <w:r>
              <w:rPr>
                <w:sz w:val="22"/>
                <w:szCs w:val="22"/>
              </w:rPr>
              <w:t xml:space="preserve"> </w:t>
            </w:r>
            <w:r w:rsidRPr="002C1096">
              <w:rPr>
                <w:sz w:val="22"/>
                <w:szCs w:val="22"/>
              </w:rPr>
              <w:t>mg</w:t>
            </w:r>
            <w:r>
              <w:rPr>
                <w:sz w:val="22"/>
                <w:szCs w:val="22"/>
              </w:rPr>
              <w:t xml:space="preserve">* </w:t>
            </w:r>
            <w:r w:rsidRPr="002C1096">
              <w:rPr>
                <w:sz w:val="22"/>
                <w:szCs w:val="22"/>
              </w:rPr>
              <w:t>to</w:t>
            </w:r>
            <w:r>
              <w:rPr>
                <w:sz w:val="22"/>
                <w:szCs w:val="22"/>
              </w:rPr>
              <w:t xml:space="preserve"> 5 </w:t>
            </w:r>
            <w:r w:rsidRPr="002C1096">
              <w:rPr>
                <w:sz w:val="22"/>
                <w:szCs w:val="22"/>
              </w:rPr>
              <w:t>mg increments, divided in up to 5</w:t>
            </w:r>
            <w:r>
              <w:rPr>
                <w:sz w:val="22"/>
                <w:szCs w:val="22"/>
              </w:rPr>
              <w:t> </w:t>
            </w:r>
            <w:r w:rsidRPr="002C1096">
              <w:rPr>
                <w:sz w:val="22"/>
                <w:szCs w:val="22"/>
              </w:rPr>
              <w:t>doses per day</w:t>
            </w:r>
          </w:p>
        </w:tc>
        <w:tc>
          <w:tcPr>
            <w:tcW w:w="1803" w:type="dxa"/>
          </w:tcPr>
          <w:p w14:paraId="0BD11B3D" w14:textId="031E53C6" w:rsidR="000903B4" w:rsidRDefault="000903B4" w:rsidP="000903B4">
            <w:pPr>
              <w:spacing w:before="0"/>
              <w:jc w:val="center"/>
            </w:pPr>
            <w:r>
              <w:rPr>
                <w:sz w:val="22"/>
                <w:szCs w:val="22"/>
              </w:rPr>
              <w:t>10</w:t>
            </w:r>
            <w:r w:rsidRPr="002C1096">
              <w:rPr>
                <w:sz w:val="22"/>
                <w:szCs w:val="22"/>
              </w:rPr>
              <w:t xml:space="preserve"> mg</w:t>
            </w:r>
          </w:p>
        </w:tc>
        <w:tc>
          <w:tcPr>
            <w:tcW w:w="2422" w:type="dxa"/>
          </w:tcPr>
          <w:p w14:paraId="700E994C" w14:textId="3D8093AB" w:rsidR="000903B4" w:rsidRDefault="000903B4" w:rsidP="000903B4">
            <w:pPr>
              <w:spacing w:before="0"/>
              <w:jc w:val="center"/>
            </w:pPr>
            <w:r>
              <w:rPr>
                <w:sz w:val="22"/>
                <w:szCs w:val="22"/>
              </w:rPr>
              <w:t>40</w:t>
            </w:r>
            <w:r w:rsidRPr="002C1096">
              <w:rPr>
                <w:sz w:val="22"/>
                <w:szCs w:val="22"/>
              </w:rPr>
              <w:t xml:space="preserve"> mg</w:t>
            </w:r>
          </w:p>
        </w:tc>
      </w:tr>
      <w:tr w:rsidR="000903B4" w:rsidRPr="006F2795" w14:paraId="05CF8C2C" w14:textId="77777777" w:rsidTr="00A73DC9">
        <w:tc>
          <w:tcPr>
            <w:tcW w:w="1803" w:type="dxa"/>
          </w:tcPr>
          <w:p w14:paraId="56171109" w14:textId="08ADDE92" w:rsidR="000903B4" w:rsidRDefault="000903B4" w:rsidP="000903B4">
            <w:pPr>
              <w:spacing w:before="0"/>
              <w:jc w:val="center"/>
            </w:pPr>
            <w:r>
              <w:rPr>
                <w:sz w:val="22"/>
                <w:szCs w:val="22"/>
              </w:rPr>
              <w:t xml:space="preserve">All patients weighing 45 kg or more </w:t>
            </w:r>
          </w:p>
        </w:tc>
        <w:tc>
          <w:tcPr>
            <w:tcW w:w="1803" w:type="dxa"/>
          </w:tcPr>
          <w:p w14:paraId="4DF56B33" w14:textId="11402A2F" w:rsidR="000903B4" w:rsidRPr="006F2795" w:rsidRDefault="000903B4" w:rsidP="000903B4">
            <w:pPr>
              <w:spacing w:before="0"/>
              <w:jc w:val="center"/>
            </w:pPr>
            <w:r>
              <w:rPr>
                <w:sz w:val="22"/>
                <w:szCs w:val="22"/>
              </w:rPr>
              <w:t xml:space="preserve">10 </w:t>
            </w:r>
            <w:r w:rsidRPr="002C1096">
              <w:rPr>
                <w:sz w:val="22"/>
                <w:szCs w:val="22"/>
              </w:rPr>
              <w:t xml:space="preserve">mg to </w:t>
            </w:r>
            <w:r>
              <w:rPr>
                <w:sz w:val="22"/>
                <w:szCs w:val="22"/>
              </w:rPr>
              <w:t>20</w:t>
            </w:r>
            <w:r w:rsidRPr="002C1096">
              <w:rPr>
                <w:sz w:val="22"/>
                <w:szCs w:val="22"/>
              </w:rPr>
              <w:t xml:space="preserve"> mg daily, in divided doses (2 to 3 times per day)</w:t>
            </w:r>
          </w:p>
        </w:tc>
        <w:tc>
          <w:tcPr>
            <w:tcW w:w="1803" w:type="dxa"/>
          </w:tcPr>
          <w:p w14:paraId="5B1E50B4" w14:textId="659F07D1" w:rsidR="000903B4" w:rsidRPr="006F2795" w:rsidRDefault="000903B4" w:rsidP="000903B4">
            <w:pPr>
              <w:spacing w:before="0"/>
              <w:jc w:val="center"/>
            </w:pPr>
            <w:r w:rsidRPr="002C1096">
              <w:rPr>
                <w:sz w:val="22"/>
                <w:szCs w:val="22"/>
              </w:rPr>
              <w:t>Increase daily in 5 mg</w:t>
            </w:r>
            <w:r>
              <w:rPr>
                <w:sz w:val="22"/>
                <w:szCs w:val="22"/>
              </w:rPr>
              <w:t xml:space="preserve"> </w:t>
            </w:r>
            <w:r w:rsidRPr="002C1096">
              <w:rPr>
                <w:sz w:val="22"/>
                <w:szCs w:val="22"/>
              </w:rPr>
              <w:t xml:space="preserve">to </w:t>
            </w:r>
            <w:r>
              <w:rPr>
                <w:sz w:val="22"/>
                <w:szCs w:val="22"/>
              </w:rPr>
              <w:t>10</w:t>
            </w:r>
            <w:r w:rsidRPr="002C1096">
              <w:rPr>
                <w:sz w:val="22"/>
                <w:szCs w:val="22"/>
              </w:rPr>
              <w:t xml:space="preserve"> mg increments, divided in up to 5</w:t>
            </w:r>
            <w:r>
              <w:rPr>
                <w:sz w:val="22"/>
                <w:szCs w:val="22"/>
              </w:rPr>
              <w:t> </w:t>
            </w:r>
            <w:r w:rsidRPr="002C1096">
              <w:rPr>
                <w:sz w:val="22"/>
                <w:szCs w:val="22"/>
              </w:rPr>
              <w:t>doses per day</w:t>
            </w:r>
          </w:p>
        </w:tc>
        <w:tc>
          <w:tcPr>
            <w:tcW w:w="1803" w:type="dxa"/>
          </w:tcPr>
          <w:p w14:paraId="350AE6AD" w14:textId="20FBC65A" w:rsidR="000903B4" w:rsidRDefault="000903B4" w:rsidP="000903B4">
            <w:pPr>
              <w:spacing w:before="0"/>
              <w:jc w:val="center"/>
            </w:pPr>
            <w:r>
              <w:rPr>
                <w:sz w:val="22"/>
                <w:szCs w:val="22"/>
              </w:rPr>
              <w:t>20</w:t>
            </w:r>
            <w:r w:rsidRPr="002C1096">
              <w:rPr>
                <w:sz w:val="22"/>
                <w:szCs w:val="22"/>
              </w:rPr>
              <w:t xml:space="preserve"> mg</w:t>
            </w:r>
          </w:p>
        </w:tc>
        <w:tc>
          <w:tcPr>
            <w:tcW w:w="2422" w:type="dxa"/>
          </w:tcPr>
          <w:p w14:paraId="7E405A27" w14:textId="75F533F9" w:rsidR="000903B4" w:rsidRDefault="000903B4" w:rsidP="000903B4">
            <w:pPr>
              <w:spacing w:before="0"/>
              <w:jc w:val="center"/>
            </w:pPr>
            <w:r>
              <w:rPr>
                <w:sz w:val="22"/>
                <w:szCs w:val="22"/>
              </w:rPr>
              <w:t>80</w:t>
            </w:r>
            <w:r w:rsidRPr="002C1096">
              <w:rPr>
                <w:sz w:val="22"/>
                <w:szCs w:val="22"/>
              </w:rPr>
              <w:t xml:space="preserve"> mg</w:t>
            </w:r>
            <w:r>
              <w:rPr>
                <w:sz w:val="22"/>
                <w:szCs w:val="22"/>
              </w:rPr>
              <w:br/>
              <w:t>Some patients may benefit from a total daily dose of 100 mg.</w:t>
            </w:r>
          </w:p>
        </w:tc>
      </w:tr>
    </w:tbl>
    <w:p w14:paraId="5C683088" w14:textId="00964E5B" w:rsidR="00994999" w:rsidRPr="00E507FB" w:rsidRDefault="00580C43" w:rsidP="00961D92">
      <w:pPr>
        <w:spacing w:before="0"/>
      </w:pPr>
      <w:r w:rsidRPr="00E507FB">
        <w:t>*see Method of administration for method to achieve these doses</w:t>
      </w:r>
      <w:r w:rsidR="009B4A02" w:rsidRPr="00E507FB">
        <w:t>.</w:t>
      </w:r>
    </w:p>
    <w:p w14:paraId="1F52A383" w14:textId="745C5DD4" w:rsidR="00CC3BA1" w:rsidRDefault="00CC3BA1" w:rsidP="00CC3BA1">
      <w:pPr>
        <w:pStyle w:val="Heading3"/>
      </w:pPr>
      <w:r>
        <w:t>Method of administration</w:t>
      </w:r>
    </w:p>
    <w:p w14:paraId="6D8D637E" w14:textId="27482FCC" w:rsidR="00D43257" w:rsidRDefault="00D43257" w:rsidP="00D43257">
      <w:r w:rsidRPr="006F2795">
        <w:t>RUZURGI can be taken without regard to food.</w:t>
      </w:r>
      <w:r w:rsidR="00237CFE">
        <w:t xml:space="preserve"> Swallow tablets with</w:t>
      </w:r>
      <w:r w:rsidR="003B2710">
        <w:t xml:space="preserve"> a</w:t>
      </w:r>
      <w:r w:rsidR="00237CFE">
        <w:t xml:space="preserve"> glass of water.</w:t>
      </w:r>
    </w:p>
    <w:p w14:paraId="4CF76139" w14:textId="6F6F2907" w:rsidR="00E92FDC" w:rsidRPr="006F2795" w:rsidRDefault="00E92FDC" w:rsidP="00D43257">
      <w:r>
        <w:t xml:space="preserve">The tablets have a functional score to facilitate splitting when </w:t>
      </w:r>
      <w:r w:rsidR="00870ACA">
        <w:t>increments of 5 mg are required.</w:t>
      </w:r>
    </w:p>
    <w:p w14:paraId="642ECC9C" w14:textId="72627F1A" w:rsidR="00D43257" w:rsidRPr="006F2795" w:rsidRDefault="00D43257" w:rsidP="00D43257">
      <w:pPr>
        <w:rPr>
          <w:u w:val="single"/>
        </w:rPr>
      </w:pPr>
      <w:r w:rsidRPr="006F2795">
        <w:rPr>
          <w:u w:val="single"/>
        </w:rPr>
        <w:t xml:space="preserve">Preparation of 1 mg/mL </w:t>
      </w:r>
      <w:r w:rsidR="00A77F5A">
        <w:rPr>
          <w:u w:val="single"/>
        </w:rPr>
        <w:t xml:space="preserve">Oral </w:t>
      </w:r>
      <w:r w:rsidRPr="006F2795">
        <w:rPr>
          <w:u w:val="single"/>
        </w:rPr>
        <w:t>Suspension</w:t>
      </w:r>
    </w:p>
    <w:p w14:paraId="21FA9B58" w14:textId="5782147E" w:rsidR="00D43257" w:rsidRPr="006F2795" w:rsidRDefault="00D43257" w:rsidP="00D43257">
      <w:r w:rsidRPr="006F2795">
        <w:t xml:space="preserve">When patients require a dosage in less than 5 mg increments, have difficulty swallowing tablets, or require feeding tubes, a 1 mg/mL </w:t>
      </w:r>
      <w:r w:rsidR="00A77F5A">
        <w:t xml:space="preserve">oral </w:t>
      </w:r>
      <w:r w:rsidRPr="006F2795">
        <w:t>suspension can be prepared (e.g., by placing three 10 mg tablets in a 30 mL container, adding 30 mL of sterile water, and shaking well for 30 seconds).</w:t>
      </w:r>
    </w:p>
    <w:p w14:paraId="2F05EAF6" w14:textId="5A033ED9" w:rsidR="00D43257" w:rsidRPr="006F2795" w:rsidRDefault="00D43257" w:rsidP="00D43257">
      <w:r w:rsidRPr="006F2795">
        <w:t xml:space="preserve">Crushing the tablets prior to making the suspension is not necessary. After preparation of the suspension, an oral syringe can be used to draw up and administer the correct dose by mouth </w:t>
      </w:r>
      <w:r w:rsidRPr="006F2795">
        <w:lastRenderedPageBreak/>
        <w:t xml:space="preserve">or by feeding tube. </w:t>
      </w:r>
      <w:r w:rsidRPr="00994999">
        <w:t>Refrigerate the suspension between doses and shake well before drawing up each dose. The suspension can be stored under refrigeration for up to 24 hours. Discard any unused portion of the suspension after 24 hours.</w:t>
      </w:r>
    </w:p>
    <w:p w14:paraId="67EF318E" w14:textId="77777777" w:rsidR="00C91723" w:rsidRDefault="00C91723">
      <w:pPr>
        <w:spacing w:before="0" w:after="200" w:line="276" w:lineRule="auto"/>
        <w:rPr>
          <w:rFonts w:ascii="Arial" w:eastAsia="MS Gothic" w:hAnsi="Arial" w:cs="Arial"/>
          <w:b/>
          <w:color w:val="auto"/>
          <w:kern w:val="32"/>
          <w:sz w:val="22"/>
          <w:szCs w:val="26"/>
        </w:rPr>
      </w:pPr>
      <w:r>
        <w:br w:type="page"/>
      </w:r>
    </w:p>
    <w:p w14:paraId="498EF874" w14:textId="02D607A0" w:rsidR="00B6737E" w:rsidRDefault="00B6737E" w:rsidP="00B6737E">
      <w:pPr>
        <w:pStyle w:val="Heading3"/>
      </w:pPr>
      <w:r w:rsidRPr="00B6737E">
        <w:lastRenderedPageBreak/>
        <w:t>Dosage adjustment</w:t>
      </w:r>
    </w:p>
    <w:p w14:paraId="0A3BF2D5" w14:textId="40871757" w:rsidR="00CC3BA1" w:rsidRPr="006F2795" w:rsidRDefault="00CC3BA1" w:rsidP="00CC3BA1">
      <w:pPr>
        <w:rPr>
          <w:u w:val="single"/>
        </w:rPr>
      </w:pPr>
      <w:r w:rsidRPr="006F2795">
        <w:rPr>
          <w:u w:val="single"/>
        </w:rPr>
        <w:t>Renal Impairment</w:t>
      </w:r>
    </w:p>
    <w:p w14:paraId="106004C8" w14:textId="622754D9" w:rsidR="002D7881" w:rsidRDefault="002D7881" w:rsidP="002D7881">
      <w:r>
        <w:t xml:space="preserve">RUZURGI has not been studied in controlled trials of patients or volunteers with any degree of renal impairment. </w:t>
      </w:r>
      <w:r w:rsidRPr="006F2795">
        <w:t>Renal clearance is an elimination pathway for amifampridine and the inactive metabolite, 3-N-acetyl amifampridine</w:t>
      </w:r>
      <w:r w:rsidR="00383A5B">
        <w:t>.</w:t>
      </w:r>
      <w:r w:rsidR="00A9320C" w:rsidRPr="00864A90">
        <w:t xml:space="preserve"> </w:t>
      </w:r>
      <w:r>
        <w:t xml:space="preserve">RUZURGI should be titrated more slowly, using the lowest dose in patients with moderate or severe renal impairment (see </w:t>
      </w:r>
      <w:r w:rsidR="00B73F82">
        <w:t>Section 4.4 SPECIAL WARNINGS AND PRECAUTIONS FOR USE)</w:t>
      </w:r>
      <w:r>
        <w:t>.</w:t>
      </w:r>
    </w:p>
    <w:p w14:paraId="7F0678A5" w14:textId="6A5420C6" w:rsidR="002D7881" w:rsidRDefault="007854FD" w:rsidP="007854FD">
      <w:r>
        <w:t xml:space="preserve">Consider dose reduction or discontinuation of RUZURGI for patients with renal impairment, based on clinical effect and tolerability. </w:t>
      </w:r>
    </w:p>
    <w:p w14:paraId="72446EB8" w14:textId="171BE94A" w:rsidR="00CC3BA1" w:rsidRPr="006F2795" w:rsidRDefault="00CC3BA1" w:rsidP="00CC3BA1">
      <w:pPr>
        <w:rPr>
          <w:u w:val="single"/>
        </w:rPr>
      </w:pPr>
      <w:r w:rsidRPr="006F2795">
        <w:rPr>
          <w:u w:val="single"/>
        </w:rPr>
        <w:t>Hepatic Impairment</w:t>
      </w:r>
    </w:p>
    <w:p w14:paraId="77221F7E" w14:textId="5209DB54" w:rsidR="00EC1D14" w:rsidRDefault="00EC1D14" w:rsidP="00EC1D14">
      <w:r>
        <w:t xml:space="preserve">RUZURGI has not been studied in controlled clinical trials of patients or volunteers with any degree of hepatic impairment. RUZURGI is extensively metabolised and hepatic impairment can slow its metabolism, resulting in higher plasma drug levels </w:t>
      </w:r>
    </w:p>
    <w:p w14:paraId="24554370" w14:textId="066D505B" w:rsidR="00EC1D14" w:rsidRDefault="00EC1D14" w:rsidP="00EC1D14">
      <w:r>
        <w:t xml:space="preserve">Initiation and titration of RUZURGI in patients with mild and moderate hepatic impairment should be done cautiously, using the lowest recommended initial single and total daily doses. </w:t>
      </w:r>
      <w:r w:rsidR="00361D75">
        <w:t>S</w:t>
      </w:r>
      <w:r>
        <w:t xml:space="preserve">ee </w:t>
      </w:r>
      <w:r w:rsidR="00AB45E1">
        <w:t>Section 4.4 SPECIAL WARNINGS AND PRECAUTIONS FOR USE</w:t>
      </w:r>
      <w:r>
        <w:t>.</w:t>
      </w:r>
    </w:p>
    <w:p w14:paraId="2DDBAF2E" w14:textId="5BAF3C15" w:rsidR="00CC3BA1" w:rsidRPr="006F2795" w:rsidRDefault="00CC3BA1" w:rsidP="00DA5EF6">
      <w:pPr>
        <w:rPr>
          <w:u w:val="single"/>
        </w:rPr>
      </w:pPr>
      <w:r w:rsidRPr="006F2795">
        <w:rPr>
          <w:u w:val="single"/>
        </w:rPr>
        <w:t xml:space="preserve">Known N-acetyltransferase 2 (NAT2) Poor </w:t>
      </w:r>
      <w:proofErr w:type="spellStart"/>
      <w:r w:rsidRPr="006F2795">
        <w:rPr>
          <w:u w:val="single"/>
        </w:rPr>
        <w:t>Metaboli</w:t>
      </w:r>
      <w:r w:rsidR="00B6737E" w:rsidRPr="006F2795">
        <w:rPr>
          <w:u w:val="single"/>
        </w:rPr>
        <w:t>s</w:t>
      </w:r>
      <w:r w:rsidRPr="006F2795">
        <w:rPr>
          <w:u w:val="single"/>
        </w:rPr>
        <w:t>ers</w:t>
      </w:r>
      <w:proofErr w:type="spellEnd"/>
    </w:p>
    <w:p w14:paraId="1CDCBC6C" w14:textId="35B95F12" w:rsidR="000070D7" w:rsidRPr="006F2795" w:rsidRDefault="00623AE3" w:rsidP="00B6737E">
      <w:r w:rsidRPr="006F2795">
        <w:t xml:space="preserve">Exposure of RUZURGI is increased in patients who are N-acetyltransferase 2 (NAT2) poor </w:t>
      </w:r>
      <w:proofErr w:type="spellStart"/>
      <w:r w:rsidRPr="006F2795">
        <w:t>metabolisers</w:t>
      </w:r>
      <w:proofErr w:type="spellEnd"/>
      <w:r w:rsidRPr="006F2795">
        <w:t xml:space="preserve">, see Section </w:t>
      </w:r>
      <w:r w:rsidRPr="006F2795">
        <w:rPr>
          <w:rFonts w:eastAsiaTheme="minorHAnsi"/>
          <w:lang w:val="en-AU"/>
        </w:rPr>
        <w:t>5.2 PHARMACOKINETIC PROPERTIES, Pharmacogenomics</w:t>
      </w:r>
      <w:r w:rsidRPr="006F2795">
        <w:t>.</w:t>
      </w:r>
      <w:r>
        <w:t xml:space="preserve"> </w:t>
      </w:r>
      <w:r w:rsidR="00CC3BA1" w:rsidRPr="006F2795">
        <w:t xml:space="preserve">The recommended starting dosage of RUZURGI in patients weighing 45 kg or more who are known N-acetyltransferase 2 (NAT2) poor </w:t>
      </w:r>
      <w:proofErr w:type="spellStart"/>
      <w:r w:rsidR="00CC3BA1" w:rsidRPr="006F2795">
        <w:t>metaboli</w:t>
      </w:r>
      <w:r w:rsidR="00D50ACD" w:rsidRPr="006F2795">
        <w:t>s</w:t>
      </w:r>
      <w:r w:rsidR="00CC3BA1" w:rsidRPr="006F2795">
        <w:t>ers</w:t>
      </w:r>
      <w:proofErr w:type="spellEnd"/>
      <w:r w:rsidR="00CC3BA1" w:rsidRPr="006F2795">
        <w:t xml:space="preserve"> is 1</w:t>
      </w:r>
      <w:r w:rsidR="00801806">
        <w:t>0</w:t>
      </w:r>
      <w:r w:rsidR="00CC3BA1" w:rsidRPr="006F2795">
        <w:t xml:space="preserve"> mg daily taken orally in divided doses</w:t>
      </w:r>
      <w:r w:rsidR="00801806">
        <w:t xml:space="preserve"> (2 to 3 times per day)</w:t>
      </w:r>
      <w:r w:rsidR="00CC3BA1" w:rsidRPr="006F2795">
        <w:t xml:space="preserve">. The recommended starting dosage in patients weighing less than 45 kg who are known NAT2 poor </w:t>
      </w:r>
      <w:proofErr w:type="spellStart"/>
      <w:r w:rsidR="00CC3BA1" w:rsidRPr="006F2795">
        <w:t>metaboli</w:t>
      </w:r>
      <w:r w:rsidR="00D50ACD" w:rsidRPr="006F2795">
        <w:t>s</w:t>
      </w:r>
      <w:r w:rsidR="00CC3BA1" w:rsidRPr="006F2795">
        <w:t>ers</w:t>
      </w:r>
      <w:proofErr w:type="spellEnd"/>
      <w:r w:rsidR="00CC3BA1" w:rsidRPr="006F2795">
        <w:t xml:space="preserve"> is 5 mg daily taken orally in divided doses</w:t>
      </w:r>
      <w:r w:rsidR="00801806">
        <w:t xml:space="preserve"> (2 to 3 tim</w:t>
      </w:r>
      <w:r w:rsidR="00226A06">
        <w:t>e</w:t>
      </w:r>
      <w:r w:rsidR="00801806">
        <w:t>s daily)</w:t>
      </w:r>
      <w:r>
        <w:t xml:space="preserve">. </w:t>
      </w:r>
      <w:r w:rsidR="00400FDC">
        <w:t xml:space="preserve">This is consistent with initiating RUZURGI in patients with hepatic impairment using the lowest recommended initial dosing. </w:t>
      </w:r>
      <w:r w:rsidRPr="006F2795">
        <w:t xml:space="preserve">Consider dosage modification of RUZURGI for patients who are known NAT2 poor </w:t>
      </w:r>
      <w:proofErr w:type="spellStart"/>
      <w:r w:rsidRPr="006F2795">
        <w:t>metabolisers</w:t>
      </w:r>
      <w:proofErr w:type="spellEnd"/>
      <w:r w:rsidRPr="006F2795">
        <w:t xml:space="preserve"> as needed based on clinical effect and tolerability.</w:t>
      </w:r>
    </w:p>
    <w:p w14:paraId="05E2E282" w14:textId="22C6042F" w:rsidR="001A3992" w:rsidRPr="00DB6543" w:rsidRDefault="001A3992" w:rsidP="00F006AF">
      <w:pPr>
        <w:pStyle w:val="Heading2"/>
      </w:pPr>
      <w:r w:rsidRPr="00DB6543">
        <w:t>Contraindications</w:t>
      </w:r>
    </w:p>
    <w:p w14:paraId="51C270AC" w14:textId="77777777" w:rsidR="00CC3BA1" w:rsidRPr="006F2795" w:rsidRDefault="00CC3BA1" w:rsidP="00CC3BA1">
      <w:r w:rsidRPr="006F2795">
        <w:t>RUZURGI is contraindicated in patients with:</w:t>
      </w:r>
    </w:p>
    <w:p w14:paraId="2B694B61" w14:textId="7FFCF067" w:rsidR="00CC3BA1" w:rsidRDefault="00CC3BA1" w:rsidP="00CC3BA1">
      <w:pPr>
        <w:pStyle w:val="ListParagraph"/>
        <w:numPr>
          <w:ilvl w:val="0"/>
          <w:numId w:val="11"/>
        </w:numPr>
        <w:rPr>
          <w:rFonts w:ascii="Times New Roman" w:hAnsi="Times New Roman"/>
        </w:rPr>
      </w:pPr>
      <w:r w:rsidRPr="006F2795">
        <w:rPr>
          <w:rFonts w:ascii="Times New Roman" w:hAnsi="Times New Roman"/>
        </w:rPr>
        <w:t>A history of seizures</w:t>
      </w:r>
      <w:r w:rsidR="008A6EC4" w:rsidRPr="006F2795">
        <w:rPr>
          <w:rFonts w:ascii="Times New Roman" w:hAnsi="Times New Roman"/>
        </w:rPr>
        <w:t xml:space="preserve">, </w:t>
      </w:r>
      <w:r w:rsidRPr="006F2795">
        <w:rPr>
          <w:rFonts w:ascii="Times New Roman" w:hAnsi="Times New Roman"/>
        </w:rPr>
        <w:t xml:space="preserve">see </w:t>
      </w:r>
      <w:r w:rsidR="008A6EC4" w:rsidRPr="006F2795">
        <w:rPr>
          <w:rFonts w:ascii="Times New Roman" w:hAnsi="Times New Roman"/>
        </w:rPr>
        <w:t>Section</w:t>
      </w:r>
      <w:r w:rsidR="005607B2" w:rsidRPr="006F2795">
        <w:rPr>
          <w:rFonts w:ascii="Times New Roman" w:hAnsi="Times New Roman"/>
        </w:rPr>
        <w:t xml:space="preserve"> 4.4</w:t>
      </w:r>
      <w:r w:rsidR="008A6EC4" w:rsidRPr="006F2795">
        <w:rPr>
          <w:rFonts w:ascii="Times New Roman" w:hAnsi="Times New Roman"/>
        </w:rPr>
        <w:t xml:space="preserve"> SPECIAL WARNINGS AND PRECAUTIONS FOR USE</w:t>
      </w:r>
    </w:p>
    <w:p w14:paraId="259F8B18" w14:textId="690DC18F" w:rsidR="00610BA9" w:rsidRPr="006F2795" w:rsidRDefault="00610BA9" w:rsidP="00CC3BA1">
      <w:pPr>
        <w:pStyle w:val="ListParagraph"/>
        <w:numPr>
          <w:ilvl w:val="0"/>
          <w:numId w:val="11"/>
        </w:numPr>
        <w:rPr>
          <w:rFonts w:ascii="Times New Roman" w:hAnsi="Times New Roman"/>
        </w:rPr>
      </w:pPr>
      <w:r>
        <w:rPr>
          <w:rFonts w:ascii="Times New Roman" w:hAnsi="Times New Roman"/>
        </w:rPr>
        <w:t>Are taking other forms of amifampridine or other aminopyridines</w:t>
      </w:r>
    </w:p>
    <w:p w14:paraId="219B534C" w14:textId="602188C7" w:rsidR="00CC3BA1" w:rsidRPr="006F2795" w:rsidRDefault="00CC3BA1" w:rsidP="00CC3BA1">
      <w:pPr>
        <w:pStyle w:val="ListParagraph"/>
        <w:numPr>
          <w:ilvl w:val="0"/>
          <w:numId w:val="11"/>
        </w:numPr>
        <w:rPr>
          <w:rFonts w:ascii="Times New Roman" w:hAnsi="Times New Roman"/>
        </w:rPr>
      </w:pPr>
      <w:r w:rsidRPr="006F2795">
        <w:rPr>
          <w:rFonts w:ascii="Times New Roman" w:hAnsi="Times New Roman"/>
        </w:rPr>
        <w:t xml:space="preserve">Hypersensitivity to amifampridine or another aminopyridine </w:t>
      </w:r>
      <w:r w:rsidR="008A6EC4" w:rsidRPr="006F2795">
        <w:rPr>
          <w:rFonts w:ascii="Times New Roman" w:hAnsi="Times New Roman"/>
        </w:rPr>
        <w:t xml:space="preserve">see </w:t>
      </w:r>
      <w:r w:rsidR="005607B2" w:rsidRPr="006F2795">
        <w:rPr>
          <w:rFonts w:ascii="Times New Roman" w:hAnsi="Times New Roman"/>
        </w:rPr>
        <w:t xml:space="preserve">Section 4.4 </w:t>
      </w:r>
      <w:r w:rsidR="008A6EC4" w:rsidRPr="006F2795">
        <w:rPr>
          <w:rFonts w:ascii="Times New Roman" w:hAnsi="Times New Roman"/>
        </w:rPr>
        <w:t>Section SPECIAL WARNINGS AND PRECAUTIONS FOR USE</w:t>
      </w:r>
    </w:p>
    <w:p w14:paraId="5DDB2FF4" w14:textId="77777777" w:rsidR="00C91723" w:rsidRDefault="00C91723">
      <w:pPr>
        <w:spacing w:before="0" w:after="200" w:line="276" w:lineRule="auto"/>
        <w:rPr>
          <w:rFonts w:ascii="Arial" w:eastAsia="MS Gothic" w:hAnsi="Arial" w:cs="Arial"/>
          <w:b/>
          <w:iCs/>
          <w:caps/>
          <w:color w:val="auto"/>
          <w:kern w:val="32"/>
          <w:sz w:val="22"/>
          <w:szCs w:val="28"/>
        </w:rPr>
      </w:pPr>
      <w:r>
        <w:br w:type="page"/>
      </w:r>
    </w:p>
    <w:p w14:paraId="6C18422E" w14:textId="5FE135D6" w:rsidR="001A3992" w:rsidRPr="00DB6543" w:rsidRDefault="00E74A56" w:rsidP="00CF3CA1">
      <w:pPr>
        <w:pStyle w:val="Heading2"/>
      </w:pPr>
      <w:r w:rsidRPr="00DB6543">
        <w:lastRenderedPageBreak/>
        <w:t>Special warnings and p</w:t>
      </w:r>
      <w:r w:rsidR="001A3992" w:rsidRPr="00DB6543">
        <w:t xml:space="preserve">recautions </w:t>
      </w:r>
      <w:r w:rsidRPr="00DB6543">
        <w:t>for use</w:t>
      </w:r>
    </w:p>
    <w:p w14:paraId="02C134EE" w14:textId="683789D4" w:rsidR="00166C1E" w:rsidRPr="00D66F0D" w:rsidRDefault="00166C1E" w:rsidP="00D66F0D">
      <w:pPr>
        <w:pStyle w:val="Heading3"/>
      </w:pPr>
      <w:r w:rsidRPr="00D66F0D">
        <w:t>Seizures</w:t>
      </w:r>
    </w:p>
    <w:p w14:paraId="0EE948E9" w14:textId="611538F2" w:rsidR="00166C1E" w:rsidRDefault="00166C1E" w:rsidP="00166C1E">
      <w:r>
        <w:t>RUZURGI can cause seizures. Seizures have been observed in patients with and without a history of seizures taking RUZURGI at the recommended doses, and at various times after initiation of treatment. Many of the patients were taking medications or had comorbid medical conditions that may have lowered the seizure threshold</w:t>
      </w:r>
      <w:r w:rsidR="00336E83">
        <w:t>.</w:t>
      </w:r>
      <w:r w:rsidR="00B015D7">
        <w:t xml:space="preserve"> </w:t>
      </w:r>
      <w:r w:rsidR="00336E83">
        <w:t xml:space="preserve">RUZURGI should be used with caution when used concomitantly with drugs that are known to lower the seizure threshold, </w:t>
      </w:r>
      <w:r>
        <w:t xml:space="preserve">see </w:t>
      </w:r>
      <w:r w:rsidR="00B015D7">
        <w:t xml:space="preserve">Section 4.5 </w:t>
      </w:r>
      <w:r w:rsidR="00B015D7" w:rsidRPr="00B015D7">
        <w:t>INTERACTIONS WITH OTHER MEDICINES AND OTHER FORMS OF INTERACTIONS</w:t>
      </w:r>
      <w:r>
        <w:t>. Seizures may be dose-dependent. Because seizure events were captured retrospectively from expanded access programs, it is not possible to reliably estimate their frequency with use of RUZURGI. Consider discontinuation or dose-reduction of RUZURGI in patients who have a seizure while on treatment. RUZURGI is contraindicated in patients with a history of seizures</w:t>
      </w:r>
      <w:r w:rsidR="003B2710">
        <w:t>, see Section 4.3 CONTRAINDICATIONS</w:t>
      </w:r>
      <w:r>
        <w:t>.</w:t>
      </w:r>
    </w:p>
    <w:p w14:paraId="7E3E1EFB" w14:textId="3C64CB2D" w:rsidR="00610BA9" w:rsidRDefault="003D1BF8" w:rsidP="00610BA9">
      <w:pPr>
        <w:pStyle w:val="Heading3"/>
        <w:keepNext/>
      </w:pPr>
      <w:r>
        <w:t>QT prolongation</w:t>
      </w:r>
    </w:p>
    <w:p w14:paraId="0164CA0F" w14:textId="05C88678" w:rsidR="0051063D" w:rsidRDefault="00610BA9" w:rsidP="00950319">
      <w:r>
        <w:t xml:space="preserve">QTc interval prolongation </w:t>
      </w:r>
      <w:r w:rsidR="003479AC">
        <w:t xml:space="preserve">has been observed </w:t>
      </w:r>
      <w:r w:rsidR="00C55625">
        <w:t xml:space="preserve">at supratherapeutic doses (120 mg RUZURGI in 4 equal doses of 30 mg at 4-hour intervals) </w:t>
      </w:r>
      <w:r w:rsidR="003479AC">
        <w:t>in a thorough QT study</w:t>
      </w:r>
      <w:r w:rsidR="00735816">
        <w:t xml:space="preserve">, </w:t>
      </w:r>
      <w:r>
        <w:t>see Section 5.1 PHARMACODYNAMIC PROPERTIES.</w:t>
      </w:r>
      <w:r w:rsidR="005137D0">
        <w:t xml:space="preserve"> </w:t>
      </w:r>
      <w:r w:rsidR="00950319">
        <w:t>Drugs that prolong the QTc increase the risk of torsade de pointes, a polymorphic ventricular tachyarrhythmia. Generally, the risk of torsade de pointes increases with the magnitude of QTc prolongation produced by a drug. Torsade de pointes can be asymptomatic or experienced by the patient as dizziness, palpitations, syncope, or seizures. If sustained, torsade de pointes can progress to ventricular fibrillation and sudden cardiac death. Caution should be observed if RUZURGI is administered to patients who have risk factors for torsade de pointes</w:t>
      </w:r>
      <w:r w:rsidR="000354E2">
        <w:t xml:space="preserve"> </w:t>
      </w:r>
      <w:r w:rsidR="00654FB1">
        <w:t xml:space="preserve">and </w:t>
      </w:r>
      <w:r w:rsidR="000354E2">
        <w:t>particularly in patients with the slow acetylator phenotype, see Section 5.1 PHARMACODYNAMIC PROPERTIES</w:t>
      </w:r>
      <w:r w:rsidR="00950319">
        <w:t>.</w:t>
      </w:r>
    </w:p>
    <w:p w14:paraId="6348C334" w14:textId="35AF7C35" w:rsidR="00166C1E" w:rsidRPr="00D66F0D" w:rsidRDefault="00166C1E" w:rsidP="00DB6543">
      <w:pPr>
        <w:pStyle w:val="Heading3"/>
        <w:keepNext/>
      </w:pPr>
      <w:r w:rsidRPr="00D66F0D">
        <w:t>Hypersensitivity</w:t>
      </w:r>
    </w:p>
    <w:p w14:paraId="2C4D6259" w14:textId="104DDA81" w:rsidR="00985E63" w:rsidRPr="005607B2" w:rsidRDefault="00166C1E" w:rsidP="005607B2">
      <w:r>
        <w:t>In clinical trials, hypersensitivity reactions and anaphylaxis associated with RUZURGI administration have not been reported. Anaphylaxis has been reported in patients taking another aminopyridine; therefore, it may occur with RUZURGI. If anaphylaxis occurs, administration of RUZURGI should be discontinued and appropriate therapy initiated.</w:t>
      </w:r>
    </w:p>
    <w:p w14:paraId="2FC2BBA3" w14:textId="400C114A" w:rsidR="00985E63" w:rsidRPr="00985E63" w:rsidRDefault="00985E63" w:rsidP="00D66F0D">
      <w:pPr>
        <w:pStyle w:val="Heading3"/>
      </w:pPr>
      <w:r w:rsidRPr="00985E63">
        <w:t xml:space="preserve">NAT2 Poor </w:t>
      </w:r>
      <w:proofErr w:type="spellStart"/>
      <w:r w:rsidRPr="00985E63">
        <w:t>Metaboli</w:t>
      </w:r>
      <w:r w:rsidR="00B6737E" w:rsidRPr="00D66F0D">
        <w:t>s</w:t>
      </w:r>
      <w:r w:rsidRPr="00985E63">
        <w:t>ers</w:t>
      </w:r>
      <w:proofErr w:type="spellEnd"/>
      <w:r w:rsidRPr="00985E63">
        <w:t xml:space="preserve"> </w:t>
      </w:r>
    </w:p>
    <w:p w14:paraId="2D78AAD5" w14:textId="3EA01BF3" w:rsidR="00985E63" w:rsidRPr="006F2795" w:rsidRDefault="00985E63" w:rsidP="006F2795">
      <w:r w:rsidRPr="006F2795">
        <w:t xml:space="preserve">Exposure of RUZURGI is increased in patients who are N-acetyltransferase 2 (NAT2) poor </w:t>
      </w:r>
      <w:proofErr w:type="spellStart"/>
      <w:r w:rsidRPr="006F2795">
        <w:t>metaboli</w:t>
      </w:r>
      <w:r w:rsidR="00B6737E" w:rsidRPr="006F2795">
        <w:t>s</w:t>
      </w:r>
      <w:r w:rsidRPr="006F2795">
        <w:t>ers</w:t>
      </w:r>
      <w:proofErr w:type="spellEnd"/>
      <w:r w:rsidR="005D39B3" w:rsidRPr="006F2795">
        <w:t>,</w:t>
      </w:r>
      <w:r w:rsidRPr="006F2795">
        <w:t xml:space="preserve"> see </w:t>
      </w:r>
      <w:r w:rsidR="005D39B3" w:rsidRPr="006F2795">
        <w:t>Section 5.2 PHARMACOKINETIC PROPERTIES, Pharmacogenomics</w:t>
      </w:r>
      <w:r w:rsidRPr="006F2795">
        <w:t xml:space="preserve">. </w:t>
      </w:r>
      <w:r w:rsidR="009F339F">
        <w:t xml:space="preserve">See Section 4.2 DOSE AND METHOD OF ADMINISTRATION, for dosing recommendations in patients who are NAT2 poor </w:t>
      </w:r>
      <w:proofErr w:type="spellStart"/>
      <w:r w:rsidR="009F339F">
        <w:t>metabolisers</w:t>
      </w:r>
      <w:proofErr w:type="spellEnd"/>
      <w:r w:rsidR="009F339F">
        <w:t xml:space="preserve">. </w:t>
      </w:r>
    </w:p>
    <w:p w14:paraId="6AF089C9" w14:textId="39CC68B0" w:rsidR="001A3992" w:rsidRDefault="001A3992" w:rsidP="00CF3CA1">
      <w:pPr>
        <w:pStyle w:val="Heading3"/>
      </w:pPr>
      <w:r w:rsidRPr="00CF3CA1">
        <w:t xml:space="preserve">Use in hepatic impairment </w:t>
      </w:r>
    </w:p>
    <w:p w14:paraId="2CFBD896" w14:textId="77777777" w:rsidR="000070D7" w:rsidRDefault="000070D7" w:rsidP="000070D7">
      <w:pPr>
        <w:autoSpaceDE w:val="0"/>
        <w:autoSpaceDN w:val="0"/>
        <w:adjustRightInd w:val="0"/>
        <w:spacing w:before="0"/>
        <w:rPr>
          <w:rFonts w:eastAsiaTheme="minorHAnsi"/>
          <w:sz w:val="23"/>
          <w:szCs w:val="23"/>
          <w:lang w:val="en-AU"/>
        </w:rPr>
      </w:pPr>
    </w:p>
    <w:p w14:paraId="6FA513D1" w14:textId="5ABA73DF" w:rsidR="000070D7" w:rsidRPr="006F2795" w:rsidRDefault="000070D7" w:rsidP="00E66299">
      <w:pPr>
        <w:autoSpaceDE w:val="0"/>
        <w:autoSpaceDN w:val="0"/>
        <w:adjustRightInd w:val="0"/>
        <w:spacing w:before="0"/>
        <w:rPr>
          <w:rFonts w:eastAsiaTheme="minorHAnsi"/>
          <w:lang w:val="en-AU"/>
        </w:rPr>
      </w:pPr>
      <w:r w:rsidRPr="006F2795">
        <w:rPr>
          <w:rFonts w:eastAsiaTheme="minorHAnsi"/>
          <w:lang w:val="en-AU"/>
        </w:rPr>
        <w:lastRenderedPageBreak/>
        <w:t>The effects of RUZURGI have not been studied in patients with hepatic impairment. RUZURGI is extensively metaboli</w:t>
      </w:r>
      <w:r w:rsidR="00D50ACD" w:rsidRPr="006F2795">
        <w:rPr>
          <w:rFonts w:eastAsiaTheme="minorHAnsi"/>
          <w:lang w:val="en-AU"/>
        </w:rPr>
        <w:t>s</w:t>
      </w:r>
      <w:r w:rsidRPr="006F2795">
        <w:rPr>
          <w:rFonts w:eastAsiaTheme="minorHAnsi"/>
          <w:lang w:val="en-AU"/>
        </w:rPr>
        <w:t xml:space="preserve">ed by N-acetyltransferase 2 (NAT2), and hepatic impairment may cause an increase in exposure. </w:t>
      </w:r>
      <w:r w:rsidR="00E66299" w:rsidRPr="00E66299">
        <w:rPr>
          <w:rFonts w:eastAsiaTheme="minorHAnsi"/>
          <w:lang w:val="en-AU"/>
        </w:rPr>
        <w:t>Therefore, initiate RUZURGI in patients with mild and moderate hepatic</w:t>
      </w:r>
      <w:r w:rsidR="00E66299">
        <w:rPr>
          <w:rFonts w:eastAsiaTheme="minorHAnsi"/>
          <w:lang w:val="en-AU"/>
        </w:rPr>
        <w:t xml:space="preserve"> </w:t>
      </w:r>
      <w:r w:rsidR="00E66299" w:rsidRPr="00E66299">
        <w:rPr>
          <w:rFonts w:eastAsiaTheme="minorHAnsi"/>
          <w:lang w:val="en-AU"/>
        </w:rPr>
        <w:t xml:space="preserve">impairment using the lowest recommended initial single and total daily doses. </w:t>
      </w:r>
      <w:r w:rsidR="00345AB2">
        <w:rPr>
          <w:rFonts w:eastAsiaTheme="minorHAnsi"/>
          <w:lang w:val="en-AU"/>
        </w:rPr>
        <w:t xml:space="preserve">Additional caution and monitoring of adverse reactions is recommended for patients with severe hepatic impairment.  </w:t>
      </w:r>
    </w:p>
    <w:p w14:paraId="28E2E56C" w14:textId="65A7D0F7" w:rsidR="001A3992" w:rsidRDefault="001A3992" w:rsidP="006F2795">
      <w:pPr>
        <w:pStyle w:val="Heading3"/>
        <w:keepNext/>
      </w:pPr>
      <w:r w:rsidRPr="00CF3CA1">
        <w:t xml:space="preserve">Use in renal impairment </w:t>
      </w:r>
    </w:p>
    <w:p w14:paraId="20A7C882" w14:textId="77777777" w:rsidR="000070D7" w:rsidRDefault="000070D7" w:rsidP="000070D7">
      <w:pPr>
        <w:autoSpaceDE w:val="0"/>
        <w:autoSpaceDN w:val="0"/>
        <w:adjustRightInd w:val="0"/>
        <w:spacing w:before="0"/>
        <w:rPr>
          <w:rFonts w:eastAsiaTheme="minorHAnsi"/>
          <w:sz w:val="23"/>
          <w:szCs w:val="23"/>
          <w:lang w:val="en-AU"/>
        </w:rPr>
      </w:pPr>
    </w:p>
    <w:p w14:paraId="35ABF80D" w14:textId="1E26854B" w:rsidR="000070D7" w:rsidRPr="006F2795" w:rsidRDefault="00345AB2" w:rsidP="0044210D">
      <w:pPr>
        <w:autoSpaceDE w:val="0"/>
        <w:autoSpaceDN w:val="0"/>
        <w:adjustRightInd w:val="0"/>
        <w:spacing w:before="0"/>
        <w:rPr>
          <w:rFonts w:eastAsiaTheme="minorHAnsi"/>
          <w:lang w:val="en-AU"/>
        </w:rPr>
      </w:pPr>
      <w:r>
        <w:t xml:space="preserve">RUZURGI has not been studied in controlled trials of patients or volunteers with any degree of renal impairment. </w:t>
      </w:r>
      <w:r w:rsidR="000070D7" w:rsidRPr="006F2795">
        <w:rPr>
          <w:rFonts w:eastAsiaTheme="minorHAnsi"/>
          <w:lang w:val="en-AU"/>
        </w:rPr>
        <w:t xml:space="preserve">Renal clearance is an elimination pathway for amifampridine and the inactive metabolite, 3-N-acetyl amifampridine. </w:t>
      </w:r>
      <w:r w:rsidR="005A454C" w:rsidRPr="005A454C">
        <w:rPr>
          <w:rFonts w:eastAsiaTheme="minorHAnsi"/>
          <w:lang w:val="en-AU"/>
        </w:rPr>
        <w:t>Therefore, in patients with mild or moderate renal impairment, RUZURGI</w:t>
      </w:r>
      <w:r w:rsidR="00C91723">
        <w:rPr>
          <w:rFonts w:eastAsiaTheme="minorHAnsi"/>
          <w:lang w:val="en-AU"/>
        </w:rPr>
        <w:t xml:space="preserve"> </w:t>
      </w:r>
      <w:r w:rsidR="005A454C" w:rsidRPr="005A454C">
        <w:rPr>
          <w:rFonts w:eastAsiaTheme="minorHAnsi"/>
          <w:lang w:val="en-AU"/>
        </w:rPr>
        <w:t>should be initiated at the lowest recommended starting dosage and patients should be closely</w:t>
      </w:r>
      <w:r w:rsidR="005A454C">
        <w:rPr>
          <w:rFonts w:eastAsiaTheme="minorHAnsi"/>
          <w:lang w:val="en-AU"/>
        </w:rPr>
        <w:t xml:space="preserve"> </w:t>
      </w:r>
      <w:r w:rsidR="005A454C" w:rsidRPr="005A454C">
        <w:rPr>
          <w:rFonts w:eastAsiaTheme="minorHAnsi"/>
          <w:lang w:val="en-AU"/>
        </w:rPr>
        <w:t xml:space="preserve">monitored for adverse reactions. </w:t>
      </w:r>
      <w:r w:rsidR="0044210D" w:rsidRPr="0044210D">
        <w:rPr>
          <w:rFonts w:eastAsiaTheme="minorHAnsi"/>
          <w:lang w:val="en-AU"/>
        </w:rPr>
        <w:t>In patients with severe renal impairment, extra caution should</w:t>
      </w:r>
      <w:r w:rsidR="005A454C">
        <w:rPr>
          <w:rFonts w:eastAsiaTheme="minorHAnsi"/>
          <w:lang w:val="en-AU"/>
        </w:rPr>
        <w:t xml:space="preserve"> </w:t>
      </w:r>
      <w:r w:rsidR="0044210D" w:rsidRPr="0044210D">
        <w:rPr>
          <w:rFonts w:eastAsiaTheme="minorHAnsi"/>
          <w:lang w:val="en-AU"/>
        </w:rPr>
        <w:t xml:space="preserve">be </w:t>
      </w:r>
      <w:proofErr w:type="gramStart"/>
      <w:r w:rsidR="0044210D" w:rsidRPr="0044210D">
        <w:rPr>
          <w:rFonts w:eastAsiaTheme="minorHAnsi"/>
          <w:lang w:val="en-AU"/>
        </w:rPr>
        <w:t>exercised</w:t>
      </w:r>
      <w:proofErr w:type="gramEnd"/>
      <w:r w:rsidR="0044210D" w:rsidRPr="0044210D">
        <w:rPr>
          <w:rFonts w:eastAsiaTheme="minorHAnsi"/>
          <w:lang w:val="en-AU"/>
        </w:rPr>
        <w:t xml:space="preserve"> and patients should be monitored for tolerability and adverse reactions. </w:t>
      </w:r>
    </w:p>
    <w:p w14:paraId="23882E63" w14:textId="72088758" w:rsidR="001A3992" w:rsidRDefault="001A3992" w:rsidP="00CF3CA1">
      <w:pPr>
        <w:pStyle w:val="Heading3"/>
      </w:pPr>
      <w:r w:rsidRPr="00CF3CA1">
        <w:t>Use in the elderly</w:t>
      </w:r>
    </w:p>
    <w:p w14:paraId="7C12B89E" w14:textId="5AE9A559" w:rsidR="00045DF8" w:rsidRDefault="00045DF8" w:rsidP="00045DF8">
      <w:r>
        <w:t xml:space="preserve">Based on data from </w:t>
      </w:r>
      <w:r w:rsidR="00FC3AEE">
        <w:t xml:space="preserve">two </w:t>
      </w:r>
      <w:r>
        <w:t>controlled stud</w:t>
      </w:r>
      <w:r w:rsidR="00FC3AEE">
        <w:t>ies</w:t>
      </w:r>
      <w:r>
        <w:t xml:space="preserve"> of patients with LEMS and </w:t>
      </w:r>
      <w:r w:rsidR="00FC3AEE">
        <w:t xml:space="preserve">the </w:t>
      </w:r>
      <w:r>
        <w:t xml:space="preserve">Expanded Access Programs, a total of 106 patients, 65 years of age and older, received treatment with RUZURGI. No overall differences in safety and efficacy were observed between the elderly and younger adult patients. </w:t>
      </w:r>
    </w:p>
    <w:p w14:paraId="57F9ED66" w14:textId="50792CEF" w:rsidR="00045DF8" w:rsidRPr="00D66F0D" w:rsidRDefault="00045DF8" w:rsidP="00045DF8">
      <w:pPr>
        <w:rPr>
          <w:sz w:val="28"/>
          <w:szCs w:val="28"/>
        </w:rPr>
      </w:pPr>
      <w:r>
        <w:t xml:space="preserve">RUZURGI is known to be substantially excreted by the kidneys, and the risk of adverse reactions to this drug </w:t>
      </w:r>
      <w:r w:rsidR="0043054D">
        <w:t xml:space="preserve">may </w:t>
      </w:r>
      <w:r>
        <w:t xml:space="preserve">be greater in patients with impaired renal function. Because elderly patients are more likely to have decreased renal function, care should be taken in individual dose selection and titration to </w:t>
      </w:r>
      <w:proofErr w:type="gramStart"/>
      <w:r>
        <w:t>effect</w:t>
      </w:r>
      <w:proofErr w:type="gramEnd"/>
      <w:r>
        <w:t>. It may also be useful to monitor renal function.</w:t>
      </w:r>
    </w:p>
    <w:p w14:paraId="6A328A6C" w14:textId="77777777" w:rsidR="00CC2766" w:rsidRDefault="001A3992" w:rsidP="00CC2766">
      <w:pPr>
        <w:pStyle w:val="Heading3"/>
      </w:pPr>
      <w:r w:rsidRPr="007819F3">
        <w:t>Paediatric use</w:t>
      </w:r>
    </w:p>
    <w:p w14:paraId="4C7866ED" w14:textId="77777777" w:rsidR="00AB2E02" w:rsidRPr="00AB2E02" w:rsidRDefault="00AB2E02" w:rsidP="00AB2E02">
      <w:pPr>
        <w:rPr>
          <w:rFonts w:eastAsiaTheme="minorHAnsi"/>
          <w:lang w:val="en-AU"/>
        </w:rPr>
      </w:pPr>
      <w:r w:rsidRPr="00AB2E02">
        <w:rPr>
          <w:rFonts w:eastAsiaTheme="minorHAnsi"/>
          <w:lang w:val="en-AU"/>
        </w:rPr>
        <w:t>There is no controlled experience for the safety and efficacy of RUZURGI in paediatric LEMS patients. Seven patients, 9 to 16 years of age, have received RUZURGI in clinical practice.</w:t>
      </w:r>
    </w:p>
    <w:p w14:paraId="4211650B" w14:textId="69AD8611" w:rsidR="00AB2E02" w:rsidRPr="00AB2E02" w:rsidRDefault="00AB2E02" w:rsidP="00AB2E02">
      <w:pPr>
        <w:rPr>
          <w:rFonts w:eastAsiaTheme="minorHAnsi"/>
          <w:lang w:val="en-AU"/>
        </w:rPr>
      </w:pPr>
      <w:r w:rsidRPr="00AB2E02">
        <w:rPr>
          <w:rFonts w:eastAsiaTheme="minorHAnsi"/>
          <w:lang w:val="en-AU"/>
        </w:rPr>
        <w:t>There are no actual pharmacokinetic/exposure data in paediatric LEMS patients 6 to 17 years of age. Use of RUZURGI in this population is supported by evidence from controlled studies of RUZURGI in adults with LEMS, pharmacokinetic data in adult patients, pharmacokinetic modelling and simulation to identify the dosing regimen in paediatric patients, and some safety data (see Section 4.2 DOS</w:t>
      </w:r>
      <w:r w:rsidR="00117C7A">
        <w:rPr>
          <w:rFonts w:eastAsiaTheme="minorHAnsi"/>
          <w:lang w:val="en-AU"/>
        </w:rPr>
        <w:t xml:space="preserve">E </w:t>
      </w:r>
      <w:r w:rsidRPr="00AB2E02">
        <w:rPr>
          <w:rFonts w:eastAsiaTheme="minorHAnsi"/>
          <w:lang w:val="en-AU"/>
        </w:rPr>
        <w:t xml:space="preserve">AND </w:t>
      </w:r>
      <w:r w:rsidR="00117C7A">
        <w:rPr>
          <w:rFonts w:eastAsiaTheme="minorHAnsi"/>
          <w:lang w:val="en-AU"/>
        </w:rPr>
        <w:t xml:space="preserve">METHOD OF </w:t>
      </w:r>
      <w:proofErr w:type="gramStart"/>
      <w:r w:rsidRPr="00AB2E02">
        <w:rPr>
          <w:rFonts w:eastAsiaTheme="minorHAnsi"/>
          <w:lang w:val="en-AU"/>
        </w:rPr>
        <w:t>ADMINISTRATION;</w:t>
      </w:r>
      <w:proofErr w:type="gramEnd"/>
      <w:r w:rsidRPr="00AB2E02">
        <w:rPr>
          <w:rFonts w:eastAsiaTheme="minorHAnsi"/>
          <w:lang w:val="en-AU"/>
        </w:rPr>
        <w:t xml:space="preserve"> Section 4.8 ADVERSE EFFECTS (UNDESIRABLE EFFECTS) and Section 5.1 PHARMACODYNAMIC PROPERTIES.</w:t>
      </w:r>
    </w:p>
    <w:p w14:paraId="243957AD" w14:textId="04E78223" w:rsidR="000070D7" w:rsidRPr="006F2795" w:rsidRDefault="00AB2E02" w:rsidP="00AB2E02">
      <w:r w:rsidRPr="00AB2E02">
        <w:rPr>
          <w:rFonts w:eastAsiaTheme="minorHAnsi"/>
          <w:lang w:val="en-AU"/>
        </w:rPr>
        <w:t xml:space="preserve">Safety and efficacy in paediatric patients below the age of 6 years have not been studied. </w:t>
      </w:r>
    </w:p>
    <w:p w14:paraId="4EEEA5D9" w14:textId="5BC05213" w:rsidR="001A3992" w:rsidRDefault="001A3992" w:rsidP="00CF3CA1">
      <w:pPr>
        <w:pStyle w:val="Heading3"/>
      </w:pPr>
      <w:r w:rsidRPr="00CF3CA1">
        <w:t>Effects on laboratory tests</w:t>
      </w:r>
    </w:p>
    <w:p w14:paraId="7C198066" w14:textId="653FFDA1" w:rsidR="00CC2766" w:rsidRPr="00CC2766" w:rsidRDefault="00CC2766" w:rsidP="00CC2766">
      <w:r>
        <w:lastRenderedPageBreak/>
        <w:t xml:space="preserve">No data available. </w:t>
      </w:r>
    </w:p>
    <w:p w14:paraId="345D5657" w14:textId="37EF624E" w:rsidR="001A3992" w:rsidRDefault="001A3992" w:rsidP="00CF3CA1">
      <w:pPr>
        <w:pStyle w:val="Heading2"/>
      </w:pPr>
      <w:r w:rsidRPr="00497C85">
        <w:t>Interactions with other medicines and other forms of interactions</w:t>
      </w:r>
    </w:p>
    <w:p w14:paraId="527E73DC" w14:textId="5D2440FF" w:rsidR="003877EE" w:rsidRPr="00CC2766" w:rsidRDefault="003877EE" w:rsidP="00CC2766">
      <w:pPr>
        <w:pStyle w:val="Heading3"/>
      </w:pPr>
      <w:r w:rsidRPr="00CC2766">
        <w:t xml:space="preserve">Drugs that Lower Seizure Threshold </w:t>
      </w:r>
    </w:p>
    <w:p w14:paraId="582FB070" w14:textId="77777777" w:rsidR="003877EE" w:rsidRPr="003877EE" w:rsidRDefault="003877EE" w:rsidP="003877EE">
      <w:pPr>
        <w:autoSpaceDE w:val="0"/>
        <w:autoSpaceDN w:val="0"/>
        <w:adjustRightInd w:val="0"/>
        <w:spacing w:before="0"/>
        <w:rPr>
          <w:rFonts w:eastAsiaTheme="minorHAnsi"/>
          <w:sz w:val="23"/>
          <w:szCs w:val="23"/>
          <w:lang w:val="en-AU"/>
        </w:rPr>
      </w:pPr>
    </w:p>
    <w:p w14:paraId="597B4D35" w14:textId="3B10CBF7" w:rsidR="00CC2766" w:rsidRPr="006F2795" w:rsidRDefault="003877EE" w:rsidP="003877EE">
      <w:pPr>
        <w:autoSpaceDE w:val="0"/>
        <w:autoSpaceDN w:val="0"/>
        <w:adjustRightInd w:val="0"/>
        <w:spacing w:before="0"/>
        <w:rPr>
          <w:rFonts w:eastAsiaTheme="minorHAnsi"/>
          <w:lang w:val="en-AU"/>
        </w:rPr>
      </w:pPr>
      <w:r w:rsidRPr="006F2795">
        <w:rPr>
          <w:rFonts w:eastAsiaTheme="minorHAnsi"/>
          <w:lang w:val="en-AU"/>
        </w:rPr>
        <w:t>The concomitant use of RUZURGI and drugs that lower seizure threshold may lead to an increased risk of seizures</w:t>
      </w:r>
      <w:r w:rsidR="00790307" w:rsidRPr="006F2795">
        <w:rPr>
          <w:rFonts w:eastAsiaTheme="minorHAnsi"/>
          <w:lang w:val="en-AU"/>
        </w:rPr>
        <w:t xml:space="preserve">, </w:t>
      </w:r>
      <w:r w:rsidRPr="006F2795">
        <w:rPr>
          <w:rFonts w:eastAsiaTheme="minorHAnsi"/>
          <w:lang w:val="en-AU"/>
        </w:rPr>
        <w:t xml:space="preserve">see </w:t>
      </w:r>
      <w:r w:rsidR="00790307" w:rsidRPr="006F2795">
        <w:rPr>
          <w:rFonts w:eastAsiaTheme="minorHAnsi"/>
          <w:lang w:val="en-AU"/>
        </w:rPr>
        <w:t>Section 4.4 SPECIAL WARNINGS AND PRECAUTIONS FOR USE</w:t>
      </w:r>
      <w:r w:rsidRPr="006F2795">
        <w:rPr>
          <w:rFonts w:eastAsiaTheme="minorHAnsi"/>
          <w:lang w:val="en-AU"/>
        </w:rPr>
        <w:t>.</w:t>
      </w:r>
      <w:r w:rsidRPr="006F2795">
        <w:rPr>
          <w:rFonts w:eastAsiaTheme="minorHAnsi"/>
          <w:i/>
          <w:iCs/>
          <w:lang w:val="en-AU"/>
        </w:rPr>
        <w:t xml:space="preserve"> </w:t>
      </w:r>
      <w:r w:rsidRPr="006F2795">
        <w:rPr>
          <w:rFonts w:eastAsiaTheme="minorHAnsi"/>
          <w:lang w:val="en-AU"/>
        </w:rPr>
        <w:t xml:space="preserve">The decision to administer RUZURGI concomitantly with drugs that lower the seizure threshold should be carefully considered </w:t>
      </w:r>
      <w:proofErr w:type="gramStart"/>
      <w:r w:rsidRPr="006F2795">
        <w:rPr>
          <w:rFonts w:eastAsiaTheme="minorHAnsi"/>
          <w:lang w:val="en-AU"/>
        </w:rPr>
        <w:t>in light of</w:t>
      </w:r>
      <w:proofErr w:type="gramEnd"/>
      <w:r w:rsidRPr="006F2795">
        <w:rPr>
          <w:rFonts w:eastAsiaTheme="minorHAnsi"/>
          <w:lang w:val="en-AU"/>
        </w:rPr>
        <w:t xml:space="preserve"> the associated risks. </w:t>
      </w:r>
    </w:p>
    <w:p w14:paraId="1E632A6E" w14:textId="49867561" w:rsidR="003877EE" w:rsidRPr="003877EE" w:rsidRDefault="003877EE" w:rsidP="00CC2766">
      <w:pPr>
        <w:pStyle w:val="Heading3"/>
        <w:rPr>
          <w:rFonts w:eastAsiaTheme="minorHAnsi"/>
          <w:sz w:val="23"/>
          <w:szCs w:val="23"/>
          <w:lang w:val="en-AU"/>
        </w:rPr>
      </w:pPr>
      <w:r w:rsidRPr="00CC2766">
        <w:t xml:space="preserve">Drugs with Cholinergic Effects </w:t>
      </w:r>
    </w:p>
    <w:p w14:paraId="759B2778" w14:textId="63ECFA09" w:rsidR="003877EE" w:rsidRDefault="003877EE" w:rsidP="003877EE">
      <w:pPr>
        <w:rPr>
          <w:rFonts w:eastAsiaTheme="minorHAnsi"/>
          <w:lang w:val="en-AU"/>
        </w:rPr>
      </w:pPr>
      <w:r w:rsidRPr="006F2795">
        <w:rPr>
          <w:rFonts w:eastAsiaTheme="minorHAnsi"/>
          <w:lang w:val="en-AU"/>
        </w:rPr>
        <w:t xml:space="preserve">The concomitant use of RUZURGI and drugs with cholinergic effects (e.g., </w:t>
      </w:r>
      <w:proofErr w:type="gramStart"/>
      <w:r w:rsidRPr="006F2795">
        <w:rPr>
          <w:rFonts w:eastAsiaTheme="minorHAnsi"/>
          <w:lang w:val="en-AU"/>
        </w:rPr>
        <w:t>direct</w:t>
      </w:r>
      <w:proofErr w:type="gramEnd"/>
      <w:r w:rsidRPr="006F2795">
        <w:rPr>
          <w:rFonts w:eastAsiaTheme="minorHAnsi"/>
          <w:lang w:val="en-AU"/>
        </w:rPr>
        <w:t xml:space="preserve"> or indirect cholinesterase inhibitors) may increase the cholinergic effects of RUZURGI and of those drugs and increase the risk of adverse reactions. </w:t>
      </w:r>
    </w:p>
    <w:p w14:paraId="6F4D07AB" w14:textId="77777777" w:rsidR="00491F94" w:rsidRPr="00402343" w:rsidRDefault="00491F94" w:rsidP="00402343">
      <w:pPr>
        <w:pStyle w:val="Heading3"/>
      </w:pPr>
      <w:r w:rsidRPr="00402343">
        <w:t>Drug Interaction Studies</w:t>
      </w:r>
    </w:p>
    <w:p w14:paraId="792C0E8C" w14:textId="77777777" w:rsidR="00491F94" w:rsidRPr="005B1867" w:rsidRDefault="00491F94" w:rsidP="00491F94">
      <w:pPr>
        <w:keepNext/>
      </w:pPr>
      <w:r w:rsidRPr="005B1867">
        <w:rPr>
          <w:i/>
          <w:iCs/>
        </w:rPr>
        <w:t>In vitro studies</w:t>
      </w:r>
    </w:p>
    <w:p w14:paraId="2A371290" w14:textId="278E8642" w:rsidR="00491F94" w:rsidRDefault="00491F94" w:rsidP="00491F94">
      <w:r>
        <w:t>Amifampridine is not metabolised by cytochrome P450 (CYP)1A2, CYP2B6, CYP2C8, CYP2C9, CYP2C19, CYP2D6, or CYP3A4.</w:t>
      </w:r>
    </w:p>
    <w:p w14:paraId="1DCFE1FA" w14:textId="5A9ED19C" w:rsidR="00491F94" w:rsidRDefault="00491F94" w:rsidP="00491F94">
      <w:r w:rsidRPr="00C66A21">
        <w:rPr>
          <w:i/>
          <w:iCs/>
        </w:rPr>
        <w:t>In vitro</w:t>
      </w:r>
      <w:r>
        <w:t xml:space="preserve"> studies with human liver microsomes indicated that amifampridine and 3-N-acetyl amifampridine were not direct or time-dependent inhibitors of CYP1A2</w:t>
      </w:r>
      <w:proofErr w:type="gramStart"/>
      <w:r>
        <w:t>, ,</w:t>
      </w:r>
      <w:proofErr w:type="gramEnd"/>
      <w:r>
        <w:t xml:space="preserve"> CYP2B6, CYP2C8, CYP2C9, CYP2C19, CYP2D6</w:t>
      </w:r>
      <w:r w:rsidR="0043054D">
        <w:t xml:space="preserve"> </w:t>
      </w:r>
      <w:r>
        <w:t>or CYP3A4.</w:t>
      </w:r>
    </w:p>
    <w:p w14:paraId="4B1CE81F" w14:textId="77777777" w:rsidR="00491F94" w:rsidRDefault="00491F94" w:rsidP="00491F94">
      <w:r w:rsidRPr="00C66A21">
        <w:rPr>
          <w:i/>
          <w:iCs/>
        </w:rPr>
        <w:t xml:space="preserve">In vitro </w:t>
      </w:r>
      <w:r>
        <w:t>studies in cryopreserved human hepatocytes indicated that amifampridine did not induce CYP isoforms CYP1A2, CYP2B6, or CYP3A4.</w:t>
      </w:r>
    </w:p>
    <w:p w14:paraId="2F01BEDC" w14:textId="77777777" w:rsidR="00491F94" w:rsidRDefault="00491F94" w:rsidP="00491F94">
      <w:r>
        <w:t xml:space="preserve">Based on </w:t>
      </w:r>
      <w:r w:rsidRPr="00C66A21">
        <w:rPr>
          <w:i/>
          <w:iCs/>
        </w:rPr>
        <w:t>in vitro</w:t>
      </w:r>
      <w:r>
        <w:t xml:space="preserve"> studies with Caco-2 cells amifampridine is unlikely to act as a substrate or inhibitor of the P glycoprotein transporter. Amifampridine is not an inhibitor of the BCRP transporter.</w:t>
      </w:r>
    </w:p>
    <w:p w14:paraId="7103D057" w14:textId="19DC4509" w:rsidR="00491F94" w:rsidRDefault="00491F94" w:rsidP="00491F94">
      <w:r w:rsidRPr="00C66A21">
        <w:rPr>
          <w:i/>
          <w:iCs/>
        </w:rPr>
        <w:t>In vitro</w:t>
      </w:r>
      <w:r>
        <w:t xml:space="preserve"> studies with Chinese hamster ovary cells expressing human OATP1B1, OATP1B3, OAT1, and OCT2 and </w:t>
      </w:r>
      <w:proofErr w:type="spellStart"/>
      <w:r>
        <w:t>Madin</w:t>
      </w:r>
      <w:proofErr w:type="spellEnd"/>
      <w:r>
        <w:t xml:space="preserve">-Darby canine kidney cells expressing human OAT3 indicated that amifampridine is not an inhibitor of </w:t>
      </w:r>
      <w:r w:rsidR="00926C3C">
        <w:t xml:space="preserve">OCT2, </w:t>
      </w:r>
      <w:r>
        <w:t>OAT1, OAT3, OATP1B1, or OATP1B3</w:t>
      </w:r>
      <w:r w:rsidR="00926C3C">
        <w:t xml:space="preserve"> at clinically-relevant concentrations</w:t>
      </w:r>
      <w:r>
        <w:t>. The studies also indicated that amifampridine is not a substrate for OAT1, OAT3, or OCT2 transporters.</w:t>
      </w:r>
    </w:p>
    <w:p w14:paraId="3A5C9251" w14:textId="77777777" w:rsidR="00491F94" w:rsidRPr="005B1867" w:rsidRDefault="00491F94" w:rsidP="00D70D22">
      <w:pPr>
        <w:keepNext/>
        <w:rPr>
          <w:i/>
          <w:iCs/>
        </w:rPr>
      </w:pPr>
      <w:r w:rsidRPr="005B1867">
        <w:rPr>
          <w:i/>
          <w:iCs/>
        </w:rPr>
        <w:t>In vivo studies</w:t>
      </w:r>
    </w:p>
    <w:p w14:paraId="0C65F8E2" w14:textId="77777777" w:rsidR="00491F94" w:rsidRDefault="00491F94" w:rsidP="00491F94">
      <w:r>
        <w:t>Controlled clinical drug interaction studies have not been performed with RUZURGI.</w:t>
      </w:r>
    </w:p>
    <w:p w14:paraId="7BC61FA5" w14:textId="7E61BD2D" w:rsidR="001A3992" w:rsidRPr="00497C85" w:rsidRDefault="001A3992" w:rsidP="00CF3CA1">
      <w:pPr>
        <w:pStyle w:val="Heading2"/>
      </w:pPr>
      <w:r w:rsidRPr="00497C85">
        <w:lastRenderedPageBreak/>
        <w:t xml:space="preserve">Fertility, pregnancy and lactation </w:t>
      </w:r>
    </w:p>
    <w:p w14:paraId="7AB8E730" w14:textId="711DA700" w:rsidR="001A3992" w:rsidRDefault="001A3992" w:rsidP="00CF3CA1">
      <w:pPr>
        <w:pStyle w:val="Heading3"/>
      </w:pPr>
      <w:r w:rsidRPr="00497C85">
        <w:t>Effects on fertility</w:t>
      </w:r>
    </w:p>
    <w:p w14:paraId="199CA789" w14:textId="1557F59D" w:rsidR="004231CB" w:rsidRPr="004231CB" w:rsidRDefault="004231CB" w:rsidP="004231CB">
      <w:r w:rsidRPr="004231CB">
        <w:t xml:space="preserve">Animal </w:t>
      </w:r>
      <w:r w:rsidR="002A28CA">
        <w:t>s</w:t>
      </w:r>
      <w:r w:rsidRPr="004231CB">
        <w:t xml:space="preserve">tudies to assess the potential adverse effects of </w:t>
      </w:r>
      <w:r w:rsidR="002A28CA">
        <w:t>RUZURGI (</w:t>
      </w:r>
      <w:r w:rsidRPr="004231CB">
        <w:t>amifampridine</w:t>
      </w:r>
      <w:r w:rsidR="002A28CA">
        <w:t>)</w:t>
      </w:r>
      <w:r w:rsidRPr="004231CB">
        <w:t xml:space="preserve"> on fertility have not been conducted.</w:t>
      </w:r>
    </w:p>
    <w:p w14:paraId="228A0C28" w14:textId="06A3762A" w:rsidR="001A3992" w:rsidRDefault="001A3992" w:rsidP="00CF3CA1">
      <w:pPr>
        <w:pStyle w:val="Heading3"/>
      </w:pPr>
      <w:r w:rsidRPr="00497C85">
        <w:t xml:space="preserve">Use in pregnancy </w:t>
      </w:r>
      <w:r w:rsidR="00497C85" w:rsidRPr="00497C85">
        <w:t xml:space="preserve">– Pregnancy Category </w:t>
      </w:r>
      <w:r w:rsidR="00CF7561">
        <w:t>C</w:t>
      </w:r>
    </w:p>
    <w:p w14:paraId="48E4F754" w14:textId="64AB0408" w:rsidR="000A155A" w:rsidRPr="006F2795" w:rsidRDefault="007E5979" w:rsidP="004F3301">
      <w:pPr>
        <w:rPr>
          <w:rFonts w:eastAsiaTheme="minorHAnsi"/>
          <w:lang w:val="en-AU"/>
        </w:rPr>
      </w:pPr>
      <w:r w:rsidRPr="007E5979">
        <w:rPr>
          <w:rFonts w:eastAsiaTheme="minorHAnsi"/>
          <w:lang w:val="en-AU"/>
        </w:rPr>
        <w:t xml:space="preserve">There are no adequate and well-controlled studies of </w:t>
      </w:r>
      <w:r w:rsidR="005E0A46">
        <w:rPr>
          <w:rFonts w:eastAsiaTheme="minorHAnsi"/>
          <w:lang w:val="en-AU"/>
        </w:rPr>
        <w:t>RUZURGI (</w:t>
      </w:r>
      <w:r>
        <w:rPr>
          <w:rFonts w:eastAsiaTheme="minorHAnsi"/>
          <w:lang w:val="en-AU"/>
        </w:rPr>
        <w:t>amifampridine</w:t>
      </w:r>
      <w:r w:rsidR="005E0A46">
        <w:rPr>
          <w:rFonts w:eastAsiaTheme="minorHAnsi"/>
          <w:lang w:val="en-AU"/>
        </w:rPr>
        <w:t>)</w:t>
      </w:r>
      <w:r>
        <w:rPr>
          <w:rFonts w:eastAsiaTheme="minorHAnsi"/>
          <w:lang w:val="en-AU"/>
        </w:rPr>
        <w:t xml:space="preserve"> </w:t>
      </w:r>
      <w:r w:rsidRPr="007E5979">
        <w:rPr>
          <w:rFonts w:eastAsiaTheme="minorHAnsi"/>
          <w:lang w:val="en-AU"/>
        </w:rPr>
        <w:t>in pregnant women.</w:t>
      </w:r>
      <w:r>
        <w:rPr>
          <w:rFonts w:eastAsiaTheme="minorHAnsi"/>
          <w:lang w:val="en-AU"/>
        </w:rPr>
        <w:t xml:space="preserve">  </w:t>
      </w:r>
      <w:r w:rsidR="004F3301" w:rsidRPr="004F3301">
        <w:rPr>
          <w:rFonts w:eastAsiaTheme="minorHAnsi"/>
          <w:lang w:val="en-AU"/>
        </w:rPr>
        <w:t xml:space="preserve">No adverse outcomes were reported in the </w:t>
      </w:r>
      <w:r w:rsidR="004F3301">
        <w:rPr>
          <w:rFonts w:eastAsiaTheme="minorHAnsi"/>
          <w:lang w:val="en-AU"/>
        </w:rPr>
        <w:t>6</w:t>
      </w:r>
      <w:r w:rsidR="004F3301" w:rsidRPr="004F3301">
        <w:rPr>
          <w:rFonts w:eastAsiaTheme="minorHAnsi"/>
          <w:lang w:val="en-AU"/>
        </w:rPr>
        <w:t xml:space="preserve"> known completed pregnancies</w:t>
      </w:r>
      <w:r w:rsidR="004F3301">
        <w:rPr>
          <w:rFonts w:eastAsiaTheme="minorHAnsi"/>
          <w:lang w:val="en-AU"/>
        </w:rPr>
        <w:t xml:space="preserve"> </w:t>
      </w:r>
      <w:r w:rsidR="004F3301" w:rsidRPr="004F3301">
        <w:rPr>
          <w:rFonts w:eastAsiaTheme="minorHAnsi"/>
          <w:lang w:val="en-AU"/>
        </w:rPr>
        <w:t xml:space="preserve">involving </w:t>
      </w:r>
      <w:r w:rsidR="004F3301">
        <w:rPr>
          <w:rFonts w:eastAsiaTheme="minorHAnsi"/>
          <w:lang w:val="en-AU"/>
        </w:rPr>
        <w:t xml:space="preserve">3 </w:t>
      </w:r>
      <w:r w:rsidR="004F3301" w:rsidRPr="004F3301">
        <w:rPr>
          <w:rFonts w:eastAsiaTheme="minorHAnsi"/>
          <w:lang w:val="en-AU"/>
        </w:rPr>
        <w:t>patients with LEMS receiving compassionate use amifampridine.</w:t>
      </w:r>
      <w:r w:rsidR="007D7DEA">
        <w:rPr>
          <w:rFonts w:eastAsiaTheme="minorHAnsi"/>
          <w:lang w:val="en-AU"/>
        </w:rPr>
        <w:t xml:space="preserve"> </w:t>
      </w:r>
      <w:r w:rsidR="007D7DEA">
        <w:rPr>
          <w:iCs/>
        </w:rPr>
        <w:t>Two pregnancies have been reported in female partners of male LEMS patients with no reported adverse outcomes.</w:t>
      </w:r>
      <w:r w:rsidR="00780EAA">
        <w:rPr>
          <w:rFonts w:eastAsiaTheme="minorHAnsi"/>
          <w:lang w:val="en-AU"/>
        </w:rPr>
        <w:t xml:space="preserve">  RUZURGI should be used during pregnancy only if the potential benefits to the mother justifies the potential risk to the </w:t>
      </w:r>
      <w:proofErr w:type="spellStart"/>
      <w:r w:rsidR="00780EAA">
        <w:rPr>
          <w:rFonts w:eastAsiaTheme="minorHAnsi"/>
          <w:lang w:val="en-AU"/>
        </w:rPr>
        <w:t>fetus</w:t>
      </w:r>
      <w:proofErr w:type="spellEnd"/>
      <w:r w:rsidR="00780EAA">
        <w:rPr>
          <w:rFonts w:eastAsiaTheme="minorHAnsi"/>
          <w:lang w:val="en-AU"/>
        </w:rPr>
        <w:t>.</w:t>
      </w:r>
    </w:p>
    <w:p w14:paraId="12F12EBB" w14:textId="0FC698F3" w:rsidR="000A155A" w:rsidRDefault="000A155A" w:rsidP="00100153">
      <w:pPr>
        <w:rPr>
          <w:rFonts w:eastAsiaTheme="minorHAnsi"/>
          <w:lang w:val="en-AU"/>
        </w:rPr>
      </w:pPr>
      <w:r w:rsidRPr="006F2795">
        <w:rPr>
          <w:rFonts w:eastAsiaTheme="minorHAnsi"/>
          <w:lang w:val="en-AU"/>
        </w:rPr>
        <w:t xml:space="preserve">Animal studies to assess the potential adverse effects of </w:t>
      </w:r>
      <w:r w:rsidR="005E0A46">
        <w:rPr>
          <w:rFonts w:eastAsiaTheme="minorHAnsi"/>
          <w:lang w:val="en-AU"/>
        </w:rPr>
        <w:t>RUZURGI (</w:t>
      </w:r>
      <w:r w:rsidRPr="006F2795">
        <w:rPr>
          <w:rFonts w:eastAsiaTheme="minorHAnsi"/>
          <w:lang w:val="en-AU"/>
        </w:rPr>
        <w:t>amifampridine</w:t>
      </w:r>
      <w:r w:rsidR="005E0A46">
        <w:rPr>
          <w:rFonts w:eastAsiaTheme="minorHAnsi"/>
          <w:lang w:val="en-AU"/>
        </w:rPr>
        <w:t>)</w:t>
      </w:r>
      <w:r w:rsidRPr="006F2795">
        <w:rPr>
          <w:rFonts w:eastAsiaTheme="minorHAnsi"/>
          <w:lang w:val="en-AU"/>
        </w:rPr>
        <w:t xml:space="preserve"> on embryofetal development have not been conducted. </w:t>
      </w:r>
      <w:r w:rsidR="00B23C1D">
        <w:rPr>
          <w:rFonts w:eastAsiaTheme="minorHAnsi"/>
          <w:lang w:val="en-AU"/>
        </w:rPr>
        <w:t>However, potassium channels play a role in uterine smooth muscle function during gestation and parturition.</w:t>
      </w:r>
    </w:p>
    <w:p w14:paraId="41B9F9D2" w14:textId="766DF71D" w:rsidR="0021448B" w:rsidRPr="006F2795" w:rsidRDefault="0021448B" w:rsidP="00100153">
      <w:pPr>
        <w:rPr>
          <w:rFonts w:eastAsiaTheme="minorHAnsi"/>
          <w:lang w:val="en-AU"/>
        </w:rPr>
      </w:pPr>
      <w:r w:rsidRPr="004751BF">
        <w:rPr>
          <w:rFonts w:eastAsiaTheme="minorHAnsi"/>
          <w:lang w:val="en-AU"/>
        </w:rPr>
        <w:t>Women of childbearing potential should use effective contraception during treatment with RUZURGI.</w:t>
      </w:r>
    </w:p>
    <w:p w14:paraId="25012DC7" w14:textId="3FCA3199" w:rsidR="001A3992" w:rsidRDefault="001A3992" w:rsidP="00CF3CA1">
      <w:pPr>
        <w:pStyle w:val="Heading3"/>
      </w:pPr>
      <w:r w:rsidRPr="00497C85">
        <w:t>Use in lactation</w:t>
      </w:r>
    </w:p>
    <w:p w14:paraId="3B60CDDD" w14:textId="74A83243" w:rsidR="000A155A" w:rsidRPr="006F2795" w:rsidRDefault="000A155A" w:rsidP="006F2795">
      <w:pPr>
        <w:rPr>
          <w:rFonts w:eastAsiaTheme="minorHAnsi"/>
          <w:lang w:val="en-AU"/>
        </w:rPr>
      </w:pPr>
      <w:r w:rsidRPr="006F2795">
        <w:rPr>
          <w:rFonts w:eastAsiaTheme="minorHAnsi"/>
          <w:lang w:val="en-AU"/>
        </w:rPr>
        <w:t xml:space="preserve">There are no data on the presence of amifampridine or </w:t>
      </w:r>
      <w:r w:rsidR="00440947">
        <w:rPr>
          <w:rFonts w:eastAsiaTheme="minorHAnsi"/>
          <w:lang w:val="en-AU"/>
        </w:rPr>
        <w:t>its</w:t>
      </w:r>
      <w:r w:rsidRPr="006F2795">
        <w:rPr>
          <w:rFonts w:eastAsiaTheme="minorHAnsi"/>
          <w:lang w:val="en-AU"/>
        </w:rPr>
        <w:t xml:space="preserve"> metabolite in human milk, the effects on the breastfed infant, or the effects on milk production. </w:t>
      </w:r>
    </w:p>
    <w:p w14:paraId="2586FB29" w14:textId="30962075" w:rsidR="000A155A" w:rsidRPr="006F2795" w:rsidRDefault="000A155A" w:rsidP="000A155A">
      <w:r w:rsidRPr="006F2795">
        <w:rPr>
          <w:rFonts w:eastAsiaTheme="minorHAnsi"/>
          <w:lang w:val="en-AU"/>
        </w:rPr>
        <w:t>The developmental and health benefits of breastfeeding should be considered along with the mother’s clinical need for RUZURGI</w:t>
      </w:r>
      <w:r w:rsidR="00440947">
        <w:rPr>
          <w:rFonts w:eastAsiaTheme="minorHAnsi"/>
          <w:lang w:val="en-AU"/>
        </w:rPr>
        <w:t>,</w:t>
      </w:r>
      <w:r w:rsidRPr="006F2795">
        <w:rPr>
          <w:rFonts w:eastAsiaTheme="minorHAnsi"/>
          <w:lang w:val="en-AU"/>
        </w:rPr>
        <w:t xml:space="preserve"> any potential adverse effects on the breastfed infant from RUZURGI</w:t>
      </w:r>
      <w:r w:rsidR="008803EF">
        <w:rPr>
          <w:rFonts w:eastAsiaTheme="minorHAnsi"/>
          <w:lang w:val="en-AU"/>
        </w:rPr>
        <w:t>,</w:t>
      </w:r>
      <w:r w:rsidRPr="006F2795">
        <w:rPr>
          <w:rFonts w:eastAsiaTheme="minorHAnsi"/>
          <w:lang w:val="en-AU"/>
        </w:rPr>
        <w:t xml:space="preserve"> or from the underlying maternal condition. </w:t>
      </w:r>
    </w:p>
    <w:p w14:paraId="3945FD91" w14:textId="77777777" w:rsidR="001A3992" w:rsidRPr="00497C85" w:rsidRDefault="001A3992" w:rsidP="00CF3CA1">
      <w:pPr>
        <w:pStyle w:val="Heading2"/>
      </w:pPr>
      <w:r w:rsidRPr="00497C85">
        <w:t xml:space="preserve">Effects on ability to drive and use machines </w:t>
      </w:r>
    </w:p>
    <w:p w14:paraId="4D1D6816" w14:textId="41C8CE09" w:rsidR="00497C85" w:rsidRPr="00497C85" w:rsidRDefault="00497C85" w:rsidP="00CF3CA1">
      <w:r w:rsidRPr="00497C85">
        <w:rPr>
          <w:lang w:val="en"/>
        </w:rPr>
        <w:t>The effects of this medicine on a person's ability to drive and use machines were not assessed as part of its registration.</w:t>
      </w:r>
      <w:r w:rsidR="003A5428">
        <w:rPr>
          <w:lang w:val="en"/>
        </w:rPr>
        <w:t xml:space="preserve">  </w:t>
      </w:r>
      <w:r w:rsidR="002F0F2A">
        <w:rPr>
          <w:lang w:val="en"/>
        </w:rPr>
        <w:t>However, some patients have experienced dizziness when being treated with RUZURGI. The effect of RUZURGI on the individual patient should be considered prior to driving or operating machinery.</w:t>
      </w:r>
    </w:p>
    <w:p w14:paraId="7C2EE79C" w14:textId="02CF20A1" w:rsidR="001A3992" w:rsidRPr="00DB6543" w:rsidRDefault="001A3992" w:rsidP="00CF3CA1">
      <w:pPr>
        <w:pStyle w:val="Heading2"/>
      </w:pPr>
      <w:r w:rsidRPr="00DB6543">
        <w:t>Adverse effects (Undesirable effects)</w:t>
      </w:r>
    </w:p>
    <w:p w14:paraId="7A369D75" w14:textId="77777777" w:rsidR="005D46C7" w:rsidRPr="006F2795" w:rsidRDefault="005D46C7" w:rsidP="005D46C7">
      <w:r w:rsidRPr="006F2795">
        <w:t>The following serious adverse reactions are described elsewhere in the labeling:</w:t>
      </w:r>
    </w:p>
    <w:p w14:paraId="1C438665" w14:textId="56DF2D76" w:rsidR="005D46C7" w:rsidRPr="006F2795" w:rsidRDefault="005D46C7" w:rsidP="005607B2">
      <w:pPr>
        <w:pStyle w:val="ListParagraph"/>
        <w:numPr>
          <w:ilvl w:val="0"/>
          <w:numId w:val="12"/>
        </w:numPr>
        <w:rPr>
          <w:rFonts w:ascii="Times New Roman" w:hAnsi="Times New Roman"/>
        </w:rPr>
      </w:pPr>
      <w:r w:rsidRPr="006F2795">
        <w:rPr>
          <w:rFonts w:ascii="Times New Roman" w:hAnsi="Times New Roman"/>
        </w:rPr>
        <w:t>Seizures</w:t>
      </w:r>
      <w:r w:rsidR="005607B2" w:rsidRPr="006F2795">
        <w:rPr>
          <w:rFonts w:ascii="Times New Roman" w:hAnsi="Times New Roman"/>
        </w:rPr>
        <w:t>,</w:t>
      </w:r>
      <w:r w:rsidRPr="006F2795">
        <w:rPr>
          <w:rFonts w:ascii="Times New Roman" w:hAnsi="Times New Roman"/>
        </w:rPr>
        <w:t xml:space="preserve"> see </w:t>
      </w:r>
      <w:r w:rsidR="005607B2" w:rsidRPr="006F2795">
        <w:rPr>
          <w:rFonts w:ascii="Times New Roman" w:hAnsi="Times New Roman"/>
        </w:rPr>
        <w:t xml:space="preserve">Section 4.4 SPECIAL WARNINGS AND PRECAUTIONS FOR USE </w:t>
      </w:r>
    </w:p>
    <w:p w14:paraId="5F23698C" w14:textId="0AA90581" w:rsidR="005D46C7" w:rsidRPr="006F2795" w:rsidRDefault="005D46C7" w:rsidP="005607B2">
      <w:pPr>
        <w:pStyle w:val="ListParagraph"/>
        <w:numPr>
          <w:ilvl w:val="0"/>
          <w:numId w:val="12"/>
        </w:numPr>
        <w:rPr>
          <w:rFonts w:ascii="Times New Roman" w:hAnsi="Times New Roman"/>
        </w:rPr>
      </w:pPr>
      <w:r w:rsidRPr="006F2795">
        <w:rPr>
          <w:rFonts w:ascii="Times New Roman" w:hAnsi="Times New Roman"/>
        </w:rPr>
        <w:t>Hypersensitivity</w:t>
      </w:r>
      <w:r w:rsidR="004D0BDF">
        <w:rPr>
          <w:rFonts w:ascii="Times New Roman" w:hAnsi="Times New Roman"/>
        </w:rPr>
        <w:t>, see</w:t>
      </w:r>
      <w:r w:rsidRPr="006F2795">
        <w:rPr>
          <w:rFonts w:ascii="Times New Roman" w:hAnsi="Times New Roman"/>
        </w:rPr>
        <w:t xml:space="preserve"> </w:t>
      </w:r>
      <w:r w:rsidR="005607B2" w:rsidRPr="006F2795">
        <w:rPr>
          <w:rFonts w:ascii="Times New Roman" w:hAnsi="Times New Roman"/>
        </w:rPr>
        <w:t>Section 4.4 SPECIAL WARNINGS AND PRECAUTIONS FOR USE</w:t>
      </w:r>
    </w:p>
    <w:p w14:paraId="37F56AD3" w14:textId="0AE03B46" w:rsidR="005D46C7" w:rsidRPr="005B1867" w:rsidRDefault="005D46C7" w:rsidP="006F2795">
      <w:pPr>
        <w:keepNext/>
        <w:rPr>
          <w:rFonts w:ascii="Arial" w:hAnsi="Arial" w:cs="Arial"/>
          <w:b/>
          <w:bCs/>
          <w:sz w:val="22"/>
          <w:szCs w:val="22"/>
        </w:rPr>
      </w:pPr>
      <w:r w:rsidRPr="005B1867">
        <w:rPr>
          <w:rFonts w:ascii="Arial" w:hAnsi="Arial" w:cs="Arial"/>
          <w:b/>
          <w:bCs/>
          <w:sz w:val="22"/>
          <w:szCs w:val="22"/>
        </w:rPr>
        <w:lastRenderedPageBreak/>
        <w:t>Clinical Trials Experience</w:t>
      </w:r>
    </w:p>
    <w:p w14:paraId="709F4EB2" w14:textId="32154086" w:rsidR="005D46C7" w:rsidRPr="006F2795" w:rsidRDefault="005D46C7" w:rsidP="005D46C7">
      <w:r w:rsidRPr="006F2795">
        <w:t xml:space="preserve">In a double-blind, 3-way crossover, pharmacology study to assess the effects of RUZURGI on QTc interval prolongation, RUZURGI was administered at doses greater than the </w:t>
      </w:r>
      <w:r w:rsidR="00111544">
        <w:t>usual</w:t>
      </w:r>
      <w:r w:rsidR="00111544" w:rsidRPr="006F2795">
        <w:t xml:space="preserve"> </w:t>
      </w:r>
      <w:r w:rsidRPr="006F2795">
        <w:t xml:space="preserve">recommended dose (120 mg administered as 4 equal doses of 30 mg at 4-hour intervals) to </w:t>
      </w:r>
      <w:r w:rsidR="00C91723" w:rsidRPr="006F2795">
        <w:t>52</w:t>
      </w:r>
      <w:r w:rsidR="00C91723">
        <w:t> </w:t>
      </w:r>
      <w:r w:rsidRPr="006F2795">
        <w:t>healthy adult volunteers</w:t>
      </w:r>
      <w:r w:rsidR="003A0E10" w:rsidRPr="006F2795">
        <w:t>,</w:t>
      </w:r>
      <w:r w:rsidRPr="006F2795">
        <w:t xml:space="preserve"> see </w:t>
      </w:r>
      <w:r w:rsidR="003A0E10" w:rsidRPr="006F2795">
        <w:t>Section 5.1 PHARMACODYNAMIC PROPERTIES, Cardiac Electrophysiology</w:t>
      </w:r>
      <w:r w:rsidRPr="006F2795">
        <w:t xml:space="preserve">. </w:t>
      </w:r>
      <w:r w:rsidR="008B5A16">
        <w:t xml:space="preserve">Treatment-emergent adverse events (TEAE) </w:t>
      </w:r>
      <w:r w:rsidRPr="006F2795">
        <w:t xml:space="preserve">that occurred in at least </w:t>
      </w:r>
      <w:r w:rsidR="00547F52">
        <w:t>1</w:t>
      </w:r>
      <w:r w:rsidRPr="006F2795">
        <w:t xml:space="preserve">% of subjects during RUZURGI treatment and with incidence at least 2% greater than during placebo treatment are displayed in Table </w:t>
      </w:r>
      <w:r w:rsidR="007D7155">
        <w:t>3</w:t>
      </w:r>
      <w:r w:rsidRPr="006F2795">
        <w:t>.</w:t>
      </w:r>
    </w:p>
    <w:p w14:paraId="098397DB" w14:textId="745928D2" w:rsidR="005D46C7" w:rsidRDefault="005D46C7" w:rsidP="005D46C7">
      <w:pPr>
        <w:rPr>
          <w:b/>
          <w:bCs/>
        </w:rPr>
      </w:pPr>
      <w:bookmarkStart w:id="0" w:name="_Hlk55564409"/>
      <w:r w:rsidRPr="00100153">
        <w:rPr>
          <w:b/>
          <w:bCs/>
        </w:rPr>
        <w:t xml:space="preserve">Table </w:t>
      </w:r>
      <w:r w:rsidR="007D7155">
        <w:rPr>
          <w:b/>
          <w:bCs/>
        </w:rPr>
        <w:t>3</w:t>
      </w:r>
      <w:r w:rsidRPr="00100153">
        <w:rPr>
          <w:b/>
          <w:bCs/>
        </w:rPr>
        <w:t xml:space="preserve">: </w:t>
      </w:r>
      <w:r w:rsidR="00AB2E02">
        <w:rPr>
          <w:b/>
          <w:bCs/>
        </w:rPr>
        <w:t xml:space="preserve">Treatment-emergent </w:t>
      </w:r>
      <w:r w:rsidRPr="00100153">
        <w:rPr>
          <w:b/>
          <w:bCs/>
        </w:rPr>
        <w:t xml:space="preserve">Adverse </w:t>
      </w:r>
      <w:r w:rsidR="00116AE4">
        <w:rPr>
          <w:b/>
          <w:bCs/>
        </w:rPr>
        <w:t>Events</w:t>
      </w:r>
      <w:r w:rsidRPr="00100153">
        <w:rPr>
          <w:b/>
          <w:bCs/>
        </w:rPr>
        <w:t xml:space="preserve"> Occurring in at Least </w:t>
      </w:r>
      <w:r w:rsidR="00414D4A">
        <w:rPr>
          <w:b/>
          <w:bCs/>
        </w:rPr>
        <w:t>1</w:t>
      </w:r>
      <w:r w:rsidRPr="00100153">
        <w:rPr>
          <w:b/>
          <w:bCs/>
        </w:rPr>
        <w:t>% of Subjects During RUZURGI Treatment and With at Least 2% Greater Incidence Than Placebo</w:t>
      </w:r>
    </w:p>
    <w:tbl>
      <w:tblPr>
        <w:tblStyle w:val="TableGrid"/>
        <w:tblpPr w:leftFromText="180" w:rightFromText="180" w:vertAnchor="text" w:horzAnchor="margin" w:tblpY="517"/>
        <w:tblW w:w="0" w:type="auto"/>
        <w:tblLook w:val="04A0" w:firstRow="1" w:lastRow="0" w:firstColumn="1" w:lastColumn="0" w:noHBand="0" w:noVBand="1"/>
      </w:tblPr>
      <w:tblGrid>
        <w:gridCol w:w="3005"/>
        <w:gridCol w:w="3005"/>
        <w:gridCol w:w="3006"/>
      </w:tblGrid>
      <w:tr w:rsidR="00414D4A" w:rsidRPr="006F2795" w14:paraId="756C9219" w14:textId="77777777" w:rsidTr="00F56947">
        <w:tc>
          <w:tcPr>
            <w:tcW w:w="3005" w:type="dxa"/>
          </w:tcPr>
          <w:p w14:paraId="577C82E4" w14:textId="613FFC87" w:rsidR="00414D4A" w:rsidRPr="006F2795" w:rsidRDefault="00414D4A" w:rsidP="00F56947">
            <w:pPr>
              <w:spacing w:before="0"/>
              <w:jc w:val="center"/>
              <w:rPr>
                <w:b/>
                <w:bCs/>
              </w:rPr>
            </w:pPr>
            <w:r w:rsidRPr="006F2795">
              <w:rPr>
                <w:b/>
                <w:bCs/>
              </w:rPr>
              <w:t xml:space="preserve">Adverse </w:t>
            </w:r>
            <w:r w:rsidR="008C5DDB">
              <w:rPr>
                <w:b/>
                <w:bCs/>
              </w:rPr>
              <w:t xml:space="preserve">Event </w:t>
            </w:r>
            <w:r w:rsidR="004C699D">
              <w:rPr>
                <w:b/>
                <w:bCs/>
              </w:rPr>
              <w:t xml:space="preserve"> </w:t>
            </w:r>
          </w:p>
        </w:tc>
        <w:tc>
          <w:tcPr>
            <w:tcW w:w="3005" w:type="dxa"/>
          </w:tcPr>
          <w:p w14:paraId="5EB65B5D" w14:textId="77777777" w:rsidR="00414D4A" w:rsidRPr="006F2795" w:rsidRDefault="00414D4A" w:rsidP="00F56947">
            <w:pPr>
              <w:spacing w:before="0"/>
              <w:jc w:val="center"/>
              <w:rPr>
                <w:b/>
                <w:bCs/>
              </w:rPr>
            </w:pPr>
            <w:r w:rsidRPr="006F2795">
              <w:rPr>
                <w:b/>
                <w:bCs/>
              </w:rPr>
              <w:t>RUZURGI</w:t>
            </w:r>
          </w:p>
          <w:p w14:paraId="14DBE644" w14:textId="77777777" w:rsidR="00414D4A" w:rsidRPr="006F2795" w:rsidRDefault="00414D4A" w:rsidP="00F56947">
            <w:pPr>
              <w:spacing w:before="0"/>
              <w:jc w:val="center"/>
              <w:rPr>
                <w:b/>
                <w:bCs/>
              </w:rPr>
            </w:pPr>
            <w:r w:rsidRPr="006F2795">
              <w:rPr>
                <w:b/>
                <w:bCs/>
              </w:rPr>
              <w:t>(N=52)</w:t>
            </w:r>
          </w:p>
          <w:p w14:paraId="531D6C42" w14:textId="77777777" w:rsidR="00414D4A" w:rsidRPr="006F2795" w:rsidRDefault="00414D4A" w:rsidP="00F56947">
            <w:pPr>
              <w:spacing w:before="0"/>
              <w:jc w:val="center"/>
              <w:rPr>
                <w:b/>
                <w:bCs/>
              </w:rPr>
            </w:pPr>
            <w:r w:rsidRPr="006F2795">
              <w:rPr>
                <w:b/>
                <w:bCs/>
              </w:rPr>
              <w:t>%</w:t>
            </w:r>
          </w:p>
        </w:tc>
        <w:tc>
          <w:tcPr>
            <w:tcW w:w="3006" w:type="dxa"/>
          </w:tcPr>
          <w:p w14:paraId="2ACF0A9A" w14:textId="77777777" w:rsidR="00414D4A" w:rsidRPr="006F2795" w:rsidRDefault="00414D4A" w:rsidP="00F56947">
            <w:pPr>
              <w:spacing w:before="0"/>
              <w:jc w:val="center"/>
              <w:rPr>
                <w:b/>
                <w:bCs/>
              </w:rPr>
            </w:pPr>
            <w:r w:rsidRPr="006F2795">
              <w:rPr>
                <w:b/>
                <w:bCs/>
              </w:rPr>
              <w:t>Placebo</w:t>
            </w:r>
          </w:p>
          <w:p w14:paraId="63D67BA0" w14:textId="77777777" w:rsidR="00414D4A" w:rsidRPr="006F2795" w:rsidRDefault="00414D4A" w:rsidP="00F56947">
            <w:pPr>
              <w:spacing w:before="0"/>
              <w:jc w:val="center"/>
              <w:rPr>
                <w:b/>
                <w:bCs/>
              </w:rPr>
            </w:pPr>
            <w:r w:rsidRPr="006F2795">
              <w:rPr>
                <w:b/>
                <w:bCs/>
              </w:rPr>
              <w:t>(N=49)</w:t>
            </w:r>
          </w:p>
          <w:p w14:paraId="3651A67B" w14:textId="77777777" w:rsidR="00414D4A" w:rsidRPr="006F2795" w:rsidRDefault="00414D4A" w:rsidP="00F56947">
            <w:pPr>
              <w:spacing w:before="0"/>
              <w:jc w:val="center"/>
              <w:rPr>
                <w:b/>
                <w:bCs/>
              </w:rPr>
            </w:pPr>
            <w:r w:rsidRPr="006F2795">
              <w:rPr>
                <w:b/>
                <w:bCs/>
              </w:rPr>
              <w:t>%</w:t>
            </w:r>
          </w:p>
        </w:tc>
      </w:tr>
      <w:tr w:rsidR="00414D4A" w:rsidRPr="006F2795" w14:paraId="397FE338" w14:textId="77777777" w:rsidTr="00F56947">
        <w:tc>
          <w:tcPr>
            <w:tcW w:w="3005" w:type="dxa"/>
          </w:tcPr>
          <w:p w14:paraId="612DCBFB" w14:textId="77777777" w:rsidR="00414D4A" w:rsidRDefault="00414D4A" w:rsidP="00F56947">
            <w:pPr>
              <w:spacing w:before="0"/>
            </w:pPr>
            <w:proofErr w:type="spellStart"/>
            <w:r>
              <w:t>Dysaesthesia</w:t>
            </w:r>
            <w:proofErr w:type="spellEnd"/>
          </w:p>
        </w:tc>
        <w:tc>
          <w:tcPr>
            <w:tcW w:w="3005" w:type="dxa"/>
          </w:tcPr>
          <w:p w14:paraId="34F7429D" w14:textId="77777777" w:rsidR="00414D4A" w:rsidRDefault="00414D4A" w:rsidP="00F56947">
            <w:pPr>
              <w:spacing w:before="0"/>
              <w:jc w:val="center"/>
            </w:pPr>
            <w:r>
              <w:t>48</w:t>
            </w:r>
          </w:p>
        </w:tc>
        <w:tc>
          <w:tcPr>
            <w:tcW w:w="3006" w:type="dxa"/>
          </w:tcPr>
          <w:p w14:paraId="0CC34021" w14:textId="77777777" w:rsidR="00414D4A" w:rsidRDefault="00414D4A" w:rsidP="00F56947">
            <w:pPr>
              <w:spacing w:before="0"/>
              <w:jc w:val="center"/>
            </w:pPr>
            <w:r>
              <w:t>2</w:t>
            </w:r>
          </w:p>
        </w:tc>
      </w:tr>
      <w:tr w:rsidR="00414D4A" w:rsidRPr="006F2795" w14:paraId="529B28A7" w14:textId="77777777" w:rsidTr="00F56947">
        <w:tc>
          <w:tcPr>
            <w:tcW w:w="3005" w:type="dxa"/>
          </w:tcPr>
          <w:p w14:paraId="7A3C9BC7" w14:textId="77777777" w:rsidR="00414D4A" w:rsidRPr="006F2795" w:rsidRDefault="00414D4A" w:rsidP="00F56947">
            <w:pPr>
              <w:spacing w:before="0"/>
            </w:pPr>
            <w:r>
              <w:t xml:space="preserve">Oral </w:t>
            </w:r>
            <w:proofErr w:type="spellStart"/>
            <w:r>
              <w:t>dysaesthesia</w:t>
            </w:r>
            <w:proofErr w:type="spellEnd"/>
          </w:p>
        </w:tc>
        <w:tc>
          <w:tcPr>
            <w:tcW w:w="3005" w:type="dxa"/>
          </w:tcPr>
          <w:p w14:paraId="02312997" w14:textId="77777777" w:rsidR="00414D4A" w:rsidRPr="006F2795" w:rsidRDefault="00414D4A" w:rsidP="00F56947">
            <w:pPr>
              <w:spacing w:before="0"/>
              <w:jc w:val="center"/>
            </w:pPr>
            <w:r>
              <w:t>29</w:t>
            </w:r>
          </w:p>
        </w:tc>
        <w:tc>
          <w:tcPr>
            <w:tcW w:w="3006" w:type="dxa"/>
          </w:tcPr>
          <w:p w14:paraId="331548EB" w14:textId="77777777" w:rsidR="00414D4A" w:rsidRPr="006F2795" w:rsidRDefault="00414D4A" w:rsidP="00F56947">
            <w:pPr>
              <w:spacing w:before="0"/>
              <w:jc w:val="center"/>
            </w:pPr>
            <w:r>
              <w:t>0</w:t>
            </w:r>
          </w:p>
        </w:tc>
      </w:tr>
      <w:tr w:rsidR="00414D4A" w:rsidRPr="006F2795" w14:paraId="127CFF7D" w14:textId="77777777" w:rsidTr="00F56947">
        <w:tc>
          <w:tcPr>
            <w:tcW w:w="3005" w:type="dxa"/>
          </w:tcPr>
          <w:p w14:paraId="257371E0" w14:textId="77777777" w:rsidR="00414D4A" w:rsidRPr="006F2795" w:rsidRDefault="00414D4A" w:rsidP="00F56947">
            <w:pPr>
              <w:spacing w:before="0"/>
            </w:pPr>
            <w:r w:rsidRPr="006F2795">
              <w:t>Abdominal pain*</w:t>
            </w:r>
          </w:p>
        </w:tc>
        <w:tc>
          <w:tcPr>
            <w:tcW w:w="3005" w:type="dxa"/>
          </w:tcPr>
          <w:p w14:paraId="58E464BB" w14:textId="77777777" w:rsidR="00414D4A" w:rsidRPr="006F2795" w:rsidRDefault="00414D4A" w:rsidP="00F56947">
            <w:pPr>
              <w:spacing w:before="0"/>
              <w:jc w:val="center"/>
            </w:pPr>
            <w:r w:rsidRPr="006F2795">
              <w:t>25</w:t>
            </w:r>
          </w:p>
        </w:tc>
        <w:tc>
          <w:tcPr>
            <w:tcW w:w="3006" w:type="dxa"/>
          </w:tcPr>
          <w:p w14:paraId="4CF94947" w14:textId="77777777" w:rsidR="00414D4A" w:rsidRPr="006F2795" w:rsidRDefault="00414D4A" w:rsidP="00F56947">
            <w:pPr>
              <w:spacing w:before="0"/>
              <w:jc w:val="center"/>
            </w:pPr>
            <w:r w:rsidRPr="006F2795">
              <w:t>0</w:t>
            </w:r>
          </w:p>
        </w:tc>
      </w:tr>
      <w:tr w:rsidR="00414D4A" w:rsidRPr="006F2795" w14:paraId="434F4D75" w14:textId="77777777" w:rsidTr="00F56947">
        <w:tc>
          <w:tcPr>
            <w:tcW w:w="3005" w:type="dxa"/>
          </w:tcPr>
          <w:p w14:paraId="606217F4" w14:textId="77777777" w:rsidR="00414D4A" w:rsidRPr="006F2795" w:rsidRDefault="00414D4A" w:rsidP="00F56947">
            <w:pPr>
              <w:spacing w:before="0"/>
            </w:pPr>
            <w:r w:rsidRPr="006F2795">
              <w:t>Dyspepsia</w:t>
            </w:r>
          </w:p>
        </w:tc>
        <w:tc>
          <w:tcPr>
            <w:tcW w:w="3005" w:type="dxa"/>
          </w:tcPr>
          <w:p w14:paraId="2E3DD8AA" w14:textId="77777777" w:rsidR="00414D4A" w:rsidRPr="006F2795" w:rsidRDefault="00414D4A" w:rsidP="00F56947">
            <w:pPr>
              <w:spacing w:before="0"/>
              <w:jc w:val="center"/>
            </w:pPr>
            <w:r w:rsidRPr="006F2795">
              <w:t>17</w:t>
            </w:r>
          </w:p>
        </w:tc>
        <w:tc>
          <w:tcPr>
            <w:tcW w:w="3006" w:type="dxa"/>
          </w:tcPr>
          <w:p w14:paraId="15ADB040" w14:textId="77777777" w:rsidR="00414D4A" w:rsidRPr="006F2795" w:rsidRDefault="00414D4A" w:rsidP="00F56947">
            <w:pPr>
              <w:spacing w:before="0"/>
              <w:jc w:val="center"/>
            </w:pPr>
            <w:r w:rsidRPr="006F2795">
              <w:t>2</w:t>
            </w:r>
          </w:p>
        </w:tc>
      </w:tr>
      <w:tr w:rsidR="00414D4A" w:rsidRPr="006F2795" w14:paraId="11F668CD" w14:textId="77777777" w:rsidTr="00F56947">
        <w:tc>
          <w:tcPr>
            <w:tcW w:w="3005" w:type="dxa"/>
          </w:tcPr>
          <w:p w14:paraId="545B62E9" w14:textId="77777777" w:rsidR="00414D4A" w:rsidRPr="006F2795" w:rsidRDefault="00414D4A" w:rsidP="00F56947">
            <w:pPr>
              <w:spacing w:before="0"/>
            </w:pPr>
            <w:r w:rsidRPr="006F2795">
              <w:t>Dizziness</w:t>
            </w:r>
          </w:p>
        </w:tc>
        <w:tc>
          <w:tcPr>
            <w:tcW w:w="3005" w:type="dxa"/>
          </w:tcPr>
          <w:p w14:paraId="50EE6394" w14:textId="77777777" w:rsidR="00414D4A" w:rsidRPr="006F2795" w:rsidRDefault="00414D4A" w:rsidP="00F56947">
            <w:pPr>
              <w:spacing w:before="0"/>
              <w:jc w:val="center"/>
            </w:pPr>
            <w:r w:rsidRPr="006F2795">
              <w:t>12</w:t>
            </w:r>
          </w:p>
        </w:tc>
        <w:tc>
          <w:tcPr>
            <w:tcW w:w="3006" w:type="dxa"/>
          </w:tcPr>
          <w:p w14:paraId="646F03EC" w14:textId="77777777" w:rsidR="00414D4A" w:rsidRPr="006F2795" w:rsidRDefault="00414D4A" w:rsidP="00F56947">
            <w:pPr>
              <w:spacing w:before="0"/>
              <w:jc w:val="center"/>
            </w:pPr>
            <w:r w:rsidRPr="006F2795">
              <w:t>0</w:t>
            </w:r>
          </w:p>
        </w:tc>
      </w:tr>
      <w:tr w:rsidR="00414D4A" w:rsidRPr="006F2795" w14:paraId="57CE0CDB" w14:textId="77777777" w:rsidTr="00F56947">
        <w:tc>
          <w:tcPr>
            <w:tcW w:w="3005" w:type="dxa"/>
          </w:tcPr>
          <w:p w14:paraId="351F41D0" w14:textId="77777777" w:rsidR="00414D4A" w:rsidRPr="006F2795" w:rsidRDefault="00414D4A" w:rsidP="00F56947">
            <w:pPr>
              <w:spacing w:before="0"/>
            </w:pPr>
            <w:r w:rsidRPr="006F2795">
              <w:t>Nausea</w:t>
            </w:r>
          </w:p>
        </w:tc>
        <w:tc>
          <w:tcPr>
            <w:tcW w:w="3005" w:type="dxa"/>
          </w:tcPr>
          <w:p w14:paraId="0B2C8B07" w14:textId="77777777" w:rsidR="00414D4A" w:rsidRPr="006F2795" w:rsidRDefault="00414D4A" w:rsidP="00F56947">
            <w:pPr>
              <w:spacing w:before="0"/>
              <w:jc w:val="center"/>
            </w:pPr>
            <w:r w:rsidRPr="006F2795">
              <w:t>10</w:t>
            </w:r>
          </w:p>
        </w:tc>
        <w:tc>
          <w:tcPr>
            <w:tcW w:w="3006" w:type="dxa"/>
          </w:tcPr>
          <w:p w14:paraId="46DE4370" w14:textId="77777777" w:rsidR="00414D4A" w:rsidRPr="006F2795" w:rsidRDefault="00414D4A" w:rsidP="00F56947">
            <w:pPr>
              <w:spacing w:before="0"/>
              <w:jc w:val="center"/>
            </w:pPr>
            <w:r w:rsidRPr="006F2795">
              <w:t>2</w:t>
            </w:r>
          </w:p>
        </w:tc>
      </w:tr>
      <w:tr w:rsidR="00414D4A" w:rsidRPr="006F2795" w14:paraId="795B641C" w14:textId="77777777" w:rsidTr="00F56947">
        <w:tc>
          <w:tcPr>
            <w:tcW w:w="3005" w:type="dxa"/>
          </w:tcPr>
          <w:p w14:paraId="16D0205A" w14:textId="77777777" w:rsidR="00414D4A" w:rsidRPr="006F2795" w:rsidRDefault="00414D4A" w:rsidP="00F56947">
            <w:pPr>
              <w:spacing w:before="0"/>
            </w:pPr>
            <w:r w:rsidRPr="006F2795">
              <w:t>Back pain</w:t>
            </w:r>
          </w:p>
        </w:tc>
        <w:tc>
          <w:tcPr>
            <w:tcW w:w="3005" w:type="dxa"/>
          </w:tcPr>
          <w:p w14:paraId="4975DAA9" w14:textId="77777777" w:rsidR="00414D4A" w:rsidRPr="006F2795" w:rsidRDefault="00414D4A" w:rsidP="00F56947">
            <w:pPr>
              <w:spacing w:before="0"/>
              <w:jc w:val="center"/>
            </w:pPr>
            <w:r w:rsidRPr="006F2795">
              <w:t>8</w:t>
            </w:r>
          </w:p>
        </w:tc>
        <w:tc>
          <w:tcPr>
            <w:tcW w:w="3006" w:type="dxa"/>
          </w:tcPr>
          <w:p w14:paraId="4952678D" w14:textId="77777777" w:rsidR="00414D4A" w:rsidRPr="006F2795" w:rsidRDefault="00414D4A" w:rsidP="00F56947">
            <w:pPr>
              <w:spacing w:before="0"/>
              <w:jc w:val="center"/>
            </w:pPr>
            <w:r w:rsidRPr="006F2795">
              <w:t>2</w:t>
            </w:r>
          </w:p>
        </w:tc>
      </w:tr>
      <w:tr w:rsidR="00414D4A" w:rsidRPr="006F2795" w14:paraId="17AD322B" w14:textId="77777777" w:rsidTr="00F56947">
        <w:tc>
          <w:tcPr>
            <w:tcW w:w="3005" w:type="dxa"/>
          </w:tcPr>
          <w:p w14:paraId="421C88D9" w14:textId="77777777" w:rsidR="00414D4A" w:rsidRPr="006F2795" w:rsidRDefault="00414D4A" w:rsidP="00F56947">
            <w:pPr>
              <w:spacing w:before="0"/>
            </w:pPr>
            <w:r w:rsidRPr="006F2795">
              <w:t>Hypoesthesia</w:t>
            </w:r>
          </w:p>
        </w:tc>
        <w:tc>
          <w:tcPr>
            <w:tcW w:w="3005" w:type="dxa"/>
          </w:tcPr>
          <w:p w14:paraId="5BBABE47" w14:textId="77777777" w:rsidR="00414D4A" w:rsidRPr="006F2795" w:rsidRDefault="00414D4A" w:rsidP="00F56947">
            <w:pPr>
              <w:spacing w:before="0"/>
              <w:jc w:val="center"/>
            </w:pPr>
            <w:r w:rsidRPr="006F2795">
              <w:t>6</w:t>
            </w:r>
          </w:p>
        </w:tc>
        <w:tc>
          <w:tcPr>
            <w:tcW w:w="3006" w:type="dxa"/>
          </w:tcPr>
          <w:p w14:paraId="262294A5" w14:textId="77777777" w:rsidR="00414D4A" w:rsidRPr="006F2795" w:rsidRDefault="00414D4A" w:rsidP="00F56947">
            <w:pPr>
              <w:spacing w:before="0"/>
              <w:jc w:val="center"/>
            </w:pPr>
            <w:r w:rsidRPr="006F2795">
              <w:t>0</w:t>
            </w:r>
          </w:p>
        </w:tc>
      </w:tr>
      <w:tr w:rsidR="00414D4A" w:rsidRPr="006F2795" w14:paraId="50C41DBE" w14:textId="77777777" w:rsidTr="00F56947">
        <w:tc>
          <w:tcPr>
            <w:tcW w:w="3005" w:type="dxa"/>
          </w:tcPr>
          <w:p w14:paraId="6A6A663F" w14:textId="77777777" w:rsidR="00414D4A" w:rsidRPr="006F2795" w:rsidRDefault="00414D4A" w:rsidP="00F56947">
            <w:pPr>
              <w:spacing w:before="0"/>
            </w:pPr>
            <w:r w:rsidRPr="006F2795">
              <w:t>Muscle spasms</w:t>
            </w:r>
          </w:p>
        </w:tc>
        <w:tc>
          <w:tcPr>
            <w:tcW w:w="3005" w:type="dxa"/>
          </w:tcPr>
          <w:p w14:paraId="0EE17BCC" w14:textId="77777777" w:rsidR="00414D4A" w:rsidRPr="006F2795" w:rsidRDefault="00414D4A" w:rsidP="00F56947">
            <w:pPr>
              <w:spacing w:before="0"/>
              <w:jc w:val="center"/>
            </w:pPr>
            <w:r w:rsidRPr="006F2795">
              <w:t>6</w:t>
            </w:r>
          </w:p>
        </w:tc>
        <w:tc>
          <w:tcPr>
            <w:tcW w:w="3006" w:type="dxa"/>
          </w:tcPr>
          <w:p w14:paraId="7B56ECB7" w14:textId="77777777" w:rsidR="00414D4A" w:rsidRPr="006F2795" w:rsidRDefault="00414D4A" w:rsidP="00F56947">
            <w:pPr>
              <w:spacing w:before="0"/>
              <w:jc w:val="center"/>
            </w:pPr>
            <w:r w:rsidRPr="006F2795">
              <w:t>2</w:t>
            </w:r>
          </w:p>
        </w:tc>
      </w:tr>
      <w:tr w:rsidR="00414D4A" w:rsidRPr="006F2795" w14:paraId="0DC96AFA" w14:textId="77777777" w:rsidTr="00F56947">
        <w:tc>
          <w:tcPr>
            <w:tcW w:w="3005" w:type="dxa"/>
          </w:tcPr>
          <w:p w14:paraId="0EB5E635" w14:textId="77777777" w:rsidR="00414D4A" w:rsidRPr="006F2795" w:rsidRDefault="00414D4A" w:rsidP="00F56947">
            <w:pPr>
              <w:spacing w:before="0"/>
            </w:pPr>
            <w:r>
              <w:t>Diarrhoea</w:t>
            </w:r>
          </w:p>
        </w:tc>
        <w:tc>
          <w:tcPr>
            <w:tcW w:w="3005" w:type="dxa"/>
          </w:tcPr>
          <w:p w14:paraId="734D2D1B" w14:textId="77777777" w:rsidR="00414D4A" w:rsidRPr="006F2795" w:rsidRDefault="00414D4A" w:rsidP="00F56947">
            <w:pPr>
              <w:spacing w:before="0"/>
              <w:jc w:val="center"/>
            </w:pPr>
            <w:r>
              <w:t>2</w:t>
            </w:r>
          </w:p>
        </w:tc>
        <w:tc>
          <w:tcPr>
            <w:tcW w:w="3006" w:type="dxa"/>
          </w:tcPr>
          <w:p w14:paraId="72C86B4D" w14:textId="77777777" w:rsidR="00414D4A" w:rsidRPr="006F2795" w:rsidRDefault="00414D4A" w:rsidP="00F56947">
            <w:pPr>
              <w:spacing w:before="0"/>
              <w:jc w:val="center"/>
            </w:pPr>
            <w:r>
              <w:t>0</w:t>
            </w:r>
          </w:p>
        </w:tc>
      </w:tr>
      <w:tr w:rsidR="00414D4A" w:rsidRPr="006F2795" w14:paraId="0194DF7E" w14:textId="77777777" w:rsidTr="00F56947">
        <w:tc>
          <w:tcPr>
            <w:tcW w:w="3005" w:type="dxa"/>
          </w:tcPr>
          <w:p w14:paraId="0319B1FF" w14:textId="77777777" w:rsidR="00414D4A" w:rsidRPr="006F2795" w:rsidRDefault="00414D4A" w:rsidP="00F56947">
            <w:pPr>
              <w:spacing w:before="0"/>
            </w:pPr>
            <w:proofErr w:type="spellStart"/>
            <w:r>
              <w:t>Paraesthesia</w:t>
            </w:r>
            <w:proofErr w:type="spellEnd"/>
          </w:p>
        </w:tc>
        <w:tc>
          <w:tcPr>
            <w:tcW w:w="3005" w:type="dxa"/>
          </w:tcPr>
          <w:p w14:paraId="0BCE2775" w14:textId="77777777" w:rsidR="00414D4A" w:rsidRPr="006F2795" w:rsidRDefault="00414D4A" w:rsidP="00F56947">
            <w:pPr>
              <w:spacing w:before="0"/>
              <w:jc w:val="center"/>
            </w:pPr>
            <w:r>
              <w:t>2</w:t>
            </w:r>
          </w:p>
        </w:tc>
        <w:tc>
          <w:tcPr>
            <w:tcW w:w="3006" w:type="dxa"/>
          </w:tcPr>
          <w:p w14:paraId="7ECC603C" w14:textId="77777777" w:rsidR="00414D4A" w:rsidRPr="006F2795" w:rsidRDefault="00414D4A" w:rsidP="00F56947">
            <w:pPr>
              <w:spacing w:before="0"/>
              <w:jc w:val="center"/>
            </w:pPr>
            <w:r>
              <w:t>0</w:t>
            </w:r>
          </w:p>
        </w:tc>
      </w:tr>
      <w:tr w:rsidR="00414D4A" w:rsidRPr="006F2795" w14:paraId="47B3C37F" w14:textId="77777777" w:rsidTr="00F56947">
        <w:tc>
          <w:tcPr>
            <w:tcW w:w="3005" w:type="dxa"/>
          </w:tcPr>
          <w:p w14:paraId="474E9926" w14:textId="77777777" w:rsidR="00414D4A" w:rsidRPr="006F2795" w:rsidRDefault="00414D4A" w:rsidP="00F56947">
            <w:pPr>
              <w:spacing w:before="0"/>
            </w:pPr>
            <w:r>
              <w:t>Dysgeusia</w:t>
            </w:r>
          </w:p>
        </w:tc>
        <w:tc>
          <w:tcPr>
            <w:tcW w:w="3005" w:type="dxa"/>
          </w:tcPr>
          <w:p w14:paraId="2D561F5F" w14:textId="77777777" w:rsidR="00414D4A" w:rsidRPr="006F2795" w:rsidRDefault="00414D4A" w:rsidP="00F56947">
            <w:pPr>
              <w:spacing w:before="0"/>
              <w:jc w:val="center"/>
            </w:pPr>
            <w:r>
              <w:t>2</w:t>
            </w:r>
          </w:p>
        </w:tc>
        <w:tc>
          <w:tcPr>
            <w:tcW w:w="3006" w:type="dxa"/>
          </w:tcPr>
          <w:p w14:paraId="5BFE5946" w14:textId="77777777" w:rsidR="00414D4A" w:rsidRPr="006F2795" w:rsidRDefault="00414D4A" w:rsidP="00F56947">
            <w:pPr>
              <w:spacing w:before="0"/>
              <w:jc w:val="center"/>
            </w:pPr>
            <w:r>
              <w:t>0</w:t>
            </w:r>
          </w:p>
        </w:tc>
      </w:tr>
      <w:tr w:rsidR="00414D4A" w:rsidRPr="006F2795" w14:paraId="1E38826C" w14:textId="77777777" w:rsidTr="00F56947">
        <w:tc>
          <w:tcPr>
            <w:tcW w:w="3005" w:type="dxa"/>
          </w:tcPr>
          <w:p w14:paraId="565FBCA5" w14:textId="77777777" w:rsidR="00414D4A" w:rsidRDefault="00414D4A" w:rsidP="00F56947">
            <w:pPr>
              <w:spacing w:before="0"/>
            </w:pPr>
            <w:r>
              <w:t>Pain in extremity</w:t>
            </w:r>
          </w:p>
        </w:tc>
        <w:tc>
          <w:tcPr>
            <w:tcW w:w="3005" w:type="dxa"/>
          </w:tcPr>
          <w:p w14:paraId="31D4FA28" w14:textId="77777777" w:rsidR="00414D4A" w:rsidRDefault="00414D4A" w:rsidP="00F56947">
            <w:pPr>
              <w:spacing w:before="0"/>
              <w:jc w:val="center"/>
            </w:pPr>
            <w:r>
              <w:t>2</w:t>
            </w:r>
          </w:p>
        </w:tc>
        <w:tc>
          <w:tcPr>
            <w:tcW w:w="3006" w:type="dxa"/>
          </w:tcPr>
          <w:p w14:paraId="528D9FCE" w14:textId="77777777" w:rsidR="00414D4A" w:rsidRDefault="00414D4A" w:rsidP="00F56947">
            <w:pPr>
              <w:spacing w:before="0"/>
              <w:jc w:val="center"/>
            </w:pPr>
            <w:r>
              <w:t>0</w:t>
            </w:r>
          </w:p>
        </w:tc>
      </w:tr>
      <w:tr w:rsidR="00414D4A" w:rsidRPr="006F2795" w14:paraId="5EE27904" w14:textId="77777777" w:rsidTr="00F56947">
        <w:tc>
          <w:tcPr>
            <w:tcW w:w="3005" w:type="dxa"/>
          </w:tcPr>
          <w:p w14:paraId="78F021E1" w14:textId="77777777" w:rsidR="00414D4A" w:rsidRDefault="00414D4A" w:rsidP="00F56947">
            <w:pPr>
              <w:spacing w:before="0"/>
            </w:pPr>
            <w:r>
              <w:t>Hiccups</w:t>
            </w:r>
          </w:p>
        </w:tc>
        <w:tc>
          <w:tcPr>
            <w:tcW w:w="3005" w:type="dxa"/>
          </w:tcPr>
          <w:p w14:paraId="2F509ADE" w14:textId="77777777" w:rsidR="00414D4A" w:rsidRDefault="00414D4A" w:rsidP="00F56947">
            <w:pPr>
              <w:spacing w:before="0"/>
              <w:jc w:val="center"/>
            </w:pPr>
            <w:r>
              <w:t>2</w:t>
            </w:r>
          </w:p>
        </w:tc>
        <w:tc>
          <w:tcPr>
            <w:tcW w:w="3006" w:type="dxa"/>
          </w:tcPr>
          <w:p w14:paraId="4252004E" w14:textId="77777777" w:rsidR="00414D4A" w:rsidRDefault="00414D4A" w:rsidP="00F56947">
            <w:pPr>
              <w:spacing w:before="0"/>
              <w:jc w:val="center"/>
            </w:pPr>
            <w:r>
              <w:t>0</w:t>
            </w:r>
          </w:p>
        </w:tc>
      </w:tr>
      <w:tr w:rsidR="00414D4A" w:rsidRPr="006F2795" w14:paraId="631E90EF" w14:textId="77777777" w:rsidTr="00F56947">
        <w:tc>
          <w:tcPr>
            <w:tcW w:w="3005" w:type="dxa"/>
          </w:tcPr>
          <w:p w14:paraId="31496FA3" w14:textId="77777777" w:rsidR="00414D4A" w:rsidRDefault="00414D4A" w:rsidP="00F56947">
            <w:pPr>
              <w:spacing w:before="0"/>
            </w:pPr>
            <w:r>
              <w:t>Chest discomfort</w:t>
            </w:r>
          </w:p>
        </w:tc>
        <w:tc>
          <w:tcPr>
            <w:tcW w:w="3005" w:type="dxa"/>
          </w:tcPr>
          <w:p w14:paraId="694C8A3E" w14:textId="77777777" w:rsidR="00414D4A" w:rsidRDefault="00414D4A" w:rsidP="00F56947">
            <w:pPr>
              <w:spacing w:before="0"/>
              <w:jc w:val="center"/>
            </w:pPr>
            <w:r>
              <w:t>2</w:t>
            </w:r>
          </w:p>
        </w:tc>
        <w:tc>
          <w:tcPr>
            <w:tcW w:w="3006" w:type="dxa"/>
          </w:tcPr>
          <w:p w14:paraId="3860580C" w14:textId="77777777" w:rsidR="00414D4A" w:rsidRDefault="00414D4A" w:rsidP="00F56947">
            <w:pPr>
              <w:spacing w:before="0"/>
              <w:jc w:val="center"/>
            </w:pPr>
            <w:r>
              <w:t>0</w:t>
            </w:r>
          </w:p>
        </w:tc>
      </w:tr>
      <w:tr w:rsidR="00414D4A" w:rsidRPr="006F2795" w14:paraId="70A51305" w14:textId="77777777" w:rsidTr="00F56947">
        <w:tc>
          <w:tcPr>
            <w:tcW w:w="3005" w:type="dxa"/>
          </w:tcPr>
          <w:p w14:paraId="26AB1317" w14:textId="77777777" w:rsidR="00414D4A" w:rsidRDefault="00414D4A" w:rsidP="00F56947">
            <w:pPr>
              <w:spacing w:before="0"/>
            </w:pPr>
            <w:r>
              <w:t>Hot flush</w:t>
            </w:r>
          </w:p>
        </w:tc>
        <w:tc>
          <w:tcPr>
            <w:tcW w:w="3005" w:type="dxa"/>
          </w:tcPr>
          <w:p w14:paraId="0C083346" w14:textId="77777777" w:rsidR="00414D4A" w:rsidRDefault="00414D4A" w:rsidP="00F56947">
            <w:pPr>
              <w:spacing w:before="0"/>
              <w:jc w:val="center"/>
            </w:pPr>
            <w:r>
              <w:t>2</w:t>
            </w:r>
          </w:p>
        </w:tc>
        <w:tc>
          <w:tcPr>
            <w:tcW w:w="3006" w:type="dxa"/>
          </w:tcPr>
          <w:p w14:paraId="31A3B6B5" w14:textId="77777777" w:rsidR="00414D4A" w:rsidRDefault="00414D4A" w:rsidP="00F56947">
            <w:pPr>
              <w:spacing w:before="0"/>
              <w:jc w:val="center"/>
            </w:pPr>
            <w:r>
              <w:t>0</w:t>
            </w:r>
          </w:p>
        </w:tc>
      </w:tr>
      <w:tr w:rsidR="00414D4A" w:rsidRPr="006F2795" w14:paraId="5C8DD22C" w14:textId="77777777" w:rsidTr="00F56947">
        <w:tc>
          <w:tcPr>
            <w:tcW w:w="3005" w:type="dxa"/>
          </w:tcPr>
          <w:p w14:paraId="07D79BC9" w14:textId="77777777" w:rsidR="00414D4A" w:rsidRDefault="00414D4A" w:rsidP="00F56947">
            <w:pPr>
              <w:spacing w:before="0"/>
            </w:pPr>
            <w:r>
              <w:t>Hypotension</w:t>
            </w:r>
          </w:p>
        </w:tc>
        <w:tc>
          <w:tcPr>
            <w:tcW w:w="3005" w:type="dxa"/>
          </w:tcPr>
          <w:p w14:paraId="75800FF6" w14:textId="77777777" w:rsidR="00414D4A" w:rsidRDefault="00414D4A" w:rsidP="00F56947">
            <w:pPr>
              <w:spacing w:before="0"/>
              <w:jc w:val="center"/>
            </w:pPr>
            <w:r>
              <w:t>2</w:t>
            </w:r>
          </w:p>
        </w:tc>
        <w:tc>
          <w:tcPr>
            <w:tcW w:w="3006" w:type="dxa"/>
          </w:tcPr>
          <w:p w14:paraId="4CF13512" w14:textId="77777777" w:rsidR="00414D4A" w:rsidRDefault="00414D4A" w:rsidP="00F56947">
            <w:pPr>
              <w:spacing w:before="0"/>
              <w:jc w:val="center"/>
            </w:pPr>
            <w:r>
              <w:t>0</w:t>
            </w:r>
          </w:p>
        </w:tc>
      </w:tr>
    </w:tbl>
    <w:p w14:paraId="7169BCAE" w14:textId="1F723CE6" w:rsidR="00414D4A" w:rsidRDefault="00414D4A" w:rsidP="005D46C7">
      <w:pPr>
        <w:rPr>
          <w:b/>
          <w:bCs/>
        </w:rPr>
      </w:pPr>
    </w:p>
    <w:p w14:paraId="577EABA5" w14:textId="1AC855EA" w:rsidR="00414D4A" w:rsidRPr="006F2795" w:rsidRDefault="00414D4A" w:rsidP="006F2795">
      <w:pPr>
        <w:spacing w:before="0"/>
      </w:pPr>
      <w:bookmarkStart w:id="1" w:name="_Hlk55564377"/>
      <w:bookmarkEnd w:id="0"/>
      <w:r w:rsidRPr="006F2795">
        <w:t xml:space="preserve">* Includes abdominal pain </w:t>
      </w:r>
      <w:r>
        <w:t xml:space="preserve">(8%) </w:t>
      </w:r>
      <w:r w:rsidRPr="006F2795">
        <w:t>and upper abdominal pain</w:t>
      </w:r>
      <w:r>
        <w:t xml:space="preserve"> (17%)</w:t>
      </w:r>
      <w:r w:rsidRPr="006F2795">
        <w:t>.</w:t>
      </w:r>
    </w:p>
    <w:bookmarkEnd w:id="1"/>
    <w:p w14:paraId="28F35D41" w14:textId="5B36659D" w:rsidR="00CC7641" w:rsidRPr="006F2795" w:rsidRDefault="008B5A16" w:rsidP="00CC7641">
      <w:r>
        <w:t>Study participants</w:t>
      </w:r>
      <w:r w:rsidRPr="006F2795">
        <w:t xml:space="preserve"> </w:t>
      </w:r>
      <w:r w:rsidR="00CC7641" w:rsidRPr="006F2795">
        <w:t xml:space="preserve">classified as poor </w:t>
      </w:r>
      <w:proofErr w:type="spellStart"/>
      <w:r w:rsidR="00CC7641" w:rsidRPr="006F2795">
        <w:t>metaboli</w:t>
      </w:r>
      <w:r w:rsidR="00D50ACD" w:rsidRPr="006F2795">
        <w:t>s</w:t>
      </w:r>
      <w:r w:rsidR="00CC7641" w:rsidRPr="006F2795">
        <w:t>ers</w:t>
      </w:r>
      <w:proofErr w:type="spellEnd"/>
      <w:r w:rsidR="00CC7641" w:rsidRPr="006F2795">
        <w:t xml:space="preserve"> </w:t>
      </w:r>
      <w:r w:rsidR="00580FC6">
        <w:t>(</w:t>
      </w:r>
      <w:r w:rsidR="002A6916" w:rsidRPr="002A6916">
        <w:t>inferred using seven human NAT2 and four human NAT1-specific single nucleotide polymorphisms</w:t>
      </w:r>
      <w:r w:rsidR="00580FC6">
        <w:t>)</w:t>
      </w:r>
      <w:r w:rsidR="002A6916" w:rsidRPr="002A6916">
        <w:t xml:space="preserve">, </w:t>
      </w:r>
      <w:r w:rsidR="00CC7641" w:rsidRPr="006F2795">
        <w:t xml:space="preserve">were more likely to experience adverse reactions during RUZURGI treatment than intermediate or normal </w:t>
      </w:r>
      <w:proofErr w:type="spellStart"/>
      <w:r w:rsidR="00CC7641" w:rsidRPr="006F2795">
        <w:t>metaboli</w:t>
      </w:r>
      <w:r w:rsidR="00D50ACD" w:rsidRPr="006F2795">
        <w:t>s</w:t>
      </w:r>
      <w:r w:rsidR="00CC7641" w:rsidRPr="006F2795">
        <w:t>ers</w:t>
      </w:r>
      <w:proofErr w:type="spellEnd"/>
      <w:r w:rsidR="003A0E10" w:rsidRPr="006F2795">
        <w:t>,</w:t>
      </w:r>
      <w:r w:rsidR="00CC7641" w:rsidRPr="006F2795">
        <w:t xml:space="preserve"> see </w:t>
      </w:r>
      <w:r w:rsidR="003A0E10" w:rsidRPr="006F2795">
        <w:t xml:space="preserve">Section 5.2 </w:t>
      </w:r>
      <w:r w:rsidR="003A0E10" w:rsidRPr="006F2795">
        <w:rPr>
          <w:rFonts w:eastAsiaTheme="minorHAnsi"/>
          <w:lang w:val="en-AU"/>
        </w:rPr>
        <w:t>PHARMACOKINETIC PROPERTIES, Pharmacogenomics</w:t>
      </w:r>
      <w:r w:rsidR="00CC7641" w:rsidRPr="006F2795">
        <w:t>.</w:t>
      </w:r>
    </w:p>
    <w:p w14:paraId="1B4D5896" w14:textId="77777777" w:rsidR="00CC7641" w:rsidRPr="00B26E5F" w:rsidRDefault="00CC7641" w:rsidP="00CC7641">
      <w:pPr>
        <w:rPr>
          <w:u w:val="single"/>
        </w:rPr>
      </w:pPr>
      <w:r w:rsidRPr="00B26E5F">
        <w:rPr>
          <w:u w:val="single"/>
        </w:rPr>
        <w:t>Expanded Access Experience</w:t>
      </w:r>
    </w:p>
    <w:p w14:paraId="014C4165" w14:textId="77777777" w:rsidR="00CC7641" w:rsidRDefault="00CC7641" w:rsidP="00CC7641">
      <w:r>
        <w:t xml:space="preserve">In expanded access programs, 162 patients with LEMS (54% female) were treated with RUZURGI. Among patients with available exposure data, the median duration of treatment was 1.7 years (range 1 day to 27.6 years) for a total of 766.4 person years. Patient age at the </w:t>
      </w:r>
      <w:r>
        <w:lastRenderedPageBreak/>
        <w:t>time RUZURGI was initiated ranged from 21 to 84 years (mean 58.7 years). The median of the maximum total daily dosage was 75 mg/day.</w:t>
      </w:r>
    </w:p>
    <w:p w14:paraId="65757D6E" w14:textId="7F1F4DB7" w:rsidR="00CC7641" w:rsidRDefault="00CC7641" w:rsidP="00CC7641">
      <w:r>
        <w:t xml:space="preserve">In general, the most frequent adverse reactions observed in the expanded access programs were </w:t>
      </w:r>
      <w:proofErr w:type="gramStart"/>
      <w:r>
        <w:t>similar to</w:t>
      </w:r>
      <w:proofErr w:type="gramEnd"/>
      <w:r>
        <w:t xml:space="preserve"> those observed in the </w:t>
      </w:r>
      <w:r w:rsidR="00547F52">
        <w:t>Th</w:t>
      </w:r>
      <w:r w:rsidR="009B5D4F">
        <w:t>o</w:t>
      </w:r>
      <w:r w:rsidR="00547F52">
        <w:t>rough QT study (</w:t>
      </w:r>
      <w:r w:rsidR="00414D4A">
        <w:t>T</w:t>
      </w:r>
      <w:r>
        <w:t>QT</w:t>
      </w:r>
      <w:r w:rsidR="00547F52">
        <w:t>)</w:t>
      </w:r>
      <w:r>
        <w:t xml:space="preserve"> study. Additionally, the following adverse </w:t>
      </w:r>
      <w:r w:rsidR="00CF7C47">
        <w:t xml:space="preserve">events </w:t>
      </w:r>
      <w:r>
        <w:t>were reported in ≥5% of patients</w:t>
      </w:r>
      <w:r w:rsidR="00044151">
        <w:t xml:space="preserve"> during exposures ranging from 1</w:t>
      </w:r>
      <w:r w:rsidR="00C91723">
        <w:t> </w:t>
      </w:r>
      <w:r w:rsidR="00044151">
        <w:t>day to &gt; 27 years</w:t>
      </w:r>
      <w:r>
        <w:t xml:space="preserve">: </w:t>
      </w:r>
      <w:proofErr w:type="spellStart"/>
      <w:r w:rsidR="00B03919">
        <w:t>paraesthesia</w:t>
      </w:r>
      <w:proofErr w:type="spellEnd"/>
      <w:r w:rsidR="00B03919">
        <w:t xml:space="preserve">, oral </w:t>
      </w:r>
      <w:proofErr w:type="spellStart"/>
      <w:r w:rsidR="00B03919">
        <w:t>paraesthesia</w:t>
      </w:r>
      <w:proofErr w:type="spellEnd"/>
      <w:r w:rsidR="00B03919">
        <w:t xml:space="preserve">, </w:t>
      </w:r>
      <w:r>
        <w:t>falls, diarrh</w:t>
      </w:r>
      <w:r w:rsidR="00547F52">
        <w:t>o</w:t>
      </w:r>
      <w:r>
        <w:t xml:space="preserve">ea, pneumonia, </w:t>
      </w:r>
      <w:r w:rsidR="00B03919">
        <w:t xml:space="preserve">small cell lung cancer, nausea, muscle spasms, </w:t>
      </w:r>
      <w:proofErr w:type="spellStart"/>
      <w:r>
        <w:t>dyspn</w:t>
      </w:r>
      <w:r w:rsidR="00547F52">
        <w:t>o</w:t>
      </w:r>
      <w:r>
        <w:t>ea</w:t>
      </w:r>
      <w:proofErr w:type="spellEnd"/>
      <w:r>
        <w:t xml:space="preserve">, arthralgia, asthenia, depression, dysphagia, headache, </w:t>
      </w:r>
      <w:proofErr w:type="spellStart"/>
      <w:r w:rsidR="008F50FD">
        <w:t>hypoaesthesia</w:t>
      </w:r>
      <w:proofErr w:type="spellEnd"/>
      <w:r w:rsidR="008F50FD">
        <w:t xml:space="preserve">, metastases to the central nervous system, abdominal pain, </w:t>
      </w:r>
      <w:r w:rsidR="001B1163">
        <w:t xml:space="preserve">abdominal discomfort, dyspepsia, vomiting, cerebrovascular accident, pulmonary mass, Herpes Zoster, </w:t>
      </w:r>
      <w:r w:rsidR="008F50FD">
        <w:t xml:space="preserve">dizziness, sleep </w:t>
      </w:r>
      <w:proofErr w:type="spellStart"/>
      <w:r w:rsidR="008F50FD">
        <w:t>apnoea</w:t>
      </w:r>
      <w:proofErr w:type="spellEnd"/>
      <w:r w:rsidR="008F50FD">
        <w:t xml:space="preserve"> syndrome, </w:t>
      </w:r>
      <w:r w:rsidR="001B1163">
        <w:t xml:space="preserve">hypertension, </w:t>
      </w:r>
      <w:proofErr w:type="spellStart"/>
      <w:r w:rsidR="001B1163">
        <w:t>hyperlipidaemia</w:t>
      </w:r>
      <w:proofErr w:type="spellEnd"/>
      <w:r w:rsidR="001B1163">
        <w:t xml:space="preserve">, </w:t>
      </w:r>
      <w:r>
        <w:t xml:space="preserve">insomnia, vision blurred, </w:t>
      </w:r>
      <w:r w:rsidR="008F50FD">
        <w:t xml:space="preserve">diplopia (double vision) </w:t>
      </w:r>
      <w:r>
        <w:t>an</w:t>
      </w:r>
      <w:r w:rsidR="000514B0">
        <w:t>a</w:t>
      </w:r>
      <w:r>
        <w:t>emia, anxiety, constipation, feeling cold, gastro</w:t>
      </w:r>
      <w:r w:rsidR="000514B0">
        <w:t>-o</w:t>
      </w:r>
      <w:r>
        <w:t xml:space="preserve">esophageal reflux disease, </w:t>
      </w:r>
      <w:r w:rsidR="008F50FD">
        <w:t xml:space="preserve">pain in extremity, </w:t>
      </w:r>
      <w:r w:rsidR="001B1163">
        <w:t xml:space="preserve">chest pain, </w:t>
      </w:r>
      <w:r>
        <w:t>and pain. Because these reactions were captured retrospectively from expanded access programs, it is not possible to reliably estimate their frequency or establish a causal relationship to drug exposure.</w:t>
      </w:r>
    </w:p>
    <w:p w14:paraId="245FEB3D" w14:textId="0656EE06" w:rsidR="00CC7641" w:rsidRPr="00B26E5F" w:rsidRDefault="00CC7641" w:rsidP="006F2795">
      <w:pPr>
        <w:keepNext/>
        <w:rPr>
          <w:u w:val="single"/>
        </w:rPr>
      </w:pPr>
      <w:r w:rsidRPr="00B26E5F">
        <w:rPr>
          <w:u w:val="single"/>
        </w:rPr>
        <w:t>P</w:t>
      </w:r>
      <w:r w:rsidR="00D50ACD">
        <w:rPr>
          <w:u w:val="single"/>
        </w:rPr>
        <w:t>a</w:t>
      </w:r>
      <w:r w:rsidRPr="00B26E5F">
        <w:rPr>
          <w:u w:val="single"/>
        </w:rPr>
        <w:t>ediatric Patients (6 to Less than 1</w:t>
      </w:r>
      <w:r w:rsidR="00F55F2F">
        <w:rPr>
          <w:u w:val="single"/>
        </w:rPr>
        <w:t>8</w:t>
      </w:r>
      <w:r w:rsidRPr="00B26E5F">
        <w:rPr>
          <w:u w:val="single"/>
        </w:rPr>
        <w:t xml:space="preserve"> Years of Age)</w:t>
      </w:r>
    </w:p>
    <w:p w14:paraId="4971CB6F" w14:textId="603BF6DA" w:rsidR="00CC7641" w:rsidRPr="005D46C7" w:rsidRDefault="00230C8E" w:rsidP="00CC7641">
      <w:r w:rsidRPr="00230C8E">
        <w:t xml:space="preserve">The safety of RUZURGI was evaluated in </w:t>
      </w:r>
      <w:r w:rsidR="008F66F8">
        <w:t>7</w:t>
      </w:r>
      <w:r w:rsidRPr="00230C8E">
        <w:t xml:space="preserve"> paediatric LEMS patients 6 to less than 18 years of age who were treated with RUZURGI in the Expanded Access Programs for at least one year. Adverse reactions reported in these patients were </w:t>
      </w:r>
      <w:proofErr w:type="gramStart"/>
      <w:r w:rsidRPr="00230C8E">
        <w:t>similar to</w:t>
      </w:r>
      <w:proofErr w:type="gramEnd"/>
      <w:r w:rsidRPr="00230C8E">
        <w:t xml:space="preserve"> those seen in adult LEMS patients and included one patient with palpitations. </w:t>
      </w:r>
    </w:p>
    <w:p w14:paraId="2E7840C9" w14:textId="77777777" w:rsidR="002B424E" w:rsidRPr="002B424E" w:rsidRDefault="002B424E" w:rsidP="00CF3CA1">
      <w:pPr>
        <w:pStyle w:val="Heading3"/>
      </w:pPr>
      <w:r>
        <w:t>Reporting suspected adverse effects</w:t>
      </w:r>
    </w:p>
    <w:p w14:paraId="565A3543" w14:textId="3BF5476D" w:rsidR="00497C85" w:rsidRPr="006F2795" w:rsidRDefault="00497C85" w:rsidP="00CF3CA1">
      <w:r w:rsidRPr="006F2795">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6F2795">
          <w:rPr>
            <w:rStyle w:val="Hyperlink"/>
            <w:lang w:val="en"/>
          </w:rPr>
          <w:t>www.tga.gov.au/reporting-problems</w:t>
        </w:r>
      </w:hyperlink>
      <w:r w:rsidRPr="006F2795">
        <w:rPr>
          <w:lang w:val="en"/>
        </w:rPr>
        <w:t>.</w:t>
      </w:r>
    </w:p>
    <w:p w14:paraId="5DBA27CD" w14:textId="77777777" w:rsidR="001A3992" w:rsidRPr="00DB6543" w:rsidRDefault="001A3992" w:rsidP="00CF3CA1">
      <w:pPr>
        <w:pStyle w:val="Heading2"/>
      </w:pPr>
      <w:r w:rsidRPr="00DB6543">
        <w:t>Overdose</w:t>
      </w:r>
    </w:p>
    <w:p w14:paraId="1E9F7233" w14:textId="2E61FE37" w:rsidR="000A155A" w:rsidRPr="000A155A" w:rsidRDefault="00230C8E" w:rsidP="000A155A">
      <w:pPr>
        <w:rPr>
          <w:lang w:val="en"/>
        </w:rPr>
      </w:pPr>
      <w:r w:rsidRPr="00230C8E">
        <w:rPr>
          <w:lang w:val="en"/>
        </w:rPr>
        <w:t xml:space="preserve">Events reported after inadvertent overdose of repeated single doses of RUZURGI 20 mg in patients on stable chronic doses included diffuse muscle spasm and chest, abdominal or back pain.  </w:t>
      </w:r>
      <w:r w:rsidR="000A155A" w:rsidRPr="000A155A">
        <w:rPr>
          <w:lang w:val="en"/>
        </w:rPr>
        <w:t>In case reports, events reported after intake of RUZURGI at doses of 300 mg per day or greater (more than three times the maximum recommended daily dosage) include vomiting, nystagmus, seizures and status epilepticus, rhabdomyolysis, chest pain, diaphoresis, palpitations, paroxysmal supraventricular tachycardia, transient QTc prolongation, aspiration with acute respiratory failure, and cardiac arrest.</w:t>
      </w:r>
    </w:p>
    <w:p w14:paraId="03CE7029" w14:textId="65ECD75B" w:rsidR="000A155A" w:rsidRDefault="000A155A" w:rsidP="000A155A">
      <w:pPr>
        <w:rPr>
          <w:lang w:val="en"/>
        </w:rPr>
      </w:pPr>
      <w:r w:rsidRPr="000A155A">
        <w:rPr>
          <w:lang w:val="en"/>
        </w:rPr>
        <w:t>Patients with suspected overdose with RUZURGI should be monitored for signs or symptoms of exaggerated RUZURGI adverse reactions or effects, and appropriate symptomatic treatment instituted immediately.</w:t>
      </w:r>
    </w:p>
    <w:p w14:paraId="4995C2DB" w14:textId="2873F6C3" w:rsidR="00497C85" w:rsidRPr="00497C85" w:rsidRDefault="00497C85" w:rsidP="00CF3CA1">
      <w:r w:rsidRPr="00497C85">
        <w:rPr>
          <w:lang w:val="en"/>
        </w:rPr>
        <w:t>For information on the management of overdose, contact the Poisons Information Centre on 13 11 26 (Australia).</w:t>
      </w:r>
    </w:p>
    <w:p w14:paraId="11612E2B" w14:textId="77777777" w:rsidR="001A3992" w:rsidRPr="00497C85" w:rsidRDefault="001A3992" w:rsidP="00CF3CA1">
      <w:pPr>
        <w:pStyle w:val="Heading1"/>
      </w:pPr>
      <w:r w:rsidRPr="00497C85">
        <w:lastRenderedPageBreak/>
        <w:t>Pharmacological properties</w:t>
      </w:r>
    </w:p>
    <w:p w14:paraId="5834DC98" w14:textId="77777777" w:rsidR="001A3992" w:rsidRPr="00DB6543" w:rsidRDefault="001A3992" w:rsidP="00CF3CA1">
      <w:pPr>
        <w:pStyle w:val="Heading2"/>
      </w:pPr>
      <w:r w:rsidRPr="00DB6543">
        <w:t xml:space="preserve">Pharmacodynamic properties </w:t>
      </w:r>
    </w:p>
    <w:p w14:paraId="7EFF9D2A" w14:textId="12546642" w:rsidR="001A3992" w:rsidRDefault="001A3992" w:rsidP="00CF3CA1">
      <w:pPr>
        <w:pStyle w:val="Heading3"/>
      </w:pPr>
      <w:r w:rsidRPr="00497C85">
        <w:t>Mechanism of action</w:t>
      </w:r>
    </w:p>
    <w:p w14:paraId="761B59E4" w14:textId="301A6805" w:rsidR="008123B3" w:rsidRPr="006F2795" w:rsidRDefault="008123B3" w:rsidP="006F2795">
      <w:pPr>
        <w:rPr>
          <w:lang w:val="en"/>
        </w:rPr>
      </w:pPr>
      <w:r w:rsidRPr="006F2795">
        <w:rPr>
          <w:lang w:val="en"/>
        </w:rPr>
        <w:t>The mechanism by which amifampridine exerts its therapeutic effect in LEMS patients has not been fully elucidated. Amifampridine is a broad</w:t>
      </w:r>
      <w:r w:rsidR="00185D43">
        <w:rPr>
          <w:lang w:val="en"/>
        </w:rPr>
        <w:t>-</w:t>
      </w:r>
      <w:r w:rsidRPr="006F2795">
        <w:rPr>
          <w:lang w:val="en"/>
        </w:rPr>
        <w:t xml:space="preserve">spectrum potassium channel blocker. </w:t>
      </w:r>
    </w:p>
    <w:p w14:paraId="2F3D4E51" w14:textId="1C0F90A4" w:rsidR="001A3992" w:rsidRDefault="001A3992" w:rsidP="00CF3CA1">
      <w:pPr>
        <w:pStyle w:val="Heading3"/>
      </w:pPr>
      <w:r w:rsidRPr="00497C85">
        <w:t>Clinical trials</w:t>
      </w:r>
    </w:p>
    <w:p w14:paraId="0FE994B4" w14:textId="35565ED0" w:rsidR="004C6C31" w:rsidRDefault="00B513F7" w:rsidP="00B513F7">
      <w:r>
        <w:t xml:space="preserve">The efficacy of RUZURGI for the treatment of LEMS was established </w:t>
      </w:r>
      <w:r w:rsidR="00FE0394">
        <w:t xml:space="preserve">in </w:t>
      </w:r>
      <w:r>
        <w:t>a randomi</w:t>
      </w:r>
      <w:r w:rsidR="00D50ACD">
        <w:t>s</w:t>
      </w:r>
      <w:r>
        <w:t>ed, double-blind, placebo-controlled, withdrawal study (</w:t>
      </w:r>
      <w:r w:rsidR="00FE0394">
        <w:t>DAPPER</w:t>
      </w:r>
      <w:r>
        <w:t xml:space="preserve">) </w:t>
      </w:r>
      <w:r w:rsidR="006B534C">
        <w:t>i</w:t>
      </w:r>
      <w:r w:rsidR="00654923">
        <w:t xml:space="preserve">n </w:t>
      </w:r>
      <w:r>
        <w:t xml:space="preserve">patients with an established </w:t>
      </w:r>
      <w:r w:rsidR="007123C9">
        <w:t xml:space="preserve">clinical </w:t>
      </w:r>
      <w:r>
        <w:t xml:space="preserve">diagnosis of LEMS. </w:t>
      </w:r>
      <w:r w:rsidR="00DC0D37">
        <w:t xml:space="preserve">The mean age of patients was 56 </w:t>
      </w:r>
      <w:r w:rsidR="006B534C">
        <w:t xml:space="preserve">years </w:t>
      </w:r>
      <w:r w:rsidR="00DC0D37">
        <w:t xml:space="preserve">(range: 23 to 83 years). Two thirds of patients were female and primarily Caucasian. </w:t>
      </w:r>
      <w:r w:rsidR="006B534C">
        <w:t>Ninety-seven percent of patients had a diagnosis of autoimmune LEMS, and 3% of patients had a diagnosis of paraneoplastic LEMS.</w:t>
      </w:r>
      <w:r w:rsidR="00DC0D37">
        <w:t xml:space="preserve"> </w:t>
      </w:r>
      <w:r w:rsidR="002F3B36">
        <w:t>Patients were allowed to use stable dosages of peripherally-acting cholinesterase inhibitors or oral immunosuppressants. Seventy-nine percent of patients randomised to RUZURGI were receiving cholinesterase inhibitors, versus 83% in the placebo group, and 29% of patients randomised to RUZURGI were receiving an immunosuppressant therapy, versus 39% in the placebo group.</w:t>
      </w:r>
    </w:p>
    <w:p w14:paraId="50453824" w14:textId="49E83B6E" w:rsidR="00B513F7" w:rsidRDefault="00B513F7" w:rsidP="00B513F7">
      <w:r>
        <w:t>The primary measure of efficacy was the categori</w:t>
      </w:r>
      <w:r w:rsidR="00D50ACD">
        <w:t>s</w:t>
      </w:r>
      <w:r>
        <w:t xml:space="preserve">ation of the degree of change (e.g., greater than 30% deterioration) in the Triple Timed Up and Go test (3TUG) upon withdrawal of </w:t>
      </w:r>
      <w:r w:rsidR="006B534C">
        <w:t>RUZURGI</w:t>
      </w:r>
      <w:r>
        <w:t>, when compared with the time-matched average of the 3TUG assessments at baseline.</w:t>
      </w:r>
      <w:r w:rsidR="006B534C">
        <w:t xml:space="preserve"> </w:t>
      </w:r>
      <w:r>
        <w:t>The 3TUG is a measure of the time it takes a person to rise from a chair, walk 3 meters, and return to the chair for 3 consecutive laps without pause. Higher 3TUG scores represent greater impairment.</w:t>
      </w:r>
    </w:p>
    <w:p w14:paraId="7E7F17C4" w14:textId="0E176E29" w:rsidR="00B513F7" w:rsidRDefault="00B513F7" w:rsidP="00B513F7">
      <w:r>
        <w:t>The secondary efficacy endpoint was the self-assessment scale for LEMS-related weakness (W-SAS), a scale from -3 to 3 assessing a person’s feeling of weakening or strengthening from baseline. A higher positive W-SAS score indicates a perceived greater improvement of strength. A more negative score indicates perceived greater weakening.</w:t>
      </w:r>
    </w:p>
    <w:p w14:paraId="3B77A615" w14:textId="0631EC98" w:rsidR="006B534C" w:rsidRDefault="006B534C" w:rsidP="006B534C">
      <w:r>
        <w:t>Patients were required to be on an adequate and stable dos</w:t>
      </w:r>
      <w:r w:rsidR="007123C9">
        <w:t xml:space="preserve">e of RUZURGI </w:t>
      </w:r>
      <w:r>
        <w:t>(30</w:t>
      </w:r>
      <w:r w:rsidR="007123C9">
        <w:t> </w:t>
      </w:r>
      <w:r>
        <w:t>mg to 100</w:t>
      </w:r>
      <w:r w:rsidR="007123C9">
        <w:t> </w:t>
      </w:r>
      <w:r>
        <w:t xml:space="preserve">mg daily for at least 3 months) prior to </w:t>
      </w:r>
      <w:r w:rsidR="007123C9">
        <w:t>screening</w:t>
      </w:r>
      <w:r>
        <w:t>.</w:t>
      </w:r>
    </w:p>
    <w:p w14:paraId="3D8A481B" w14:textId="25DB70CA" w:rsidR="00B513F7" w:rsidRDefault="00B513F7" w:rsidP="00B513F7">
      <w:r>
        <w:t>After an initial open-label run-in phase, 32 patients were randomi</w:t>
      </w:r>
      <w:r w:rsidR="00D50ACD">
        <w:t>s</w:t>
      </w:r>
      <w:r>
        <w:t xml:space="preserve">ed in a double-blind fashion to either continue treatment with RUZURGI (n = 14) or switch to placebo over a 3-day downward titration (n = 18) period. Following the downward titration period, patients remained on blinded RUZURGI or placebo for </w:t>
      </w:r>
      <w:r w:rsidR="00D65105">
        <w:t xml:space="preserve">up to </w:t>
      </w:r>
      <w:r>
        <w:t xml:space="preserve">16 more hours. Efficacy was assessed 2 hours after the last dose of the downward titration period. </w:t>
      </w:r>
    </w:p>
    <w:p w14:paraId="465722C4" w14:textId="6245E42C" w:rsidR="00F96BEB" w:rsidRDefault="00B513F7" w:rsidP="00F96BEB">
      <w:r>
        <w:t>None of the patients randomi</w:t>
      </w:r>
      <w:r w:rsidR="00D50ACD">
        <w:t>s</w:t>
      </w:r>
      <w:r>
        <w:t xml:space="preserve">ed to continue RUZURGI experienced a greater than 30% deterioration in the final post-dose 3TUG test. In contrast, 72% </w:t>
      </w:r>
      <w:r w:rsidR="00D65105">
        <w:t xml:space="preserve">of </w:t>
      </w:r>
      <w:r w:rsidR="00CD0FA2">
        <w:t xml:space="preserve">patients </w:t>
      </w:r>
      <w:r>
        <w:t>(13/18) randomi</w:t>
      </w:r>
      <w:r w:rsidR="00D50ACD">
        <w:t>s</w:t>
      </w:r>
      <w:r>
        <w:t xml:space="preserve">ed to placebo experienced a greater than 30% deterioration in the final 3TUG test. </w:t>
      </w:r>
      <w:r w:rsidR="004B1350">
        <w:lastRenderedPageBreak/>
        <w:t xml:space="preserve">See Table 4. </w:t>
      </w:r>
      <w:r>
        <w:t>Patients who were randomi</w:t>
      </w:r>
      <w:r w:rsidR="00D50ACD">
        <w:t>s</w:t>
      </w:r>
      <w:r>
        <w:t xml:space="preserve">ed to placebo returned to baseline after restarting RUZURGI. </w:t>
      </w:r>
      <w:r w:rsidR="00F96BEB">
        <w:t>Figure 1 shows the time course of the mean percent change from baseline on the 3TUG during the double-blind phase and with re</w:t>
      </w:r>
      <w:r w:rsidR="00D65105">
        <w:t>-</w:t>
      </w:r>
      <w:r w:rsidR="00F96BEB">
        <w:t>initiation of RUZURGI.</w:t>
      </w:r>
    </w:p>
    <w:p w14:paraId="3AC09A0F" w14:textId="46D41661" w:rsidR="004B1350" w:rsidRPr="00E50C65" w:rsidRDefault="004B1350" w:rsidP="00E50C65">
      <w:pPr>
        <w:spacing w:after="200"/>
        <w:rPr>
          <w:b/>
          <w:bCs/>
        </w:rPr>
      </w:pPr>
      <w:r w:rsidRPr="00E50C65">
        <w:rPr>
          <w:b/>
          <w:bCs/>
        </w:rPr>
        <w:t>Table 4 – Summary of the data in the Final 3TUG Test Upon Withdrawal of RUZURGI – ITT Po</w:t>
      </w:r>
      <w:r w:rsidR="00BF3990" w:rsidRPr="00E50C65">
        <w:rPr>
          <w:b/>
          <w:bCs/>
        </w:rPr>
        <w:t>p</w:t>
      </w:r>
      <w:r w:rsidRPr="00E50C65">
        <w:rPr>
          <w:b/>
          <w:bCs/>
        </w:rPr>
        <w:t>ulation.</w:t>
      </w:r>
    </w:p>
    <w:tbl>
      <w:tblPr>
        <w:tblStyle w:val="TableGrid"/>
        <w:tblW w:w="0" w:type="auto"/>
        <w:tblLook w:val="04A0" w:firstRow="1" w:lastRow="0" w:firstColumn="1" w:lastColumn="0" w:noHBand="0" w:noVBand="1"/>
      </w:tblPr>
      <w:tblGrid>
        <w:gridCol w:w="3397"/>
        <w:gridCol w:w="1843"/>
        <w:gridCol w:w="2126"/>
        <w:gridCol w:w="1650"/>
      </w:tblGrid>
      <w:tr w:rsidR="00E50C65" w:rsidRPr="00BF3990" w14:paraId="36CC88EB" w14:textId="77777777" w:rsidTr="00E50C65">
        <w:tc>
          <w:tcPr>
            <w:tcW w:w="3397" w:type="dxa"/>
            <w:vMerge w:val="restart"/>
            <w:vAlign w:val="bottom"/>
          </w:tcPr>
          <w:p w14:paraId="1579FE2F" w14:textId="0037E0C4" w:rsidR="00E50C65" w:rsidRPr="00BF3990" w:rsidRDefault="00E50C65" w:rsidP="00E50C65">
            <w:pPr>
              <w:spacing w:before="60" w:after="120"/>
              <w:rPr>
                <w:b/>
                <w:bCs/>
              </w:rPr>
            </w:pPr>
            <w:r w:rsidRPr="00BF3990">
              <w:rPr>
                <w:b/>
                <w:bCs/>
              </w:rPr>
              <w:t>Change in 3TUG</w:t>
            </w:r>
          </w:p>
        </w:tc>
        <w:tc>
          <w:tcPr>
            <w:tcW w:w="5619" w:type="dxa"/>
            <w:gridSpan w:val="3"/>
          </w:tcPr>
          <w:p w14:paraId="2060A5FC" w14:textId="0953E9DC" w:rsidR="00E50C65" w:rsidRPr="00BF3990" w:rsidRDefault="00E50C65" w:rsidP="00BF3990">
            <w:pPr>
              <w:spacing w:before="60" w:after="120"/>
              <w:jc w:val="center"/>
              <w:rPr>
                <w:b/>
                <w:bCs/>
              </w:rPr>
            </w:pPr>
            <w:r w:rsidRPr="00BF3990">
              <w:rPr>
                <w:b/>
                <w:bCs/>
              </w:rPr>
              <w:t>Number (%) of Patients</w:t>
            </w:r>
          </w:p>
        </w:tc>
      </w:tr>
      <w:tr w:rsidR="00E50C65" w:rsidRPr="00BF3990" w14:paraId="166D667D" w14:textId="77777777" w:rsidTr="00994999">
        <w:tc>
          <w:tcPr>
            <w:tcW w:w="3397" w:type="dxa"/>
            <w:vMerge/>
          </w:tcPr>
          <w:p w14:paraId="5FAD6713" w14:textId="2C81877F" w:rsidR="00E50C65" w:rsidRPr="00BF3990" w:rsidRDefault="00E50C65" w:rsidP="00BF3990">
            <w:pPr>
              <w:spacing w:before="60" w:after="120"/>
              <w:rPr>
                <w:b/>
                <w:bCs/>
              </w:rPr>
            </w:pPr>
          </w:p>
        </w:tc>
        <w:tc>
          <w:tcPr>
            <w:tcW w:w="1843" w:type="dxa"/>
          </w:tcPr>
          <w:p w14:paraId="0ED4BBFC" w14:textId="0B1879A4" w:rsidR="00E50C65" w:rsidRDefault="00E50C65" w:rsidP="00BF3990">
            <w:pPr>
              <w:spacing w:before="60" w:after="120"/>
              <w:jc w:val="center"/>
              <w:rPr>
                <w:b/>
                <w:bCs/>
              </w:rPr>
            </w:pPr>
            <w:r w:rsidRPr="00BF3990">
              <w:rPr>
                <w:b/>
                <w:bCs/>
              </w:rPr>
              <w:t xml:space="preserve">Taper to </w:t>
            </w:r>
            <w:r>
              <w:rPr>
                <w:b/>
                <w:bCs/>
              </w:rPr>
              <w:t>P</w:t>
            </w:r>
            <w:r w:rsidRPr="00BF3990">
              <w:rPr>
                <w:b/>
                <w:bCs/>
              </w:rPr>
              <w:t>lacebo</w:t>
            </w:r>
          </w:p>
          <w:p w14:paraId="1A583D97" w14:textId="5BFD8C0E" w:rsidR="00E50C65" w:rsidRPr="00BF3990" w:rsidRDefault="00E50C65" w:rsidP="00BF3990">
            <w:pPr>
              <w:spacing w:before="60" w:after="120"/>
              <w:jc w:val="center"/>
              <w:rPr>
                <w:b/>
                <w:bCs/>
              </w:rPr>
            </w:pPr>
            <w:r>
              <w:rPr>
                <w:b/>
                <w:bCs/>
              </w:rPr>
              <w:t>(n = 18)</w:t>
            </w:r>
          </w:p>
        </w:tc>
        <w:tc>
          <w:tcPr>
            <w:tcW w:w="2126" w:type="dxa"/>
          </w:tcPr>
          <w:p w14:paraId="09D03F8B" w14:textId="77777777" w:rsidR="00E50C65" w:rsidRDefault="00E50C65" w:rsidP="00BF3990">
            <w:pPr>
              <w:spacing w:before="60" w:after="120"/>
              <w:jc w:val="center"/>
              <w:rPr>
                <w:b/>
                <w:bCs/>
              </w:rPr>
            </w:pPr>
            <w:r w:rsidRPr="00BF3990">
              <w:rPr>
                <w:b/>
                <w:bCs/>
              </w:rPr>
              <w:t>Continuous RUZURGI</w:t>
            </w:r>
          </w:p>
          <w:p w14:paraId="463F7CBB" w14:textId="7E603DA9" w:rsidR="00E50C65" w:rsidRPr="00BF3990" w:rsidRDefault="00E50C65" w:rsidP="00BF3990">
            <w:pPr>
              <w:spacing w:before="60" w:after="120"/>
              <w:jc w:val="center"/>
              <w:rPr>
                <w:b/>
                <w:bCs/>
              </w:rPr>
            </w:pPr>
            <w:r>
              <w:rPr>
                <w:b/>
                <w:bCs/>
              </w:rPr>
              <w:t>(n = 14)</w:t>
            </w:r>
          </w:p>
        </w:tc>
        <w:tc>
          <w:tcPr>
            <w:tcW w:w="1650" w:type="dxa"/>
            <w:vAlign w:val="center"/>
          </w:tcPr>
          <w:p w14:paraId="0CA0F897" w14:textId="63338664" w:rsidR="00E50C65" w:rsidRPr="00BF3990" w:rsidRDefault="00E50C65" w:rsidP="00E50C65">
            <w:pPr>
              <w:spacing w:before="60" w:after="120"/>
              <w:jc w:val="center"/>
              <w:rPr>
                <w:b/>
                <w:bCs/>
              </w:rPr>
            </w:pPr>
            <w:r w:rsidRPr="00BF3990">
              <w:rPr>
                <w:b/>
                <w:bCs/>
                <w:i/>
                <w:iCs/>
              </w:rPr>
              <w:t>p</w:t>
            </w:r>
            <w:r w:rsidRPr="00BF3990">
              <w:rPr>
                <w:b/>
                <w:bCs/>
              </w:rPr>
              <w:t>-value</w:t>
            </w:r>
          </w:p>
        </w:tc>
      </w:tr>
      <w:tr w:rsidR="00BF3990" w14:paraId="121BB2E3" w14:textId="77777777" w:rsidTr="005E1A22">
        <w:tc>
          <w:tcPr>
            <w:tcW w:w="3397" w:type="dxa"/>
          </w:tcPr>
          <w:p w14:paraId="7E0194A2" w14:textId="3A4141F2" w:rsidR="00BF3990" w:rsidRDefault="00BF3990" w:rsidP="00BF3990">
            <w:pPr>
              <w:spacing w:before="60" w:after="120"/>
            </w:pPr>
            <w:r>
              <w:t>No change (no deterioration)</w:t>
            </w:r>
          </w:p>
        </w:tc>
        <w:tc>
          <w:tcPr>
            <w:tcW w:w="1843" w:type="dxa"/>
          </w:tcPr>
          <w:p w14:paraId="1DB01925" w14:textId="4FC8F513" w:rsidR="00BF3990" w:rsidRDefault="00BF3990" w:rsidP="00BF3990">
            <w:pPr>
              <w:spacing w:before="60" w:after="120"/>
              <w:jc w:val="center"/>
            </w:pPr>
            <w:r>
              <w:t>5 (28)</w:t>
            </w:r>
          </w:p>
        </w:tc>
        <w:tc>
          <w:tcPr>
            <w:tcW w:w="2126" w:type="dxa"/>
          </w:tcPr>
          <w:p w14:paraId="07C15186" w14:textId="0324474A" w:rsidR="00BF3990" w:rsidRDefault="00BF3990" w:rsidP="00BF3990">
            <w:pPr>
              <w:spacing w:before="60" w:after="120"/>
              <w:jc w:val="center"/>
            </w:pPr>
            <w:r>
              <w:t>14 (100)</w:t>
            </w:r>
          </w:p>
        </w:tc>
        <w:tc>
          <w:tcPr>
            <w:tcW w:w="1650" w:type="dxa"/>
            <w:vMerge w:val="restart"/>
            <w:vAlign w:val="center"/>
          </w:tcPr>
          <w:p w14:paraId="1E61342F" w14:textId="4B239E4E" w:rsidR="00BF3990" w:rsidRDefault="00BF3990" w:rsidP="00BF3990">
            <w:pPr>
              <w:spacing w:before="60" w:after="120"/>
              <w:jc w:val="center"/>
            </w:pPr>
            <w:r>
              <w:t>&lt; 0.0001</w:t>
            </w:r>
          </w:p>
        </w:tc>
      </w:tr>
      <w:tr w:rsidR="00BF3990" w14:paraId="5C3BF724" w14:textId="77777777" w:rsidTr="005E1A22">
        <w:tc>
          <w:tcPr>
            <w:tcW w:w="3397" w:type="dxa"/>
          </w:tcPr>
          <w:p w14:paraId="4BAA70B3" w14:textId="1389D62A" w:rsidR="00BF3990" w:rsidRDefault="00BF3990" w:rsidP="00BF3990">
            <w:pPr>
              <w:spacing w:before="60" w:after="120"/>
            </w:pPr>
            <w:r>
              <w:t>&gt; 30% deterioration</w:t>
            </w:r>
          </w:p>
        </w:tc>
        <w:tc>
          <w:tcPr>
            <w:tcW w:w="1843" w:type="dxa"/>
          </w:tcPr>
          <w:p w14:paraId="64B272BE" w14:textId="6118DD1C" w:rsidR="00BF3990" w:rsidRDefault="00BF3990" w:rsidP="00BF3990">
            <w:pPr>
              <w:spacing w:before="60" w:after="120"/>
              <w:jc w:val="center"/>
            </w:pPr>
            <w:r>
              <w:t>13 (72)</w:t>
            </w:r>
          </w:p>
        </w:tc>
        <w:tc>
          <w:tcPr>
            <w:tcW w:w="2126" w:type="dxa"/>
          </w:tcPr>
          <w:p w14:paraId="2CE8DC8F" w14:textId="16264B47" w:rsidR="00BF3990" w:rsidRDefault="00BF3990" w:rsidP="00BF3990">
            <w:pPr>
              <w:spacing w:before="60" w:after="120"/>
              <w:jc w:val="center"/>
            </w:pPr>
            <w:r>
              <w:t>0</w:t>
            </w:r>
          </w:p>
        </w:tc>
        <w:tc>
          <w:tcPr>
            <w:tcW w:w="1650" w:type="dxa"/>
            <w:vMerge/>
          </w:tcPr>
          <w:p w14:paraId="7C622540" w14:textId="77777777" w:rsidR="00BF3990" w:rsidRDefault="00BF3990" w:rsidP="00BF3990">
            <w:pPr>
              <w:spacing w:before="60" w:after="120"/>
              <w:jc w:val="center"/>
            </w:pPr>
          </w:p>
        </w:tc>
      </w:tr>
    </w:tbl>
    <w:p w14:paraId="65C7AC78" w14:textId="1FBE416D" w:rsidR="004B1350" w:rsidRPr="00197609" w:rsidRDefault="00197609" w:rsidP="00197609">
      <w:pPr>
        <w:spacing w:before="0"/>
        <w:rPr>
          <w:sz w:val="20"/>
          <w:szCs w:val="20"/>
        </w:rPr>
      </w:pPr>
      <w:r w:rsidRPr="00197609">
        <w:rPr>
          <w:sz w:val="20"/>
          <w:szCs w:val="20"/>
        </w:rPr>
        <w:t>a: No change was defined as less than 30% deterioration to less than 30% improvement</w:t>
      </w:r>
    </w:p>
    <w:p w14:paraId="1893D5F4" w14:textId="286F14A0" w:rsidR="00197609" w:rsidRPr="00197609" w:rsidRDefault="00197609" w:rsidP="00197609">
      <w:pPr>
        <w:spacing w:before="0" w:after="200"/>
        <w:rPr>
          <w:sz w:val="20"/>
          <w:szCs w:val="20"/>
        </w:rPr>
      </w:pPr>
      <w:r w:rsidRPr="00197609">
        <w:rPr>
          <w:sz w:val="20"/>
          <w:szCs w:val="20"/>
        </w:rPr>
        <w:t xml:space="preserve">b: p-value based on Fisher’s Exact test. </w:t>
      </w:r>
    </w:p>
    <w:p w14:paraId="5721A92C" w14:textId="77777777" w:rsidR="00B513F7" w:rsidRDefault="00B513F7" w:rsidP="00B513F7">
      <w:pPr>
        <w:autoSpaceDE w:val="0"/>
        <w:autoSpaceDN w:val="0"/>
        <w:adjustRightInd w:val="0"/>
        <w:spacing w:before="0"/>
        <w:rPr>
          <w:rFonts w:eastAsiaTheme="minorHAnsi"/>
          <w:b/>
          <w:bCs/>
          <w:sz w:val="23"/>
          <w:szCs w:val="23"/>
          <w:lang w:val="en-AU"/>
        </w:rPr>
      </w:pPr>
    </w:p>
    <w:p w14:paraId="3B82A362" w14:textId="596C3489" w:rsidR="00B513F7" w:rsidRPr="005B1867" w:rsidRDefault="00B513F7" w:rsidP="005B1867">
      <w:pPr>
        <w:keepNext/>
        <w:autoSpaceDE w:val="0"/>
        <w:autoSpaceDN w:val="0"/>
        <w:adjustRightInd w:val="0"/>
        <w:spacing w:before="0"/>
        <w:rPr>
          <w:rFonts w:eastAsiaTheme="minorHAnsi"/>
          <w:lang w:val="en-AU"/>
        </w:rPr>
      </w:pPr>
      <w:r w:rsidRPr="006F2795">
        <w:rPr>
          <w:rFonts w:eastAsiaTheme="minorHAnsi"/>
          <w:b/>
          <w:bCs/>
          <w:lang w:val="en-AU"/>
        </w:rPr>
        <w:t xml:space="preserve">Figure 1: Mean Percent Change </w:t>
      </w:r>
      <w:proofErr w:type="gramStart"/>
      <w:r w:rsidRPr="006F2795">
        <w:rPr>
          <w:rFonts w:eastAsiaTheme="minorHAnsi"/>
          <w:b/>
          <w:bCs/>
          <w:lang w:val="en-AU"/>
        </w:rPr>
        <w:t>From</w:t>
      </w:r>
      <w:proofErr w:type="gramEnd"/>
      <w:r w:rsidRPr="006F2795">
        <w:rPr>
          <w:rFonts w:eastAsiaTheme="minorHAnsi"/>
          <w:b/>
          <w:bCs/>
          <w:lang w:val="en-AU"/>
        </w:rPr>
        <w:t xml:space="preserve"> Baseline in Post-dose 3TUG Time During the Double-blind Phase of the Study and Return to Baseline Upon Re</w:t>
      </w:r>
      <w:r w:rsidR="003130A0">
        <w:rPr>
          <w:rFonts w:eastAsiaTheme="minorHAnsi"/>
          <w:b/>
          <w:bCs/>
          <w:lang w:val="en-AU"/>
        </w:rPr>
        <w:t>-</w:t>
      </w:r>
      <w:r w:rsidRPr="006F2795">
        <w:rPr>
          <w:rFonts w:eastAsiaTheme="minorHAnsi"/>
          <w:b/>
          <w:bCs/>
          <w:lang w:val="en-AU"/>
        </w:rPr>
        <w:t xml:space="preserve">initiation of RUZURGI </w:t>
      </w:r>
    </w:p>
    <w:p w14:paraId="0034471C" w14:textId="2B921E56" w:rsidR="00B513F7" w:rsidRDefault="00B513F7" w:rsidP="006F2795">
      <w:pPr>
        <w:keepNext/>
      </w:pPr>
      <w:r w:rsidRPr="00B513F7">
        <w:rPr>
          <w:noProof/>
        </w:rPr>
        <w:drawing>
          <wp:inline distT="0" distB="0" distL="0" distR="0" wp14:anchorId="2D870C80" wp14:editId="6AAAD533">
            <wp:extent cx="5219700" cy="33411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4969" cy="3344475"/>
                    </a:xfrm>
                    <a:prstGeom prst="rect">
                      <a:avLst/>
                    </a:prstGeom>
                    <a:noFill/>
                    <a:ln>
                      <a:noFill/>
                    </a:ln>
                  </pic:spPr>
                </pic:pic>
              </a:graphicData>
            </a:graphic>
          </wp:inline>
        </w:drawing>
      </w:r>
    </w:p>
    <w:p w14:paraId="127C8C20" w14:textId="4F18506C" w:rsidR="00B513F7" w:rsidRPr="006F2795" w:rsidRDefault="00B513F7" w:rsidP="00B513F7">
      <w:pPr>
        <w:autoSpaceDE w:val="0"/>
        <w:autoSpaceDN w:val="0"/>
        <w:adjustRightInd w:val="0"/>
        <w:spacing w:before="0"/>
        <w:rPr>
          <w:rFonts w:eastAsiaTheme="minorHAnsi"/>
          <w:lang w:val="en-AU"/>
        </w:rPr>
      </w:pPr>
      <w:r w:rsidRPr="006F2795">
        <w:rPr>
          <w:rFonts w:eastAsiaTheme="minorHAnsi"/>
          <w:lang w:val="en-AU"/>
        </w:rPr>
        <w:t xml:space="preserve">3TUG=Triple Timed Up and Go; A=afternoon; E=evening; M=morning. </w:t>
      </w:r>
    </w:p>
    <w:p w14:paraId="5E6D7347" w14:textId="77777777" w:rsidR="00B513F7" w:rsidRPr="006F2795" w:rsidRDefault="00B513F7" w:rsidP="00B513F7">
      <w:pPr>
        <w:autoSpaceDE w:val="0"/>
        <w:autoSpaceDN w:val="0"/>
        <w:adjustRightInd w:val="0"/>
        <w:spacing w:before="0"/>
        <w:rPr>
          <w:rFonts w:eastAsiaTheme="minorHAnsi"/>
          <w:lang w:val="en-AU"/>
        </w:rPr>
      </w:pPr>
    </w:p>
    <w:p w14:paraId="05B8E54D" w14:textId="1BA90A3A" w:rsidR="00B513F7" w:rsidRPr="006F2795" w:rsidRDefault="00B513F7" w:rsidP="00B513F7">
      <w:pPr>
        <w:autoSpaceDE w:val="0"/>
        <w:autoSpaceDN w:val="0"/>
        <w:adjustRightInd w:val="0"/>
        <w:spacing w:before="0"/>
        <w:rPr>
          <w:rFonts w:eastAsiaTheme="minorHAnsi"/>
          <w:lang w:val="en-AU"/>
        </w:rPr>
      </w:pPr>
      <w:r w:rsidRPr="006F2795">
        <w:rPr>
          <w:rFonts w:eastAsiaTheme="minorHAnsi"/>
          <w:lang w:val="en-AU"/>
        </w:rPr>
        <w:t>The W-SAS score showed a significantly greater decrease in patients randomi</w:t>
      </w:r>
      <w:r w:rsidR="00D50ACD" w:rsidRPr="006F2795">
        <w:rPr>
          <w:rFonts w:eastAsiaTheme="minorHAnsi"/>
          <w:lang w:val="en-AU"/>
        </w:rPr>
        <w:t>s</w:t>
      </w:r>
      <w:r w:rsidRPr="006F2795">
        <w:rPr>
          <w:rFonts w:eastAsiaTheme="minorHAnsi"/>
          <w:lang w:val="en-AU"/>
        </w:rPr>
        <w:t xml:space="preserve">ed to placebo (-2.4) than in those who continued treatment with RUZURGI (-0.2; </w:t>
      </w:r>
      <w:r w:rsidRPr="006F2795">
        <w:rPr>
          <w:rFonts w:eastAsiaTheme="minorHAnsi"/>
          <w:i/>
          <w:iCs/>
          <w:lang w:val="en-AU"/>
        </w:rPr>
        <w:t xml:space="preserve">p </w:t>
      </w:r>
      <w:r w:rsidRPr="006F2795">
        <w:rPr>
          <w:rFonts w:eastAsiaTheme="minorHAnsi"/>
          <w:lang w:val="en-AU"/>
        </w:rPr>
        <w:t xml:space="preserve">&lt; 0.0001), indicating </w:t>
      </w:r>
      <w:r w:rsidRPr="006F2795">
        <w:rPr>
          <w:rFonts w:eastAsiaTheme="minorHAnsi"/>
          <w:lang w:val="en-AU"/>
        </w:rPr>
        <w:lastRenderedPageBreak/>
        <w:t>that patients who were randomi</w:t>
      </w:r>
      <w:r w:rsidR="00D50ACD" w:rsidRPr="006F2795">
        <w:rPr>
          <w:rFonts w:eastAsiaTheme="minorHAnsi"/>
          <w:lang w:val="en-AU"/>
        </w:rPr>
        <w:t>s</w:t>
      </w:r>
      <w:r w:rsidRPr="006F2795">
        <w:rPr>
          <w:rFonts w:eastAsiaTheme="minorHAnsi"/>
          <w:lang w:val="en-AU"/>
        </w:rPr>
        <w:t xml:space="preserve">ed to placebo perceived a worsening of weakness compared to those who remained on RUZURGI. </w:t>
      </w:r>
    </w:p>
    <w:p w14:paraId="24E55D89" w14:textId="64F77E65" w:rsidR="008123B3" w:rsidRPr="006F2795" w:rsidRDefault="008123B3" w:rsidP="008123B3">
      <w:pPr>
        <w:rPr>
          <w:u w:val="single"/>
        </w:rPr>
      </w:pPr>
      <w:bookmarkStart w:id="2" w:name="_Hlk53989857"/>
      <w:r w:rsidRPr="006F2795">
        <w:rPr>
          <w:u w:val="single"/>
        </w:rPr>
        <w:t>Cardiac Electrophysiology</w:t>
      </w:r>
    </w:p>
    <w:bookmarkEnd w:id="2"/>
    <w:p w14:paraId="5F647185" w14:textId="4D3D501F" w:rsidR="006E096B" w:rsidRDefault="008123B3" w:rsidP="006E096B">
      <w:pPr>
        <w:rPr>
          <w:b/>
          <w:bCs/>
        </w:rPr>
      </w:pPr>
      <w:r w:rsidRPr="006F2795">
        <w:t>The effect of RUZURGI on QTc interval prolongation was studied in a double-blind, randomi</w:t>
      </w:r>
      <w:r w:rsidR="00D50ACD" w:rsidRPr="006F2795">
        <w:t>s</w:t>
      </w:r>
      <w:r w:rsidRPr="006F2795">
        <w:t xml:space="preserve">ed, placebo- and positive-controlled study in 52 healthy </w:t>
      </w:r>
      <w:r w:rsidR="00A95AB0">
        <w:t>subjects</w:t>
      </w:r>
      <w:r w:rsidRPr="006F2795">
        <w:t xml:space="preserve"> (including </w:t>
      </w:r>
      <w:r w:rsidR="00C91723" w:rsidRPr="006F2795">
        <w:t>23</w:t>
      </w:r>
      <w:r w:rsidR="00C91723">
        <w:t> </w:t>
      </w:r>
      <w:r w:rsidRPr="006F2795">
        <w:t xml:space="preserve">subjects with poor </w:t>
      </w:r>
      <w:r w:rsidR="00115986">
        <w:t xml:space="preserve">inferred </w:t>
      </w:r>
      <w:proofErr w:type="spellStart"/>
      <w:r w:rsidRPr="006F2795">
        <w:t>metaboli</w:t>
      </w:r>
      <w:r w:rsidR="00D50ACD" w:rsidRPr="006F2795">
        <w:t>s</w:t>
      </w:r>
      <w:r w:rsidRPr="006F2795">
        <w:t>er</w:t>
      </w:r>
      <w:proofErr w:type="spellEnd"/>
      <w:r w:rsidRPr="006F2795">
        <w:t xml:space="preserve"> phenotype</w:t>
      </w:r>
      <w:r w:rsidR="00115986">
        <w:t xml:space="preserve"> based on NAT2 genotyping</w:t>
      </w:r>
      <w:r w:rsidRPr="006F2795">
        <w:t>). Study participants were administered 120 mg RUZURGI in 4 equal doses of 30 mg at 4-hour intervals (Dose 1, 2, 3, and 4)</w:t>
      </w:r>
      <w:r w:rsidR="0020628D" w:rsidRPr="006F2795">
        <w:t>,</w:t>
      </w:r>
      <w:r w:rsidRPr="006F2795">
        <w:t xml:space="preserve"> see </w:t>
      </w:r>
      <w:r w:rsidR="0020628D" w:rsidRPr="006F2795">
        <w:t>Section 5.2 PHARMACOKINETIC PROPERTIES, Pharmacogenomics</w:t>
      </w:r>
      <w:r w:rsidRPr="006F2795">
        <w:t xml:space="preserve">. </w:t>
      </w:r>
      <w:r w:rsidR="00BF7580" w:rsidRPr="00BF7580">
        <w:t xml:space="preserve"> </w:t>
      </w:r>
      <w:r w:rsidR="006E096B" w:rsidRPr="006E096B">
        <w:rPr>
          <w:b/>
          <w:bCs/>
        </w:rPr>
        <w:t xml:space="preserve"> </w:t>
      </w:r>
      <w:r w:rsidR="006E096B">
        <w:t xml:space="preserve">The upper bound of the two sided 90% CIs of the LS mean estimate of the placebo-subtracted differences </w:t>
      </w:r>
      <w:r w:rsidR="00F83445">
        <w:t>in</w:t>
      </w:r>
      <w:r w:rsidR="006E096B">
        <w:t xml:space="preserve"> </w:t>
      </w:r>
      <w:proofErr w:type="spellStart"/>
      <w:r w:rsidR="006E096B">
        <w:t>QTcF</w:t>
      </w:r>
      <w:proofErr w:type="spellEnd"/>
      <w:r w:rsidR="006E096B">
        <w:t xml:space="preserve"> between amifampridine and placebo, were below 10 </w:t>
      </w:r>
      <w:proofErr w:type="spellStart"/>
      <w:r w:rsidR="006E096B">
        <w:t>ms</w:t>
      </w:r>
      <w:proofErr w:type="spellEnd"/>
      <w:r w:rsidR="006E096B">
        <w:t xml:space="preserve"> for all post-baseline time points.  The LS mean estimates of the placebo-subtracted differences in </w:t>
      </w:r>
      <w:proofErr w:type="spellStart"/>
      <w:r w:rsidR="006E096B">
        <w:t>QTcF</w:t>
      </w:r>
      <w:proofErr w:type="spellEnd"/>
      <w:r w:rsidR="006E096B">
        <w:t xml:space="preserve"> between </w:t>
      </w:r>
      <w:proofErr w:type="gramStart"/>
      <w:r w:rsidR="006E096B">
        <w:t>amifampridine</w:t>
      </w:r>
      <w:proofErr w:type="gramEnd"/>
      <w:r w:rsidR="006E096B">
        <w:t xml:space="preserve"> and placebo exceeded 5 </w:t>
      </w:r>
      <w:proofErr w:type="spellStart"/>
      <w:r w:rsidR="006E096B">
        <w:t>ms</w:t>
      </w:r>
      <w:proofErr w:type="spellEnd"/>
      <w:r w:rsidR="006E096B">
        <w:t xml:space="preserve"> at 13.5 hours post-dose (5.20) and 15 hours post-dose (6.14).</w:t>
      </w:r>
    </w:p>
    <w:p w14:paraId="1C2C9FE6" w14:textId="44379C70" w:rsidR="008123B3" w:rsidRPr="006F2795" w:rsidRDefault="006E096B" w:rsidP="006E096B">
      <w:r>
        <w:t xml:space="preserve">In the same thorough QT study, the LS mean estimates of the placebo-subtracted differences in </w:t>
      </w:r>
      <w:proofErr w:type="spellStart"/>
      <w:r>
        <w:t>QTcF</w:t>
      </w:r>
      <w:proofErr w:type="spellEnd"/>
      <w:r>
        <w:t xml:space="preserve"> between amifampridine and placebo </w:t>
      </w:r>
      <w:r w:rsidR="003C2AA1">
        <w:t xml:space="preserve">in slow acetylators, </w:t>
      </w:r>
      <w:r>
        <w:t xml:space="preserve">exceeded 5 </w:t>
      </w:r>
      <w:proofErr w:type="spellStart"/>
      <w:r>
        <w:t>ms</w:t>
      </w:r>
      <w:proofErr w:type="spellEnd"/>
      <w:r>
        <w:t xml:space="preserve"> in 15 out of 23 post-baseline time points.</w:t>
      </w:r>
      <w:r w:rsidR="008E52BF">
        <w:t xml:space="preserve"> </w:t>
      </w:r>
      <w:r>
        <w:t xml:space="preserve">The upper bound of the two-sided 90% CIs of the mean baseline corrected differences in </w:t>
      </w:r>
      <w:proofErr w:type="spellStart"/>
      <w:r>
        <w:t>QTcF</w:t>
      </w:r>
      <w:proofErr w:type="spellEnd"/>
      <w:r>
        <w:t xml:space="preserve"> between amifampridine and placebo were above 10 </w:t>
      </w:r>
      <w:proofErr w:type="spellStart"/>
      <w:r>
        <w:t>ms</w:t>
      </w:r>
      <w:proofErr w:type="spellEnd"/>
      <w:r>
        <w:t xml:space="preserve"> at three post-baseline time points (13.5, 14 and 15 hours).  The greatest mean baseline corrected difference for in </w:t>
      </w:r>
      <w:proofErr w:type="spellStart"/>
      <w:r>
        <w:t>QTcF</w:t>
      </w:r>
      <w:proofErr w:type="spellEnd"/>
      <w:r>
        <w:t xml:space="preserve"> between amifampridine and placebo was 8.29 </w:t>
      </w:r>
      <w:proofErr w:type="spellStart"/>
      <w:r>
        <w:t>ms</w:t>
      </w:r>
      <w:proofErr w:type="spellEnd"/>
      <w:r>
        <w:t xml:space="preserve"> (90% CI 5.10,</w:t>
      </w:r>
      <w:r w:rsidR="00C91723">
        <w:t> </w:t>
      </w:r>
      <w:r>
        <w:t xml:space="preserve">11.49). </w:t>
      </w:r>
      <w:r w:rsidR="008123B3" w:rsidRPr="006F2795">
        <w:rPr>
          <w:i/>
          <w:iCs/>
        </w:rPr>
        <w:t>In vitro</w:t>
      </w:r>
      <w:r w:rsidR="008123B3" w:rsidRPr="006F2795">
        <w:t>, RUZURGI did not inhibit the human ether-à-go-go-related gene ion channel.</w:t>
      </w:r>
    </w:p>
    <w:p w14:paraId="5DF24F38" w14:textId="1ABFDBFA" w:rsidR="001A3992" w:rsidRPr="007819F3" w:rsidRDefault="001A3992" w:rsidP="00CF3CA1">
      <w:pPr>
        <w:pStyle w:val="Heading2"/>
      </w:pPr>
      <w:r w:rsidRPr="007819F3">
        <w:t xml:space="preserve">Pharmacokinetic properties </w:t>
      </w:r>
    </w:p>
    <w:p w14:paraId="4D66C5CF" w14:textId="38E4B26B" w:rsidR="008123B3" w:rsidRPr="008123B3" w:rsidRDefault="008123B3" w:rsidP="008123B3">
      <w:r w:rsidRPr="008123B3">
        <w:t xml:space="preserve">The pharmacokinetics of amifampridine </w:t>
      </w:r>
      <w:r w:rsidR="00D8000C">
        <w:t xml:space="preserve">free-base </w:t>
      </w:r>
      <w:r w:rsidRPr="008123B3">
        <w:t>form</w:t>
      </w:r>
      <w:r w:rsidR="0000230A">
        <w:t>,</w:t>
      </w:r>
      <w:r w:rsidRPr="008123B3">
        <w:t xml:space="preserve"> RUZURGI</w:t>
      </w:r>
      <w:r w:rsidR="0000230A">
        <w:t>,</w:t>
      </w:r>
      <w:r w:rsidRPr="008123B3">
        <w:t xml:space="preserve"> </w:t>
      </w:r>
      <w:r w:rsidR="00761801">
        <w:t>are</w:t>
      </w:r>
      <w:r w:rsidR="00761801" w:rsidRPr="008123B3">
        <w:t xml:space="preserve"> </w:t>
      </w:r>
      <w:r w:rsidRPr="008123B3">
        <w:t xml:space="preserve">approximately dose proportional. Steady state was generally reached within 1 day of dosing. </w:t>
      </w:r>
      <w:r w:rsidR="00761801">
        <w:t>With multiple dosing the m</w:t>
      </w:r>
      <w:r w:rsidR="00BF7580" w:rsidRPr="00BF7580">
        <w:t xml:space="preserve">ean </w:t>
      </w:r>
      <w:proofErr w:type="spellStart"/>
      <w:r w:rsidR="00BF7580" w:rsidRPr="00BF7580">
        <w:t>RC</w:t>
      </w:r>
      <w:r w:rsidR="00BF7580" w:rsidRPr="00BF7580">
        <w:rPr>
          <w:vertAlign w:val="subscript"/>
        </w:rPr>
        <w:t>max</w:t>
      </w:r>
      <w:proofErr w:type="spellEnd"/>
      <w:r w:rsidR="00BF7580" w:rsidRPr="00BF7580">
        <w:t xml:space="preserve"> and RAUC</w:t>
      </w:r>
      <w:r w:rsidR="00BF7580" w:rsidRPr="00BF7580">
        <w:rPr>
          <w:vertAlign w:val="subscript"/>
        </w:rPr>
        <w:t>(0-tau)</w:t>
      </w:r>
      <w:r w:rsidR="00BF7580" w:rsidRPr="00BF7580">
        <w:t xml:space="preserve"> </w:t>
      </w:r>
      <w:r w:rsidR="00761801">
        <w:t xml:space="preserve">of </w:t>
      </w:r>
      <w:r w:rsidR="00761801" w:rsidRPr="00BF7580">
        <w:t>3,4-DAP</w:t>
      </w:r>
      <w:r w:rsidR="00761801">
        <w:t xml:space="preserve"> were </w:t>
      </w:r>
      <w:r w:rsidR="00BF7580" w:rsidRPr="00BF7580">
        <w:t xml:space="preserve">0.902 and 1.12, respectively, </w:t>
      </w:r>
      <w:r w:rsidR="00761801">
        <w:t xml:space="preserve">and the </w:t>
      </w:r>
      <w:r w:rsidR="00BF7580" w:rsidRPr="00BF7580">
        <w:t xml:space="preserve">mean </w:t>
      </w:r>
      <w:proofErr w:type="spellStart"/>
      <w:r w:rsidR="00BF7580" w:rsidRPr="00BF7580">
        <w:t>RC</w:t>
      </w:r>
      <w:r w:rsidR="00BF7580" w:rsidRPr="00BF7580">
        <w:rPr>
          <w:vertAlign w:val="subscript"/>
        </w:rPr>
        <w:t>max</w:t>
      </w:r>
      <w:proofErr w:type="spellEnd"/>
      <w:r w:rsidR="00BF7580" w:rsidRPr="00BF7580">
        <w:t xml:space="preserve"> and RAUC</w:t>
      </w:r>
      <w:r w:rsidR="00BF7580" w:rsidRPr="00BF7580">
        <w:rPr>
          <w:vertAlign w:val="subscript"/>
        </w:rPr>
        <w:t>(0-tau)</w:t>
      </w:r>
      <w:r w:rsidR="00BF7580" w:rsidRPr="00BF7580">
        <w:t xml:space="preserve"> </w:t>
      </w:r>
      <w:r w:rsidR="00E82B0B">
        <w:t xml:space="preserve">of the major metabolite N-acetyl amifampridine were </w:t>
      </w:r>
      <w:r w:rsidR="00BF7580" w:rsidRPr="00BF7580">
        <w:t>1.44</w:t>
      </w:r>
      <w:r w:rsidR="00C91723">
        <w:t> </w:t>
      </w:r>
      <w:r w:rsidR="00BF7580" w:rsidRPr="00BF7580">
        <w:t>and 1.75, respectively</w:t>
      </w:r>
      <w:r w:rsidR="009A1B21">
        <w:t xml:space="preserve">, see Section </w:t>
      </w:r>
      <w:r w:rsidR="009A1B21" w:rsidRPr="009A1B21">
        <w:t>5.2 PHARMACOKINETIC PROPERTIES, Pharmacogenomics</w:t>
      </w:r>
      <w:r w:rsidRPr="008123B3">
        <w:t>.</w:t>
      </w:r>
    </w:p>
    <w:p w14:paraId="33D5F05C" w14:textId="1CDD56A9" w:rsidR="001A3992" w:rsidRDefault="001A3992" w:rsidP="006F2795">
      <w:pPr>
        <w:pStyle w:val="Heading3"/>
        <w:keepNext/>
      </w:pPr>
      <w:r w:rsidRPr="00497C85">
        <w:t>Absorption</w:t>
      </w:r>
    </w:p>
    <w:p w14:paraId="48F09F0E" w14:textId="6F34267B" w:rsidR="008123B3" w:rsidRDefault="008123B3" w:rsidP="008123B3">
      <w:r w:rsidRPr="008123B3">
        <w:t xml:space="preserve">The absolute bioavailability of RUZURGI has not been assessed. </w:t>
      </w:r>
      <w:r w:rsidR="00D8000C">
        <w:t xml:space="preserve">Amifampridine </w:t>
      </w:r>
      <w:r w:rsidRPr="008123B3">
        <w:t xml:space="preserve">is absorbed in an approximately dose-proportional manner </w:t>
      </w:r>
      <w:r w:rsidR="008674ED">
        <w:t xml:space="preserve">under fasting conditions </w:t>
      </w:r>
      <w:r w:rsidRPr="008123B3">
        <w:t>with a median time to maximum concentration (</w:t>
      </w:r>
      <w:proofErr w:type="spellStart"/>
      <w:r w:rsidRPr="008123B3">
        <w:t>t</w:t>
      </w:r>
      <w:r w:rsidRPr="009A1B21">
        <w:rPr>
          <w:vertAlign w:val="subscript"/>
        </w:rPr>
        <w:t>max</w:t>
      </w:r>
      <w:proofErr w:type="spellEnd"/>
      <w:r w:rsidRPr="008123B3">
        <w:t xml:space="preserve">) of 0.5 hours post administration. </w:t>
      </w:r>
    </w:p>
    <w:p w14:paraId="327E1AE9" w14:textId="77777777" w:rsidR="008123B3" w:rsidRPr="008123B3" w:rsidRDefault="008123B3" w:rsidP="008123B3">
      <w:pPr>
        <w:rPr>
          <w:u w:val="single"/>
        </w:rPr>
      </w:pPr>
      <w:r w:rsidRPr="008123B3">
        <w:rPr>
          <w:u w:val="single"/>
        </w:rPr>
        <w:t xml:space="preserve">Effect of Food </w:t>
      </w:r>
    </w:p>
    <w:p w14:paraId="3ED66FA4" w14:textId="41D038A6" w:rsidR="008123B3" w:rsidRPr="008123B3" w:rsidRDefault="008123B3" w:rsidP="008123B3">
      <w:r w:rsidRPr="008123B3">
        <w:t>Compared to administration of RUZURGI in the fasting state, administration of the 20 and 30</w:t>
      </w:r>
      <w:r w:rsidR="00D8000C">
        <w:t> </w:t>
      </w:r>
      <w:r w:rsidRPr="008123B3">
        <w:t>mg dose levels of RUZURGI with a standard high fat meal resulted in decrease</w:t>
      </w:r>
      <w:r w:rsidR="00E82B0B">
        <w:t>d</w:t>
      </w:r>
      <w:r w:rsidRPr="008123B3">
        <w:t xml:space="preserve"> </w:t>
      </w:r>
      <w:proofErr w:type="spellStart"/>
      <w:r w:rsidRPr="008123B3">
        <w:t>C</w:t>
      </w:r>
      <w:r w:rsidRPr="009A1B21">
        <w:rPr>
          <w:vertAlign w:val="subscript"/>
        </w:rPr>
        <w:t>max</w:t>
      </w:r>
      <w:proofErr w:type="spellEnd"/>
      <w:r w:rsidRPr="008123B3">
        <w:t xml:space="preserve"> (41% and 52%, respectively) and increase</w:t>
      </w:r>
      <w:r w:rsidR="00E82B0B">
        <w:t>d</w:t>
      </w:r>
      <w:r w:rsidRPr="008123B3">
        <w:t xml:space="preserve"> median </w:t>
      </w:r>
      <w:proofErr w:type="spellStart"/>
      <w:r w:rsidRPr="008123B3">
        <w:t>t</w:t>
      </w:r>
      <w:r w:rsidRPr="009A1B21">
        <w:rPr>
          <w:vertAlign w:val="subscript"/>
        </w:rPr>
        <w:t>max</w:t>
      </w:r>
      <w:proofErr w:type="spellEnd"/>
      <w:r w:rsidRPr="008123B3">
        <w:t xml:space="preserve"> to 1.0 hour; AUC</w:t>
      </w:r>
      <w:r w:rsidRPr="00620344">
        <w:rPr>
          <w:vertAlign w:val="subscript"/>
        </w:rPr>
        <w:t>0-last</w:t>
      </w:r>
      <w:r w:rsidRPr="008123B3">
        <w:t xml:space="preserve"> was only </w:t>
      </w:r>
      <w:r w:rsidRPr="008123B3">
        <w:lastRenderedPageBreak/>
        <w:t>reduced for the 30 mg dose (23%)</w:t>
      </w:r>
      <w:r w:rsidR="00662968">
        <w:t>,</w:t>
      </w:r>
      <w:r w:rsidRPr="008123B3">
        <w:t xml:space="preserve"> </w:t>
      </w:r>
      <w:r w:rsidR="00662968">
        <w:t>see Sectio</w:t>
      </w:r>
      <w:r w:rsidR="00662968" w:rsidRPr="00662968">
        <w:t>n 4.2 DOSE AND METHOD OF ADMINISTRATION</w:t>
      </w:r>
      <w:r w:rsidRPr="008123B3">
        <w:t>.</w:t>
      </w:r>
    </w:p>
    <w:p w14:paraId="3172CB2B" w14:textId="2B460588" w:rsidR="001A3992" w:rsidRDefault="001A3992" w:rsidP="00CF3CA1">
      <w:pPr>
        <w:pStyle w:val="Heading3"/>
      </w:pPr>
      <w:r w:rsidRPr="00497C85">
        <w:t>Distribution</w:t>
      </w:r>
    </w:p>
    <w:p w14:paraId="478D6348" w14:textId="6B08951D" w:rsidR="008123B3" w:rsidRDefault="008123B3" w:rsidP="008123B3">
      <w:r w:rsidRPr="008123B3">
        <w:t xml:space="preserve">In healthy volunteers, </w:t>
      </w:r>
      <w:r w:rsidR="00620344">
        <w:t xml:space="preserve">amifampridine demonstrates moderate to high volume of distribution. </w:t>
      </w:r>
    </w:p>
    <w:p w14:paraId="3378EABE" w14:textId="669043FE" w:rsidR="008123B3" w:rsidRPr="008123B3" w:rsidRDefault="008123B3" w:rsidP="008123B3">
      <w:r w:rsidRPr="00C66A21">
        <w:rPr>
          <w:i/>
          <w:iCs/>
        </w:rPr>
        <w:t>In vitro</w:t>
      </w:r>
      <w:r w:rsidRPr="008123B3">
        <w:t xml:space="preserve"> human plasma protein binding of amifampridine and 3-N-acetyl amifampridine was 25.3% and 43.3%, respectively.</w:t>
      </w:r>
    </w:p>
    <w:p w14:paraId="1BE910FB" w14:textId="43273632" w:rsidR="001A3992" w:rsidRDefault="001A3992" w:rsidP="00CF3CA1">
      <w:pPr>
        <w:pStyle w:val="Heading3"/>
      </w:pPr>
      <w:r w:rsidRPr="00497C85">
        <w:t>Metabolism</w:t>
      </w:r>
      <w:r w:rsidR="00677840">
        <w:t xml:space="preserve"> </w:t>
      </w:r>
    </w:p>
    <w:p w14:paraId="185D3BA7" w14:textId="7B469033" w:rsidR="008123B3" w:rsidRDefault="008123B3" w:rsidP="008123B3">
      <w:r w:rsidRPr="00C66A21">
        <w:rPr>
          <w:i/>
          <w:iCs/>
        </w:rPr>
        <w:t>In vitro</w:t>
      </w:r>
      <w:r w:rsidRPr="008123B3">
        <w:t xml:space="preserve"> studies with </w:t>
      </w:r>
      <w:r w:rsidR="00B23C1D">
        <w:t>recombinant</w:t>
      </w:r>
      <w:r w:rsidRPr="008123B3">
        <w:t xml:space="preserve"> human N-acetyltransferase (NAT) enzyme preparations indicate that amifampridine is rapidly metaboli</w:t>
      </w:r>
      <w:r w:rsidR="00D50ACD">
        <w:t>s</w:t>
      </w:r>
      <w:r w:rsidRPr="008123B3">
        <w:t>ed by the N-acetyltransferase 2 (NAT2) enzyme to the 3-N-acetyl amifampridine metabolite. Metabolism of amifampridine by N-acetyltransferase 1 (NAT1) may also occur but at a much slower rate.</w:t>
      </w:r>
    </w:p>
    <w:p w14:paraId="5FDEB3C9" w14:textId="6B899670" w:rsidR="008123B3" w:rsidRPr="008123B3" w:rsidRDefault="008123B3" w:rsidP="008123B3">
      <w:r w:rsidRPr="008123B3">
        <w:t>Amifampridine does not undergo glucuronidation or sulfonation.</w:t>
      </w:r>
    </w:p>
    <w:p w14:paraId="573D3749" w14:textId="66E759F0" w:rsidR="001A3992" w:rsidRDefault="001A3992" w:rsidP="00C66A21">
      <w:pPr>
        <w:pStyle w:val="Heading3"/>
        <w:keepNext/>
      </w:pPr>
      <w:r w:rsidRPr="007819F3">
        <w:t>Excretion</w:t>
      </w:r>
      <w:r w:rsidR="00677840">
        <w:t xml:space="preserve"> </w:t>
      </w:r>
    </w:p>
    <w:p w14:paraId="587F5BEF" w14:textId="5D16EBF6" w:rsidR="008123B3" w:rsidRPr="006F2795" w:rsidRDefault="008123B3" w:rsidP="006F2795">
      <w:r w:rsidRPr="006F2795">
        <w:t xml:space="preserve">Following oral administration of a single 20 or 30 mg dose of RUZURGI to healthy </w:t>
      </w:r>
      <w:r w:rsidRPr="008123B3">
        <w:t>volunteers,</w:t>
      </w:r>
      <w:r>
        <w:t xml:space="preserve"> </w:t>
      </w:r>
      <w:r w:rsidR="002C2983">
        <w:t xml:space="preserve">the </w:t>
      </w:r>
      <w:r w:rsidRPr="006F2795">
        <w:t xml:space="preserve">apparent oral clearance (CL/F) </w:t>
      </w:r>
      <w:r w:rsidR="002C2983">
        <w:t xml:space="preserve">of amifampridine </w:t>
      </w:r>
      <w:r w:rsidRPr="006F2795">
        <w:t>was 149 to 214 L/h, the average elimination half-life (t</w:t>
      </w:r>
      <w:r w:rsidRPr="006F2795">
        <w:rPr>
          <w:vertAlign w:val="subscript"/>
        </w:rPr>
        <w:t>1/2</w:t>
      </w:r>
      <w:r w:rsidRPr="006F2795">
        <w:t>) was 3.6 to 4.2 hours. The average t</w:t>
      </w:r>
      <w:r w:rsidRPr="006F2795">
        <w:rPr>
          <w:vertAlign w:val="subscript"/>
        </w:rPr>
        <w:t xml:space="preserve">1/2 </w:t>
      </w:r>
      <w:r w:rsidRPr="006F2795">
        <w:t xml:space="preserve">of the 3-N-acetyl amifampridine metabolite was 4.1 to 4.8 hours. </w:t>
      </w:r>
    </w:p>
    <w:p w14:paraId="77D2C0B4" w14:textId="2FF4F4D0" w:rsidR="00F22901" w:rsidRPr="007819F3" w:rsidRDefault="00A0549B" w:rsidP="007819F3">
      <w:r w:rsidRPr="007819F3">
        <w:t xml:space="preserve">The </w:t>
      </w:r>
      <w:r w:rsidR="002C2983" w:rsidRPr="007819F3">
        <w:t xml:space="preserve">combined </w:t>
      </w:r>
      <w:r w:rsidRPr="007819F3">
        <w:t xml:space="preserve">median (range) </w:t>
      </w:r>
      <w:r w:rsidR="00C96AEA" w:rsidRPr="007819F3">
        <w:t xml:space="preserve">total </w:t>
      </w:r>
      <w:r w:rsidRPr="007819F3">
        <w:t xml:space="preserve">percent recovery of amifampridine </w:t>
      </w:r>
      <w:r w:rsidR="00C96AEA" w:rsidRPr="007819F3">
        <w:t xml:space="preserve">and 3-N-acetyl amifampridine </w:t>
      </w:r>
      <w:r w:rsidRPr="007819F3">
        <w:t xml:space="preserve">in urine </w:t>
      </w:r>
      <w:r w:rsidR="002C2983" w:rsidRPr="007819F3">
        <w:t>after a</w:t>
      </w:r>
      <w:r w:rsidRPr="007819F3">
        <w:t xml:space="preserve"> 20 mg dose </w:t>
      </w:r>
      <w:r w:rsidR="002C2983" w:rsidRPr="007819F3">
        <w:t>under</w:t>
      </w:r>
      <w:r w:rsidRPr="007819F3">
        <w:t xml:space="preserve"> fasting and fed conditions was 90.3% (45.0%-106.0%) and 85.8% (55.4%-101.2%), respectively. </w:t>
      </w:r>
      <w:r w:rsidR="002C2983" w:rsidRPr="007819F3">
        <w:t>After a</w:t>
      </w:r>
      <w:r w:rsidRPr="007819F3">
        <w:t xml:space="preserve"> 30 mg dose, the </w:t>
      </w:r>
      <w:r w:rsidR="00C96AEA" w:rsidRPr="007819F3">
        <w:t xml:space="preserve">total </w:t>
      </w:r>
      <w:r w:rsidRPr="007819F3">
        <w:t xml:space="preserve">percent recovery of amifampridine </w:t>
      </w:r>
      <w:r w:rsidR="00C96AEA" w:rsidRPr="007819F3">
        <w:t xml:space="preserve">and 3-N-acetyl amifampridine metabolite </w:t>
      </w:r>
      <w:r w:rsidRPr="007819F3">
        <w:t xml:space="preserve">in the urine following </w:t>
      </w:r>
      <w:r w:rsidR="002812A2" w:rsidRPr="007819F3">
        <w:t xml:space="preserve">under </w:t>
      </w:r>
      <w:r w:rsidRPr="007819F3">
        <w:t>fasting and fed conditions was 82.6% (32.8%-95.8%) and 67.1% (26.2%-91.1%), respectively.</w:t>
      </w:r>
    </w:p>
    <w:p w14:paraId="05AB8582" w14:textId="0AD76E0E" w:rsidR="00F120CA" w:rsidRPr="00CD407C" w:rsidRDefault="00F120CA" w:rsidP="00CD407C">
      <w:pPr>
        <w:pStyle w:val="Heading3"/>
        <w:keepNext/>
      </w:pPr>
      <w:r w:rsidRPr="00CD407C">
        <w:t>Specific Populations</w:t>
      </w:r>
    </w:p>
    <w:p w14:paraId="202D8373" w14:textId="15E64B51" w:rsidR="00F120CA" w:rsidRPr="005B1867" w:rsidRDefault="00F120CA" w:rsidP="00F120CA">
      <w:pPr>
        <w:rPr>
          <w:i/>
          <w:iCs/>
          <w:u w:val="single"/>
        </w:rPr>
      </w:pPr>
      <w:r w:rsidRPr="005B1867">
        <w:rPr>
          <w:i/>
          <w:iCs/>
          <w:u w:val="single"/>
        </w:rPr>
        <w:t>P</w:t>
      </w:r>
      <w:r w:rsidR="00D50ACD" w:rsidRPr="005B1867">
        <w:rPr>
          <w:i/>
          <w:iCs/>
          <w:u w:val="single"/>
        </w:rPr>
        <w:t>a</w:t>
      </w:r>
      <w:r w:rsidRPr="005B1867">
        <w:rPr>
          <w:i/>
          <w:iCs/>
          <w:u w:val="single"/>
        </w:rPr>
        <w:t>ediatric Patients (6 to Less than 1</w:t>
      </w:r>
      <w:r w:rsidR="00F55F2F">
        <w:rPr>
          <w:i/>
          <w:iCs/>
          <w:u w:val="single"/>
        </w:rPr>
        <w:t>8</w:t>
      </w:r>
      <w:r w:rsidRPr="005B1867">
        <w:rPr>
          <w:i/>
          <w:iCs/>
          <w:u w:val="single"/>
        </w:rPr>
        <w:t xml:space="preserve"> Years of Age)</w:t>
      </w:r>
    </w:p>
    <w:p w14:paraId="62C9B300" w14:textId="3EE415E7" w:rsidR="00F120CA" w:rsidRDefault="00F120CA" w:rsidP="00F120CA">
      <w:r w:rsidRPr="006F2795">
        <w:t>A population pharmacokinetic analysis showed that body weight significantly correlates with the clearance of amifampridine; clearance increased with an increase in body weight. A weight-based dosing regimen is necessary to achieve amifampridine exposures in p</w:t>
      </w:r>
      <w:r w:rsidR="00D50ACD" w:rsidRPr="006F2795">
        <w:t>a</w:t>
      </w:r>
      <w:r w:rsidRPr="006F2795">
        <w:t>ediatric patients 6 to less than 1</w:t>
      </w:r>
      <w:r w:rsidR="00F55F2F">
        <w:t>8</w:t>
      </w:r>
      <w:r w:rsidRPr="006F2795">
        <w:t xml:space="preserve"> years of age </w:t>
      </w:r>
      <w:proofErr w:type="gramStart"/>
      <w:r w:rsidRPr="006F2795">
        <w:t>similar to</w:t>
      </w:r>
      <w:proofErr w:type="gramEnd"/>
      <w:r w:rsidRPr="006F2795">
        <w:t xml:space="preserve"> those observed in adults at effective doses of RUZURGI</w:t>
      </w:r>
      <w:r w:rsidR="009A1B21" w:rsidRPr="006F2795">
        <w:t>,</w:t>
      </w:r>
      <w:r w:rsidRPr="006F2795">
        <w:t xml:space="preserve"> see </w:t>
      </w:r>
      <w:r w:rsidR="009A1B21" w:rsidRPr="006F2795">
        <w:t xml:space="preserve">Section </w:t>
      </w:r>
      <w:r w:rsidR="008F74FD">
        <w:t>4.2 DOSE AND METHOD OF ADMINISTRATION</w:t>
      </w:r>
      <w:r w:rsidRPr="006F2795">
        <w:t xml:space="preserve"> and </w:t>
      </w:r>
      <w:r w:rsidR="009A1B21" w:rsidRPr="006F2795">
        <w:t>Section 5.1 PHARMACODYNAMIC PROPERTIES, Clinical Trials</w:t>
      </w:r>
      <w:r w:rsidRPr="006F2795">
        <w:t>.</w:t>
      </w:r>
    </w:p>
    <w:p w14:paraId="49E2E4DB" w14:textId="5F2B1FAB" w:rsidR="00510DCA" w:rsidRPr="001122D6" w:rsidRDefault="00510DCA" w:rsidP="001122D6">
      <w:pPr>
        <w:rPr>
          <w:i/>
          <w:iCs/>
          <w:u w:val="single"/>
        </w:rPr>
      </w:pPr>
      <w:r w:rsidRPr="001122D6">
        <w:rPr>
          <w:i/>
          <w:iCs/>
          <w:u w:val="single"/>
        </w:rPr>
        <w:t>Hepatic Impairment</w:t>
      </w:r>
    </w:p>
    <w:p w14:paraId="04E72E35" w14:textId="0B2F1F34" w:rsidR="00510DCA" w:rsidRDefault="00510DCA" w:rsidP="00510DCA">
      <w:r>
        <w:lastRenderedPageBreak/>
        <w:t>The pharmacokinetics of amifampridine in patients or volunteers with any degree of hepatic impairment has not been studied in controlled clinical trials. Hepatic impairment can slow the metabolism of amifampridine, leading to higher plasma drug levels. S</w:t>
      </w:r>
      <w:r w:rsidRPr="006F2795">
        <w:t xml:space="preserve">ee Section </w:t>
      </w:r>
      <w:r>
        <w:t>4.2 DOSE AND METHOD OF ADMINISTRATION</w:t>
      </w:r>
      <w:r w:rsidRPr="006F2795">
        <w:t xml:space="preserve"> and Section </w:t>
      </w:r>
      <w:r>
        <w:t>4.4 SPECIAL WARNINGS AND PRECAUTIONS FOR USE</w:t>
      </w:r>
      <w:r w:rsidRPr="006F2795">
        <w:t>.</w:t>
      </w:r>
    </w:p>
    <w:p w14:paraId="1F80DABD" w14:textId="2F3CE3A8" w:rsidR="00510DCA" w:rsidRPr="001122D6" w:rsidRDefault="00510DCA" w:rsidP="00510DCA">
      <w:pPr>
        <w:rPr>
          <w:i/>
          <w:iCs/>
          <w:u w:val="single"/>
        </w:rPr>
      </w:pPr>
      <w:r w:rsidRPr="001122D6">
        <w:rPr>
          <w:i/>
          <w:iCs/>
          <w:u w:val="single"/>
        </w:rPr>
        <w:t>Renal Impairment</w:t>
      </w:r>
    </w:p>
    <w:p w14:paraId="70B66E78" w14:textId="05A5C989" w:rsidR="00F91A24" w:rsidRDefault="00510DCA" w:rsidP="001122D6">
      <w:r>
        <w:t>Treatment with RUZURGI in patients with any degree of renal impairment has not been studied in controlled clinical trials. Both amifampridine and its metabolite, 3-N-acetyl-amifampridine, are cleared through the renal system. The metabolite is likely to accumulate in patients with renal impairment. S</w:t>
      </w:r>
      <w:r w:rsidRPr="006F2795">
        <w:t xml:space="preserve">ee Section </w:t>
      </w:r>
      <w:r>
        <w:t>4.2 DOSE AND METHOD OF ADMINISTRATION</w:t>
      </w:r>
      <w:r w:rsidRPr="006F2795">
        <w:t xml:space="preserve"> and Section </w:t>
      </w:r>
      <w:r>
        <w:t>4.4 SPECIAL WARNINGS AND PRECAUTIONS FOR USE</w:t>
      </w:r>
      <w:r w:rsidRPr="006F2795">
        <w:t>.</w:t>
      </w:r>
    </w:p>
    <w:p w14:paraId="73990EAE" w14:textId="1F30CCA9" w:rsidR="004231CB" w:rsidRPr="001122D6" w:rsidRDefault="004231CB" w:rsidP="001122D6">
      <w:pPr>
        <w:rPr>
          <w:i/>
          <w:iCs/>
          <w:u w:val="single"/>
        </w:rPr>
      </w:pPr>
      <w:r w:rsidRPr="00DB6543">
        <w:rPr>
          <w:i/>
          <w:iCs/>
          <w:u w:val="single"/>
        </w:rPr>
        <w:t>Pharmacogenomics</w:t>
      </w:r>
    </w:p>
    <w:p w14:paraId="51D52824" w14:textId="6A01B9A3" w:rsidR="004231CB" w:rsidRDefault="004231CB" w:rsidP="004231CB">
      <w:r>
        <w:t xml:space="preserve">Genetic variants in the N-acetyltransferase gene 2 (NAT2) affect the rate and extent of RUZURGI metabolism. In normal healthy volunteers, poor </w:t>
      </w:r>
      <w:proofErr w:type="spellStart"/>
      <w:r>
        <w:t>metaboli</w:t>
      </w:r>
      <w:r w:rsidR="00D50ACD">
        <w:t>s</w:t>
      </w:r>
      <w:r>
        <w:t>ers</w:t>
      </w:r>
      <w:proofErr w:type="spellEnd"/>
      <w:r>
        <w:t xml:space="preserve">, also referred to as “slow acetylators” (i.e., carriers of two reduced function alleles) had higher average plasma amifampridine concentrations than intermediate </w:t>
      </w:r>
      <w:proofErr w:type="spellStart"/>
      <w:r>
        <w:t>metaboli</w:t>
      </w:r>
      <w:r w:rsidR="00D50ACD">
        <w:t>s</w:t>
      </w:r>
      <w:r>
        <w:t>ers</w:t>
      </w:r>
      <w:proofErr w:type="spellEnd"/>
      <w:r>
        <w:t xml:space="preserve">, also referred to as “intermediate acetylators” (i.e., carriers of one reduced and one normal function alleles), and normal </w:t>
      </w:r>
      <w:proofErr w:type="spellStart"/>
      <w:r>
        <w:t>metaboli</w:t>
      </w:r>
      <w:r w:rsidR="00D50ACD">
        <w:t>s</w:t>
      </w:r>
      <w:r>
        <w:t>ers</w:t>
      </w:r>
      <w:proofErr w:type="spellEnd"/>
      <w:r>
        <w:t>, also referred to as “fast/rapid acetylators” (i.e., carriers of two normal function alleles).</w:t>
      </w:r>
    </w:p>
    <w:p w14:paraId="7971BB86" w14:textId="41D3AB45" w:rsidR="004231CB" w:rsidRPr="00C811DD" w:rsidRDefault="004231CB" w:rsidP="004231CB">
      <w:r w:rsidRPr="00C811DD">
        <w:t>In the</w:t>
      </w:r>
      <w:r w:rsidR="00984ED8" w:rsidRPr="00C811DD">
        <w:t xml:space="preserve"> Thorough QT</w:t>
      </w:r>
      <w:r w:rsidRPr="00C811DD">
        <w:t xml:space="preserve"> </w:t>
      </w:r>
      <w:r w:rsidR="00984ED8" w:rsidRPr="00C811DD">
        <w:t>(</w:t>
      </w:r>
      <w:r w:rsidRPr="00C811DD">
        <w:t>TQT</w:t>
      </w:r>
      <w:r w:rsidR="00984ED8" w:rsidRPr="00C811DD">
        <w:t>)</w:t>
      </w:r>
      <w:r w:rsidRPr="00C811DD">
        <w:t xml:space="preserve"> study</w:t>
      </w:r>
      <w:r w:rsidR="003043CD" w:rsidRPr="00C811DD">
        <w:t>,</w:t>
      </w:r>
      <w:r w:rsidRPr="00C811DD">
        <w:t xml:space="preserve"> see </w:t>
      </w:r>
      <w:r w:rsidR="003043CD" w:rsidRPr="00C811DD">
        <w:t>Section 5.1 PHARMACODYNAMIC PROPERTIES, Cardiac Electrophysiology</w:t>
      </w:r>
      <w:r w:rsidRPr="00C811DD">
        <w:t xml:space="preserve">, poor </w:t>
      </w:r>
      <w:proofErr w:type="spellStart"/>
      <w:r w:rsidRPr="00C811DD">
        <w:t>metaboli</w:t>
      </w:r>
      <w:r w:rsidR="00D50ACD" w:rsidRPr="00C811DD">
        <w:t>s</w:t>
      </w:r>
      <w:r w:rsidRPr="00C811DD">
        <w:t>ers</w:t>
      </w:r>
      <w:proofErr w:type="spellEnd"/>
      <w:r w:rsidRPr="00C811DD">
        <w:t xml:space="preserve"> (N=</w:t>
      </w:r>
      <w:r w:rsidR="00BB6DE6" w:rsidRPr="00C811DD">
        <w:t>23</w:t>
      </w:r>
      <w:r w:rsidRPr="00C811DD">
        <w:t>) had 1.1 to 3.7 times higher AUC</w:t>
      </w:r>
      <w:r w:rsidRPr="00C811DD">
        <w:rPr>
          <w:vertAlign w:val="subscript"/>
        </w:rPr>
        <w:t>0-4h</w:t>
      </w:r>
      <w:r w:rsidRPr="00C811DD">
        <w:t xml:space="preserve"> </w:t>
      </w:r>
      <w:r w:rsidR="000B293B">
        <w:t xml:space="preserve">than intermediate </w:t>
      </w:r>
      <w:proofErr w:type="spellStart"/>
      <w:r w:rsidR="000B293B">
        <w:t>metabolisers</w:t>
      </w:r>
      <w:proofErr w:type="spellEnd"/>
      <w:r w:rsidR="000B293B">
        <w:t xml:space="preserve"> </w:t>
      </w:r>
      <w:r w:rsidR="00BB6DE6" w:rsidRPr="00C811DD">
        <w:t xml:space="preserve">(N=25) </w:t>
      </w:r>
      <w:r w:rsidRPr="00C811DD">
        <w:t xml:space="preserve">and 1.3 to 3.7 times higher </w:t>
      </w:r>
      <w:proofErr w:type="spellStart"/>
      <w:r w:rsidRPr="00C811DD">
        <w:t>C</w:t>
      </w:r>
      <w:r w:rsidRPr="00C811DD">
        <w:rPr>
          <w:vertAlign w:val="subscript"/>
        </w:rPr>
        <w:t>max</w:t>
      </w:r>
      <w:proofErr w:type="spellEnd"/>
      <w:r w:rsidRPr="00C811DD">
        <w:t xml:space="preserve"> than intermediate </w:t>
      </w:r>
      <w:proofErr w:type="spellStart"/>
      <w:r w:rsidRPr="00C811DD">
        <w:t>metaboli</w:t>
      </w:r>
      <w:r w:rsidR="00D50ACD" w:rsidRPr="00C811DD">
        <w:t>s</w:t>
      </w:r>
      <w:r w:rsidRPr="00C811DD">
        <w:t>ers</w:t>
      </w:r>
      <w:proofErr w:type="spellEnd"/>
      <w:r w:rsidR="000B293B">
        <w:t>(N=26)</w:t>
      </w:r>
      <w:r w:rsidRPr="00C811DD">
        <w:t xml:space="preserve">, following the first dose. Poor </w:t>
      </w:r>
      <w:proofErr w:type="spellStart"/>
      <w:r w:rsidRPr="00C811DD">
        <w:t>metaboli</w:t>
      </w:r>
      <w:r w:rsidR="00D50ACD" w:rsidRPr="00C811DD">
        <w:t>s</w:t>
      </w:r>
      <w:r w:rsidRPr="00C811DD">
        <w:t>ers</w:t>
      </w:r>
      <w:proofErr w:type="spellEnd"/>
      <w:r w:rsidRPr="00C811DD">
        <w:t xml:space="preserve"> had 6.0 to 8.5 times higher AUC</w:t>
      </w:r>
      <w:r w:rsidRPr="00C811DD">
        <w:rPr>
          <w:vertAlign w:val="subscript"/>
        </w:rPr>
        <w:t>0-4h</w:t>
      </w:r>
      <w:r w:rsidRPr="00C811DD">
        <w:t xml:space="preserve"> and 6.1 to 7.6 times higher </w:t>
      </w:r>
      <w:proofErr w:type="spellStart"/>
      <w:r w:rsidRPr="00C811DD">
        <w:t>C</w:t>
      </w:r>
      <w:r w:rsidRPr="00C811DD">
        <w:rPr>
          <w:vertAlign w:val="subscript"/>
        </w:rPr>
        <w:t>max</w:t>
      </w:r>
      <w:proofErr w:type="spellEnd"/>
      <w:r w:rsidRPr="00C811DD">
        <w:t xml:space="preserve"> than normal </w:t>
      </w:r>
      <w:proofErr w:type="spellStart"/>
      <w:r w:rsidRPr="00C811DD">
        <w:t>metaboli</w:t>
      </w:r>
      <w:r w:rsidR="00D50ACD" w:rsidRPr="00C811DD">
        <w:t>s</w:t>
      </w:r>
      <w:r w:rsidRPr="00C811DD">
        <w:t>ers</w:t>
      </w:r>
      <w:proofErr w:type="spellEnd"/>
      <w:r w:rsidRPr="00C811DD">
        <w:t xml:space="preserve"> (N=3), following the first dose.</w:t>
      </w:r>
    </w:p>
    <w:p w14:paraId="627EDE02" w14:textId="77777777" w:rsidR="001A3992" w:rsidRPr="00C811DD" w:rsidRDefault="001A3992" w:rsidP="00CF3CA1">
      <w:pPr>
        <w:pStyle w:val="Heading2"/>
      </w:pPr>
      <w:r w:rsidRPr="00C811DD">
        <w:t>Preclinical safety data</w:t>
      </w:r>
    </w:p>
    <w:p w14:paraId="3817E18C" w14:textId="1A5862E7" w:rsidR="001A3992" w:rsidRDefault="001A3992" w:rsidP="00CF3CA1">
      <w:pPr>
        <w:pStyle w:val="Heading3"/>
      </w:pPr>
      <w:r w:rsidRPr="00497C85">
        <w:t>Genotoxicity</w:t>
      </w:r>
    </w:p>
    <w:p w14:paraId="4BD6EB8B" w14:textId="705E5393" w:rsidR="004231CB" w:rsidRPr="004231CB" w:rsidRDefault="004231CB" w:rsidP="004231CB">
      <w:r>
        <w:t xml:space="preserve">Amifampridine was negative for mutagenicity in an </w:t>
      </w:r>
      <w:r w:rsidRPr="00C66A21">
        <w:rPr>
          <w:i/>
          <w:iCs/>
        </w:rPr>
        <w:t>in vitro</w:t>
      </w:r>
      <w:r>
        <w:t xml:space="preserve"> bacterial reverse mutation (Ames) assay and for clastogenicity in </w:t>
      </w:r>
      <w:r w:rsidRPr="00C66A21">
        <w:rPr>
          <w:i/>
          <w:iCs/>
        </w:rPr>
        <w:t>in vivo</w:t>
      </w:r>
      <w:r>
        <w:t xml:space="preserve"> mouse micronucleus and chromosomal aberration assay</w:t>
      </w:r>
      <w:r w:rsidR="003915FF">
        <w:t>s at oral doses up to 20 mg/kg</w:t>
      </w:r>
      <w:r>
        <w:t xml:space="preserve">. Amifampridine was positive for clastogenicity in an </w:t>
      </w:r>
      <w:r w:rsidRPr="00C66A21">
        <w:rPr>
          <w:i/>
          <w:iCs/>
        </w:rPr>
        <w:t>in vitro</w:t>
      </w:r>
      <w:r>
        <w:t xml:space="preserve"> mouse lymphoma assay in the absence of metabolic activation.</w:t>
      </w:r>
      <w:r w:rsidR="00880D33">
        <w:t xml:space="preserve">  The metabolite was negative in both Ames test and </w:t>
      </w:r>
      <w:r w:rsidR="00AA33D1">
        <w:t xml:space="preserve">in </w:t>
      </w:r>
      <w:r w:rsidR="00880D33">
        <w:t xml:space="preserve">the </w:t>
      </w:r>
      <w:r w:rsidR="00880D33" w:rsidRPr="00AA33D1">
        <w:rPr>
          <w:i/>
          <w:iCs/>
        </w:rPr>
        <w:t>in vitro</w:t>
      </w:r>
      <w:r w:rsidR="00880D33">
        <w:t xml:space="preserve"> </w:t>
      </w:r>
      <w:r w:rsidR="003915FF">
        <w:t xml:space="preserve">mouse lymphoma </w:t>
      </w:r>
      <w:r w:rsidR="00880D33">
        <w:t xml:space="preserve">assay. </w:t>
      </w:r>
    </w:p>
    <w:p w14:paraId="07348424" w14:textId="368B5B28" w:rsidR="001A3992" w:rsidRDefault="001A3992" w:rsidP="00CF3CA1">
      <w:pPr>
        <w:pStyle w:val="Heading3"/>
      </w:pPr>
      <w:r w:rsidRPr="00497C85">
        <w:t>Carcinogenicity</w:t>
      </w:r>
    </w:p>
    <w:p w14:paraId="1B34D71D" w14:textId="14484504" w:rsidR="004231CB" w:rsidRPr="004231CB" w:rsidRDefault="004231CB" w:rsidP="004231CB">
      <w:r w:rsidRPr="004231CB">
        <w:t xml:space="preserve">Carcinogenicity studies </w:t>
      </w:r>
      <w:r w:rsidR="003915FF">
        <w:t>with</w:t>
      </w:r>
      <w:r w:rsidR="003915FF" w:rsidRPr="004231CB">
        <w:t xml:space="preserve"> </w:t>
      </w:r>
      <w:r w:rsidRPr="004231CB">
        <w:t xml:space="preserve">amifampridine </w:t>
      </w:r>
      <w:r w:rsidR="003915FF">
        <w:t>indicated an increased incidence of endometrial carcinomas in female rats treated with amifampridine at subclinical exposures</w:t>
      </w:r>
      <w:r w:rsidRPr="004231CB">
        <w:t>.</w:t>
      </w:r>
    </w:p>
    <w:p w14:paraId="04BE091C" w14:textId="77777777" w:rsidR="001A3992" w:rsidRPr="00497C85" w:rsidRDefault="001A3992" w:rsidP="00CF3CA1">
      <w:pPr>
        <w:pStyle w:val="Heading1"/>
      </w:pPr>
      <w:r w:rsidRPr="00497C85">
        <w:lastRenderedPageBreak/>
        <w:t>Pharmaceutical particulars</w:t>
      </w:r>
    </w:p>
    <w:p w14:paraId="09703B36" w14:textId="77777777" w:rsidR="001A3992" w:rsidRPr="00497C85" w:rsidRDefault="001A3992" w:rsidP="00CF3CA1">
      <w:pPr>
        <w:pStyle w:val="Heading2"/>
      </w:pPr>
      <w:r w:rsidRPr="00497C85">
        <w:t xml:space="preserve">List of excipients </w:t>
      </w:r>
    </w:p>
    <w:p w14:paraId="177B8AC7" w14:textId="3AB67175" w:rsidR="008123B3" w:rsidRDefault="005C04E0" w:rsidP="005C04E0">
      <w:pPr>
        <w:rPr>
          <w:rFonts w:eastAsiaTheme="minorHAnsi"/>
          <w:lang w:val="en-AU"/>
        </w:rPr>
      </w:pPr>
      <w:r w:rsidRPr="006F2795">
        <w:rPr>
          <w:rFonts w:eastAsiaTheme="minorHAnsi"/>
          <w:lang w:val="en-AU"/>
        </w:rPr>
        <w:t>C</w:t>
      </w:r>
      <w:r w:rsidR="008123B3" w:rsidRPr="006F2795">
        <w:rPr>
          <w:rFonts w:eastAsiaTheme="minorHAnsi"/>
          <w:lang w:val="en-AU"/>
        </w:rPr>
        <w:t xml:space="preserve">olloidal </w:t>
      </w:r>
      <w:r w:rsidR="007B3587">
        <w:rPr>
          <w:rFonts w:eastAsiaTheme="minorHAnsi"/>
          <w:lang w:val="en-AU"/>
        </w:rPr>
        <w:t>anhydrous silica</w:t>
      </w:r>
      <w:r w:rsidR="008123B3" w:rsidRPr="006F2795">
        <w:rPr>
          <w:rFonts w:eastAsiaTheme="minorHAnsi"/>
          <w:lang w:val="en-AU"/>
        </w:rPr>
        <w:t xml:space="preserve">, calcium </w:t>
      </w:r>
      <w:r w:rsidR="001E634A" w:rsidRPr="006F2795">
        <w:rPr>
          <w:rFonts w:eastAsiaTheme="minorHAnsi"/>
          <w:lang w:val="en-AU"/>
        </w:rPr>
        <w:t xml:space="preserve">hydrogen </w:t>
      </w:r>
      <w:r w:rsidR="008123B3" w:rsidRPr="006F2795">
        <w:rPr>
          <w:rFonts w:eastAsiaTheme="minorHAnsi"/>
          <w:lang w:val="en-AU"/>
        </w:rPr>
        <w:t>phosphate dihydrate, magnesium stearate, microcrystalline cellulose, and sodium starch glycol</w:t>
      </w:r>
      <w:r w:rsidR="007B3587">
        <w:rPr>
          <w:rFonts w:eastAsiaTheme="minorHAnsi"/>
          <w:lang w:val="en-AU"/>
        </w:rPr>
        <w:t>l</w:t>
      </w:r>
      <w:r w:rsidR="008123B3" w:rsidRPr="006F2795">
        <w:rPr>
          <w:rFonts w:eastAsiaTheme="minorHAnsi"/>
          <w:lang w:val="en-AU"/>
        </w:rPr>
        <w:t xml:space="preserve">ate. </w:t>
      </w:r>
    </w:p>
    <w:p w14:paraId="042B56D8" w14:textId="02E87D61" w:rsidR="00111544" w:rsidRPr="006F2795" w:rsidRDefault="00111544" w:rsidP="005C04E0">
      <w:pPr>
        <w:rPr>
          <w:lang w:val="en"/>
        </w:rPr>
      </w:pPr>
      <w:r>
        <w:rPr>
          <w:rFonts w:eastAsiaTheme="minorHAnsi"/>
          <w:lang w:val="en-AU"/>
        </w:rPr>
        <w:t>RUZURGI does not contain gluten.</w:t>
      </w:r>
    </w:p>
    <w:p w14:paraId="5106010C" w14:textId="77777777" w:rsidR="001A3992" w:rsidRPr="00497C85" w:rsidRDefault="001A3992" w:rsidP="00CF3CA1">
      <w:pPr>
        <w:pStyle w:val="Heading2"/>
      </w:pPr>
      <w:r w:rsidRPr="00497C85">
        <w:t xml:space="preserve">Incompatibilities </w:t>
      </w:r>
    </w:p>
    <w:p w14:paraId="6E62FDA7" w14:textId="16D7AE14" w:rsidR="00497C85" w:rsidRPr="00497C85" w:rsidRDefault="00497C85" w:rsidP="00CF3CA1">
      <w:r w:rsidRPr="00497C85">
        <w:rPr>
          <w:lang w:val="en"/>
        </w:rPr>
        <w:t xml:space="preserve">Incompatibilities were either not assessed or not identified as part of the registration of this medicine. </w:t>
      </w:r>
    </w:p>
    <w:p w14:paraId="66A9D6C4" w14:textId="77777777" w:rsidR="001A3992" w:rsidRPr="00497C85" w:rsidRDefault="001A3992" w:rsidP="00CF3CA1">
      <w:pPr>
        <w:pStyle w:val="Heading2"/>
      </w:pPr>
      <w:r w:rsidRPr="00497C85">
        <w:t xml:space="preserve">Shelf life </w:t>
      </w:r>
    </w:p>
    <w:p w14:paraId="1CA11B03" w14:textId="1DE4B465" w:rsidR="00497C85" w:rsidRPr="00497C85" w:rsidRDefault="00497C85" w:rsidP="00CF3CA1">
      <w:r w:rsidRPr="00497C85">
        <w:rPr>
          <w:lang w:val="en"/>
        </w:rPr>
        <w:t>In Australia, information on the shelf life can be found on the public summary of the Australian Register of Therapeutic Goods (ARTG). The expiry date can be found on the packaging.</w:t>
      </w:r>
      <w:r w:rsidR="0035723A">
        <w:rPr>
          <w:lang w:val="en"/>
        </w:rPr>
        <w:t xml:space="preserve"> See Section 6.4 SPECIAL PRECAUTIONS FOR STORAGE, </w:t>
      </w:r>
      <w:r w:rsidR="00F17795">
        <w:rPr>
          <w:lang w:val="en"/>
        </w:rPr>
        <w:t xml:space="preserve">for the </w:t>
      </w:r>
      <w:r w:rsidR="0035723A">
        <w:rPr>
          <w:lang w:val="en"/>
        </w:rPr>
        <w:t xml:space="preserve">shelf life after </w:t>
      </w:r>
      <w:r w:rsidR="00F17795">
        <w:rPr>
          <w:lang w:val="en"/>
        </w:rPr>
        <w:t>dispensing and the shelf life of the oral suspension.</w:t>
      </w:r>
    </w:p>
    <w:p w14:paraId="6B95F497" w14:textId="5F4B5BB9" w:rsidR="001A3992" w:rsidRDefault="001A3992" w:rsidP="00CF3CA1">
      <w:pPr>
        <w:pStyle w:val="Heading2"/>
      </w:pPr>
      <w:r w:rsidRPr="00497C85">
        <w:t xml:space="preserve">Special precautions for storage </w:t>
      </w:r>
    </w:p>
    <w:p w14:paraId="0C760C46" w14:textId="51FE2BEF" w:rsidR="00655AA2" w:rsidRPr="006F2795" w:rsidRDefault="00655AA2" w:rsidP="00655AA2">
      <w:pPr>
        <w:rPr>
          <w:u w:val="single"/>
        </w:rPr>
      </w:pPr>
      <w:r w:rsidRPr="006F2795">
        <w:rPr>
          <w:u w:val="single"/>
        </w:rPr>
        <w:t>Prior to Dispensing</w:t>
      </w:r>
    </w:p>
    <w:p w14:paraId="27C19A2B" w14:textId="03075B5F" w:rsidR="00655AA2" w:rsidRPr="006F2795" w:rsidRDefault="00655AA2" w:rsidP="00655AA2">
      <w:r w:rsidRPr="006F2795">
        <w:t xml:space="preserve">Store tablets in a refrigerator between 2°C </w:t>
      </w:r>
      <w:r w:rsidR="00E05445">
        <w:t xml:space="preserve">and </w:t>
      </w:r>
      <w:r w:rsidRPr="006F2795">
        <w:t xml:space="preserve">8°C. </w:t>
      </w:r>
      <w:r w:rsidR="00A96E81">
        <w:t xml:space="preserve">Do not freeze.  </w:t>
      </w:r>
      <w:r w:rsidRPr="006F2795">
        <w:t>Keep container tightly closed with desiccant canister inside after opening. Protect from moisture and light.</w:t>
      </w:r>
    </w:p>
    <w:p w14:paraId="49443B10" w14:textId="1EE84D30" w:rsidR="00655AA2" w:rsidRPr="006F2795" w:rsidRDefault="00655AA2" w:rsidP="005B1867">
      <w:pPr>
        <w:keepNext/>
        <w:rPr>
          <w:u w:val="single"/>
        </w:rPr>
      </w:pPr>
      <w:r w:rsidRPr="006F2795">
        <w:rPr>
          <w:u w:val="single"/>
        </w:rPr>
        <w:t>After Dispensing</w:t>
      </w:r>
    </w:p>
    <w:p w14:paraId="690AB9B9" w14:textId="338C6606" w:rsidR="00655AA2" w:rsidRPr="006F2795" w:rsidRDefault="00655AA2" w:rsidP="00655AA2">
      <w:r w:rsidRPr="006F2795">
        <w:t xml:space="preserve">Store </w:t>
      </w:r>
      <w:r w:rsidR="009106A4">
        <w:t xml:space="preserve">below </w:t>
      </w:r>
      <w:r w:rsidRPr="006F2795">
        <w:t>25°C for up to 3 months</w:t>
      </w:r>
      <w:r w:rsidR="007B3587">
        <w:t xml:space="preserve"> in the original container</w:t>
      </w:r>
      <w:r w:rsidRPr="006F2795">
        <w:t>.</w:t>
      </w:r>
      <w:r w:rsidR="009106A4">
        <w:t xml:space="preserve">  </w:t>
      </w:r>
      <w:r w:rsidR="0064243D">
        <w:t>Protect from moisture and light.</w:t>
      </w:r>
    </w:p>
    <w:p w14:paraId="7A7DD9E9" w14:textId="5FE09BB1" w:rsidR="00BB172D" w:rsidRPr="006F2795" w:rsidRDefault="00BB172D" w:rsidP="00655AA2">
      <w:pPr>
        <w:rPr>
          <w:highlight w:val="yellow"/>
        </w:rPr>
      </w:pPr>
      <w:r w:rsidRPr="006F2795">
        <w:rPr>
          <w:u w:val="single"/>
        </w:rPr>
        <w:t xml:space="preserve">1 mg/mL </w:t>
      </w:r>
      <w:r w:rsidR="005614C7">
        <w:rPr>
          <w:u w:val="single"/>
        </w:rPr>
        <w:t xml:space="preserve">Oral </w:t>
      </w:r>
      <w:r w:rsidRPr="006F2795">
        <w:rPr>
          <w:u w:val="single"/>
        </w:rPr>
        <w:t>Suspension</w:t>
      </w:r>
      <w:r w:rsidRPr="006F2795">
        <w:rPr>
          <w:highlight w:val="yellow"/>
        </w:rPr>
        <w:t xml:space="preserve"> </w:t>
      </w:r>
    </w:p>
    <w:p w14:paraId="59E56FF3" w14:textId="37F59CCB" w:rsidR="00F9767A" w:rsidRPr="006F2795" w:rsidRDefault="00F9767A" w:rsidP="00655AA2">
      <w:r w:rsidRPr="007B1C24">
        <w:t>The suspension can be stored under refrigeration for up to 24 hours</w:t>
      </w:r>
      <w:r w:rsidR="0057257B">
        <w:t>.</w:t>
      </w:r>
      <w:r w:rsidR="00AA33D1" w:rsidRPr="007B1C24">
        <w:t xml:space="preserve"> </w:t>
      </w:r>
      <w:r w:rsidRPr="007B1C24">
        <w:t>Discard any unused portion of the suspension after 24 hours.</w:t>
      </w:r>
    </w:p>
    <w:p w14:paraId="72D52F07" w14:textId="6FE48E81" w:rsidR="001A3992" w:rsidRDefault="001A3992" w:rsidP="00CF3CA1">
      <w:pPr>
        <w:pStyle w:val="Heading2"/>
      </w:pPr>
      <w:r w:rsidRPr="00497C85">
        <w:t xml:space="preserve">Nature and contents of container </w:t>
      </w:r>
    </w:p>
    <w:p w14:paraId="2E3BCFDE" w14:textId="2C32B72B" w:rsidR="00655AA2" w:rsidRDefault="006B629D" w:rsidP="00655AA2">
      <w:r>
        <w:t>RUZURGI is supplied in HDPE</w:t>
      </w:r>
      <w:r w:rsidR="00655AA2">
        <w:t xml:space="preserve"> </w:t>
      </w:r>
      <w:r>
        <w:t>b</w:t>
      </w:r>
      <w:r w:rsidR="00655AA2">
        <w:t>ottles of 100 tablets</w:t>
      </w:r>
      <w:r w:rsidR="00AA33D1">
        <w:t xml:space="preserve"> with child-resistant cap and desiccant canister</w:t>
      </w:r>
      <w:r>
        <w:t>.</w:t>
      </w:r>
    </w:p>
    <w:p w14:paraId="777A0837" w14:textId="77777777" w:rsidR="001A3992" w:rsidRPr="00497C85" w:rsidRDefault="001A3992" w:rsidP="00CF3CA1">
      <w:pPr>
        <w:pStyle w:val="Heading2"/>
      </w:pPr>
      <w:r w:rsidRPr="00497C85">
        <w:lastRenderedPageBreak/>
        <w:t xml:space="preserve">Special precautions for disposal </w:t>
      </w:r>
    </w:p>
    <w:p w14:paraId="1F9A1CBE" w14:textId="68AD61C4" w:rsidR="00497C85" w:rsidRDefault="00497C85" w:rsidP="00CF3CA1">
      <w:pPr>
        <w:rPr>
          <w:lang w:val="en"/>
        </w:rPr>
      </w:pPr>
      <w:r w:rsidRPr="00497C85">
        <w:rPr>
          <w:lang w:val="en"/>
        </w:rPr>
        <w:t xml:space="preserve">In Australia, any unused medicine or waste material should be disposed of by taking to your local pharmacy. </w:t>
      </w:r>
    </w:p>
    <w:p w14:paraId="1578FC6D" w14:textId="332DDF71" w:rsidR="001A3992" w:rsidRDefault="001A3992" w:rsidP="00CF3CA1">
      <w:pPr>
        <w:pStyle w:val="Heading2"/>
      </w:pPr>
      <w:r w:rsidRPr="00497C85">
        <w:t>Physicochemical properties</w:t>
      </w:r>
    </w:p>
    <w:p w14:paraId="01E1BD48" w14:textId="60B6BB60" w:rsidR="008123B3" w:rsidRPr="005C04E0" w:rsidRDefault="0035723A" w:rsidP="005C04E0">
      <w:pPr>
        <w:rPr>
          <w:lang w:val="en"/>
        </w:rPr>
      </w:pPr>
      <w:r>
        <w:rPr>
          <w:lang w:val="en"/>
        </w:rPr>
        <w:t>A</w:t>
      </w:r>
      <w:r w:rsidR="008123B3" w:rsidRPr="005C04E0">
        <w:rPr>
          <w:lang w:val="en"/>
        </w:rPr>
        <w:t>mifampridine is a potassium channel blocker</w:t>
      </w:r>
      <w:r w:rsidR="00C34485">
        <w:rPr>
          <w:lang w:val="en"/>
        </w:rPr>
        <w:t>.</w:t>
      </w:r>
      <w:r w:rsidR="008123B3" w:rsidRPr="005C04E0">
        <w:rPr>
          <w:lang w:val="en"/>
        </w:rPr>
        <w:t xml:space="preserve"> </w:t>
      </w:r>
    </w:p>
    <w:p w14:paraId="1213C47C" w14:textId="69B06F53" w:rsidR="008123B3" w:rsidRPr="005C04E0" w:rsidRDefault="008123B3" w:rsidP="005C04E0">
      <w:pPr>
        <w:rPr>
          <w:lang w:val="en"/>
        </w:rPr>
      </w:pPr>
      <w:r w:rsidRPr="005C04E0">
        <w:rPr>
          <w:lang w:val="en"/>
        </w:rPr>
        <w:t xml:space="preserve">The chemical name of amifampridine is 3,4-diaminopyridine. </w:t>
      </w:r>
    </w:p>
    <w:p w14:paraId="035B4A85" w14:textId="35C22A73" w:rsidR="008123B3" w:rsidRPr="005C04E0" w:rsidRDefault="008123B3" w:rsidP="005C04E0">
      <w:pPr>
        <w:rPr>
          <w:lang w:val="en"/>
        </w:rPr>
      </w:pPr>
      <w:r w:rsidRPr="005C04E0">
        <w:rPr>
          <w:lang w:val="en"/>
        </w:rPr>
        <w:t>It is a white to off-white, crystalline solid with a molecular formula of C</w:t>
      </w:r>
      <w:r w:rsidRPr="00773E10">
        <w:rPr>
          <w:vertAlign w:val="subscript"/>
          <w:lang w:val="en"/>
        </w:rPr>
        <w:t>5</w:t>
      </w:r>
      <w:r w:rsidRPr="005C04E0">
        <w:rPr>
          <w:lang w:val="en"/>
        </w:rPr>
        <w:t>H</w:t>
      </w:r>
      <w:r w:rsidRPr="00773E10">
        <w:rPr>
          <w:vertAlign w:val="subscript"/>
          <w:lang w:val="en"/>
        </w:rPr>
        <w:t>7</w:t>
      </w:r>
      <w:r w:rsidRPr="005C04E0">
        <w:rPr>
          <w:lang w:val="en"/>
        </w:rPr>
        <w:t>N</w:t>
      </w:r>
      <w:r w:rsidRPr="00773E10">
        <w:rPr>
          <w:vertAlign w:val="subscript"/>
          <w:lang w:val="en"/>
        </w:rPr>
        <w:t>3</w:t>
      </w:r>
      <w:r w:rsidRPr="005C04E0">
        <w:rPr>
          <w:lang w:val="en"/>
        </w:rPr>
        <w:t xml:space="preserve"> and a molecular weight of 109.13 g/mol. It is sparingly soluble in water. A 1% aqueous solution of amifampridine has a pH of 10.8 at 25°C. </w:t>
      </w:r>
    </w:p>
    <w:p w14:paraId="5D78A2DC" w14:textId="6C3DD999" w:rsidR="001A3992" w:rsidRDefault="001A3992" w:rsidP="00C66A21">
      <w:pPr>
        <w:pStyle w:val="Heading3"/>
        <w:keepNext/>
      </w:pPr>
      <w:r w:rsidRPr="00497C85">
        <w:t>Chemical structure</w:t>
      </w:r>
    </w:p>
    <w:p w14:paraId="1BD1A198" w14:textId="40A0351F" w:rsidR="008123B3" w:rsidRPr="008123B3" w:rsidRDefault="008123B3" w:rsidP="008123B3">
      <w:r w:rsidRPr="008123B3">
        <w:rPr>
          <w:noProof/>
        </w:rPr>
        <w:drawing>
          <wp:inline distT="0" distB="0" distL="0" distR="0" wp14:anchorId="040F47B4" wp14:editId="56100BC4">
            <wp:extent cx="1240155" cy="107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0155" cy="1073150"/>
                    </a:xfrm>
                    <a:prstGeom prst="rect">
                      <a:avLst/>
                    </a:prstGeom>
                    <a:noFill/>
                    <a:ln>
                      <a:noFill/>
                    </a:ln>
                  </pic:spPr>
                </pic:pic>
              </a:graphicData>
            </a:graphic>
          </wp:inline>
        </w:drawing>
      </w:r>
    </w:p>
    <w:p w14:paraId="780CB3C6" w14:textId="3D311744" w:rsidR="001A3992" w:rsidRDefault="001A3992" w:rsidP="00CF3CA1">
      <w:pPr>
        <w:pStyle w:val="Heading3"/>
      </w:pPr>
      <w:r w:rsidRPr="00497C85">
        <w:t>CAS number</w:t>
      </w:r>
    </w:p>
    <w:p w14:paraId="1F565F40" w14:textId="7BB259AF" w:rsidR="005C04E0" w:rsidRPr="006F2795" w:rsidRDefault="005C04E0" w:rsidP="005C04E0">
      <w:r w:rsidRPr="006F2795">
        <w:rPr>
          <w:color w:val="222222"/>
          <w:shd w:val="clear" w:color="auto" w:fill="FFFFFF"/>
        </w:rPr>
        <w:t>54-96-6</w:t>
      </w:r>
    </w:p>
    <w:p w14:paraId="1A59BBAD" w14:textId="1E05B006" w:rsidR="001A3992" w:rsidRDefault="001A3992" w:rsidP="00CF3CA1">
      <w:pPr>
        <w:pStyle w:val="Heading1"/>
      </w:pPr>
      <w:r w:rsidRPr="00497C85">
        <w:t>Medicine schedule (Poisons Standard)</w:t>
      </w:r>
    </w:p>
    <w:p w14:paraId="5B3E986A" w14:textId="1040973D" w:rsidR="00655AA2" w:rsidRPr="00655AA2" w:rsidRDefault="00655AA2" w:rsidP="00655AA2">
      <w:r>
        <w:t>Schedule 4 – Prescription Only Medicine</w:t>
      </w:r>
    </w:p>
    <w:p w14:paraId="095B4BED" w14:textId="77777777" w:rsidR="00DC25A2" w:rsidRDefault="00DC25A2">
      <w:pPr>
        <w:spacing w:before="0" w:after="200" w:line="276" w:lineRule="auto"/>
        <w:rPr>
          <w:rFonts w:ascii="Arial" w:eastAsia="MS Gothic" w:hAnsi="Arial" w:cs="Arial"/>
          <w:b/>
          <w:bCs/>
          <w:caps/>
          <w:kern w:val="32"/>
          <w:sz w:val="28"/>
          <w:szCs w:val="32"/>
        </w:rPr>
      </w:pPr>
      <w:r>
        <w:br w:type="page"/>
      </w:r>
    </w:p>
    <w:p w14:paraId="7F81A25A" w14:textId="77802012" w:rsidR="001A3992" w:rsidRPr="00DB6543" w:rsidRDefault="001A3992" w:rsidP="00CF3CA1">
      <w:pPr>
        <w:pStyle w:val="Heading1"/>
      </w:pPr>
      <w:r w:rsidRPr="00DB6543">
        <w:lastRenderedPageBreak/>
        <w:t>Sponsor</w:t>
      </w:r>
    </w:p>
    <w:p w14:paraId="4A2A16B6" w14:textId="77777777" w:rsidR="00DC25A2" w:rsidRDefault="00DC25A2" w:rsidP="00DB6543">
      <w:pPr>
        <w:spacing w:before="0"/>
      </w:pPr>
    </w:p>
    <w:p w14:paraId="1A59C0B2" w14:textId="30A9AEEF" w:rsidR="00655AA2" w:rsidRDefault="00D1755E" w:rsidP="00DB6543">
      <w:pPr>
        <w:spacing w:before="0"/>
      </w:pPr>
      <w:r>
        <w:t xml:space="preserve">ORSPEC </w:t>
      </w:r>
      <w:r w:rsidR="00655AA2">
        <w:t>Pharma</w:t>
      </w:r>
      <w:r w:rsidR="00B6426C">
        <w:t xml:space="preserve"> Pty Ltd</w:t>
      </w:r>
    </w:p>
    <w:p w14:paraId="22854F41" w14:textId="4AE66CA6" w:rsidR="00655AA2" w:rsidRDefault="00655AA2" w:rsidP="00DB6543">
      <w:pPr>
        <w:tabs>
          <w:tab w:val="left" w:pos="5085"/>
        </w:tabs>
        <w:spacing w:before="0"/>
      </w:pPr>
      <w:r w:rsidRPr="00655AA2">
        <w:t>4/6 Carna</w:t>
      </w:r>
      <w:r w:rsidR="004119CE">
        <w:t>r</w:t>
      </w:r>
      <w:r w:rsidRPr="00655AA2">
        <w:t>von Road West Gosford</w:t>
      </w:r>
      <w:r w:rsidR="00DE4044">
        <w:tab/>
      </w:r>
    </w:p>
    <w:p w14:paraId="776253C8" w14:textId="084C495E" w:rsidR="00655AA2" w:rsidRDefault="00655AA2" w:rsidP="00DB6543">
      <w:pPr>
        <w:spacing w:before="0"/>
      </w:pPr>
      <w:r w:rsidRPr="00655AA2">
        <w:t>NSW 2250</w:t>
      </w:r>
    </w:p>
    <w:p w14:paraId="71A754D7" w14:textId="1B56A43B" w:rsidR="00100153" w:rsidRDefault="00100153" w:rsidP="00DB6543">
      <w:pPr>
        <w:spacing w:before="0"/>
      </w:pPr>
      <w:r>
        <w:t xml:space="preserve">Australia </w:t>
      </w:r>
    </w:p>
    <w:p w14:paraId="05A3CD65" w14:textId="77777777" w:rsidR="00D1755E" w:rsidRDefault="00E0109A" w:rsidP="00DB6543">
      <w:pPr>
        <w:spacing w:before="0"/>
        <w:rPr>
          <w:rFonts w:eastAsiaTheme="minorHAnsi"/>
          <w:color w:val="auto"/>
          <w:sz w:val="22"/>
          <w:szCs w:val="22"/>
        </w:rPr>
      </w:pPr>
      <w:hyperlink r:id="rId12" w:history="1">
        <w:r w:rsidR="00D1755E">
          <w:rPr>
            <w:rStyle w:val="Hyperlink"/>
          </w:rPr>
          <w:t>customerservice@orspecpharma.com</w:t>
        </w:r>
      </w:hyperlink>
    </w:p>
    <w:p w14:paraId="780B566F" w14:textId="77777777" w:rsidR="00D1755E" w:rsidRDefault="00E0109A" w:rsidP="00DB6543">
      <w:pPr>
        <w:spacing w:before="0"/>
      </w:pPr>
      <w:hyperlink r:id="rId13" w:history="1">
        <w:r w:rsidR="00D1755E">
          <w:rPr>
            <w:rStyle w:val="Hyperlink"/>
          </w:rPr>
          <w:t>www.orspecpharma.com</w:t>
        </w:r>
      </w:hyperlink>
    </w:p>
    <w:p w14:paraId="65FFC9BF" w14:textId="77777777" w:rsidR="00D1755E" w:rsidRDefault="00D1755E" w:rsidP="00DB6543">
      <w:pPr>
        <w:spacing w:before="0"/>
      </w:pPr>
      <w:r>
        <w:t>+61 (0) 24 339 4239</w:t>
      </w:r>
    </w:p>
    <w:p w14:paraId="2B3E53FA" w14:textId="4CCC0566" w:rsidR="001A3992" w:rsidRDefault="001A3992" w:rsidP="00CF3CA1">
      <w:pPr>
        <w:pStyle w:val="Heading1"/>
      </w:pPr>
      <w:r w:rsidRPr="00497C85">
        <w:t xml:space="preserve">Date of first approval  </w:t>
      </w:r>
    </w:p>
    <w:p w14:paraId="76A93B7D" w14:textId="6DED95F7" w:rsidR="00960CD5" w:rsidRPr="00497C85" w:rsidRDefault="00FE2765" w:rsidP="0092304A">
      <w:r>
        <w:t>14 September 2021</w:t>
      </w:r>
    </w:p>
    <w:sectPr w:rsidR="00960CD5" w:rsidRPr="00497C8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E55CF" w14:textId="77777777" w:rsidR="00EF5820" w:rsidRDefault="00EF5820" w:rsidP="00CF3CA1">
      <w:r>
        <w:separator/>
      </w:r>
    </w:p>
  </w:endnote>
  <w:endnote w:type="continuationSeparator" w:id="0">
    <w:p w14:paraId="57FCF35D" w14:textId="77777777" w:rsidR="00EF5820" w:rsidRDefault="00EF5820" w:rsidP="00C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rFonts w:ascii="Arial" w:hAnsi="Arial" w:cs="Arial"/>
        <w:noProof/>
        <w:sz w:val="18"/>
      </w:rPr>
    </w:sdtEndPr>
    <w:sdtContent>
      <w:p w14:paraId="709E22BB" w14:textId="77777777" w:rsidR="00360AEB" w:rsidRDefault="00360AEB" w:rsidP="00CF3CA1">
        <w:pPr>
          <w:pStyle w:val="Footer"/>
          <w:pBdr>
            <w:bottom w:val="single" w:sz="12" w:space="1" w:color="auto"/>
          </w:pBdr>
        </w:pPr>
      </w:p>
      <w:p w14:paraId="7DA74EC0" w14:textId="5A0A6ACA" w:rsidR="00360AEB" w:rsidRPr="00CF3CA1" w:rsidRDefault="00360AEB" w:rsidP="00CF3CA1">
        <w:pPr>
          <w:pStyle w:val="Footer"/>
          <w:spacing w:before="0"/>
          <w:rPr>
            <w:rFonts w:ascii="Arial" w:hAnsi="Arial" w:cs="Arial"/>
            <w:sz w:val="18"/>
          </w:rPr>
        </w:pPr>
        <w:r w:rsidRPr="007B1C24">
          <w:rPr>
            <w:rFonts w:ascii="Arial" w:hAnsi="Arial" w:cs="Arial"/>
            <w:sz w:val="18"/>
          </w:rPr>
          <w:t xml:space="preserve">RUZURGI PI </w:t>
        </w:r>
        <w:r w:rsidR="002D5E83">
          <w:rPr>
            <w:rFonts w:ascii="Arial" w:hAnsi="Arial" w:cs="Arial"/>
            <w:sz w:val="18"/>
          </w:rPr>
          <w:t>September</w:t>
        </w:r>
        <w:r w:rsidR="00F644CC">
          <w:rPr>
            <w:rFonts w:ascii="Arial" w:hAnsi="Arial" w:cs="Arial"/>
            <w:sz w:val="18"/>
          </w:rPr>
          <w:t xml:space="preserve"> </w:t>
        </w:r>
        <w:r w:rsidR="00B847C1">
          <w:rPr>
            <w:rFonts w:ascii="Arial" w:hAnsi="Arial" w:cs="Arial"/>
            <w:sz w:val="18"/>
          </w:rPr>
          <w:t>2021</w:t>
        </w:r>
        <w:r w:rsidR="00DA5EF6">
          <w:rPr>
            <w:rFonts w:ascii="Arial" w:hAnsi="Arial" w:cs="Arial"/>
            <w:sz w:val="18"/>
          </w:rPr>
          <w:t xml:space="preserve"> </w:t>
        </w:r>
        <w:r w:rsidR="00F0378E">
          <w:rPr>
            <w:rFonts w:ascii="Arial" w:hAnsi="Arial" w:cs="Arial"/>
            <w:sz w:val="18"/>
          </w:rPr>
          <w:t xml:space="preserve">version </w:t>
        </w:r>
        <w:r w:rsidR="00FE2765">
          <w:rPr>
            <w:rFonts w:ascii="Arial" w:hAnsi="Arial" w:cs="Arial"/>
            <w:sz w:val="18"/>
          </w:rPr>
          <w:t>1.0</w:t>
        </w:r>
        <w:r w:rsidRPr="00CF3CA1">
          <w:rPr>
            <w:rFonts w:ascii="Arial" w:hAnsi="Arial" w:cs="Arial"/>
            <w:sz w:val="18"/>
          </w:rPr>
          <w:tab/>
        </w:r>
        <w:r w:rsidRPr="00CF3CA1">
          <w:rPr>
            <w:rFonts w:ascii="Arial" w:hAnsi="Arial" w:cs="Arial"/>
            <w:sz w:val="18"/>
          </w:rPr>
          <w:tab/>
        </w:r>
        <w:r w:rsidRPr="00CF3CA1">
          <w:rPr>
            <w:rFonts w:ascii="Arial" w:hAnsi="Arial" w:cs="Arial"/>
            <w:sz w:val="18"/>
          </w:rPr>
          <w:fldChar w:fldCharType="begin"/>
        </w:r>
        <w:r w:rsidRPr="00CF3CA1">
          <w:rPr>
            <w:rFonts w:ascii="Arial" w:hAnsi="Arial" w:cs="Arial"/>
            <w:sz w:val="18"/>
          </w:rPr>
          <w:instrText xml:space="preserve"> PAGE   \* MERGEFORMAT </w:instrText>
        </w:r>
        <w:r w:rsidRPr="00CF3CA1">
          <w:rPr>
            <w:rFonts w:ascii="Arial" w:hAnsi="Arial" w:cs="Arial"/>
            <w:sz w:val="18"/>
          </w:rPr>
          <w:fldChar w:fldCharType="separate"/>
        </w:r>
        <w:r w:rsidRPr="00CF3CA1">
          <w:rPr>
            <w:rFonts w:ascii="Arial" w:hAnsi="Arial" w:cs="Arial"/>
            <w:noProof/>
            <w:sz w:val="18"/>
          </w:rPr>
          <w:t>2</w:t>
        </w:r>
        <w:r w:rsidRPr="00CF3CA1">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62202" w14:textId="77777777" w:rsidR="00EF5820" w:rsidRDefault="00EF5820" w:rsidP="00CF3CA1">
      <w:r>
        <w:separator/>
      </w:r>
    </w:p>
  </w:footnote>
  <w:footnote w:type="continuationSeparator" w:id="0">
    <w:p w14:paraId="750FFFD1" w14:textId="77777777" w:rsidR="00EF5820" w:rsidRDefault="00EF5820"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E76EA6" w:rsidRPr="000B2145" w14:paraId="226A3AC1" w14:textId="77777777" w:rsidTr="00702EBD">
      <w:trPr>
        <w:trHeight w:val="1012"/>
      </w:trPr>
      <w:tc>
        <w:tcPr>
          <w:tcW w:w="9039" w:type="dxa"/>
          <w:shd w:val="clear" w:color="auto" w:fill="E4F2E0"/>
        </w:tcPr>
        <w:p w14:paraId="67AE3D15" w14:textId="00A23B59" w:rsidR="00E76EA6" w:rsidRPr="000E4791" w:rsidRDefault="00E76EA6" w:rsidP="00E76EA6">
          <w:pPr>
            <w:pStyle w:val="Footer"/>
            <w:spacing w:before="120" w:after="120"/>
            <w:rPr>
              <w:b/>
              <w:sz w:val="18"/>
              <w:szCs w:val="18"/>
            </w:rPr>
          </w:pPr>
          <w:bookmarkStart w:id="3" w:name="_Hlk80611440"/>
          <w:r w:rsidRPr="000E4791">
            <w:rPr>
              <w:b/>
              <w:sz w:val="18"/>
              <w:szCs w:val="18"/>
            </w:rPr>
            <w:t>Attachment 1</w:t>
          </w:r>
          <w:r>
            <w:t xml:space="preserve"> </w:t>
          </w:r>
          <w:proofErr w:type="spellStart"/>
          <w:r w:rsidRPr="00103708">
            <w:rPr>
              <w:b/>
              <w:sz w:val="18"/>
              <w:szCs w:val="18"/>
            </w:rPr>
            <w:t>AusPAR</w:t>
          </w:r>
          <w:proofErr w:type="spellEnd"/>
          <w:r w:rsidRPr="00103708">
            <w:rPr>
              <w:b/>
              <w:sz w:val="18"/>
              <w:szCs w:val="18"/>
            </w:rPr>
            <w:t xml:space="preserve"> - </w:t>
          </w:r>
          <w:proofErr w:type="spellStart"/>
          <w:r w:rsidRPr="00103708">
            <w:rPr>
              <w:b/>
              <w:sz w:val="18"/>
              <w:szCs w:val="18"/>
            </w:rPr>
            <w:t>Ruzurgi</w:t>
          </w:r>
          <w:proofErr w:type="spellEnd"/>
          <w:r w:rsidRPr="00103708">
            <w:rPr>
              <w:b/>
              <w:sz w:val="18"/>
              <w:szCs w:val="18"/>
            </w:rPr>
            <w:t xml:space="preserve"> - amifampridine - </w:t>
          </w:r>
          <w:proofErr w:type="spellStart"/>
          <w:r w:rsidRPr="00103708">
            <w:rPr>
              <w:b/>
              <w:sz w:val="18"/>
              <w:szCs w:val="18"/>
            </w:rPr>
            <w:t>Orspec</w:t>
          </w:r>
          <w:proofErr w:type="spellEnd"/>
          <w:r w:rsidRPr="00103708">
            <w:rPr>
              <w:b/>
              <w:sz w:val="18"/>
              <w:szCs w:val="18"/>
            </w:rPr>
            <w:t xml:space="preserve"> Pharma Pty Ltd - PM-2021-00020-1-1</w:t>
          </w:r>
          <w:r>
            <w:rPr>
              <w:b/>
              <w:sz w:val="18"/>
              <w:szCs w:val="18"/>
            </w:rPr>
            <w:t xml:space="preserve"> </w:t>
          </w:r>
          <w:r w:rsidRPr="00103708">
            <w:rPr>
              <w:b/>
              <w:sz w:val="18"/>
              <w:szCs w:val="18"/>
            </w:rPr>
            <w:t>Final 11 April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1335F0AE" w14:textId="77777777" w:rsidR="00E76EA6" w:rsidRDefault="00E76EA6" w:rsidP="00E76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08679C"/>
    <w:multiLevelType w:val="hybridMultilevel"/>
    <w:tmpl w:val="0C74F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267E9E"/>
    <w:multiLevelType w:val="hybridMultilevel"/>
    <w:tmpl w:val="9A30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11"/>
  </w:num>
  <w:num w:numId="6">
    <w:abstractNumId w:val="9"/>
  </w:num>
  <w:num w:numId="7">
    <w:abstractNumId w:val="7"/>
  </w:num>
  <w:num w:numId="8">
    <w:abstractNumId w:val="10"/>
  </w:num>
  <w:num w:numId="9">
    <w:abstractNumId w:val="2"/>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CC"/>
    <w:rsid w:val="00000B5E"/>
    <w:rsid w:val="0000230A"/>
    <w:rsid w:val="00005DAF"/>
    <w:rsid w:val="000070D7"/>
    <w:rsid w:val="00013192"/>
    <w:rsid w:val="000158FF"/>
    <w:rsid w:val="00016227"/>
    <w:rsid w:val="00025311"/>
    <w:rsid w:val="0002605B"/>
    <w:rsid w:val="00030F81"/>
    <w:rsid w:val="000354E2"/>
    <w:rsid w:val="00042F9A"/>
    <w:rsid w:val="00044151"/>
    <w:rsid w:val="00045DF8"/>
    <w:rsid w:val="00046E61"/>
    <w:rsid w:val="000514B0"/>
    <w:rsid w:val="00057424"/>
    <w:rsid w:val="0006071F"/>
    <w:rsid w:val="00074FA6"/>
    <w:rsid w:val="000816BB"/>
    <w:rsid w:val="00083505"/>
    <w:rsid w:val="00083FAA"/>
    <w:rsid w:val="000903B4"/>
    <w:rsid w:val="000A155A"/>
    <w:rsid w:val="000A271A"/>
    <w:rsid w:val="000B293B"/>
    <w:rsid w:val="000C2425"/>
    <w:rsid w:val="000C5474"/>
    <w:rsid w:val="000D35C4"/>
    <w:rsid w:val="000F5124"/>
    <w:rsid w:val="000F798C"/>
    <w:rsid w:val="00100153"/>
    <w:rsid w:val="00103764"/>
    <w:rsid w:val="001046F0"/>
    <w:rsid w:val="0010729F"/>
    <w:rsid w:val="00111544"/>
    <w:rsid w:val="001122D6"/>
    <w:rsid w:val="00115986"/>
    <w:rsid w:val="00116AE4"/>
    <w:rsid w:val="00117C7A"/>
    <w:rsid w:val="001263AA"/>
    <w:rsid w:val="00143B6E"/>
    <w:rsid w:val="00145EDA"/>
    <w:rsid w:val="00147B46"/>
    <w:rsid w:val="00152D1A"/>
    <w:rsid w:val="001535F0"/>
    <w:rsid w:val="00164DF3"/>
    <w:rsid w:val="00166C1E"/>
    <w:rsid w:val="00167ACE"/>
    <w:rsid w:val="00171109"/>
    <w:rsid w:val="00175386"/>
    <w:rsid w:val="00175A2F"/>
    <w:rsid w:val="00176869"/>
    <w:rsid w:val="00185D43"/>
    <w:rsid w:val="001871A8"/>
    <w:rsid w:val="00197609"/>
    <w:rsid w:val="001A0542"/>
    <w:rsid w:val="001A3992"/>
    <w:rsid w:val="001B1163"/>
    <w:rsid w:val="001B54D1"/>
    <w:rsid w:val="001E111D"/>
    <w:rsid w:val="001E634A"/>
    <w:rsid w:val="001F5567"/>
    <w:rsid w:val="001F6433"/>
    <w:rsid w:val="0020628D"/>
    <w:rsid w:val="0021448B"/>
    <w:rsid w:val="002256D8"/>
    <w:rsid w:val="00226A06"/>
    <w:rsid w:val="00230C8E"/>
    <w:rsid w:val="00237CFE"/>
    <w:rsid w:val="00241BFF"/>
    <w:rsid w:val="002448E8"/>
    <w:rsid w:val="00250702"/>
    <w:rsid w:val="002529DD"/>
    <w:rsid w:val="0025527F"/>
    <w:rsid w:val="00256154"/>
    <w:rsid w:val="00265704"/>
    <w:rsid w:val="00271A0B"/>
    <w:rsid w:val="002754D5"/>
    <w:rsid w:val="00276870"/>
    <w:rsid w:val="002812A2"/>
    <w:rsid w:val="00282980"/>
    <w:rsid w:val="002956FD"/>
    <w:rsid w:val="002A28CA"/>
    <w:rsid w:val="002A6916"/>
    <w:rsid w:val="002A6B69"/>
    <w:rsid w:val="002B1CAC"/>
    <w:rsid w:val="002B2D0B"/>
    <w:rsid w:val="002B424E"/>
    <w:rsid w:val="002B55E4"/>
    <w:rsid w:val="002C1F96"/>
    <w:rsid w:val="002C2983"/>
    <w:rsid w:val="002D524F"/>
    <w:rsid w:val="002D5E83"/>
    <w:rsid w:val="002D7881"/>
    <w:rsid w:val="002E277D"/>
    <w:rsid w:val="002F0F2A"/>
    <w:rsid w:val="002F3B36"/>
    <w:rsid w:val="002F4E7F"/>
    <w:rsid w:val="00303F9E"/>
    <w:rsid w:val="003043CD"/>
    <w:rsid w:val="003130A0"/>
    <w:rsid w:val="00325DB6"/>
    <w:rsid w:val="0032771A"/>
    <w:rsid w:val="00336E83"/>
    <w:rsid w:val="00340D4A"/>
    <w:rsid w:val="00345AB2"/>
    <w:rsid w:val="003479AC"/>
    <w:rsid w:val="00351F6D"/>
    <w:rsid w:val="00356725"/>
    <w:rsid w:val="0035723A"/>
    <w:rsid w:val="00360AEB"/>
    <w:rsid w:val="00361D75"/>
    <w:rsid w:val="00367FF6"/>
    <w:rsid w:val="0037365D"/>
    <w:rsid w:val="0037440A"/>
    <w:rsid w:val="00375340"/>
    <w:rsid w:val="00381389"/>
    <w:rsid w:val="00383A5B"/>
    <w:rsid w:val="003877EE"/>
    <w:rsid w:val="003904B0"/>
    <w:rsid w:val="003915FF"/>
    <w:rsid w:val="003A0E10"/>
    <w:rsid w:val="003A19B7"/>
    <w:rsid w:val="003A5428"/>
    <w:rsid w:val="003B26F6"/>
    <w:rsid w:val="003B2710"/>
    <w:rsid w:val="003C2AA1"/>
    <w:rsid w:val="003C7857"/>
    <w:rsid w:val="003D1BF8"/>
    <w:rsid w:val="003D1E5F"/>
    <w:rsid w:val="003F5357"/>
    <w:rsid w:val="003F63C9"/>
    <w:rsid w:val="00400FDC"/>
    <w:rsid w:val="00402343"/>
    <w:rsid w:val="004032BD"/>
    <w:rsid w:val="00410673"/>
    <w:rsid w:val="00410A82"/>
    <w:rsid w:val="004119CE"/>
    <w:rsid w:val="00414D4A"/>
    <w:rsid w:val="004231CB"/>
    <w:rsid w:val="004278B4"/>
    <w:rsid w:val="0043054D"/>
    <w:rsid w:val="00431ACD"/>
    <w:rsid w:val="00435FA5"/>
    <w:rsid w:val="00440947"/>
    <w:rsid w:val="0044210D"/>
    <w:rsid w:val="00457B3D"/>
    <w:rsid w:val="00464F31"/>
    <w:rsid w:val="004751BF"/>
    <w:rsid w:val="00483C66"/>
    <w:rsid w:val="00491F94"/>
    <w:rsid w:val="00497C85"/>
    <w:rsid w:val="004A00A3"/>
    <w:rsid w:val="004A3CA3"/>
    <w:rsid w:val="004B1350"/>
    <w:rsid w:val="004C699D"/>
    <w:rsid w:val="004C6C31"/>
    <w:rsid w:val="004D0BDF"/>
    <w:rsid w:val="004D28C0"/>
    <w:rsid w:val="004E36A2"/>
    <w:rsid w:val="004E6309"/>
    <w:rsid w:val="004F1CC0"/>
    <w:rsid w:val="004F3301"/>
    <w:rsid w:val="004F5E78"/>
    <w:rsid w:val="0050301E"/>
    <w:rsid w:val="00506881"/>
    <w:rsid w:val="0051063D"/>
    <w:rsid w:val="00510DCA"/>
    <w:rsid w:val="00512BA0"/>
    <w:rsid w:val="005137D0"/>
    <w:rsid w:val="00516A8B"/>
    <w:rsid w:val="00516ABF"/>
    <w:rsid w:val="0053142B"/>
    <w:rsid w:val="00532FB5"/>
    <w:rsid w:val="00535602"/>
    <w:rsid w:val="00547F52"/>
    <w:rsid w:val="005607B2"/>
    <w:rsid w:val="005614C7"/>
    <w:rsid w:val="0057257B"/>
    <w:rsid w:val="00580C43"/>
    <w:rsid w:val="00580FC6"/>
    <w:rsid w:val="005831C3"/>
    <w:rsid w:val="005943E5"/>
    <w:rsid w:val="00594D3B"/>
    <w:rsid w:val="005A454C"/>
    <w:rsid w:val="005B1867"/>
    <w:rsid w:val="005C04E0"/>
    <w:rsid w:val="005C4F3E"/>
    <w:rsid w:val="005D39B3"/>
    <w:rsid w:val="005D4138"/>
    <w:rsid w:val="005D43F9"/>
    <w:rsid w:val="005D46C7"/>
    <w:rsid w:val="005D598C"/>
    <w:rsid w:val="005D5B56"/>
    <w:rsid w:val="005E0A46"/>
    <w:rsid w:val="005E1A22"/>
    <w:rsid w:val="005F527F"/>
    <w:rsid w:val="0060537F"/>
    <w:rsid w:val="00610BA9"/>
    <w:rsid w:val="00611128"/>
    <w:rsid w:val="00615AD7"/>
    <w:rsid w:val="00617A9D"/>
    <w:rsid w:val="00620344"/>
    <w:rsid w:val="00623AE3"/>
    <w:rsid w:val="00624B73"/>
    <w:rsid w:val="00627D91"/>
    <w:rsid w:val="00627F53"/>
    <w:rsid w:val="0063016A"/>
    <w:rsid w:val="00631A54"/>
    <w:rsid w:val="0064243D"/>
    <w:rsid w:val="006503DF"/>
    <w:rsid w:val="00654923"/>
    <w:rsid w:val="00654FB1"/>
    <w:rsid w:val="00655AA2"/>
    <w:rsid w:val="006568D3"/>
    <w:rsid w:val="00660920"/>
    <w:rsid w:val="00662968"/>
    <w:rsid w:val="006636AA"/>
    <w:rsid w:val="00663C78"/>
    <w:rsid w:val="00665B44"/>
    <w:rsid w:val="00677840"/>
    <w:rsid w:val="00680CB2"/>
    <w:rsid w:val="006917AF"/>
    <w:rsid w:val="0069740E"/>
    <w:rsid w:val="006A1ACD"/>
    <w:rsid w:val="006A5475"/>
    <w:rsid w:val="006B2615"/>
    <w:rsid w:val="006B534C"/>
    <w:rsid w:val="006B629D"/>
    <w:rsid w:val="006D1A21"/>
    <w:rsid w:val="006D36D8"/>
    <w:rsid w:val="006D78C7"/>
    <w:rsid w:val="006E096B"/>
    <w:rsid w:val="006E535E"/>
    <w:rsid w:val="006F2795"/>
    <w:rsid w:val="006F434E"/>
    <w:rsid w:val="0070212A"/>
    <w:rsid w:val="0070216E"/>
    <w:rsid w:val="00702564"/>
    <w:rsid w:val="00706916"/>
    <w:rsid w:val="007102B8"/>
    <w:rsid w:val="007123C9"/>
    <w:rsid w:val="007205C7"/>
    <w:rsid w:val="00723903"/>
    <w:rsid w:val="00731B64"/>
    <w:rsid w:val="00735816"/>
    <w:rsid w:val="00754B04"/>
    <w:rsid w:val="00761801"/>
    <w:rsid w:val="00763A27"/>
    <w:rsid w:val="00773E10"/>
    <w:rsid w:val="00777942"/>
    <w:rsid w:val="00780B7A"/>
    <w:rsid w:val="00780EAA"/>
    <w:rsid w:val="007819F3"/>
    <w:rsid w:val="007833CB"/>
    <w:rsid w:val="007854FD"/>
    <w:rsid w:val="007857C4"/>
    <w:rsid w:val="00790307"/>
    <w:rsid w:val="00793775"/>
    <w:rsid w:val="007A3FB5"/>
    <w:rsid w:val="007A475F"/>
    <w:rsid w:val="007B1076"/>
    <w:rsid w:val="007B1C24"/>
    <w:rsid w:val="007B3587"/>
    <w:rsid w:val="007D0A65"/>
    <w:rsid w:val="007D166E"/>
    <w:rsid w:val="007D1BA3"/>
    <w:rsid w:val="007D7155"/>
    <w:rsid w:val="007D7DEA"/>
    <w:rsid w:val="007E5979"/>
    <w:rsid w:val="007E66BE"/>
    <w:rsid w:val="007E693C"/>
    <w:rsid w:val="007F2984"/>
    <w:rsid w:val="007F4260"/>
    <w:rsid w:val="00801806"/>
    <w:rsid w:val="008027AA"/>
    <w:rsid w:val="008123B3"/>
    <w:rsid w:val="008346C4"/>
    <w:rsid w:val="008363FC"/>
    <w:rsid w:val="00850366"/>
    <w:rsid w:val="00864756"/>
    <w:rsid w:val="00864A90"/>
    <w:rsid w:val="008674ED"/>
    <w:rsid w:val="00870ACA"/>
    <w:rsid w:val="008738AE"/>
    <w:rsid w:val="00876B6A"/>
    <w:rsid w:val="008803EF"/>
    <w:rsid w:val="00880D33"/>
    <w:rsid w:val="00886F6C"/>
    <w:rsid w:val="00893E04"/>
    <w:rsid w:val="00895533"/>
    <w:rsid w:val="008A062E"/>
    <w:rsid w:val="008A6EC4"/>
    <w:rsid w:val="008B5A16"/>
    <w:rsid w:val="008B70C6"/>
    <w:rsid w:val="008C05D6"/>
    <w:rsid w:val="008C5DDB"/>
    <w:rsid w:val="008D0B48"/>
    <w:rsid w:val="008E51FC"/>
    <w:rsid w:val="008E52BF"/>
    <w:rsid w:val="008E530B"/>
    <w:rsid w:val="008E61CE"/>
    <w:rsid w:val="008F50FD"/>
    <w:rsid w:val="008F66F8"/>
    <w:rsid w:val="008F74FD"/>
    <w:rsid w:val="009031E1"/>
    <w:rsid w:val="00907E05"/>
    <w:rsid w:val="009106A4"/>
    <w:rsid w:val="00921366"/>
    <w:rsid w:val="0092304A"/>
    <w:rsid w:val="00926C3C"/>
    <w:rsid w:val="00946004"/>
    <w:rsid w:val="00950319"/>
    <w:rsid w:val="0095126D"/>
    <w:rsid w:val="00953D77"/>
    <w:rsid w:val="00956536"/>
    <w:rsid w:val="00960CD5"/>
    <w:rsid w:val="00961D92"/>
    <w:rsid w:val="00984ED8"/>
    <w:rsid w:val="00985E63"/>
    <w:rsid w:val="00994999"/>
    <w:rsid w:val="0099684B"/>
    <w:rsid w:val="009A1B21"/>
    <w:rsid w:val="009A38A5"/>
    <w:rsid w:val="009B0151"/>
    <w:rsid w:val="009B077A"/>
    <w:rsid w:val="009B31BB"/>
    <w:rsid w:val="009B3D04"/>
    <w:rsid w:val="009B4A02"/>
    <w:rsid w:val="009B5C9B"/>
    <w:rsid w:val="009B5D4F"/>
    <w:rsid w:val="009D79A6"/>
    <w:rsid w:val="009E5EFE"/>
    <w:rsid w:val="009F2113"/>
    <w:rsid w:val="009F2FFF"/>
    <w:rsid w:val="009F339F"/>
    <w:rsid w:val="00A01E3E"/>
    <w:rsid w:val="00A02EA7"/>
    <w:rsid w:val="00A05153"/>
    <w:rsid w:val="00A0549B"/>
    <w:rsid w:val="00A12874"/>
    <w:rsid w:val="00A317F5"/>
    <w:rsid w:val="00A330F8"/>
    <w:rsid w:val="00A619BD"/>
    <w:rsid w:val="00A73DC9"/>
    <w:rsid w:val="00A74981"/>
    <w:rsid w:val="00A77F5A"/>
    <w:rsid w:val="00A905CD"/>
    <w:rsid w:val="00A90FBA"/>
    <w:rsid w:val="00A9320C"/>
    <w:rsid w:val="00A94198"/>
    <w:rsid w:val="00A95AB0"/>
    <w:rsid w:val="00A96E81"/>
    <w:rsid w:val="00AA33D1"/>
    <w:rsid w:val="00AB2E02"/>
    <w:rsid w:val="00AB45E1"/>
    <w:rsid w:val="00AC08D9"/>
    <w:rsid w:val="00AC1832"/>
    <w:rsid w:val="00AD2FE7"/>
    <w:rsid w:val="00AD304B"/>
    <w:rsid w:val="00B015D7"/>
    <w:rsid w:val="00B03919"/>
    <w:rsid w:val="00B06282"/>
    <w:rsid w:val="00B076D3"/>
    <w:rsid w:val="00B23C1D"/>
    <w:rsid w:val="00B26E5F"/>
    <w:rsid w:val="00B32DD9"/>
    <w:rsid w:val="00B4193F"/>
    <w:rsid w:val="00B513F7"/>
    <w:rsid w:val="00B573D5"/>
    <w:rsid w:val="00B63BF0"/>
    <w:rsid w:val="00B6426C"/>
    <w:rsid w:val="00B6737E"/>
    <w:rsid w:val="00B73F82"/>
    <w:rsid w:val="00B765E3"/>
    <w:rsid w:val="00B847C1"/>
    <w:rsid w:val="00B86993"/>
    <w:rsid w:val="00B93DD0"/>
    <w:rsid w:val="00BA01AB"/>
    <w:rsid w:val="00BA69FA"/>
    <w:rsid w:val="00BA7157"/>
    <w:rsid w:val="00BB172D"/>
    <w:rsid w:val="00BB6DE6"/>
    <w:rsid w:val="00BC3AAA"/>
    <w:rsid w:val="00BC69CC"/>
    <w:rsid w:val="00BD0577"/>
    <w:rsid w:val="00BF3990"/>
    <w:rsid w:val="00BF4918"/>
    <w:rsid w:val="00BF4DB5"/>
    <w:rsid w:val="00BF6EE5"/>
    <w:rsid w:val="00BF7580"/>
    <w:rsid w:val="00C055CC"/>
    <w:rsid w:val="00C134B2"/>
    <w:rsid w:val="00C217DE"/>
    <w:rsid w:val="00C21F24"/>
    <w:rsid w:val="00C3111D"/>
    <w:rsid w:val="00C34485"/>
    <w:rsid w:val="00C40672"/>
    <w:rsid w:val="00C51A9E"/>
    <w:rsid w:val="00C555CD"/>
    <w:rsid w:val="00C55625"/>
    <w:rsid w:val="00C66A21"/>
    <w:rsid w:val="00C701D2"/>
    <w:rsid w:val="00C806BA"/>
    <w:rsid w:val="00C811DD"/>
    <w:rsid w:val="00C85227"/>
    <w:rsid w:val="00C87FEA"/>
    <w:rsid w:val="00C91723"/>
    <w:rsid w:val="00C92C0B"/>
    <w:rsid w:val="00C96AEA"/>
    <w:rsid w:val="00CA6CCF"/>
    <w:rsid w:val="00CA7EE9"/>
    <w:rsid w:val="00CC2766"/>
    <w:rsid w:val="00CC3BA1"/>
    <w:rsid w:val="00CC5911"/>
    <w:rsid w:val="00CC7641"/>
    <w:rsid w:val="00CC7A07"/>
    <w:rsid w:val="00CC7DBF"/>
    <w:rsid w:val="00CD0FA2"/>
    <w:rsid w:val="00CD407C"/>
    <w:rsid w:val="00CF21A5"/>
    <w:rsid w:val="00CF3CA1"/>
    <w:rsid w:val="00CF4758"/>
    <w:rsid w:val="00CF7561"/>
    <w:rsid w:val="00CF7C47"/>
    <w:rsid w:val="00D07D30"/>
    <w:rsid w:val="00D12CF8"/>
    <w:rsid w:val="00D1755E"/>
    <w:rsid w:val="00D209BB"/>
    <w:rsid w:val="00D22096"/>
    <w:rsid w:val="00D22EA9"/>
    <w:rsid w:val="00D334DA"/>
    <w:rsid w:val="00D33E27"/>
    <w:rsid w:val="00D417F3"/>
    <w:rsid w:val="00D429A7"/>
    <w:rsid w:val="00D43257"/>
    <w:rsid w:val="00D44BA0"/>
    <w:rsid w:val="00D4603C"/>
    <w:rsid w:val="00D4635A"/>
    <w:rsid w:val="00D50ACD"/>
    <w:rsid w:val="00D63BCF"/>
    <w:rsid w:val="00D65105"/>
    <w:rsid w:val="00D66F0D"/>
    <w:rsid w:val="00D70D22"/>
    <w:rsid w:val="00D710D0"/>
    <w:rsid w:val="00D76758"/>
    <w:rsid w:val="00D8000C"/>
    <w:rsid w:val="00D845A8"/>
    <w:rsid w:val="00D92FD3"/>
    <w:rsid w:val="00DA08FC"/>
    <w:rsid w:val="00DA5EF6"/>
    <w:rsid w:val="00DB251F"/>
    <w:rsid w:val="00DB6543"/>
    <w:rsid w:val="00DC0D37"/>
    <w:rsid w:val="00DC25A2"/>
    <w:rsid w:val="00DC445C"/>
    <w:rsid w:val="00DD3433"/>
    <w:rsid w:val="00DD3A6E"/>
    <w:rsid w:val="00DD6F90"/>
    <w:rsid w:val="00DD7342"/>
    <w:rsid w:val="00DE4044"/>
    <w:rsid w:val="00DE5C28"/>
    <w:rsid w:val="00DE6ACD"/>
    <w:rsid w:val="00DE75FA"/>
    <w:rsid w:val="00DE7911"/>
    <w:rsid w:val="00DF1249"/>
    <w:rsid w:val="00DF4A8C"/>
    <w:rsid w:val="00DF5E99"/>
    <w:rsid w:val="00E0109A"/>
    <w:rsid w:val="00E032C7"/>
    <w:rsid w:val="00E05445"/>
    <w:rsid w:val="00E133F2"/>
    <w:rsid w:val="00E2167B"/>
    <w:rsid w:val="00E24077"/>
    <w:rsid w:val="00E2412A"/>
    <w:rsid w:val="00E2504A"/>
    <w:rsid w:val="00E266AE"/>
    <w:rsid w:val="00E33B4B"/>
    <w:rsid w:val="00E34F56"/>
    <w:rsid w:val="00E4050E"/>
    <w:rsid w:val="00E44933"/>
    <w:rsid w:val="00E47A35"/>
    <w:rsid w:val="00E507FB"/>
    <w:rsid w:val="00E50C65"/>
    <w:rsid w:val="00E66299"/>
    <w:rsid w:val="00E7175B"/>
    <w:rsid w:val="00E74A56"/>
    <w:rsid w:val="00E76EA6"/>
    <w:rsid w:val="00E82B0B"/>
    <w:rsid w:val="00E878A2"/>
    <w:rsid w:val="00E92FDC"/>
    <w:rsid w:val="00EA6E0E"/>
    <w:rsid w:val="00EB70E7"/>
    <w:rsid w:val="00EC11F4"/>
    <w:rsid w:val="00EC1D14"/>
    <w:rsid w:val="00EC2C53"/>
    <w:rsid w:val="00EC441A"/>
    <w:rsid w:val="00EC4CEE"/>
    <w:rsid w:val="00ED059C"/>
    <w:rsid w:val="00ED0937"/>
    <w:rsid w:val="00ED10D2"/>
    <w:rsid w:val="00ED72DC"/>
    <w:rsid w:val="00EE4DD4"/>
    <w:rsid w:val="00EF2F01"/>
    <w:rsid w:val="00EF5820"/>
    <w:rsid w:val="00F006AF"/>
    <w:rsid w:val="00F007A3"/>
    <w:rsid w:val="00F0378E"/>
    <w:rsid w:val="00F03873"/>
    <w:rsid w:val="00F120CA"/>
    <w:rsid w:val="00F123DA"/>
    <w:rsid w:val="00F17795"/>
    <w:rsid w:val="00F22901"/>
    <w:rsid w:val="00F26BAB"/>
    <w:rsid w:val="00F30F9C"/>
    <w:rsid w:val="00F3552E"/>
    <w:rsid w:val="00F463AE"/>
    <w:rsid w:val="00F55E65"/>
    <w:rsid w:val="00F55F2F"/>
    <w:rsid w:val="00F56947"/>
    <w:rsid w:val="00F644CC"/>
    <w:rsid w:val="00F80B38"/>
    <w:rsid w:val="00F82186"/>
    <w:rsid w:val="00F83445"/>
    <w:rsid w:val="00F8358A"/>
    <w:rsid w:val="00F858F6"/>
    <w:rsid w:val="00F901CD"/>
    <w:rsid w:val="00F91A24"/>
    <w:rsid w:val="00F961CA"/>
    <w:rsid w:val="00F96BEB"/>
    <w:rsid w:val="00F9767A"/>
    <w:rsid w:val="00FB046E"/>
    <w:rsid w:val="00FC1CF4"/>
    <w:rsid w:val="00FC3AEE"/>
    <w:rsid w:val="00FE0394"/>
    <w:rsid w:val="00FE03B4"/>
    <w:rsid w:val="00FE25EF"/>
    <w:rsid w:val="00FE2765"/>
    <w:rsid w:val="00FE3B10"/>
    <w:rsid w:val="00FE6D55"/>
    <w:rsid w:val="00FE791C"/>
    <w:rsid w:val="00FF46A8"/>
    <w:rsid w:val="00FF7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65954A"/>
  <w15:docId w15:val="{A3746E4E-9C5B-4823-B7F6-B694CDFC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CA1"/>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CF3CA1"/>
    <w:pPr>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CF3CA1"/>
    <w:rPr>
      <w:rFonts w:ascii="Arial" w:eastAsia="MS Gothic" w:hAnsi="Arial" w:cs="Arial"/>
      <w:b/>
      <w:kern w:val="32"/>
      <w:szCs w:val="26"/>
      <w:lang w:val="en-U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C055CC"/>
    <w:rPr>
      <w:rFonts w:ascii="Times New Roman" w:hAnsi="Times New Roman"/>
      <w:b/>
      <w:bCs/>
    </w:rPr>
  </w:style>
  <w:style w:type="character" w:customStyle="1" w:styleId="CommentSubjectChar">
    <w:name w:val="Comment Subject Char"/>
    <w:basedOn w:val="CommentTextChar"/>
    <w:link w:val="CommentSubject"/>
    <w:uiPriority w:val="99"/>
    <w:semiHidden/>
    <w:rsid w:val="00C055CC"/>
    <w:rPr>
      <w:rFonts w:ascii="Times New Roman" w:eastAsia="MS Mincho" w:hAnsi="Times New Roman" w:cs="Times New Roman"/>
      <w:b/>
      <w:bCs/>
      <w:color w:val="000000"/>
      <w:sz w:val="20"/>
      <w:szCs w:val="20"/>
      <w:lang w:val="en-US"/>
    </w:rPr>
  </w:style>
  <w:style w:type="paragraph" w:customStyle="1" w:styleId="Default">
    <w:name w:val="Default"/>
    <w:rsid w:val="007B107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E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1E1"/>
    <w:rPr>
      <w:color w:val="605E5C"/>
      <w:shd w:val="clear" w:color="auto" w:fill="E1DFDD"/>
    </w:rPr>
  </w:style>
  <w:style w:type="paragraph" w:customStyle="1" w:styleId="PTCBody">
    <w:name w:val="PTC Body"/>
    <w:basedOn w:val="Normal"/>
    <w:link w:val="PTCBodyChar"/>
    <w:qFormat/>
    <w:rsid w:val="00F30F9C"/>
    <w:pPr>
      <w:spacing w:before="120" w:after="120" w:line="280" w:lineRule="atLeast"/>
    </w:pPr>
    <w:rPr>
      <w:rFonts w:eastAsia="Times New Roman"/>
      <w:color w:val="auto"/>
    </w:rPr>
  </w:style>
  <w:style w:type="character" w:customStyle="1" w:styleId="PTCBodyChar">
    <w:name w:val="PTC Body Char"/>
    <w:link w:val="PTCBody"/>
    <w:rsid w:val="00F30F9C"/>
    <w:rPr>
      <w:rFonts w:ascii="Times New Roman" w:eastAsia="Times New Roman" w:hAnsi="Times New Roman" w:cs="Times New Roman"/>
      <w:sz w:val="24"/>
      <w:szCs w:val="24"/>
      <w:lang w:val="en-US"/>
    </w:rPr>
  </w:style>
  <w:style w:type="paragraph" w:styleId="Revision">
    <w:name w:val="Revision"/>
    <w:hidden/>
    <w:uiPriority w:val="99"/>
    <w:semiHidden/>
    <w:rsid w:val="003130A0"/>
    <w:pPr>
      <w:spacing w:after="0" w:line="240" w:lineRule="auto"/>
    </w:pPr>
    <w:rPr>
      <w:rFonts w:ascii="Times New Roman" w:eastAsia="MS Mincho"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255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43274">
      <w:bodyDiv w:val="1"/>
      <w:marLeft w:val="0"/>
      <w:marRight w:val="0"/>
      <w:marTop w:val="0"/>
      <w:marBottom w:val="0"/>
      <w:divBdr>
        <w:top w:val="none" w:sz="0" w:space="0" w:color="auto"/>
        <w:left w:val="none" w:sz="0" w:space="0" w:color="auto"/>
        <w:bottom w:val="none" w:sz="0" w:space="0" w:color="auto"/>
        <w:right w:val="none" w:sz="0" w:space="0" w:color="auto"/>
      </w:divBdr>
    </w:div>
    <w:div w:id="386683881">
      <w:bodyDiv w:val="1"/>
      <w:marLeft w:val="0"/>
      <w:marRight w:val="0"/>
      <w:marTop w:val="0"/>
      <w:marBottom w:val="0"/>
      <w:divBdr>
        <w:top w:val="none" w:sz="0" w:space="0" w:color="auto"/>
        <w:left w:val="none" w:sz="0" w:space="0" w:color="auto"/>
        <w:bottom w:val="none" w:sz="0" w:space="0" w:color="auto"/>
        <w:right w:val="none" w:sz="0" w:space="0" w:color="auto"/>
      </w:divBdr>
    </w:div>
    <w:div w:id="492183156">
      <w:bodyDiv w:val="1"/>
      <w:marLeft w:val="0"/>
      <w:marRight w:val="0"/>
      <w:marTop w:val="0"/>
      <w:marBottom w:val="0"/>
      <w:divBdr>
        <w:top w:val="none" w:sz="0" w:space="0" w:color="auto"/>
        <w:left w:val="none" w:sz="0" w:space="0" w:color="auto"/>
        <w:bottom w:val="none" w:sz="0" w:space="0" w:color="auto"/>
        <w:right w:val="none" w:sz="0" w:space="0" w:color="auto"/>
      </w:divBdr>
    </w:div>
    <w:div w:id="1214544100">
      <w:bodyDiv w:val="1"/>
      <w:marLeft w:val="0"/>
      <w:marRight w:val="0"/>
      <w:marTop w:val="0"/>
      <w:marBottom w:val="0"/>
      <w:divBdr>
        <w:top w:val="none" w:sz="0" w:space="0" w:color="auto"/>
        <w:left w:val="none" w:sz="0" w:space="0" w:color="auto"/>
        <w:bottom w:val="none" w:sz="0" w:space="0" w:color="auto"/>
        <w:right w:val="none" w:sz="0" w:space="0" w:color="auto"/>
      </w:divBdr>
    </w:div>
    <w:div w:id="1315718847">
      <w:bodyDiv w:val="1"/>
      <w:marLeft w:val="0"/>
      <w:marRight w:val="0"/>
      <w:marTop w:val="0"/>
      <w:marBottom w:val="0"/>
      <w:divBdr>
        <w:top w:val="none" w:sz="0" w:space="0" w:color="auto"/>
        <w:left w:val="none" w:sz="0" w:space="0" w:color="auto"/>
        <w:bottom w:val="none" w:sz="0" w:space="0" w:color="auto"/>
        <w:right w:val="none" w:sz="0" w:space="0" w:color="auto"/>
      </w:divBdr>
    </w:div>
    <w:div w:id="1460614304">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910919256">
      <w:bodyDiv w:val="1"/>
      <w:marLeft w:val="0"/>
      <w:marRight w:val="0"/>
      <w:marTop w:val="0"/>
      <w:marBottom w:val="0"/>
      <w:divBdr>
        <w:top w:val="none" w:sz="0" w:space="0" w:color="auto"/>
        <w:left w:val="none" w:sz="0" w:space="0" w:color="auto"/>
        <w:bottom w:val="none" w:sz="0" w:space="0" w:color="auto"/>
        <w:right w:val="none" w:sz="0" w:space="0" w:color="auto"/>
      </w:divBdr>
    </w:div>
    <w:div w:id="19447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hyperlink" Target="http://www.orspecphar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orspecpharm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4890</Words>
  <Characters>27629</Characters>
  <Application>Microsoft Office Word</Application>
  <DocSecurity>0</DocSecurity>
  <Lines>541</Lines>
  <Paragraphs>225</Paragraphs>
  <ScaleCrop>false</ScaleCrop>
  <HeadingPairs>
    <vt:vector size="2" baseType="variant">
      <vt:variant>
        <vt:lpstr>Title</vt:lpstr>
      </vt:variant>
      <vt:variant>
        <vt:i4>1</vt:i4>
      </vt:variant>
    </vt:vector>
  </HeadingPairs>
  <TitlesOfParts>
    <vt:vector size="1" baseType="lpstr">
      <vt:lpstr>Atacchment: Product information for Amifampridine</vt:lpstr>
    </vt:vector>
  </TitlesOfParts>
  <Company>ORSPEC Pharma Pty Ltd</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Amifampridine</dc:title>
  <dc:subject>prescription medicine regulation</dc:subject>
  <dc:creator/>
  <cp:lastModifiedBy>KOLARIK-OREILLY, Kristy</cp:lastModifiedBy>
  <cp:revision>5</cp:revision>
  <cp:lastPrinted>2021-07-11T23:12:00Z</cp:lastPrinted>
  <dcterms:created xsi:type="dcterms:W3CDTF">2021-09-15T23:54:00Z</dcterms:created>
  <dcterms:modified xsi:type="dcterms:W3CDTF">2022-04-12T04:28:00Z</dcterms:modified>
</cp:coreProperties>
</file>