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4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tblGrid>
      <w:tr w:rsidR="008E7846" w:rsidRPr="00487162" w:rsidTr="00DC3CE0">
        <w:trPr>
          <w:trHeight w:val="1863"/>
        </w:trPr>
        <w:tc>
          <w:tcPr>
            <w:tcW w:w="4928" w:type="dxa"/>
            <w:tcBorders>
              <w:top w:val="nil"/>
              <w:left w:val="nil"/>
              <w:bottom w:val="nil"/>
              <w:right w:val="nil"/>
            </w:tcBorders>
          </w:tcPr>
          <w:p w:rsidR="008E7846" w:rsidRPr="0017078F" w:rsidRDefault="003E4362" w:rsidP="00DC3CE0">
            <w:pPr>
              <w:rPr>
                <w:rFonts w:ascii="Arial" w:hAnsi="Arial" w:cs="Arial"/>
                <w:b/>
                <w:color w:val="002C47"/>
                <w:sz w:val="36"/>
                <w:szCs w:val="36"/>
              </w:rPr>
            </w:pPr>
            <w:r>
              <w:rPr>
                <w:rFonts w:ascii="Arial" w:hAnsi="Arial" w:cs="Arial"/>
                <w:b/>
                <w:color w:val="002C47"/>
                <w:sz w:val="36"/>
                <w:szCs w:val="36"/>
              </w:rPr>
              <w:t xml:space="preserve">Date of </w:t>
            </w:r>
            <w:r w:rsidR="0017078F">
              <w:rPr>
                <w:rFonts w:ascii="Arial" w:hAnsi="Arial" w:cs="Arial"/>
                <w:b/>
                <w:color w:val="002C47"/>
                <w:sz w:val="36"/>
                <w:szCs w:val="36"/>
              </w:rPr>
              <w:t>CER</w:t>
            </w:r>
            <w:r w:rsidR="00DC3CE0">
              <w:rPr>
                <w:rFonts w:ascii="Arial" w:hAnsi="Arial" w:cs="Arial"/>
                <w:b/>
                <w:color w:val="002C47"/>
                <w:sz w:val="36"/>
                <w:szCs w:val="36"/>
              </w:rPr>
              <w:t xml:space="preserve">: </w:t>
            </w:r>
            <w:r>
              <w:rPr>
                <w:rFonts w:ascii="Arial" w:hAnsi="Arial" w:cs="Arial"/>
                <w:b/>
                <w:color w:val="002C47"/>
                <w:sz w:val="36"/>
                <w:szCs w:val="36"/>
              </w:rPr>
              <w:t>19 June 2012</w:t>
            </w:r>
          </w:p>
        </w:tc>
      </w:tr>
    </w:tbl>
    <w:tbl>
      <w:tblPr>
        <w:tblpPr w:leftFromText="180" w:rightFromText="180" w:vertAnchor="page" w:tblpY="3316"/>
        <w:tblW w:w="9079" w:type="dxa"/>
        <w:tblLayout w:type="fixed"/>
        <w:tblLook w:val="04A0"/>
      </w:tblPr>
      <w:tblGrid>
        <w:gridCol w:w="9079"/>
      </w:tblGrid>
      <w:tr w:rsidR="0032583B" w:rsidRPr="00A964D1" w:rsidTr="003E4362">
        <w:trPr>
          <w:trHeight w:val="1134"/>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3E4362">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3E4362" w:rsidRPr="003E4362">
              <w:rPr>
                <w:color w:val="FFFFFF" w:themeColor="background1"/>
              </w:rPr>
              <w:t>Amino acids, Lipids and Glucose, with and without Electrolytes</w:t>
            </w:r>
          </w:p>
        </w:tc>
      </w:tr>
      <w:tr w:rsidR="00E07F15" w:rsidRPr="00B64760" w:rsidTr="00E07F15">
        <w:tc>
          <w:tcPr>
            <w:tcW w:w="9079" w:type="dxa"/>
          </w:tcPr>
          <w:p w:rsidR="00E07F15" w:rsidRPr="008E7846" w:rsidRDefault="00E07F15" w:rsidP="003E4362">
            <w:pPr>
              <w:pStyle w:val="Subtitle"/>
              <w:rPr>
                <w:color w:val="FFFFFF" w:themeColor="background1"/>
              </w:rPr>
            </w:pPr>
            <w:r w:rsidRPr="008E7846">
              <w:rPr>
                <w:color w:val="FFFFFF" w:themeColor="background1"/>
              </w:rPr>
              <w:t xml:space="preserve">Proprietary Product Name: </w:t>
            </w:r>
            <w:proofErr w:type="spellStart"/>
            <w:r w:rsidR="006E04BE" w:rsidRPr="006E04BE">
              <w:rPr>
                <w:color w:val="FFFFFF" w:themeColor="background1"/>
              </w:rPr>
              <w:t>PeriOlimel</w:t>
            </w:r>
            <w:proofErr w:type="spellEnd"/>
            <w:r w:rsidR="006E04BE" w:rsidRPr="006E04BE">
              <w:rPr>
                <w:color w:val="FFFFFF" w:themeColor="background1"/>
              </w:rPr>
              <w:t xml:space="preserve"> N4-600E, </w:t>
            </w:r>
            <w:proofErr w:type="spellStart"/>
            <w:r w:rsidR="006E04BE" w:rsidRPr="006E04BE">
              <w:rPr>
                <w:color w:val="FFFFFF" w:themeColor="background1"/>
              </w:rPr>
              <w:t>Olimel</w:t>
            </w:r>
            <w:proofErr w:type="spellEnd"/>
            <w:r w:rsidR="006E04BE" w:rsidRPr="006E04BE">
              <w:rPr>
                <w:color w:val="FFFFFF" w:themeColor="background1"/>
              </w:rPr>
              <w:t xml:space="preserve"> N5-860E, Olimel N7-960, Olimel N7-960E, Olimel N9-840, Olimel N9</w:t>
            </w:r>
            <w:r w:rsidR="006E04BE" w:rsidRPr="006E04BE">
              <w:rPr>
                <w:color w:val="FFFFFF" w:themeColor="background1"/>
              </w:rPr>
              <w:noBreakHyphen/>
              <w:t>840E</w:t>
            </w:r>
          </w:p>
        </w:tc>
      </w:tr>
      <w:tr w:rsidR="00E07F15" w:rsidRPr="00B64760" w:rsidTr="00E07F15">
        <w:trPr>
          <w:trHeight w:val="486"/>
        </w:trPr>
        <w:tc>
          <w:tcPr>
            <w:tcW w:w="9079" w:type="dxa"/>
          </w:tcPr>
          <w:p w:rsidR="00E07F15" w:rsidRPr="008E7846" w:rsidRDefault="00E07F15" w:rsidP="00E07F15">
            <w:pPr>
              <w:pStyle w:val="Subtitle"/>
              <w:rPr>
                <w:color w:val="FFFFFF" w:themeColor="background1"/>
              </w:rPr>
            </w:pPr>
            <w:r w:rsidRPr="008E7846">
              <w:rPr>
                <w:color w:val="FFFFFF" w:themeColor="background1"/>
              </w:rPr>
              <w:t xml:space="preserve">Sponsor: </w:t>
            </w:r>
            <w:r w:rsidR="003E4362" w:rsidRPr="003E4362">
              <w:rPr>
                <w:color w:val="FFFFFF" w:themeColor="background1"/>
              </w:rPr>
              <w:t>Baxter Healthcare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8"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9"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252E32" w:rsidRDefault="00692B58">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70730586" w:history="1">
            <w:r w:rsidR="00252E32" w:rsidRPr="00CA5752">
              <w:rPr>
                <w:rStyle w:val="Hyperlink"/>
                <w:noProof/>
              </w:rPr>
              <w:t>List of abbreviations</w:t>
            </w:r>
            <w:r w:rsidR="00252E32">
              <w:rPr>
                <w:noProof/>
                <w:webHidden/>
              </w:rPr>
              <w:tab/>
            </w:r>
            <w:r>
              <w:rPr>
                <w:noProof/>
                <w:webHidden/>
              </w:rPr>
              <w:fldChar w:fldCharType="begin"/>
            </w:r>
            <w:r w:rsidR="00252E32">
              <w:rPr>
                <w:noProof/>
                <w:webHidden/>
              </w:rPr>
              <w:instrText xml:space="preserve"> PAGEREF _Toc370730586 \h </w:instrText>
            </w:r>
            <w:r>
              <w:rPr>
                <w:noProof/>
                <w:webHidden/>
              </w:rPr>
            </w:r>
            <w:r>
              <w:rPr>
                <w:noProof/>
                <w:webHidden/>
              </w:rPr>
              <w:fldChar w:fldCharType="separate"/>
            </w:r>
            <w:r w:rsidR="00252E32">
              <w:rPr>
                <w:noProof/>
                <w:webHidden/>
              </w:rPr>
              <w:t>4</w:t>
            </w:r>
            <w:r>
              <w:rPr>
                <w:noProof/>
                <w:webHidden/>
              </w:rPr>
              <w:fldChar w:fldCharType="end"/>
            </w:r>
          </w:hyperlink>
        </w:p>
        <w:p w:rsidR="00252E32" w:rsidRDefault="00692B58">
          <w:pPr>
            <w:pStyle w:val="TOC3"/>
            <w:tabs>
              <w:tab w:val="left" w:pos="1760"/>
            </w:tabs>
            <w:rPr>
              <w:rFonts w:asciiTheme="minorHAnsi" w:eastAsiaTheme="minorEastAsia" w:hAnsiTheme="minorHAnsi" w:cstheme="minorBidi"/>
              <w:noProof/>
              <w:lang w:eastAsia="en-AU"/>
            </w:rPr>
          </w:pPr>
          <w:hyperlink w:anchor="_Toc370730587" w:history="1">
            <w:r w:rsidR="00252E32" w:rsidRPr="00CA5752">
              <w:rPr>
                <w:rStyle w:val="Hyperlink"/>
                <w:noProof/>
              </w:rPr>
              <w:t>1.1.</w:t>
            </w:r>
            <w:r w:rsidR="00252E32">
              <w:rPr>
                <w:rFonts w:asciiTheme="minorHAnsi" w:eastAsiaTheme="minorEastAsia" w:hAnsiTheme="minorHAnsi" w:cstheme="minorBidi"/>
                <w:noProof/>
                <w:lang w:eastAsia="en-AU"/>
              </w:rPr>
              <w:tab/>
            </w:r>
            <w:r w:rsidR="00252E32" w:rsidRPr="00CA5752">
              <w:rPr>
                <w:rStyle w:val="Hyperlink"/>
                <w:noProof/>
              </w:rPr>
              <w:t>Definitions and terminology</w:t>
            </w:r>
            <w:r w:rsidR="00252E32">
              <w:rPr>
                <w:noProof/>
                <w:webHidden/>
              </w:rPr>
              <w:tab/>
            </w:r>
            <w:r>
              <w:rPr>
                <w:noProof/>
                <w:webHidden/>
              </w:rPr>
              <w:fldChar w:fldCharType="begin"/>
            </w:r>
            <w:r w:rsidR="00252E32">
              <w:rPr>
                <w:noProof/>
                <w:webHidden/>
              </w:rPr>
              <w:instrText xml:space="preserve"> PAGEREF _Toc370730587 \h </w:instrText>
            </w:r>
            <w:r>
              <w:rPr>
                <w:noProof/>
                <w:webHidden/>
              </w:rPr>
            </w:r>
            <w:r>
              <w:rPr>
                <w:noProof/>
                <w:webHidden/>
              </w:rPr>
              <w:fldChar w:fldCharType="separate"/>
            </w:r>
            <w:r w:rsidR="00252E32">
              <w:rPr>
                <w:noProof/>
                <w:webHidden/>
              </w:rPr>
              <w:t>4</w:t>
            </w:r>
            <w:r>
              <w:rPr>
                <w:noProof/>
                <w:webHidden/>
              </w:rPr>
              <w:fldChar w:fldCharType="end"/>
            </w:r>
          </w:hyperlink>
        </w:p>
        <w:p w:rsidR="00252E32" w:rsidRDefault="00692B58">
          <w:pPr>
            <w:pStyle w:val="TOC2"/>
            <w:tabs>
              <w:tab w:val="left" w:pos="1100"/>
            </w:tabs>
            <w:rPr>
              <w:rFonts w:asciiTheme="minorHAnsi" w:eastAsiaTheme="minorEastAsia" w:hAnsiTheme="minorHAnsi" w:cstheme="minorBidi"/>
              <w:b w:val="0"/>
              <w:noProof/>
              <w:sz w:val="22"/>
              <w:lang w:eastAsia="en-AU"/>
            </w:rPr>
          </w:pPr>
          <w:hyperlink w:anchor="_Toc370730588" w:history="1">
            <w:r w:rsidR="00252E32" w:rsidRPr="00CA5752">
              <w:rPr>
                <w:rStyle w:val="Hyperlink"/>
                <w:noProof/>
                <w:lang w:eastAsia="en-AU"/>
              </w:rPr>
              <w:t>2.</w:t>
            </w:r>
            <w:r w:rsidR="00252E32">
              <w:rPr>
                <w:rFonts w:asciiTheme="minorHAnsi" w:eastAsiaTheme="minorEastAsia" w:hAnsiTheme="minorHAnsi" w:cstheme="minorBidi"/>
                <w:b w:val="0"/>
                <w:noProof/>
                <w:sz w:val="22"/>
                <w:lang w:eastAsia="en-AU"/>
              </w:rPr>
              <w:tab/>
            </w:r>
            <w:r w:rsidR="00252E32" w:rsidRPr="00CA5752">
              <w:rPr>
                <w:rStyle w:val="Hyperlink"/>
                <w:noProof/>
                <w:lang w:eastAsia="en-AU"/>
              </w:rPr>
              <w:t>Introduction</w:t>
            </w:r>
            <w:r w:rsidR="00252E32">
              <w:rPr>
                <w:noProof/>
                <w:webHidden/>
              </w:rPr>
              <w:tab/>
            </w:r>
            <w:r>
              <w:rPr>
                <w:noProof/>
                <w:webHidden/>
              </w:rPr>
              <w:fldChar w:fldCharType="begin"/>
            </w:r>
            <w:r w:rsidR="00252E32">
              <w:rPr>
                <w:noProof/>
                <w:webHidden/>
              </w:rPr>
              <w:instrText xml:space="preserve"> PAGEREF _Toc370730588 \h </w:instrText>
            </w:r>
            <w:r>
              <w:rPr>
                <w:noProof/>
                <w:webHidden/>
              </w:rPr>
            </w:r>
            <w:r>
              <w:rPr>
                <w:noProof/>
                <w:webHidden/>
              </w:rPr>
              <w:fldChar w:fldCharType="separate"/>
            </w:r>
            <w:r w:rsidR="00252E32">
              <w:rPr>
                <w:noProof/>
                <w:webHidden/>
              </w:rPr>
              <w:t>6</w:t>
            </w:r>
            <w:r>
              <w:rPr>
                <w:noProof/>
                <w:webHidden/>
              </w:rPr>
              <w:fldChar w:fldCharType="end"/>
            </w:r>
          </w:hyperlink>
        </w:p>
        <w:p w:rsidR="00252E32" w:rsidRDefault="00692B58">
          <w:pPr>
            <w:pStyle w:val="TOC2"/>
            <w:tabs>
              <w:tab w:val="left" w:pos="1100"/>
            </w:tabs>
            <w:rPr>
              <w:rFonts w:asciiTheme="minorHAnsi" w:eastAsiaTheme="minorEastAsia" w:hAnsiTheme="minorHAnsi" w:cstheme="minorBidi"/>
              <w:b w:val="0"/>
              <w:noProof/>
              <w:sz w:val="22"/>
              <w:lang w:eastAsia="en-AU"/>
            </w:rPr>
          </w:pPr>
          <w:hyperlink w:anchor="_Toc370730589" w:history="1">
            <w:r w:rsidR="00252E32" w:rsidRPr="00CA5752">
              <w:rPr>
                <w:rStyle w:val="Hyperlink"/>
                <w:noProof/>
              </w:rPr>
              <w:t>3.</w:t>
            </w:r>
            <w:r w:rsidR="00252E32">
              <w:rPr>
                <w:rFonts w:asciiTheme="minorHAnsi" w:eastAsiaTheme="minorEastAsia" w:hAnsiTheme="minorHAnsi" w:cstheme="minorBidi"/>
                <w:b w:val="0"/>
                <w:noProof/>
                <w:sz w:val="22"/>
                <w:lang w:eastAsia="en-AU"/>
              </w:rPr>
              <w:tab/>
            </w:r>
            <w:r w:rsidR="00252E32" w:rsidRPr="00CA5752">
              <w:rPr>
                <w:rStyle w:val="Hyperlink"/>
                <w:noProof/>
              </w:rPr>
              <w:t>Clinical rationale</w:t>
            </w:r>
            <w:r w:rsidR="00252E32">
              <w:rPr>
                <w:noProof/>
                <w:webHidden/>
              </w:rPr>
              <w:tab/>
            </w:r>
            <w:r>
              <w:rPr>
                <w:noProof/>
                <w:webHidden/>
              </w:rPr>
              <w:fldChar w:fldCharType="begin"/>
            </w:r>
            <w:r w:rsidR="00252E32">
              <w:rPr>
                <w:noProof/>
                <w:webHidden/>
              </w:rPr>
              <w:instrText xml:space="preserve"> PAGEREF _Toc370730589 \h </w:instrText>
            </w:r>
            <w:r>
              <w:rPr>
                <w:noProof/>
                <w:webHidden/>
              </w:rPr>
            </w:r>
            <w:r>
              <w:rPr>
                <w:noProof/>
                <w:webHidden/>
              </w:rPr>
              <w:fldChar w:fldCharType="separate"/>
            </w:r>
            <w:r w:rsidR="00252E32">
              <w:rPr>
                <w:noProof/>
                <w:webHidden/>
              </w:rPr>
              <w:t>6</w:t>
            </w:r>
            <w:r>
              <w:rPr>
                <w:noProof/>
                <w:webHidden/>
              </w:rPr>
              <w:fldChar w:fldCharType="end"/>
            </w:r>
          </w:hyperlink>
        </w:p>
        <w:p w:rsidR="00252E32" w:rsidRDefault="00692B58">
          <w:pPr>
            <w:pStyle w:val="TOC3"/>
            <w:tabs>
              <w:tab w:val="left" w:pos="1760"/>
            </w:tabs>
            <w:rPr>
              <w:rFonts w:asciiTheme="minorHAnsi" w:eastAsiaTheme="minorEastAsia" w:hAnsiTheme="minorHAnsi" w:cstheme="minorBidi"/>
              <w:noProof/>
              <w:lang w:eastAsia="en-AU"/>
            </w:rPr>
          </w:pPr>
          <w:hyperlink w:anchor="_Toc370730590" w:history="1">
            <w:r w:rsidR="00252E32" w:rsidRPr="00CA5752">
              <w:rPr>
                <w:rStyle w:val="Hyperlink"/>
                <w:noProof/>
              </w:rPr>
              <w:t>3.1.</w:t>
            </w:r>
            <w:r w:rsidR="00252E32">
              <w:rPr>
                <w:rFonts w:asciiTheme="minorHAnsi" w:eastAsiaTheme="minorEastAsia" w:hAnsiTheme="minorHAnsi" w:cstheme="minorBidi"/>
                <w:noProof/>
                <w:lang w:eastAsia="en-AU"/>
              </w:rPr>
              <w:tab/>
            </w:r>
            <w:r w:rsidR="00252E32" w:rsidRPr="00CA5752">
              <w:rPr>
                <w:rStyle w:val="Hyperlink"/>
                <w:noProof/>
              </w:rPr>
              <w:t>Formulation</w:t>
            </w:r>
            <w:r w:rsidR="00252E32">
              <w:rPr>
                <w:noProof/>
                <w:webHidden/>
              </w:rPr>
              <w:tab/>
            </w:r>
            <w:r>
              <w:rPr>
                <w:noProof/>
                <w:webHidden/>
              </w:rPr>
              <w:fldChar w:fldCharType="begin"/>
            </w:r>
            <w:r w:rsidR="00252E32">
              <w:rPr>
                <w:noProof/>
                <w:webHidden/>
              </w:rPr>
              <w:instrText xml:space="preserve"> PAGEREF _Toc370730590 \h </w:instrText>
            </w:r>
            <w:r>
              <w:rPr>
                <w:noProof/>
                <w:webHidden/>
              </w:rPr>
            </w:r>
            <w:r>
              <w:rPr>
                <w:noProof/>
                <w:webHidden/>
              </w:rPr>
              <w:fldChar w:fldCharType="separate"/>
            </w:r>
            <w:r w:rsidR="00252E32">
              <w:rPr>
                <w:noProof/>
                <w:webHidden/>
              </w:rPr>
              <w:t>6</w:t>
            </w:r>
            <w:r>
              <w:rPr>
                <w:noProof/>
                <w:webHidden/>
              </w:rPr>
              <w:fldChar w:fldCharType="end"/>
            </w:r>
          </w:hyperlink>
        </w:p>
        <w:p w:rsidR="00252E32" w:rsidRDefault="00692B58">
          <w:pPr>
            <w:pStyle w:val="TOC2"/>
            <w:tabs>
              <w:tab w:val="left" w:pos="1100"/>
            </w:tabs>
            <w:rPr>
              <w:rFonts w:asciiTheme="minorHAnsi" w:eastAsiaTheme="minorEastAsia" w:hAnsiTheme="minorHAnsi" w:cstheme="minorBidi"/>
              <w:b w:val="0"/>
              <w:noProof/>
              <w:sz w:val="22"/>
              <w:lang w:eastAsia="en-AU"/>
            </w:rPr>
          </w:pPr>
          <w:hyperlink w:anchor="_Toc370730591" w:history="1">
            <w:r w:rsidR="00252E32" w:rsidRPr="00CA5752">
              <w:rPr>
                <w:rStyle w:val="Hyperlink"/>
                <w:noProof/>
                <w:lang w:eastAsia="en-AU"/>
              </w:rPr>
              <w:t>4.</w:t>
            </w:r>
            <w:r w:rsidR="00252E32">
              <w:rPr>
                <w:rFonts w:asciiTheme="minorHAnsi" w:eastAsiaTheme="minorEastAsia" w:hAnsiTheme="minorHAnsi" w:cstheme="minorBidi"/>
                <w:b w:val="0"/>
                <w:noProof/>
                <w:sz w:val="22"/>
                <w:lang w:eastAsia="en-AU"/>
              </w:rPr>
              <w:tab/>
            </w:r>
            <w:r w:rsidR="00252E32" w:rsidRPr="00CA5752">
              <w:rPr>
                <w:rStyle w:val="Hyperlink"/>
                <w:noProof/>
                <w:lang w:eastAsia="en-AU"/>
              </w:rPr>
              <w:t>Contents of the clinical dossier</w:t>
            </w:r>
            <w:r w:rsidR="00252E32">
              <w:rPr>
                <w:noProof/>
                <w:webHidden/>
              </w:rPr>
              <w:tab/>
            </w:r>
            <w:r>
              <w:rPr>
                <w:noProof/>
                <w:webHidden/>
              </w:rPr>
              <w:fldChar w:fldCharType="begin"/>
            </w:r>
            <w:r w:rsidR="00252E32">
              <w:rPr>
                <w:noProof/>
                <w:webHidden/>
              </w:rPr>
              <w:instrText xml:space="preserve"> PAGEREF _Toc370730591 \h </w:instrText>
            </w:r>
            <w:r>
              <w:rPr>
                <w:noProof/>
                <w:webHidden/>
              </w:rPr>
            </w:r>
            <w:r>
              <w:rPr>
                <w:noProof/>
                <w:webHidden/>
              </w:rPr>
              <w:fldChar w:fldCharType="separate"/>
            </w:r>
            <w:r w:rsidR="00252E32">
              <w:rPr>
                <w:noProof/>
                <w:webHidden/>
              </w:rPr>
              <w:t>6</w:t>
            </w:r>
            <w:r>
              <w:rPr>
                <w:noProof/>
                <w:webHidden/>
              </w:rPr>
              <w:fldChar w:fldCharType="end"/>
            </w:r>
          </w:hyperlink>
        </w:p>
        <w:p w:rsidR="00252E32" w:rsidRDefault="00692B58">
          <w:pPr>
            <w:pStyle w:val="TOC3"/>
            <w:tabs>
              <w:tab w:val="left" w:pos="1760"/>
            </w:tabs>
            <w:rPr>
              <w:rFonts w:asciiTheme="minorHAnsi" w:eastAsiaTheme="minorEastAsia" w:hAnsiTheme="minorHAnsi" w:cstheme="minorBidi"/>
              <w:noProof/>
              <w:lang w:eastAsia="en-AU"/>
            </w:rPr>
          </w:pPr>
          <w:hyperlink w:anchor="_Toc370730592" w:history="1">
            <w:r w:rsidR="00252E32" w:rsidRPr="00CA5752">
              <w:rPr>
                <w:rStyle w:val="Hyperlink"/>
                <w:noProof/>
              </w:rPr>
              <w:t>4.1.</w:t>
            </w:r>
            <w:r w:rsidR="00252E32">
              <w:rPr>
                <w:rFonts w:asciiTheme="minorHAnsi" w:eastAsiaTheme="minorEastAsia" w:hAnsiTheme="minorHAnsi" w:cstheme="minorBidi"/>
                <w:noProof/>
                <w:lang w:eastAsia="en-AU"/>
              </w:rPr>
              <w:tab/>
            </w:r>
            <w:r w:rsidR="00252E32" w:rsidRPr="00CA5752">
              <w:rPr>
                <w:rStyle w:val="Hyperlink"/>
                <w:noProof/>
              </w:rPr>
              <w:t>Scope of the clinical dossier</w:t>
            </w:r>
            <w:r w:rsidR="00252E32">
              <w:rPr>
                <w:noProof/>
                <w:webHidden/>
              </w:rPr>
              <w:tab/>
            </w:r>
            <w:r>
              <w:rPr>
                <w:noProof/>
                <w:webHidden/>
              </w:rPr>
              <w:fldChar w:fldCharType="begin"/>
            </w:r>
            <w:r w:rsidR="00252E32">
              <w:rPr>
                <w:noProof/>
                <w:webHidden/>
              </w:rPr>
              <w:instrText xml:space="preserve"> PAGEREF _Toc370730592 \h </w:instrText>
            </w:r>
            <w:r>
              <w:rPr>
                <w:noProof/>
                <w:webHidden/>
              </w:rPr>
            </w:r>
            <w:r>
              <w:rPr>
                <w:noProof/>
                <w:webHidden/>
              </w:rPr>
              <w:fldChar w:fldCharType="separate"/>
            </w:r>
            <w:r w:rsidR="00252E32">
              <w:rPr>
                <w:noProof/>
                <w:webHidden/>
              </w:rPr>
              <w:t>6</w:t>
            </w:r>
            <w:r>
              <w:rPr>
                <w:noProof/>
                <w:webHidden/>
              </w:rPr>
              <w:fldChar w:fldCharType="end"/>
            </w:r>
          </w:hyperlink>
        </w:p>
        <w:p w:rsidR="00252E32" w:rsidRDefault="00692B58">
          <w:pPr>
            <w:pStyle w:val="TOC3"/>
            <w:tabs>
              <w:tab w:val="left" w:pos="1760"/>
            </w:tabs>
            <w:rPr>
              <w:rFonts w:asciiTheme="minorHAnsi" w:eastAsiaTheme="minorEastAsia" w:hAnsiTheme="minorHAnsi" w:cstheme="minorBidi"/>
              <w:noProof/>
              <w:lang w:eastAsia="en-AU"/>
            </w:rPr>
          </w:pPr>
          <w:hyperlink w:anchor="_Toc370730593" w:history="1">
            <w:r w:rsidR="00252E32" w:rsidRPr="00CA5752">
              <w:rPr>
                <w:rStyle w:val="Hyperlink"/>
                <w:noProof/>
              </w:rPr>
              <w:t>4.2.</w:t>
            </w:r>
            <w:r w:rsidR="00252E32">
              <w:rPr>
                <w:rFonts w:asciiTheme="minorHAnsi" w:eastAsiaTheme="minorEastAsia" w:hAnsiTheme="minorHAnsi" w:cstheme="minorBidi"/>
                <w:noProof/>
                <w:lang w:eastAsia="en-AU"/>
              </w:rPr>
              <w:tab/>
            </w:r>
            <w:r w:rsidR="00252E32" w:rsidRPr="00CA5752">
              <w:rPr>
                <w:rStyle w:val="Hyperlink"/>
                <w:noProof/>
              </w:rPr>
              <w:t>Paediatric data</w:t>
            </w:r>
            <w:r w:rsidR="00252E32">
              <w:rPr>
                <w:noProof/>
                <w:webHidden/>
              </w:rPr>
              <w:tab/>
            </w:r>
            <w:r>
              <w:rPr>
                <w:noProof/>
                <w:webHidden/>
              </w:rPr>
              <w:fldChar w:fldCharType="begin"/>
            </w:r>
            <w:r w:rsidR="00252E32">
              <w:rPr>
                <w:noProof/>
                <w:webHidden/>
              </w:rPr>
              <w:instrText xml:space="preserve"> PAGEREF _Toc370730593 \h </w:instrText>
            </w:r>
            <w:r>
              <w:rPr>
                <w:noProof/>
                <w:webHidden/>
              </w:rPr>
            </w:r>
            <w:r>
              <w:rPr>
                <w:noProof/>
                <w:webHidden/>
              </w:rPr>
              <w:fldChar w:fldCharType="separate"/>
            </w:r>
            <w:r w:rsidR="00252E32">
              <w:rPr>
                <w:noProof/>
                <w:webHidden/>
              </w:rPr>
              <w:t>8</w:t>
            </w:r>
            <w:r>
              <w:rPr>
                <w:noProof/>
                <w:webHidden/>
              </w:rPr>
              <w:fldChar w:fldCharType="end"/>
            </w:r>
          </w:hyperlink>
        </w:p>
        <w:p w:rsidR="00252E32" w:rsidRDefault="00692B58">
          <w:pPr>
            <w:pStyle w:val="TOC3"/>
            <w:tabs>
              <w:tab w:val="left" w:pos="1760"/>
            </w:tabs>
            <w:rPr>
              <w:rFonts w:asciiTheme="minorHAnsi" w:eastAsiaTheme="minorEastAsia" w:hAnsiTheme="minorHAnsi" w:cstheme="minorBidi"/>
              <w:noProof/>
              <w:lang w:eastAsia="en-AU"/>
            </w:rPr>
          </w:pPr>
          <w:hyperlink w:anchor="_Toc370730594" w:history="1">
            <w:r w:rsidR="00252E32" w:rsidRPr="00CA5752">
              <w:rPr>
                <w:rStyle w:val="Hyperlink"/>
                <w:noProof/>
              </w:rPr>
              <w:t>4.3.</w:t>
            </w:r>
            <w:r w:rsidR="00252E32">
              <w:rPr>
                <w:rFonts w:asciiTheme="minorHAnsi" w:eastAsiaTheme="minorEastAsia" w:hAnsiTheme="minorHAnsi" w:cstheme="minorBidi"/>
                <w:noProof/>
                <w:lang w:eastAsia="en-AU"/>
              </w:rPr>
              <w:tab/>
            </w:r>
            <w:r w:rsidR="00252E32" w:rsidRPr="00CA5752">
              <w:rPr>
                <w:rStyle w:val="Hyperlink"/>
                <w:noProof/>
              </w:rPr>
              <w:t>Good clinical practice</w:t>
            </w:r>
            <w:r w:rsidR="00252E32">
              <w:rPr>
                <w:noProof/>
                <w:webHidden/>
              </w:rPr>
              <w:tab/>
            </w:r>
            <w:r>
              <w:rPr>
                <w:noProof/>
                <w:webHidden/>
              </w:rPr>
              <w:fldChar w:fldCharType="begin"/>
            </w:r>
            <w:r w:rsidR="00252E32">
              <w:rPr>
                <w:noProof/>
                <w:webHidden/>
              </w:rPr>
              <w:instrText xml:space="preserve"> PAGEREF _Toc370730594 \h </w:instrText>
            </w:r>
            <w:r>
              <w:rPr>
                <w:noProof/>
                <w:webHidden/>
              </w:rPr>
            </w:r>
            <w:r>
              <w:rPr>
                <w:noProof/>
                <w:webHidden/>
              </w:rPr>
              <w:fldChar w:fldCharType="separate"/>
            </w:r>
            <w:r w:rsidR="00252E32">
              <w:rPr>
                <w:noProof/>
                <w:webHidden/>
              </w:rPr>
              <w:t>8</w:t>
            </w:r>
            <w:r>
              <w:rPr>
                <w:noProof/>
                <w:webHidden/>
              </w:rPr>
              <w:fldChar w:fldCharType="end"/>
            </w:r>
          </w:hyperlink>
        </w:p>
        <w:p w:rsidR="00252E32" w:rsidRDefault="00692B58">
          <w:pPr>
            <w:pStyle w:val="TOC2"/>
            <w:tabs>
              <w:tab w:val="left" w:pos="1100"/>
            </w:tabs>
            <w:rPr>
              <w:rFonts w:asciiTheme="minorHAnsi" w:eastAsiaTheme="minorEastAsia" w:hAnsiTheme="minorHAnsi" w:cstheme="minorBidi"/>
              <w:b w:val="0"/>
              <w:noProof/>
              <w:sz w:val="22"/>
              <w:lang w:eastAsia="en-AU"/>
            </w:rPr>
          </w:pPr>
          <w:hyperlink w:anchor="_Toc370730595" w:history="1">
            <w:r w:rsidR="00252E32" w:rsidRPr="00CA5752">
              <w:rPr>
                <w:rStyle w:val="Hyperlink"/>
                <w:noProof/>
              </w:rPr>
              <w:t>5.</w:t>
            </w:r>
            <w:r w:rsidR="00252E32">
              <w:rPr>
                <w:rFonts w:asciiTheme="minorHAnsi" w:eastAsiaTheme="minorEastAsia" w:hAnsiTheme="minorHAnsi" w:cstheme="minorBidi"/>
                <w:b w:val="0"/>
                <w:noProof/>
                <w:sz w:val="22"/>
                <w:lang w:eastAsia="en-AU"/>
              </w:rPr>
              <w:tab/>
            </w:r>
            <w:r w:rsidR="00252E32" w:rsidRPr="00CA5752">
              <w:rPr>
                <w:rStyle w:val="Hyperlink"/>
                <w:noProof/>
              </w:rPr>
              <w:t>Pharmacokinetics</w:t>
            </w:r>
            <w:r w:rsidR="00252E32">
              <w:rPr>
                <w:noProof/>
                <w:webHidden/>
              </w:rPr>
              <w:tab/>
            </w:r>
            <w:r>
              <w:rPr>
                <w:noProof/>
                <w:webHidden/>
              </w:rPr>
              <w:fldChar w:fldCharType="begin"/>
            </w:r>
            <w:r w:rsidR="00252E32">
              <w:rPr>
                <w:noProof/>
                <w:webHidden/>
              </w:rPr>
              <w:instrText xml:space="preserve"> PAGEREF _Toc370730595 \h </w:instrText>
            </w:r>
            <w:r>
              <w:rPr>
                <w:noProof/>
                <w:webHidden/>
              </w:rPr>
            </w:r>
            <w:r>
              <w:rPr>
                <w:noProof/>
                <w:webHidden/>
              </w:rPr>
              <w:fldChar w:fldCharType="separate"/>
            </w:r>
            <w:r w:rsidR="00252E32">
              <w:rPr>
                <w:noProof/>
                <w:webHidden/>
              </w:rPr>
              <w:t>9</w:t>
            </w:r>
            <w:r>
              <w:rPr>
                <w:noProof/>
                <w:webHidden/>
              </w:rPr>
              <w:fldChar w:fldCharType="end"/>
            </w:r>
          </w:hyperlink>
        </w:p>
        <w:p w:rsidR="00252E32" w:rsidRDefault="00692B58">
          <w:pPr>
            <w:pStyle w:val="TOC3"/>
            <w:tabs>
              <w:tab w:val="left" w:pos="1760"/>
            </w:tabs>
            <w:rPr>
              <w:rFonts w:asciiTheme="minorHAnsi" w:eastAsiaTheme="minorEastAsia" w:hAnsiTheme="minorHAnsi" w:cstheme="minorBidi"/>
              <w:noProof/>
              <w:lang w:eastAsia="en-AU"/>
            </w:rPr>
          </w:pPr>
          <w:hyperlink w:anchor="_Toc370730596" w:history="1">
            <w:r w:rsidR="00252E32" w:rsidRPr="00CA5752">
              <w:rPr>
                <w:rStyle w:val="Hyperlink"/>
                <w:noProof/>
              </w:rPr>
              <w:t>5.1.</w:t>
            </w:r>
            <w:r w:rsidR="00252E32">
              <w:rPr>
                <w:rFonts w:asciiTheme="minorHAnsi" w:eastAsiaTheme="minorEastAsia" w:hAnsiTheme="minorHAnsi" w:cstheme="minorBidi"/>
                <w:noProof/>
                <w:lang w:eastAsia="en-AU"/>
              </w:rPr>
              <w:tab/>
            </w:r>
            <w:r w:rsidR="00252E32" w:rsidRPr="00CA5752">
              <w:rPr>
                <w:rStyle w:val="Hyperlink"/>
                <w:noProof/>
              </w:rPr>
              <w:t>Evaluator’s overall conclusions on pharmacokinetics</w:t>
            </w:r>
            <w:r w:rsidR="00252E32">
              <w:rPr>
                <w:noProof/>
                <w:webHidden/>
              </w:rPr>
              <w:tab/>
            </w:r>
            <w:r>
              <w:rPr>
                <w:noProof/>
                <w:webHidden/>
              </w:rPr>
              <w:fldChar w:fldCharType="begin"/>
            </w:r>
            <w:r w:rsidR="00252E32">
              <w:rPr>
                <w:noProof/>
                <w:webHidden/>
              </w:rPr>
              <w:instrText xml:space="preserve"> PAGEREF _Toc370730596 \h </w:instrText>
            </w:r>
            <w:r>
              <w:rPr>
                <w:noProof/>
                <w:webHidden/>
              </w:rPr>
            </w:r>
            <w:r>
              <w:rPr>
                <w:noProof/>
                <w:webHidden/>
              </w:rPr>
              <w:fldChar w:fldCharType="separate"/>
            </w:r>
            <w:r w:rsidR="00252E32">
              <w:rPr>
                <w:noProof/>
                <w:webHidden/>
              </w:rPr>
              <w:t>9</w:t>
            </w:r>
            <w:r>
              <w:rPr>
                <w:noProof/>
                <w:webHidden/>
              </w:rPr>
              <w:fldChar w:fldCharType="end"/>
            </w:r>
          </w:hyperlink>
        </w:p>
        <w:p w:rsidR="00252E32" w:rsidRDefault="00692B58">
          <w:pPr>
            <w:pStyle w:val="TOC2"/>
            <w:tabs>
              <w:tab w:val="left" w:pos="1100"/>
            </w:tabs>
            <w:rPr>
              <w:rFonts w:asciiTheme="minorHAnsi" w:eastAsiaTheme="minorEastAsia" w:hAnsiTheme="minorHAnsi" w:cstheme="minorBidi"/>
              <w:b w:val="0"/>
              <w:noProof/>
              <w:sz w:val="22"/>
              <w:lang w:eastAsia="en-AU"/>
            </w:rPr>
          </w:pPr>
          <w:hyperlink w:anchor="_Toc370730597" w:history="1">
            <w:r w:rsidR="00252E32" w:rsidRPr="00CA5752">
              <w:rPr>
                <w:rStyle w:val="Hyperlink"/>
                <w:noProof/>
              </w:rPr>
              <w:t>6.</w:t>
            </w:r>
            <w:r w:rsidR="00252E32">
              <w:rPr>
                <w:rFonts w:asciiTheme="minorHAnsi" w:eastAsiaTheme="minorEastAsia" w:hAnsiTheme="minorHAnsi" w:cstheme="minorBidi"/>
                <w:b w:val="0"/>
                <w:noProof/>
                <w:sz w:val="22"/>
                <w:lang w:eastAsia="en-AU"/>
              </w:rPr>
              <w:tab/>
            </w:r>
            <w:r w:rsidR="00252E32" w:rsidRPr="00CA5752">
              <w:rPr>
                <w:rStyle w:val="Hyperlink"/>
                <w:noProof/>
              </w:rPr>
              <w:t>Pharmacodynamics</w:t>
            </w:r>
            <w:r w:rsidR="00252E32">
              <w:rPr>
                <w:noProof/>
                <w:webHidden/>
              </w:rPr>
              <w:tab/>
            </w:r>
            <w:r>
              <w:rPr>
                <w:noProof/>
                <w:webHidden/>
              </w:rPr>
              <w:fldChar w:fldCharType="begin"/>
            </w:r>
            <w:r w:rsidR="00252E32">
              <w:rPr>
                <w:noProof/>
                <w:webHidden/>
              </w:rPr>
              <w:instrText xml:space="preserve"> PAGEREF _Toc370730597 \h </w:instrText>
            </w:r>
            <w:r>
              <w:rPr>
                <w:noProof/>
                <w:webHidden/>
              </w:rPr>
            </w:r>
            <w:r>
              <w:rPr>
                <w:noProof/>
                <w:webHidden/>
              </w:rPr>
              <w:fldChar w:fldCharType="separate"/>
            </w:r>
            <w:r w:rsidR="00252E32">
              <w:rPr>
                <w:noProof/>
                <w:webHidden/>
              </w:rPr>
              <w:t>9</w:t>
            </w:r>
            <w:r>
              <w:rPr>
                <w:noProof/>
                <w:webHidden/>
              </w:rPr>
              <w:fldChar w:fldCharType="end"/>
            </w:r>
          </w:hyperlink>
        </w:p>
        <w:p w:rsidR="00252E32" w:rsidRDefault="00692B58">
          <w:pPr>
            <w:pStyle w:val="TOC2"/>
            <w:tabs>
              <w:tab w:val="left" w:pos="1100"/>
            </w:tabs>
            <w:rPr>
              <w:rFonts w:asciiTheme="minorHAnsi" w:eastAsiaTheme="minorEastAsia" w:hAnsiTheme="minorHAnsi" w:cstheme="minorBidi"/>
              <w:b w:val="0"/>
              <w:noProof/>
              <w:sz w:val="22"/>
              <w:lang w:eastAsia="en-AU"/>
            </w:rPr>
          </w:pPr>
          <w:hyperlink w:anchor="_Toc370730598" w:history="1">
            <w:r w:rsidR="00252E32" w:rsidRPr="00CA5752">
              <w:rPr>
                <w:rStyle w:val="Hyperlink"/>
                <w:noProof/>
              </w:rPr>
              <w:t>7.</w:t>
            </w:r>
            <w:r w:rsidR="00252E32">
              <w:rPr>
                <w:rFonts w:asciiTheme="minorHAnsi" w:eastAsiaTheme="minorEastAsia" w:hAnsiTheme="minorHAnsi" w:cstheme="minorBidi"/>
                <w:b w:val="0"/>
                <w:noProof/>
                <w:sz w:val="22"/>
                <w:lang w:eastAsia="en-AU"/>
              </w:rPr>
              <w:tab/>
            </w:r>
            <w:r w:rsidR="00252E32" w:rsidRPr="00CA5752">
              <w:rPr>
                <w:rStyle w:val="Hyperlink"/>
                <w:noProof/>
              </w:rPr>
              <w:t>Dosage selection for the pivotal studies</w:t>
            </w:r>
            <w:r w:rsidR="00252E32">
              <w:rPr>
                <w:noProof/>
                <w:webHidden/>
              </w:rPr>
              <w:tab/>
            </w:r>
            <w:r>
              <w:rPr>
                <w:noProof/>
                <w:webHidden/>
              </w:rPr>
              <w:fldChar w:fldCharType="begin"/>
            </w:r>
            <w:r w:rsidR="00252E32">
              <w:rPr>
                <w:noProof/>
                <w:webHidden/>
              </w:rPr>
              <w:instrText xml:space="preserve"> PAGEREF _Toc370730598 \h </w:instrText>
            </w:r>
            <w:r>
              <w:rPr>
                <w:noProof/>
                <w:webHidden/>
              </w:rPr>
            </w:r>
            <w:r>
              <w:rPr>
                <w:noProof/>
                <w:webHidden/>
              </w:rPr>
              <w:fldChar w:fldCharType="separate"/>
            </w:r>
            <w:r w:rsidR="00252E32">
              <w:rPr>
                <w:noProof/>
                <w:webHidden/>
              </w:rPr>
              <w:t>9</w:t>
            </w:r>
            <w:r>
              <w:rPr>
                <w:noProof/>
                <w:webHidden/>
              </w:rPr>
              <w:fldChar w:fldCharType="end"/>
            </w:r>
          </w:hyperlink>
        </w:p>
        <w:p w:rsidR="00252E32" w:rsidRDefault="00692B58">
          <w:pPr>
            <w:pStyle w:val="TOC2"/>
            <w:tabs>
              <w:tab w:val="left" w:pos="1100"/>
            </w:tabs>
            <w:rPr>
              <w:rFonts w:asciiTheme="minorHAnsi" w:eastAsiaTheme="minorEastAsia" w:hAnsiTheme="minorHAnsi" w:cstheme="minorBidi"/>
              <w:b w:val="0"/>
              <w:noProof/>
              <w:sz w:val="22"/>
              <w:lang w:eastAsia="en-AU"/>
            </w:rPr>
          </w:pPr>
          <w:hyperlink w:anchor="_Toc370730599" w:history="1">
            <w:r w:rsidR="00252E32" w:rsidRPr="00CA5752">
              <w:rPr>
                <w:rStyle w:val="Hyperlink"/>
                <w:noProof/>
              </w:rPr>
              <w:t>8.</w:t>
            </w:r>
            <w:r w:rsidR="00252E32">
              <w:rPr>
                <w:rFonts w:asciiTheme="minorHAnsi" w:eastAsiaTheme="minorEastAsia" w:hAnsiTheme="minorHAnsi" w:cstheme="minorBidi"/>
                <w:b w:val="0"/>
                <w:noProof/>
                <w:sz w:val="22"/>
                <w:lang w:eastAsia="en-AU"/>
              </w:rPr>
              <w:tab/>
            </w:r>
            <w:r w:rsidR="00252E32" w:rsidRPr="00CA5752">
              <w:rPr>
                <w:rStyle w:val="Hyperlink"/>
                <w:noProof/>
              </w:rPr>
              <w:t>Clinical efficacy</w:t>
            </w:r>
            <w:r w:rsidR="00252E32">
              <w:rPr>
                <w:noProof/>
                <w:webHidden/>
              </w:rPr>
              <w:tab/>
            </w:r>
            <w:r>
              <w:rPr>
                <w:noProof/>
                <w:webHidden/>
              </w:rPr>
              <w:fldChar w:fldCharType="begin"/>
            </w:r>
            <w:r w:rsidR="00252E32">
              <w:rPr>
                <w:noProof/>
                <w:webHidden/>
              </w:rPr>
              <w:instrText xml:space="preserve"> PAGEREF _Toc370730599 \h </w:instrText>
            </w:r>
            <w:r>
              <w:rPr>
                <w:noProof/>
                <w:webHidden/>
              </w:rPr>
            </w:r>
            <w:r>
              <w:rPr>
                <w:noProof/>
                <w:webHidden/>
              </w:rPr>
              <w:fldChar w:fldCharType="separate"/>
            </w:r>
            <w:r w:rsidR="00252E32">
              <w:rPr>
                <w:noProof/>
                <w:webHidden/>
              </w:rPr>
              <w:t>9</w:t>
            </w:r>
            <w:r>
              <w:rPr>
                <w:noProof/>
                <w:webHidden/>
              </w:rPr>
              <w:fldChar w:fldCharType="end"/>
            </w:r>
          </w:hyperlink>
        </w:p>
        <w:p w:rsidR="00252E32" w:rsidRDefault="00692B58">
          <w:pPr>
            <w:pStyle w:val="TOC3"/>
            <w:tabs>
              <w:tab w:val="left" w:pos="1760"/>
            </w:tabs>
            <w:rPr>
              <w:rFonts w:asciiTheme="minorHAnsi" w:eastAsiaTheme="minorEastAsia" w:hAnsiTheme="minorHAnsi" w:cstheme="minorBidi"/>
              <w:noProof/>
              <w:lang w:eastAsia="en-AU"/>
            </w:rPr>
          </w:pPr>
          <w:hyperlink w:anchor="_Toc370730600" w:history="1">
            <w:r w:rsidR="00252E32" w:rsidRPr="00CA5752">
              <w:rPr>
                <w:rStyle w:val="Hyperlink"/>
                <w:noProof/>
              </w:rPr>
              <w:t>8.1.</w:t>
            </w:r>
            <w:r w:rsidR="00252E32">
              <w:rPr>
                <w:rFonts w:asciiTheme="minorHAnsi" w:eastAsiaTheme="minorEastAsia" w:hAnsiTheme="minorHAnsi" w:cstheme="minorBidi"/>
                <w:noProof/>
                <w:lang w:eastAsia="en-AU"/>
              </w:rPr>
              <w:tab/>
            </w:r>
            <w:r w:rsidR="00252E32" w:rsidRPr="00CA5752">
              <w:rPr>
                <w:rStyle w:val="Hyperlink"/>
                <w:noProof/>
              </w:rPr>
              <w:t>Efficacy as the combined product</w:t>
            </w:r>
            <w:r w:rsidR="00252E32">
              <w:rPr>
                <w:noProof/>
                <w:webHidden/>
              </w:rPr>
              <w:tab/>
            </w:r>
            <w:r>
              <w:rPr>
                <w:noProof/>
                <w:webHidden/>
              </w:rPr>
              <w:fldChar w:fldCharType="begin"/>
            </w:r>
            <w:r w:rsidR="00252E32">
              <w:rPr>
                <w:noProof/>
                <w:webHidden/>
              </w:rPr>
              <w:instrText xml:space="preserve"> PAGEREF _Toc370730600 \h </w:instrText>
            </w:r>
            <w:r>
              <w:rPr>
                <w:noProof/>
                <w:webHidden/>
              </w:rPr>
            </w:r>
            <w:r>
              <w:rPr>
                <w:noProof/>
                <w:webHidden/>
              </w:rPr>
              <w:fldChar w:fldCharType="separate"/>
            </w:r>
            <w:r w:rsidR="00252E32">
              <w:rPr>
                <w:noProof/>
                <w:webHidden/>
              </w:rPr>
              <w:t>10</w:t>
            </w:r>
            <w:r>
              <w:rPr>
                <w:noProof/>
                <w:webHidden/>
              </w:rPr>
              <w:fldChar w:fldCharType="end"/>
            </w:r>
          </w:hyperlink>
        </w:p>
        <w:p w:rsidR="00252E32" w:rsidRDefault="00692B58">
          <w:pPr>
            <w:pStyle w:val="TOC3"/>
            <w:tabs>
              <w:tab w:val="left" w:pos="1760"/>
            </w:tabs>
            <w:rPr>
              <w:rFonts w:asciiTheme="minorHAnsi" w:eastAsiaTheme="minorEastAsia" w:hAnsiTheme="minorHAnsi" w:cstheme="minorBidi"/>
              <w:noProof/>
              <w:lang w:eastAsia="en-AU"/>
            </w:rPr>
          </w:pPr>
          <w:hyperlink w:anchor="_Toc370730601" w:history="1">
            <w:r w:rsidR="00252E32" w:rsidRPr="00CA5752">
              <w:rPr>
                <w:rStyle w:val="Hyperlink"/>
                <w:noProof/>
              </w:rPr>
              <w:t>8.2.</w:t>
            </w:r>
            <w:r w:rsidR="00252E32">
              <w:rPr>
                <w:rFonts w:asciiTheme="minorHAnsi" w:eastAsiaTheme="minorEastAsia" w:hAnsiTheme="minorHAnsi" w:cstheme="minorBidi"/>
                <w:noProof/>
                <w:lang w:eastAsia="en-AU"/>
              </w:rPr>
              <w:tab/>
            </w:r>
            <w:r w:rsidR="00252E32" w:rsidRPr="00CA5752">
              <w:rPr>
                <w:rStyle w:val="Hyperlink"/>
                <w:noProof/>
              </w:rPr>
              <w:t>Efficacy of individual components</w:t>
            </w:r>
            <w:r w:rsidR="00252E32">
              <w:rPr>
                <w:noProof/>
                <w:webHidden/>
              </w:rPr>
              <w:tab/>
            </w:r>
            <w:r>
              <w:rPr>
                <w:noProof/>
                <w:webHidden/>
              </w:rPr>
              <w:fldChar w:fldCharType="begin"/>
            </w:r>
            <w:r w:rsidR="00252E32">
              <w:rPr>
                <w:noProof/>
                <w:webHidden/>
              </w:rPr>
              <w:instrText xml:space="preserve"> PAGEREF _Toc370730601 \h </w:instrText>
            </w:r>
            <w:r>
              <w:rPr>
                <w:noProof/>
                <w:webHidden/>
              </w:rPr>
            </w:r>
            <w:r>
              <w:rPr>
                <w:noProof/>
                <w:webHidden/>
              </w:rPr>
              <w:fldChar w:fldCharType="separate"/>
            </w:r>
            <w:r w:rsidR="00252E32">
              <w:rPr>
                <w:noProof/>
                <w:webHidden/>
              </w:rPr>
              <w:t>15</w:t>
            </w:r>
            <w:r>
              <w:rPr>
                <w:noProof/>
                <w:webHidden/>
              </w:rPr>
              <w:fldChar w:fldCharType="end"/>
            </w:r>
          </w:hyperlink>
        </w:p>
        <w:p w:rsidR="00252E32" w:rsidRDefault="00692B58">
          <w:pPr>
            <w:pStyle w:val="TOC3"/>
            <w:tabs>
              <w:tab w:val="left" w:pos="1760"/>
            </w:tabs>
            <w:rPr>
              <w:rFonts w:asciiTheme="minorHAnsi" w:eastAsiaTheme="minorEastAsia" w:hAnsiTheme="minorHAnsi" w:cstheme="minorBidi"/>
              <w:noProof/>
              <w:lang w:eastAsia="en-AU"/>
            </w:rPr>
          </w:pPr>
          <w:hyperlink w:anchor="_Toc370730602" w:history="1">
            <w:r w:rsidR="00252E32" w:rsidRPr="00CA5752">
              <w:rPr>
                <w:rStyle w:val="Hyperlink"/>
                <w:noProof/>
              </w:rPr>
              <w:t>8.3.</w:t>
            </w:r>
            <w:r w:rsidR="00252E32">
              <w:rPr>
                <w:rFonts w:asciiTheme="minorHAnsi" w:eastAsiaTheme="minorEastAsia" w:hAnsiTheme="minorHAnsi" w:cstheme="minorBidi"/>
                <w:noProof/>
                <w:lang w:eastAsia="en-AU"/>
              </w:rPr>
              <w:tab/>
            </w:r>
            <w:r w:rsidR="00252E32" w:rsidRPr="00CA5752">
              <w:rPr>
                <w:rStyle w:val="Hyperlink"/>
                <w:noProof/>
              </w:rPr>
              <w:t>Evaluator’s conclusions on clinical efficacy</w:t>
            </w:r>
            <w:r w:rsidR="00252E32">
              <w:rPr>
                <w:noProof/>
                <w:webHidden/>
              </w:rPr>
              <w:tab/>
            </w:r>
            <w:r>
              <w:rPr>
                <w:noProof/>
                <w:webHidden/>
              </w:rPr>
              <w:fldChar w:fldCharType="begin"/>
            </w:r>
            <w:r w:rsidR="00252E32">
              <w:rPr>
                <w:noProof/>
                <w:webHidden/>
              </w:rPr>
              <w:instrText xml:space="preserve"> PAGEREF _Toc370730602 \h </w:instrText>
            </w:r>
            <w:r>
              <w:rPr>
                <w:noProof/>
                <w:webHidden/>
              </w:rPr>
            </w:r>
            <w:r>
              <w:rPr>
                <w:noProof/>
                <w:webHidden/>
              </w:rPr>
              <w:fldChar w:fldCharType="separate"/>
            </w:r>
            <w:r w:rsidR="00252E32">
              <w:rPr>
                <w:noProof/>
                <w:webHidden/>
              </w:rPr>
              <w:t>19</w:t>
            </w:r>
            <w:r>
              <w:rPr>
                <w:noProof/>
                <w:webHidden/>
              </w:rPr>
              <w:fldChar w:fldCharType="end"/>
            </w:r>
          </w:hyperlink>
        </w:p>
        <w:p w:rsidR="00252E32" w:rsidRDefault="00692B58">
          <w:pPr>
            <w:pStyle w:val="TOC2"/>
            <w:tabs>
              <w:tab w:val="left" w:pos="1100"/>
            </w:tabs>
            <w:rPr>
              <w:rFonts w:asciiTheme="minorHAnsi" w:eastAsiaTheme="minorEastAsia" w:hAnsiTheme="minorHAnsi" w:cstheme="minorBidi"/>
              <w:b w:val="0"/>
              <w:noProof/>
              <w:sz w:val="22"/>
              <w:lang w:eastAsia="en-AU"/>
            </w:rPr>
          </w:pPr>
          <w:hyperlink w:anchor="_Toc370730603" w:history="1">
            <w:r w:rsidR="00252E32" w:rsidRPr="00CA5752">
              <w:rPr>
                <w:rStyle w:val="Hyperlink"/>
                <w:noProof/>
              </w:rPr>
              <w:t>9.</w:t>
            </w:r>
            <w:r w:rsidR="00252E32">
              <w:rPr>
                <w:rFonts w:asciiTheme="minorHAnsi" w:eastAsiaTheme="minorEastAsia" w:hAnsiTheme="minorHAnsi" w:cstheme="minorBidi"/>
                <w:b w:val="0"/>
                <w:noProof/>
                <w:sz w:val="22"/>
                <w:lang w:eastAsia="en-AU"/>
              </w:rPr>
              <w:tab/>
            </w:r>
            <w:r w:rsidR="00252E32" w:rsidRPr="00CA5752">
              <w:rPr>
                <w:rStyle w:val="Hyperlink"/>
                <w:noProof/>
              </w:rPr>
              <w:t>Clinical safety</w:t>
            </w:r>
            <w:r w:rsidR="00252E32">
              <w:rPr>
                <w:noProof/>
                <w:webHidden/>
              </w:rPr>
              <w:tab/>
            </w:r>
            <w:r>
              <w:rPr>
                <w:noProof/>
                <w:webHidden/>
              </w:rPr>
              <w:fldChar w:fldCharType="begin"/>
            </w:r>
            <w:r w:rsidR="00252E32">
              <w:rPr>
                <w:noProof/>
                <w:webHidden/>
              </w:rPr>
              <w:instrText xml:space="preserve"> PAGEREF _Toc370730603 \h </w:instrText>
            </w:r>
            <w:r>
              <w:rPr>
                <w:noProof/>
                <w:webHidden/>
              </w:rPr>
            </w:r>
            <w:r>
              <w:rPr>
                <w:noProof/>
                <w:webHidden/>
              </w:rPr>
              <w:fldChar w:fldCharType="separate"/>
            </w:r>
            <w:r w:rsidR="00252E32">
              <w:rPr>
                <w:noProof/>
                <w:webHidden/>
              </w:rPr>
              <w:t>19</w:t>
            </w:r>
            <w:r>
              <w:rPr>
                <w:noProof/>
                <w:webHidden/>
              </w:rPr>
              <w:fldChar w:fldCharType="end"/>
            </w:r>
          </w:hyperlink>
        </w:p>
        <w:p w:rsidR="00252E32" w:rsidRDefault="00692B58">
          <w:pPr>
            <w:pStyle w:val="TOC3"/>
            <w:tabs>
              <w:tab w:val="left" w:pos="1760"/>
            </w:tabs>
            <w:rPr>
              <w:rFonts w:asciiTheme="minorHAnsi" w:eastAsiaTheme="minorEastAsia" w:hAnsiTheme="minorHAnsi" w:cstheme="minorBidi"/>
              <w:noProof/>
              <w:lang w:eastAsia="en-AU"/>
            </w:rPr>
          </w:pPr>
          <w:hyperlink w:anchor="_Toc370730604" w:history="1">
            <w:r w:rsidR="00252E32" w:rsidRPr="00CA5752">
              <w:rPr>
                <w:rStyle w:val="Hyperlink"/>
                <w:noProof/>
              </w:rPr>
              <w:t>9.1.</w:t>
            </w:r>
            <w:r w:rsidR="00252E32">
              <w:rPr>
                <w:rFonts w:asciiTheme="minorHAnsi" w:eastAsiaTheme="minorEastAsia" w:hAnsiTheme="minorHAnsi" w:cstheme="minorBidi"/>
                <w:noProof/>
                <w:lang w:eastAsia="en-AU"/>
              </w:rPr>
              <w:tab/>
            </w:r>
            <w:r w:rsidR="00252E32" w:rsidRPr="00CA5752">
              <w:rPr>
                <w:rStyle w:val="Hyperlink"/>
                <w:noProof/>
              </w:rPr>
              <w:t>Combined product - study ICS1063B/P01/03/Mu.F</w:t>
            </w:r>
            <w:r w:rsidR="00252E32">
              <w:rPr>
                <w:noProof/>
                <w:webHidden/>
              </w:rPr>
              <w:tab/>
            </w:r>
            <w:r>
              <w:rPr>
                <w:noProof/>
                <w:webHidden/>
              </w:rPr>
              <w:fldChar w:fldCharType="begin"/>
            </w:r>
            <w:r w:rsidR="00252E32">
              <w:rPr>
                <w:noProof/>
                <w:webHidden/>
              </w:rPr>
              <w:instrText xml:space="preserve"> PAGEREF _Toc370730604 \h </w:instrText>
            </w:r>
            <w:r>
              <w:rPr>
                <w:noProof/>
                <w:webHidden/>
              </w:rPr>
            </w:r>
            <w:r>
              <w:rPr>
                <w:noProof/>
                <w:webHidden/>
              </w:rPr>
              <w:fldChar w:fldCharType="separate"/>
            </w:r>
            <w:r w:rsidR="00252E32">
              <w:rPr>
                <w:noProof/>
                <w:webHidden/>
              </w:rPr>
              <w:t>19</w:t>
            </w:r>
            <w:r>
              <w:rPr>
                <w:noProof/>
                <w:webHidden/>
              </w:rPr>
              <w:fldChar w:fldCharType="end"/>
            </w:r>
          </w:hyperlink>
        </w:p>
        <w:p w:rsidR="00252E32" w:rsidRDefault="00692B58">
          <w:pPr>
            <w:pStyle w:val="TOC3"/>
            <w:tabs>
              <w:tab w:val="left" w:pos="1760"/>
            </w:tabs>
            <w:rPr>
              <w:rFonts w:asciiTheme="minorHAnsi" w:eastAsiaTheme="minorEastAsia" w:hAnsiTheme="minorHAnsi" w:cstheme="minorBidi"/>
              <w:noProof/>
              <w:lang w:eastAsia="en-AU"/>
            </w:rPr>
          </w:pPr>
          <w:hyperlink w:anchor="_Toc370730605" w:history="1">
            <w:r w:rsidR="00252E32" w:rsidRPr="00CA5752">
              <w:rPr>
                <w:rStyle w:val="Hyperlink"/>
                <w:noProof/>
              </w:rPr>
              <w:t>9.2.</w:t>
            </w:r>
            <w:r w:rsidR="00252E32">
              <w:rPr>
                <w:rFonts w:asciiTheme="minorHAnsi" w:eastAsiaTheme="minorEastAsia" w:hAnsiTheme="minorHAnsi" w:cstheme="minorBidi"/>
                <w:noProof/>
                <w:lang w:eastAsia="en-AU"/>
              </w:rPr>
              <w:tab/>
            </w:r>
            <w:r w:rsidR="00252E32" w:rsidRPr="00CA5752">
              <w:rPr>
                <w:rStyle w:val="Hyperlink"/>
                <w:noProof/>
              </w:rPr>
              <w:t>Safety of individual components</w:t>
            </w:r>
            <w:r w:rsidR="00252E32">
              <w:rPr>
                <w:noProof/>
                <w:webHidden/>
              </w:rPr>
              <w:tab/>
            </w:r>
            <w:r>
              <w:rPr>
                <w:noProof/>
                <w:webHidden/>
              </w:rPr>
              <w:fldChar w:fldCharType="begin"/>
            </w:r>
            <w:r w:rsidR="00252E32">
              <w:rPr>
                <w:noProof/>
                <w:webHidden/>
              </w:rPr>
              <w:instrText xml:space="preserve"> PAGEREF _Toc370730605 \h </w:instrText>
            </w:r>
            <w:r>
              <w:rPr>
                <w:noProof/>
                <w:webHidden/>
              </w:rPr>
            </w:r>
            <w:r>
              <w:rPr>
                <w:noProof/>
                <w:webHidden/>
              </w:rPr>
              <w:fldChar w:fldCharType="separate"/>
            </w:r>
            <w:r w:rsidR="00252E32">
              <w:rPr>
                <w:noProof/>
                <w:webHidden/>
              </w:rPr>
              <w:t>23</w:t>
            </w:r>
            <w:r>
              <w:rPr>
                <w:noProof/>
                <w:webHidden/>
              </w:rPr>
              <w:fldChar w:fldCharType="end"/>
            </w:r>
          </w:hyperlink>
        </w:p>
        <w:p w:rsidR="00252E32" w:rsidRDefault="00692B58">
          <w:pPr>
            <w:pStyle w:val="TOC3"/>
            <w:tabs>
              <w:tab w:val="left" w:pos="1760"/>
            </w:tabs>
            <w:rPr>
              <w:rFonts w:asciiTheme="minorHAnsi" w:eastAsiaTheme="minorEastAsia" w:hAnsiTheme="minorHAnsi" w:cstheme="minorBidi"/>
              <w:noProof/>
              <w:lang w:eastAsia="en-AU"/>
            </w:rPr>
          </w:pPr>
          <w:hyperlink w:anchor="_Toc370730606" w:history="1">
            <w:r w:rsidR="00252E32" w:rsidRPr="00CA5752">
              <w:rPr>
                <w:rStyle w:val="Hyperlink"/>
                <w:noProof/>
              </w:rPr>
              <w:t>9.3.</w:t>
            </w:r>
            <w:r w:rsidR="00252E32">
              <w:rPr>
                <w:rFonts w:asciiTheme="minorHAnsi" w:eastAsiaTheme="minorEastAsia" w:hAnsiTheme="minorHAnsi" w:cstheme="minorBidi"/>
                <w:noProof/>
                <w:lang w:eastAsia="en-AU"/>
              </w:rPr>
              <w:tab/>
            </w:r>
            <w:r w:rsidR="00252E32" w:rsidRPr="00CA5752">
              <w:rPr>
                <w:rStyle w:val="Hyperlink"/>
                <w:noProof/>
              </w:rPr>
              <w:t>Post-marketing experience</w:t>
            </w:r>
            <w:r w:rsidR="00252E32">
              <w:rPr>
                <w:noProof/>
                <w:webHidden/>
              </w:rPr>
              <w:tab/>
            </w:r>
            <w:r>
              <w:rPr>
                <w:noProof/>
                <w:webHidden/>
              </w:rPr>
              <w:fldChar w:fldCharType="begin"/>
            </w:r>
            <w:r w:rsidR="00252E32">
              <w:rPr>
                <w:noProof/>
                <w:webHidden/>
              </w:rPr>
              <w:instrText xml:space="preserve"> PAGEREF _Toc370730606 \h </w:instrText>
            </w:r>
            <w:r>
              <w:rPr>
                <w:noProof/>
                <w:webHidden/>
              </w:rPr>
            </w:r>
            <w:r>
              <w:rPr>
                <w:noProof/>
                <w:webHidden/>
              </w:rPr>
              <w:fldChar w:fldCharType="separate"/>
            </w:r>
            <w:r w:rsidR="00252E32">
              <w:rPr>
                <w:noProof/>
                <w:webHidden/>
              </w:rPr>
              <w:t>24</w:t>
            </w:r>
            <w:r>
              <w:rPr>
                <w:noProof/>
                <w:webHidden/>
              </w:rPr>
              <w:fldChar w:fldCharType="end"/>
            </w:r>
          </w:hyperlink>
        </w:p>
        <w:p w:rsidR="00252E32" w:rsidRDefault="00692B58">
          <w:pPr>
            <w:pStyle w:val="TOC3"/>
            <w:tabs>
              <w:tab w:val="left" w:pos="1760"/>
            </w:tabs>
            <w:rPr>
              <w:rFonts w:asciiTheme="minorHAnsi" w:eastAsiaTheme="minorEastAsia" w:hAnsiTheme="minorHAnsi" w:cstheme="minorBidi"/>
              <w:noProof/>
              <w:lang w:eastAsia="en-AU"/>
            </w:rPr>
          </w:pPr>
          <w:hyperlink w:anchor="_Toc370730607" w:history="1">
            <w:r w:rsidR="00252E32" w:rsidRPr="00CA5752">
              <w:rPr>
                <w:rStyle w:val="Hyperlink"/>
                <w:noProof/>
              </w:rPr>
              <w:t>9.4.</w:t>
            </w:r>
            <w:r w:rsidR="00252E32">
              <w:rPr>
                <w:rFonts w:asciiTheme="minorHAnsi" w:eastAsiaTheme="minorEastAsia" w:hAnsiTheme="minorHAnsi" w:cstheme="minorBidi"/>
                <w:noProof/>
                <w:lang w:eastAsia="en-AU"/>
              </w:rPr>
              <w:tab/>
            </w:r>
            <w:r w:rsidR="00252E32" w:rsidRPr="00CA5752">
              <w:rPr>
                <w:rStyle w:val="Hyperlink"/>
                <w:noProof/>
              </w:rPr>
              <w:t>Evaluator’s overall conclusions on clinical safety</w:t>
            </w:r>
            <w:r w:rsidR="00252E32">
              <w:rPr>
                <w:noProof/>
                <w:webHidden/>
              </w:rPr>
              <w:tab/>
            </w:r>
            <w:r>
              <w:rPr>
                <w:noProof/>
                <w:webHidden/>
              </w:rPr>
              <w:fldChar w:fldCharType="begin"/>
            </w:r>
            <w:r w:rsidR="00252E32">
              <w:rPr>
                <w:noProof/>
                <w:webHidden/>
              </w:rPr>
              <w:instrText xml:space="preserve"> PAGEREF _Toc370730607 \h </w:instrText>
            </w:r>
            <w:r>
              <w:rPr>
                <w:noProof/>
                <w:webHidden/>
              </w:rPr>
            </w:r>
            <w:r>
              <w:rPr>
                <w:noProof/>
                <w:webHidden/>
              </w:rPr>
              <w:fldChar w:fldCharType="separate"/>
            </w:r>
            <w:r w:rsidR="00252E32">
              <w:rPr>
                <w:noProof/>
                <w:webHidden/>
              </w:rPr>
              <w:t>26</w:t>
            </w:r>
            <w:r>
              <w:rPr>
                <w:noProof/>
                <w:webHidden/>
              </w:rPr>
              <w:fldChar w:fldCharType="end"/>
            </w:r>
          </w:hyperlink>
        </w:p>
        <w:p w:rsidR="00252E32" w:rsidRDefault="00692B58">
          <w:pPr>
            <w:pStyle w:val="TOC2"/>
            <w:tabs>
              <w:tab w:val="left" w:pos="1320"/>
            </w:tabs>
            <w:rPr>
              <w:rFonts w:asciiTheme="minorHAnsi" w:eastAsiaTheme="minorEastAsia" w:hAnsiTheme="minorHAnsi" w:cstheme="minorBidi"/>
              <w:b w:val="0"/>
              <w:noProof/>
              <w:sz w:val="22"/>
              <w:lang w:eastAsia="en-AU"/>
            </w:rPr>
          </w:pPr>
          <w:hyperlink w:anchor="_Toc370730608" w:history="1">
            <w:r w:rsidR="00252E32" w:rsidRPr="00CA5752">
              <w:rPr>
                <w:rStyle w:val="Hyperlink"/>
                <w:noProof/>
              </w:rPr>
              <w:t>10.</w:t>
            </w:r>
            <w:r w:rsidR="00252E32">
              <w:rPr>
                <w:rFonts w:asciiTheme="minorHAnsi" w:eastAsiaTheme="minorEastAsia" w:hAnsiTheme="minorHAnsi" w:cstheme="minorBidi"/>
                <w:b w:val="0"/>
                <w:noProof/>
                <w:sz w:val="22"/>
                <w:lang w:eastAsia="en-AU"/>
              </w:rPr>
              <w:tab/>
            </w:r>
            <w:r w:rsidR="00252E32" w:rsidRPr="00CA5752">
              <w:rPr>
                <w:rStyle w:val="Hyperlink"/>
                <w:noProof/>
              </w:rPr>
              <w:t>First round benefit-risk assessment</w:t>
            </w:r>
            <w:r w:rsidR="00252E32">
              <w:rPr>
                <w:noProof/>
                <w:webHidden/>
              </w:rPr>
              <w:tab/>
            </w:r>
            <w:r>
              <w:rPr>
                <w:noProof/>
                <w:webHidden/>
              </w:rPr>
              <w:fldChar w:fldCharType="begin"/>
            </w:r>
            <w:r w:rsidR="00252E32">
              <w:rPr>
                <w:noProof/>
                <w:webHidden/>
              </w:rPr>
              <w:instrText xml:space="preserve"> PAGEREF _Toc370730608 \h </w:instrText>
            </w:r>
            <w:r>
              <w:rPr>
                <w:noProof/>
                <w:webHidden/>
              </w:rPr>
            </w:r>
            <w:r>
              <w:rPr>
                <w:noProof/>
                <w:webHidden/>
              </w:rPr>
              <w:fldChar w:fldCharType="separate"/>
            </w:r>
            <w:r w:rsidR="00252E32">
              <w:rPr>
                <w:noProof/>
                <w:webHidden/>
              </w:rPr>
              <w:t>27</w:t>
            </w:r>
            <w:r>
              <w:rPr>
                <w:noProof/>
                <w:webHidden/>
              </w:rPr>
              <w:fldChar w:fldCharType="end"/>
            </w:r>
          </w:hyperlink>
        </w:p>
        <w:p w:rsidR="00252E32" w:rsidRDefault="00692B58">
          <w:pPr>
            <w:pStyle w:val="TOC3"/>
            <w:tabs>
              <w:tab w:val="left" w:pos="1760"/>
            </w:tabs>
            <w:rPr>
              <w:rFonts w:asciiTheme="minorHAnsi" w:eastAsiaTheme="minorEastAsia" w:hAnsiTheme="minorHAnsi" w:cstheme="minorBidi"/>
              <w:noProof/>
              <w:lang w:eastAsia="en-AU"/>
            </w:rPr>
          </w:pPr>
          <w:hyperlink w:anchor="_Toc370730609" w:history="1">
            <w:r w:rsidR="00252E32" w:rsidRPr="00CA5752">
              <w:rPr>
                <w:rStyle w:val="Hyperlink"/>
                <w:noProof/>
              </w:rPr>
              <w:t>10.1.</w:t>
            </w:r>
            <w:r w:rsidR="00252E32">
              <w:rPr>
                <w:rFonts w:asciiTheme="minorHAnsi" w:eastAsiaTheme="minorEastAsia" w:hAnsiTheme="minorHAnsi" w:cstheme="minorBidi"/>
                <w:noProof/>
                <w:lang w:eastAsia="en-AU"/>
              </w:rPr>
              <w:tab/>
            </w:r>
            <w:r w:rsidR="00252E32" w:rsidRPr="00CA5752">
              <w:rPr>
                <w:rStyle w:val="Hyperlink"/>
                <w:noProof/>
              </w:rPr>
              <w:t>First round assessment of benefits</w:t>
            </w:r>
            <w:r w:rsidR="00252E32">
              <w:rPr>
                <w:noProof/>
                <w:webHidden/>
              </w:rPr>
              <w:tab/>
            </w:r>
            <w:r>
              <w:rPr>
                <w:noProof/>
                <w:webHidden/>
              </w:rPr>
              <w:fldChar w:fldCharType="begin"/>
            </w:r>
            <w:r w:rsidR="00252E32">
              <w:rPr>
                <w:noProof/>
                <w:webHidden/>
              </w:rPr>
              <w:instrText xml:space="preserve"> PAGEREF _Toc370730609 \h </w:instrText>
            </w:r>
            <w:r>
              <w:rPr>
                <w:noProof/>
                <w:webHidden/>
              </w:rPr>
            </w:r>
            <w:r>
              <w:rPr>
                <w:noProof/>
                <w:webHidden/>
              </w:rPr>
              <w:fldChar w:fldCharType="separate"/>
            </w:r>
            <w:r w:rsidR="00252E32">
              <w:rPr>
                <w:noProof/>
                <w:webHidden/>
              </w:rPr>
              <w:t>27</w:t>
            </w:r>
            <w:r>
              <w:rPr>
                <w:noProof/>
                <w:webHidden/>
              </w:rPr>
              <w:fldChar w:fldCharType="end"/>
            </w:r>
          </w:hyperlink>
        </w:p>
        <w:p w:rsidR="00252E32" w:rsidRDefault="00692B58">
          <w:pPr>
            <w:pStyle w:val="TOC3"/>
            <w:tabs>
              <w:tab w:val="left" w:pos="1760"/>
            </w:tabs>
            <w:rPr>
              <w:rFonts w:asciiTheme="minorHAnsi" w:eastAsiaTheme="minorEastAsia" w:hAnsiTheme="minorHAnsi" w:cstheme="minorBidi"/>
              <w:noProof/>
              <w:lang w:eastAsia="en-AU"/>
            </w:rPr>
          </w:pPr>
          <w:hyperlink w:anchor="_Toc370730610" w:history="1">
            <w:r w:rsidR="00252E32" w:rsidRPr="00CA5752">
              <w:rPr>
                <w:rStyle w:val="Hyperlink"/>
                <w:noProof/>
              </w:rPr>
              <w:t>10.2.</w:t>
            </w:r>
            <w:r w:rsidR="00252E32">
              <w:rPr>
                <w:rFonts w:asciiTheme="minorHAnsi" w:eastAsiaTheme="minorEastAsia" w:hAnsiTheme="minorHAnsi" w:cstheme="minorBidi"/>
                <w:noProof/>
                <w:lang w:eastAsia="en-AU"/>
              </w:rPr>
              <w:tab/>
            </w:r>
            <w:r w:rsidR="00252E32" w:rsidRPr="00CA5752">
              <w:rPr>
                <w:rStyle w:val="Hyperlink"/>
                <w:noProof/>
              </w:rPr>
              <w:t>First round assessment of risks</w:t>
            </w:r>
            <w:r w:rsidR="00252E32">
              <w:rPr>
                <w:noProof/>
                <w:webHidden/>
              </w:rPr>
              <w:tab/>
            </w:r>
            <w:r>
              <w:rPr>
                <w:noProof/>
                <w:webHidden/>
              </w:rPr>
              <w:fldChar w:fldCharType="begin"/>
            </w:r>
            <w:r w:rsidR="00252E32">
              <w:rPr>
                <w:noProof/>
                <w:webHidden/>
              </w:rPr>
              <w:instrText xml:space="preserve"> PAGEREF _Toc370730610 \h </w:instrText>
            </w:r>
            <w:r>
              <w:rPr>
                <w:noProof/>
                <w:webHidden/>
              </w:rPr>
            </w:r>
            <w:r>
              <w:rPr>
                <w:noProof/>
                <w:webHidden/>
              </w:rPr>
              <w:fldChar w:fldCharType="separate"/>
            </w:r>
            <w:r w:rsidR="00252E32">
              <w:rPr>
                <w:noProof/>
                <w:webHidden/>
              </w:rPr>
              <w:t>28</w:t>
            </w:r>
            <w:r>
              <w:rPr>
                <w:noProof/>
                <w:webHidden/>
              </w:rPr>
              <w:fldChar w:fldCharType="end"/>
            </w:r>
          </w:hyperlink>
        </w:p>
        <w:p w:rsidR="00252E32" w:rsidRDefault="00692B58">
          <w:pPr>
            <w:pStyle w:val="TOC3"/>
            <w:tabs>
              <w:tab w:val="left" w:pos="1760"/>
            </w:tabs>
            <w:rPr>
              <w:rFonts w:asciiTheme="minorHAnsi" w:eastAsiaTheme="minorEastAsia" w:hAnsiTheme="minorHAnsi" w:cstheme="minorBidi"/>
              <w:noProof/>
              <w:lang w:eastAsia="en-AU"/>
            </w:rPr>
          </w:pPr>
          <w:hyperlink w:anchor="_Toc370730611" w:history="1">
            <w:r w:rsidR="00252E32" w:rsidRPr="00CA5752">
              <w:rPr>
                <w:rStyle w:val="Hyperlink"/>
                <w:noProof/>
              </w:rPr>
              <w:t>10.3.</w:t>
            </w:r>
            <w:r w:rsidR="00252E32">
              <w:rPr>
                <w:rFonts w:asciiTheme="minorHAnsi" w:eastAsiaTheme="minorEastAsia" w:hAnsiTheme="minorHAnsi" w:cstheme="minorBidi"/>
                <w:noProof/>
                <w:lang w:eastAsia="en-AU"/>
              </w:rPr>
              <w:tab/>
            </w:r>
            <w:r w:rsidR="00252E32" w:rsidRPr="00CA5752">
              <w:rPr>
                <w:rStyle w:val="Hyperlink"/>
                <w:noProof/>
              </w:rPr>
              <w:t>First round assessment of benefit-risk balance</w:t>
            </w:r>
            <w:r w:rsidR="00252E32">
              <w:rPr>
                <w:noProof/>
                <w:webHidden/>
              </w:rPr>
              <w:tab/>
            </w:r>
            <w:r>
              <w:rPr>
                <w:noProof/>
                <w:webHidden/>
              </w:rPr>
              <w:fldChar w:fldCharType="begin"/>
            </w:r>
            <w:r w:rsidR="00252E32">
              <w:rPr>
                <w:noProof/>
                <w:webHidden/>
              </w:rPr>
              <w:instrText xml:space="preserve"> PAGEREF _Toc370730611 \h </w:instrText>
            </w:r>
            <w:r>
              <w:rPr>
                <w:noProof/>
                <w:webHidden/>
              </w:rPr>
            </w:r>
            <w:r>
              <w:rPr>
                <w:noProof/>
                <w:webHidden/>
              </w:rPr>
              <w:fldChar w:fldCharType="separate"/>
            </w:r>
            <w:r w:rsidR="00252E32">
              <w:rPr>
                <w:noProof/>
                <w:webHidden/>
              </w:rPr>
              <w:t>28</w:t>
            </w:r>
            <w:r>
              <w:rPr>
                <w:noProof/>
                <w:webHidden/>
              </w:rPr>
              <w:fldChar w:fldCharType="end"/>
            </w:r>
          </w:hyperlink>
        </w:p>
        <w:p w:rsidR="00252E32" w:rsidRDefault="00692B58">
          <w:pPr>
            <w:pStyle w:val="TOC2"/>
            <w:tabs>
              <w:tab w:val="left" w:pos="1320"/>
            </w:tabs>
            <w:rPr>
              <w:rFonts w:asciiTheme="minorHAnsi" w:eastAsiaTheme="minorEastAsia" w:hAnsiTheme="minorHAnsi" w:cstheme="minorBidi"/>
              <w:b w:val="0"/>
              <w:noProof/>
              <w:sz w:val="22"/>
              <w:lang w:eastAsia="en-AU"/>
            </w:rPr>
          </w:pPr>
          <w:hyperlink w:anchor="_Toc370730612" w:history="1">
            <w:r w:rsidR="00252E32" w:rsidRPr="00CA5752">
              <w:rPr>
                <w:rStyle w:val="Hyperlink"/>
                <w:noProof/>
              </w:rPr>
              <w:t>11.</w:t>
            </w:r>
            <w:r w:rsidR="00252E32">
              <w:rPr>
                <w:rFonts w:asciiTheme="minorHAnsi" w:eastAsiaTheme="minorEastAsia" w:hAnsiTheme="minorHAnsi" w:cstheme="minorBidi"/>
                <w:b w:val="0"/>
                <w:noProof/>
                <w:sz w:val="22"/>
                <w:lang w:eastAsia="en-AU"/>
              </w:rPr>
              <w:tab/>
            </w:r>
            <w:r w:rsidR="00252E32" w:rsidRPr="00CA5752">
              <w:rPr>
                <w:rStyle w:val="Hyperlink"/>
                <w:noProof/>
              </w:rPr>
              <w:t>First round recommendation regarding authorisation</w:t>
            </w:r>
            <w:r w:rsidR="00252E32">
              <w:rPr>
                <w:noProof/>
                <w:webHidden/>
              </w:rPr>
              <w:tab/>
            </w:r>
            <w:r>
              <w:rPr>
                <w:noProof/>
                <w:webHidden/>
              </w:rPr>
              <w:fldChar w:fldCharType="begin"/>
            </w:r>
            <w:r w:rsidR="00252E32">
              <w:rPr>
                <w:noProof/>
                <w:webHidden/>
              </w:rPr>
              <w:instrText xml:space="preserve"> PAGEREF _Toc370730612 \h </w:instrText>
            </w:r>
            <w:r>
              <w:rPr>
                <w:noProof/>
                <w:webHidden/>
              </w:rPr>
            </w:r>
            <w:r>
              <w:rPr>
                <w:noProof/>
                <w:webHidden/>
              </w:rPr>
              <w:fldChar w:fldCharType="separate"/>
            </w:r>
            <w:r w:rsidR="00252E32">
              <w:rPr>
                <w:noProof/>
                <w:webHidden/>
              </w:rPr>
              <w:t>28</w:t>
            </w:r>
            <w:r>
              <w:rPr>
                <w:noProof/>
                <w:webHidden/>
              </w:rPr>
              <w:fldChar w:fldCharType="end"/>
            </w:r>
          </w:hyperlink>
        </w:p>
        <w:p w:rsidR="00252E32" w:rsidRDefault="00692B58">
          <w:pPr>
            <w:pStyle w:val="TOC2"/>
            <w:tabs>
              <w:tab w:val="left" w:pos="1320"/>
            </w:tabs>
            <w:rPr>
              <w:rFonts w:asciiTheme="minorHAnsi" w:eastAsiaTheme="minorEastAsia" w:hAnsiTheme="minorHAnsi" w:cstheme="minorBidi"/>
              <w:b w:val="0"/>
              <w:noProof/>
              <w:sz w:val="22"/>
              <w:lang w:eastAsia="en-AU"/>
            </w:rPr>
          </w:pPr>
          <w:hyperlink w:anchor="_Toc370730613" w:history="1">
            <w:r w:rsidR="00252E32" w:rsidRPr="00CA5752">
              <w:rPr>
                <w:rStyle w:val="Hyperlink"/>
                <w:noProof/>
              </w:rPr>
              <w:t>12.</w:t>
            </w:r>
            <w:r w:rsidR="00252E32">
              <w:rPr>
                <w:rFonts w:asciiTheme="minorHAnsi" w:eastAsiaTheme="minorEastAsia" w:hAnsiTheme="minorHAnsi" w:cstheme="minorBidi"/>
                <w:b w:val="0"/>
                <w:noProof/>
                <w:sz w:val="22"/>
                <w:lang w:eastAsia="en-AU"/>
              </w:rPr>
              <w:tab/>
            </w:r>
            <w:r w:rsidR="00252E32" w:rsidRPr="00CA5752">
              <w:rPr>
                <w:rStyle w:val="Hyperlink"/>
                <w:noProof/>
              </w:rPr>
              <w:t>Clinical questions</w:t>
            </w:r>
            <w:r w:rsidR="00252E32">
              <w:rPr>
                <w:noProof/>
                <w:webHidden/>
              </w:rPr>
              <w:tab/>
            </w:r>
            <w:r>
              <w:rPr>
                <w:noProof/>
                <w:webHidden/>
              </w:rPr>
              <w:fldChar w:fldCharType="begin"/>
            </w:r>
            <w:r w:rsidR="00252E32">
              <w:rPr>
                <w:noProof/>
                <w:webHidden/>
              </w:rPr>
              <w:instrText xml:space="preserve"> PAGEREF _Toc370730613 \h </w:instrText>
            </w:r>
            <w:r>
              <w:rPr>
                <w:noProof/>
                <w:webHidden/>
              </w:rPr>
            </w:r>
            <w:r>
              <w:rPr>
                <w:noProof/>
                <w:webHidden/>
              </w:rPr>
              <w:fldChar w:fldCharType="separate"/>
            </w:r>
            <w:r w:rsidR="00252E32">
              <w:rPr>
                <w:noProof/>
                <w:webHidden/>
              </w:rPr>
              <w:t>28</w:t>
            </w:r>
            <w:r>
              <w:rPr>
                <w:noProof/>
                <w:webHidden/>
              </w:rPr>
              <w:fldChar w:fldCharType="end"/>
            </w:r>
          </w:hyperlink>
        </w:p>
        <w:p w:rsidR="003A7F6C" w:rsidRPr="00B811C6" w:rsidRDefault="00692B58" w:rsidP="00B811C6">
          <w:pPr>
            <w:pStyle w:val="TOC2"/>
          </w:pPr>
          <w:r>
            <w:fldChar w:fldCharType="end"/>
          </w:r>
        </w:p>
      </w:sdtContent>
    </w:sdt>
    <w:bookmarkStart w:id="2" w:name="_Toc314842482" w:displacedByCustomXml="prev"/>
    <w:p w:rsidR="003E4362" w:rsidRDefault="003E4362">
      <w:pPr>
        <w:spacing w:before="0" w:after="200" w:line="0" w:lineRule="auto"/>
        <w:rPr>
          <w:rFonts w:ascii="Arial" w:eastAsia="Times New Roman" w:hAnsi="Arial"/>
          <w:b/>
          <w:bCs/>
          <w:sz w:val="32"/>
          <w:szCs w:val="26"/>
          <w:lang w:eastAsia="ja-JP"/>
        </w:rPr>
      </w:pPr>
      <w:bookmarkStart w:id="3" w:name="_Toc351716269"/>
      <w:bookmarkStart w:id="4" w:name="_Toc351718881"/>
      <w:bookmarkStart w:id="5" w:name="_Toc355338616"/>
      <w:r>
        <w:br w:type="page"/>
      </w:r>
    </w:p>
    <w:p w:rsidR="00586F98" w:rsidRDefault="00586F98" w:rsidP="00586F98">
      <w:pPr>
        <w:pStyle w:val="Heading2"/>
        <w:numPr>
          <w:ilvl w:val="0"/>
          <w:numId w:val="0"/>
        </w:numPr>
      </w:pPr>
      <w:bookmarkStart w:id="6" w:name="_Toc370730586"/>
      <w:r>
        <w:lastRenderedPageBreak/>
        <w:t>List of abbreviations</w:t>
      </w:r>
      <w:bookmarkEnd w:id="3"/>
      <w:bookmarkEnd w:id="4"/>
      <w:bookmarkEnd w:id="5"/>
      <w:bookmarkEnd w:id="6"/>
    </w:p>
    <w:tbl>
      <w:tblPr>
        <w:tblStyle w:val="TableTGAblue"/>
        <w:tblW w:w="0" w:type="auto"/>
        <w:tblLook w:val="04A0"/>
      </w:tblPr>
      <w:tblGrid>
        <w:gridCol w:w="1951"/>
        <w:gridCol w:w="6237"/>
      </w:tblGrid>
      <w:tr w:rsidR="00586F98" w:rsidTr="00FF7E2E">
        <w:trPr>
          <w:cnfStyle w:val="100000000000"/>
          <w:tblHeader/>
        </w:trPr>
        <w:tc>
          <w:tcPr>
            <w:cnfStyle w:val="001000000000"/>
            <w:tcW w:w="1951" w:type="dxa"/>
          </w:tcPr>
          <w:p w:rsidR="00586F98" w:rsidRDefault="00586F98" w:rsidP="000A63AF">
            <w:r>
              <w:t>Abbreviation</w:t>
            </w:r>
          </w:p>
        </w:tc>
        <w:tc>
          <w:tcPr>
            <w:tcW w:w="6237" w:type="dxa"/>
          </w:tcPr>
          <w:p w:rsidR="00586F98" w:rsidRDefault="00586F98" w:rsidP="000A63AF">
            <w:pPr>
              <w:cnfStyle w:val="100000000000"/>
            </w:pPr>
            <w:r>
              <w:t>Meaning</w:t>
            </w:r>
          </w:p>
        </w:tc>
      </w:tr>
      <w:tr w:rsidR="003E4362" w:rsidRPr="0012502C" w:rsidTr="00FF7E2E">
        <w:tc>
          <w:tcPr>
            <w:cnfStyle w:val="001000000000"/>
            <w:tcW w:w="1951"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 w:rsidRPr="0012502C">
              <w:t>AE / SAE</w:t>
            </w:r>
          </w:p>
        </w:tc>
        <w:tc>
          <w:tcPr>
            <w:tcW w:w="6237"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cnfStyle w:val="000000000000"/>
            </w:pPr>
            <w:r w:rsidRPr="0012502C">
              <w:t>Adverse Event / Serious Adverse Event</w:t>
            </w:r>
          </w:p>
        </w:tc>
      </w:tr>
      <w:tr w:rsidR="003E4362" w:rsidRPr="0012502C" w:rsidTr="00FF7E2E">
        <w:tc>
          <w:tcPr>
            <w:cnfStyle w:val="001000000000"/>
            <w:tcW w:w="1951"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 w:rsidRPr="0012502C">
              <w:t>ALAT / ASAT</w:t>
            </w:r>
          </w:p>
        </w:tc>
        <w:tc>
          <w:tcPr>
            <w:tcW w:w="6237"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cnfStyle w:val="000000000000"/>
            </w:pPr>
            <w:r w:rsidRPr="0012502C">
              <w:t>ALanine Amino Transferase / Aspartate Amino Transferase</w:t>
            </w:r>
          </w:p>
        </w:tc>
      </w:tr>
      <w:tr w:rsidR="003E4362" w:rsidRPr="0012502C" w:rsidTr="00FF7E2E">
        <w:tc>
          <w:tcPr>
            <w:cnfStyle w:val="001000000000"/>
            <w:tcW w:w="1951"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 w:rsidRPr="0012502C">
              <w:t>BMI</w:t>
            </w:r>
          </w:p>
        </w:tc>
        <w:tc>
          <w:tcPr>
            <w:tcW w:w="6237"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cnfStyle w:val="000000000000"/>
            </w:pPr>
            <w:r w:rsidRPr="0012502C">
              <w:t>Body Mass Index</w:t>
            </w:r>
          </w:p>
        </w:tc>
      </w:tr>
      <w:tr w:rsidR="003E4362" w:rsidRPr="0012502C" w:rsidTr="00FF7E2E">
        <w:tc>
          <w:tcPr>
            <w:cnfStyle w:val="001000000000"/>
            <w:tcW w:w="1951"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 w:rsidRPr="0012502C">
              <w:t>bpm</w:t>
            </w:r>
          </w:p>
        </w:tc>
        <w:tc>
          <w:tcPr>
            <w:tcW w:w="6237"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cnfStyle w:val="000000000000"/>
            </w:pPr>
            <w:r w:rsidRPr="0012502C">
              <w:t>beat per minute</w:t>
            </w:r>
          </w:p>
        </w:tc>
      </w:tr>
      <w:tr w:rsidR="003E4362" w:rsidRPr="0012502C" w:rsidTr="00FF7E2E">
        <w:tc>
          <w:tcPr>
            <w:cnfStyle w:val="001000000000"/>
            <w:tcW w:w="1951"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 w:rsidRPr="0012502C">
              <w:t>BUN</w:t>
            </w:r>
          </w:p>
        </w:tc>
        <w:tc>
          <w:tcPr>
            <w:tcW w:w="6237"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cnfStyle w:val="000000000000"/>
            </w:pPr>
            <w:r w:rsidRPr="0012502C">
              <w:t>Blood Urea Nitrogen</w:t>
            </w:r>
          </w:p>
        </w:tc>
      </w:tr>
      <w:tr w:rsidR="003E4362" w:rsidRPr="0012502C" w:rsidTr="00FF7E2E">
        <w:tc>
          <w:tcPr>
            <w:cnfStyle w:val="001000000000"/>
            <w:tcW w:w="1951"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 w:rsidRPr="0012502C">
              <w:t>°C</w:t>
            </w:r>
          </w:p>
        </w:tc>
        <w:tc>
          <w:tcPr>
            <w:tcW w:w="6237"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cnfStyle w:val="000000000000"/>
            </w:pPr>
            <w:r w:rsidRPr="0012502C">
              <w:t>Degree Celsius</w:t>
            </w:r>
          </w:p>
        </w:tc>
      </w:tr>
      <w:tr w:rsidR="003E4362" w:rsidRPr="0012502C" w:rsidTr="00FF7E2E">
        <w:tc>
          <w:tcPr>
            <w:cnfStyle w:val="001000000000"/>
            <w:tcW w:w="1951"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 w:rsidRPr="0012502C">
              <w:t>CRF</w:t>
            </w:r>
          </w:p>
        </w:tc>
        <w:tc>
          <w:tcPr>
            <w:tcW w:w="6237"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cnfStyle w:val="000000000000"/>
            </w:pPr>
            <w:r w:rsidRPr="0012502C">
              <w:t>Case Report Form</w:t>
            </w:r>
          </w:p>
        </w:tc>
      </w:tr>
      <w:tr w:rsidR="00F6543D" w:rsidRPr="0012502C" w:rsidTr="00FF7E2E">
        <w:tc>
          <w:tcPr>
            <w:cnfStyle w:val="001000000000"/>
            <w:tcW w:w="1951" w:type="dxa"/>
          </w:tcPr>
          <w:p w:rsidR="00F6543D" w:rsidRPr="0012502C" w:rsidRDefault="00F6543D"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
              <w:t>CDDS</w:t>
            </w:r>
          </w:p>
        </w:tc>
        <w:tc>
          <w:tcPr>
            <w:tcW w:w="6237" w:type="dxa"/>
          </w:tcPr>
          <w:p w:rsidR="00F6543D" w:rsidRPr="0012502C" w:rsidRDefault="00F6543D"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cnfStyle w:val="000000000000"/>
            </w:pPr>
            <w:r w:rsidRPr="00F6543D">
              <w:t>Company Core Data Sheet</w:t>
            </w:r>
          </w:p>
        </w:tc>
      </w:tr>
      <w:tr w:rsidR="003E4362" w:rsidRPr="0012502C" w:rsidTr="00FF7E2E">
        <w:tc>
          <w:tcPr>
            <w:cnfStyle w:val="001000000000"/>
            <w:tcW w:w="1951"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 w:rsidRPr="0012502C">
              <w:t>D 0 (Baseline)</w:t>
            </w:r>
          </w:p>
        </w:tc>
        <w:tc>
          <w:tcPr>
            <w:tcW w:w="6237"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cnfStyle w:val="000000000000"/>
            </w:pPr>
            <w:r w:rsidRPr="0012502C">
              <w:t>Day on which the first infusion starts</w:t>
            </w:r>
          </w:p>
        </w:tc>
      </w:tr>
      <w:tr w:rsidR="003E4362" w:rsidRPr="0012502C" w:rsidTr="00FF7E2E">
        <w:tc>
          <w:tcPr>
            <w:cnfStyle w:val="001000000000"/>
            <w:tcW w:w="1951"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 w:rsidRPr="0012502C">
              <w:t>D+4</w:t>
            </w:r>
          </w:p>
        </w:tc>
        <w:tc>
          <w:tcPr>
            <w:tcW w:w="6237"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cnfStyle w:val="000000000000"/>
            </w:pPr>
            <w:r w:rsidRPr="0012502C">
              <w:t>Day on which the 5th infusion starts</w:t>
            </w:r>
          </w:p>
        </w:tc>
      </w:tr>
      <w:tr w:rsidR="003E4362" w:rsidRPr="0012502C" w:rsidTr="00FF7E2E">
        <w:tc>
          <w:tcPr>
            <w:cnfStyle w:val="001000000000"/>
            <w:tcW w:w="1951"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 w:rsidRPr="0012502C">
              <w:t>D+5</w:t>
            </w:r>
          </w:p>
        </w:tc>
        <w:tc>
          <w:tcPr>
            <w:tcW w:w="6237"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cnfStyle w:val="000000000000"/>
            </w:pPr>
            <w:r w:rsidRPr="0012502C">
              <w:t>Day on which the last infusion ends</w:t>
            </w:r>
          </w:p>
        </w:tc>
      </w:tr>
      <w:tr w:rsidR="003E4362" w:rsidRPr="0012502C" w:rsidTr="00FF7E2E">
        <w:tc>
          <w:tcPr>
            <w:cnfStyle w:val="001000000000"/>
            <w:tcW w:w="1951"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 w:rsidRPr="0012502C">
              <w:t>DBP</w:t>
            </w:r>
          </w:p>
        </w:tc>
        <w:tc>
          <w:tcPr>
            <w:tcW w:w="6237"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cnfStyle w:val="000000000000"/>
            </w:pPr>
            <w:r w:rsidRPr="0012502C">
              <w:t>Diastolic Blood Pressure</w:t>
            </w:r>
          </w:p>
        </w:tc>
      </w:tr>
      <w:tr w:rsidR="003E4362" w:rsidRPr="0012502C" w:rsidTr="00FF7E2E">
        <w:tc>
          <w:tcPr>
            <w:cnfStyle w:val="001000000000"/>
            <w:tcW w:w="1951"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 w:rsidRPr="0012502C">
              <w:t>EC</w:t>
            </w:r>
          </w:p>
        </w:tc>
        <w:tc>
          <w:tcPr>
            <w:tcW w:w="6237"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cnfStyle w:val="000000000000"/>
            </w:pPr>
            <w:r w:rsidRPr="0012502C">
              <w:t>Ethics Committee</w:t>
            </w:r>
          </w:p>
        </w:tc>
      </w:tr>
      <w:tr w:rsidR="003E4362" w:rsidRPr="0012502C" w:rsidTr="00FF7E2E">
        <w:tc>
          <w:tcPr>
            <w:cnfStyle w:val="001000000000"/>
            <w:tcW w:w="1951"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 w:rsidRPr="0012502C">
              <w:t>EFA</w:t>
            </w:r>
          </w:p>
        </w:tc>
        <w:tc>
          <w:tcPr>
            <w:tcW w:w="6237"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cnfStyle w:val="000000000000"/>
            </w:pPr>
            <w:r w:rsidRPr="0012502C">
              <w:t>Essential Fatty Acids</w:t>
            </w:r>
          </w:p>
        </w:tc>
      </w:tr>
      <w:tr w:rsidR="003E4362" w:rsidRPr="0012502C" w:rsidTr="00FF7E2E">
        <w:tc>
          <w:tcPr>
            <w:cnfStyle w:val="001000000000"/>
            <w:tcW w:w="1951"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 w:rsidRPr="0012502C">
              <w:t>GCP</w:t>
            </w:r>
          </w:p>
        </w:tc>
        <w:tc>
          <w:tcPr>
            <w:tcW w:w="6237"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cnfStyle w:val="000000000000"/>
            </w:pPr>
            <w:r w:rsidRPr="0012502C">
              <w:t>Good Clinical Practices</w:t>
            </w:r>
          </w:p>
        </w:tc>
      </w:tr>
      <w:tr w:rsidR="003E4362" w:rsidRPr="0012502C" w:rsidTr="00FF7E2E">
        <w:tc>
          <w:tcPr>
            <w:cnfStyle w:val="001000000000"/>
            <w:tcW w:w="1951"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 w:rsidRPr="0012502C">
              <w:t>GGT</w:t>
            </w:r>
          </w:p>
        </w:tc>
        <w:tc>
          <w:tcPr>
            <w:tcW w:w="6237"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cnfStyle w:val="000000000000"/>
            </w:pPr>
            <w:r w:rsidRPr="0012502C">
              <w:t>Gamma Glutamyl Transferase</w:t>
            </w:r>
          </w:p>
        </w:tc>
      </w:tr>
      <w:tr w:rsidR="003E4362" w:rsidRPr="0012502C" w:rsidTr="00FF7E2E">
        <w:tc>
          <w:tcPr>
            <w:cnfStyle w:val="001000000000"/>
            <w:tcW w:w="1951"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 w:rsidRPr="0012502C">
              <w:t>GLM</w:t>
            </w:r>
          </w:p>
        </w:tc>
        <w:tc>
          <w:tcPr>
            <w:tcW w:w="6237"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cnfStyle w:val="000000000000"/>
            </w:pPr>
            <w:r w:rsidRPr="0012502C">
              <w:t>General Linear Model</w:t>
            </w:r>
          </w:p>
        </w:tc>
      </w:tr>
      <w:tr w:rsidR="003E4362" w:rsidRPr="0012502C" w:rsidTr="00FF7E2E">
        <w:tc>
          <w:tcPr>
            <w:cnfStyle w:val="001000000000"/>
            <w:tcW w:w="1951"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 w:rsidRPr="0012502C">
              <w:t>ICH</w:t>
            </w:r>
          </w:p>
        </w:tc>
        <w:tc>
          <w:tcPr>
            <w:tcW w:w="6237"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cnfStyle w:val="000000000000"/>
            </w:pPr>
            <w:r w:rsidRPr="0012502C">
              <w:t>International Conference of Harmonisation</w:t>
            </w:r>
          </w:p>
        </w:tc>
      </w:tr>
      <w:tr w:rsidR="003E4362" w:rsidRPr="0012502C" w:rsidTr="00FF7E2E">
        <w:tc>
          <w:tcPr>
            <w:cnfStyle w:val="001000000000"/>
            <w:tcW w:w="1951"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 w:rsidRPr="0012502C">
              <w:t>ICU</w:t>
            </w:r>
          </w:p>
        </w:tc>
        <w:tc>
          <w:tcPr>
            <w:tcW w:w="6237"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cnfStyle w:val="000000000000"/>
            </w:pPr>
            <w:r w:rsidRPr="0012502C">
              <w:t>Intensive Care Unit</w:t>
            </w:r>
          </w:p>
        </w:tc>
      </w:tr>
      <w:tr w:rsidR="003E4362" w:rsidRPr="0012502C" w:rsidTr="00FF7E2E">
        <w:tc>
          <w:tcPr>
            <w:cnfStyle w:val="001000000000"/>
            <w:tcW w:w="1951"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 w:rsidRPr="0012502C">
              <w:t>IEC/IRB</w:t>
            </w:r>
          </w:p>
        </w:tc>
        <w:tc>
          <w:tcPr>
            <w:tcW w:w="6237" w:type="dxa"/>
          </w:tcPr>
          <w:p w:rsidR="003E4362" w:rsidRPr="0012502C" w:rsidRDefault="001F50F6"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cnfStyle w:val="000000000000"/>
            </w:pPr>
            <w:r w:rsidRPr="0012502C">
              <w:t>Independent</w:t>
            </w:r>
            <w:r w:rsidR="003E4362" w:rsidRPr="0012502C">
              <w:t xml:space="preserve"> Ethics Committee / Investigational Review Board</w:t>
            </w:r>
          </w:p>
        </w:tc>
      </w:tr>
      <w:tr w:rsidR="003E4362" w:rsidRPr="0012502C" w:rsidTr="00FF7E2E">
        <w:tc>
          <w:tcPr>
            <w:cnfStyle w:val="001000000000"/>
            <w:tcW w:w="1951"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 w:rsidRPr="0012502C">
              <w:t>ITT</w:t>
            </w:r>
          </w:p>
        </w:tc>
        <w:tc>
          <w:tcPr>
            <w:tcW w:w="6237"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cnfStyle w:val="000000000000"/>
            </w:pPr>
            <w:r w:rsidRPr="0012502C">
              <w:t>Intention To Treat</w:t>
            </w:r>
          </w:p>
        </w:tc>
      </w:tr>
      <w:tr w:rsidR="003E4362" w:rsidRPr="0012502C" w:rsidTr="00FF7E2E">
        <w:tc>
          <w:tcPr>
            <w:cnfStyle w:val="001000000000"/>
            <w:tcW w:w="1951"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 w:rsidRPr="0012502C">
              <w:t>IU</w:t>
            </w:r>
          </w:p>
        </w:tc>
        <w:tc>
          <w:tcPr>
            <w:tcW w:w="6237"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cnfStyle w:val="000000000000"/>
            </w:pPr>
            <w:r w:rsidRPr="0012502C">
              <w:t>International Unit</w:t>
            </w:r>
          </w:p>
        </w:tc>
      </w:tr>
      <w:tr w:rsidR="003E4362" w:rsidRPr="0012502C" w:rsidTr="00FF7E2E">
        <w:tc>
          <w:tcPr>
            <w:cnfStyle w:val="001000000000"/>
            <w:tcW w:w="1951"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 w:rsidRPr="0012502C">
              <w:t>IV</w:t>
            </w:r>
          </w:p>
        </w:tc>
        <w:tc>
          <w:tcPr>
            <w:tcW w:w="6237"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cnfStyle w:val="000000000000"/>
            </w:pPr>
            <w:r w:rsidRPr="0012502C">
              <w:t>Intra Venous</w:t>
            </w:r>
          </w:p>
        </w:tc>
      </w:tr>
      <w:tr w:rsidR="003E4362" w:rsidRPr="0012502C" w:rsidTr="00FF7E2E">
        <w:tc>
          <w:tcPr>
            <w:cnfStyle w:val="001000000000"/>
            <w:tcW w:w="1951"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 w:rsidRPr="0012502C">
              <w:t>LFT</w:t>
            </w:r>
          </w:p>
        </w:tc>
        <w:tc>
          <w:tcPr>
            <w:tcW w:w="6237"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cnfStyle w:val="000000000000"/>
            </w:pPr>
            <w:r w:rsidRPr="0012502C">
              <w:t>Liver Function Tests</w:t>
            </w:r>
          </w:p>
        </w:tc>
      </w:tr>
      <w:tr w:rsidR="003E4362" w:rsidRPr="0012502C" w:rsidTr="00FF7E2E">
        <w:tc>
          <w:tcPr>
            <w:cnfStyle w:val="001000000000"/>
            <w:tcW w:w="1951"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
              <w:t>MedDRA</w:t>
            </w:r>
          </w:p>
        </w:tc>
        <w:tc>
          <w:tcPr>
            <w:tcW w:w="6237" w:type="dxa"/>
          </w:tcPr>
          <w:p w:rsidR="003E4362" w:rsidRPr="0012502C" w:rsidRDefault="003B7D80"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cnfStyle w:val="000000000000"/>
            </w:pPr>
            <w:r>
              <w:t>Medical Dictionary for Regulatory Activities</w:t>
            </w:r>
          </w:p>
        </w:tc>
      </w:tr>
      <w:tr w:rsidR="003E4362" w:rsidRPr="0012502C" w:rsidTr="00FF7E2E">
        <w:tc>
          <w:tcPr>
            <w:cnfStyle w:val="001000000000"/>
            <w:tcW w:w="1951"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 w:rsidRPr="0012502C">
              <w:t>N=n</w:t>
            </w:r>
          </w:p>
        </w:tc>
        <w:tc>
          <w:tcPr>
            <w:tcW w:w="6237"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cnfStyle w:val="000000000000"/>
            </w:pPr>
            <w:r w:rsidRPr="0012502C">
              <w:t>Number of patients</w:t>
            </w:r>
          </w:p>
        </w:tc>
      </w:tr>
      <w:tr w:rsidR="003E4362" w:rsidRPr="0012502C" w:rsidTr="00FF7E2E">
        <w:tc>
          <w:tcPr>
            <w:cnfStyle w:val="001000000000"/>
            <w:tcW w:w="1951"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 w:rsidRPr="0012502C">
              <w:t>NEC</w:t>
            </w:r>
          </w:p>
        </w:tc>
        <w:tc>
          <w:tcPr>
            <w:tcW w:w="6237"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cnfStyle w:val="000000000000"/>
            </w:pPr>
            <w:r w:rsidRPr="0012502C">
              <w:t>Not Elsewhere Classified</w:t>
            </w:r>
          </w:p>
        </w:tc>
      </w:tr>
      <w:tr w:rsidR="003E4362" w:rsidRPr="0012502C" w:rsidTr="00FF7E2E">
        <w:tc>
          <w:tcPr>
            <w:cnfStyle w:val="001000000000"/>
            <w:tcW w:w="1951"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 w:rsidRPr="0012502C">
              <w:t>Pt.#</w:t>
            </w:r>
          </w:p>
        </w:tc>
        <w:tc>
          <w:tcPr>
            <w:tcW w:w="6237"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cnfStyle w:val="000000000000"/>
            </w:pPr>
            <w:r w:rsidRPr="0012502C">
              <w:t>Center + Patient Identification Number + Patient initials</w:t>
            </w:r>
          </w:p>
        </w:tc>
      </w:tr>
      <w:tr w:rsidR="003E4362" w:rsidRPr="0012502C" w:rsidTr="00FF7E2E">
        <w:tc>
          <w:tcPr>
            <w:cnfStyle w:val="001000000000"/>
            <w:tcW w:w="1951"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 w:rsidRPr="0012502C">
              <w:t>PN</w:t>
            </w:r>
          </w:p>
        </w:tc>
        <w:tc>
          <w:tcPr>
            <w:tcW w:w="6237"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cnfStyle w:val="000000000000"/>
            </w:pPr>
            <w:r w:rsidRPr="0012502C">
              <w:t>Parenteral Nutrition</w:t>
            </w:r>
          </w:p>
        </w:tc>
      </w:tr>
      <w:tr w:rsidR="003E4362" w:rsidRPr="0012502C" w:rsidTr="00FF7E2E">
        <w:tc>
          <w:tcPr>
            <w:cnfStyle w:val="001000000000"/>
            <w:tcW w:w="1951"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 w:rsidRPr="0012502C">
              <w:t>PP</w:t>
            </w:r>
          </w:p>
        </w:tc>
        <w:tc>
          <w:tcPr>
            <w:tcW w:w="6237"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cnfStyle w:val="000000000000"/>
            </w:pPr>
            <w:r w:rsidRPr="0012502C">
              <w:t>Per Protocol</w:t>
            </w:r>
          </w:p>
        </w:tc>
      </w:tr>
      <w:tr w:rsidR="003E4362" w:rsidRPr="0012502C" w:rsidTr="00FF7E2E">
        <w:tc>
          <w:tcPr>
            <w:cnfStyle w:val="001000000000"/>
            <w:tcW w:w="1951"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 w:rsidRPr="0012502C">
              <w:t>PT</w:t>
            </w:r>
          </w:p>
        </w:tc>
        <w:tc>
          <w:tcPr>
            <w:tcW w:w="6237"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cnfStyle w:val="000000000000"/>
            </w:pPr>
            <w:r w:rsidRPr="0012502C">
              <w:t>Prothrombin Time</w:t>
            </w:r>
          </w:p>
        </w:tc>
      </w:tr>
      <w:tr w:rsidR="003E4362" w:rsidRPr="0012502C" w:rsidTr="00FF7E2E">
        <w:tc>
          <w:tcPr>
            <w:cnfStyle w:val="001000000000"/>
            <w:tcW w:w="1951"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 w:rsidRPr="0012502C">
              <w:t>RBC</w:t>
            </w:r>
          </w:p>
        </w:tc>
        <w:tc>
          <w:tcPr>
            <w:tcW w:w="6237"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cnfStyle w:val="000000000000"/>
            </w:pPr>
            <w:r w:rsidRPr="0012502C">
              <w:t>Red Blood Cells or Erythrocytes</w:t>
            </w:r>
          </w:p>
        </w:tc>
      </w:tr>
      <w:tr w:rsidR="003E4362" w:rsidRPr="0012502C" w:rsidTr="00FF7E2E">
        <w:tc>
          <w:tcPr>
            <w:cnfStyle w:val="001000000000"/>
            <w:tcW w:w="1951"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 w:rsidRPr="0012502C">
              <w:t>RTU</w:t>
            </w:r>
          </w:p>
        </w:tc>
        <w:tc>
          <w:tcPr>
            <w:tcW w:w="6237"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cnfStyle w:val="000000000000"/>
            </w:pPr>
            <w:r w:rsidRPr="0012502C">
              <w:t>Ready To Use</w:t>
            </w:r>
          </w:p>
        </w:tc>
      </w:tr>
      <w:tr w:rsidR="003E4362" w:rsidRPr="0012502C" w:rsidTr="00FF7E2E">
        <w:tc>
          <w:tcPr>
            <w:cnfStyle w:val="001000000000"/>
            <w:tcW w:w="1951"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 w:rsidRPr="0012502C">
              <w:t>SBP</w:t>
            </w:r>
          </w:p>
        </w:tc>
        <w:tc>
          <w:tcPr>
            <w:tcW w:w="6237"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cnfStyle w:val="000000000000"/>
            </w:pPr>
            <w:r w:rsidRPr="0012502C">
              <w:t>Systolic Blood Pressure</w:t>
            </w:r>
          </w:p>
        </w:tc>
      </w:tr>
      <w:tr w:rsidR="003E4362" w:rsidRPr="0012502C" w:rsidTr="00FF7E2E">
        <w:tc>
          <w:tcPr>
            <w:cnfStyle w:val="001000000000"/>
            <w:tcW w:w="1951"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 w:rsidRPr="0012502C">
              <w:t>SD</w:t>
            </w:r>
          </w:p>
        </w:tc>
        <w:tc>
          <w:tcPr>
            <w:tcW w:w="6237"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cnfStyle w:val="000000000000"/>
            </w:pPr>
            <w:r w:rsidRPr="0012502C">
              <w:t>Standard Deviation</w:t>
            </w:r>
          </w:p>
        </w:tc>
      </w:tr>
      <w:tr w:rsidR="003E4362" w:rsidRPr="0012502C" w:rsidTr="00FF7E2E">
        <w:tc>
          <w:tcPr>
            <w:cnfStyle w:val="001000000000"/>
            <w:tcW w:w="1951"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 w:rsidRPr="0012502C">
              <w:t>SOC / PT</w:t>
            </w:r>
          </w:p>
        </w:tc>
        <w:tc>
          <w:tcPr>
            <w:tcW w:w="6237"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cnfStyle w:val="000000000000"/>
            </w:pPr>
            <w:r w:rsidRPr="0012502C">
              <w:t>System Organ Class / Preferred Term (MedDRA Code System)</w:t>
            </w:r>
          </w:p>
        </w:tc>
      </w:tr>
      <w:tr w:rsidR="003E4362" w:rsidRPr="0012502C" w:rsidTr="00FF7E2E">
        <w:tc>
          <w:tcPr>
            <w:cnfStyle w:val="001000000000"/>
            <w:tcW w:w="1951"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 w:rsidRPr="0012502C">
              <w:t>TPN</w:t>
            </w:r>
          </w:p>
        </w:tc>
        <w:tc>
          <w:tcPr>
            <w:tcW w:w="6237"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cnfStyle w:val="000000000000"/>
            </w:pPr>
            <w:r w:rsidRPr="0012502C">
              <w:t>Total Parenteral Nutrition</w:t>
            </w:r>
          </w:p>
        </w:tc>
      </w:tr>
      <w:tr w:rsidR="003E4362" w:rsidRPr="0012502C" w:rsidTr="00FF7E2E">
        <w:tc>
          <w:tcPr>
            <w:cnfStyle w:val="001000000000"/>
            <w:tcW w:w="1951"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 w:rsidRPr="0012502C">
              <w:t>WBC</w:t>
            </w:r>
          </w:p>
        </w:tc>
        <w:tc>
          <w:tcPr>
            <w:tcW w:w="6237" w:type="dxa"/>
          </w:tcPr>
          <w:p w:rsidR="003E4362" w:rsidRPr="0012502C" w:rsidRDefault="003E4362" w:rsidP="00701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cnfStyle w:val="000000000000"/>
            </w:pPr>
            <w:r w:rsidRPr="0012502C">
              <w:t>White Blood Cells or Leukocytes</w:t>
            </w:r>
          </w:p>
        </w:tc>
      </w:tr>
    </w:tbl>
    <w:p w:rsidR="003B7D80" w:rsidRPr="00701CFD" w:rsidRDefault="003B7D80" w:rsidP="001C36B1">
      <w:pPr>
        <w:pStyle w:val="Heading3"/>
      </w:pPr>
      <w:bookmarkStart w:id="7" w:name="_Toc370730587"/>
      <w:bookmarkStart w:id="8" w:name="_Toc351718900"/>
      <w:bookmarkStart w:id="9" w:name="_Toc355338635"/>
      <w:r w:rsidRPr="00701CFD">
        <w:t>Definitions</w:t>
      </w:r>
      <w:r w:rsidR="009C714F">
        <w:t xml:space="preserve"> and terminology</w:t>
      </w:r>
      <w:bookmarkEnd w:id="7"/>
    </w:p>
    <w:p w:rsidR="003B7D80" w:rsidRPr="003B7D80" w:rsidRDefault="003B7D80" w:rsidP="001C36B1">
      <w:pPr>
        <w:pStyle w:val="ListBullet"/>
      </w:pPr>
      <w:r w:rsidRPr="003B7D80">
        <w:t>Transthyretin</w:t>
      </w:r>
      <w:r>
        <w:t>, also known as p</w:t>
      </w:r>
      <w:r w:rsidRPr="003B7D80">
        <w:t>realbumin</w:t>
      </w:r>
      <w:r>
        <w:t>, is</w:t>
      </w:r>
      <w:r w:rsidRPr="003B7D80">
        <w:t xml:space="preserve"> one of the plasma proteins that may be used to assess nutritional status. Transthyretin is preferred because of its shorter half-life</w:t>
      </w:r>
      <w:r>
        <w:t xml:space="preserve"> (2-3 days). Normal levels are generally 15.7-29.6 mg/dL (normal), 12</w:t>
      </w:r>
      <w:r>
        <w:noBreakHyphen/>
        <w:t xml:space="preserve">15 mg/dL (mild malnutrition), </w:t>
      </w:r>
      <w:r w:rsidR="00701CFD">
        <w:t>8</w:t>
      </w:r>
      <w:r w:rsidR="00701CFD">
        <w:noBreakHyphen/>
        <w:t>10 </w:t>
      </w:r>
      <w:r>
        <w:t xml:space="preserve">mg/dL (moderate </w:t>
      </w:r>
      <w:r w:rsidRPr="003B7D80">
        <w:t>malnutrition</w:t>
      </w:r>
      <w:r>
        <w:t xml:space="preserve">) and &lt;8 mg/dL (severe </w:t>
      </w:r>
      <w:r w:rsidRPr="003B7D80">
        <w:t>malnutrition</w:t>
      </w:r>
      <w:r>
        <w:t>)</w:t>
      </w:r>
      <w:r w:rsidRPr="003B7D80">
        <w:t>.</w:t>
      </w:r>
    </w:p>
    <w:p w:rsidR="003B7D80" w:rsidRPr="003B7D80" w:rsidRDefault="003B7D80" w:rsidP="00701CFD">
      <w:pPr>
        <w:ind w:left="360"/>
      </w:pPr>
      <w:r w:rsidRPr="003B7D80">
        <w:lastRenderedPageBreak/>
        <w:t>Prealbumin is a transport protein for vitamin A and thyroxin, which circulates as a complex with vitamin A and retinol-binding protein. It is synthesized by the liver and is partially catabolised by the kidneys. Prealbumin levels may be depressed in inflammatory states independent of host nutritional status. Hence, Prealbumin is often drawn in concert with C-reactive protein (CRP) because CRP is a marker of inflammation</w:t>
      </w:r>
      <w:r w:rsidR="005379AC">
        <w:t>.</w:t>
      </w:r>
      <w:r w:rsidRPr="005379AC">
        <w:rPr>
          <w:vertAlign w:val="superscript"/>
        </w:rPr>
        <w:footnoteReference w:id="1"/>
      </w:r>
    </w:p>
    <w:p w:rsidR="003B7D80" w:rsidRPr="003B7D80" w:rsidRDefault="005379AC" w:rsidP="00701CFD">
      <w:pPr>
        <w:pStyle w:val="ListBullet"/>
      </w:pPr>
      <w:r>
        <w:t xml:space="preserve">OliClinomel </w:t>
      </w:r>
      <w:r w:rsidR="003B7D80" w:rsidRPr="003B7D80">
        <w:t>= glucose + ClinOleic (lipid) + Synthamin (10% amino acids)</w:t>
      </w:r>
      <w:r>
        <w:t>. A</w:t>
      </w:r>
      <w:r w:rsidR="003B7D80" w:rsidRPr="003B7D80">
        <w:t xml:space="preserve">ll </w:t>
      </w:r>
      <w:r>
        <w:t>of these products</w:t>
      </w:r>
      <w:r w:rsidR="009C714F">
        <w:t>,</w:t>
      </w:r>
      <w:r>
        <w:t xml:space="preserve"> </w:t>
      </w:r>
      <w:r w:rsidRPr="005379AC">
        <w:t>OliClinomel</w:t>
      </w:r>
      <w:r>
        <w:t xml:space="preserve">, </w:t>
      </w:r>
      <w:r w:rsidRPr="005379AC">
        <w:t>ClinOleic</w:t>
      </w:r>
      <w:r>
        <w:t xml:space="preserve"> and </w:t>
      </w:r>
      <w:r w:rsidRPr="005379AC">
        <w:t>Synthamin</w:t>
      </w:r>
      <w:r w:rsidR="009C714F">
        <w:t>,</w:t>
      </w:r>
      <w:r>
        <w:t xml:space="preserve"> </w:t>
      </w:r>
      <w:r w:rsidR="009C714F">
        <w:t xml:space="preserve">as well as OliClinomel, </w:t>
      </w:r>
      <w:r>
        <w:t xml:space="preserve">are </w:t>
      </w:r>
      <w:r w:rsidR="003B7D80" w:rsidRPr="003B7D80">
        <w:t xml:space="preserve">registered </w:t>
      </w:r>
      <w:r w:rsidR="009C714F">
        <w:t xml:space="preserve">as distinct products </w:t>
      </w:r>
      <w:r w:rsidR="001C36B1">
        <w:t>in Australia.</w:t>
      </w:r>
    </w:p>
    <w:p w:rsidR="003B7D80" w:rsidRDefault="003B7D80" w:rsidP="00701CFD">
      <w:pPr>
        <w:pStyle w:val="ListBullet"/>
      </w:pPr>
      <w:r w:rsidRPr="003B7D80">
        <w:t xml:space="preserve">Olimel </w:t>
      </w:r>
      <w:r w:rsidR="005379AC">
        <w:t xml:space="preserve">(proposed product) </w:t>
      </w:r>
      <w:r w:rsidRPr="003B7D80">
        <w:t>= glucose + ClinOleic (lipid) + Clinisol (15% amino acids)</w:t>
      </w:r>
      <w:r w:rsidR="005379AC">
        <w:t xml:space="preserve">. </w:t>
      </w:r>
      <w:r w:rsidR="009C714F">
        <w:t xml:space="preserve">As noted above, </w:t>
      </w:r>
      <w:r w:rsidR="009C714F" w:rsidRPr="009C714F">
        <w:t xml:space="preserve">ClinOleic </w:t>
      </w:r>
      <w:r w:rsidR="009C714F">
        <w:t xml:space="preserve">(the lipid </w:t>
      </w:r>
      <w:r w:rsidR="00F00A8C">
        <w:t>component</w:t>
      </w:r>
      <w:r w:rsidR="009C714F">
        <w:t xml:space="preserve">) is registered in Australia. The amino acids component, </w:t>
      </w:r>
      <w:r w:rsidRPr="003B7D80">
        <w:t>Clinisol</w:t>
      </w:r>
      <w:r w:rsidR="009C714F">
        <w:t>,</w:t>
      </w:r>
      <w:r w:rsidRPr="003B7D80">
        <w:t xml:space="preserve"> </w:t>
      </w:r>
      <w:r w:rsidR="005379AC">
        <w:t xml:space="preserve">is </w:t>
      </w:r>
      <w:r w:rsidRPr="003B7D80">
        <w:t>not registered in Australia</w:t>
      </w:r>
      <w:r w:rsidR="00701CFD">
        <w:t>.</w:t>
      </w:r>
    </w:p>
    <w:p w:rsidR="0001486E" w:rsidRPr="003B7D80" w:rsidRDefault="002319FA" w:rsidP="00701CFD">
      <w:pPr>
        <w:pStyle w:val="ListBullet"/>
      </w:pPr>
      <w:r w:rsidRPr="002319FA">
        <w:rPr>
          <w:b/>
          <w:bCs/>
        </w:rPr>
        <w:t>Note:</w:t>
      </w:r>
      <w:r>
        <w:t xml:space="preserve"> </w:t>
      </w:r>
      <w:r w:rsidR="0001486E" w:rsidRPr="0001486E">
        <w:t>OliClinisol</w:t>
      </w:r>
      <w:r w:rsidR="0001486E">
        <w:t xml:space="preserve"> (used throughout the report) was the previous (working) name for Olimel.</w:t>
      </w:r>
    </w:p>
    <w:p w:rsidR="003B7D80" w:rsidRDefault="00701CFD" w:rsidP="0043797D">
      <w:pPr>
        <w:pStyle w:val="Heading2"/>
        <w:pageBreakBefore/>
        <w:rPr>
          <w:lang w:eastAsia="en-AU"/>
        </w:rPr>
      </w:pPr>
      <w:bookmarkStart w:id="10" w:name="_Toc370730588"/>
      <w:r>
        <w:rPr>
          <w:lang w:eastAsia="en-AU"/>
        </w:rPr>
        <w:lastRenderedPageBreak/>
        <w:t>Introduction</w:t>
      </w:r>
      <w:bookmarkEnd w:id="10"/>
    </w:p>
    <w:p w:rsidR="00701CFD" w:rsidRPr="00701CFD" w:rsidRDefault="00701CFD" w:rsidP="00701CFD">
      <w:r w:rsidRPr="00701CFD">
        <w:t>OLIMEL/PeriOLIMEL is 3-compartment bag containing a glucose solution (with/without calcium), a lipid emulsion (ClinOleic) and a 15% amino acid solution (not registered; with/without electrolytes).</w:t>
      </w:r>
      <w:r>
        <w:t xml:space="preserve"> </w:t>
      </w:r>
      <w:r w:rsidRPr="00701CFD">
        <w:t>There are no regi</w:t>
      </w:r>
      <w:r w:rsidR="00F34108">
        <w:t>stered 15% amino acid solutions;</w:t>
      </w:r>
      <w:r w:rsidRPr="00701CFD">
        <w:t xml:space="preserve"> the maximum concentration registered is 10%.</w:t>
      </w:r>
    </w:p>
    <w:p w:rsidR="00701CFD" w:rsidRPr="00701CFD" w:rsidRDefault="00701CFD" w:rsidP="00701CFD">
      <w:r w:rsidRPr="00701CFD">
        <w:t>The proposed indication is:</w:t>
      </w:r>
    </w:p>
    <w:p w:rsidR="00701CFD" w:rsidRPr="00701CFD" w:rsidRDefault="00701CFD" w:rsidP="00701CFD">
      <w:pPr>
        <w:ind w:left="720"/>
        <w:rPr>
          <w:i/>
          <w:iCs/>
        </w:rPr>
      </w:pPr>
      <w:r w:rsidRPr="00701CFD">
        <w:rPr>
          <w:i/>
          <w:iCs/>
        </w:rPr>
        <w:t>OLIMEL/PeriOLIMEL is indicated for parenteral nutrition for adults and children above 2 years of age when oral or enteral nutrition is impossible, insufficient or contraindicated.</w:t>
      </w:r>
    </w:p>
    <w:p w:rsidR="00586F98" w:rsidRDefault="00586F98" w:rsidP="00E82DEB">
      <w:pPr>
        <w:pStyle w:val="Heading2"/>
      </w:pPr>
      <w:bookmarkStart w:id="11" w:name="_Toc370730589"/>
      <w:r>
        <w:t>Clinical rationale</w:t>
      </w:r>
      <w:bookmarkEnd w:id="11"/>
    </w:p>
    <w:p w:rsidR="00701CFD" w:rsidRPr="00701CFD" w:rsidRDefault="00701CFD" w:rsidP="00701CFD">
      <w:pPr>
        <w:rPr>
          <w:lang w:eastAsia="en-AU"/>
        </w:rPr>
      </w:pPr>
      <w:r w:rsidRPr="00701CFD">
        <w:rPr>
          <w:lang w:eastAsia="en-AU"/>
        </w:rPr>
        <w:t>The sponsor appears to claim the combined preparations are similar to registered products that are the result of combinations made immediately prior to administration of currently registered products. The sponsor also appears to have considered them as a fixed combination used for up to 9 days after mixing</w:t>
      </w:r>
      <w:r w:rsidR="00F34108">
        <w:rPr>
          <w:lang w:eastAsia="en-AU"/>
        </w:rPr>
        <w:t xml:space="preserve"> (from the proposed PI):</w:t>
      </w:r>
    </w:p>
    <w:p w:rsidR="00701CFD" w:rsidRPr="00F34108" w:rsidRDefault="00E43EA5" w:rsidP="00F34108">
      <w:pPr>
        <w:ind w:left="720"/>
        <w:rPr>
          <w:i/>
          <w:iCs/>
          <w:lang w:eastAsia="en-AU"/>
        </w:rPr>
      </w:pPr>
      <w:r>
        <w:rPr>
          <w:i/>
          <w:iCs/>
          <w:lang w:eastAsia="en-AU"/>
        </w:rPr>
        <w:t>After reconstitution:</w:t>
      </w:r>
    </w:p>
    <w:p w:rsidR="00586F98" w:rsidRDefault="00701CFD" w:rsidP="00F34108">
      <w:pPr>
        <w:ind w:left="720"/>
        <w:rPr>
          <w:i/>
          <w:iCs/>
          <w:lang w:eastAsia="en-AU"/>
        </w:rPr>
      </w:pPr>
      <w:r w:rsidRPr="00F34108">
        <w:rPr>
          <w:i/>
          <w:iCs/>
          <w:lang w:eastAsia="en-AU"/>
        </w:rPr>
        <w:t>It is recommended that the product is used immediately after the non-permanent seals between the 3 compartments have been opened. However, the stability of the reconstituted emulsion has been demonstrated for 7 days (between 2°C and 8°C) followed by 48 hours at temperature not exceeding 25°C.</w:t>
      </w:r>
    </w:p>
    <w:p w:rsidR="00F34108" w:rsidRDefault="00F34108" w:rsidP="00F34108">
      <w:pPr>
        <w:pStyle w:val="Heading3"/>
      </w:pPr>
      <w:bookmarkStart w:id="12" w:name="_Toc370730590"/>
      <w:r>
        <w:t>Formulation</w:t>
      </w:r>
      <w:bookmarkEnd w:id="12"/>
    </w:p>
    <w:p w:rsidR="00F34108" w:rsidRPr="00F34108" w:rsidRDefault="002A2CD0" w:rsidP="00E43EA5">
      <w:pPr>
        <w:pStyle w:val="TableTitle"/>
        <w:rPr>
          <w:lang w:eastAsia="ja-JP"/>
        </w:rPr>
      </w:pPr>
      <w:r>
        <w:rPr>
          <w:lang w:eastAsia="ja-JP"/>
        </w:rPr>
        <w:t>Table 1</w:t>
      </w:r>
      <w:r w:rsidR="00F34108">
        <w:rPr>
          <w:lang w:eastAsia="ja-JP"/>
        </w:rPr>
        <w:t>. Olimel</w:t>
      </w:r>
      <w:r>
        <w:rPr>
          <w:lang w:eastAsia="ja-JP"/>
        </w:rPr>
        <w:t>:</w:t>
      </w:r>
      <w:r w:rsidR="00F34108">
        <w:rPr>
          <w:lang w:eastAsia="ja-JP"/>
        </w:rPr>
        <w:t xml:space="preserve"> Concentrations of the triple chamber bag.</w:t>
      </w:r>
    </w:p>
    <w:p w:rsidR="00F34108" w:rsidRDefault="00F34108" w:rsidP="00E43EA5">
      <w:r w:rsidRPr="00F34108">
        <w:rPr>
          <w:noProof/>
          <w:lang w:eastAsia="en-AU"/>
        </w:rPr>
        <w:drawing>
          <wp:inline distT="0" distB="0" distL="0" distR="0">
            <wp:extent cx="4180840" cy="1630680"/>
            <wp:effectExtent l="19050" t="0" r="0" b="0"/>
            <wp:docPr id="1" name="Picture 1" descr="Table 1. Olimel: Concentrations of the triple chamber bag."/>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4180840" cy="1630680"/>
                    </a:xfrm>
                    <a:prstGeom prst="rect">
                      <a:avLst/>
                    </a:prstGeom>
                    <a:noFill/>
                    <a:ln w="9525">
                      <a:noFill/>
                      <a:miter lim="800000"/>
                      <a:headEnd/>
                      <a:tailEnd/>
                    </a:ln>
                  </pic:spPr>
                </pic:pic>
              </a:graphicData>
            </a:graphic>
          </wp:inline>
        </w:drawing>
      </w:r>
    </w:p>
    <w:p w:rsidR="00F34108" w:rsidRPr="00F34108" w:rsidRDefault="00F34108" w:rsidP="00F34108">
      <w:r>
        <w:t>The rationale for development of the formulation is unclear. The sponsor argues on the one hand that the formulations have been developed to meet the nutritional requirements for a wide range of clinical conditions and patients, yet at the same time says these formulations are similar to OliClinomel formulations which are currently registered in Australia.</w:t>
      </w:r>
    </w:p>
    <w:p w:rsidR="00586F98" w:rsidRDefault="00586F98" w:rsidP="00586F98">
      <w:pPr>
        <w:pStyle w:val="Heading2"/>
        <w:rPr>
          <w:lang w:eastAsia="en-AU"/>
        </w:rPr>
      </w:pPr>
      <w:bookmarkStart w:id="13" w:name="_Toc370730591"/>
      <w:r>
        <w:rPr>
          <w:lang w:eastAsia="en-AU"/>
        </w:rPr>
        <w:t>Contents of the clinical dossier</w:t>
      </w:r>
      <w:bookmarkEnd w:id="8"/>
      <w:bookmarkEnd w:id="9"/>
      <w:bookmarkEnd w:id="13"/>
    </w:p>
    <w:p w:rsidR="00586F98" w:rsidRDefault="00586F98" w:rsidP="00586F98">
      <w:pPr>
        <w:pStyle w:val="Heading3"/>
      </w:pPr>
      <w:bookmarkStart w:id="14" w:name="_Toc370730592"/>
      <w:r>
        <w:t>Scope of the clinical dossier</w:t>
      </w:r>
      <w:bookmarkEnd w:id="14"/>
    </w:p>
    <w:p w:rsidR="00F34108" w:rsidRPr="00F34108" w:rsidRDefault="00F34108" w:rsidP="00F34108">
      <w:r w:rsidRPr="00F34108">
        <w:t>The submission contained the following clinical information:</w:t>
      </w:r>
    </w:p>
    <w:p w:rsidR="00F34108" w:rsidRPr="00F34108" w:rsidRDefault="00F34108" w:rsidP="00E43EA5">
      <w:pPr>
        <w:pStyle w:val="ListBullet"/>
      </w:pPr>
      <w:r w:rsidRPr="00F34108">
        <w:t>Module 1</w:t>
      </w:r>
    </w:p>
    <w:p w:rsidR="00F34108" w:rsidRPr="00185A23" w:rsidRDefault="00F34108" w:rsidP="00F34108">
      <w:pPr>
        <w:pStyle w:val="ListBullet2"/>
      </w:pPr>
      <w:r w:rsidRPr="00185A23">
        <w:lastRenderedPageBreak/>
        <w:t>Application letter, application form, draft Australian PI and CMI, Canadian Product Monograph, European Summary of Product Characteristics.</w:t>
      </w:r>
    </w:p>
    <w:p w:rsidR="00F34108" w:rsidRPr="00185A23" w:rsidRDefault="00F34108" w:rsidP="00F34108">
      <w:pPr>
        <w:pStyle w:val="ListBullet"/>
      </w:pPr>
      <w:r w:rsidRPr="00185A23">
        <w:t>Module 2</w:t>
      </w:r>
    </w:p>
    <w:p w:rsidR="00F34108" w:rsidRPr="00185A23" w:rsidRDefault="00F34108" w:rsidP="00F34108">
      <w:pPr>
        <w:pStyle w:val="ListBullet2"/>
      </w:pPr>
      <w:r w:rsidRPr="00185A23">
        <w:t>Clinical Overview, Summary of Clinical Efficacy, Summary of Clinical Safety and literature references.</w:t>
      </w:r>
    </w:p>
    <w:p w:rsidR="00F34108" w:rsidRPr="00185A23" w:rsidRDefault="00F34108" w:rsidP="00F34108">
      <w:pPr>
        <w:pStyle w:val="ListBullet"/>
      </w:pPr>
      <w:r w:rsidRPr="00185A23">
        <w:t>Module 5 contained only</w:t>
      </w:r>
    </w:p>
    <w:p w:rsidR="00F34108" w:rsidRPr="00185A23" w:rsidRDefault="00F34108" w:rsidP="00F34108">
      <w:pPr>
        <w:pStyle w:val="ListBullet2"/>
      </w:pPr>
      <w:r w:rsidRPr="00185A23">
        <w:t>Study ICS1063B/P01/03/Mu. F Efficacy and safety of Oliclinisol (Olimel) N9-840 vs. Oliclinomel N8-800, carried out over five days in parallel groups in patients requiring parenteral nutrition.</w:t>
      </w:r>
    </w:p>
    <w:p w:rsidR="00F34108" w:rsidRPr="00185A23" w:rsidRDefault="00F34108" w:rsidP="00F34108">
      <w:pPr>
        <w:pStyle w:val="ListBullet2"/>
      </w:pPr>
      <w:r w:rsidRPr="00185A23">
        <w:t>Olimel/PeriOlimel PSURs:</w:t>
      </w:r>
    </w:p>
    <w:p w:rsidR="00F34108" w:rsidRPr="00185A23" w:rsidRDefault="00F34108" w:rsidP="00F34108">
      <w:pPr>
        <w:pStyle w:val="ListBullet3"/>
      </w:pPr>
      <w:r w:rsidRPr="00185A23">
        <w:t>21 Jul 2008 – 31 Jan 2009</w:t>
      </w:r>
    </w:p>
    <w:p w:rsidR="00F34108" w:rsidRPr="00185A23" w:rsidRDefault="00F34108" w:rsidP="00F34108">
      <w:pPr>
        <w:pStyle w:val="ListBullet3"/>
      </w:pPr>
      <w:r w:rsidRPr="00185A23">
        <w:t>1 Feb 2009 – 31 Jul 2009</w:t>
      </w:r>
    </w:p>
    <w:p w:rsidR="00F34108" w:rsidRPr="00185A23" w:rsidRDefault="00F34108" w:rsidP="00F34108">
      <w:pPr>
        <w:pStyle w:val="ListBullet3"/>
      </w:pPr>
      <w:r w:rsidRPr="00185A23">
        <w:t>1 Aug 2009 – 31 Jan 2010</w:t>
      </w:r>
    </w:p>
    <w:p w:rsidR="00F34108" w:rsidRPr="00185A23" w:rsidRDefault="00F34108" w:rsidP="00F34108">
      <w:pPr>
        <w:pStyle w:val="ListBullet3"/>
      </w:pPr>
      <w:r w:rsidRPr="00185A23">
        <w:t>1 Feb 2010 – 31 Jul 2010</w:t>
      </w:r>
    </w:p>
    <w:p w:rsidR="00F34108" w:rsidRPr="00185A23" w:rsidRDefault="00F34108" w:rsidP="00F34108">
      <w:pPr>
        <w:pStyle w:val="ListBullet3"/>
      </w:pPr>
      <w:r w:rsidRPr="00185A23">
        <w:t>1 Aug 2010 – 31 Jan 2011</w:t>
      </w:r>
    </w:p>
    <w:p w:rsidR="00F34108" w:rsidRPr="00185A23" w:rsidRDefault="00F34108" w:rsidP="00F34108">
      <w:pPr>
        <w:pStyle w:val="ListBullet3"/>
      </w:pPr>
      <w:r w:rsidRPr="00185A23">
        <w:t>1 Feb 2011 – 31 Jan 2012</w:t>
      </w:r>
    </w:p>
    <w:p w:rsidR="00F34108" w:rsidRPr="00185A23" w:rsidRDefault="00F34108" w:rsidP="00F34108">
      <w:pPr>
        <w:pStyle w:val="ListBullet2"/>
      </w:pPr>
      <w:r w:rsidRPr="00185A23">
        <w:t>11 literature references for amino acids(from 1985 to 1992</w:t>
      </w:r>
      <w:r>
        <w:t>,</w:t>
      </w:r>
      <w:r w:rsidRPr="00185A23">
        <w:t xml:space="preserve"> out of 94 submitted references)</w:t>
      </w:r>
    </w:p>
    <w:p w:rsidR="00F34108" w:rsidRPr="00185A23" w:rsidRDefault="00F34108" w:rsidP="00F34108">
      <w:pPr>
        <w:pStyle w:val="ListBullet2"/>
      </w:pPr>
      <w:r>
        <w:t xml:space="preserve">Reference to </w:t>
      </w:r>
      <w:r w:rsidRPr="00185A23">
        <w:t xml:space="preserve">studies on lipids not previously submitted and </w:t>
      </w:r>
      <w:r w:rsidRPr="009C714F">
        <w:rPr>
          <w:b/>
          <w:bCs/>
        </w:rPr>
        <w:t>not</w:t>
      </w:r>
      <w:r w:rsidRPr="00185A23">
        <w:t xml:space="preserve"> included</w:t>
      </w:r>
      <w:r w:rsidR="009C714F">
        <w:t xml:space="preserve"> [in this evaluation]</w:t>
      </w:r>
      <w:r>
        <w:t>:</w:t>
      </w:r>
    </w:p>
    <w:p w:rsidR="00F34108" w:rsidRPr="00185A23" w:rsidRDefault="00F34108" w:rsidP="00F34108">
      <w:pPr>
        <w:pStyle w:val="ListBullet3"/>
      </w:pPr>
      <w:r w:rsidRPr="00185A23">
        <w:t>CT 2402/P15/94/G; Report C9802E Phase 111 Prospective, Randomized, Multicenter Study of the Safety and Efficacy of ClinOleic 20% IV Fat Emulsion in Premature Infant</w:t>
      </w:r>
    </w:p>
    <w:p w:rsidR="00F34108" w:rsidRPr="00185A23" w:rsidRDefault="00F34108" w:rsidP="00F34108">
      <w:pPr>
        <w:pStyle w:val="ListBullet3"/>
      </w:pPr>
      <w:r w:rsidRPr="00185A23">
        <w:t>C88 CSW6/3 01F, 05F, 06F; Reports C9118, C9202, C9203 (Combined analysis) Short-term Safety and Efficacy Evaluation of ClinOleic Emulsion in Adult Patients under Exclusive Parenteral Nutrition</w:t>
      </w:r>
    </w:p>
    <w:p w:rsidR="00F34108" w:rsidRPr="00185A23" w:rsidRDefault="00F34108" w:rsidP="00F34108">
      <w:pPr>
        <w:pStyle w:val="ListBullet3"/>
      </w:pPr>
      <w:r w:rsidRPr="00185A23">
        <w:t>CT 2402/P24/03/C Efficacy and safety profile of ClinOleic 20% at a dose of 1 g/kg/day in patients requiring parenteral nutrition. A multicentre, randomized, double-blinded, non-inferiority study versus Intralipid 20%, carried out in parallel groups</w:t>
      </w:r>
    </w:p>
    <w:p w:rsidR="00F34108" w:rsidRPr="00185A23" w:rsidRDefault="00F34108" w:rsidP="00E43EA5">
      <w:pPr>
        <w:pStyle w:val="ListBullet2"/>
      </w:pPr>
      <w:r w:rsidRPr="00185A23">
        <w:t xml:space="preserve">Reference to studies on lipids previously submitted and therefore </w:t>
      </w:r>
      <w:r w:rsidRPr="00F34108">
        <w:rPr>
          <w:b/>
          <w:bCs/>
        </w:rPr>
        <w:t>not</w:t>
      </w:r>
      <w:r w:rsidRPr="00185A23">
        <w:t xml:space="preserve"> included</w:t>
      </w:r>
      <w:r w:rsidR="009C714F">
        <w:t xml:space="preserve"> </w:t>
      </w:r>
      <w:r w:rsidR="009C714F" w:rsidRPr="009C714F">
        <w:t>[in this evaluation]</w:t>
      </w:r>
      <w:r w:rsidR="009C714F">
        <w:t>:</w:t>
      </w:r>
    </w:p>
    <w:p w:rsidR="00F34108" w:rsidRPr="00185A23" w:rsidRDefault="00F34108" w:rsidP="00F34108">
      <w:pPr>
        <w:pStyle w:val="ListBullet3"/>
      </w:pPr>
      <w:r w:rsidRPr="00185A23">
        <w:t>C88 CSW6/3 04F; Report C9119 Clinical Trial in Healthy Volunteers under Exclusive Parenteral Feeding</w:t>
      </w:r>
    </w:p>
    <w:p w:rsidR="00F34108" w:rsidRPr="00185A23" w:rsidRDefault="00F34108" w:rsidP="00F34108">
      <w:pPr>
        <w:pStyle w:val="ListBullet3"/>
      </w:pPr>
      <w:r w:rsidRPr="00185A23">
        <w:t>Report B9208E Clearance of Intravenously Administered Olive Oil and Soya Bean Oil Emulsions in Healthy Volunteers</w:t>
      </w:r>
    </w:p>
    <w:p w:rsidR="00F34108" w:rsidRPr="00185A23" w:rsidRDefault="00F34108" w:rsidP="00F34108">
      <w:pPr>
        <w:pStyle w:val="ListBullet3"/>
      </w:pPr>
      <w:r w:rsidRPr="00185A23">
        <w:t>C91 CSW6/3 12F; Report C9403 Effect of lntravenous Administration of ClinOleic and Intralipid Emulsions on Biliary Secretion in Man</w:t>
      </w:r>
    </w:p>
    <w:p w:rsidR="00F34108" w:rsidRPr="00185A23" w:rsidRDefault="00F34108" w:rsidP="00F34108">
      <w:pPr>
        <w:pStyle w:val="ListBullet3"/>
      </w:pPr>
      <w:r w:rsidRPr="00185A23">
        <w:t>C88 CSW6/3 02F; Report C9114 Short-term Safety and Efficacy Evaluation of ClinOleic Emulsion in Adult Patients under Exclusive Parenteral Nutrition</w:t>
      </w:r>
    </w:p>
    <w:p w:rsidR="00F34108" w:rsidRPr="00185A23" w:rsidRDefault="00F34108" w:rsidP="00F34108">
      <w:pPr>
        <w:pStyle w:val="ListBullet3"/>
      </w:pPr>
      <w:r w:rsidRPr="00185A23">
        <w:t>C91 CSW6/3 13F; Report C9407 Safety Evaluation of ClinOleic in Adult Patients under Short-term Total Parenteral Nutrition</w:t>
      </w:r>
    </w:p>
    <w:p w:rsidR="00F34108" w:rsidRPr="00185A23" w:rsidRDefault="00F34108" w:rsidP="00F34108">
      <w:pPr>
        <w:pStyle w:val="ListBullet3"/>
      </w:pPr>
      <w:r w:rsidRPr="00185A23">
        <w:t>CT 2402/P19/96/G; Report C0103E Short-term Efficacy and Safety Evaluation of ClinOleic 20% versus Salvilipid 20% in Non-septic Patients in Post-operative Period</w:t>
      </w:r>
    </w:p>
    <w:p w:rsidR="00F34108" w:rsidRPr="00185A23" w:rsidRDefault="00F34108" w:rsidP="00F34108">
      <w:pPr>
        <w:pStyle w:val="ListBullet3"/>
      </w:pPr>
      <w:r w:rsidRPr="00185A23">
        <w:lastRenderedPageBreak/>
        <w:t>CT 2402/P21/96/S; Report C0104E Short-term Efficacy and Safety Evaluation of ClinOleic 20% versus MCT/LCT 20% (Lipofundina) in Bum Patients on Exclusive Parenteral Nutrition</w:t>
      </w:r>
    </w:p>
    <w:p w:rsidR="00F34108" w:rsidRPr="00185A23" w:rsidRDefault="00F34108" w:rsidP="00F34108">
      <w:pPr>
        <w:pStyle w:val="ListBullet3"/>
      </w:pPr>
      <w:r w:rsidRPr="00185A23">
        <w:t>C89 CSW6/3 08F; Report C9409E Efficacy and Safety Evaluation in Patients Treated for over 15 Days by Exclusive Parenteral Nutrition</w:t>
      </w:r>
    </w:p>
    <w:p w:rsidR="00F34108" w:rsidRPr="00185A23" w:rsidRDefault="00F34108" w:rsidP="00F34108">
      <w:pPr>
        <w:pStyle w:val="ListBullet3"/>
      </w:pPr>
      <w:r w:rsidRPr="00185A23">
        <w:t>C90 CSW6/3 11F; Report C9207 A Long-term Efficacy and Safety Study on ClinOleic Emulsion during Exclusive Parenteral Nutrition in Adult Patients</w:t>
      </w:r>
    </w:p>
    <w:p w:rsidR="00F34108" w:rsidRPr="00185A23" w:rsidRDefault="00F34108" w:rsidP="00F34108">
      <w:pPr>
        <w:pStyle w:val="ListBullet3"/>
      </w:pPr>
      <w:r w:rsidRPr="00185A23">
        <w:t>C89 CSW6/3 10F; Report C9408E A Long-term Safety Evaluation of ClinOleic in Adults or Children in Non-exclusive Parenteral Nutrition</w:t>
      </w:r>
    </w:p>
    <w:p w:rsidR="00F34108" w:rsidRPr="00185A23" w:rsidRDefault="00F34108" w:rsidP="00F34108">
      <w:pPr>
        <w:pStyle w:val="ListBullet3"/>
      </w:pPr>
      <w:r w:rsidRPr="00185A23">
        <w:t>CT 2402/P18/95/F; Report C9904E Comparative Study of the Effect on Cell Immunity and the Safety of Two Lipid Emulsions in Adults with Intestinal Failure on Prolonged Horne Parenteral Nutrition</w:t>
      </w:r>
    </w:p>
    <w:p w:rsidR="00F34108" w:rsidRPr="00185A23" w:rsidRDefault="00F34108" w:rsidP="00F34108">
      <w:pPr>
        <w:pStyle w:val="ListBullet3"/>
      </w:pPr>
      <w:r w:rsidRPr="00185A23">
        <w:t>CT 2402/P20/96/1; Report C9907E A Two Month Safety Evaluation of ClinOleic 20% versus Ivelip20% in 16 Adult Patients Requiring Horne Parenteral Nutrition for Short Bowel Disease</w:t>
      </w:r>
    </w:p>
    <w:p w:rsidR="00F34108" w:rsidRPr="00185A23" w:rsidRDefault="00F34108" w:rsidP="00F34108">
      <w:pPr>
        <w:pStyle w:val="ListBullet3"/>
      </w:pPr>
      <w:r w:rsidRPr="00185A23">
        <w:t>CT 2402/P22/00/F; Report COI05E Anti-oxidant and Nutritional Efficacy and Safety of ClinOleic 20% vs. Ivelip 20% in Patients with Chronic Renal Failure Treated by Chronic Dialysis</w:t>
      </w:r>
    </w:p>
    <w:p w:rsidR="00F34108" w:rsidRPr="00185A23" w:rsidRDefault="00F34108" w:rsidP="00F34108">
      <w:pPr>
        <w:pStyle w:val="ListBullet3"/>
      </w:pPr>
      <w:r w:rsidRPr="00185A23">
        <w:t>C88 CSW6/3 03F; Report C9201 Tolerability and Efficacy of ClinOleic in Children receiving Total Parenteral Nutrition</w:t>
      </w:r>
    </w:p>
    <w:p w:rsidR="00F34108" w:rsidRPr="00185A23" w:rsidRDefault="00F34108" w:rsidP="00F34108">
      <w:pPr>
        <w:pStyle w:val="ListBullet3"/>
      </w:pPr>
      <w:r w:rsidRPr="00185A23">
        <w:t>CT 2402/P14/93/F; Report C9801E Long-term Efficacy and Safety of ClinOleic compared to Intralipid in Children and Teenagers under Parenteral Nutrition</w:t>
      </w:r>
    </w:p>
    <w:p w:rsidR="00F34108" w:rsidRPr="00185A23" w:rsidRDefault="00F34108" w:rsidP="00F34108">
      <w:pPr>
        <w:pStyle w:val="ListBullet3"/>
      </w:pPr>
      <w:r w:rsidRPr="00185A23">
        <w:t>CT 2402/P17/95/UK, Report C9903E Long-term Safety Evaluation of ClinOleic in Patients on Parenteral Nutrition</w:t>
      </w:r>
    </w:p>
    <w:p w:rsidR="00F34108" w:rsidRPr="00185A23" w:rsidRDefault="00F34108" w:rsidP="00E43EA5">
      <w:pPr>
        <w:pStyle w:val="ListBullet2"/>
      </w:pPr>
      <w:r w:rsidRPr="00185A23">
        <w:t xml:space="preserve">Reference to studies on OliClinomel previously submitted and therefore </w:t>
      </w:r>
      <w:r w:rsidRPr="00F34108">
        <w:rPr>
          <w:b/>
          <w:bCs/>
        </w:rPr>
        <w:t>not</w:t>
      </w:r>
      <w:r w:rsidRPr="00185A23">
        <w:t xml:space="preserve"> included</w:t>
      </w:r>
      <w:r w:rsidR="009C714F">
        <w:t xml:space="preserve"> </w:t>
      </w:r>
      <w:r w:rsidR="009C714F" w:rsidRPr="009C714F">
        <w:t>[in this evaluation]</w:t>
      </w:r>
      <w:r w:rsidR="009C714F">
        <w:t>:</w:t>
      </w:r>
    </w:p>
    <w:p w:rsidR="00F34108" w:rsidRPr="00185A23" w:rsidRDefault="00F34108" w:rsidP="00F34108">
      <w:pPr>
        <w:pStyle w:val="ListBullet3"/>
      </w:pPr>
      <w:r w:rsidRPr="00185A23">
        <w:t>Study BX-OCNM4-301 Phase III Clinical Study for the Evaluation of the Ease of Use, the Safety and the Nutritional Eff</w:t>
      </w:r>
      <w:r w:rsidR="00E43EA5">
        <w:t>iciency of OliClinomel (N4550E)</w:t>
      </w:r>
    </w:p>
    <w:p w:rsidR="00F34108" w:rsidRPr="00185A23" w:rsidRDefault="00F34108" w:rsidP="00F34108">
      <w:pPr>
        <w:pStyle w:val="ListBullet3"/>
      </w:pPr>
      <w:r w:rsidRPr="00185A23">
        <w:t xml:space="preserve">Study BX-OCNM7-301 Phase III Clinical Study for the Evaluation of the Ease of Use, the Safety and the Nutritional Efficiency of </w:t>
      </w:r>
      <w:proofErr w:type="spellStart"/>
      <w:r w:rsidRPr="00185A23">
        <w:t>OliClinomel</w:t>
      </w:r>
      <w:proofErr w:type="spellEnd"/>
      <w:r w:rsidRPr="00185A23">
        <w:t xml:space="preserve"> (N71000E</w:t>
      </w:r>
    </w:p>
    <w:p w:rsidR="00F34108" w:rsidRPr="00185A23" w:rsidRDefault="00F34108" w:rsidP="00F34108">
      <w:pPr>
        <w:pStyle w:val="ListBullet3"/>
      </w:pPr>
      <w:r w:rsidRPr="00185A23">
        <w:t>Study BX-OCNM4-301 Phase III Clinical Study for the Evaluation of the Ease of Use, the Safety and the Nutritional Efficiency of OliClinomel (N4550E)</w:t>
      </w:r>
    </w:p>
    <w:p w:rsidR="00F34108" w:rsidRPr="00185A23" w:rsidRDefault="00F34108" w:rsidP="00F34108">
      <w:pPr>
        <w:pStyle w:val="ListBullet3"/>
      </w:pPr>
      <w:r w:rsidRPr="00185A23">
        <w:t>Study BX-OCNM7-301 Phase III Clinical Study for the Evaluation of the Ease of Use, the Safety and the Nutritional Efficiency of OliClinomel (N71000E)</w:t>
      </w:r>
    </w:p>
    <w:p w:rsidR="00F34108" w:rsidRDefault="00F34108" w:rsidP="00F34108">
      <w:pPr>
        <w:pStyle w:val="Heading3"/>
      </w:pPr>
      <w:bookmarkStart w:id="15" w:name="_Toc290846235"/>
      <w:bookmarkStart w:id="16" w:name="_Toc328983354"/>
      <w:bookmarkStart w:id="17" w:name="_Toc370730593"/>
      <w:r>
        <w:t>Paediatric data</w:t>
      </w:r>
      <w:bookmarkEnd w:id="15"/>
      <w:bookmarkEnd w:id="16"/>
      <w:bookmarkEnd w:id="17"/>
    </w:p>
    <w:p w:rsidR="00F34108" w:rsidRPr="00F34108" w:rsidRDefault="00F34108" w:rsidP="00F34108">
      <w:r w:rsidRPr="00F34108">
        <w:t>The submission included no relevant paediatric data. The studies were outside the proposed age limit or did not use 15% amino acids.</w:t>
      </w:r>
    </w:p>
    <w:p w:rsidR="00F34108" w:rsidRDefault="00F34108" w:rsidP="00F34108">
      <w:pPr>
        <w:pStyle w:val="Heading3"/>
      </w:pPr>
      <w:bookmarkStart w:id="18" w:name="_Toc272414612"/>
      <w:bookmarkStart w:id="19" w:name="_Toc290846236"/>
      <w:bookmarkStart w:id="20" w:name="_Toc328983355"/>
      <w:bookmarkStart w:id="21" w:name="_Toc370730594"/>
      <w:r>
        <w:t>Good clinical practice</w:t>
      </w:r>
      <w:bookmarkEnd w:id="18"/>
      <w:bookmarkEnd w:id="19"/>
      <w:bookmarkEnd w:id="20"/>
      <w:bookmarkEnd w:id="21"/>
    </w:p>
    <w:p w:rsidR="00586F98" w:rsidRPr="00586F98" w:rsidRDefault="00F34108" w:rsidP="00586F98">
      <w:pPr>
        <w:rPr>
          <w:lang w:eastAsia="ja-JP"/>
        </w:rPr>
      </w:pPr>
      <w:r w:rsidRPr="00185A23">
        <w:t>Study ICS1063B/P01/03/Mu was conducted according to GCP guidelines (ICH E6).</w:t>
      </w:r>
    </w:p>
    <w:p w:rsidR="00586F98" w:rsidRDefault="00586F98" w:rsidP="00586F98">
      <w:pPr>
        <w:pStyle w:val="Heading2"/>
      </w:pPr>
      <w:bookmarkStart w:id="22" w:name="_Toc355338639"/>
      <w:bookmarkStart w:id="23" w:name="_Toc370730595"/>
      <w:r>
        <w:lastRenderedPageBreak/>
        <w:t>Pharmacokinetics</w:t>
      </w:r>
      <w:bookmarkEnd w:id="22"/>
      <w:bookmarkEnd w:id="23"/>
    </w:p>
    <w:p w:rsidR="00B52280" w:rsidRPr="00F34108" w:rsidRDefault="00B52280" w:rsidP="00F34108">
      <w:r w:rsidRPr="00F34108">
        <w:t>Studies on the absorption, distribution, metabolism, excretion and pharmacokinetic drug interactions of the final product (admixture) in container-closure system administered to the patient have not been conducted.</w:t>
      </w:r>
    </w:p>
    <w:p w:rsidR="00B52280" w:rsidRPr="00F34108" w:rsidRDefault="00B52280" w:rsidP="00F34108">
      <w:r w:rsidRPr="00F34108">
        <w:t>The sponsor provided general information on the individual compartment components.</w:t>
      </w:r>
    </w:p>
    <w:p w:rsidR="00B52280" w:rsidRPr="00F34108" w:rsidRDefault="00B52280" w:rsidP="007D1C13">
      <w:pPr>
        <w:pStyle w:val="Heading3"/>
      </w:pPr>
      <w:bookmarkStart w:id="24" w:name="_Toc241374296"/>
      <w:bookmarkStart w:id="25" w:name="_Ref269982040"/>
      <w:bookmarkStart w:id="26" w:name="_Ref271018704"/>
      <w:bookmarkStart w:id="27" w:name="_Ref271018755"/>
      <w:bookmarkStart w:id="28" w:name="_Toc272414635"/>
      <w:bookmarkStart w:id="29" w:name="_Toc290846258"/>
      <w:bookmarkStart w:id="30" w:name="_Toc328983357"/>
      <w:bookmarkStart w:id="31" w:name="_Toc370730596"/>
      <w:r w:rsidRPr="00F34108">
        <w:t>Evaluator’s overall conclusions on pharmacokinetics</w:t>
      </w:r>
      <w:bookmarkEnd w:id="24"/>
      <w:bookmarkEnd w:id="25"/>
      <w:bookmarkEnd w:id="26"/>
      <w:bookmarkEnd w:id="27"/>
      <w:bookmarkEnd w:id="28"/>
      <w:bookmarkEnd w:id="29"/>
      <w:bookmarkEnd w:id="30"/>
      <w:bookmarkEnd w:id="31"/>
    </w:p>
    <w:p w:rsidR="00586F98" w:rsidRDefault="00B52280" w:rsidP="00586F98">
      <w:r w:rsidRPr="00F34108">
        <w:t>The evaluator finds little to comment on despite the submission including an unregistered component (Clinisol).</w:t>
      </w:r>
    </w:p>
    <w:p w:rsidR="00586F98" w:rsidRDefault="00586F98" w:rsidP="00586F98">
      <w:pPr>
        <w:pStyle w:val="Heading2"/>
      </w:pPr>
      <w:bookmarkStart w:id="32" w:name="_Toc370730597"/>
      <w:r>
        <w:t>Pharmacodynamics</w:t>
      </w:r>
      <w:bookmarkEnd w:id="32"/>
    </w:p>
    <w:p w:rsidR="00F34108" w:rsidRPr="00F34108" w:rsidRDefault="00F34108" w:rsidP="00F34108">
      <w:pPr>
        <w:rPr>
          <w:lang w:eastAsia="ja-JP"/>
        </w:rPr>
      </w:pPr>
      <w:r w:rsidRPr="00F34108">
        <w:rPr>
          <w:lang w:eastAsia="ja-JP"/>
        </w:rPr>
        <w:t>Again there was little to comment on</w:t>
      </w:r>
      <w:r w:rsidR="007D1C13">
        <w:rPr>
          <w:lang w:eastAsia="ja-JP"/>
        </w:rPr>
        <w:t>.</w:t>
      </w:r>
      <w:r w:rsidRPr="00F34108">
        <w:rPr>
          <w:lang w:eastAsia="ja-JP"/>
        </w:rPr>
        <w:t xml:space="preserve"> </w:t>
      </w:r>
      <w:r w:rsidR="007D1C13">
        <w:rPr>
          <w:lang w:eastAsia="ja-JP"/>
        </w:rPr>
        <w:t>T</w:t>
      </w:r>
      <w:r w:rsidRPr="00F34108">
        <w:rPr>
          <w:lang w:eastAsia="ja-JP"/>
        </w:rPr>
        <w:t>he sponsor did claim</w:t>
      </w:r>
      <w:r w:rsidR="007D1C13">
        <w:rPr>
          <w:lang w:eastAsia="ja-JP"/>
        </w:rPr>
        <w:t xml:space="preserve"> (in the clinical overview)</w:t>
      </w:r>
      <w:r w:rsidRPr="00F34108">
        <w:rPr>
          <w:lang w:eastAsia="ja-JP"/>
        </w:rPr>
        <w:t>:</w:t>
      </w:r>
    </w:p>
    <w:p w:rsidR="00F34108" w:rsidRPr="00F34108" w:rsidRDefault="00F34108" w:rsidP="007D1C13">
      <w:pPr>
        <w:ind w:left="720"/>
        <w:rPr>
          <w:lang w:eastAsia="ja-JP"/>
        </w:rPr>
      </w:pPr>
      <w:r w:rsidRPr="00F34108">
        <w:rPr>
          <w:lang w:eastAsia="ja-JP"/>
        </w:rPr>
        <w:t>Clinisol represents an advance over Synthamin, the amino acid source in the marketed product OliClinomel, through the addition of glutamic acid and aspartic acid. Glutamic acid is an important amino acid whose supply may be limited during states of critical illness. Glutamic acid is an intermediate for amino acid interconversions. It is a precursor for proline (required for wound healing), ornithine, glutamine, arginine (required for synthesis of creatine, nitric oxide and many other functions), polyamines (cell growth factors), and neurotransmitters (i.e. gamma amino butyric acid). Aspartate is important for synthesis of urea, pyrimidines and neurotransmitters. It is also an important gluconeogenic precursor.</w:t>
      </w:r>
    </w:p>
    <w:p w:rsidR="00C22678" w:rsidRPr="00586F98" w:rsidRDefault="00F34108" w:rsidP="00C22678">
      <w:pPr>
        <w:rPr>
          <w:lang w:eastAsia="ja-JP"/>
        </w:rPr>
      </w:pPr>
      <w:r w:rsidRPr="00F34108">
        <w:rPr>
          <w:lang w:eastAsia="ja-JP"/>
        </w:rPr>
        <w:t>This suggests the amino acid products are not as similar as claimed.</w:t>
      </w:r>
    </w:p>
    <w:p w:rsidR="00586F98" w:rsidRDefault="00C22678" w:rsidP="00586F98">
      <w:pPr>
        <w:pStyle w:val="Heading2"/>
      </w:pPr>
      <w:bookmarkStart w:id="33" w:name="_Toc370730598"/>
      <w:r>
        <w:t>Dosage selection for the pivotal studies</w:t>
      </w:r>
      <w:bookmarkEnd w:id="33"/>
    </w:p>
    <w:p w:rsidR="00C22678" w:rsidRPr="00586F98" w:rsidRDefault="00B52280" w:rsidP="007D1C13">
      <w:pPr>
        <w:rPr>
          <w:lang w:eastAsia="ja-JP"/>
        </w:rPr>
      </w:pPr>
      <w:r w:rsidRPr="00F34108">
        <w:rPr>
          <w:lang w:eastAsia="ja-JP"/>
        </w:rPr>
        <w:t>The dose administered was depending on patient oral intakes, metabolic and energy requirements, and patient’s clinical condition, the PN being considered in some cases as a complementary PN to oral/enteral intakes on patient for which this way was not contraindicated but for which intakes were not sufficient.</w:t>
      </w:r>
    </w:p>
    <w:p w:rsidR="00C22678" w:rsidRDefault="00C22678" w:rsidP="00C22678">
      <w:pPr>
        <w:pStyle w:val="Heading2"/>
      </w:pPr>
      <w:bookmarkStart w:id="34" w:name="_Toc370730599"/>
      <w:r>
        <w:t>Clinical efficacy</w:t>
      </w:r>
      <w:bookmarkEnd w:id="34"/>
    </w:p>
    <w:p w:rsidR="00E8640C" w:rsidRPr="00E8640C" w:rsidRDefault="00E8640C" w:rsidP="00E8640C">
      <w:pPr>
        <w:rPr>
          <w:lang w:eastAsia="ja-JP"/>
        </w:rPr>
      </w:pPr>
      <w:r w:rsidRPr="00E8640C">
        <w:rPr>
          <w:lang w:eastAsia="ja-JP"/>
        </w:rPr>
        <w:t>The sponsor repeatedly refers to the similarity of the combined product and the individual components to registered products. It is thus unclear what the sponsor considers is being registered.</w:t>
      </w:r>
    </w:p>
    <w:p w:rsidR="00E8640C" w:rsidRPr="00E8640C" w:rsidRDefault="00E8640C" w:rsidP="00E8640C">
      <w:pPr>
        <w:rPr>
          <w:lang w:eastAsia="ja-JP"/>
        </w:rPr>
      </w:pPr>
      <w:r w:rsidRPr="00E8640C">
        <w:rPr>
          <w:lang w:eastAsia="ja-JP"/>
        </w:rPr>
        <w:t>The combined product relies for proof of efficacy on comparison with a combined product not registered in Australia. Of the individual components the glucose and lipid components are registered while the 15%</w:t>
      </w:r>
      <w:r w:rsidR="00B52280">
        <w:rPr>
          <w:lang w:eastAsia="ja-JP"/>
        </w:rPr>
        <w:t xml:space="preserve"> amino acid component (Clinisol</w:t>
      </w:r>
      <w:r w:rsidRPr="00E8640C">
        <w:rPr>
          <w:lang w:eastAsia="ja-JP"/>
        </w:rPr>
        <w:t>) is not. Evidence of the efficacy of Clinisol relies on a literature report in which a 15% solution (similar to but not Clinisol) is compared to a 10% amino acids solution. The components of the 15% solution could not be determined from the report and were sought elsewhere. No evidence of a literature search was submitted.</w:t>
      </w:r>
      <w:r w:rsidR="00B52280">
        <w:rPr>
          <w:lang w:eastAsia="ja-JP"/>
        </w:rPr>
        <w:t xml:space="preserve"> The sponsor’s clinical overview states:</w:t>
      </w:r>
    </w:p>
    <w:p w:rsidR="00E8640C" w:rsidRPr="00E8640C" w:rsidRDefault="00E8640C" w:rsidP="00B52280">
      <w:pPr>
        <w:ind w:left="720"/>
        <w:rPr>
          <w:lang w:eastAsia="ja-JP"/>
        </w:rPr>
      </w:pPr>
      <w:r w:rsidRPr="00E8640C">
        <w:rPr>
          <w:lang w:eastAsia="ja-JP"/>
        </w:rPr>
        <w:t xml:space="preserve">The efficacy data for OliClinisol are largely based on studies performed with existing products that are similar to or the same as the individual components of OliClinisol. Studies are therefore presented on Synthamin, an amino acid solution that contains all the amino acids in OliClinisol except two (aspartic acid and glutamic acid), and ClinOleic, the lipid emulsion </w:t>
      </w:r>
      <w:r w:rsidR="00C72F55">
        <w:rPr>
          <w:lang w:eastAsia="ja-JP"/>
        </w:rPr>
        <w:t xml:space="preserve">component of </w:t>
      </w:r>
      <w:proofErr w:type="spellStart"/>
      <w:r w:rsidR="00C72F55">
        <w:rPr>
          <w:lang w:eastAsia="ja-JP"/>
        </w:rPr>
        <w:t>OliClinisol</w:t>
      </w:r>
      <w:proofErr w:type="spellEnd"/>
      <w:r w:rsidR="00C72F55">
        <w:rPr>
          <w:lang w:eastAsia="ja-JP"/>
        </w:rPr>
        <w:t>.</w:t>
      </w:r>
    </w:p>
    <w:p w:rsidR="00E8640C" w:rsidRPr="00E8640C" w:rsidRDefault="00E8640C" w:rsidP="00B52280">
      <w:pPr>
        <w:ind w:left="720"/>
        <w:rPr>
          <w:lang w:eastAsia="ja-JP"/>
        </w:rPr>
      </w:pPr>
      <w:r w:rsidRPr="00E8640C">
        <w:rPr>
          <w:lang w:eastAsia="ja-JP"/>
        </w:rPr>
        <w:lastRenderedPageBreak/>
        <w:t>In addition, two non-comparative studies are presented that have been performed with OliClinomel to support the efficacy and safety data obtained with similar premixes. A double-blind comparative study comparing OliClinisol to the currently marketed produc</w:t>
      </w:r>
      <w:r w:rsidR="00C72F55">
        <w:rPr>
          <w:lang w:eastAsia="ja-JP"/>
        </w:rPr>
        <w:t xml:space="preserve">t </w:t>
      </w:r>
      <w:proofErr w:type="spellStart"/>
      <w:r w:rsidR="00C72F55">
        <w:rPr>
          <w:lang w:eastAsia="ja-JP"/>
        </w:rPr>
        <w:t>OliClinomel</w:t>
      </w:r>
      <w:proofErr w:type="spellEnd"/>
      <w:r w:rsidR="00C72F55">
        <w:rPr>
          <w:lang w:eastAsia="ja-JP"/>
        </w:rPr>
        <w:t xml:space="preserve"> is also reported.</w:t>
      </w:r>
    </w:p>
    <w:p w:rsidR="00E8640C" w:rsidRPr="00E8640C" w:rsidRDefault="00E8640C" w:rsidP="00B52280">
      <w:pPr>
        <w:ind w:left="720"/>
        <w:rPr>
          <w:lang w:eastAsia="ja-JP"/>
        </w:rPr>
      </w:pPr>
      <w:r w:rsidRPr="00E8640C">
        <w:rPr>
          <w:lang w:eastAsia="ja-JP"/>
        </w:rPr>
        <w:t>The Synthamin studies are taken from published literature and the Good Clinical Practice (GCP) status is unknown, but the publications are in reputable journals and appear to be of appropriate quality. For the clinical study reports, early studies were performed before the implementation of GCP guidelines, but the studies were carried out in accordance with the guidance in place at the tim</w:t>
      </w:r>
      <w:r w:rsidR="00C72F55">
        <w:rPr>
          <w:lang w:eastAsia="ja-JP"/>
        </w:rPr>
        <w:t>e, and provide supporting data.</w:t>
      </w:r>
    </w:p>
    <w:p w:rsidR="00E8640C" w:rsidRPr="00E8640C" w:rsidRDefault="00B52280" w:rsidP="00B52280">
      <w:pPr>
        <w:pStyle w:val="Heading3"/>
      </w:pPr>
      <w:bookmarkStart w:id="35" w:name="_Toc328983361"/>
      <w:bookmarkStart w:id="36" w:name="_Toc370730600"/>
      <w:r>
        <w:t>E</w:t>
      </w:r>
      <w:r w:rsidRPr="00E8640C">
        <w:t>fficacy as the combined product</w:t>
      </w:r>
      <w:bookmarkEnd w:id="35"/>
      <w:bookmarkEnd w:id="36"/>
    </w:p>
    <w:p w:rsidR="00E8640C" w:rsidRPr="00E8640C" w:rsidRDefault="00C72F55" w:rsidP="00B52280">
      <w:pPr>
        <w:pStyle w:val="Heading4"/>
      </w:pPr>
      <w:bookmarkStart w:id="37" w:name="_Toc328983362"/>
      <w:r>
        <w:t>Pivotal efficacy s</w:t>
      </w:r>
      <w:r w:rsidR="00E8640C" w:rsidRPr="00E8640C">
        <w:t>tudy ICS1063B/P01/03/</w:t>
      </w:r>
      <w:proofErr w:type="spellStart"/>
      <w:r w:rsidR="00E8640C" w:rsidRPr="00E8640C">
        <w:t>Mu.F</w:t>
      </w:r>
      <w:bookmarkEnd w:id="37"/>
      <w:proofErr w:type="spellEnd"/>
    </w:p>
    <w:p w:rsidR="00E8640C" w:rsidRPr="00E8640C" w:rsidRDefault="00E8640C" w:rsidP="00E8640C">
      <w:pPr>
        <w:rPr>
          <w:lang w:eastAsia="ja-JP"/>
        </w:rPr>
      </w:pPr>
      <w:r w:rsidRPr="00E8640C">
        <w:rPr>
          <w:lang w:eastAsia="ja-JP"/>
        </w:rPr>
        <w:t>Only the study report was submitted with none of the usual appendices.</w:t>
      </w:r>
    </w:p>
    <w:p w:rsidR="00E8640C" w:rsidRPr="00E8640C" w:rsidRDefault="00E8640C" w:rsidP="00E8640C">
      <w:pPr>
        <w:rPr>
          <w:lang w:eastAsia="ja-JP"/>
        </w:rPr>
      </w:pPr>
      <w:r w:rsidRPr="00E8640C">
        <w:rPr>
          <w:lang w:eastAsia="ja-JP"/>
        </w:rPr>
        <w:t>The study notification file was not submitted to the Spanish Competent Authority after EC approval. So, in absence of any authorisation from Spanish Health Authorities to use the data from the Spanish centre, the report analysis did not take into account the 10 patients from Spain.</w:t>
      </w:r>
    </w:p>
    <w:p w:rsidR="00E8640C" w:rsidRPr="00E8640C" w:rsidRDefault="00E8640C" w:rsidP="00E8640C">
      <w:pPr>
        <w:rPr>
          <w:lang w:eastAsia="ja-JP"/>
        </w:rPr>
      </w:pPr>
      <w:r w:rsidRPr="00E8640C">
        <w:rPr>
          <w:lang w:eastAsia="ja-JP"/>
        </w:rPr>
        <w:t xml:space="preserve">This study compared the proposed combined preparation Olimel (Oliclinisol) containing an unregistered 15% amino acid preparation (Clinisol) with a combined preparation not registered in Australia that contained a 10% amino acid preparation Synthamin. </w:t>
      </w:r>
      <w:r w:rsidR="0001486E">
        <w:rPr>
          <w:lang w:eastAsia="ja-JP"/>
        </w:rPr>
        <w:t>From the study report:</w:t>
      </w:r>
    </w:p>
    <w:p w:rsidR="00E8640C" w:rsidRPr="0001486E" w:rsidRDefault="00E8640C" w:rsidP="0001486E">
      <w:pPr>
        <w:ind w:left="720"/>
      </w:pPr>
      <w:r w:rsidRPr="0001486E">
        <w:t xml:space="preserve">Oliclinomel N8-800 was chosen as the </w:t>
      </w:r>
      <w:r w:rsidR="0001486E">
        <w:t>ready to use (</w:t>
      </w:r>
      <w:r w:rsidRPr="0001486E">
        <w:t>RTU</w:t>
      </w:r>
      <w:r w:rsidR="0001486E">
        <w:t>)</w:t>
      </w:r>
      <w:r w:rsidRPr="0001486E">
        <w:t xml:space="preserve"> ternary admixture reference because it has a similar composition, except regarding the </w:t>
      </w:r>
      <w:r w:rsidR="0001486E">
        <w:t>amino acid (</w:t>
      </w:r>
      <w:r w:rsidRPr="0001486E">
        <w:t>AA</w:t>
      </w:r>
      <w:r w:rsidR="0001486E">
        <w:t>)</w:t>
      </w:r>
      <w:r w:rsidRPr="0001486E">
        <w:t xml:space="preserve"> solution and lipido-glucidic ratio.</w:t>
      </w:r>
    </w:p>
    <w:p w:rsidR="00E8640C" w:rsidRPr="0001486E" w:rsidRDefault="00E8640C" w:rsidP="0001486E">
      <w:pPr>
        <w:pStyle w:val="Heading5"/>
      </w:pPr>
      <w:r w:rsidRPr="0001486E">
        <w:t>Study design, objectives, locations and dates</w:t>
      </w:r>
    </w:p>
    <w:p w:rsidR="00E8640C" w:rsidRPr="0001486E" w:rsidRDefault="00E8640C" w:rsidP="0001486E">
      <w:r w:rsidRPr="0001486E">
        <w:t>A multicenter, prospective, randomized, double-blind, parallel group study in hospitalized adults of the Efficacy and safety of Oliclinisol (Olimel) N9-840 versus Oliclinomel N8-800 in parenteral nutrition carried out over five days. In 7 centres in France and Germany and one in Spain from 24/01/2005 to 20/12/2005.</w:t>
      </w:r>
    </w:p>
    <w:p w:rsidR="00E8640C" w:rsidRPr="0001486E" w:rsidRDefault="00E8640C" w:rsidP="0001486E">
      <w:r w:rsidRPr="0001486E">
        <w:t xml:space="preserve">The </w:t>
      </w:r>
      <w:r w:rsidRPr="0001486E">
        <w:rPr>
          <w:b/>
          <w:bCs/>
        </w:rPr>
        <w:t>Primary objective</w:t>
      </w:r>
      <w:r w:rsidRPr="0001486E">
        <w:t xml:space="preserve"> was to provide clinical information on safety of Oliclinisol N9-840 in a practical therapeutic use after 5 consecutive days of PN.</w:t>
      </w:r>
    </w:p>
    <w:p w:rsidR="00E8640C" w:rsidRPr="0001486E" w:rsidRDefault="00E8640C" w:rsidP="0001486E">
      <w:r w:rsidRPr="0001486E">
        <w:rPr>
          <w:b/>
          <w:bCs/>
        </w:rPr>
        <w:t>Secondary objective</w:t>
      </w:r>
      <w:r w:rsidRPr="0001486E">
        <w:t>: No difference in clinical outcomes or lab-tests was expected from the differences in product composition; nevertheless, transthyretin as nutritional lab marker was collected as efficacy parameter.</w:t>
      </w:r>
    </w:p>
    <w:p w:rsidR="00E8640C" w:rsidRPr="0001486E" w:rsidRDefault="00C72F55" w:rsidP="0001486E">
      <w:pPr>
        <w:pStyle w:val="Heading5"/>
      </w:pPr>
      <w:r>
        <w:t>Inclusion criteria</w:t>
      </w:r>
    </w:p>
    <w:p w:rsidR="00E8640C" w:rsidRPr="0001486E" w:rsidRDefault="00C72F55" w:rsidP="0001486E">
      <w:r>
        <w:t>Included:</w:t>
      </w:r>
    </w:p>
    <w:p w:rsidR="00E8640C" w:rsidRPr="0001486E" w:rsidRDefault="00E8640C" w:rsidP="0001486E">
      <w:pPr>
        <w:pStyle w:val="ListBullet"/>
      </w:pPr>
      <w:r w:rsidRPr="0001486E">
        <w:t>Hospitalized Patients aged from 18 – 85 years,</w:t>
      </w:r>
    </w:p>
    <w:p w:rsidR="00E8640C" w:rsidRPr="0001486E" w:rsidRDefault="00E8640C" w:rsidP="0001486E">
      <w:pPr>
        <w:pStyle w:val="ListBullet"/>
      </w:pPr>
      <w:r w:rsidRPr="0001486E">
        <w:t>With any pathology requiring balanced parenteral nutrition, representing at least 50% of the daily non-protein energy requirements during five days.</w:t>
      </w:r>
    </w:p>
    <w:p w:rsidR="00E8640C" w:rsidRPr="0001486E" w:rsidRDefault="00E8640C" w:rsidP="0001486E">
      <w:pPr>
        <w:pStyle w:val="Heading5"/>
      </w:pPr>
      <w:r w:rsidRPr="0001486E">
        <w:t>Exclusion criteria</w:t>
      </w:r>
    </w:p>
    <w:p w:rsidR="00E8640C" w:rsidRPr="00E8640C" w:rsidRDefault="00E8640C" w:rsidP="00E8640C">
      <w:pPr>
        <w:rPr>
          <w:lang w:eastAsia="ja-JP"/>
        </w:rPr>
      </w:pPr>
      <w:r w:rsidRPr="00E8640C">
        <w:rPr>
          <w:lang w:eastAsia="ja-JP"/>
        </w:rPr>
        <w:t>Included:</w:t>
      </w:r>
    </w:p>
    <w:p w:rsidR="00E8640C" w:rsidRPr="00E8640C" w:rsidRDefault="00E8640C" w:rsidP="0001486E">
      <w:pPr>
        <w:pStyle w:val="ListBullet"/>
        <w:rPr>
          <w:lang w:eastAsia="ja-JP"/>
        </w:rPr>
      </w:pPr>
      <w:r w:rsidRPr="00E8640C">
        <w:rPr>
          <w:lang w:eastAsia="ja-JP"/>
        </w:rPr>
        <w:t>Patient with life expectancy shorter than 6 days,</w:t>
      </w:r>
    </w:p>
    <w:p w:rsidR="00E8640C" w:rsidRPr="00E8640C" w:rsidRDefault="00E8640C" w:rsidP="0001486E">
      <w:pPr>
        <w:pStyle w:val="ListBullet"/>
        <w:rPr>
          <w:lang w:eastAsia="ja-JP"/>
        </w:rPr>
      </w:pPr>
      <w:r w:rsidRPr="00E8640C">
        <w:rPr>
          <w:lang w:eastAsia="ja-JP"/>
        </w:rPr>
        <w:t>Severe illness with foreseeable intercurrent events jeopardizing patient’s participation by leading to drop out,</w:t>
      </w:r>
    </w:p>
    <w:p w:rsidR="00E8640C" w:rsidRPr="00E8640C" w:rsidRDefault="00E8640C" w:rsidP="0001486E">
      <w:pPr>
        <w:pStyle w:val="ListBullet"/>
        <w:rPr>
          <w:lang w:eastAsia="ja-JP"/>
        </w:rPr>
      </w:pPr>
      <w:r w:rsidRPr="00E8640C">
        <w:rPr>
          <w:lang w:eastAsia="ja-JP"/>
        </w:rPr>
        <w:t>Lipids infusion for nutrition purpose the previous day,</w:t>
      </w:r>
    </w:p>
    <w:p w:rsidR="00E8640C" w:rsidRPr="00E8640C" w:rsidRDefault="00E8640C" w:rsidP="0001486E">
      <w:pPr>
        <w:pStyle w:val="ListBullet"/>
        <w:rPr>
          <w:lang w:eastAsia="ja-JP"/>
        </w:rPr>
      </w:pPr>
      <w:r w:rsidRPr="00E8640C">
        <w:rPr>
          <w:lang w:eastAsia="ja-JP"/>
        </w:rPr>
        <w:lastRenderedPageBreak/>
        <w:t>Patient with unstable conditions (for example, following severe post-traumatic conditions, uncompensated diabetes mellitus, acute phase of circulatory shock, acute myocardial infarction, severe metabolic acidosis, severe sepsis and hyperosmolar coma) usually contraindicating intravenous infusion,</w:t>
      </w:r>
    </w:p>
    <w:p w:rsidR="00E8640C" w:rsidRPr="00E8640C" w:rsidRDefault="00E8640C" w:rsidP="0001486E">
      <w:pPr>
        <w:pStyle w:val="ListBullet"/>
        <w:rPr>
          <w:lang w:eastAsia="ja-JP"/>
        </w:rPr>
      </w:pPr>
      <w:r w:rsidRPr="00E8640C">
        <w:rPr>
          <w:lang w:eastAsia="ja-JP"/>
        </w:rPr>
        <w:t>Severe cardiac insufficiency,</w:t>
      </w:r>
    </w:p>
    <w:p w:rsidR="00E8640C" w:rsidRPr="00E8640C" w:rsidRDefault="00E8640C" w:rsidP="0001486E">
      <w:pPr>
        <w:pStyle w:val="ListBullet"/>
        <w:rPr>
          <w:lang w:eastAsia="ja-JP"/>
        </w:rPr>
      </w:pPr>
      <w:r w:rsidRPr="00E8640C">
        <w:rPr>
          <w:lang w:eastAsia="ja-JP"/>
        </w:rPr>
        <w:t>Congenital abnormalities of amino acid metabolism,</w:t>
      </w:r>
    </w:p>
    <w:p w:rsidR="00E8640C" w:rsidRPr="00E8640C" w:rsidRDefault="00E8640C" w:rsidP="0001486E">
      <w:pPr>
        <w:pStyle w:val="ListBullet"/>
        <w:rPr>
          <w:lang w:eastAsia="ja-JP"/>
        </w:rPr>
      </w:pPr>
      <w:r w:rsidRPr="00E8640C">
        <w:rPr>
          <w:lang w:eastAsia="ja-JP"/>
        </w:rPr>
        <w:t>Severe renal insufficiency without the possibility of haemofiltration or dialysis,</w:t>
      </w:r>
    </w:p>
    <w:p w:rsidR="00E8640C" w:rsidRPr="00E8640C" w:rsidRDefault="00E8640C" w:rsidP="0001486E">
      <w:pPr>
        <w:pStyle w:val="ListBullet"/>
        <w:rPr>
          <w:lang w:eastAsia="ja-JP"/>
        </w:rPr>
      </w:pPr>
      <w:r w:rsidRPr="00E8640C">
        <w:rPr>
          <w:lang w:eastAsia="ja-JP"/>
        </w:rPr>
        <w:t>Hyperglycaemia, which requires more than 6 units insulin/h,</w:t>
      </w:r>
    </w:p>
    <w:p w:rsidR="00E8640C" w:rsidRPr="00E8640C" w:rsidRDefault="00E8640C" w:rsidP="0001486E">
      <w:pPr>
        <w:pStyle w:val="ListBullet"/>
        <w:rPr>
          <w:lang w:eastAsia="ja-JP"/>
        </w:rPr>
      </w:pPr>
      <w:r w:rsidRPr="00E8640C">
        <w:rPr>
          <w:lang w:eastAsia="ja-JP"/>
        </w:rPr>
        <w:t>Severe dyslipidaemia,</w:t>
      </w:r>
    </w:p>
    <w:p w:rsidR="00E8640C" w:rsidRPr="00E8640C" w:rsidRDefault="00E8640C" w:rsidP="0001486E">
      <w:pPr>
        <w:pStyle w:val="ListBullet"/>
        <w:rPr>
          <w:lang w:eastAsia="ja-JP"/>
        </w:rPr>
      </w:pPr>
      <w:r w:rsidRPr="00E8640C">
        <w:rPr>
          <w:lang w:eastAsia="ja-JP"/>
        </w:rPr>
        <w:t>Severe liver disease with cytolysis characterized by ASAT &gt; 3N or severe cholestasis characterized by conjugated bilirubin &gt; 2N,</w:t>
      </w:r>
    </w:p>
    <w:p w:rsidR="00E8640C" w:rsidRPr="00E8640C" w:rsidRDefault="00E8640C" w:rsidP="0001486E">
      <w:pPr>
        <w:pStyle w:val="ListBullet"/>
        <w:rPr>
          <w:lang w:eastAsia="ja-JP"/>
        </w:rPr>
      </w:pPr>
      <w:r w:rsidRPr="00E8640C">
        <w:rPr>
          <w:lang w:eastAsia="ja-JP"/>
        </w:rPr>
        <w:t>Severe blood coagulation disorders not explained by Anti Vitamin K or heparin intakes.</w:t>
      </w:r>
    </w:p>
    <w:p w:rsidR="00E8640C" w:rsidRPr="00E8640C" w:rsidRDefault="00E8640C" w:rsidP="0001486E">
      <w:pPr>
        <w:pStyle w:val="Heading5"/>
        <w:rPr>
          <w:lang w:eastAsia="ja-JP"/>
        </w:rPr>
      </w:pPr>
      <w:r w:rsidRPr="00E8640C">
        <w:rPr>
          <w:lang w:eastAsia="ja-JP"/>
        </w:rPr>
        <w:t>Study treatments</w:t>
      </w:r>
    </w:p>
    <w:p w:rsidR="00E8640C" w:rsidRPr="00E8640C" w:rsidRDefault="00E8640C" w:rsidP="00E8640C">
      <w:pPr>
        <w:rPr>
          <w:lang w:eastAsia="ja-JP"/>
        </w:rPr>
      </w:pPr>
      <w:r w:rsidRPr="00E8640C">
        <w:rPr>
          <w:lang w:eastAsia="ja-JP"/>
        </w:rPr>
        <w:t>The dose administered was depending on patient oral intakes, metabolic and energy requirements, and patient’s clinical condition, the PN being considered in some cases as a complementary PN to oral/enteral intakes on patient for which this way was not contraindicated but for which intakes were not sufficient.</w:t>
      </w:r>
    </w:p>
    <w:p w:rsidR="00E8640C" w:rsidRPr="00E8640C" w:rsidRDefault="00E8640C" w:rsidP="00E8640C">
      <w:pPr>
        <w:rPr>
          <w:lang w:eastAsia="ja-JP"/>
        </w:rPr>
      </w:pPr>
      <w:r w:rsidRPr="00E8640C">
        <w:rPr>
          <w:lang w:eastAsia="ja-JP"/>
        </w:rPr>
        <w:t>From D0 to D+4, the patient received a balanced parenteral nutrition representing at least 50% of the daily needs. The energy calculation during these 5 days (D0 to D+4) was based on the medical expertise of the Investigator.</w:t>
      </w:r>
    </w:p>
    <w:p w:rsidR="00E8640C" w:rsidRPr="00E8640C" w:rsidRDefault="00E8640C" w:rsidP="00E8640C">
      <w:pPr>
        <w:rPr>
          <w:lang w:eastAsia="ja-JP"/>
        </w:rPr>
      </w:pPr>
      <w:r w:rsidRPr="00E8640C">
        <w:rPr>
          <w:lang w:eastAsia="ja-JP"/>
        </w:rPr>
        <w:t>Patients also received additional glucose than that in the combined preparations:</w:t>
      </w:r>
      <w:r w:rsidR="0001486E">
        <w:rPr>
          <w:lang w:eastAsia="ja-JP"/>
        </w:rPr>
        <w:t xml:space="preserve"> </w:t>
      </w:r>
      <w:r w:rsidRPr="00E8640C">
        <w:rPr>
          <w:lang w:eastAsia="ja-JP"/>
        </w:rPr>
        <w:t>This resulted in more lipids and less glucose intakes respectively, with also less complementary gluco</w:t>
      </w:r>
      <w:r w:rsidR="0001486E">
        <w:rPr>
          <w:lang w:eastAsia="ja-JP"/>
        </w:rPr>
        <w:t>se administered besides the bag.</w:t>
      </w:r>
    </w:p>
    <w:p w:rsidR="00E8640C" w:rsidRPr="00E8640C" w:rsidRDefault="00E8640C" w:rsidP="0001486E">
      <w:pPr>
        <w:pStyle w:val="Heading5"/>
        <w:rPr>
          <w:lang w:eastAsia="ja-JP"/>
        </w:rPr>
      </w:pPr>
      <w:r w:rsidRPr="00E8640C">
        <w:rPr>
          <w:lang w:eastAsia="ja-JP"/>
        </w:rPr>
        <w:t>Efficacy variables and outcomes</w:t>
      </w:r>
    </w:p>
    <w:p w:rsidR="00E8640C" w:rsidRPr="00E8640C" w:rsidRDefault="00E8640C" w:rsidP="00E8640C">
      <w:pPr>
        <w:rPr>
          <w:lang w:eastAsia="ja-JP"/>
        </w:rPr>
      </w:pPr>
      <w:r w:rsidRPr="00E8640C">
        <w:rPr>
          <w:lang w:eastAsia="ja-JP"/>
        </w:rPr>
        <w:t>The sponsor did not submit the statistical analysis plan. The H</w:t>
      </w:r>
      <w:r w:rsidRPr="0001486E">
        <w:rPr>
          <w:vertAlign w:val="subscript"/>
          <w:lang w:eastAsia="ja-JP"/>
        </w:rPr>
        <w:t>0</w:t>
      </w:r>
      <w:r w:rsidRPr="00E8640C">
        <w:rPr>
          <w:lang w:eastAsia="ja-JP"/>
        </w:rPr>
        <w:t xml:space="preserve"> appeared to be that there was a difference between the two treatment groups as assessed by the change in transthyretin level between day 0 &amp; day 5. The alternative appeared to be th</w:t>
      </w:r>
      <w:r w:rsidR="0001486E">
        <w:rPr>
          <w:lang w:eastAsia="ja-JP"/>
        </w:rPr>
        <w:t xml:space="preserve">at there was no difference. </w:t>
      </w:r>
      <w:r w:rsidRPr="00E8640C">
        <w:rPr>
          <w:lang w:eastAsia="ja-JP"/>
        </w:rPr>
        <w:t>No non-inferiority or equivalence margins appear to have been set.</w:t>
      </w:r>
    </w:p>
    <w:p w:rsidR="00E8640C" w:rsidRPr="00E8640C" w:rsidRDefault="00E8640C" w:rsidP="00E8640C">
      <w:pPr>
        <w:rPr>
          <w:lang w:eastAsia="ja-JP"/>
        </w:rPr>
      </w:pPr>
      <w:r w:rsidRPr="00E8640C">
        <w:rPr>
          <w:lang w:eastAsia="ja-JP"/>
        </w:rPr>
        <w:t>Transthyretin as nutritional efficacy parameter was evaluated at D0 before first infusion and at D+5 or D-end after last infusion.</w:t>
      </w:r>
    </w:p>
    <w:p w:rsidR="00E8640C" w:rsidRPr="00E8640C" w:rsidRDefault="00E8640C" w:rsidP="0001486E">
      <w:pPr>
        <w:pStyle w:val="Heading5"/>
        <w:rPr>
          <w:lang w:eastAsia="ja-JP"/>
        </w:rPr>
      </w:pPr>
      <w:r w:rsidRPr="00E8640C">
        <w:rPr>
          <w:lang w:eastAsia="ja-JP"/>
        </w:rPr>
        <w:t>Randomisation and blinding methods</w:t>
      </w:r>
    </w:p>
    <w:p w:rsidR="00E8640C" w:rsidRPr="00E8640C" w:rsidRDefault="00E8640C" w:rsidP="00E8640C">
      <w:pPr>
        <w:rPr>
          <w:lang w:eastAsia="ja-JP"/>
        </w:rPr>
      </w:pPr>
      <w:r w:rsidRPr="00E8640C">
        <w:rPr>
          <w:lang w:eastAsia="ja-JP"/>
        </w:rPr>
        <w:t>The quality assurance manager generated a list using a confidential seed from a randomization program prepared by the sponsor-assigned statistician.</w:t>
      </w:r>
    </w:p>
    <w:p w:rsidR="00E8640C" w:rsidRPr="00E8640C" w:rsidRDefault="00E8640C" w:rsidP="00E8640C">
      <w:pPr>
        <w:rPr>
          <w:lang w:eastAsia="ja-JP"/>
        </w:rPr>
      </w:pPr>
      <w:r w:rsidRPr="00E8640C">
        <w:rPr>
          <w:lang w:eastAsia="ja-JP"/>
        </w:rPr>
        <w:t>Blindness was maintained by using the same primary and secondary packaging for both products and by peel seals activation by the pharmacist prior transfer to the ward.</w:t>
      </w:r>
    </w:p>
    <w:p w:rsidR="00E8640C" w:rsidRPr="00E8640C" w:rsidRDefault="00E8640C" w:rsidP="00517370">
      <w:pPr>
        <w:pStyle w:val="Heading5"/>
        <w:rPr>
          <w:lang w:eastAsia="ja-JP"/>
        </w:rPr>
      </w:pPr>
      <w:r w:rsidRPr="00E8640C">
        <w:rPr>
          <w:lang w:eastAsia="ja-JP"/>
        </w:rPr>
        <w:t>Analysis populations</w:t>
      </w:r>
    </w:p>
    <w:p w:rsidR="00E8640C" w:rsidRPr="00E8640C" w:rsidRDefault="00E8640C" w:rsidP="00E8640C">
      <w:pPr>
        <w:rPr>
          <w:lang w:eastAsia="ja-JP"/>
        </w:rPr>
      </w:pPr>
      <w:r w:rsidRPr="00E8640C">
        <w:rPr>
          <w:lang w:eastAsia="ja-JP"/>
        </w:rPr>
        <w:t>Per Protocol Population recruited patients who completed all specified phases of the study according to protocol.</w:t>
      </w:r>
    </w:p>
    <w:p w:rsidR="00E8640C" w:rsidRPr="00E8640C" w:rsidDel="0081373E" w:rsidRDefault="00E8640C" w:rsidP="00E8640C">
      <w:pPr>
        <w:rPr>
          <w:lang w:eastAsia="ja-JP"/>
        </w:rPr>
      </w:pPr>
      <w:r w:rsidRPr="00E8640C">
        <w:rPr>
          <w:lang w:eastAsia="ja-JP"/>
        </w:rPr>
        <w:t>Intention To Treat Population recruited patients with at least one day of treatment and a second efficacy evaluation, with possible protocol violation that may affect analysis interpretation.</w:t>
      </w:r>
    </w:p>
    <w:p w:rsidR="00E8640C" w:rsidRPr="00E8640C" w:rsidDel="0081373E" w:rsidRDefault="00E8640C" w:rsidP="00517370">
      <w:pPr>
        <w:pStyle w:val="Heading5"/>
        <w:rPr>
          <w:lang w:eastAsia="ja-JP"/>
        </w:rPr>
      </w:pPr>
      <w:r w:rsidRPr="00E8640C" w:rsidDel="0081373E">
        <w:rPr>
          <w:lang w:eastAsia="ja-JP"/>
        </w:rPr>
        <w:t>Sample size</w:t>
      </w:r>
    </w:p>
    <w:p w:rsidR="00E8640C" w:rsidRPr="00E8640C" w:rsidRDefault="00E8640C" w:rsidP="00E8640C">
      <w:pPr>
        <w:rPr>
          <w:lang w:eastAsia="ja-JP"/>
        </w:rPr>
      </w:pPr>
      <w:r w:rsidRPr="00E8640C">
        <w:rPr>
          <w:lang w:eastAsia="ja-JP"/>
        </w:rPr>
        <w:t>Being a study in therapeutic use versus a similar active comparator, sample size determination was not inferred from statistical calculation on a dedicated primary criterion</w:t>
      </w:r>
      <w:r w:rsidR="00517370">
        <w:rPr>
          <w:lang w:eastAsia="ja-JP"/>
        </w:rPr>
        <w:t xml:space="preserve">. </w:t>
      </w:r>
      <w:r w:rsidRPr="00E8640C">
        <w:rPr>
          <w:lang w:eastAsia="ja-JP"/>
        </w:rPr>
        <w:t>i.e. there was no calculation of sample size.</w:t>
      </w:r>
    </w:p>
    <w:p w:rsidR="00E8640C" w:rsidRPr="00E8640C" w:rsidRDefault="00E8640C" w:rsidP="00517370">
      <w:pPr>
        <w:pStyle w:val="Heading5"/>
        <w:rPr>
          <w:lang w:eastAsia="ja-JP"/>
        </w:rPr>
      </w:pPr>
      <w:r w:rsidRPr="00E8640C">
        <w:rPr>
          <w:lang w:eastAsia="ja-JP"/>
        </w:rPr>
        <w:lastRenderedPageBreak/>
        <w:t>Statistical methods</w:t>
      </w:r>
    </w:p>
    <w:p w:rsidR="00E8640C" w:rsidRPr="00E8640C" w:rsidRDefault="00E8640C" w:rsidP="00E8640C">
      <w:pPr>
        <w:rPr>
          <w:lang w:eastAsia="ja-JP"/>
        </w:rPr>
      </w:pPr>
      <w:r w:rsidRPr="00E8640C">
        <w:rPr>
          <w:lang w:eastAsia="ja-JP"/>
        </w:rPr>
        <w:t>A general linear model (GLM) was employed. The model included Treatment effect. Baseline value was used as a covariate. A two-sided approach with alpha = 5% was used.</w:t>
      </w:r>
    </w:p>
    <w:p w:rsidR="00E8640C" w:rsidRPr="00E8640C" w:rsidRDefault="00E8640C" w:rsidP="00E8640C">
      <w:pPr>
        <w:rPr>
          <w:lang w:eastAsia="ja-JP"/>
        </w:rPr>
      </w:pPr>
      <w:r w:rsidRPr="00E8640C">
        <w:rPr>
          <w:lang w:eastAsia="ja-JP"/>
        </w:rPr>
        <w:t>No data transformation (log) was retained to improve/increase power analysis and no imputation of missing data was done.</w:t>
      </w:r>
    </w:p>
    <w:p w:rsidR="00E8640C" w:rsidRPr="00E8640C" w:rsidRDefault="00E8640C" w:rsidP="00517370">
      <w:pPr>
        <w:pStyle w:val="Heading5"/>
        <w:rPr>
          <w:lang w:eastAsia="ja-JP"/>
        </w:rPr>
      </w:pPr>
      <w:r w:rsidRPr="00E8640C">
        <w:rPr>
          <w:lang w:eastAsia="ja-JP"/>
        </w:rPr>
        <w:t>Participant flow</w:t>
      </w:r>
    </w:p>
    <w:p w:rsidR="00517370" w:rsidRPr="00517370" w:rsidRDefault="00517370" w:rsidP="00517370">
      <w:bookmarkStart w:id="38" w:name="_Toc328983406"/>
      <w:r w:rsidRPr="00517370">
        <w:t>Number of patients enrolled in PP</w:t>
      </w:r>
    </w:p>
    <w:p w:rsidR="00517370" w:rsidRDefault="00517370" w:rsidP="00517370">
      <w:pPr>
        <w:pStyle w:val="ListBullet"/>
      </w:pPr>
      <w:r>
        <w:t>Oliclinisol: n = 24</w:t>
      </w:r>
    </w:p>
    <w:p w:rsidR="00517370" w:rsidRPr="00517370" w:rsidRDefault="00517370" w:rsidP="00517370">
      <w:pPr>
        <w:pStyle w:val="ListBullet"/>
      </w:pPr>
      <w:r>
        <w:t>Oliclinomel: n = 23</w:t>
      </w:r>
    </w:p>
    <w:p w:rsidR="00517370" w:rsidRDefault="00517370" w:rsidP="00517370">
      <w:r w:rsidRPr="00517370">
        <w:t xml:space="preserve">Number of patients enrolled in </w:t>
      </w:r>
      <w:r>
        <w:t>ITT</w:t>
      </w:r>
    </w:p>
    <w:p w:rsidR="00517370" w:rsidRPr="00517370" w:rsidRDefault="00517370" w:rsidP="00710BDD">
      <w:pPr>
        <w:pStyle w:val="ListBullet"/>
      </w:pPr>
      <w:r w:rsidRPr="00517370">
        <w:t>Oliclinisol: n = 24</w:t>
      </w:r>
    </w:p>
    <w:p w:rsidR="00517370" w:rsidRPr="00517370" w:rsidRDefault="00517370" w:rsidP="00710BDD">
      <w:pPr>
        <w:pStyle w:val="ListBullet"/>
      </w:pPr>
      <w:r w:rsidRPr="00517370">
        <w:t xml:space="preserve">Oliclinomel: n = </w:t>
      </w:r>
      <w:r>
        <w:t>26</w:t>
      </w:r>
    </w:p>
    <w:p w:rsidR="00517370" w:rsidRPr="00517370" w:rsidRDefault="00517370" w:rsidP="00517370">
      <w:r w:rsidRPr="00517370">
        <w:t xml:space="preserve">Number of patients enrolled in </w:t>
      </w:r>
      <w:r>
        <w:t>Safety</w:t>
      </w:r>
    </w:p>
    <w:p w:rsidR="00517370" w:rsidRPr="00517370" w:rsidRDefault="00710BDD" w:rsidP="00710BDD">
      <w:pPr>
        <w:pStyle w:val="ListBullet"/>
      </w:pPr>
      <w:r>
        <w:t>Oliclinisol: n = 28</w:t>
      </w:r>
    </w:p>
    <w:p w:rsidR="00517370" w:rsidRDefault="00517370" w:rsidP="00710BDD">
      <w:pPr>
        <w:pStyle w:val="ListBullet"/>
      </w:pPr>
      <w:r w:rsidRPr="00517370">
        <w:t>Oliclinomel: n = 2</w:t>
      </w:r>
      <w:r w:rsidR="00710BDD">
        <w:t>8</w:t>
      </w:r>
    </w:p>
    <w:p w:rsidR="00675D5E" w:rsidRPr="00675D5E" w:rsidRDefault="00675D5E" w:rsidP="00C72F55">
      <w:pPr>
        <w:pStyle w:val="TableTitle"/>
      </w:pPr>
      <w:bookmarkStart w:id="39" w:name="_Toc328983407"/>
      <w:r w:rsidRPr="00675D5E">
        <w:t xml:space="preserve">Table </w:t>
      </w:r>
      <w:r w:rsidR="002A2CD0">
        <w:t>2</w:t>
      </w:r>
      <w:r>
        <w:t>.</w:t>
      </w:r>
      <w:r w:rsidRPr="00675D5E">
        <w:t xml:space="preserve"> </w:t>
      </w:r>
      <w:proofErr w:type="gramStart"/>
      <w:r w:rsidRPr="00675D5E">
        <w:t>Number of evaluable Patients per infusion day.</w:t>
      </w:r>
      <w:bookmarkEnd w:id="39"/>
      <w:proofErr w:type="gramEnd"/>
    </w:p>
    <w:tbl>
      <w:tblPr>
        <w:tblStyle w:val="TableTGAblue"/>
        <w:tblW w:w="0" w:type="auto"/>
        <w:tblInd w:w="250" w:type="dxa"/>
        <w:tblLook w:val="04A0"/>
      </w:tblPr>
      <w:tblGrid>
        <w:gridCol w:w="2161"/>
        <w:gridCol w:w="2162"/>
        <w:gridCol w:w="2162"/>
        <w:gridCol w:w="2162"/>
      </w:tblGrid>
      <w:tr w:rsidR="00675D5E" w:rsidRPr="00A031C9" w:rsidTr="00C72F55">
        <w:trPr>
          <w:cnfStyle w:val="100000000000"/>
          <w:tblHeader/>
        </w:trPr>
        <w:tc>
          <w:tcPr>
            <w:cnfStyle w:val="001000000000"/>
            <w:tcW w:w="2161" w:type="dxa"/>
          </w:tcPr>
          <w:bookmarkEnd w:id="38"/>
          <w:p w:rsidR="00675D5E" w:rsidRPr="00A031C9" w:rsidRDefault="00675D5E" w:rsidP="00F2203C">
            <w:pPr>
              <w:spacing w:before="60" w:after="60"/>
              <w:rPr>
                <w:sz w:val="20"/>
                <w:szCs w:val="20"/>
                <w:lang w:eastAsia="ja-JP"/>
              </w:rPr>
            </w:pPr>
            <w:r w:rsidRPr="00A031C9">
              <w:rPr>
                <w:sz w:val="20"/>
                <w:szCs w:val="20"/>
                <w:lang w:eastAsia="ja-JP"/>
              </w:rPr>
              <w:t>Per day</w:t>
            </w:r>
          </w:p>
        </w:tc>
        <w:tc>
          <w:tcPr>
            <w:tcW w:w="2162" w:type="dxa"/>
          </w:tcPr>
          <w:p w:rsidR="00675D5E" w:rsidRPr="00A031C9" w:rsidRDefault="00675D5E" w:rsidP="00F2203C">
            <w:pPr>
              <w:spacing w:before="60" w:after="60"/>
              <w:cnfStyle w:val="100000000000"/>
              <w:rPr>
                <w:sz w:val="20"/>
                <w:szCs w:val="20"/>
                <w:lang w:eastAsia="ja-JP"/>
              </w:rPr>
            </w:pPr>
            <w:r w:rsidRPr="00A031C9">
              <w:rPr>
                <w:sz w:val="20"/>
                <w:szCs w:val="20"/>
                <w:lang w:eastAsia="ja-JP"/>
              </w:rPr>
              <w:t>Oliclinisol (n)</w:t>
            </w:r>
          </w:p>
        </w:tc>
        <w:tc>
          <w:tcPr>
            <w:tcW w:w="2162" w:type="dxa"/>
          </w:tcPr>
          <w:p w:rsidR="00675D5E" w:rsidRPr="00A031C9" w:rsidRDefault="00675D5E" w:rsidP="00F2203C">
            <w:pPr>
              <w:spacing w:before="60" w:after="60"/>
              <w:cnfStyle w:val="100000000000"/>
              <w:rPr>
                <w:sz w:val="20"/>
                <w:szCs w:val="20"/>
                <w:lang w:eastAsia="ja-JP"/>
              </w:rPr>
            </w:pPr>
            <w:r w:rsidRPr="00A031C9">
              <w:rPr>
                <w:sz w:val="20"/>
                <w:szCs w:val="20"/>
                <w:lang w:eastAsia="ja-JP"/>
              </w:rPr>
              <w:t>Oliclinomel (n)</w:t>
            </w:r>
          </w:p>
        </w:tc>
        <w:tc>
          <w:tcPr>
            <w:tcW w:w="2162" w:type="dxa"/>
          </w:tcPr>
          <w:p w:rsidR="00675D5E" w:rsidRPr="00A031C9" w:rsidRDefault="00675D5E" w:rsidP="00F2203C">
            <w:pPr>
              <w:spacing w:before="60" w:after="60"/>
              <w:cnfStyle w:val="100000000000"/>
              <w:rPr>
                <w:sz w:val="20"/>
                <w:szCs w:val="20"/>
                <w:lang w:eastAsia="ja-JP"/>
              </w:rPr>
            </w:pPr>
            <w:r w:rsidRPr="00A031C9">
              <w:rPr>
                <w:sz w:val="20"/>
                <w:szCs w:val="20"/>
                <w:lang w:eastAsia="ja-JP"/>
              </w:rPr>
              <w:t>All (n)</w:t>
            </w:r>
          </w:p>
        </w:tc>
      </w:tr>
      <w:tr w:rsidR="00675D5E" w:rsidRPr="00A031C9" w:rsidTr="00A031C9">
        <w:tc>
          <w:tcPr>
            <w:cnfStyle w:val="001000000000"/>
            <w:tcW w:w="2161" w:type="dxa"/>
          </w:tcPr>
          <w:p w:rsidR="00675D5E" w:rsidRPr="00A031C9" w:rsidRDefault="00675D5E" w:rsidP="00F2203C">
            <w:pPr>
              <w:spacing w:before="0" w:after="0"/>
              <w:rPr>
                <w:sz w:val="20"/>
                <w:szCs w:val="20"/>
                <w:lang w:eastAsia="ja-JP"/>
              </w:rPr>
            </w:pPr>
            <w:r w:rsidRPr="00A031C9">
              <w:rPr>
                <w:sz w:val="20"/>
                <w:szCs w:val="20"/>
                <w:lang w:eastAsia="ja-JP"/>
              </w:rPr>
              <w:t>D+1</w:t>
            </w:r>
          </w:p>
        </w:tc>
        <w:tc>
          <w:tcPr>
            <w:tcW w:w="2162" w:type="dxa"/>
          </w:tcPr>
          <w:p w:rsidR="00675D5E" w:rsidRPr="00A031C9" w:rsidRDefault="00675D5E" w:rsidP="00F2203C">
            <w:pPr>
              <w:spacing w:before="0" w:after="0"/>
              <w:cnfStyle w:val="000000000000"/>
              <w:rPr>
                <w:sz w:val="20"/>
                <w:szCs w:val="20"/>
                <w:lang w:eastAsia="ja-JP"/>
              </w:rPr>
            </w:pPr>
            <w:r w:rsidRPr="00A031C9">
              <w:rPr>
                <w:sz w:val="20"/>
                <w:szCs w:val="20"/>
                <w:lang w:eastAsia="ja-JP"/>
              </w:rPr>
              <w:t>28</w:t>
            </w:r>
          </w:p>
        </w:tc>
        <w:tc>
          <w:tcPr>
            <w:tcW w:w="2162" w:type="dxa"/>
          </w:tcPr>
          <w:p w:rsidR="00675D5E" w:rsidRPr="00A031C9" w:rsidRDefault="00675D5E" w:rsidP="00F2203C">
            <w:pPr>
              <w:spacing w:before="0" w:after="0"/>
              <w:cnfStyle w:val="000000000000"/>
              <w:rPr>
                <w:sz w:val="20"/>
                <w:szCs w:val="20"/>
                <w:lang w:eastAsia="ja-JP"/>
              </w:rPr>
            </w:pPr>
            <w:r w:rsidRPr="00A031C9">
              <w:rPr>
                <w:sz w:val="20"/>
                <w:szCs w:val="20"/>
                <w:lang w:eastAsia="ja-JP"/>
              </w:rPr>
              <w:t>28</w:t>
            </w:r>
          </w:p>
        </w:tc>
        <w:tc>
          <w:tcPr>
            <w:tcW w:w="2162" w:type="dxa"/>
          </w:tcPr>
          <w:p w:rsidR="00675D5E" w:rsidRPr="00A031C9" w:rsidRDefault="00675D5E" w:rsidP="00F2203C">
            <w:pPr>
              <w:spacing w:before="0" w:after="0"/>
              <w:cnfStyle w:val="000000000000"/>
              <w:rPr>
                <w:sz w:val="20"/>
                <w:szCs w:val="20"/>
                <w:lang w:eastAsia="ja-JP"/>
              </w:rPr>
            </w:pPr>
            <w:r w:rsidRPr="00A031C9">
              <w:rPr>
                <w:sz w:val="20"/>
                <w:szCs w:val="20"/>
                <w:lang w:eastAsia="ja-JP"/>
              </w:rPr>
              <w:t>56</w:t>
            </w:r>
          </w:p>
        </w:tc>
      </w:tr>
      <w:tr w:rsidR="00675D5E" w:rsidRPr="00A031C9" w:rsidTr="00A031C9">
        <w:tc>
          <w:tcPr>
            <w:cnfStyle w:val="001000000000"/>
            <w:tcW w:w="2161" w:type="dxa"/>
          </w:tcPr>
          <w:p w:rsidR="00675D5E" w:rsidRPr="00A031C9" w:rsidRDefault="00675D5E" w:rsidP="00F2203C">
            <w:pPr>
              <w:spacing w:before="0" w:after="0"/>
              <w:rPr>
                <w:sz w:val="20"/>
                <w:szCs w:val="20"/>
                <w:lang w:eastAsia="ja-JP"/>
              </w:rPr>
            </w:pPr>
            <w:r w:rsidRPr="00A031C9">
              <w:rPr>
                <w:sz w:val="20"/>
                <w:szCs w:val="20"/>
                <w:lang w:eastAsia="ja-JP"/>
              </w:rPr>
              <w:t>D+2</w:t>
            </w:r>
          </w:p>
        </w:tc>
        <w:tc>
          <w:tcPr>
            <w:tcW w:w="2162" w:type="dxa"/>
          </w:tcPr>
          <w:p w:rsidR="00675D5E" w:rsidRPr="00A031C9" w:rsidRDefault="00675D5E" w:rsidP="00F2203C">
            <w:pPr>
              <w:spacing w:before="0" w:after="0"/>
              <w:cnfStyle w:val="000000000000"/>
              <w:rPr>
                <w:sz w:val="20"/>
                <w:szCs w:val="20"/>
                <w:lang w:eastAsia="ja-JP"/>
              </w:rPr>
            </w:pPr>
            <w:r w:rsidRPr="00A031C9">
              <w:rPr>
                <w:sz w:val="20"/>
                <w:szCs w:val="20"/>
                <w:lang w:eastAsia="ja-JP"/>
              </w:rPr>
              <w:t>28</w:t>
            </w:r>
          </w:p>
        </w:tc>
        <w:tc>
          <w:tcPr>
            <w:tcW w:w="2162" w:type="dxa"/>
          </w:tcPr>
          <w:p w:rsidR="00675D5E" w:rsidRPr="00A031C9" w:rsidRDefault="00675D5E" w:rsidP="00F2203C">
            <w:pPr>
              <w:spacing w:before="0" w:after="0"/>
              <w:cnfStyle w:val="000000000000"/>
              <w:rPr>
                <w:sz w:val="20"/>
                <w:szCs w:val="20"/>
                <w:lang w:eastAsia="ja-JP"/>
              </w:rPr>
            </w:pPr>
            <w:r w:rsidRPr="00A031C9">
              <w:rPr>
                <w:sz w:val="20"/>
                <w:szCs w:val="20"/>
                <w:lang w:eastAsia="ja-JP"/>
              </w:rPr>
              <w:t>28</w:t>
            </w:r>
          </w:p>
        </w:tc>
        <w:tc>
          <w:tcPr>
            <w:tcW w:w="2162" w:type="dxa"/>
          </w:tcPr>
          <w:p w:rsidR="00675D5E" w:rsidRPr="00A031C9" w:rsidRDefault="00675D5E" w:rsidP="00F2203C">
            <w:pPr>
              <w:spacing w:before="0" w:after="0"/>
              <w:cnfStyle w:val="000000000000"/>
              <w:rPr>
                <w:sz w:val="20"/>
                <w:szCs w:val="20"/>
                <w:lang w:eastAsia="ja-JP"/>
              </w:rPr>
            </w:pPr>
            <w:r w:rsidRPr="00A031C9">
              <w:rPr>
                <w:sz w:val="20"/>
                <w:szCs w:val="20"/>
                <w:lang w:eastAsia="ja-JP"/>
              </w:rPr>
              <w:t>56</w:t>
            </w:r>
          </w:p>
        </w:tc>
      </w:tr>
      <w:tr w:rsidR="00675D5E" w:rsidRPr="00A031C9" w:rsidTr="00A031C9">
        <w:tc>
          <w:tcPr>
            <w:cnfStyle w:val="001000000000"/>
            <w:tcW w:w="2161" w:type="dxa"/>
          </w:tcPr>
          <w:p w:rsidR="00675D5E" w:rsidRPr="00A031C9" w:rsidRDefault="00675D5E" w:rsidP="00F2203C">
            <w:pPr>
              <w:spacing w:before="0" w:after="0"/>
              <w:rPr>
                <w:sz w:val="20"/>
                <w:szCs w:val="20"/>
                <w:lang w:eastAsia="ja-JP"/>
              </w:rPr>
            </w:pPr>
            <w:r w:rsidRPr="00A031C9">
              <w:rPr>
                <w:sz w:val="20"/>
                <w:szCs w:val="20"/>
                <w:lang w:eastAsia="ja-JP"/>
              </w:rPr>
              <w:t>D+3</w:t>
            </w:r>
          </w:p>
        </w:tc>
        <w:tc>
          <w:tcPr>
            <w:tcW w:w="2162" w:type="dxa"/>
          </w:tcPr>
          <w:p w:rsidR="00675D5E" w:rsidRPr="00A031C9" w:rsidRDefault="00675D5E" w:rsidP="00F2203C">
            <w:pPr>
              <w:spacing w:before="0" w:after="0"/>
              <w:cnfStyle w:val="000000000000"/>
              <w:rPr>
                <w:sz w:val="20"/>
                <w:szCs w:val="20"/>
                <w:lang w:eastAsia="ja-JP"/>
              </w:rPr>
            </w:pPr>
            <w:r w:rsidRPr="00A031C9">
              <w:rPr>
                <w:sz w:val="20"/>
                <w:szCs w:val="20"/>
                <w:lang w:eastAsia="ja-JP"/>
              </w:rPr>
              <w:t>27</w:t>
            </w:r>
          </w:p>
        </w:tc>
        <w:tc>
          <w:tcPr>
            <w:tcW w:w="2162" w:type="dxa"/>
          </w:tcPr>
          <w:p w:rsidR="00675D5E" w:rsidRPr="00A031C9" w:rsidRDefault="00675D5E" w:rsidP="00F2203C">
            <w:pPr>
              <w:spacing w:before="0" w:after="0"/>
              <w:cnfStyle w:val="000000000000"/>
              <w:rPr>
                <w:sz w:val="20"/>
                <w:szCs w:val="20"/>
                <w:lang w:eastAsia="ja-JP"/>
              </w:rPr>
            </w:pPr>
            <w:r w:rsidRPr="00A031C9">
              <w:rPr>
                <w:sz w:val="20"/>
                <w:szCs w:val="20"/>
                <w:lang w:eastAsia="ja-JP"/>
              </w:rPr>
              <w:t>26</w:t>
            </w:r>
          </w:p>
        </w:tc>
        <w:tc>
          <w:tcPr>
            <w:tcW w:w="2162" w:type="dxa"/>
          </w:tcPr>
          <w:p w:rsidR="00675D5E" w:rsidRPr="00A031C9" w:rsidRDefault="00675D5E" w:rsidP="00F2203C">
            <w:pPr>
              <w:spacing w:before="0" w:after="0"/>
              <w:cnfStyle w:val="000000000000"/>
              <w:rPr>
                <w:sz w:val="20"/>
                <w:szCs w:val="20"/>
                <w:lang w:eastAsia="ja-JP"/>
              </w:rPr>
            </w:pPr>
            <w:r w:rsidRPr="00A031C9">
              <w:rPr>
                <w:sz w:val="20"/>
                <w:szCs w:val="20"/>
                <w:lang w:eastAsia="ja-JP"/>
              </w:rPr>
              <w:t>53</w:t>
            </w:r>
          </w:p>
        </w:tc>
      </w:tr>
      <w:tr w:rsidR="00675D5E" w:rsidRPr="00A031C9" w:rsidTr="00A031C9">
        <w:tc>
          <w:tcPr>
            <w:cnfStyle w:val="001000000000"/>
            <w:tcW w:w="2161" w:type="dxa"/>
          </w:tcPr>
          <w:p w:rsidR="00675D5E" w:rsidRPr="00A031C9" w:rsidRDefault="00675D5E" w:rsidP="00F2203C">
            <w:pPr>
              <w:spacing w:before="0" w:after="0"/>
              <w:rPr>
                <w:sz w:val="20"/>
                <w:szCs w:val="20"/>
                <w:lang w:eastAsia="ja-JP"/>
              </w:rPr>
            </w:pPr>
            <w:r w:rsidRPr="00A031C9">
              <w:rPr>
                <w:sz w:val="20"/>
                <w:szCs w:val="20"/>
                <w:lang w:eastAsia="ja-JP"/>
              </w:rPr>
              <w:t>D+4</w:t>
            </w:r>
          </w:p>
        </w:tc>
        <w:tc>
          <w:tcPr>
            <w:tcW w:w="2162" w:type="dxa"/>
          </w:tcPr>
          <w:p w:rsidR="00675D5E" w:rsidRPr="00A031C9" w:rsidRDefault="00675D5E" w:rsidP="00F2203C">
            <w:pPr>
              <w:spacing w:before="0" w:after="0"/>
              <w:cnfStyle w:val="000000000000"/>
              <w:rPr>
                <w:sz w:val="20"/>
                <w:szCs w:val="20"/>
                <w:lang w:eastAsia="ja-JP"/>
              </w:rPr>
            </w:pPr>
            <w:r w:rsidRPr="00A031C9">
              <w:rPr>
                <w:sz w:val="20"/>
                <w:szCs w:val="20"/>
                <w:lang w:eastAsia="ja-JP"/>
              </w:rPr>
              <w:t>26</w:t>
            </w:r>
          </w:p>
        </w:tc>
        <w:tc>
          <w:tcPr>
            <w:tcW w:w="2162" w:type="dxa"/>
          </w:tcPr>
          <w:p w:rsidR="00675D5E" w:rsidRPr="00A031C9" w:rsidRDefault="00675D5E" w:rsidP="00F2203C">
            <w:pPr>
              <w:spacing w:before="0" w:after="0"/>
              <w:cnfStyle w:val="000000000000"/>
              <w:rPr>
                <w:sz w:val="20"/>
                <w:szCs w:val="20"/>
                <w:lang w:eastAsia="ja-JP"/>
              </w:rPr>
            </w:pPr>
            <w:r w:rsidRPr="00A031C9">
              <w:rPr>
                <w:sz w:val="20"/>
                <w:szCs w:val="20"/>
                <w:lang w:eastAsia="ja-JP"/>
              </w:rPr>
              <w:t>25</w:t>
            </w:r>
          </w:p>
        </w:tc>
        <w:tc>
          <w:tcPr>
            <w:tcW w:w="2162" w:type="dxa"/>
          </w:tcPr>
          <w:p w:rsidR="00675D5E" w:rsidRPr="00A031C9" w:rsidRDefault="00675D5E" w:rsidP="00F2203C">
            <w:pPr>
              <w:spacing w:before="0" w:after="0"/>
              <w:cnfStyle w:val="000000000000"/>
              <w:rPr>
                <w:sz w:val="20"/>
                <w:szCs w:val="20"/>
                <w:lang w:eastAsia="ja-JP"/>
              </w:rPr>
            </w:pPr>
            <w:r w:rsidRPr="00A031C9">
              <w:rPr>
                <w:sz w:val="20"/>
                <w:szCs w:val="20"/>
                <w:lang w:eastAsia="ja-JP"/>
              </w:rPr>
              <w:t>51</w:t>
            </w:r>
          </w:p>
        </w:tc>
      </w:tr>
      <w:tr w:rsidR="00675D5E" w:rsidRPr="00A031C9" w:rsidTr="00A031C9">
        <w:tc>
          <w:tcPr>
            <w:cnfStyle w:val="001000000000"/>
            <w:tcW w:w="2161" w:type="dxa"/>
          </w:tcPr>
          <w:p w:rsidR="00675D5E" w:rsidRPr="00A031C9" w:rsidRDefault="00675D5E" w:rsidP="00F2203C">
            <w:pPr>
              <w:spacing w:before="0" w:after="0"/>
              <w:rPr>
                <w:sz w:val="20"/>
                <w:szCs w:val="20"/>
                <w:lang w:eastAsia="ja-JP"/>
              </w:rPr>
            </w:pPr>
            <w:r w:rsidRPr="00A031C9">
              <w:rPr>
                <w:sz w:val="20"/>
                <w:szCs w:val="20"/>
                <w:lang w:eastAsia="ja-JP"/>
              </w:rPr>
              <w:t>D+5</w:t>
            </w:r>
          </w:p>
        </w:tc>
        <w:tc>
          <w:tcPr>
            <w:tcW w:w="2162" w:type="dxa"/>
          </w:tcPr>
          <w:p w:rsidR="00675D5E" w:rsidRPr="00A031C9" w:rsidRDefault="00675D5E" w:rsidP="00F2203C">
            <w:pPr>
              <w:spacing w:before="0" w:after="0"/>
              <w:cnfStyle w:val="000000000000"/>
              <w:rPr>
                <w:sz w:val="20"/>
                <w:szCs w:val="20"/>
                <w:lang w:eastAsia="ja-JP"/>
              </w:rPr>
            </w:pPr>
            <w:r w:rsidRPr="00A031C9">
              <w:rPr>
                <w:sz w:val="20"/>
                <w:szCs w:val="20"/>
                <w:lang w:eastAsia="ja-JP"/>
              </w:rPr>
              <w:t>25</w:t>
            </w:r>
          </w:p>
        </w:tc>
        <w:tc>
          <w:tcPr>
            <w:tcW w:w="2162" w:type="dxa"/>
          </w:tcPr>
          <w:p w:rsidR="00675D5E" w:rsidRPr="00A031C9" w:rsidRDefault="00675D5E" w:rsidP="00F2203C">
            <w:pPr>
              <w:spacing w:before="0" w:after="0"/>
              <w:cnfStyle w:val="000000000000"/>
              <w:rPr>
                <w:sz w:val="20"/>
                <w:szCs w:val="20"/>
                <w:lang w:eastAsia="ja-JP"/>
              </w:rPr>
            </w:pPr>
            <w:r w:rsidRPr="00A031C9">
              <w:rPr>
                <w:sz w:val="20"/>
                <w:szCs w:val="20"/>
                <w:lang w:eastAsia="ja-JP"/>
              </w:rPr>
              <w:t>24</w:t>
            </w:r>
          </w:p>
        </w:tc>
        <w:tc>
          <w:tcPr>
            <w:tcW w:w="2162" w:type="dxa"/>
          </w:tcPr>
          <w:p w:rsidR="00675D5E" w:rsidRPr="00A031C9" w:rsidRDefault="00675D5E" w:rsidP="00F2203C">
            <w:pPr>
              <w:spacing w:before="0" w:after="0"/>
              <w:cnfStyle w:val="000000000000"/>
              <w:rPr>
                <w:sz w:val="20"/>
                <w:szCs w:val="20"/>
                <w:lang w:eastAsia="ja-JP"/>
              </w:rPr>
            </w:pPr>
            <w:r w:rsidRPr="00A031C9">
              <w:rPr>
                <w:sz w:val="20"/>
                <w:szCs w:val="20"/>
                <w:lang w:eastAsia="ja-JP"/>
              </w:rPr>
              <w:t>49</w:t>
            </w:r>
          </w:p>
        </w:tc>
      </w:tr>
    </w:tbl>
    <w:p w:rsidR="00E8640C" w:rsidRPr="00E8640C" w:rsidRDefault="00E8640C" w:rsidP="00675D5E">
      <w:pPr>
        <w:pStyle w:val="Heading5"/>
        <w:rPr>
          <w:lang w:eastAsia="ja-JP"/>
        </w:rPr>
      </w:pPr>
      <w:r w:rsidRPr="00E8640C">
        <w:rPr>
          <w:lang w:eastAsia="ja-JP"/>
        </w:rPr>
        <w:t>Major protocol violations/deviations</w:t>
      </w:r>
    </w:p>
    <w:p w:rsidR="00E8640C" w:rsidRPr="00675D5E" w:rsidRDefault="00E8640C" w:rsidP="00675D5E">
      <w:bookmarkStart w:id="40" w:name="_Toc328983408"/>
      <w:r w:rsidRPr="00675D5E">
        <w:t>Protocol deviations leading to removal from the study population</w:t>
      </w:r>
      <w:bookmarkEnd w:id="40"/>
      <w:r w:rsidR="00675D5E">
        <w:t xml:space="preserve"> were:</w:t>
      </w:r>
    </w:p>
    <w:p w:rsidR="00675D5E" w:rsidRPr="00675D5E" w:rsidRDefault="00675D5E" w:rsidP="00E8640C">
      <w:pPr>
        <w:rPr>
          <w:b/>
          <w:bCs/>
          <w:lang w:eastAsia="ja-JP"/>
        </w:rPr>
      </w:pPr>
      <w:r w:rsidRPr="00675D5E">
        <w:rPr>
          <w:b/>
          <w:bCs/>
          <w:lang w:eastAsia="ja-JP"/>
        </w:rPr>
        <w:t xml:space="preserve">Main </w:t>
      </w:r>
      <w:r w:rsidR="00C72F55">
        <w:rPr>
          <w:b/>
          <w:bCs/>
          <w:lang w:eastAsia="ja-JP"/>
        </w:rPr>
        <w:t>p</w:t>
      </w:r>
      <w:r w:rsidRPr="00675D5E">
        <w:rPr>
          <w:b/>
          <w:bCs/>
          <w:lang w:eastAsia="ja-JP"/>
        </w:rPr>
        <w:t xml:space="preserve">rotocol deviations: </w:t>
      </w:r>
      <w:proofErr w:type="spellStart"/>
      <w:r w:rsidRPr="00675D5E">
        <w:rPr>
          <w:b/>
          <w:bCs/>
          <w:lang w:eastAsia="ja-JP"/>
        </w:rPr>
        <w:t>Oliclinisol</w:t>
      </w:r>
      <w:proofErr w:type="spellEnd"/>
      <w:r w:rsidRPr="00675D5E">
        <w:rPr>
          <w:b/>
          <w:bCs/>
          <w:lang w:eastAsia="ja-JP"/>
        </w:rPr>
        <w:t xml:space="preserve"> group.</w:t>
      </w:r>
    </w:p>
    <w:p w:rsidR="00675D5E" w:rsidRDefault="00675D5E" w:rsidP="00675D5E">
      <w:pPr>
        <w:pStyle w:val="ListBullet"/>
        <w:rPr>
          <w:b/>
          <w:bCs/>
          <w:lang w:eastAsia="ja-JP"/>
        </w:rPr>
      </w:pPr>
      <w:r w:rsidRPr="00E8640C">
        <w:rPr>
          <w:lang w:eastAsia="ja-JP"/>
        </w:rPr>
        <w:t>Premature termination for AE (Catheter infection): No transthyretin value at D+5/End</w:t>
      </w:r>
    </w:p>
    <w:p w:rsidR="00675D5E" w:rsidRDefault="00675D5E" w:rsidP="00675D5E">
      <w:pPr>
        <w:pStyle w:val="ListBullet"/>
        <w:rPr>
          <w:b/>
          <w:bCs/>
          <w:lang w:eastAsia="ja-JP"/>
        </w:rPr>
      </w:pPr>
      <w:r w:rsidRPr="00E8640C">
        <w:rPr>
          <w:lang w:eastAsia="ja-JP"/>
        </w:rPr>
        <w:t>Premature termination for AEs (Cramps, Hypertension, Tachycardia): No transthyretin value at D+5/End</w:t>
      </w:r>
    </w:p>
    <w:p w:rsidR="00675D5E" w:rsidRDefault="00675D5E" w:rsidP="00675D5E">
      <w:pPr>
        <w:pStyle w:val="ListBullet"/>
        <w:rPr>
          <w:b/>
          <w:bCs/>
          <w:lang w:eastAsia="ja-JP"/>
        </w:rPr>
      </w:pPr>
      <w:r w:rsidRPr="00E8640C">
        <w:rPr>
          <w:lang w:eastAsia="ja-JP"/>
        </w:rPr>
        <w:t>Premature termination for SAE (septic shock leading to death): No transthyretin value at D+5/End</w:t>
      </w:r>
    </w:p>
    <w:p w:rsidR="00675D5E" w:rsidRDefault="00675D5E" w:rsidP="00675D5E">
      <w:pPr>
        <w:pStyle w:val="ListBullet"/>
        <w:rPr>
          <w:lang w:eastAsia="ja-JP"/>
        </w:rPr>
      </w:pPr>
      <w:r w:rsidRPr="00E8640C">
        <w:rPr>
          <w:lang w:eastAsia="ja-JP"/>
        </w:rPr>
        <w:t>No transthyretin value at D+5/End</w:t>
      </w:r>
    </w:p>
    <w:p w:rsidR="00675D5E" w:rsidRPr="00675D5E" w:rsidRDefault="00675D5E" w:rsidP="00E8640C">
      <w:pPr>
        <w:rPr>
          <w:b/>
          <w:bCs/>
          <w:lang w:eastAsia="ja-JP"/>
        </w:rPr>
      </w:pPr>
      <w:r w:rsidRPr="00675D5E">
        <w:rPr>
          <w:b/>
          <w:bCs/>
          <w:lang w:eastAsia="ja-JP"/>
        </w:rPr>
        <w:t>Main Protocol deviations:</w:t>
      </w:r>
      <w:r>
        <w:rPr>
          <w:b/>
          <w:bCs/>
          <w:lang w:eastAsia="ja-JP"/>
        </w:rPr>
        <w:t xml:space="preserve"> </w:t>
      </w:r>
      <w:r w:rsidRPr="00675D5E">
        <w:rPr>
          <w:b/>
          <w:bCs/>
          <w:lang w:eastAsia="ja-JP"/>
        </w:rPr>
        <w:t>Oliclinomel group.</w:t>
      </w:r>
    </w:p>
    <w:p w:rsidR="00675D5E" w:rsidRDefault="00675D5E" w:rsidP="00675D5E">
      <w:pPr>
        <w:pStyle w:val="ListBullet"/>
        <w:rPr>
          <w:lang w:eastAsia="ja-JP"/>
        </w:rPr>
      </w:pPr>
      <w:r w:rsidRPr="00E8640C">
        <w:rPr>
          <w:lang w:eastAsia="ja-JP"/>
        </w:rPr>
        <w:t>Premature termination for SAE (Allergic reaction): No transthyretin value at D+5/End</w:t>
      </w:r>
    </w:p>
    <w:p w:rsidR="00675D5E" w:rsidRDefault="00675D5E" w:rsidP="00675D5E">
      <w:pPr>
        <w:pStyle w:val="ListBullet"/>
        <w:rPr>
          <w:lang w:eastAsia="ja-JP"/>
        </w:rPr>
      </w:pPr>
      <w:r w:rsidRPr="00E8640C">
        <w:rPr>
          <w:lang w:eastAsia="ja-JP"/>
        </w:rPr>
        <w:t>Premature termination for SAE (Acute pulmonary oedema): No transthyretin value at D+5/End</w:t>
      </w:r>
    </w:p>
    <w:p w:rsidR="00675D5E" w:rsidRDefault="00675D5E" w:rsidP="00675D5E">
      <w:pPr>
        <w:pStyle w:val="ListBullet"/>
        <w:rPr>
          <w:lang w:eastAsia="ja-JP"/>
        </w:rPr>
      </w:pPr>
      <w:r w:rsidRPr="00E8640C">
        <w:rPr>
          <w:lang w:eastAsia="ja-JP"/>
        </w:rPr>
        <w:t>Premature termination upon investigator request for AE (Hyperthermia)</w:t>
      </w:r>
    </w:p>
    <w:p w:rsidR="00675D5E" w:rsidRDefault="00675D5E" w:rsidP="00675D5E">
      <w:pPr>
        <w:pStyle w:val="ListBullet"/>
        <w:rPr>
          <w:lang w:eastAsia="ja-JP"/>
        </w:rPr>
      </w:pPr>
      <w:r w:rsidRPr="00E8640C">
        <w:rPr>
          <w:lang w:eastAsia="ja-JP"/>
        </w:rPr>
        <w:t>Transthyretin value at Baseline assessed after first day of bag infusion</w:t>
      </w:r>
    </w:p>
    <w:p w:rsidR="00675D5E" w:rsidRPr="00E8640C" w:rsidRDefault="00675D5E" w:rsidP="00675D5E">
      <w:pPr>
        <w:pStyle w:val="ListBullet"/>
        <w:rPr>
          <w:b/>
          <w:bCs/>
          <w:lang w:eastAsia="ja-JP"/>
        </w:rPr>
      </w:pPr>
      <w:r w:rsidRPr="00E8640C">
        <w:rPr>
          <w:lang w:eastAsia="ja-JP"/>
        </w:rPr>
        <w:t>Premature termination for Patient status improved</w:t>
      </w:r>
    </w:p>
    <w:p w:rsidR="00E8640C" w:rsidRPr="00E8640C" w:rsidRDefault="00E8640C" w:rsidP="0028326A">
      <w:pPr>
        <w:pStyle w:val="Heading5"/>
        <w:rPr>
          <w:lang w:eastAsia="ja-JP"/>
        </w:rPr>
      </w:pPr>
      <w:r w:rsidRPr="00E8640C">
        <w:rPr>
          <w:lang w:eastAsia="ja-JP"/>
        </w:rPr>
        <w:lastRenderedPageBreak/>
        <w:t>Baseline data</w:t>
      </w:r>
    </w:p>
    <w:p w:rsidR="00F74283" w:rsidRDefault="00F74283" w:rsidP="00C72F55">
      <w:pPr>
        <w:pStyle w:val="TableTitle"/>
      </w:pPr>
      <w:bookmarkStart w:id="41" w:name="_Toc328983409"/>
      <w:r>
        <w:t xml:space="preserve">Table </w:t>
      </w:r>
      <w:r w:rsidR="002A2CD0">
        <w:t>3</w:t>
      </w:r>
      <w:r>
        <w:t>. Demography ITT population</w:t>
      </w:r>
    </w:p>
    <w:tbl>
      <w:tblPr>
        <w:tblStyle w:val="TableTGAblue"/>
        <w:tblW w:w="0" w:type="auto"/>
        <w:tblInd w:w="108" w:type="dxa"/>
        <w:tblLook w:val="04A0"/>
      </w:tblPr>
      <w:tblGrid>
        <w:gridCol w:w="1483"/>
        <w:gridCol w:w="644"/>
        <w:gridCol w:w="2538"/>
        <w:gridCol w:w="580"/>
        <w:gridCol w:w="2603"/>
        <w:gridCol w:w="1592"/>
      </w:tblGrid>
      <w:tr w:rsidR="00F74283" w:rsidRPr="00F74283" w:rsidTr="00C72F55">
        <w:trPr>
          <w:cnfStyle w:val="100000000000"/>
          <w:tblHeader/>
        </w:trPr>
        <w:tc>
          <w:tcPr>
            <w:cnfStyle w:val="001000000000"/>
            <w:tcW w:w="1483" w:type="dxa"/>
          </w:tcPr>
          <w:p w:rsidR="00F74283" w:rsidRPr="00F74283" w:rsidRDefault="00F74283" w:rsidP="00F74283">
            <w:pPr>
              <w:spacing w:before="60" w:after="60"/>
              <w:ind w:left="0" w:right="0"/>
              <w:rPr>
                <w:sz w:val="20"/>
                <w:szCs w:val="20"/>
              </w:rPr>
            </w:pPr>
          </w:p>
        </w:tc>
        <w:tc>
          <w:tcPr>
            <w:tcW w:w="3182" w:type="dxa"/>
            <w:gridSpan w:val="2"/>
          </w:tcPr>
          <w:p w:rsidR="00F74283" w:rsidRPr="00F74283" w:rsidRDefault="00F74283" w:rsidP="00F74283">
            <w:pPr>
              <w:spacing w:before="60" w:after="60"/>
              <w:ind w:left="0" w:right="0"/>
              <w:jc w:val="center"/>
              <w:cnfStyle w:val="100000000000"/>
              <w:rPr>
                <w:sz w:val="20"/>
                <w:szCs w:val="20"/>
              </w:rPr>
            </w:pPr>
            <w:r w:rsidRPr="00F74283">
              <w:rPr>
                <w:sz w:val="20"/>
                <w:szCs w:val="20"/>
              </w:rPr>
              <w:t>Oliclinisol</w:t>
            </w:r>
          </w:p>
        </w:tc>
        <w:tc>
          <w:tcPr>
            <w:tcW w:w="3183" w:type="dxa"/>
            <w:gridSpan w:val="2"/>
          </w:tcPr>
          <w:p w:rsidR="00F74283" w:rsidRPr="00F74283" w:rsidRDefault="00F74283" w:rsidP="00F74283">
            <w:pPr>
              <w:spacing w:before="60" w:after="60"/>
              <w:ind w:left="0" w:right="0"/>
              <w:jc w:val="center"/>
              <w:cnfStyle w:val="100000000000"/>
              <w:rPr>
                <w:sz w:val="20"/>
                <w:szCs w:val="20"/>
              </w:rPr>
            </w:pPr>
            <w:r w:rsidRPr="00F74283">
              <w:rPr>
                <w:sz w:val="20"/>
                <w:szCs w:val="20"/>
              </w:rPr>
              <w:t>Oliclinomel</w:t>
            </w:r>
          </w:p>
        </w:tc>
        <w:tc>
          <w:tcPr>
            <w:tcW w:w="1592" w:type="dxa"/>
          </w:tcPr>
          <w:p w:rsidR="00F74283" w:rsidRPr="00F74283" w:rsidRDefault="00F74283" w:rsidP="00F74283">
            <w:pPr>
              <w:spacing w:before="60" w:after="60"/>
              <w:ind w:left="0" w:right="0"/>
              <w:cnfStyle w:val="100000000000"/>
              <w:rPr>
                <w:sz w:val="20"/>
                <w:szCs w:val="20"/>
              </w:rPr>
            </w:pPr>
          </w:p>
        </w:tc>
      </w:tr>
      <w:tr w:rsidR="00F74283" w:rsidRPr="00F74283" w:rsidTr="00F74283">
        <w:tc>
          <w:tcPr>
            <w:cnfStyle w:val="001000000000"/>
            <w:tcW w:w="1483" w:type="dxa"/>
          </w:tcPr>
          <w:p w:rsidR="00F74283" w:rsidRPr="00F74283" w:rsidRDefault="00F74283" w:rsidP="00F74283">
            <w:pPr>
              <w:spacing w:before="0" w:after="0"/>
              <w:ind w:left="0" w:right="0"/>
              <w:rPr>
                <w:sz w:val="20"/>
                <w:szCs w:val="20"/>
              </w:rPr>
            </w:pPr>
            <w:r w:rsidRPr="00F74283">
              <w:rPr>
                <w:sz w:val="20"/>
                <w:szCs w:val="20"/>
              </w:rPr>
              <w:t>Parameter</w:t>
            </w:r>
          </w:p>
        </w:tc>
        <w:tc>
          <w:tcPr>
            <w:tcW w:w="644" w:type="dxa"/>
          </w:tcPr>
          <w:p w:rsidR="00F74283" w:rsidRPr="00F74283" w:rsidRDefault="00F74283" w:rsidP="00F74283">
            <w:pPr>
              <w:spacing w:before="0" w:after="0"/>
              <w:ind w:left="0" w:right="0"/>
              <w:cnfStyle w:val="000000000000"/>
              <w:rPr>
                <w:sz w:val="20"/>
                <w:szCs w:val="20"/>
              </w:rPr>
            </w:pPr>
            <w:r w:rsidRPr="00F74283">
              <w:rPr>
                <w:sz w:val="20"/>
                <w:szCs w:val="20"/>
              </w:rPr>
              <w:t>n</w:t>
            </w:r>
          </w:p>
        </w:tc>
        <w:tc>
          <w:tcPr>
            <w:tcW w:w="2538" w:type="dxa"/>
          </w:tcPr>
          <w:p w:rsidR="00F74283" w:rsidRPr="00F74283" w:rsidRDefault="00F74283" w:rsidP="00F74283">
            <w:pPr>
              <w:spacing w:before="0" w:after="0"/>
              <w:ind w:left="0" w:right="0"/>
              <w:cnfStyle w:val="000000000000"/>
              <w:rPr>
                <w:sz w:val="20"/>
                <w:szCs w:val="20"/>
              </w:rPr>
            </w:pPr>
            <w:r w:rsidRPr="00F74283">
              <w:rPr>
                <w:sz w:val="20"/>
                <w:szCs w:val="20"/>
              </w:rPr>
              <w:t xml:space="preserve">Mean </w:t>
            </w:r>
            <w:r w:rsidRPr="00F74283">
              <w:rPr>
                <w:sz w:val="20"/>
                <w:szCs w:val="20"/>
              </w:rPr>
              <w:sym w:font="Symbol" w:char="F0B1"/>
            </w:r>
            <w:r w:rsidRPr="00F74283">
              <w:rPr>
                <w:sz w:val="20"/>
                <w:szCs w:val="20"/>
              </w:rPr>
              <w:t xml:space="preserve"> sd (min-max)</w:t>
            </w:r>
          </w:p>
        </w:tc>
        <w:tc>
          <w:tcPr>
            <w:tcW w:w="580" w:type="dxa"/>
          </w:tcPr>
          <w:p w:rsidR="00F74283" w:rsidRPr="00F74283" w:rsidRDefault="00F74283" w:rsidP="00F74283">
            <w:pPr>
              <w:spacing w:before="0" w:after="0"/>
              <w:ind w:left="0" w:right="0"/>
              <w:cnfStyle w:val="000000000000"/>
              <w:rPr>
                <w:sz w:val="20"/>
                <w:szCs w:val="20"/>
              </w:rPr>
            </w:pPr>
            <w:r w:rsidRPr="00F74283">
              <w:rPr>
                <w:sz w:val="20"/>
                <w:szCs w:val="20"/>
              </w:rPr>
              <w:t>n</w:t>
            </w:r>
          </w:p>
        </w:tc>
        <w:tc>
          <w:tcPr>
            <w:tcW w:w="2603" w:type="dxa"/>
          </w:tcPr>
          <w:p w:rsidR="00F74283" w:rsidRPr="00F74283" w:rsidRDefault="00F74283" w:rsidP="00F74283">
            <w:pPr>
              <w:spacing w:before="0" w:after="0"/>
              <w:ind w:left="0" w:right="0"/>
              <w:cnfStyle w:val="000000000000"/>
              <w:rPr>
                <w:sz w:val="20"/>
                <w:szCs w:val="20"/>
              </w:rPr>
            </w:pPr>
            <w:r w:rsidRPr="00F74283">
              <w:rPr>
                <w:sz w:val="20"/>
                <w:szCs w:val="20"/>
              </w:rPr>
              <w:t xml:space="preserve">Mean </w:t>
            </w:r>
            <w:r w:rsidRPr="00F74283">
              <w:rPr>
                <w:sz w:val="20"/>
                <w:szCs w:val="20"/>
              </w:rPr>
              <w:sym w:font="Symbol" w:char="F0B1"/>
            </w:r>
            <w:r w:rsidRPr="00F74283">
              <w:rPr>
                <w:sz w:val="20"/>
                <w:szCs w:val="20"/>
              </w:rPr>
              <w:t xml:space="preserve"> sd (min-max)</w:t>
            </w:r>
          </w:p>
        </w:tc>
        <w:tc>
          <w:tcPr>
            <w:tcW w:w="1592" w:type="dxa"/>
          </w:tcPr>
          <w:p w:rsidR="00F74283" w:rsidRPr="00F74283" w:rsidRDefault="00F74283" w:rsidP="00F74283">
            <w:pPr>
              <w:spacing w:before="0" w:after="0"/>
              <w:ind w:left="0" w:right="0"/>
              <w:cnfStyle w:val="000000000000"/>
              <w:rPr>
                <w:sz w:val="20"/>
                <w:szCs w:val="20"/>
              </w:rPr>
            </w:pPr>
            <w:r w:rsidRPr="00F74283">
              <w:rPr>
                <w:sz w:val="20"/>
                <w:szCs w:val="20"/>
              </w:rPr>
              <w:t>Treat. Pr</w:t>
            </w:r>
            <w:r w:rsidRPr="00F74283">
              <w:rPr>
                <w:sz w:val="20"/>
                <w:szCs w:val="20"/>
                <w:vertAlign w:val="superscript"/>
              </w:rPr>
              <w:t>a</w:t>
            </w:r>
          </w:p>
        </w:tc>
      </w:tr>
      <w:tr w:rsidR="00F74283" w:rsidRPr="00F74283" w:rsidTr="00F74283">
        <w:tc>
          <w:tcPr>
            <w:cnfStyle w:val="001000000000"/>
            <w:tcW w:w="1483" w:type="dxa"/>
          </w:tcPr>
          <w:p w:rsidR="00F74283" w:rsidRPr="00F74283" w:rsidRDefault="00F74283" w:rsidP="00F74283">
            <w:pPr>
              <w:spacing w:before="0" w:after="0"/>
              <w:ind w:left="0" w:right="0"/>
              <w:rPr>
                <w:sz w:val="20"/>
                <w:szCs w:val="20"/>
              </w:rPr>
            </w:pPr>
            <w:r w:rsidRPr="00F74283">
              <w:rPr>
                <w:sz w:val="20"/>
                <w:szCs w:val="20"/>
              </w:rPr>
              <w:t>Age (y.)</w:t>
            </w:r>
          </w:p>
        </w:tc>
        <w:tc>
          <w:tcPr>
            <w:tcW w:w="644" w:type="dxa"/>
          </w:tcPr>
          <w:p w:rsidR="00F74283" w:rsidRPr="00F74283" w:rsidRDefault="00F74283" w:rsidP="00F74283">
            <w:pPr>
              <w:spacing w:before="0" w:after="0"/>
              <w:ind w:left="0" w:right="0"/>
              <w:cnfStyle w:val="000000000000"/>
              <w:rPr>
                <w:sz w:val="20"/>
                <w:szCs w:val="20"/>
              </w:rPr>
            </w:pPr>
            <w:r w:rsidRPr="00F74283">
              <w:rPr>
                <w:sz w:val="20"/>
                <w:szCs w:val="20"/>
              </w:rPr>
              <w:t>24</w:t>
            </w:r>
          </w:p>
        </w:tc>
        <w:tc>
          <w:tcPr>
            <w:tcW w:w="2538" w:type="dxa"/>
          </w:tcPr>
          <w:p w:rsidR="00F74283" w:rsidRPr="00F74283" w:rsidRDefault="00F74283" w:rsidP="00F74283">
            <w:pPr>
              <w:spacing w:before="0" w:after="0"/>
              <w:ind w:left="0" w:right="0"/>
              <w:cnfStyle w:val="000000000000"/>
              <w:rPr>
                <w:sz w:val="20"/>
                <w:szCs w:val="20"/>
              </w:rPr>
            </w:pPr>
            <w:r w:rsidRPr="00F74283">
              <w:rPr>
                <w:sz w:val="20"/>
                <w:szCs w:val="20"/>
              </w:rPr>
              <w:t xml:space="preserve">56.0 </w:t>
            </w:r>
            <w:r w:rsidRPr="00F74283">
              <w:rPr>
                <w:sz w:val="20"/>
                <w:szCs w:val="20"/>
              </w:rPr>
              <w:sym w:font="Symbol" w:char="F0B1"/>
            </w:r>
            <w:r w:rsidRPr="00F74283">
              <w:rPr>
                <w:sz w:val="20"/>
                <w:szCs w:val="20"/>
              </w:rPr>
              <w:t xml:space="preserve"> 15.1 (21-76)</w:t>
            </w:r>
          </w:p>
        </w:tc>
        <w:tc>
          <w:tcPr>
            <w:tcW w:w="580" w:type="dxa"/>
          </w:tcPr>
          <w:p w:rsidR="00F74283" w:rsidRPr="00F74283" w:rsidRDefault="00F74283" w:rsidP="00F74283">
            <w:pPr>
              <w:spacing w:before="0" w:after="0"/>
              <w:ind w:left="0" w:right="0"/>
              <w:cnfStyle w:val="000000000000"/>
              <w:rPr>
                <w:sz w:val="20"/>
                <w:szCs w:val="20"/>
              </w:rPr>
            </w:pPr>
            <w:r w:rsidRPr="00F74283">
              <w:rPr>
                <w:sz w:val="20"/>
                <w:szCs w:val="20"/>
              </w:rPr>
              <w:t>26</w:t>
            </w:r>
          </w:p>
        </w:tc>
        <w:tc>
          <w:tcPr>
            <w:tcW w:w="2603" w:type="dxa"/>
          </w:tcPr>
          <w:p w:rsidR="00F74283" w:rsidRPr="00F74283" w:rsidRDefault="00F74283" w:rsidP="00F74283">
            <w:pPr>
              <w:spacing w:before="0" w:after="0"/>
              <w:ind w:left="0" w:right="0"/>
              <w:cnfStyle w:val="000000000000"/>
              <w:rPr>
                <w:sz w:val="20"/>
                <w:szCs w:val="20"/>
              </w:rPr>
            </w:pPr>
            <w:r w:rsidRPr="00F74283">
              <w:rPr>
                <w:sz w:val="20"/>
                <w:szCs w:val="20"/>
              </w:rPr>
              <w:t xml:space="preserve">52.0 </w:t>
            </w:r>
            <w:r w:rsidRPr="00F74283">
              <w:rPr>
                <w:sz w:val="20"/>
                <w:szCs w:val="20"/>
              </w:rPr>
              <w:sym w:font="Symbol" w:char="F0B1"/>
            </w:r>
            <w:r w:rsidRPr="00F74283">
              <w:rPr>
                <w:sz w:val="20"/>
                <w:szCs w:val="20"/>
              </w:rPr>
              <w:t xml:space="preserve"> 21.1 (18-84)</w:t>
            </w:r>
          </w:p>
        </w:tc>
        <w:tc>
          <w:tcPr>
            <w:tcW w:w="1592" w:type="dxa"/>
          </w:tcPr>
          <w:p w:rsidR="00F74283" w:rsidRPr="00F74283" w:rsidRDefault="00F74283" w:rsidP="00F74283">
            <w:pPr>
              <w:spacing w:before="0" w:after="0"/>
              <w:ind w:left="0" w:right="0"/>
              <w:cnfStyle w:val="000000000000"/>
              <w:rPr>
                <w:sz w:val="20"/>
                <w:szCs w:val="20"/>
              </w:rPr>
            </w:pPr>
            <w:r w:rsidRPr="00F74283">
              <w:rPr>
                <w:sz w:val="20"/>
                <w:szCs w:val="20"/>
              </w:rPr>
              <w:t>F: 0.4477</w:t>
            </w:r>
          </w:p>
        </w:tc>
      </w:tr>
    </w:tbl>
    <w:bookmarkEnd w:id="41"/>
    <w:p w:rsidR="00E8640C" w:rsidRPr="00F74283" w:rsidRDefault="00E8640C" w:rsidP="00C72F55">
      <w:pPr>
        <w:pStyle w:val="TableDescription"/>
        <w:rPr>
          <w:lang w:eastAsia="ja-JP"/>
        </w:rPr>
      </w:pPr>
      <w:proofErr w:type="gramStart"/>
      <w:r w:rsidRPr="00F74283">
        <w:rPr>
          <w:vertAlign w:val="superscript"/>
          <w:lang w:eastAsia="ja-JP"/>
        </w:rPr>
        <w:t>a</w:t>
      </w:r>
      <w:proofErr w:type="gramEnd"/>
      <w:r w:rsidRPr="00F74283">
        <w:rPr>
          <w:lang w:eastAsia="ja-JP"/>
        </w:rPr>
        <w:t xml:space="preserve"> P-value: Two-sided, based on a GLM (General Linear Model) model including treatment main effect for comparing Olicl</w:t>
      </w:r>
      <w:r w:rsidR="00F74283">
        <w:rPr>
          <w:lang w:eastAsia="ja-JP"/>
        </w:rPr>
        <w:t>inisol (Olimel) and Oliclinomel</w:t>
      </w:r>
    </w:p>
    <w:p w:rsidR="00F74283" w:rsidRDefault="00F74283" w:rsidP="00C72F55">
      <w:pPr>
        <w:pStyle w:val="TableTitle"/>
        <w:rPr>
          <w:lang w:eastAsia="ja-JP"/>
        </w:rPr>
      </w:pPr>
      <w:proofErr w:type="gramStart"/>
      <w:r w:rsidRPr="00F74283">
        <w:rPr>
          <w:lang w:eastAsia="ja-JP"/>
        </w:rPr>
        <w:t xml:space="preserve">Table </w:t>
      </w:r>
      <w:r w:rsidR="002A2CD0">
        <w:rPr>
          <w:lang w:eastAsia="ja-JP"/>
        </w:rPr>
        <w:t>4</w:t>
      </w:r>
      <w:r w:rsidRPr="00F74283">
        <w:rPr>
          <w:lang w:eastAsia="ja-JP"/>
        </w:rPr>
        <w:t>.</w:t>
      </w:r>
      <w:proofErr w:type="gramEnd"/>
      <w:r w:rsidRPr="00F74283">
        <w:rPr>
          <w:lang w:eastAsia="ja-JP"/>
        </w:rPr>
        <w:t xml:space="preserve"> </w:t>
      </w:r>
      <w:r>
        <w:rPr>
          <w:lang w:eastAsia="ja-JP"/>
        </w:rPr>
        <w:t>Gender</w:t>
      </w:r>
    </w:p>
    <w:tbl>
      <w:tblPr>
        <w:tblStyle w:val="TableTGAblue"/>
        <w:tblW w:w="0" w:type="auto"/>
        <w:tblInd w:w="108" w:type="dxa"/>
        <w:tblLook w:val="04A0"/>
      </w:tblPr>
      <w:tblGrid>
        <w:gridCol w:w="771"/>
        <w:gridCol w:w="866"/>
        <w:gridCol w:w="867"/>
        <w:gridCol w:w="867"/>
        <w:gridCol w:w="867"/>
        <w:gridCol w:w="867"/>
        <w:gridCol w:w="867"/>
        <w:gridCol w:w="867"/>
        <w:gridCol w:w="867"/>
        <w:gridCol w:w="867"/>
        <w:gridCol w:w="867"/>
      </w:tblGrid>
      <w:tr w:rsidR="00F74283" w:rsidRPr="00F74283" w:rsidTr="00C72F55">
        <w:trPr>
          <w:cnfStyle w:val="100000000000"/>
          <w:tblHeader/>
        </w:trPr>
        <w:tc>
          <w:tcPr>
            <w:cnfStyle w:val="001000000000"/>
            <w:tcW w:w="771" w:type="dxa"/>
          </w:tcPr>
          <w:p w:rsidR="00F74283" w:rsidRPr="00F74283" w:rsidRDefault="00F74283" w:rsidP="00F74283">
            <w:pPr>
              <w:spacing w:before="0" w:after="0" w:line="240" w:lineRule="auto"/>
              <w:ind w:left="0" w:right="0"/>
              <w:rPr>
                <w:sz w:val="20"/>
                <w:szCs w:val="20"/>
                <w:lang w:eastAsia="ja-JP"/>
              </w:rPr>
            </w:pPr>
          </w:p>
        </w:tc>
        <w:tc>
          <w:tcPr>
            <w:tcW w:w="3467" w:type="dxa"/>
            <w:gridSpan w:val="4"/>
          </w:tcPr>
          <w:p w:rsidR="00F74283" w:rsidRPr="00F74283" w:rsidRDefault="00F74283" w:rsidP="00DD41DC">
            <w:pPr>
              <w:spacing w:before="0" w:after="0" w:line="240" w:lineRule="auto"/>
              <w:ind w:left="0" w:right="0"/>
              <w:jc w:val="center"/>
              <w:cnfStyle w:val="100000000000"/>
              <w:rPr>
                <w:sz w:val="20"/>
                <w:szCs w:val="20"/>
                <w:lang w:eastAsia="ja-JP"/>
              </w:rPr>
            </w:pPr>
            <w:r w:rsidRPr="00F74283">
              <w:rPr>
                <w:sz w:val="20"/>
                <w:szCs w:val="20"/>
                <w:lang w:eastAsia="ja-JP"/>
              </w:rPr>
              <w:t>Oliclinisol</w:t>
            </w:r>
          </w:p>
        </w:tc>
        <w:tc>
          <w:tcPr>
            <w:tcW w:w="3468" w:type="dxa"/>
            <w:gridSpan w:val="4"/>
          </w:tcPr>
          <w:p w:rsidR="00F74283" w:rsidRPr="00F74283" w:rsidRDefault="00F74283" w:rsidP="00DD41DC">
            <w:pPr>
              <w:spacing w:before="0" w:after="0" w:line="240" w:lineRule="auto"/>
              <w:ind w:left="0" w:right="0"/>
              <w:jc w:val="center"/>
              <w:cnfStyle w:val="100000000000"/>
              <w:rPr>
                <w:sz w:val="20"/>
                <w:szCs w:val="20"/>
                <w:lang w:eastAsia="ja-JP"/>
              </w:rPr>
            </w:pPr>
            <w:r w:rsidRPr="00F74283">
              <w:rPr>
                <w:sz w:val="20"/>
                <w:szCs w:val="20"/>
                <w:lang w:eastAsia="ja-JP"/>
              </w:rPr>
              <w:t>Oliclinomel</w:t>
            </w:r>
          </w:p>
        </w:tc>
        <w:tc>
          <w:tcPr>
            <w:tcW w:w="867" w:type="dxa"/>
          </w:tcPr>
          <w:p w:rsidR="00F74283" w:rsidRPr="00F74283" w:rsidRDefault="00F74283" w:rsidP="00DD41DC">
            <w:pPr>
              <w:spacing w:before="0" w:after="0" w:line="240" w:lineRule="auto"/>
              <w:ind w:left="0" w:right="0"/>
              <w:jc w:val="center"/>
              <w:cnfStyle w:val="100000000000"/>
              <w:rPr>
                <w:sz w:val="20"/>
                <w:szCs w:val="20"/>
                <w:lang w:eastAsia="ja-JP"/>
              </w:rPr>
            </w:pPr>
          </w:p>
        </w:tc>
        <w:tc>
          <w:tcPr>
            <w:tcW w:w="867" w:type="dxa"/>
          </w:tcPr>
          <w:p w:rsidR="00F74283" w:rsidRPr="00F74283" w:rsidRDefault="00F74283" w:rsidP="00DD41DC">
            <w:pPr>
              <w:spacing w:before="0" w:after="0" w:line="240" w:lineRule="auto"/>
              <w:ind w:left="0" w:right="0"/>
              <w:jc w:val="center"/>
              <w:cnfStyle w:val="100000000000"/>
              <w:rPr>
                <w:sz w:val="20"/>
                <w:szCs w:val="20"/>
                <w:lang w:eastAsia="ja-JP"/>
              </w:rPr>
            </w:pPr>
          </w:p>
        </w:tc>
      </w:tr>
      <w:tr w:rsidR="00F74283" w:rsidRPr="00F74283" w:rsidTr="00FD022D">
        <w:tc>
          <w:tcPr>
            <w:cnfStyle w:val="001000000000"/>
            <w:tcW w:w="771" w:type="dxa"/>
          </w:tcPr>
          <w:p w:rsidR="00F74283" w:rsidRPr="00F74283" w:rsidRDefault="00F74283" w:rsidP="00F74283">
            <w:pPr>
              <w:spacing w:before="0" w:after="0" w:line="240" w:lineRule="auto"/>
              <w:ind w:left="0" w:right="0"/>
              <w:rPr>
                <w:sz w:val="20"/>
                <w:szCs w:val="20"/>
                <w:lang w:eastAsia="ja-JP"/>
              </w:rPr>
            </w:pPr>
          </w:p>
        </w:tc>
        <w:tc>
          <w:tcPr>
            <w:tcW w:w="1733" w:type="dxa"/>
            <w:gridSpan w:val="2"/>
          </w:tcPr>
          <w:p w:rsidR="00F74283" w:rsidRPr="00F74283" w:rsidRDefault="00F74283" w:rsidP="00DD41DC">
            <w:pPr>
              <w:spacing w:before="0" w:after="0" w:line="240" w:lineRule="auto"/>
              <w:ind w:left="0" w:right="0"/>
              <w:jc w:val="center"/>
              <w:cnfStyle w:val="000000000000"/>
              <w:rPr>
                <w:sz w:val="20"/>
                <w:szCs w:val="20"/>
                <w:lang w:eastAsia="ja-JP"/>
              </w:rPr>
            </w:pPr>
            <w:r w:rsidRPr="00F74283">
              <w:rPr>
                <w:sz w:val="20"/>
                <w:szCs w:val="20"/>
                <w:lang w:eastAsia="ja-JP"/>
              </w:rPr>
              <w:t>M</w:t>
            </w:r>
          </w:p>
        </w:tc>
        <w:tc>
          <w:tcPr>
            <w:tcW w:w="1734" w:type="dxa"/>
            <w:gridSpan w:val="2"/>
          </w:tcPr>
          <w:p w:rsidR="00F74283" w:rsidRPr="00F74283" w:rsidRDefault="00F74283" w:rsidP="00DD41DC">
            <w:pPr>
              <w:spacing w:before="0" w:after="0" w:line="240" w:lineRule="auto"/>
              <w:ind w:left="0" w:right="0"/>
              <w:jc w:val="center"/>
              <w:cnfStyle w:val="000000000000"/>
              <w:rPr>
                <w:sz w:val="20"/>
                <w:szCs w:val="20"/>
                <w:lang w:eastAsia="ja-JP"/>
              </w:rPr>
            </w:pPr>
            <w:r w:rsidRPr="00F74283">
              <w:rPr>
                <w:sz w:val="20"/>
                <w:szCs w:val="20"/>
                <w:lang w:eastAsia="ja-JP"/>
              </w:rPr>
              <w:t>F</w:t>
            </w:r>
          </w:p>
        </w:tc>
        <w:tc>
          <w:tcPr>
            <w:tcW w:w="1734" w:type="dxa"/>
            <w:gridSpan w:val="2"/>
          </w:tcPr>
          <w:p w:rsidR="00F74283" w:rsidRPr="00F74283" w:rsidRDefault="00F74283" w:rsidP="00DD41DC">
            <w:pPr>
              <w:spacing w:before="0" w:after="0" w:line="240" w:lineRule="auto"/>
              <w:ind w:left="0" w:right="0"/>
              <w:jc w:val="center"/>
              <w:cnfStyle w:val="000000000000"/>
              <w:rPr>
                <w:sz w:val="20"/>
                <w:szCs w:val="20"/>
                <w:lang w:eastAsia="ja-JP"/>
              </w:rPr>
            </w:pPr>
            <w:r w:rsidRPr="00F74283">
              <w:rPr>
                <w:sz w:val="20"/>
                <w:szCs w:val="20"/>
                <w:lang w:eastAsia="ja-JP"/>
              </w:rPr>
              <w:t>M</w:t>
            </w:r>
          </w:p>
        </w:tc>
        <w:tc>
          <w:tcPr>
            <w:tcW w:w="1734" w:type="dxa"/>
            <w:gridSpan w:val="2"/>
          </w:tcPr>
          <w:p w:rsidR="00F74283" w:rsidRPr="00F74283" w:rsidRDefault="00F74283" w:rsidP="00DD41DC">
            <w:pPr>
              <w:spacing w:before="0" w:after="0" w:line="240" w:lineRule="auto"/>
              <w:ind w:left="0" w:right="0"/>
              <w:jc w:val="center"/>
              <w:cnfStyle w:val="000000000000"/>
              <w:rPr>
                <w:sz w:val="20"/>
                <w:szCs w:val="20"/>
                <w:lang w:eastAsia="ja-JP"/>
              </w:rPr>
            </w:pPr>
            <w:r w:rsidRPr="00F74283">
              <w:rPr>
                <w:sz w:val="20"/>
                <w:szCs w:val="20"/>
                <w:lang w:eastAsia="ja-JP"/>
              </w:rPr>
              <w:t>F</w:t>
            </w:r>
          </w:p>
        </w:tc>
        <w:tc>
          <w:tcPr>
            <w:tcW w:w="867" w:type="dxa"/>
          </w:tcPr>
          <w:p w:rsidR="00F74283" w:rsidRPr="00F74283" w:rsidRDefault="00F74283" w:rsidP="00DD41DC">
            <w:pPr>
              <w:spacing w:before="0" w:after="0" w:line="240" w:lineRule="auto"/>
              <w:ind w:left="0" w:right="0"/>
              <w:jc w:val="center"/>
              <w:cnfStyle w:val="000000000000"/>
              <w:rPr>
                <w:sz w:val="20"/>
                <w:szCs w:val="20"/>
                <w:lang w:eastAsia="ja-JP"/>
              </w:rPr>
            </w:pPr>
          </w:p>
        </w:tc>
        <w:tc>
          <w:tcPr>
            <w:tcW w:w="867" w:type="dxa"/>
          </w:tcPr>
          <w:p w:rsidR="00F74283" w:rsidRPr="00F74283" w:rsidRDefault="00F74283" w:rsidP="00DD41DC">
            <w:pPr>
              <w:spacing w:before="0" w:after="0" w:line="240" w:lineRule="auto"/>
              <w:ind w:left="0" w:right="0"/>
              <w:jc w:val="center"/>
              <w:cnfStyle w:val="000000000000"/>
              <w:rPr>
                <w:sz w:val="20"/>
                <w:szCs w:val="20"/>
                <w:lang w:eastAsia="ja-JP"/>
              </w:rPr>
            </w:pPr>
          </w:p>
        </w:tc>
      </w:tr>
      <w:tr w:rsidR="00F74283" w:rsidRPr="00F74283" w:rsidTr="00FD022D">
        <w:tc>
          <w:tcPr>
            <w:cnfStyle w:val="001000000000"/>
            <w:tcW w:w="771" w:type="dxa"/>
          </w:tcPr>
          <w:p w:rsidR="00F74283" w:rsidRPr="00F74283" w:rsidRDefault="00F74283" w:rsidP="00F74283">
            <w:pPr>
              <w:spacing w:before="0" w:after="0" w:line="240" w:lineRule="auto"/>
              <w:ind w:left="0" w:right="0"/>
              <w:rPr>
                <w:sz w:val="20"/>
                <w:szCs w:val="20"/>
                <w:lang w:eastAsia="ja-JP"/>
              </w:rPr>
            </w:pPr>
          </w:p>
        </w:tc>
        <w:tc>
          <w:tcPr>
            <w:tcW w:w="866" w:type="dxa"/>
          </w:tcPr>
          <w:p w:rsidR="00F74283" w:rsidRPr="00F74283" w:rsidRDefault="00F74283" w:rsidP="00F74283">
            <w:pPr>
              <w:spacing w:before="0" w:after="0" w:line="240" w:lineRule="auto"/>
              <w:ind w:left="0" w:right="0"/>
              <w:cnfStyle w:val="000000000000"/>
              <w:rPr>
                <w:sz w:val="20"/>
                <w:szCs w:val="20"/>
                <w:lang w:eastAsia="ja-JP"/>
              </w:rPr>
            </w:pPr>
            <w:r w:rsidRPr="00F74283">
              <w:rPr>
                <w:sz w:val="20"/>
                <w:szCs w:val="20"/>
                <w:lang w:eastAsia="ja-JP"/>
              </w:rPr>
              <w:t>N</w:t>
            </w:r>
          </w:p>
        </w:tc>
        <w:tc>
          <w:tcPr>
            <w:tcW w:w="867" w:type="dxa"/>
          </w:tcPr>
          <w:p w:rsidR="00F74283" w:rsidRPr="00F74283" w:rsidRDefault="00F74283" w:rsidP="00F74283">
            <w:pPr>
              <w:spacing w:before="0" w:after="0" w:line="240" w:lineRule="auto"/>
              <w:ind w:left="0" w:right="0"/>
              <w:cnfStyle w:val="000000000000"/>
              <w:rPr>
                <w:sz w:val="20"/>
                <w:szCs w:val="20"/>
                <w:lang w:eastAsia="ja-JP"/>
              </w:rPr>
            </w:pPr>
            <w:r w:rsidRPr="00F74283">
              <w:rPr>
                <w:sz w:val="20"/>
                <w:szCs w:val="20"/>
                <w:lang w:eastAsia="ja-JP"/>
              </w:rPr>
              <w:t>%</w:t>
            </w:r>
          </w:p>
        </w:tc>
        <w:tc>
          <w:tcPr>
            <w:tcW w:w="867" w:type="dxa"/>
          </w:tcPr>
          <w:p w:rsidR="00F74283" w:rsidRPr="00F74283" w:rsidRDefault="00F74283" w:rsidP="00F74283">
            <w:pPr>
              <w:spacing w:before="0" w:after="0" w:line="240" w:lineRule="auto"/>
              <w:ind w:left="0" w:right="0"/>
              <w:cnfStyle w:val="000000000000"/>
              <w:rPr>
                <w:sz w:val="20"/>
                <w:szCs w:val="20"/>
                <w:lang w:eastAsia="ja-JP"/>
              </w:rPr>
            </w:pPr>
            <w:r w:rsidRPr="00F74283">
              <w:rPr>
                <w:sz w:val="20"/>
                <w:szCs w:val="20"/>
                <w:lang w:eastAsia="ja-JP"/>
              </w:rPr>
              <w:t>N</w:t>
            </w:r>
          </w:p>
        </w:tc>
        <w:tc>
          <w:tcPr>
            <w:tcW w:w="867" w:type="dxa"/>
          </w:tcPr>
          <w:p w:rsidR="00F74283" w:rsidRPr="00F74283" w:rsidRDefault="00F74283" w:rsidP="00F74283">
            <w:pPr>
              <w:spacing w:before="0" w:after="0" w:line="240" w:lineRule="auto"/>
              <w:ind w:left="0" w:right="0"/>
              <w:cnfStyle w:val="000000000000"/>
              <w:rPr>
                <w:sz w:val="20"/>
                <w:szCs w:val="20"/>
                <w:lang w:eastAsia="ja-JP"/>
              </w:rPr>
            </w:pPr>
            <w:r w:rsidRPr="00F74283">
              <w:rPr>
                <w:sz w:val="20"/>
                <w:szCs w:val="20"/>
                <w:lang w:eastAsia="ja-JP"/>
              </w:rPr>
              <w:t>%</w:t>
            </w:r>
          </w:p>
        </w:tc>
        <w:tc>
          <w:tcPr>
            <w:tcW w:w="867" w:type="dxa"/>
          </w:tcPr>
          <w:p w:rsidR="00F74283" w:rsidRPr="00F74283" w:rsidRDefault="00F74283" w:rsidP="00F74283">
            <w:pPr>
              <w:spacing w:before="0" w:after="0" w:line="240" w:lineRule="auto"/>
              <w:ind w:left="0" w:right="0"/>
              <w:cnfStyle w:val="000000000000"/>
              <w:rPr>
                <w:sz w:val="20"/>
                <w:szCs w:val="20"/>
                <w:lang w:eastAsia="ja-JP"/>
              </w:rPr>
            </w:pPr>
            <w:r w:rsidRPr="00F74283">
              <w:rPr>
                <w:sz w:val="20"/>
                <w:szCs w:val="20"/>
                <w:lang w:eastAsia="ja-JP"/>
              </w:rPr>
              <w:t>N</w:t>
            </w:r>
          </w:p>
        </w:tc>
        <w:tc>
          <w:tcPr>
            <w:tcW w:w="867" w:type="dxa"/>
          </w:tcPr>
          <w:p w:rsidR="00F74283" w:rsidRPr="00F74283" w:rsidRDefault="00F74283" w:rsidP="00F74283">
            <w:pPr>
              <w:spacing w:before="0" w:after="0" w:line="240" w:lineRule="auto"/>
              <w:ind w:left="0" w:right="0"/>
              <w:cnfStyle w:val="000000000000"/>
              <w:rPr>
                <w:sz w:val="20"/>
                <w:szCs w:val="20"/>
                <w:lang w:eastAsia="ja-JP"/>
              </w:rPr>
            </w:pPr>
            <w:r w:rsidRPr="00F74283">
              <w:rPr>
                <w:sz w:val="20"/>
                <w:szCs w:val="20"/>
                <w:lang w:eastAsia="ja-JP"/>
              </w:rPr>
              <w:t>%</w:t>
            </w:r>
          </w:p>
        </w:tc>
        <w:tc>
          <w:tcPr>
            <w:tcW w:w="867" w:type="dxa"/>
          </w:tcPr>
          <w:p w:rsidR="00F74283" w:rsidRPr="00F74283" w:rsidRDefault="00F74283" w:rsidP="00F74283">
            <w:pPr>
              <w:spacing w:before="0" w:after="0" w:line="240" w:lineRule="auto"/>
              <w:ind w:left="0" w:right="0"/>
              <w:cnfStyle w:val="000000000000"/>
              <w:rPr>
                <w:sz w:val="20"/>
                <w:szCs w:val="20"/>
                <w:lang w:eastAsia="ja-JP"/>
              </w:rPr>
            </w:pPr>
            <w:r w:rsidRPr="00F74283">
              <w:rPr>
                <w:sz w:val="20"/>
                <w:szCs w:val="20"/>
                <w:lang w:eastAsia="ja-JP"/>
              </w:rPr>
              <w:t>N</w:t>
            </w:r>
          </w:p>
        </w:tc>
        <w:tc>
          <w:tcPr>
            <w:tcW w:w="867" w:type="dxa"/>
          </w:tcPr>
          <w:p w:rsidR="00F74283" w:rsidRPr="00F74283" w:rsidRDefault="00F74283" w:rsidP="00F74283">
            <w:pPr>
              <w:spacing w:before="0" w:after="0" w:line="240" w:lineRule="auto"/>
              <w:ind w:left="0" w:right="0"/>
              <w:cnfStyle w:val="000000000000"/>
              <w:rPr>
                <w:sz w:val="20"/>
                <w:szCs w:val="20"/>
                <w:lang w:eastAsia="ja-JP"/>
              </w:rPr>
            </w:pPr>
            <w:r w:rsidRPr="00F74283">
              <w:rPr>
                <w:sz w:val="20"/>
                <w:szCs w:val="20"/>
                <w:lang w:eastAsia="ja-JP"/>
              </w:rPr>
              <w:t>%</w:t>
            </w:r>
          </w:p>
        </w:tc>
        <w:tc>
          <w:tcPr>
            <w:tcW w:w="867" w:type="dxa"/>
          </w:tcPr>
          <w:p w:rsidR="00F74283" w:rsidRPr="00F74283" w:rsidRDefault="00F74283" w:rsidP="00F74283">
            <w:pPr>
              <w:spacing w:before="0" w:after="0" w:line="240" w:lineRule="auto"/>
              <w:ind w:left="0" w:right="0"/>
              <w:cnfStyle w:val="000000000000"/>
              <w:rPr>
                <w:sz w:val="20"/>
                <w:szCs w:val="20"/>
                <w:lang w:eastAsia="ja-JP"/>
              </w:rPr>
            </w:pPr>
            <w:r w:rsidRPr="00F74283">
              <w:rPr>
                <w:sz w:val="20"/>
                <w:szCs w:val="20"/>
                <w:lang w:eastAsia="ja-JP"/>
              </w:rPr>
              <w:t>Test</w:t>
            </w:r>
          </w:p>
        </w:tc>
        <w:tc>
          <w:tcPr>
            <w:tcW w:w="867" w:type="dxa"/>
          </w:tcPr>
          <w:p w:rsidR="00F74283" w:rsidRPr="00F74283" w:rsidRDefault="00F74283" w:rsidP="00F74283">
            <w:pPr>
              <w:spacing w:before="0" w:after="0" w:line="240" w:lineRule="auto"/>
              <w:ind w:left="0" w:right="0"/>
              <w:cnfStyle w:val="000000000000"/>
              <w:rPr>
                <w:sz w:val="20"/>
                <w:szCs w:val="20"/>
                <w:lang w:eastAsia="ja-JP"/>
              </w:rPr>
            </w:pPr>
            <w:r w:rsidRPr="00F74283">
              <w:rPr>
                <w:sz w:val="20"/>
                <w:szCs w:val="20"/>
                <w:lang w:eastAsia="ja-JP"/>
              </w:rPr>
              <w:t>Value</w:t>
            </w:r>
          </w:p>
        </w:tc>
      </w:tr>
      <w:tr w:rsidR="00F74283" w:rsidRPr="00F74283" w:rsidTr="00FD022D">
        <w:tc>
          <w:tcPr>
            <w:cnfStyle w:val="001000000000"/>
            <w:tcW w:w="771" w:type="dxa"/>
          </w:tcPr>
          <w:p w:rsidR="00F74283" w:rsidRPr="00F74283" w:rsidRDefault="00F74283" w:rsidP="00F74283">
            <w:pPr>
              <w:spacing w:before="0" w:after="0" w:line="240" w:lineRule="auto"/>
              <w:ind w:left="0" w:right="0"/>
              <w:rPr>
                <w:sz w:val="20"/>
                <w:szCs w:val="20"/>
                <w:lang w:eastAsia="ja-JP"/>
              </w:rPr>
            </w:pPr>
            <w:r w:rsidRPr="00F74283">
              <w:rPr>
                <w:sz w:val="20"/>
                <w:szCs w:val="20"/>
                <w:lang w:eastAsia="ja-JP"/>
              </w:rPr>
              <w:t>Sex</w:t>
            </w:r>
          </w:p>
        </w:tc>
        <w:tc>
          <w:tcPr>
            <w:tcW w:w="866" w:type="dxa"/>
          </w:tcPr>
          <w:p w:rsidR="00F74283" w:rsidRPr="00F74283" w:rsidRDefault="00F74283" w:rsidP="00F74283">
            <w:pPr>
              <w:spacing w:before="0" w:after="0" w:line="240" w:lineRule="auto"/>
              <w:ind w:left="0" w:right="0"/>
              <w:cnfStyle w:val="000000000000"/>
              <w:rPr>
                <w:sz w:val="20"/>
                <w:szCs w:val="20"/>
                <w:lang w:eastAsia="ja-JP"/>
              </w:rPr>
            </w:pPr>
            <w:r w:rsidRPr="00F74283">
              <w:rPr>
                <w:sz w:val="20"/>
                <w:szCs w:val="20"/>
                <w:lang w:eastAsia="ja-JP"/>
              </w:rPr>
              <w:t>17</w:t>
            </w:r>
          </w:p>
        </w:tc>
        <w:tc>
          <w:tcPr>
            <w:tcW w:w="867" w:type="dxa"/>
          </w:tcPr>
          <w:p w:rsidR="00F74283" w:rsidRPr="00F74283" w:rsidRDefault="00F74283" w:rsidP="00F74283">
            <w:pPr>
              <w:spacing w:before="0" w:after="0" w:line="240" w:lineRule="auto"/>
              <w:ind w:left="0" w:right="0"/>
              <w:cnfStyle w:val="000000000000"/>
              <w:rPr>
                <w:sz w:val="20"/>
                <w:szCs w:val="20"/>
                <w:lang w:eastAsia="ja-JP"/>
              </w:rPr>
            </w:pPr>
            <w:r w:rsidRPr="00F74283">
              <w:rPr>
                <w:sz w:val="20"/>
                <w:szCs w:val="20"/>
                <w:lang w:eastAsia="ja-JP"/>
              </w:rPr>
              <w:t>70.8</w:t>
            </w:r>
          </w:p>
        </w:tc>
        <w:tc>
          <w:tcPr>
            <w:tcW w:w="867" w:type="dxa"/>
          </w:tcPr>
          <w:p w:rsidR="00F74283" w:rsidRPr="00F74283" w:rsidRDefault="00F74283" w:rsidP="00F74283">
            <w:pPr>
              <w:spacing w:before="0" w:after="0" w:line="240" w:lineRule="auto"/>
              <w:ind w:left="0" w:right="0"/>
              <w:cnfStyle w:val="000000000000"/>
              <w:rPr>
                <w:sz w:val="20"/>
                <w:szCs w:val="20"/>
                <w:lang w:eastAsia="ja-JP"/>
              </w:rPr>
            </w:pPr>
            <w:r w:rsidRPr="00F74283">
              <w:rPr>
                <w:sz w:val="20"/>
                <w:szCs w:val="20"/>
                <w:lang w:eastAsia="ja-JP"/>
              </w:rPr>
              <w:t>7</w:t>
            </w:r>
          </w:p>
        </w:tc>
        <w:tc>
          <w:tcPr>
            <w:tcW w:w="867" w:type="dxa"/>
          </w:tcPr>
          <w:p w:rsidR="00F74283" w:rsidRPr="00F74283" w:rsidRDefault="00F74283" w:rsidP="00F74283">
            <w:pPr>
              <w:spacing w:before="0" w:after="0" w:line="240" w:lineRule="auto"/>
              <w:ind w:left="0" w:right="0"/>
              <w:cnfStyle w:val="000000000000"/>
              <w:rPr>
                <w:sz w:val="20"/>
                <w:szCs w:val="20"/>
                <w:lang w:eastAsia="ja-JP"/>
              </w:rPr>
            </w:pPr>
            <w:r w:rsidRPr="00F74283">
              <w:rPr>
                <w:sz w:val="20"/>
                <w:szCs w:val="20"/>
                <w:lang w:eastAsia="ja-JP"/>
              </w:rPr>
              <w:t>29.2</w:t>
            </w:r>
          </w:p>
        </w:tc>
        <w:tc>
          <w:tcPr>
            <w:tcW w:w="867" w:type="dxa"/>
          </w:tcPr>
          <w:p w:rsidR="00F74283" w:rsidRPr="00F74283" w:rsidRDefault="00F74283" w:rsidP="00F74283">
            <w:pPr>
              <w:spacing w:before="0" w:after="0" w:line="240" w:lineRule="auto"/>
              <w:ind w:left="0" w:right="0"/>
              <w:cnfStyle w:val="000000000000"/>
              <w:rPr>
                <w:sz w:val="20"/>
                <w:szCs w:val="20"/>
                <w:lang w:eastAsia="ja-JP"/>
              </w:rPr>
            </w:pPr>
            <w:r w:rsidRPr="00F74283">
              <w:rPr>
                <w:sz w:val="20"/>
                <w:szCs w:val="20"/>
                <w:lang w:eastAsia="ja-JP"/>
              </w:rPr>
              <w:t>16</w:t>
            </w:r>
          </w:p>
        </w:tc>
        <w:tc>
          <w:tcPr>
            <w:tcW w:w="867" w:type="dxa"/>
          </w:tcPr>
          <w:p w:rsidR="00F74283" w:rsidRPr="00F74283" w:rsidRDefault="00F74283" w:rsidP="00F74283">
            <w:pPr>
              <w:spacing w:before="0" w:after="0" w:line="240" w:lineRule="auto"/>
              <w:ind w:left="0" w:right="0"/>
              <w:cnfStyle w:val="000000000000"/>
              <w:rPr>
                <w:sz w:val="20"/>
                <w:szCs w:val="20"/>
                <w:lang w:eastAsia="ja-JP"/>
              </w:rPr>
            </w:pPr>
            <w:r w:rsidRPr="00F74283">
              <w:rPr>
                <w:sz w:val="20"/>
                <w:szCs w:val="20"/>
                <w:lang w:eastAsia="ja-JP"/>
              </w:rPr>
              <w:t>61.5</w:t>
            </w:r>
          </w:p>
        </w:tc>
        <w:tc>
          <w:tcPr>
            <w:tcW w:w="867" w:type="dxa"/>
          </w:tcPr>
          <w:p w:rsidR="00F74283" w:rsidRPr="00F74283" w:rsidRDefault="00F74283" w:rsidP="00F74283">
            <w:pPr>
              <w:spacing w:before="0" w:after="0" w:line="240" w:lineRule="auto"/>
              <w:ind w:left="0" w:right="0"/>
              <w:cnfStyle w:val="000000000000"/>
              <w:rPr>
                <w:sz w:val="20"/>
                <w:szCs w:val="20"/>
                <w:lang w:eastAsia="ja-JP"/>
              </w:rPr>
            </w:pPr>
            <w:r w:rsidRPr="00F74283">
              <w:rPr>
                <w:sz w:val="20"/>
                <w:szCs w:val="20"/>
                <w:lang w:eastAsia="ja-JP"/>
              </w:rPr>
              <w:t>10</w:t>
            </w:r>
          </w:p>
        </w:tc>
        <w:tc>
          <w:tcPr>
            <w:tcW w:w="867" w:type="dxa"/>
          </w:tcPr>
          <w:p w:rsidR="00F74283" w:rsidRPr="00F74283" w:rsidRDefault="00F74283" w:rsidP="00F74283">
            <w:pPr>
              <w:spacing w:before="0" w:after="0" w:line="240" w:lineRule="auto"/>
              <w:ind w:left="0" w:right="0"/>
              <w:cnfStyle w:val="000000000000"/>
              <w:rPr>
                <w:sz w:val="20"/>
                <w:szCs w:val="20"/>
                <w:lang w:eastAsia="ja-JP"/>
              </w:rPr>
            </w:pPr>
            <w:r w:rsidRPr="00F74283">
              <w:rPr>
                <w:sz w:val="20"/>
                <w:szCs w:val="20"/>
                <w:lang w:eastAsia="ja-JP"/>
              </w:rPr>
              <w:t>38.8</w:t>
            </w:r>
          </w:p>
        </w:tc>
        <w:tc>
          <w:tcPr>
            <w:tcW w:w="867" w:type="dxa"/>
          </w:tcPr>
          <w:p w:rsidR="00F74283" w:rsidRPr="00F74283" w:rsidRDefault="00F74283" w:rsidP="00F74283">
            <w:pPr>
              <w:spacing w:before="0" w:after="0" w:line="240" w:lineRule="auto"/>
              <w:ind w:left="0" w:right="0"/>
              <w:cnfStyle w:val="000000000000"/>
              <w:rPr>
                <w:sz w:val="20"/>
                <w:szCs w:val="20"/>
                <w:lang w:eastAsia="ja-JP"/>
              </w:rPr>
            </w:pPr>
            <w:r w:rsidRPr="00F74283">
              <w:rPr>
                <w:sz w:val="20"/>
                <w:szCs w:val="20"/>
                <w:lang w:eastAsia="ja-JP"/>
              </w:rPr>
              <w:t>Chi</w:t>
            </w:r>
            <w:r w:rsidRPr="00F74283">
              <w:rPr>
                <w:sz w:val="20"/>
                <w:szCs w:val="20"/>
                <w:vertAlign w:val="superscript"/>
                <w:lang w:eastAsia="ja-JP"/>
              </w:rPr>
              <w:t>2</w:t>
            </w:r>
          </w:p>
        </w:tc>
        <w:tc>
          <w:tcPr>
            <w:tcW w:w="867" w:type="dxa"/>
          </w:tcPr>
          <w:p w:rsidR="00F74283" w:rsidRPr="00F74283" w:rsidRDefault="00F74283" w:rsidP="00F74283">
            <w:pPr>
              <w:spacing w:before="0" w:after="0" w:line="240" w:lineRule="auto"/>
              <w:ind w:left="0" w:right="0"/>
              <w:cnfStyle w:val="000000000000"/>
              <w:rPr>
                <w:sz w:val="20"/>
                <w:szCs w:val="20"/>
                <w:lang w:eastAsia="ja-JP"/>
              </w:rPr>
            </w:pPr>
            <w:r w:rsidRPr="00F74283">
              <w:rPr>
                <w:sz w:val="20"/>
                <w:szCs w:val="20"/>
                <w:lang w:eastAsia="ja-JP"/>
              </w:rPr>
              <w:t>0.488</w:t>
            </w:r>
          </w:p>
        </w:tc>
      </w:tr>
    </w:tbl>
    <w:p w:rsidR="00E8640C" w:rsidRDefault="00E8640C" w:rsidP="00C72F55">
      <w:pPr>
        <w:pStyle w:val="TableTitle"/>
        <w:rPr>
          <w:lang w:eastAsia="ja-JP"/>
        </w:rPr>
      </w:pPr>
      <w:bookmarkStart w:id="42" w:name="_Toc328983411"/>
      <w:r w:rsidRPr="00E8640C">
        <w:rPr>
          <w:lang w:eastAsia="ja-JP"/>
        </w:rPr>
        <w:t xml:space="preserve">Table </w:t>
      </w:r>
      <w:r w:rsidR="002A2CD0">
        <w:rPr>
          <w:lang w:eastAsia="ja-JP"/>
        </w:rPr>
        <w:t>5</w:t>
      </w:r>
      <w:r w:rsidR="00855577">
        <w:rPr>
          <w:lang w:eastAsia="ja-JP"/>
        </w:rPr>
        <w:t>.</w:t>
      </w:r>
      <w:r w:rsidRPr="00E8640C">
        <w:rPr>
          <w:lang w:eastAsia="ja-JP"/>
        </w:rPr>
        <w:t xml:space="preserve"> </w:t>
      </w:r>
      <w:proofErr w:type="gramStart"/>
      <w:r w:rsidRPr="00E8640C">
        <w:rPr>
          <w:lang w:eastAsia="ja-JP"/>
        </w:rPr>
        <w:t>Patient Severity Status at Baseline - ITT Population.</w:t>
      </w:r>
      <w:bookmarkEnd w:id="42"/>
      <w:proofErr w:type="gramEnd"/>
    </w:p>
    <w:tbl>
      <w:tblPr>
        <w:tblStyle w:val="TableTGAblue"/>
        <w:tblW w:w="0" w:type="auto"/>
        <w:tblInd w:w="108" w:type="dxa"/>
        <w:tblLook w:val="04A0"/>
      </w:tblPr>
      <w:tblGrid>
        <w:gridCol w:w="1375"/>
        <w:gridCol w:w="644"/>
        <w:gridCol w:w="2538"/>
        <w:gridCol w:w="580"/>
        <w:gridCol w:w="2603"/>
        <w:gridCol w:w="1592"/>
      </w:tblGrid>
      <w:tr w:rsidR="00855577" w:rsidRPr="00855577" w:rsidTr="00C72F55">
        <w:trPr>
          <w:cnfStyle w:val="100000000000"/>
          <w:tblHeader/>
        </w:trPr>
        <w:tc>
          <w:tcPr>
            <w:cnfStyle w:val="001000000000"/>
            <w:tcW w:w="1375" w:type="dxa"/>
          </w:tcPr>
          <w:p w:rsidR="00855577" w:rsidRPr="00855577" w:rsidRDefault="00855577" w:rsidP="00855577">
            <w:pPr>
              <w:spacing w:before="0" w:after="0"/>
              <w:ind w:left="0" w:right="0"/>
              <w:rPr>
                <w:sz w:val="20"/>
                <w:szCs w:val="20"/>
              </w:rPr>
            </w:pPr>
          </w:p>
        </w:tc>
        <w:tc>
          <w:tcPr>
            <w:tcW w:w="3182" w:type="dxa"/>
            <w:gridSpan w:val="2"/>
            <w:hideMark/>
          </w:tcPr>
          <w:p w:rsidR="00855577" w:rsidRPr="00855577" w:rsidRDefault="00855577" w:rsidP="00855577">
            <w:pPr>
              <w:spacing w:before="0" w:after="0"/>
              <w:ind w:left="0" w:right="0"/>
              <w:cnfStyle w:val="100000000000"/>
              <w:rPr>
                <w:sz w:val="20"/>
                <w:szCs w:val="20"/>
              </w:rPr>
            </w:pPr>
            <w:r w:rsidRPr="00855577">
              <w:rPr>
                <w:sz w:val="20"/>
                <w:szCs w:val="20"/>
              </w:rPr>
              <w:t>Oliclinisol</w:t>
            </w:r>
          </w:p>
        </w:tc>
        <w:tc>
          <w:tcPr>
            <w:tcW w:w="3183" w:type="dxa"/>
            <w:gridSpan w:val="2"/>
            <w:hideMark/>
          </w:tcPr>
          <w:p w:rsidR="00855577" w:rsidRPr="00855577" w:rsidRDefault="00855577" w:rsidP="00855577">
            <w:pPr>
              <w:spacing w:before="0" w:after="0"/>
              <w:ind w:left="0" w:right="0"/>
              <w:cnfStyle w:val="100000000000"/>
              <w:rPr>
                <w:sz w:val="20"/>
                <w:szCs w:val="20"/>
              </w:rPr>
            </w:pPr>
            <w:r w:rsidRPr="00855577">
              <w:rPr>
                <w:sz w:val="20"/>
                <w:szCs w:val="20"/>
              </w:rPr>
              <w:t>Oliclinomel</w:t>
            </w:r>
          </w:p>
        </w:tc>
        <w:tc>
          <w:tcPr>
            <w:tcW w:w="1592" w:type="dxa"/>
          </w:tcPr>
          <w:p w:rsidR="00855577" w:rsidRPr="00855577" w:rsidRDefault="00855577" w:rsidP="00855577">
            <w:pPr>
              <w:spacing w:before="0" w:after="0"/>
              <w:ind w:left="0" w:right="0"/>
              <w:cnfStyle w:val="100000000000"/>
              <w:rPr>
                <w:sz w:val="20"/>
                <w:szCs w:val="20"/>
              </w:rPr>
            </w:pPr>
          </w:p>
        </w:tc>
      </w:tr>
      <w:tr w:rsidR="00855577" w:rsidRPr="00855577" w:rsidTr="00FD022D">
        <w:tc>
          <w:tcPr>
            <w:cnfStyle w:val="001000000000"/>
            <w:tcW w:w="1375" w:type="dxa"/>
            <w:hideMark/>
          </w:tcPr>
          <w:p w:rsidR="00855577" w:rsidRPr="00855577" w:rsidRDefault="00855577" w:rsidP="00855577">
            <w:pPr>
              <w:spacing w:before="0" w:after="0"/>
              <w:ind w:left="0" w:right="0"/>
              <w:rPr>
                <w:sz w:val="20"/>
                <w:szCs w:val="20"/>
              </w:rPr>
            </w:pPr>
            <w:r w:rsidRPr="00855577">
              <w:rPr>
                <w:sz w:val="20"/>
                <w:szCs w:val="20"/>
              </w:rPr>
              <w:t>Parameter</w:t>
            </w:r>
            <w:r>
              <w:rPr>
                <w:sz w:val="20"/>
                <w:szCs w:val="20"/>
              </w:rPr>
              <w:t>s</w:t>
            </w:r>
          </w:p>
        </w:tc>
        <w:tc>
          <w:tcPr>
            <w:tcW w:w="644" w:type="dxa"/>
            <w:hideMark/>
          </w:tcPr>
          <w:p w:rsidR="00855577" w:rsidRPr="00855577" w:rsidRDefault="00855577" w:rsidP="00855577">
            <w:pPr>
              <w:spacing w:before="0" w:after="0"/>
              <w:ind w:left="0" w:right="0"/>
              <w:cnfStyle w:val="000000000000"/>
              <w:rPr>
                <w:sz w:val="20"/>
                <w:szCs w:val="20"/>
              </w:rPr>
            </w:pPr>
            <w:r w:rsidRPr="00855577">
              <w:rPr>
                <w:sz w:val="20"/>
                <w:szCs w:val="20"/>
              </w:rPr>
              <w:t>n</w:t>
            </w:r>
          </w:p>
        </w:tc>
        <w:tc>
          <w:tcPr>
            <w:tcW w:w="2538" w:type="dxa"/>
            <w:hideMark/>
          </w:tcPr>
          <w:p w:rsidR="00855577" w:rsidRPr="00855577" w:rsidRDefault="00855577" w:rsidP="00855577">
            <w:pPr>
              <w:spacing w:before="0" w:after="0"/>
              <w:ind w:left="0" w:right="0"/>
              <w:cnfStyle w:val="000000000000"/>
              <w:rPr>
                <w:sz w:val="20"/>
                <w:szCs w:val="20"/>
              </w:rPr>
            </w:pPr>
            <w:r w:rsidRPr="00855577">
              <w:rPr>
                <w:sz w:val="20"/>
                <w:szCs w:val="20"/>
              </w:rPr>
              <w:t xml:space="preserve">Mean </w:t>
            </w:r>
            <w:r w:rsidRPr="00855577">
              <w:rPr>
                <w:sz w:val="20"/>
                <w:szCs w:val="20"/>
              </w:rPr>
              <w:sym w:font="Symbol" w:char="00B1"/>
            </w:r>
            <w:r w:rsidRPr="00855577">
              <w:rPr>
                <w:sz w:val="20"/>
                <w:szCs w:val="20"/>
              </w:rPr>
              <w:t xml:space="preserve"> sd (min-max)</w:t>
            </w:r>
          </w:p>
        </w:tc>
        <w:tc>
          <w:tcPr>
            <w:tcW w:w="580" w:type="dxa"/>
            <w:hideMark/>
          </w:tcPr>
          <w:p w:rsidR="00855577" w:rsidRPr="00855577" w:rsidRDefault="00855577" w:rsidP="00855577">
            <w:pPr>
              <w:spacing w:before="0" w:after="0"/>
              <w:ind w:left="0" w:right="0"/>
              <w:cnfStyle w:val="000000000000"/>
              <w:rPr>
                <w:sz w:val="20"/>
                <w:szCs w:val="20"/>
              </w:rPr>
            </w:pPr>
            <w:r w:rsidRPr="00855577">
              <w:rPr>
                <w:sz w:val="20"/>
                <w:szCs w:val="20"/>
              </w:rPr>
              <w:t>n</w:t>
            </w:r>
          </w:p>
        </w:tc>
        <w:tc>
          <w:tcPr>
            <w:tcW w:w="2603" w:type="dxa"/>
            <w:hideMark/>
          </w:tcPr>
          <w:p w:rsidR="00855577" w:rsidRPr="00855577" w:rsidRDefault="00855577" w:rsidP="00855577">
            <w:pPr>
              <w:spacing w:before="0" w:after="0"/>
              <w:ind w:left="0" w:right="0"/>
              <w:cnfStyle w:val="000000000000"/>
              <w:rPr>
                <w:sz w:val="20"/>
                <w:szCs w:val="20"/>
              </w:rPr>
            </w:pPr>
            <w:r w:rsidRPr="00855577">
              <w:rPr>
                <w:sz w:val="20"/>
                <w:szCs w:val="20"/>
              </w:rPr>
              <w:t xml:space="preserve">Mean </w:t>
            </w:r>
            <w:r w:rsidRPr="00855577">
              <w:rPr>
                <w:sz w:val="20"/>
                <w:szCs w:val="20"/>
              </w:rPr>
              <w:sym w:font="Symbol" w:char="00B1"/>
            </w:r>
            <w:r w:rsidRPr="00855577">
              <w:rPr>
                <w:sz w:val="20"/>
                <w:szCs w:val="20"/>
              </w:rPr>
              <w:t xml:space="preserve"> sd (min-max)</w:t>
            </w:r>
          </w:p>
        </w:tc>
        <w:tc>
          <w:tcPr>
            <w:tcW w:w="1592" w:type="dxa"/>
            <w:hideMark/>
          </w:tcPr>
          <w:p w:rsidR="00855577" w:rsidRPr="00855577" w:rsidRDefault="00855577" w:rsidP="00855577">
            <w:pPr>
              <w:spacing w:before="0" w:after="0"/>
              <w:ind w:left="0" w:right="0"/>
              <w:cnfStyle w:val="000000000000"/>
              <w:rPr>
                <w:sz w:val="20"/>
                <w:szCs w:val="20"/>
              </w:rPr>
            </w:pPr>
            <w:r w:rsidRPr="00855577">
              <w:rPr>
                <w:sz w:val="20"/>
                <w:szCs w:val="20"/>
              </w:rPr>
              <w:t>Treat. Pr</w:t>
            </w:r>
            <w:r w:rsidRPr="00855577">
              <w:rPr>
                <w:sz w:val="20"/>
                <w:szCs w:val="20"/>
                <w:vertAlign w:val="superscript"/>
              </w:rPr>
              <w:t>a</w:t>
            </w:r>
          </w:p>
        </w:tc>
      </w:tr>
      <w:tr w:rsidR="00855577" w:rsidRPr="00855577" w:rsidTr="00FD022D">
        <w:tc>
          <w:tcPr>
            <w:cnfStyle w:val="001000000000"/>
            <w:tcW w:w="1375" w:type="dxa"/>
            <w:hideMark/>
          </w:tcPr>
          <w:p w:rsidR="00855577" w:rsidRPr="00855577" w:rsidRDefault="00855577" w:rsidP="00855577">
            <w:pPr>
              <w:spacing w:before="0" w:after="0"/>
              <w:ind w:left="0" w:right="0"/>
              <w:rPr>
                <w:sz w:val="20"/>
                <w:szCs w:val="20"/>
              </w:rPr>
            </w:pPr>
            <w:r>
              <w:rPr>
                <w:sz w:val="20"/>
                <w:szCs w:val="20"/>
              </w:rPr>
              <w:t>SAPS II</w:t>
            </w:r>
          </w:p>
        </w:tc>
        <w:tc>
          <w:tcPr>
            <w:tcW w:w="644" w:type="dxa"/>
            <w:hideMark/>
          </w:tcPr>
          <w:p w:rsidR="00855577" w:rsidRPr="00855577" w:rsidRDefault="00855577" w:rsidP="00855577">
            <w:pPr>
              <w:spacing w:before="0" w:after="0"/>
              <w:ind w:left="0" w:right="0"/>
              <w:cnfStyle w:val="000000000000"/>
              <w:rPr>
                <w:sz w:val="20"/>
                <w:szCs w:val="20"/>
              </w:rPr>
            </w:pPr>
            <w:r w:rsidRPr="00855577">
              <w:rPr>
                <w:sz w:val="20"/>
                <w:szCs w:val="20"/>
              </w:rPr>
              <w:t>2</w:t>
            </w:r>
            <w:r>
              <w:rPr>
                <w:sz w:val="20"/>
                <w:szCs w:val="20"/>
              </w:rPr>
              <w:t>0</w:t>
            </w:r>
          </w:p>
        </w:tc>
        <w:tc>
          <w:tcPr>
            <w:tcW w:w="2538" w:type="dxa"/>
            <w:hideMark/>
          </w:tcPr>
          <w:p w:rsidR="00855577" w:rsidRPr="00855577" w:rsidRDefault="00855577" w:rsidP="00855577">
            <w:pPr>
              <w:spacing w:before="0" w:after="0"/>
              <w:ind w:left="0" w:right="0"/>
              <w:cnfStyle w:val="000000000000"/>
              <w:rPr>
                <w:sz w:val="20"/>
                <w:szCs w:val="20"/>
              </w:rPr>
            </w:pPr>
            <w:r>
              <w:rPr>
                <w:sz w:val="20"/>
                <w:szCs w:val="20"/>
              </w:rPr>
              <w:t>30</w:t>
            </w:r>
            <w:r w:rsidRPr="00855577">
              <w:rPr>
                <w:sz w:val="20"/>
                <w:szCs w:val="20"/>
              </w:rPr>
              <w:t xml:space="preserve">.0 </w:t>
            </w:r>
            <w:r w:rsidRPr="00855577">
              <w:rPr>
                <w:sz w:val="20"/>
                <w:szCs w:val="20"/>
              </w:rPr>
              <w:sym w:font="Symbol" w:char="00B1"/>
            </w:r>
            <w:r>
              <w:rPr>
                <w:sz w:val="20"/>
                <w:szCs w:val="20"/>
              </w:rPr>
              <w:t xml:space="preserve"> 14</w:t>
            </w:r>
            <w:r w:rsidRPr="00855577">
              <w:rPr>
                <w:sz w:val="20"/>
                <w:szCs w:val="20"/>
              </w:rPr>
              <w:t>.</w:t>
            </w:r>
            <w:r>
              <w:rPr>
                <w:sz w:val="20"/>
                <w:szCs w:val="20"/>
              </w:rPr>
              <w:t>8</w:t>
            </w:r>
            <w:r w:rsidRPr="00855577">
              <w:rPr>
                <w:sz w:val="20"/>
                <w:szCs w:val="20"/>
              </w:rPr>
              <w:t xml:space="preserve"> (</w:t>
            </w:r>
            <w:r>
              <w:rPr>
                <w:sz w:val="20"/>
                <w:szCs w:val="20"/>
              </w:rPr>
              <w:t>6</w:t>
            </w:r>
            <w:r w:rsidRPr="00855577">
              <w:rPr>
                <w:sz w:val="20"/>
                <w:szCs w:val="20"/>
              </w:rPr>
              <w:t>-7</w:t>
            </w:r>
            <w:r>
              <w:rPr>
                <w:sz w:val="20"/>
                <w:szCs w:val="20"/>
              </w:rPr>
              <w:t>2</w:t>
            </w:r>
            <w:r w:rsidRPr="00855577">
              <w:rPr>
                <w:sz w:val="20"/>
                <w:szCs w:val="20"/>
              </w:rPr>
              <w:t>)</w:t>
            </w:r>
          </w:p>
        </w:tc>
        <w:tc>
          <w:tcPr>
            <w:tcW w:w="580" w:type="dxa"/>
            <w:hideMark/>
          </w:tcPr>
          <w:p w:rsidR="00855577" w:rsidRPr="00855577" w:rsidRDefault="00855577" w:rsidP="00855577">
            <w:pPr>
              <w:spacing w:before="0" w:after="0"/>
              <w:ind w:left="0" w:right="0"/>
              <w:cnfStyle w:val="000000000000"/>
              <w:rPr>
                <w:sz w:val="20"/>
                <w:szCs w:val="20"/>
              </w:rPr>
            </w:pPr>
            <w:r w:rsidRPr="00855577">
              <w:rPr>
                <w:sz w:val="20"/>
                <w:szCs w:val="20"/>
              </w:rPr>
              <w:t>2</w:t>
            </w:r>
            <w:r>
              <w:rPr>
                <w:sz w:val="20"/>
                <w:szCs w:val="20"/>
              </w:rPr>
              <w:t>2</w:t>
            </w:r>
          </w:p>
        </w:tc>
        <w:tc>
          <w:tcPr>
            <w:tcW w:w="2603" w:type="dxa"/>
            <w:hideMark/>
          </w:tcPr>
          <w:p w:rsidR="00855577" w:rsidRPr="00855577" w:rsidRDefault="00855577" w:rsidP="00855577">
            <w:pPr>
              <w:spacing w:before="0" w:after="0"/>
              <w:ind w:left="0" w:right="0"/>
              <w:cnfStyle w:val="000000000000"/>
              <w:rPr>
                <w:sz w:val="20"/>
                <w:szCs w:val="20"/>
              </w:rPr>
            </w:pPr>
            <w:r>
              <w:rPr>
                <w:sz w:val="20"/>
                <w:szCs w:val="20"/>
              </w:rPr>
              <w:t>29.8</w:t>
            </w:r>
            <w:r w:rsidRPr="00855577">
              <w:rPr>
                <w:sz w:val="20"/>
                <w:szCs w:val="20"/>
              </w:rPr>
              <w:t xml:space="preserve"> </w:t>
            </w:r>
            <w:r w:rsidRPr="00855577">
              <w:rPr>
                <w:sz w:val="20"/>
                <w:szCs w:val="20"/>
              </w:rPr>
              <w:sym w:font="Symbol" w:char="00B1"/>
            </w:r>
            <w:r w:rsidRPr="00855577">
              <w:rPr>
                <w:sz w:val="20"/>
                <w:szCs w:val="20"/>
              </w:rPr>
              <w:t xml:space="preserve"> 1</w:t>
            </w:r>
            <w:r>
              <w:rPr>
                <w:sz w:val="20"/>
                <w:szCs w:val="20"/>
              </w:rPr>
              <w:t>7</w:t>
            </w:r>
            <w:r w:rsidRPr="00855577">
              <w:rPr>
                <w:sz w:val="20"/>
                <w:szCs w:val="20"/>
              </w:rPr>
              <w:t>.</w:t>
            </w:r>
            <w:r>
              <w:rPr>
                <w:sz w:val="20"/>
                <w:szCs w:val="20"/>
              </w:rPr>
              <w:t>4</w:t>
            </w:r>
            <w:r w:rsidRPr="00855577">
              <w:rPr>
                <w:sz w:val="20"/>
                <w:szCs w:val="20"/>
              </w:rPr>
              <w:t xml:space="preserve"> (</w:t>
            </w:r>
            <w:r>
              <w:rPr>
                <w:sz w:val="20"/>
                <w:szCs w:val="20"/>
              </w:rPr>
              <w:t>7</w:t>
            </w:r>
            <w:r w:rsidRPr="00855577">
              <w:rPr>
                <w:sz w:val="20"/>
                <w:szCs w:val="20"/>
              </w:rPr>
              <w:t>-</w:t>
            </w:r>
            <w:r>
              <w:rPr>
                <w:sz w:val="20"/>
                <w:szCs w:val="20"/>
              </w:rPr>
              <w:t>7</w:t>
            </w:r>
            <w:r w:rsidRPr="00855577">
              <w:rPr>
                <w:sz w:val="20"/>
                <w:szCs w:val="20"/>
              </w:rPr>
              <w:t>4)</w:t>
            </w:r>
          </w:p>
        </w:tc>
        <w:tc>
          <w:tcPr>
            <w:tcW w:w="1592" w:type="dxa"/>
            <w:hideMark/>
          </w:tcPr>
          <w:p w:rsidR="00855577" w:rsidRPr="00855577" w:rsidRDefault="00855577" w:rsidP="00855577">
            <w:pPr>
              <w:spacing w:before="0" w:after="0"/>
              <w:ind w:left="0" w:right="0"/>
              <w:cnfStyle w:val="000000000000"/>
              <w:rPr>
                <w:sz w:val="20"/>
                <w:szCs w:val="20"/>
              </w:rPr>
            </w:pPr>
            <w:r>
              <w:rPr>
                <w:sz w:val="20"/>
                <w:szCs w:val="20"/>
              </w:rPr>
              <w:t>W</w:t>
            </w:r>
            <w:r w:rsidRPr="00855577">
              <w:rPr>
                <w:sz w:val="20"/>
                <w:szCs w:val="20"/>
              </w:rPr>
              <w:t>: 0.</w:t>
            </w:r>
            <w:r>
              <w:rPr>
                <w:sz w:val="20"/>
                <w:szCs w:val="20"/>
              </w:rPr>
              <w:t>6</w:t>
            </w:r>
            <w:r w:rsidRPr="00855577">
              <w:rPr>
                <w:sz w:val="20"/>
                <w:szCs w:val="20"/>
              </w:rPr>
              <w:t>7</w:t>
            </w:r>
            <w:r>
              <w:rPr>
                <w:sz w:val="20"/>
                <w:szCs w:val="20"/>
              </w:rPr>
              <w:t>96</w:t>
            </w:r>
          </w:p>
        </w:tc>
      </w:tr>
      <w:tr w:rsidR="00855577" w:rsidRPr="00855577" w:rsidTr="00FD022D">
        <w:tc>
          <w:tcPr>
            <w:cnfStyle w:val="001000000000"/>
            <w:tcW w:w="1375" w:type="dxa"/>
          </w:tcPr>
          <w:p w:rsidR="00855577" w:rsidRPr="00855577" w:rsidRDefault="00855577" w:rsidP="00855577">
            <w:pPr>
              <w:spacing w:before="0" w:after="0"/>
              <w:ind w:left="0"/>
              <w:rPr>
                <w:sz w:val="20"/>
                <w:szCs w:val="20"/>
              </w:rPr>
            </w:pPr>
            <w:r>
              <w:rPr>
                <w:sz w:val="20"/>
                <w:szCs w:val="20"/>
              </w:rPr>
              <w:t>ISS</w:t>
            </w:r>
          </w:p>
        </w:tc>
        <w:tc>
          <w:tcPr>
            <w:tcW w:w="644" w:type="dxa"/>
          </w:tcPr>
          <w:p w:rsidR="00855577" w:rsidRPr="00855577" w:rsidRDefault="00855577" w:rsidP="00855577">
            <w:pPr>
              <w:spacing w:before="0" w:after="0"/>
              <w:ind w:left="0"/>
              <w:cnfStyle w:val="000000000000"/>
              <w:rPr>
                <w:sz w:val="20"/>
                <w:szCs w:val="20"/>
              </w:rPr>
            </w:pPr>
            <w:r>
              <w:rPr>
                <w:sz w:val="20"/>
                <w:szCs w:val="20"/>
              </w:rPr>
              <w:t>5</w:t>
            </w:r>
          </w:p>
        </w:tc>
        <w:tc>
          <w:tcPr>
            <w:tcW w:w="2538" w:type="dxa"/>
          </w:tcPr>
          <w:p w:rsidR="00855577" w:rsidRPr="00855577" w:rsidRDefault="00855577" w:rsidP="00855577">
            <w:pPr>
              <w:spacing w:before="0" w:after="0"/>
              <w:ind w:left="0"/>
              <w:cnfStyle w:val="000000000000"/>
              <w:rPr>
                <w:sz w:val="20"/>
                <w:szCs w:val="20"/>
              </w:rPr>
            </w:pPr>
            <w:r>
              <w:rPr>
                <w:sz w:val="20"/>
                <w:szCs w:val="20"/>
              </w:rPr>
              <w:t xml:space="preserve">38.4 </w:t>
            </w:r>
            <w:r w:rsidRPr="00855577">
              <w:rPr>
                <w:sz w:val="20"/>
                <w:szCs w:val="20"/>
              </w:rPr>
              <w:sym w:font="Symbol" w:char="00B1"/>
            </w:r>
            <w:r>
              <w:rPr>
                <w:sz w:val="20"/>
                <w:szCs w:val="20"/>
              </w:rPr>
              <w:t xml:space="preserve"> 17.2 (25-63)</w:t>
            </w:r>
          </w:p>
        </w:tc>
        <w:tc>
          <w:tcPr>
            <w:tcW w:w="580" w:type="dxa"/>
          </w:tcPr>
          <w:p w:rsidR="00855577" w:rsidRPr="00855577" w:rsidRDefault="00855577" w:rsidP="00855577">
            <w:pPr>
              <w:spacing w:before="0" w:after="0"/>
              <w:ind w:left="0"/>
              <w:cnfStyle w:val="000000000000"/>
              <w:rPr>
                <w:sz w:val="20"/>
                <w:szCs w:val="20"/>
              </w:rPr>
            </w:pPr>
            <w:r>
              <w:rPr>
                <w:sz w:val="20"/>
                <w:szCs w:val="20"/>
              </w:rPr>
              <w:t>6</w:t>
            </w:r>
          </w:p>
        </w:tc>
        <w:tc>
          <w:tcPr>
            <w:tcW w:w="2603" w:type="dxa"/>
          </w:tcPr>
          <w:p w:rsidR="00855577" w:rsidRPr="00855577" w:rsidRDefault="00855577" w:rsidP="00855577">
            <w:pPr>
              <w:spacing w:before="0" w:after="0"/>
              <w:ind w:left="0"/>
              <w:cnfStyle w:val="000000000000"/>
              <w:rPr>
                <w:sz w:val="20"/>
                <w:szCs w:val="20"/>
              </w:rPr>
            </w:pPr>
            <w:r>
              <w:rPr>
                <w:sz w:val="20"/>
                <w:szCs w:val="20"/>
              </w:rPr>
              <w:t>33</w:t>
            </w:r>
            <w:r w:rsidRPr="00855577">
              <w:rPr>
                <w:sz w:val="20"/>
                <w:szCs w:val="20"/>
              </w:rPr>
              <w:t>.</w:t>
            </w:r>
            <w:r>
              <w:rPr>
                <w:sz w:val="20"/>
                <w:szCs w:val="20"/>
              </w:rPr>
              <w:t>7</w:t>
            </w:r>
            <w:r w:rsidRPr="00855577">
              <w:rPr>
                <w:sz w:val="20"/>
                <w:szCs w:val="20"/>
              </w:rPr>
              <w:t xml:space="preserve"> </w:t>
            </w:r>
            <w:r w:rsidRPr="00855577">
              <w:rPr>
                <w:sz w:val="20"/>
                <w:szCs w:val="20"/>
              </w:rPr>
              <w:sym w:font="Symbol" w:char="00B1"/>
            </w:r>
            <w:r w:rsidRPr="00855577">
              <w:rPr>
                <w:sz w:val="20"/>
                <w:szCs w:val="20"/>
              </w:rPr>
              <w:t xml:space="preserve"> </w:t>
            </w:r>
            <w:r>
              <w:rPr>
                <w:sz w:val="20"/>
                <w:szCs w:val="20"/>
              </w:rPr>
              <w:t>9</w:t>
            </w:r>
            <w:r w:rsidRPr="00855577">
              <w:rPr>
                <w:sz w:val="20"/>
                <w:szCs w:val="20"/>
              </w:rPr>
              <w:t>.</w:t>
            </w:r>
            <w:r>
              <w:rPr>
                <w:sz w:val="20"/>
                <w:szCs w:val="20"/>
              </w:rPr>
              <w:t>6</w:t>
            </w:r>
            <w:r w:rsidRPr="00855577">
              <w:rPr>
                <w:sz w:val="20"/>
                <w:szCs w:val="20"/>
              </w:rPr>
              <w:t xml:space="preserve"> (25-</w:t>
            </w:r>
            <w:r>
              <w:rPr>
                <w:sz w:val="20"/>
                <w:szCs w:val="20"/>
              </w:rPr>
              <w:t>50</w:t>
            </w:r>
            <w:r w:rsidRPr="00855577">
              <w:rPr>
                <w:sz w:val="20"/>
                <w:szCs w:val="20"/>
              </w:rPr>
              <w:t>)</w:t>
            </w:r>
          </w:p>
        </w:tc>
        <w:tc>
          <w:tcPr>
            <w:tcW w:w="1592" w:type="dxa"/>
          </w:tcPr>
          <w:p w:rsidR="00855577" w:rsidRPr="00855577" w:rsidRDefault="00855577" w:rsidP="00855577">
            <w:pPr>
              <w:spacing w:before="0" w:after="0"/>
              <w:ind w:left="0"/>
              <w:cnfStyle w:val="000000000000"/>
              <w:rPr>
                <w:sz w:val="20"/>
                <w:szCs w:val="20"/>
              </w:rPr>
            </w:pPr>
            <w:r>
              <w:rPr>
                <w:sz w:val="20"/>
                <w:szCs w:val="20"/>
              </w:rPr>
              <w:t>W: 0.9271</w:t>
            </w:r>
          </w:p>
        </w:tc>
      </w:tr>
    </w:tbl>
    <w:p w:rsidR="00855577" w:rsidRPr="00855577" w:rsidRDefault="00855577" w:rsidP="00C72F55">
      <w:pPr>
        <w:pStyle w:val="TableDescription"/>
      </w:pPr>
      <w:r w:rsidRPr="00855577">
        <w:t>a</w:t>
      </w:r>
      <w:r w:rsidR="00A031C9">
        <w:t>:</w:t>
      </w:r>
      <w:r w:rsidRPr="00855577">
        <w:t xml:space="preserve"> P-value: Two-sided, based on a GLM (General Linear Model) model including treatment main effect for comparing Oliclinisol (Olimel) and Oliclinomel</w:t>
      </w:r>
    </w:p>
    <w:p w:rsidR="00E8640C" w:rsidRPr="00855577" w:rsidRDefault="00C72F55" w:rsidP="00FD022D">
      <w:pPr>
        <w:pStyle w:val="Heading5"/>
      </w:pPr>
      <w:r>
        <w:t>Results</w:t>
      </w:r>
    </w:p>
    <w:p w:rsidR="00E8640C" w:rsidRPr="00855577" w:rsidRDefault="00E8640C" w:rsidP="00855577">
      <w:r w:rsidRPr="00855577">
        <w:t>The total lipid and total glucose were statistically significantly different between groups, but not the Nitrogen intake. Clearly the combined preparations are not as similar as the sponsor claims or the study numbers are too small to rely on the statistics (the population numbers were not statistically justified). The study report favours the former explanation:</w:t>
      </w:r>
    </w:p>
    <w:p w:rsidR="00E8640C" w:rsidRPr="00855577" w:rsidRDefault="00E8640C" w:rsidP="00FD022D">
      <w:pPr>
        <w:ind w:left="720"/>
      </w:pPr>
      <w:r w:rsidRPr="00855577">
        <w:t>The administered macronutrients reflect the differences in composition between Oliclinisol and Oliclinomel: similar nitrogen and total energy intakes were achieved with nearly 10% less volume (26.56 vs. 29.00 ml/kg/d, not statistically significant) but a very similar energy intake (28.4 vs. 29 kcal/kg/d). This resulted in more lipids and less glucose intakes respectively, with also less complementary glucos</w:t>
      </w:r>
      <w:r w:rsidR="00C72F55">
        <w:t>e administered besides the bag.</w:t>
      </w:r>
    </w:p>
    <w:p w:rsidR="00E8640C" w:rsidRPr="00E8640C" w:rsidRDefault="00E8640C" w:rsidP="00E8640C">
      <w:pPr>
        <w:rPr>
          <w:lang w:eastAsia="ja-JP"/>
        </w:rPr>
      </w:pPr>
      <w:r w:rsidRPr="00E8640C">
        <w:rPr>
          <w:lang w:eastAsia="ja-JP"/>
        </w:rPr>
        <w:t>There was a marked difference in the enteral feeding between the groups and the total oral energy intake was a considerable amount (max 24.2 &amp; 25.3 kcal/kg/day) for some patients the means have little relevance given that 14/24 &amp; 16/24 were not</w:t>
      </w:r>
      <w:r w:rsidR="00C72F55">
        <w:rPr>
          <w:lang w:eastAsia="ja-JP"/>
        </w:rPr>
        <w:t xml:space="preserve"> receiving any </w:t>
      </w:r>
      <w:proofErr w:type="spellStart"/>
      <w:r w:rsidR="00C72F55">
        <w:rPr>
          <w:lang w:eastAsia="ja-JP"/>
        </w:rPr>
        <w:t>enteral</w:t>
      </w:r>
      <w:proofErr w:type="spellEnd"/>
      <w:r w:rsidR="00C72F55">
        <w:rPr>
          <w:lang w:eastAsia="ja-JP"/>
        </w:rPr>
        <w:t xml:space="preserve"> feeding.</w:t>
      </w:r>
    </w:p>
    <w:p w:rsidR="00E8640C" w:rsidRPr="00F2203C" w:rsidRDefault="00E8640C" w:rsidP="00C72F55">
      <w:pPr>
        <w:pStyle w:val="TableTitle"/>
      </w:pPr>
      <w:bookmarkStart w:id="43" w:name="_Toc328983412"/>
      <w:proofErr w:type="gramStart"/>
      <w:r w:rsidRPr="00F2203C">
        <w:lastRenderedPageBreak/>
        <w:t xml:space="preserve">Table </w:t>
      </w:r>
      <w:r w:rsidR="002A2CD0">
        <w:t>6</w:t>
      </w:r>
      <w:r w:rsidR="00F2203C" w:rsidRPr="00F2203C">
        <w:t>.</w:t>
      </w:r>
      <w:proofErr w:type="gramEnd"/>
      <w:r w:rsidR="00F2203C" w:rsidRPr="00F2203C">
        <w:t xml:space="preserve"> </w:t>
      </w:r>
      <w:r w:rsidRPr="00F2203C">
        <w:t>Mean Parenteral and Oral/Enteral intakes under treatment – ITT population</w:t>
      </w:r>
      <w:bookmarkEnd w:id="43"/>
    </w:p>
    <w:p w:rsidR="00E8640C" w:rsidRPr="00E8640C" w:rsidRDefault="00E8640C" w:rsidP="00C72F55">
      <w:pPr>
        <w:rPr>
          <w:lang w:eastAsia="ja-JP"/>
        </w:rPr>
      </w:pPr>
      <w:r w:rsidRPr="00E8640C">
        <w:rPr>
          <w:noProof/>
          <w:lang w:eastAsia="en-AU"/>
        </w:rPr>
        <w:drawing>
          <wp:inline distT="0" distB="0" distL="0" distR="0">
            <wp:extent cx="5288452" cy="5161565"/>
            <wp:effectExtent l="19050" t="0" r="7448" b="0"/>
            <wp:docPr id="28" name="Picture 13" descr="Table 6. Mean Parenteral and Oral/Enteral intakes under treatment –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5288784" cy="5161889"/>
                    </a:xfrm>
                    <a:prstGeom prst="rect">
                      <a:avLst/>
                    </a:prstGeom>
                    <a:noFill/>
                    <a:ln w="9525">
                      <a:noFill/>
                      <a:miter lim="800000"/>
                      <a:headEnd/>
                      <a:tailEnd/>
                    </a:ln>
                  </pic:spPr>
                </pic:pic>
              </a:graphicData>
            </a:graphic>
          </wp:inline>
        </w:drawing>
      </w:r>
    </w:p>
    <w:p w:rsidR="00E8640C" w:rsidRPr="00F2203C" w:rsidRDefault="00E8640C" w:rsidP="00C72F55">
      <w:pPr>
        <w:pStyle w:val="TableDescription"/>
      </w:pPr>
      <w:proofErr w:type="gramStart"/>
      <w:r w:rsidRPr="00F2203C">
        <w:t>a</w:t>
      </w:r>
      <w:proofErr w:type="gramEnd"/>
      <w:r w:rsidR="00A031C9">
        <w:t>:</w:t>
      </w:r>
      <w:r w:rsidRPr="00F2203C">
        <w:t xml:space="preserve"> P-value: Two-sided, based on a GLM (General Linear Model) model including treatment main effect for comparing Oliclinisol and Oliclinomel.</w:t>
      </w:r>
    </w:p>
    <w:p w:rsidR="00E8640C" w:rsidRPr="00F2203C" w:rsidRDefault="00E8640C" w:rsidP="00C72F55">
      <w:pPr>
        <w:pStyle w:val="TableTitle"/>
      </w:pPr>
      <w:bookmarkStart w:id="44" w:name="_Toc328983413"/>
      <w:proofErr w:type="gramStart"/>
      <w:r w:rsidRPr="00F2203C">
        <w:t xml:space="preserve">Table </w:t>
      </w:r>
      <w:r w:rsidR="002A2CD0">
        <w:t>7</w:t>
      </w:r>
      <w:r w:rsidR="00F2203C">
        <w:t>.</w:t>
      </w:r>
      <w:proofErr w:type="gramEnd"/>
      <w:r w:rsidR="00F2203C">
        <w:t xml:space="preserve"> </w:t>
      </w:r>
      <w:r w:rsidRPr="00F2203C">
        <w:t>Enteral nutrition amounts during the treatment period grouped by kcal/day– ITT population</w:t>
      </w:r>
      <w:bookmarkEnd w:id="44"/>
    </w:p>
    <w:p w:rsidR="00E8640C" w:rsidRPr="00E8640C" w:rsidRDefault="00E8640C" w:rsidP="00C72F55">
      <w:pPr>
        <w:rPr>
          <w:lang w:eastAsia="ja-JP"/>
        </w:rPr>
      </w:pPr>
      <w:r w:rsidRPr="00E8640C">
        <w:rPr>
          <w:noProof/>
          <w:lang w:eastAsia="en-AU"/>
        </w:rPr>
        <w:drawing>
          <wp:inline distT="0" distB="0" distL="0" distR="0">
            <wp:extent cx="3720737" cy="1370091"/>
            <wp:effectExtent l="19050" t="0" r="0" b="0"/>
            <wp:docPr id="29" name="Picture 14" descr="Table 7. Enteral nutrition amounts during the treatment period grouped by kcal/day–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b="19530"/>
                    <a:stretch>
                      <a:fillRect/>
                    </a:stretch>
                  </pic:blipFill>
                  <pic:spPr bwMode="auto">
                    <a:xfrm>
                      <a:off x="0" y="0"/>
                      <a:ext cx="3718340" cy="1369208"/>
                    </a:xfrm>
                    <a:prstGeom prst="rect">
                      <a:avLst/>
                    </a:prstGeom>
                    <a:noFill/>
                    <a:ln w="9525">
                      <a:noFill/>
                      <a:miter lim="800000"/>
                      <a:headEnd/>
                      <a:tailEnd/>
                    </a:ln>
                  </pic:spPr>
                </pic:pic>
              </a:graphicData>
            </a:graphic>
          </wp:inline>
        </w:drawing>
      </w:r>
    </w:p>
    <w:p w:rsidR="00E8640C" w:rsidRPr="00E8640C" w:rsidRDefault="00F2203C" w:rsidP="00E8640C">
      <w:pPr>
        <w:rPr>
          <w:lang w:eastAsia="ja-JP"/>
        </w:rPr>
      </w:pPr>
      <w:r>
        <w:rPr>
          <w:lang w:eastAsia="ja-JP"/>
        </w:rPr>
        <w:t xml:space="preserve">The different </w:t>
      </w:r>
      <w:r w:rsidR="00E8640C" w:rsidRPr="00E8640C">
        <w:rPr>
          <w:lang w:eastAsia="ja-JP"/>
        </w:rPr>
        <w:t xml:space="preserve">lipid/glucose ratio between Olimel and Oliclinimel should have an effect on nitrogen utilisation according to a submitted </w:t>
      </w:r>
      <w:proofErr w:type="gramStart"/>
      <w:r w:rsidR="00E8640C" w:rsidRPr="00E8640C">
        <w:rPr>
          <w:lang w:eastAsia="ja-JP"/>
        </w:rPr>
        <w:t>reference,</w:t>
      </w:r>
      <w:proofErr w:type="gramEnd"/>
      <w:r w:rsidR="00E8640C" w:rsidRPr="00E8640C">
        <w:rPr>
          <w:vertAlign w:val="superscript"/>
          <w:lang w:eastAsia="ja-JP"/>
        </w:rPr>
        <w:footnoteReference w:id="2"/>
      </w:r>
      <w:r w:rsidR="00E8640C" w:rsidRPr="00E8640C">
        <w:rPr>
          <w:lang w:eastAsia="ja-JP"/>
        </w:rPr>
        <w:t xml:space="preserve"> however no difference could be shown in transthyretin levels, suggesting the numbers in the study were too small to detect a difference. </w:t>
      </w:r>
    </w:p>
    <w:p w:rsidR="00E8640C" w:rsidRPr="00E8640C" w:rsidRDefault="00E8640C" w:rsidP="00C72F55">
      <w:pPr>
        <w:pStyle w:val="TableTitle"/>
        <w:rPr>
          <w:lang w:eastAsia="ja-JP"/>
        </w:rPr>
      </w:pPr>
      <w:bookmarkStart w:id="45" w:name="_Toc328983414"/>
      <w:r w:rsidRPr="00E8640C">
        <w:rPr>
          <w:lang w:eastAsia="ja-JP"/>
        </w:rPr>
        <w:lastRenderedPageBreak/>
        <w:t xml:space="preserve">Table </w:t>
      </w:r>
      <w:r w:rsidR="002A2CD0">
        <w:rPr>
          <w:lang w:eastAsia="ja-JP"/>
        </w:rPr>
        <w:t>8</w:t>
      </w:r>
      <w:r w:rsidR="00F2203C">
        <w:rPr>
          <w:lang w:eastAsia="ja-JP"/>
        </w:rPr>
        <w:t>.</w:t>
      </w:r>
      <w:r w:rsidRPr="00E8640C">
        <w:rPr>
          <w:lang w:eastAsia="ja-JP"/>
        </w:rPr>
        <w:t xml:space="preserve"> Transthyretin (g/L) evolution during treatment period</w:t>
      </w:r>
      <w:bookmarkEnd w:id="45"/>
    </w:p>
    <w:p w:rsidR="00E8640C" w:rsidRPr="00E8640C" w:rsidRDefault="00E8640C" w:rsidP="00C72F55">
      <w:pPr>
        <w:rPr>
          <w:lang w:eastAsia="ja-JP"/>
        </w:rPr>
      </w:pPr>
      <w:r w:rsidRPr="00E8640C">
        <w:rPr>
          <w:noProof/>
          <w:lang w:eastAsia="en-AU"/>
        </w:rPr>
        <w:drawing>
          <wp:inline distT="0" distB="0" distL="0" distR="0">
            <wp:extent cx="5923280" cy="1188720"/>
            <wp:effectExtent l="19050" t="0" r="1270" b="0"/>
            <wp:docPr id="30" name="Picture 15" descr="Table 8. Transthyretin (g/L) evolution during treatm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5923280" cy="1188720"/>
                    </a:xfrm>
                    <a:prstGeom prst="rect">
                      <a:avLst/>
                    </a:prstGeom>
                    <a:noFill/>
                    <a:ln w="9525">
                      <a:noFill/>
                      <a:miter lim="800000"/>
                      <a:headEnd/>
                      <a:tailEnd/>
                    </a:ln>
                  </pic:spPr>
                </pic:pic>
              </a:graphicData>
            </a:graphic>
          </wp:inline>
        </w:drawing>
      </w:r>
    </w:p>
    <w:p w:rsidR="00E8640C" w:rsidRPr="00F2203C" w:rsidRDefault="00E8640C" w:rsidP="00C72F55">
      <w:pPr>
        <w:pStyle w:val="TableDescription"/>
        <w:rPr>
          <w:lang w:eastAsia="ja-JP"/>
        </w:rPr>
      </w:pPr>
      <w:proofErr w:type="gramStart"/>
      <w:r w:rsidRPr="00F2203C">
        <w:rPr>
          <w:vertAlign w:val="superscript"/>
          <w:lang w:eastAsia="ja-JP"/>
        </w:rPr>
        <w:t>a</w:t>
      </w:r>
      <w:proofErr w:type="gramEnd"/>
      <w:r w:rsidRPr="00F2203C">
        <w:rPr>
          <w:lang w:eastAsia="ja-JP"/>
        </w:rPr>
        <w:t xml:space="preserve"> Model: Two-sided, based on a GLM (General Linear Model) model including treatment main effect and baseline value as covariate for comparing Oliclinisol and Oliclinomel.</w:t>
      </w:r>
    </w:p>
    <w:p w:rsidR="00E8640C" w:rsidRPr="00E8640C" w:rsidRDefault="00E8640C" w:rsidP="00E8640C">
      <w:pPr>
        <w:rPr>
          <w:lang w:eastAsia="ja-JP"/>
        </w:rPr>
      </w:pPr>
      <w:r w:rsidRPr="00E8640C">
        <w:rPr>
          <w:lang w:eastAsia="ja-JP"/>
        </w:rPr>
        <w:t>While the sponsor argues Efficacy analysis on PP and ITT populations shows no difference, the small population numbers were not justified statistically, the power of the study was not indicated, the significance of the p value in relation to similarity of outcomes is uncertain.</w:t>
      </w:r>
    </w:p>
    <w:p w:rsidR="00E8640C" w:rsidRPr="00E82DEB" w:rsidRDefault="00E82DEB" w:rsidP="00E82DEB">
      <w:pPr>
        <w:pStyle w:val="Heading3"/>
      </w:pPr>
      <w:bookmarkStart w:id="46" w:name="_Toc328983363"/>
      <w:bookmarkStart w:id="47" w:name="_Toc370730601"/>
      <w:r>
        <w:t>E</w:t>
      </w:r>
      <w:r w:rsidRPr="00E82DEB">
        <w:t>fficacy of individual components</w:t>
      </w:r>
      <w:bookmarkEnd w:id="46"/>
      <w:bookmarkEnd w:id="47"/>
    </w:p>
    <w:p w:rsidR="00E8640C" w:rsidRPr="00E82DEB" w:rsidRDefault="00C72F55" w:rsidP="000C2915">
      <w:pPr>
        <w:pStyle w:val="Heading4"/>
      </w:pPr>
      <w:bookmarkStart w:id="48" w:name="_Toc328983364"/>
      <w:r>
        <w:t>15% Amino a</w:t>
      </w:r>
      <w:r w:rsidR="00E8640C" w:rsidRPr="00E82DEB">
        <w:t xml:space="preserve">cid </w:t>
      </w:r>
      <w:r>
        <w:t>c</w:t>
      </w:r>
      <w:r w:rsidR="00E8640C" w:rsidRPr="00E82DEB">
        <w:t>omponent (</w:t>
      </w:r>
      <w:proofErr w:type="spellStart"/>
      <w:r w:rsidR="00E8640C" w:rsidRPr="00E82DEB">
        <w:t>Clinisol</w:t>
      </w:r>
      <w:proofErr w:type="spellEnd"/>
      <w:r w:rsidR="00E8640C" w:rsidRPr="00E82DEB">
        <w:t>)</w:t>
      </w:r>
      <w:bookmarkEnd w:id="48"/>
    </w:p>
    <w:p w:rsidR="00E8640C" w:rsidRPr="00E82DEB" w:rsidRDefault="00E8640C" w:rsidP="00E82DEB">
      <w:r w:rsidRPr="00E82DEB">
        <w:t>There were no studies of the use of Clinisol submitted. Instead an apparently unjustified</w:t>
      </w:r>
      <w:r w:rsidRPr="00E82DEB">
        <w:rPr>
          <w:vertAlign w:val="superscript"/>
        </w:rPr>
        <w:footnoteReference w:id="3"/>
      </w:r>
      <w:r w:rsidRPr="00E82DEB">
        <w:t xml:space="preserve"> selection of literature trial reports was submitted. It included only one study with 15% amino acids while it also included some studies outside the age group proposed. One literature study used Synthamin 17 and together with the sponsor the authors described it as it as 17%</w:t>
      </w:r>
      <w:r w:rsidRPr="00E82DEB">
        <w:rPr>
          <w:vertAlign w:val="superscript"/>
        </w:rPr>
        <w:footnoteReference w:id="4"/>
      </w:r>
      <w:r w:rsidRPr="00E82DEB">
        <w:t>. The product on the ARTG and the sponsor’s website is 10% amino acids.</w:t>
      </w:r>
    </w:p>
    <w:p w:rsidR="00E8640C" w:rsidRPr="00E82DEB" w:rsidRDefault="00E8640C" w:rsidP="00E82DEB">
      <w:pPr>
        <w:pStyle w:val="Heading5"/>
      </w:pPr>
      <w:r w:rsidRPr="00E82DEB">
        <w:t>Study Broyles JE et al.</w:t>
      </w:r>
    </w:p>
    <w:p w:rsidR="00E8640C" w:rsidRPr="00E82DEB" w:rsidRDefault="00E8640C" w:rsidP="00C72F55">
      <w:r w:rsidRPr="00E82DEB">
        <w:t>Fluid Balance in Fluid-restricted Patients Receiving 10% Amino acids or 15% Amino acids as Part of Parenteral Nutrition</w:t>
      </w:r>
      <w:r w:rsidR="00E82DEB">
        <w:t>.</w:t>
      </w:r>
      <w:r w:rsidRPr="00E82DEB">
        <w:t xml:space="preserve"> </w:t>
      </w:r>
      <w:r w:rsidRPr="00E82DEB">
        <w:rPr>
          <w:i/>
          <w:iCs/>
        </w:rPr>
        <w:t>Hosp Pharm</w:t>
      </w:r>
      <w:r w:rsidRPr="00E82DEB">
        <w:t>, 24: 995-998; 1989.</w:t>
      </w:r>
    </w:p>
    <w:p w:rsidR="00E8640C" w:rsidRPr="00E8640C" w:rsidRDefault="00E8640C" w:rsidP="000C2915">
      <w:pPr>
        <w:pStyle w:val="Heading6"/>
        <w:rPr>
          <w:lang w:eastAsia="ja-JP"/>
        </w:rPr>
      </w:pPr>
      <w:r w:rsidRPr="00E8640C">
        <w:rPr>
          <w:lang w:eastAsia="ja-JP"/>
        </w:rPr>
        <w:t>Design, objectives, locations and dates</w:t>
      </w:r>
    </w:p>
    <w:p w:rsidR="00E8640C" w:rsidRPr="00E8640C" w:rsidRDefault="005356F1" w:rsidP="00E8640C">
      <w:pPr>
        <w:rPr>
          <w:lang w:eastAsia="ja-JP"/>
        </w:rPr>
      </w:pPr>
      <w:r>
        <w:rPr>
          <w:lang w:eastAsia="ja-JP"/>
        </w:rPr>
        <w:t xml:space="preserve">This </w:t>
      </w:r>
      <w:r w:rsidR="00E8640C" w:rsidRPr="00E8640C">
        <w:rPr>
          <w:lang w:eastAsia="ja-JP"/>
        </w:rPr>
        <w:t>study</w:t>
      </w:r>
      <w:r>
        <w:rPr>
          <w:lang w:eastAsia="ja-JP"/>
        </w:rPr>
        <w:t xml:space="preserve"> </w:t>
      </w:r>
      <w:r w:rsidR="00E8640C" w:rsidRPr="00E8640C">
        <w:rPr>
          <w:lang w:eastAsia="ja-JP"/>
        </w:rPr>
        <w:t>compared the use of a 15% amino acid solution to a 10% amino acid solution as part of parenteral Nutrition in fluid-restricted patients.</w:t>
      </w:r>
    </w:p>
    <w:p w:rsidR="00E8640C" w:rsidRPr="00E8640C" w:rsidRDefault="00E8640C" w:rsidP="00E8640C">
      <w:pPr>
        <w:rPr>
          <w:lang w:eastAsia="ja-JP"/>
        </w:rPr>
      </w:pPr>
      <w:r w:rsidRPr="00E8640C">
        <w:rPr>
          <w:lang w:eastAsia="ja-JP"/>
        </w:rPr>
        <w:t>Randomised, parallel groups study for 7-14 days in fluid-restricted ICU patients. Conducted over 9 months in 2 centres in US, study dates not given.</w:t>
      </w:r>
    </w:p>
    <w:p w:rsidR="00E8640C" w:rsidRPr="00E8640C" w:rsidRDefault="00E8640C" w:rsidP="000C2915">
      <w:pPr>
        <w:pStyle w:val="Heading6"/>
        <w:rPr>
          <w:lang w:eastAsia="ja-JP"/>
        </w:rPr>
      </w:pPr>
      <w:r w:rsidRPr="00E8640C">
        <w:rPr>
          <w:lang w:eastAsia="ja-JP"/>
        </w:rPr>
        <w:t>Inclusion criteria</w:t>
      </w:r>
    </w:p>
    <w:p w:rsidR="00E8640C" w:rsidRPr="00E8640C" w:rsidRDefault="00E8640C" w:rsidP="00E8640C">
      <w:pPr>
        <w:rPr>
          <w:lang w:eastAsia="ja-JP"/>
        </w:rPr>
      </w:pPr>
      <w:r w:rsidRPr="00E8640C">
        <w:rPr>
          <w:lang w:eastAsia="ja-JP"/>
        </w:rPr>
        <w:t>All ICU patients receiving PN during a 9 month period were considered.</w:t>
      </w:r>
    </w:p>
    <w:p w:rsidR="00E8640C" w:rsidRPr="00E82DEB" w:rsidRDefault="00E8640C" w:rsidP="00E82DEB">
      <w:r w:rsidRPr="00E82DEB">
        <w:t>Patients were to be judged to be i</w:t>
      </w:r>
      <w:r w:rsidR="00C72F55">
        <w:t>n need of fluid restriction by:</w:t>
      </w:r>
    </w:p>
    <w:p w:rsidR="00E8640C" w:rsidRPr="00E82DEB" w:rsidRDefault="00E8640C" w:rsidP="00E82DEB">
      <w:pPr>
        <w:pStyle w:val="Numberbullet0"/>
      </w:pPr>
      <w:r w:rsidRPr="00E82DEB">
        <w:t xml:space="preserve">they had a condition in which fluid restriction was an accepted </w:t>
      </w:r>
      <w:r w:rsidR="00A031C9">
        <w:t>treatment (e.g. SIADH, ARDS, or</w:t>
      </w:r>
      <w:r w:rsidR="00C72F55">
        <w:t xml:space="preserve"> CHF);</w:t>
      </w:r>
    </w:p>
    <w:p w:rsidR="00E8640C" w:rsidRPr="00E82DEB" w:rsidRDefault="00E8640C" w:rsidP="00E82DEB">
      <w:pPr>
        <w:pStyle w:val="Numberbullet0"/>
      </w:pPr>
      <w:proofErr w:type="gramStart"/>
      <w:r w:rsidRPr="00E82DEB">
        <w:t>they</w:t>
      </w:r>
      <w:proofErr w:type="gramEnd"/>
      <w:r w:rsidRPr="00E82DEB">
        <w:t xml:space="preserve"> had elevated central venous pressure or pulmonary capillary wedge pressure; or they were receiving a volume of intravenous antibiotics, pressor agents, blood products, or other fluids which would make the administration of optimal PN improbable.</w:t>
      </w:r>
    </w:p>
    <w:p w:rsidR="00E8640C" w:rsidRPr="00E8640C" w:rsidRDefault="00E8640C" w:rsidP="000C2915">
      <w:pPr>
        <w:pStyle w:val="Heading6"/>
        <w:rPr>
          <w:lang w:eastAsia="ja-JP"/>
        </w:rPr>
      </w:pPr>
      <w:r w:rsidRPr="00E8640C">
        <w:rPr>
          <w:lang w:eastAsia="ja-JP"/>
        </w:rPr>
        <w:t>Exclusion criteria</w:t>
      </w:r>
    </w:p>
    <w:p w:rsidR="00E8640C" w:rsidRPr="00E8640C" w:rsidRDefault="00E8640C" w:rsidP="00E8640C">
      <w:pPr>
        <w:rPr>
          <w:lang w:eastAsia="ja-JP"/>
        </w:rPr>
      </w:pPr>
      <w:r w:rsidRPr="00E8640C">
        <w:rPr>
          <w:lang w:eastAsia="ja-JP"/>
        </w:rPr>
        <w:t>Patients were excluded from the study if they were suffering from acute oliguric renal failure or severe liver failure.</w:t>
      </w:r>
    </w:p>
    <w:p w:rsidR="00E8640C" w:rsidRPr="00E8640C" w:rsidRDefault="00E8640C" w:rsidP="000C2915">
      <w:pPr>
        <w:pStyle w:val="Heading6"/>
        <w:rPr>
          <w:lang w:eastAsia="ja-JP"/>
        </w:rPr>
      </w:pPr>
      <w:r w:rsidRPr="00E8640C">
        <w:rPr>
          <w:lang w:eastAsia="ja-JP"/>
        </w:rPr>
        <w:t>Study treatments</w:t>
      </w:r>
    </w:p>
    <w:p w:rsidR="00E8640C" w:rsidRPr="000C2915" w:rsidRDefault="00E8640C" w:rsidP="000C2915">
      <w:r w:rsidRPr="000C2915">
        <w:t>Patients were assigned</w:t>
      </w:r>
      <w:r w:rsidR="00C72F55">
        <w:t xml:space="preserve"> to one of two PN formulations:</w:t>
      </w:r>
    </w:p>
    <w:p w:rsidR="00E8640C" w:rsidRPr="000C2915" w:rsidRDefault="00E8640C" w:rsidP="000C2915">
      <w:pPr>
        <w:pStyle w:val="ListBullet"/>
      </w:pPr>
      <w:r w:rsidRPr="000C2915">
        <w:lastRenderedPageBreak/>
        <w:t>500mL of 70% dextrose a</w:t>
      </w:r>
      <w:r w:rsidR="00C72F55">
        <w:t>nd 500mL of 10% amino acids, or</w:t>
      </w:r>
    </w:p>
    <w:p w:rsidR="00E8640C" w:rsidRPr="000C2915" w:rsidRDefault="00E8640C" w:rsidP="000C2915">
      <w:pPr>
        <w:pStyle w:val="ListBullet"/>
      </w:pPr>
      <w:r w:rsidRPr="000C2915">
        <w:t>500mL of 70% dextros</w:t>
      </w:r>
      <w:r w:rsidR="00C72F55">
        <w:t>e and 335mL of 15% amino acids.</w:t>
      </w:r>
    </w:p>
    <w:p w:rsidR="00E8640C" w:rsidRPr="000C2915" w:rsidRDefault="00E8640C" w:rsidP="000C2915">
      <w:r w:rsidRPr="000C2915">
        <w:t>These formulas were isonitrogeoous and isocaloric; ho</w:t>
      </w:r>
      <w:r w:rsidR="00C72F55">
        <w:t>wever, they differed in volume.</w:t>
      </w:r>
    </w:p>
    <w:p w:rsidR="00E8640C" w:rsidRPr="000C2915" w:rsidRDefault="00E8640C" w:rsidP="000C2915">
      <w:r w:rsidRPr="000C2915">
        <w:t>PN was initiated at 25-50 mL/hour and advanced as tolerated to a protein goal of 1.0gram/kg/day and an energy goal of 30kcal/kg/day.</w:t>
      </w:r>
    </w:p>
    <w:p w:rsidR="00E8640C" w:rsidRPr="000C2915" w:rsidRDefault="00E8640C" w:rsidP="000C2915">
      <w:r w:rsidRPr="000C2915">
        <w:t>PN intake was then adjusted based on the patient's volume status and urine urea nitrogen excretion. Electrolytes were added to the PN solutions to maintain normal serum concentrations. Vitamins and trace elements were given daily as recommended by the Nutrition Advisory Group of th</w:t>
      </w:r>
      <w:r w:rsidR="00C72F55">
        <w:t>e American Medical Association.</w:t>
      </w:r>
    </w:p>
    <w:p w:rsidR="00E8640C" w:rsidRPr="000C2915" w:rsidRDefault="00E8640C" w:rsidP="000C2915">
      <w:r w:rsidRPr="000C2915">
        <w:t>Intravenous fat emulsions were given either:</w:t>
      </w:r>
    </w:p>
    <w:p w:rsidR="00E8640C" w:rsidRPr="000C2915" w:rsidRDefault="00E8640C" w:rsidP="000C2915">
      <w:pPr>
        <w:pStyle w:val="ListBullet"/>
      </w:pPr>
      <w:r w:rsidRPr="000C2915">
        <w:t>two times weekly to prevent esse</w:t>
      </w:r>
      <w:r w:rsidR="00C72F55">
        <w:t>ntial fatty acid deficiency, or</w:t>
      </w:r>
    </w:p>
    <w:p w:rsidR="00E8640C" w:rsidRPr="000C2915" w:rsidRDefault="00E8640C" w:rsidP="000C2915">
      <w:pPr>
        <w:pStyle w:val="ListBullet"/>
      </w:pPr>
      <w:proofErr w:type="gramStart"/>
      <w:r w:rsidRPr="000C2915">
        <w:t>continuously</w:t>
      </w:r>
      <w:proofErr w:type="gramEnd"/>
      <w:r w:rsidRPr="000C2915">
        <w:t xml:space="preserve"> as a caloric source, depending on the cli</w:t>
      </w:r>
      <w:r w:rsidR="00C72F55">
        <w:t>nical condition of the patient.</w:t>
      </w:r>
    </w:p>
    <w:p w:rsidR="00E8640C" w:rsidRPr="000C2915" w:rsidRDefault="00E8640C" w:rsidP="000C2915">
      <w:r w:rsidRPr="000C2915">
        <w:t xml:space="preserve">Patients were studied for a minimum of </w:t>
      </w:r>
      <w:r w:rsidR="00C72F55">
        <w:t>7 days and a maximum of 14days.</w:t>
      </w:r>
    </w:p>
    <w:p w:rsidR="00E8640C" w:rsidRPr="000C2915" w:rsidRDefault="00E8640C" w:rsidP="00C72F55">
      <w:pPr>
        <w:pStyle w:val="TableTitle"/>
      </w:pPr>
      <w:bookmarkStart w:id="49" w:name="_Toc328983415"/>
      <w:proofErr w:type="gramStart"/>
      <w:r w:rsidRPr="000C2915">
        <w:t xml:space="preserve">Table </w:t>
      </w:r>
      <w:r w:rsidR="002A2CD0">
        <w:t>9</w:t>
      </w:r>
      <w:r w:rsidR="000C2915">
        <w:t>.</w:t>
      </w:r>
      <w:proofErr w:type="gramEnd"/>
      <w:r w:rsidRPr="000C2915">
        <w:t xml:space="preserve"> Amino Acid Preparations comparison of Proposed (Clinisol) and Study (Novamine) preparations (per 1L)</w:t>
      </w:r>
      <w:bookmarkEnd w:id="49"/>
    </w:p>
    <w:tbl>
      <w:tblPr>
        <w:tblStyle w:val="TableTGAblue"/>
        <w:tblW w:w="0" w:type="auto"/>
        <w:tblInd w:w="108" w:type="dxa"/>
        <w:tblLook w:val="04A0"/>
      </w:tblPr>
      <w:tblGrid>
        <w:gridCol w:w="1784"/>
        <w:gridCol w:w="1580"/>
        <w:gridCol w:w="1881"/>
      </w:tblGrid>
      <w:tr w:rsidR="00E8640C" w:rsidRPr="00E8640C" w:rsidTr="00C72F55">
        <w:trPr>
          <w:cnfStyle w:val="100000000000"/>
          <w:tblHeader/>
        </w:trPr>
        <w:tc>
          <w:tcPr>
            <w:cnfStyle w:val="001000000000"/>
            <w:tcW w:w="1784" w:type="dxa"/>
          </w:tcPr>
          <w:p w:rsidR="00E8640C" w:rsidRPr="00A031C9" w:rsidRDefault="00E8640C" w:rsidP="000C2915">
            <w:pPr>
              <w:spacing w:before="0" w:after="0" w:line="240" w:lineRule="auto"/>
              <w:rPr>
                <w:b w:val="0"/>
                <w:bCs/>
                <w:sz w:val="20"/>
                <w:szCs w:val="20"/>
                <w:lang w:eastAsia="ja-JP"/>
              </w:rPr>
            </w:pPr>
          </w:p>
        </w:tc>
        <w:tc>
          <w:tcPr>
            <w:tcW w:w="1580" w:type="dxa"/>
          </w:tcPr>
          <w:p w:rsidR="00E8640C" w:rsidRPr="00A031C9" w:rsidRDefault="00E8640C" w:rsidP="000C2915">
            <w:pPr>
              <w:spacing w:before="0" w:after="0" w:line="240" w:lineRule="auto"/>
              <w:cnfStyle w:val="100000000000"/>
              <w:rPr>
                <w:bCs/>
                <w:sz w:val="20"/>
                <w:szCs w:val="20"/>
                <w:lang w:eastAsia="ja-JP"/>
              </w:rPr>
            </w:pPr>
            <w:r w:rsidRPr="00A031C9">
              <w:rPr>
                <w:bCs/>
                <w:sz w:val="20"/>
                <w:szCs w:val="20"/>
                <w:lang w:eastAsia="ja-JP"/>
              </w:rPr>
              <w:t>Novamine</w:t>
            </w:r>
          </w:p>
        </w:tc>
        <w:tc>
          <w:tcPr>
            <w:tcW w:w="1881" w:type="dxa"/>
          </w:tcPr>
          <w:p w:rsidR="00E8640C" w:rsidRPr="00A031C9" w:rsidRDefault="00E8640C" w:rsidP="000C2915">
            <w:pPr>
              <w:spacing w:before="0" w:after="0" w:line="240" w:lineRule="auto"/>
              <w:cnfStyle w:val="100000000000"/>
              <w:rPr>
                <w:sz w:val="20"/>
                <w:szCs w:val="20"/>
                <w:lang w:eastAsia="ja-JP"/>
              </w:rPr>
            </w:pPr>
            <w:r w:rsidRPr="00A031C9">
              <w:rPr>
                <w:sz w:val="20"/>
                <w:szCs w:val="20"/>
                <w:lang w:eastAsia="ja-JP"/>
              </w:rPr>
              <w:t>15% Clinisol</w:t>
            </w:r>
          </w:p>
        </w:tc>
      </w:tr>
      <w:tr w:rsidR="00E8640C" w:rsidRPr="00E8640C" w:rsidTr="000C2915">
        <w:tc>
          <w:tcPr>
            <w:cnfStyle w:val="001000000000"/>
            <w:tcW w:w="5245" w:type="dxa"/>
            <w:gridSpan w:val="3"/>
          </w:tcPr>
          <w:p w:rsidR="00E8640C" w:rsidRPr="00A031C9" w:rsidRDefault="00E8640C" w:rsidP="000C2915">
            <w:pPr>
              <w:spacing w:before="0" w:after="0" w:line="240" w:lineRule="auto"/>
              <w:rPr>
                <w:sz w:val="20"/>
                <w:szCs w:val="20"/>
                <w:lang w:eastAsia="ja-JP"/>
              </w:rPr>
            </w:pPr>
            <w:r w:rsidRPr="00A031C9">
              <w:rPr>
                <w:b/>
                <w:bCs/>
                <w:sz w:val="20"/>
                <w:szCs w:val="20"/>
                <w:lang w:eastAsia="ja-JP"/>
              </w:rPr>
              <w:t>Essential Amino Acids</w:t>
            </w:r>
          </w:p>
        </w:tc>
      </w:tr>
      <w:tr w:rsidR="00E8640C" w:rsidRPr="00E8640C" w:rsidTr="000C2915">
        <w:tc>
          <w:tcPr>
            <w:cnfStyle w:val="001000000000"/>
            <w:tcW w:w="1784" w:type="dxa"/>
          </w:tcPr>
          <w:p w:rsidR="00E8640C" w:rsidRPr="00A031C9" w:rsidRDefault="00E8640C" w:rsidP="000C2915">
            <w:pPr>
              <w:spacing w:before="0" w:after="0" w:line="240" w:lineRule="auto"/>
              <w:rPr>
                <w:sz w:val="20"/>
                <w:szCs w:val="20"/>
                <w:lang w:eastAsia="ja-JP"/>
              </w:rPr>
            </w:pPr>
            <w:r w:rsidRPr="00A031C9">
              <w:rPr>
                <w:sz w:val="20"/>
                <w:szCs w:val="20"/>
                <w:lang w:eastAsia="ja-JP"/>
              </w:rPr>
              <w:t xml:space="preserve">Lysine </w:t>
            </w:r>
          </w:p>
        </w:tc>
        <w:tc>
          <w:tcPr>
            <w:tcW w:w="1580" w:type="dxa"/>
          </w:tcPr>
          <w:p w:rsidR="00E8640C" w:rsidRPr="00A031C9" w:rsidRDefault="00E8640C" w:rsidP="000C2915">
            <w:pPr>
              <w:spacing w:before="0" w:after="0" w:line="240" w:lineRule="auto"/>
              <w:cnfStyle w:val="000000000000"/>
              <w:rPr>
                <w:sz w:val="20"/>
                <w:szCs w:val="20"/>
                <w:lang w:eastAsia="ja-JP"/>
              </w:rPr>
            </w:pPr>
            <w:r w:rsidRPr="00A031C9">
              <w:rPr>
                <w:sz w:val="20"/>
                <w:szCs w:val="20"/>
                <w:lang w:eastAsia="ja-JP"/>
              </w:rPr>
              <w:t>11.80g</w:t>
            </w:r>
          </w:p>
        </w:tc>
        <w:tc>
          <w:tcPr>
            <w:tcW w:w="1881" w:type="dxa"/>
          </w:tcPr>
          <w:p w:rsidR="00E8640C" w:rsidRPr="00A031C9" w:rsidRDefault="00E8640C" w:rsidP="000C2915">
            <w:pPr>
              <w:spacing w:before="0" w:after="0" w:line="240" w:lineRule="auto"/>
              <w:cnfStyle w:val="000000000000"/>
              <w:rPr>
                <w:sz w:val="20"/>
                <w:szCs w:val="20"/>
                <w:lang w:eastAsia="ja-JP"/>
              </w:rPr>
            </w:pPr>
            <w:r w:rsidRPr="00A031C9">
              <w:rPr>
                <w:sz w:val="20"/>
                <w:szCs w:val="20"/>
                <w:lang w:eastAsia="ja-JP"/>
              </w:rPr>
              <w:t>11.8g</w:t>
            </w:r>
          </w:p>
        </w:tc>
      </w:tr>
      <w:tr w:rsidR="00E8640C" w:rsidRPr="00E8640C" w:rsidTr="000C2915">
        <w:tc>
          <w:tcPr>
            <w:cnfStyle w:val="001000000000"/>
            <w:tcW w:w="1784" w:type="dxa"/>
          </w:tcPr>
          <w:p w:rsidR="00E8640C" w:rsidRPr="00A031C9" w:rsidRDefault="00E8640C" w:rsidP="000C2915">
            <w:pPr>
              <w:spacing w:before="0" w:after="0" w:line="240" w:lineRule="auto"/>
              <w:rPr>
                <w:sz w:val="20"/>
                <w:szCs w:val="20"/>
                <w:lang w:eastAsia="ja-JP"/>
              </w:rPr>
            </w:pPr>
            <w:r w:rsidRPr="00A031C9">
              <w:rPr>
                <w:sz w:val="20"/>
                <w:szCs w:val="20"/>
                <w:lang w:eastAsia="ja-JP"/>
              </w:rPr>
              <w:t>Leucine</w:t>
            </w:r>
          </w:p>
        </w:tc>
        <w:tc>
          <w:tcPr>
            <w:tcW w:w="1580" w:type="dxa"/>
          </w:tcPr>
          <w:p w:rsidR="00E8640C" w:rsidRPr="00A031C9" w:rsidRDefault="00E8640C" w:rsidP="000C2915">
            <w:pPr>
              <w:spacing w:before="0" w:after="0" w:line="240" w:lineRule="auto"/>
              <w:cnfStyle w:val="000000000000"/>
              <w:rPr>
                <w:sz w:val="20"/>
                <w:szCs w:val="20"/>
                <w:lang w:eastAsia="ja-JP"/>
              </w:rPr>
            </w:pPr>
            <w:r w:rsidRPr="00A031C9">
              <w:rPr>
                <w:sz w:val="20"/>
                <w:szCs w:val="20"/>
                <w:lang w:eastAsia="ja-JP"/>
              </w:rPr>
              <w:t>10.40g</w:t>
            </w:r>
          </w:p>
        </w:tc>
        <w:tc>
          <w:tcPr>
            <w:tcW w:w="1881" w:type="dxa"/>
          </w:tcPr>
          <w:p w:rsidR="00E8640C" w:rsidRPr="00A031C9" w:rsidRDefault="00E8640C" w:rsidP="000C2915">
            <w:pPr>
              <w:spacing w:before="0" w:after="0" w:line="240" w:lineRule="auto"/>
              <w:cnfStyle w:val="000000000000"/>
              <w:rPr>
                <w:sz w:val="20"/>
                <w:szCs w:val="20"/>
                <w:lang w:eastAsia="ja-JP"/>
              </w:rPr>
            </w:pPr>
            <w:r w:rsidRPr="00A031C9">
              <w:rPr>
                <w:sz w:val="20"/>
                <w:szCs w:val="20"/>
                <w:lang w:eastAsia="ja-JP"/>
              </w:rPr>
              <w:t>10.4g</w:t>
            </w:r>
          </w:p>
        </w:tc>
      </w:tr>
      <w:tr w:rsidR="00E8640C" w:rsidRPr="00E8640C" w:rsidTr="000C2915">
        <w:tc>
          <w:tcPr>
            <w:cnfStyle w:val="001000000000"/>
            <w:tcW w:w="1784" w:type="dxa"/>
          </w:tcPr>
          <w:p w:rsidR="00E8640C" w:rsidRPr="00A031C9" w:rsidRDefault="00E8640C" w:rsidP="000C2915">
            <w:pPr>
              <w:spacing w:before="0" w:after="0" w:line="240" w:lineRule="auto"/>
              <w:rPr>
                <w:sz w:val="20"/>
                <w:szCs w:val="20"/>
                <w:lang w:eastAsia="ja-JP"/>
              </w:rPr>
            </w:pPr>
            <w:r w:rsidRPr="00A031C9">
              <w:rPr>
                <w:sz w:val="20"/>
                <w:szCs w:val="20"/>
                <w:lang w:eastAsia="ja-JP"/>
              </w:rPr>
              <w:t xml:space="preserve">Phenylalanine </w:t>
            </w:r>
          </w:p>
        </w:tc>
        <w:tc>
          <w:tcPr>
            <w:tcW w:w="1580" w:type="dxa"/>
          </w:tcPr>
          <w:p w:rsidR="00E8640C" w:rsidRPr="00A031C9" w:rsidRDefault="00E8640C" w:rsidP="000C2915">
            <w:pPr>
              <w:spacing w:before="0" w:after="0" w:line="240" w:lineRule="auto"/>
              <w:cnfStyle w:val="000000000000"/>
              <w:rPr>
                <w:sz w:val="20"/>
                <w:szCs w:val="20"/>
                <w:lang w:eastAsia="ja-JP"/>
              </w:rPr>
            </w:pPr>
            <w:r w:rsidRPr="00A031C9">
              <w:rPr>
                <w:sz w:val="20"/>
                <w:szCs w:val="20"/>
                <w:lang w:eastAsia="ja-JP"/>
              </w:rPr>
              <w:t>10.40g</w:t>
            </w:r>
          </w:p>
        </w:tc>
        <w:tc>
          <w:tcPr>
            <w:tcW w:w="1881" w:type="dxa"/>
          </w:tcPr>
          <w:p w:rsidR="00E8640C" w:rsidRPr="00A031C9" w:rsidRDefault="00E8640C" w:rsidP="000C2915">
            <w:pPr>
              <w:spacing w:before="0" w:after="0" w:line="240" w:lineRule="auto"/>
              <w:cnfStyle w:val="000000000000"/>
              <w:rPr>
                <w:sz w:val="20"/>
                <w:szCs w:val="20"/>
                <w:lang w:eastAsia="ja-JP"/>
              </w:rPr>
            </w:pPr>
            <w:r w:rsidRPr="00A031C9">
              <w:rPr>
                <w:sz w:val="20"/>
                <w:szCs w:val="20"/>
                <w:lang w:eastAsia="ja-JP"/>
              </w:rPr>
              <w:t>10.4g</w:t>
            </w:r>
          </w:p>
        </w:tc>
      </w:tr>
      <w:tr w:rsidR="00E8640C" w:rsidRPr="00E8640C" w:rsidTr="000C2915">
        <w:tc>
          <w:tcPr>
            <w:cnfStyle w:val="001000000000"/>
            <w:tcW w:w="1784" w:type="dxa"/>
          </w:tcPr>
          <w:p w:rsidR="00E8640C" w:rsidRPr="00A031C9" w:rsidRDefault="00E8640C" w:rsidP="000C2915">
            <w:pPr>
              <w:spacing w:before="0" w:after="0" w:line="240" w:lineRule="auto"/>
              <w:rPr>
                <w:sz w:val="20"/>
                <w:szCs w:val="20"/>
                <w:lang w:eastAsia="ja-JP"/>
              </w:rPr>
            </w:pPr>
            <w:r w:rsidRPr="00A031C9">
              <w:rPr>
                <w:sz w:val="20"/>
                <w:szCs w:val="20"/>
                <w:lang w:eastAsia="ja-JP"/>
              </w:rPr>
              <w:t xml:space="preserve">Valine </w:t>
            </w:r>
          </w:p>
        </w:tc>
        <w:tc>
          <w:tcPr>
            <w:tcW w:w="1580" w:type="dxa"/>
          </w:tcPr>
          <w:p w:rsidR="00E8640C" w:rsidRPr="00A031C9" w:rsidRDefault="00E8640C" w:rsidP="000C2915">
            <w:pPr>
              <w:spacing w:before="0" w:after="0" w:line="240" w:lineRule="auto"/>
              <w:cnfStyle w:val="000000000000"/>
              <w:rPr>
                <w:sz w:val="20"/>
                <w:szCs w:val="20"/>
                <w:lang w:eastAsia="ja-JP"/>
              </w:rPr>
            </w:pPr>
            <w:r w:rsidRPr="00A031C9">
              <w:rPr>
                <w:sz w:val="20"/>
                <w:szCs w:val="20"/>
                <w:lang w:eastAsia="ja-JP"/>
              </w:rPr>
              <w:t>9.60g</w:t>
            </w:r>
          </w:p>
        </w:tc>
        <w:tc>
          <w:tcPr>
            <w:tcW w:w="1881" w:type="dxa"/>
          </w:tcPr>
          <w:p w:rsidR="00E8640C" w:rsidRPr="00A031C9" w:rsidRDefault="00E8640C" w:rsidP="000C2915">
            <w:pPr>
              <w:spacing w:before="0" w:after="0" w:line="240" w:lineRule="auto"/>
              <w:cnfStyle w:val="000000000000"/>
              <w:rPr>
                <w:sz w:val="20"/>
                <w:szCs w:val="20"/>
                <w:lang w:eastAsia="ja-JP"/>
              </w:rPr>
            </w:pPr>
            <w:r w:rsidRPr="00A031C9">
              <w:rPr>
                <w:sz w:val="20"/>
                <w:szCs w:val="20"/>
                <w:lang w:eastAsia="ja-JP"/>
              </w:rPr>
              <w:t>9.60g</w:t>
            </w:r>
          </w:p>
        </w:tc>
      </w:tr>
      <w:tr w:rsidR="00E8640C" w:rsidRPr="00E8640C" w:rsidTr="000C2915">
        <w:tc>
          <w:tcPr>
            <w:cnfStyle w:val="001000000000"/>
            <w:tcW w:w="1784" w:type="dxa"/>
          </w:tcPr>
          <w:p w:rsidR="00E8640C" w:rsidRPr="00A031C9" w:rsidRDefault="00E8640C" w:rsidP="000C2915">
            <w:pPr>
              <w:spacing w:before="0" w:after="0" w:line="240" w:lineRule="auto"/>
              <w:rPr>
                <w:sz w:val="20"/>
                <w:szCs w:val="20"/>
                <w:lang w:eastAsia="ja-JP"/>
              </w:rPr>
            </w:pPr>
            <w:r w:rsidRPr="00A031C9">
              <w:rPr>
                <w:sz w:val="20"/>
                <w:szCs w:val="20"/>
                <w:lang w:eastAsia="ja-JP"/>
              </w:rPr>
              <w:t xml:space="preserve">Histidine </w:t>
            </w:r>
          </w:p>
        </w:tc>
        <w:tc>
          <w:tcPr>
            <w:tcW w:w="1580" w:type="dxa"/>
          </w:tcPr>
          <w:p w:rsidR="00E8640C" w:rsidRPr="00A031C9" w:rsidRDefault="00E8640C" w:rsidP="000C2915">
            <w:pPr>
              <w:spacing w:before="0" w:after="0" w:line="240" w:lineRule="auto"/>
              <w:cnfStyle w:val="000000000000"/>
              <w:rPr>
                <w:sz w:val="20"/>
                <w:szCs w:val="20"/>
                <w:lang w:eastAsia="ja-JP"/>
              </w:rPr>
            </w:pPr>
            <w:r w:rsidRPr="00A031C9">
              <w:rPr>
                <w:sz w:val="20"/>
                <w:szCs w:val="20"/>
                <w:lang w:eastAsia="ja-JP"/>
              </w:rPr>
              <w:t>8.94g</w:t>
            </w:r>
          </w:p>
        </w:tc>
        <w:tc>
          <w:tcPr>
            <w:tcW w:w="1881" w:type="dxa"/>
          </w:tcPr>
          <w:p w:rsidR="00E8640C" w:rsidRPr="00A031C9" w:rsidRDefault="00E8640C" w:rsidP="000C2915">
            <w:pPr>
              <w:spacing w:before="0" w:after="0" w:line="240" w:lineRule="auto"/>
              <w:cnfStyle w:val="000000000000"/>
              <w:rPr>
                <w:sz w:val="20"/>
                <w:szCs w:val="20"/>
                <w:lang w:eastAsia="ja-JP"/>
              </w:rPr>
            </w:pPr>
            <w:r w:rsidRPr="00A031C9">
              <w:rPr>
                <w:sz w:val="20"/>
                <w:szCs w:val="20"/>
                <w:lang w:eastAsia="ja-JP"/>
              </w:rPr>
              <w:t>8.94g</w:t>
            </w:r>
          </w:p>
        </w:tc>
      </w:tr>
      <w:tr w:rsidR="00E8640C" w:rsidRPr="00E8640C" w:rsidTr="000C2915">
        <w:tc>
          <w:tcPr>
            <w:cnfStyle w:val="001000000000"/>
            <w:tcW w:w="1784" w:type="dxa"/>
          </w:tcPr>
          <w:p w:rsidR="00E8640C" w:rsidRPr="00A031C9" w:rsidRDefault="00E8640C" w:rsidP="000C2915">
            <w:pPr>
              <w:spacing w:before="0" w:after="0" w:line="240" w:lineRule="auto"/>
              <w:rPr>
                <w:sz w:val="20"/>
                <w:szCs w:val="20"/>
                <w:lang w:eastAsia="ja-JP"/>
              </w:rPr>
            </w:pPr>
            <w:r w:rsidRPr="00A031C9">
              <w:rPr>
                <w:sz w:val="20"/>
                <w:szCs w:val="20"/>
                <w:lang w:eastAsia="ja-JP"/>
              </w:rPr>
              <w:t>Isoleucine</w:t>
            </w:r>
          </w:p>
        </w:tc>
        <w:tc>
          <w:tcPr>
            <w:tcW w:w="1580" w:type="dxa"/>
          </w:tcPr>
          <w:p w:rsidR="00E8640C" w:rsidRPr="00A031C9" w:rsidRDefault="00E8640C" w:rsidP="000C2915">
            <w:pPr>
              <w:spacing w:before="0" w:after="0" w:line="240" w:lineRule="auto"/>
              <w:cnfStyle w:val="000000000000"/>
              <w:rPr>
                <w:sz w:val="20"/>
                <w:szCs w:val="20"/>
                <w:lang w:eastAsia="ja-JP"/>
              </w:rPr>
            </w:pPr>
            <w:r w:rsidRPr="00A031C9">
              <w:rPr>
                <w:sz w:val="20"/>
                <w:szCs w:val="20"/>
                <w:lang w:eastAsia="ja-JP"/>
              </w:rPr>
              <w:t>7.49g</w:t>
            </w:r>
          </w:p>
        </w:tc>
        <w:tc>
          <w:tcPr>
            <w:tcW w:w="1881" w:type="dxa"/>
          </w:tcPr>
          <w:p w:rsidR="00E8640C" w:rsidRPr="00A031C9" w:rsidRDefault="00E8640C" w:rsidP="000C2915">
            <w:pPr>
              <w:spacing w:before="0" w:after="0" w:line="240" w:lineRule="auto"/>
              <w:cnfStyle w:val="000000000000"/>
              <w:rPr>
                <w:sz w:val="20"/>
                <w:szCs w:val="20"/>
                <w:lang w:eastAsia="ja-JP"/>
              </w:rPr>
            </w:pPr>
            <w:r w:rsidRPr="00A031C9">
              <w:rPr>
                <w:sz w:val="20"/>
                <w:szCs w:val="20"/>
                <w:lang w:eastAsia="ja-JP"/>
              </w:rPr>
              <w:t>7.49g</w:t>
            </w:r>
          </w:p>
        </w:tc>
      </w:tr>
      <w:tr w:rsidR="00E8640C" w:rsidRPr="00E8640C" w:rsidTr="000C2915">
        <w:tc>
          <w:tcPr>
            <w:cnfStyle w:val="001000000000"/>
            <w:tcW w:w="1784" w:type="dxa"/>
          </w:tcPr>
          <w:p w:rsidR="00E8640C" w:rsidRPr="00A031C9" w:rsidRDefault="00E8640C" w:rsidP="000C2915">
            <w:pPr>
              <w:spacing w:before="0" w:after="0" w:line="240" w:lineRule="auto"/>
              <w:rPr>
                <w:sz w:val="20"/>
                <w:szCs w:val="20"/>
                <w:lang w:eastAsia="ja-JP"/>
              </w:rPr>
            </w:pPr>
            <w:r w:rsidRPr="00A031C9">
              <w:rPr>
                <w:sz w:val="20"/>
                <w:szCs w:val="20"/>
                <w:lang w:eastAsia="ja-JP"/>
              </w:rPr>
              <w:t xml:space="preserve">Methionine </w:t>
            </w:r>
          </w:p>
        </w:tc>
        <w:tc>
          <w:tcPr>
            <w:tcW w:w="1580" w:type="dxa"/>
          </w:tcPr>
          <w:p w:rsidR="00E8640C" w:rsidRPr="00A031C9" w:rsidRDefault="00E8640C" w:rsidP="000C2915">
            <w:pPr>
              <w:spacing w:before="0" w:after="0" w:line="240" w:lineRule="auto"/>
              <w:cnfStyle w:val="000000000000"/>
              <w:rPr>
                <w:sz w:val="20"/>
                <w:szCs w:val="20"/>
                <w:lang w:eastAsia="ja-JP"/>
              </w:rPr>
            </w:pPr>
            <w:r w:rsidRPr="00A031C9">
              <w:rPr>
                <w:sz w:val="20"/>
                <w:szCs w:val="20"/>
                <w:lang w:eastAsia="ja-JP"/>
              </w:rPr>
              <w:t>7.49g</w:t>
            </w:r>
          </w:p>
        </w:tc>
        <w:tc>
          <w:tcPr>
            <w:tcW w:w="1881" w:type="dxa"/>
          </w:tcPr>
          <w:p w:rsidR="00E8640C" w:rsidRPr="00A031C9" w:rsidRDefault="00E8640C" w:rsidP="000C2915">
            <w:pPr>
              <w:spacing w:before="0" w:after="0" w:line="240" w:lineRule="auto"/>
              <w:cnfStyle w:val="000000000000"/>
              <w:rPr>
                <w:sz w:val="20"/>
                <w:szCs w:val="20"/>
                <w:lang w:eastAsia="ja-JP"/>
              </w:rPr>
            </w:pPr>
            <w:r w:rsidRPr="00A031C9">
              <w:rPr>
                <w:sz w:val="20"/>
                <w:szCs w:val="20"/>
                <w:lang w:eastAsia="ja-JP"/>
              </w:rPr>
              <w:t>7.49g</w:t>
            </w:r>
          </w:p>
        </w:tc>
      </w:tr>
      <w:tr w:rsidR="00E8640C" w:rsidRPr="00E8640C" w:rsidTr="000C2915">
        <w:tc>
          <w:tcPr>
            <w:cnfStyle w:val="001000000000"/>
            <w:tcW w:w="1784" w:type="dxa"/>
          </w:tcPr>
          <w:p w:rsidR="00E8640C" w:rsidRPr="00A031C9" w:rsidRDefault="00E8640C" w:rsidP="000C2915">
            <w:pPr>
              <w:spacing w:before="0" w:after="0" w:line="240" w:lineRule="auto"/>
              <w:rPr>
                <w:sz w:val="20"/>
                <w:szCs w:val="20"/>
                <w:lang w:eastAsia="ja-JP"/>
              </w:rPr>
            </w:pPr>
            <w:r w:rsidRPr="00A031C9">
              <w:rPr>
                <w:sz w:val="20"/>
                <w:szCs w:val="20"/>
                <w:lang w:eastAsia="ja-JP"/>
              </w:rPr>
              <w:t xml:space="preserve">Threonine </w:t>
            </w:r>
          </w:p>
        </w:tc>
        <w:tc>
          <w:tcPr>
            <w:tcW w:w="1580" w:type="dxa"/>
          </w:tcPr>
          <w:p w:rsidR="00E8640C" w:rsidRPr="00A031C9" w:rsidRDefault="00E8640C" w:rsidP="000C2915">
            <w:pPr>
              <w:spacing w:before="0" w:after="0" w:line="240" w:lineRule="auto"/>
              <w:cnfStyle w:val="000000000000"/>
              <w:rPr>
                <w:sz w:val="20"/>
                <w:szCs w:val="20"/>
                <w:lang w:eastAsia="ja-JP"/>
              </w:rPr>
            </w:pPr>
            <w:r w:rsidRPr="00A031C9">
              <w:rPr>
                <w:sz w:val="20"/>
                <w:szCs w:val="20"/>
                <w:lang w:eastAsia="ja-JP"/>
              </w:rPr>
              <w:t>7.49g</w:t>
            </w:r>
          </w:p>
        </w:tc>
        <w:tc>
          <w:tcPr>
            <w:tcW w:w="1881" w:type="dxa"/>
          </w:tcPr>
          <w:p w:rsidR="00E8640C" w:rsidRPr="00A031C9" w:rsidRDefault="00E8640C" w:rsidP="000C2915">
            <w:pPr>
              <w:spacing w:before="0" w:after="0" w:line="240" w:lineRule="auto"/>
              <w:cnfStyle w:val="000000000000"/>
              <w:rPr>
                <w:sz w:val="20"/>
                <w:szCs w:val="20"/>
                <w:lang w:eastAsia="ja-JP"/>
              </w:rPr>
            </w:pPr>
            <w:r w:rsidRPr="00A031C9">
              <w:rPr>
                <w:sz w:val="20"/>
                <w:szCs w:val="20"/>
                <w:lang w:eastAsia="ja-JP"/>
              </w:rPr>
              <w:t>7.49g</w:t>
            </w:r>
          </w:p>
        </w:tc>
      </w:tr>
      <w:tr w:rsidR="00E8640C" w:rsidRPr="00E8640C" w:rsidTr="000C2915">
        <w:tc>
          <w:tcPr>
            <w:cnfStyle w:val="001000000000"/>
            <w:tcW w:w="1784" w:type="dxa"/>
          </w:tcPr>
          <w:p w:rsidR="00E8640C" w:rsidRPr="00A031C9" w:rsidRDefault="00E8640C" w:rsidP="000C2915">
            <w:pPr>
              <w:spacing w:before="0" w:after="0" w:line="240" w:lineRule="auto"/>
              <w:rPr>
                <w:sz w:val="20"/>
                <w:szCs w:val="20"/>
                <w:lang w:eastAsia="ja-JP"/>
              </w:rPr>
            </w:pPr>
            <w:r w:rsidRPr="00A031C9">
              <w:rPr>
                <w:sz w:val="20"/>
                <w:szCs w:val="20"/>
                <w:lang w:eastAsia="ja-JP"/>
              </w:rPr>
              <w:t xml:space="preserve">Tryptophan </w:t>
            </w:r>
          </w:p>
        </w:tc>
        <w:tc>
          <w:tcPr>
            <w:tcW w:w="1580" w:type="dxa"/>
          </w:tcPr>
          <w:p w:rsidR="00E8640C" w:rsidRPr="00A031C9" w:rsidRDefault="00E8640C" w:rsidP="000C2915">
            <w:pPr>
              <w:spacing w:before="0" w:after="0" w:line="240" w:lineRule="auto"/>
              <w:cnfStyle w:val="000000000000"/>
              <w:rPr>
                <w:sz w:val="20"/>
                <w:szCs w:val="20"/>
                <w:lang w:eastAsia="ja-JP"/>
              </w:rPr>
            </w:pPr>
            <w:r w:rsidRPr="00A031C9">
              <w:rPr>
                <w:sz w:val="20"/>
                <w:szCs w:val="20"/>
                <w:lang w:eastAsia="ja-JP"/>
              </w:rPr>
              <w:t>2.50g</w:t>
            </w:r>
          </w:p>
        </w:tc>
        <w:tc>
          <w:tcPr>
            <w:tcW w:w="1881" w:type="dxa"/>
          </w:tcPr>
          <w:p w:rsidR="00E8640C" w:rsidRPr="00A031C9" w:rsidRDefault="00E8640C" w:rsidP="000C2915">
            <w:pPr>
              <w:spacing w:before="0" w:after="0" w:line="240" w:lineRule="auto"/>
              <w:cnfStyle w:val="000000000000"/>
              <w:rPr>
                <w:sz w:val="20"/>
                <w:szCs w:val="20"/>
                <w:lang w:eastAsia="ja-JP"/>
              </w:rPr>
            </w:pPr>
            <w:r w:rsidRPr="00A031C9">
              <w:rPr>
                <w:sz w:val="20"/>
                <w:szCs w:val="20"/>
                <w:lang w:eastAsia="ja-JP"/>
              </w:rPr>
              <w:t>2.50g</w:t>
            </w:r>
          </w:p>
        </w:tc>
      </w:tr>
      <w:tr w:rsidR="00E8640C" w:rsidRPr="00E8640C" w:rsidTr="000C2915">
        <w:tc>
          <w:tcPr>
            <w:cnfStyle w:val="001000000000"/>
            <w:tcW w:w="5245" w:type="dxa"/>
            <w:gridSpan w:val="3"/>
          </w:tcPr>
          <w:p w:rsidR="00E8640C" w:rsidRPr="00A031C9" w:rsidRDefault="00E8640C" w:rsidP="000C2915">
            <w:pPr>
              <w:spacing w:before="0" w:after="0" w:line="240" w:lineRule="auto"/>
              <w:rPr>
                <w:sz w:val="20"/>
                <w:szCs w:val="20"/>
                <w:lang w:eastAsia="ja-JP"/>
              </w:rPr>
            </w:pPr>
            <w:r w:rsidRPr="00A031C9">
              <w:rPr>
                <w:b/>
                <w:bCs/>
                <w:sz w:val="20"/>
                <w:szCs w:val="20"/>
                <w:lang w:eastAsia="ja-JP"/>
              </w:rPr>
              <w:t>Nonessential Amino Acids</w:t>
            </w:r>
          </w:p>
        </w:tc>
      </w:tr>
      <w:tr w:rsidR="00E8640C" w:rsidRPr="00E8640C" w:rsidTr="000C2915">
        <w:tc>
          <w:tcPr>
            <w:cnfStyle w:val="001000000000"/>
            <w:tcW w:w="1784" w:type="dxa"/>
          </w:tcPr>
          <w:p w:rsidR="00E8640C" w:rsidRPr="00A031C9" w:rsidRDefault="00E8640C" w:rsidP="000C2915">
            <w:pPr>
              <w:spacing w:before="0" w:after="0" w:line="240" w:lineRule="auto"/>
              <w:rPr>
                <w:sz w:val="20"/>
                <w:szCs w:val="20"/>
                <w:lang w:eastAsia="ja-JP"/>
              </w:rPr>
            </w:pPr>
            <w:r w:rsidRPr="00A031C9">
              <w:rPr>
                <w:sz w:val="20"/>
                <w:szCs w:val="20"/>
                <w:lang w:eastAsia="ja-JP"/>
              </w:rPr>
              <w:t>Alanine</w:t>
            </w:r>
          </w:p>
        </w:tc>
        <w:tc>
          <w:tcPr>
            <w:tcW w:w="1580" w:type="dxa"/>
          </w:tcPr>
          <w:p w:rsidR="00E8640C" w:rsidRPr="00A031C9" w:rsidRDefault="00E8640C" w:rsidP="000C2915">
            <w:pPr>
              <w:spacing w:before="0" w:after="0" w:line="240" w:lineRule="auto"/>
              <w:cnfStyle w:val="000000000000"/>
              <w:rPr>
                <w:sz w:val="20"/>
                <w:szCs w:val="20"/>
                <w:lang w:eastAsia="ja-JP"/>
              </w:rPr>
            </w:pPr>
            <w:r w:rsidRPr="00A031C9">
              <w:rPr>
                <w:sz w:val="20"/>
                <w:szCs w:val="20"/>
                <w:lang w:eastAsia="ja-JP"/>
              </w:rPr>
              <w:t>21.70g</w:t>
            </w:r>
          </w:p>
        </w:tc>
        <w:tc>
          <w:tcPr>
            <w:tcW w:w="1881" w:type="dxa"/>
          </w:tcPr>
          <w:p w:rsidR="00E8640C" w:rsidRPr="00A031C9" w:rsidRDefault="00E8640C" w:rsidP="000C2915">
            <w:pPr>
              <w:spacing w:before="0" w:after="0" w:line="240" w:lineRule="auto"/>
              <w:cnfStyle w:val="000000000000"/>
              <w:rPr>
                <w:sz w:val="20"/>
                <w:szCs w:val="20"/>
                <w:lang w:eastAsia="ja-JP"/>
              </w:rPr>
            </w:pPr>
            <w:r w:rsidRPr="00A031C9">
              <w:rPr>
                <w:sz w:val="20"/>
                <w:szCs w:val="20"/>
                <w:lang w:eastAsia="ja-JP"/>
              </w:rPr>
              <w:t>21.7g</w:t>
            </w:r>
          </w:p>
        </w:tc>
      </w:tr>
      <w:tr w:rsidR="00E8640C" w:rsidRPr="00E8640C" w:rsidTr="000C2915">
        <w:tc>
          <w:tcPr>
            <w:cnfStyle w:val="001000000000"/>
            <w:tcW w:w="1784" w:type="dxa"/>
          </w:tcPr>
          <w:p w:rsidR="00E8640C" w:rsidRPr="00A031C9" w:rsidRDefault="00E8640C" w:rsidP="000C2915">
            <w:pPr>
              <w:spacing w:before="0" w:after="0" w:line="240" w:lineRule="auto"/>
              <w:rPr>
                <w:sz w:val="20"/>
                <w:szCs w:val="20"/>
                <w:lang w:eastAsia="ja-JP"/>
              </w:rPr>
            </w:pPr>
            <w:r w:rsidRPr="00A031C9">
              <w:rPr>
                <w:sz w:val="20"/>
                <w:szCs w:val="20"/>
                <w:lang w:eastAsia="ja-JP"/>
              </w:rPr>
              <w:t>Arginine</w:t>
            </w:r>
          </w:p>
        </w:tc>
        <w:tc>
          <w:tcPr>
            <w:tcW w:w="1580" w:type="dxa"/>
          </w:tcPr>
          <w:p w:rsidR="00E8640C" w:rsidRPr="00A031C9" w:rsidRDefault="00E8640C" w:rsidP="000C2915">
            <w:pPr>
              <w:spacing w:before="0" w:after="0" w:line="240" w:lineRule="auto"/>
              <w:cnfStyle w:val="000000000000"/>
              <w:rPr>
                <w:sz w:val="20"/>
                <w:szCs w:val="20"/>
                <w:lang w:eastAsia="ja-JP"/>
              </w:rPr>
            </w:pPr>
            <w:r w:rsidRPr="00A031C9">
              <w:rPr>
                <w:sz w:val="20"/>
                <w:szCs w:val="20"/>
                <w:lang w:eastAsia="ja-JP"/>
              </w:rPr>
              <w:t>14.70g</w:t>
            </w:r>
          </w:p>
        </w:tc>
        <w:tc>
          <w:tcPr>
            <w:tcW w:w="1881" w:type="dxa"/>
          </w:tcPr>
          <w:p w:rsidR="00E8640C" w:rsidRPr="00A031C9" w:rsidRDefault="00E8640C" w:rsidP="000C2915">
            <w:pPr>
              <w:spacing w:before="0" w:after="0" w:line="240" w:lineRule="auto"/>
              <w:cnfStyle w:val="000000000000"/>
              <w:rPr>
                <w:sz w:val="20"/>
                <w:szCs w:val="20"/>
                <w:lang w:eastAsia="ja-JP"/>
              </w:rPr>
            </w:pPr>
            <w:r w:rsidRPr="00A031C9">
              <w:rPr>
                <w:sz w:val="20"/>
                <w:szCs w:val="20"/>
                <w:lang w:eastAsia="ja-JP"/>
              </w:rPr>
              <w:t>14.7g</w:t>
            </w:r>
          </w:p>
        </w:tc>
      </w:tr>
      <w:tr w:rsidR="00E8640C" w:rsidRPr="00E8640C" w:rsidTr="000C2915">
        <w:tc>
          <w:tcPr>
            <w:cnfStyle w:val="001000000000"/>
            <w:tcW w:w="1784" w:type="dxa"/>
          </w:tcPr>
          <w:p w:rsidR="00E8640C" w:rsidRPr="00A031C9" w:rsidRDefault="00E8640C" w:rsidP="000C2915">
            <w:pPr>
              <w:spacing w:before="0" w:after="0" w:line="240" w:lineRule="auto"/>
              <w:rPr>
                <w:sz w:val="20"/>
                <w:szCs w:val="20"/>
                <w:lang w:eastAsia="ja-JP"/>
              </w:rPr>
            </w:pPr>
            <w:r w:rsidRPr="00A031C9">
              <w:rPr>
                <w:sz w:val="20"/>
                <w:szCs w:val="20"/>
                <w:lang w:eastAsia="ja-JP"/>
              </w:rPr>
              <w:t>Glycine</w:t>
            </w:r>
          </w:p>
        </w:tc>
        <w:tc>
          <w:tcPr>
            <w:tcW w:w="1580" w:type="dxa"/>
          </w:tcPr>
          <w:p w:rsidR="00E8640C" w:rsidRPr="00A031C9" w:rsidRDefault="00E8640C" w:rsidP="000C2915">
            <w:pPr>
              <w:spacing w:before="0" w:after="0" w:line="240" w:lineRule="auto"/>
              <w:cnfStyle w:val="000000000000"/>
              <w:rPr>
                <w:sz w:val="20"/>
                <w:szCs w:val="20"/>
                <w:lang w:eastAsia="ja-JP"/>
              </w:rPr>
            </w:pPr>
            <w:r w:rsidRPr="00A031C9">
              <w:rPr>
                <w:sz w:val="20"/>
                <w:szCs w:val="20"/>
                <w:lang w:eastAsia="ja-JP"/>
              </w:rPr>
              <w:t>10.40g</w:t>
            </w:r>
          </w:p>
        </w:tc>
        <w:tc>
          <w:tcPr>
            <w:tcW w:w="1881" w:type="dxa"/>
          </w:tcPr>
          <w:p w:rsidR="00E8640C" w:rsidRPr="00A031C9" w:rsidRDefault="00E8640C" w:rsidP="000C2915">
            <w:pPr>
              <w:spacing w:before="0" w:after="0" w:line="240" w:lineRule="auto"/>
              <w:cnfStyle w:val="000000000000"/>
              <w:rPr>
                <w:sz w:val="20"/>
                <w:szCs w:val="20"/>
                <w:lang w:eastAsia="ja-JP"/>
              </w:rPr>
            </w:pPr>
            <w:r w:rsidRPr="00A031C9">
              <w:rPr>
                <w:sz w:val="20"/>
                <w:szCs w:val="20"/>
                <w:lang w:eastAsia="ja-JP"/>
              </w:rPr>
              <w:t>10.4g</w:t>
            </w:r>
          </w:p>
        </w:tc>
      </w:tr>
      <w:tr w:rsidR="00E8640C" w:rsidRPr="00E8640C" w:rsidTr="000C2915">
        <w:tc>
          <w:tcPr>
            <w:cnfStyle w:val="001000000000"/>
            <w:tcW w:w="1784" w:type="dxa"/>
          </w:tcPr>
          <w:p w:rsidR="00E8640C" w:rsidRPr="00A031C9" w:rsidRDefault="00E8640C" w:rsidP="000C2915">
            <w:pPr>
              <w:spacing w:before="0" w:after="0" w:line="240" w:lineRule="auto"/>
              <w:rPr>
                <w:sz w:val="20"/>
                <w:szCs w:val="20"/>
                <w:lang w:eastAsia="ja-JP"/>
              </w:rPr>
            </w:pPr>
            <w:r w:rsidRPr="00A031C9">
              <w:rPr>
                <w:sz w:val="20"/>
                <w:szCs w:val="20"/>
                <w:lang w:eastAsia="ja-JP"/>
              </w:rPr>
              <w:t xml:space="preserve">Proline </w:t>
            </w:r>
          </w:p>
        </w:tc>
        <w:tc>
          <w:tcPr>
            <w:tcW w:w="1580" w:type="dxa"/>
          </w:tcPr>
          <w:p w:rsidR="00E8640C" w:rsidRPr="00A031C9" w:rsidRDefault="00E8640C" w:rsidP="000C2915">
            <w:pPr>
              <w:spacing w:before="0" w:after="0" w:line="240" w:lineRule="auto"/>
              <w:cnfStyle w:val="000000000000"/>
              <w:rPr>
                <w:sz w:val="20"/>
                <w:szCs w:val="20"/>
                <w:lang w:eastAsia="ja-JP"/>
              </w:rPr>
            </w:pPr>
            <w:r w:rsidRPr="00A031C9">
              <w:rPr>
                <w:sz w:val="20"/>
                <w:szCs w:val="20"/>
                <w:lang w:eastAsia="ja-JP"/>
              </w:rPr>
              <w:t>8.94g</w:t>
            </w:r>
          </w:p>
        </w:tc>
        <w:tc>
          <w:tcPr>
            <w:tcW w:w="1881" w:type="dxa"/>
          </w:tcPr>
          <w:p w:rsidR="00E8640C" w:rsidRPr="00A031C9" w:rsidRDefault="00E8640C" w:rsidP="000C2915">
            <w:pPr>
              <w:spacing w:before="0" w:after="0" w:line="240" w:lineRule="auto"/>
              <w:cnfStyle w:val="000000000000"/>
              <w:rPr>
                <w:sz w:val="20"/>
                <w:szCs w:val="20"/>
                <w:lang w:eastAsia="ja-JP"/>
              </w:rPr>
            </w:pPr>
            <w:r w:rsidRPr="00A031C9">
              <w:rPr>
                <w:sz w:val="20"/>
                <w:szCs w:val="20"/>
                <w:lang w:eastAsia="ja-JP"/>
              </w:rPr>
              <w:t>8.94g</w:t>
            </w:r>
          </w:p>
        </w:tc>
      </w:tr>
      <w:tr w:rsidR="00E8640C" w:rsidRPr="00E8640C" w:rsidTr="000C2915">
        <w:tc>
          <w:tcPr>
            <w:cnfStyle w:val="001000000000"/>
            <w:tcW w:w="1784" w:type="dxa"/>
          </w:tcPr>
          <w:p w:rsidR="00E8640C" w:rsidRPr="00A031C9" w:rsidRDefault="00E8640C" w:rsidP="000C2915">
            <w:pPr>
              <w:spacing w:before="0" w:after="0" w:line="240" w:lineRule="auto"/>
              <w:rPr>
                <w:sz w:val="20"/>
                <w:szCs w:val="20"/>
                <w:lang w:eastAsia="ja-JP"/>
              </w:rPr>
            </w:pPr>
            <w:r w:rsidRPr="00A031C9">
              <w:rPr>
                <w:sz w:val="20"/>
                <w:szCs w:val="20"/>
                <w:lang w:eastAsia="ja-JP"/>
              </w:rPr>
              <w:t xml:space="preserve">Glutamic Acid </w:t>
            </w:r>
          </w:p>
        </w:tc>
        <w:tc>
          <w:tcPr>
            <w:tcW w:w="1580" w:type="dxa"/>
          </w:tcPr>
          <w:p w:rsidR="00E8640C" w:rsidRPr="00A031C9" w:rsidRDefault="00E8640C" w:rsidP="000C2915">
            <w:pPr>
              <w:spacing w:before="0" w:after="0" w:line="240" w:lineRule="auto"/>
              <w:cnfStyle w:val="000000000000"/>
              <w:rPr>
                <w:sz w:val="20"/>
                <w:szCs w:val="20"/>
                <w:lang w:eastAsia="ja-JP"/>
              </w:rPr>
            </w:pPr>
            <w:r w:rsidRPr="00A031C9">
              <w:rPr>
                <w:sz w:val="20"/>
                <w:szCs w:val="20"/>
                <w:lang w:eastAsia="ja-JP"/>
              </w:rPr>
              <w:t>7.49g</w:t>
            </w:r>
          </w:p>
        </w:tc>
        <w:tc>
          <w:tcPr>
            <w:tcW w:w="1881" w:type="dxa"/>
          </w:tcPr>
          <w:p w:rsidR="00E8640C" w:rsidRPr="00A031C9" w:rsidRDefault="00E8640C" w:rsidP="000C2915">
            <w:pPr>
              <w:spacing w:before="0" w:after="0" w:line="240" w:lineRule="auto"/>
              <w:cnfStyle w:val="000000000000"/>
              <w:rPr>
                <w:sz w:val="20"/>
                <w:szCs w:val="20"/>
                <w:lang w:eastAsia="ja-JP"/>
              </w:rPr>
            </w:pPr>
            <w:r w:rsidRPr="00A031C9">
              <w:rPr>
                <w:sz w:val="20"/>
                <w:szCs w:val="20"/>
                <w:lang w:eastAsia="ja-JP"/>
              </w:rPr>
              <w:t>7.49g</w:t>
            </w:r>
          </w:p>
        </w:tc>
      </w:tr>
      <w:tr w:rsidR="00E8640C" w:rsidRPr="00E8640C" w:rsidTr="000C2915">
        <w:tc>
          <w:tcPr>
            <w:cnfStyle w:val="001000000000"/>
            <w:tcW w:w="1784" w:type="dxa"/>
          </w:tcPr>
          <w:p w:rsidR="00E8640C" w:rsidRPr="00A031C9" w:rsidRDefault="00E8640C" w:rsidP="000C2915">
            <w:pPr>
              <w:spacing w:before="0" w:after="0" w:line="240" w:lineRule="auto"/>
              <w:rPr>
                <w:sz w:val="20"/>
                <w:szCs w:val="20"/>
                <w:lang w:eastAsia="ja-JP"/>
              </w:rPr>
            </w:pPr>
            <w:r w:rsidRPr="00A031C9">
              <w:rPr>
                <w:sz w:val="20"/>
                <w:szCs w:val="20"/>
                <w:lang w:eastAsia="ja-JP"/>
              </w:rPr>
              <w:t>Serine</w:t>
            </w:r>
          </w:p>
        </w:tc>
        <w:tc>
          <w:tcPr>
            <w:tcW w:w="1580" w:type="dxa"/>
          </w:tcPr>
          <w:p w:rsidR="00E8640C" w:rsidRPr="00A031C9" w:rsidRDefault="00E8640C" w:rsidP="000C2915">
            <w:pPr>
              <w:spacing w:before="0" w:after="0" w:line="240" w:lineRule="auto"/>
              <w:cnfStyle w:val="000000000000"/>
              <w:rPr>
                <w:sz w:val="20"/>
                <w:szCs w:val="20"/>
                <w:lang w:eastAsia="ja-JP"/>
              </w:rPr>
            </w:pPr>
            <w:r w:rsidRPr="00A031C9">
              <w:rPr>
                <w:sz w:val="20"/>
                <w:szCs w:val="20"/>
                <w:lang w:eastAsia="ja-JP"/>
              </w:rPr>
              <w:t>5.92g</w:t>
            </w:r>
          </w:p>
        </w:tc>
        <w:tc>
          <w:tcPr>
            <w:tcW w:w="1881" w:type="dxa"/>
          </w:tcPr>
          <w:p w:rsidR="00E8640C" w:rsidRPr="00A031C9" w:rsidRDefault="00E8640C" w:rsidP="000C2915">
            <w:pPr>
              <w:spacing w:before="0" w:after="0" w:line="240" w:lineRule="auto"/>
              <w:cnfStyle w:val="000000000000"/>
              <w:rPr>
                <w:sz w:val="20"/>
                <w:szCs w:val="20"/>
                <w:lang w:eastAsia="ja-JP"/>
              </w:rPr>
            </w:pPr>
            <w:r w:rsidRPr="00A031C9">
              <w:rPr>
                <w:sz w:val="20"/>
                <w:szCs w:val="20"/>
                <w:lang w:eastAsia="ja-JP"/>
              </w:rPr>
              <w:t>5.92g</w:t>
            </w:r>
          </w:p>
        </w:tc>
      </w:tr>
      <w:tr w:rsidR="00E8640C" w:rsidRPr="00E8640C" w:rsidTr="000C2915">
        <w:tc>
          <w:tcPr>
            <w:cnfStyle w:val="001000000000"/>
            <w:tcW w:w="1784" w:type="dxa"/>
          </w:tcPr>
          <w:p w:rsidR="00E8640C" w:rsidRPr="00A031C9" w:rsidRDefault="00E8640C" w:rsidP="000C2915">
            <w:pPr>
              <w:spacing w:before="0" w:after="0" w:line="240" w:lineRule="auto"/>
              <w:rPr>
                <w:sz w:val="20"/>
                <w:szCs w:val="20"/>
                <w:lang w:eastAsia="ja-JP"/>
              </w:rPr>
            </w:pPr>
            <w:r w:rsidRPr="00A031C9">
              <w:rPr>
                <w:sz w:val="20"/>
                <w:szCs w:val="20"/>
                <w:lang w:eastAsia="ja-JP"/>
              </w:rPr>
              <w:t xml:space="preserve">Aspartic Acid </w:t>
            </w:r>
          </w:p>
        </w:tc>
        <w:tc>
          <w:tcPr>
            <w:tcW w:w="1580" w:type="dxa"/>
          </w:tcPr>
          <w:p w:rsidR="00E8640C" w:rsidRPr="00A031C9" w:rsidRDefault="00E8640C" w:rsidP="000C2915">
            <w:pPr>
              <w:spacing w:before="0" w:after="0" w:line="240" w:lineRule="auto"/>
              <w:cnfStyle w:val="000000000000"/>
              <w:rPr>
                <w:sz w:val="20"/>
                <w:szCs w:val="20"/>
                <w:lang w:eastAsia="ja-JP"/>
              </w:rPr>
            </w:pPr>
            <w:r w:rsidRPr="00A031C9">
              <w:rPr>
                <w:sz w:val="20"/>
                <w:szCs w:val="20"/>
                <w:lang w:eastAsia="ja-JP"/>
              </w:rPr>
              <w:t>4.34g</w:t>
            </w:r>
          </w:p>
        </w:tc>
        <w:tc>
          <w:tcPr>
            <w:tcW w:w="1881" w:type="dxa"/>
          </w:tcPr>
          <w:p w:rsidR="00E8640C" w:rsidRPr="00A031C9" w:rsidRDefault="00E8640C" w:rsidP="000C2915">
            <w:pPr>
              <w:spacing w:before="0" w:after="0" w:line="240" w:lineRule="auto"/>
              <w:cnfStyle w:val="000000000000"/>
              <w:rPr>
                <w:sz w:val="20"/>
                <w:szCs w:val="20"/>
                <w:lang w:eastAsia="ja-JP"/>
              </w:rPr>
            </w:pPr>
            <w:r w:rsidRPr="00A031C9">
              <w:rPr>
                <w:sz w:val="20"/>
                <w:szCs w:val="20"/>
                <w:lang w:eastAsia="ja-JP"/>
              </w:rPr>
              <w:t>4.34g</w:t>
            </w:r>
          </w:p>
        </w:tc>
      </w:tr>
      <w:tr w:rsidR="00E8640C" w:rsidRPr="00E8640C" w:rsidTr="000C2915">
        <w:tc>
          <w:tcPr>
            <w:cnfStyle w:val="001000000000"/>
            <w:tcW w:w="1784" w:type="dxa"/>
          </w:tcPr>
          <w:p w:rsidR="00E8640C" w:rsidRPr="00A031C9" w:rsidRDefault="00E8640C" w:rsidP="000C2915">
            <w:pPr>
              <w:spacing w:before="0" w:after="0" w:line="240" w:lineRule="auto"/>
              <w:rPr>
                <w:sz w:val="20"/>
                <w:szCs w:val="20"/>
                <w:lang w:eastAsia="ja-JP"/>
              </w:rPr>
            </w:pPr>
            <w:r w:rsidRPr="00A031C9">
              <w:rPr>
                <w:sz w:val="20"/>
                <w:szCs w:val="20"/>
                <w:lang w:eastAsia="ja-JP"/>
              </w:rPr>
              <w:t xml:space="preserve">Tyrosine </w:t>
            </w:r>
          </w:p>
        </w:tc>
        <w:tc>
          <w:tcPr>
            <w:tcW w:w="1580" w:type="dxa"/>
          </w:tcPr>
          <w:p w:rsidR="00E8640C" w:rsidRPr="00A031C9" w:rsidRDefault="00E8640C" w:rsidP="000C2915">
            <w:pPr>
              <w:spacing w:before="0" w:after="0" w:line="240" w:lineRule="auto"/>
              <w:cnfStyle w:val="000000000000"/>
              <w:rPr>
                <w:sz w:val="20"/>
                <w:szCs w:val="20"/>
                <w:lang w:eastAsia="ja-JP"/>
              </w:rPr>
            </w:pPr>
            <w:r w:rsidRPr="00A031C9">
              <w:rPr>
                <w:sz w:val="20"/>
                <w:szCs w:val="20"/>
                <w:lang w:eastAsia="ja-JP"/>
              </w:rPr>
              <w:t>0.39g</w:t>
            </w:r>
          </w:p>
        </w:tc>
        <w:tc>
          <w:tcPr>
            <w:tcW w:w="1881" w:type="dxa"/>
          </w:tcPr>
          <w:p w:rsidR="00E8640C" w:rsidRPr="00A031C9" w:rsidRDefault="00E8640C" w:rsidP="000C2915">
            <w:pPr>
              <w:spacing w:before="0" w:after="0" w:line="240" w:lineRule="auto"/>
              <w:cnfStyle w:val="000000000000"/>
              <w:rPr>
                <w:sz w:val="20"/>
                <w:szCs w:val="20"/>
                <w:lang w:eastAsia="ja-JP"/>
              </w:rPr>
            </w:pPr>
            <w:r w:rsidRPr="00A031C9">
              <w:rPr>
                <w:sz w:val="20"/>
                <w:szCs w:val="20"/>
                <w:lang w:eastAsia="ja-JP"/>
              </w:rPr>
              <w:t>0.39g</w:t>
            </w:r>
          </w:p>
        </w:tc>
      </w:tr>
      <w:tr w:rsidR="00E8640C" w:rsidRPr="00E8640C" w:rsidTr="000C2915">
        <w:tc>
          <w:tcPr>
            <w:cnfStyle w:val="001000000000"/>
            <w:tcW w:w="1784" w:type="dxa"/>
          </w:tcPr>
          <w:p w:rsidR="00E8640C" w:rsidRPr="00A031C9" w:rsidRDefault="00E8640C" w:rsidP="000C2915">
            <w:pPr>
              <w:spacing w:before="0" w:after="0" w:line="240" w:lineRule="auto"/>
              <w:rPr>
                <w:bCs/>
                <w:sz w:val="20"/>
                <w:szCs w:val="20"/>
                <w:lang w:eastAsia="ja-JP"/>
              </w:rPr>
            </w:pPr>
            <w:r w:rsidRPr="00A031C9">
              <w:rPr>
                <w:bCs/>
                <w:sz w:val="20"/>
                <w:szCs w:val="20"/>
                <w:lang w:eastAsia="ja-JP"/>
              </w:rPr>
              <w:t xml:space="preserve">Ornithine </w:t>
            </w:r>
          </w:p>
        </w:tc>
        <w:tc>
          <w:tcPr>
            <w:tcW w:w="1580" w:type="dxa"/>
          </w:tcPr>
          <w:p w:rsidR="00E8640C" w:rsidRPr="00A031C9" w:rsidRDefault="00E8640C" w:rsidP="000C2915">
            <w:pPr>
              <w:spacing w:before="0" w:after="0" w:line="240" w:lineRule="auto"/>
              <w:cnfStyle w:val="000000000000"/>
              <w:rPr>
                <w:bCs/>
                <w:sz w:val="20"/>
                <w:szCs w:val="20"/>
                <w:lang w:eastAsia="ja-JP"/>
              </w:rPr>
            </w:pPr>
          </w:p>
        </w:tc>
        <w:tc>
          <w:tcPr>
            <w:tcW w:w="1881" w:type="dxa"/>
          </w:tcPr>
          <w:p w:rsidR="00E8640C" w:rsidRPr="00A031C9" w:rsidRDefault="00E8640C" w:rsidP="000C2915">
            <w:pPr>
              <w:spacing w:before="0" w:after="0" w:line="240" w:lineRule="auto"/>
              <w:cnfStyle w:val="000000000000"/>
              <w:rPr>
                <w:sz w:val="20"/>
                <w:szCs w:val="20"/>
                <w:lang w:eastAsia="ja-JP"/>
              </w:rPr>
            </w:pPr>
          </w:p>
        </w:tc>
      </w:tr>
      <w:tr w:rsidR="00E8640C" w:rsidRPr="00E8640C" w:rsidTr="000C2915">
        <w:tc>
          <w:tcPr>
            <w:cnfStyle w:val="001000000000"/>
            <w:tcW w:w="1784" w:type="dxa"/>
          </w:tcPr>
          <w:p w:rsidR="00E8640C" w:rsidRPr="00A031C9" w:rsidRDefault="00E8640C" w:rsidP="000C2915">
            <w:pPr>
              <w:spacing w:before="0" w:after="0" w:line="240" w:lineRule="auto"/>
              <w:rPr>
                <w:bCs/>
                <w:sz w:val="20"/>
                <w:szCs w:val="20"/>
                <w:lang w:eastAsia="ja-JP"/>
              </w:rPr>
            </w:pPr>
            <w:r w:rsidRPr="00A031C9">
              <w:rPr>
                <w:bCs/>
                <w:sz w:val="20"/>
                <w:szCs w:val="20"/>
                <w:lang w:eastAsia="ja-JP"/>
              </w:rPr>
              <w:t xml:space="preserve">Cysteine </w:t>
            </w:r>
          </w:p>
        </w:tc>
        <w:tc>
          <w:tcPr>
            <w:tcW w:w="1580" w:type="dxa"/>
          </w:tcPr>
          <w:p w:rsidR="00E8640C" w:rsidRPr="00A031C9" w:rsidRDefault="00E8640C" w:rsidP="000C2915">
            <w:pPr>
              <w:spacing w:before="0" w:after="0" w:line="240" w:lineRule="auto"/>
              <w:cnfStyle w:val="000000000000"/>
              <w:rPr>
                <w:bCs/>
                <w:sz w:val="20"/>
                <w:szCs w:val="20"/>
                <w:lang w:eastAsia="ja-JP"/>
              </w:rPr>
            </w:pPr>
          </w:p>
        </w:tc>
        <w:tc>
          <w:tcPr>
            <w:tcW w:w="1881" w:type="dxa"/>
          </w:tcPr>
          <w:p w:rsidR="00E8640C" w:rsidRPr="00A031C9" w:rsidRDefault="00E8640C" w:rsidP="000C2915">
            <w:pPr>
              <w:spacing w:before="0" w:after="0" w:line="240" w:lineRule="auto"/>
              <w:cnfStyle w:val="000000000000"/>
              <w:rPr>
                <w:sz w:val="20"/>
                <w:szCs w:val="20"/>
                <w:lang w:eastAsia="ja-JP"/>
              </w:rPr>
            </w:pPr>
          </w:p>
        </w:tc>
      </w:tr>
      <w:tr w:rsidR="00E8640C" w:rsidRPr="00E8640C" w:rsidTr="000C2915">
        <w:tc>
          <w:tcPr>
            <w:cnfStyle w:val="001000000000"/>
            <w:tcW w:w="1784" w:type="dxa"/>
          </w:tcPr>
          <w:p w:rsidR="00E8640C" w:rsidRPr="00A031C9" w:rsidRDefault="00E8640C" w:rsidP="000C2915">
            <w:pPr>
              <w:spacing w:before="0" w:after="0" w:line="240" w:lineRule="auto"/>
              <w:rPr>
                <w:bCs/>
                <w:sz w:val="20"/>
                <w:szCs w:val="20"/>
                <w:lang w:eastAsia="ja-JP"/>
              </w:rPr>
            </w:pPr>
            <w:r w:rsidRPr="00A031C9">
              <w:rPr>
                <w:bCs/>
                <w:sz w:val="20"/>
                <w:szCs w:val="20"/>
                <w:lang w:eastAsia="ja-JP"/>
              </w:rPr>
              <w:t xml:space="preserve">Taurine </w:t>
            </w:r>
          </w:p>
        </w:tc>
        <w:tc>
          <w:tcPr>
            <w:tcW w:w="1580" w:type="dxa"/>
          </w:tcPr>
          <w:p w:rsidR="00E8640C" w:rsidRPr="00A031C9" w:rsidRDefault="00E8640C" w:rsidP="000C2915">
            <w:pPr>
              <w:spacing w:before="0" w:after="0" w:line="240" w:lineRule="auto"/>
              <w:cnfStyle w:val="000000000000"/>
              <w:rPr>
                <w:bCs/>
                <w:sz w:val="20"/>
                <w:szCs w:val="20"/>
                <w:lang w:eastAsia="ja-JP"/>
              </w:rPr>
            </w:pPr>
          </w:p>
        </w:tc>
        <w:tc>
          <w:tcPr>
            <w:tcW w:w="1881" w:type="dxa"/>
          </w:tcPr>
          <w:p w:rsidR="00E8640C" w:rsidRPr="00A031C9" w:rsidRDefault="00E8640C" w:rsidP="000C2915">
            <w:pPr>
              <w:spacing w:before="0" w:after="0" w:line="240" w:lineRule="auto"/>
              <w:cnfStyle w:val="000000000000"/>
              <w:rPr>
                <w:sz w:val="20"/>
                <w:szCs w:val="20"/>
                <w:lang w:eastAsia="ja-JP"/>
              </w:rPr>
            </w:pPr>
          </w:p>
        </w:tc>
      </w:tr>
      <w:tr w:rsidR="00E8640C" w:rsidRPr="00E8640C" w:rsidTr="000C2915">
        <w:tc>
          <w:tcPr>
            <w:cnfStyle w:val="001000000000"/>
            <w:tcW w:w="1784" w:type="dxa"/>
          </w:tcPr>
          <w:p w:rsidR="00E8640C" w:rsidRPr="00A031C9" w:rsidRDefault="00E8640C" w:rsidP="000C2915">
            <w:pPr>
              <w:spacing w:before="0" w:after="0" w:line="240" w:lineRule="auto"/>
              <w:rPr>
                <w:b/>
                <w:bCs/>
                <w:sz w:val="20"/>
                <w:szCs w:val="20"/>
                <w:lang w:eastAsia="ja-JP"/>
              </w:rPr>
            </w:pPr>
            <w:r w:rsidRPr="00A031C9">
              <w:rPr>
                <w:b/>
                <w:bCs/>
                <w:sz w:val="20"/>
                <w:szCs w:val="20"/>
                <w:lang w:eastAsia="ja-JP"/>
              </w:rPr>
              <w:t>Total</w:t>
            </w:r>
          </w:p>
        </w:tc>
        <w:tc>
          <w:tcPr>
            <w:tcW w:w="1580" w:type="dxa"/>
          </w:tcPr>
          <w:p w:rsidR="00E8640C" w:rsidRPr="00A031C9" w:rsidRDefault="00E8640C" w:rsidP="000C2915">
            <w:pPr>
              <w:spacing w:before="0" w:after="0" w:line="240" w:lineRule="auto"/>
              <w:cnfStyle w:val="000000000000"/>
              <w:rPr>
                <w:bCs/>
                <w:sz w:val="20"/>
                <w:szCs w:val="20"/>
                <w:lang w:eastAsia="ja-JP"/>
              </w:rPr>
            </w:pPr>
            <w:r w:rsidRPr="00A031C9">
              <w:rPr>
                <w:bCs/>
                <w:sz w:val="20"/>
                <w:szCs w:val="20"/>
                <w:lang w:eastAsia="ja-JP"/>
              </w:rPr>
              <w:t>149.9g</w:t>
            </w:r>
          </w:p>
        </w:tc>
        <w:tc>
          <w:tcPr>
            <w:tcW w:w="1881" w:type="dxa"/>
          </w:tcPr>
          <w:p w:rsidR="00E8640C" w:rsidRPr="00A031C9" w:rsidRDefault="00E8640C" w:rsidP="000C2915">
            <w:pPr>
              <w:spacing w:before="0" w:after="0" w:line="240" w:lineRule="auto"/>
              <w:cnfStyle w:val="000000000000"/>
              <w:rPr>
                <w:sz w:val="20"/>
                <w:szCs w:val="20"/>
                <w:lang w:eastAsia="ja-JP"/>
              </w:rPr>
            </w:pPr>
            <w:r w:rsidRPr="00A031C9">
              <w:rPr>
                <w:sz w:val="20"/>
                <w:szCs w:val="20"/>
                <w:lang w:eastAsia="ja-JP"/>
              </w:rPr>
              <w:t>149.9g</w:t>
            </w:r>
          </w:p>
        </w:tc>
      </w:tr>
    </w:tbl>
    <w:p w:rsidR="00E8640C" w:rsidRPr="000C2915" w:rsidRDefault="00E8640C" w:rsidP="000C2915">
      <w:pPr>
        <w:pStyle w:val="Heading6"/>
      </w:pPr>
      <w:r w:rsidRPr="000C2915">
        <w:t>Efficacy variables and outcomes</w:t>
      </w:r>
    </w:p>
    <w:p w:rsidR="00E8640C" w:rsidRPr="000C2915" w:rsidRDefault="00E8640C" w:rsidP="000C2915">
      <w:r w:rsidRPr="000C2915">
        <w:t>Th</w:t>
      </w:r>
      <w:r w:rsidR="00C72F55">
        <w:t>e main efficacy variables were:</w:t>
      </w:r>
    </w:p>
    <w:p w:rsidR="00E8640C" w:rsidRPr="000C2915" w:rsidRDefault="00E8640C" w:rsidP="000C2915">
      <w:pPr>
        <w:pStyle w:val="ListBullet"/>
      </w:pPr>
      <w:r w:rsidRPr="000C2915">
        <w:t>To compare delivery of PN solutions and fluid balance in fluid-restricted ICU patients.</w:t>
      </w:r>
    </w:p>
    <w:p w:rsidR="00E8640C" w:rsidRPr="000C2915" w:rsidRDefault="00E8640C" w:rsidP="000C2915">
      <w:pPr>
        <w:pStyle w:val="ListBullet"/>
      </w:pPr>
      <w:r w:rsidRPr="000C2915">
        <w:t>Fluid balances during each 24 hour period of PN administration were calculated by the difference between fluid intake and output.</w:t>
      </w:r>
    </w:p>
    <w:p w:rsidR="00E8640C" w:rsidRPr="000C2915" w:rsidRDefault="00E8640C" w:rsidP="000C2915">
      <w:pPr>
        <w:pStyle w:val="ListBullet2"/>
      </w:pPr>
      <w:r w:rsidRPr="000C2915">
        <w:t>Fluid input included PN solutions, other intravenous solutions, enteral or or</w:t>
      </w:r>
      <w:r w:rsidR="00C72F55">
        <w:t>al feedings and blood products.</w:t>
      </w:r>
    </w:p>
    <w:p w:rsidR="00E8640C" w:rsidRPr="000C2915" w:rsidRDefault="00E8640C" w:rsidP="000C2915">
      <w:pPr>
        <w:pStyle w:val="ListBullet2"/>
      </w:pPr>
      <w:r w:rsidRPr="000C2915">
        <w:lastRenderedPageBreak/>
        <w:t xml:space="preserve">Fluid output included all urine excretion and fluids lost from nasogastric suction, ostomies, or drains. Stool was not calculated in the output, unless the patient had a rectal tube placed for severe </w:t>
      </w:r>
      <w:r w:rsidR="00F00A8C" w:rsidRPr="000C2915">
        <w:t>diarrhoea</w:t>
      </w:r>
      <w:r w:rsidR="00C72F55">
        <w:t>.</w:t>
      </w:r>
    </w:p>
    <w:p w:rsidR="00E8640C" w:rsidRPr="000C2915" w:rsidRDefault="00C72F55" w:rsidP="000C2915">
      <w:pPr>
        <w:pStyle w:val="ListBullet"/>
      </w:pPr>
      <w:r>
        <w:t>Total volume of PN infused/day.</w:t>
      </w:r>
    </w:p>
    <w:p w:rsidR="00E8640C" w:rsidRPr="000C2915" w:rsidRDefault="00E8640C" w:rsidP="000C2915">
      <w:pPr>
        <w:pStyle w:val="ListBullet"/>
      </w:pPr>
      <w:r w:rsidRPr="000C2915">
        <w:t>Percentage of total fluid Input as PN flui</w:t>
      </w:r>
      <w:r w:rsidR="00C72F55">
        <w:t>d.</w:t>
      </w:r>
    </w:p>
    <w:p w:rsidR="00E8640C" w:rsidRPr="000C2915" w:rsidRDefault="00E8640C" w:rsidP="000C2915">
      <w:pPr>
        <w:pStyle w:val="ListBullet"/>
      </w:pPr>
      <w:r w:rsidRPr="000C2915">
        <w:t>Non-protein calories/kg/day, and grams of protein/kg/day were calculated and recorded for each patient.</w:t>
      </w:r>
    </w:p>
    <w:p w:rsidR="00E8640C" w:rsidRPr="000C2915" w:rsidRDefault="00E8640C" w:rsidP="000C2915">
      <w:pPr>
        <w:pStyle w:val="Heading6"/>
      </w:pPr>
      <w:r w:rsidRPr="000C2915">
        <w:t>Randomisation and blinding methods</w:t>
      </w:r>
    </w:p>
    <w:p w:rsidR="00E8640C" w:rsidRPr="000C2915" w:rsidRDefault="00E8640C" w:rsidP="000C2915">
      <w:r w:rsidRPr="000C2915">
        <w:t>Randomisation was by a table of random numbers. There was no blinding described.</w:t>
      </w:r>
    </w:p>
    <w:p w:rsidR="00E8640C" w:rsidRPr="000C2915" w:rsidDel="0081373E" w:rsidRDefault="00E8640C" w:rsidP="000C2915">
      <w:pPr>
        <w:pStyle w:val="Heading6"/>
      </w:pPr>
      <w:r w:rsidRPr="000C2915" w:rsidDel="0081373E">
        <w:t>Sample size</w:t>
      </w:r>
    </w:p>
    <w:p w:rsidR="00E8640C" w:rsidRPr="000C2915" w:rsidRDefault="00E8640C" w:rsidP="000C2915">
      <w:r w:rsidRPr="000C2915">
        <w:t>No calculation of sample size was indicated.</w:t>
      </w:r>
    </w:p>
    <w:p w:rsidR="00E8640C" w:rsidRPr="000C2915" w:rsidRDefault="00E8640C" w:rsidP="000C2915">
      <w:pPr>
        <w:pStyle w:val="Heading6"/>
      </w:pPr>
      <w:r w:rsidRPr="000C2915">
        <w:t>Statistical methods</w:t>
      </w:r>
    </w:p>
    <w:p w:rsidR="00E8640C" w:rsidRPr="000C2915" w:rsidRDefault="00E8640C" w:rsidP="000C2915">
      <w:r w:rsidRPr="000C2915">
        <w:t>Analysis of variance and Duncan's new multiple range test were used to determine statistical significance between the two groups.</w:t>
      </w:r>
    </w:p>
    <w:p w:rsidR="00E8640C" w:rsidRPr="000C2915" w:rsidRDefault="00E8640C" w:rsidP="000C2915">
      <w:pPr>
        <w:pStyle w:val="Heading6"/>
      </w:pPr>
      <w:r w:rsidRPr="000C2915">
        <w:t>Participant flow</w:t>
      </w:r>
    </w:p>
    <w:p w:rsidR="00E8640C" w:rsidRPr="000C2915" w:rsidRDefault="00E8640C" w:rsidP="000C2915">
      <w:r w:rsidRPr="000C2915">
        <w:t>23 entered 20 completed (10 in each group).</w:t>
      </w:r>
    </w:p>
    <w:p w:rsidR="00E8640C" w:rsidRDefault="00E8640C" w:rsidP="00C72F55">
      <w:pPr>
        <w:pStyle w:val="TableTitle"/>
      </w:pPr>
      <w:bookmarkStart w:id="50" w:name="_Toc328983416"/>
      <w:r w:rsidRPr="000C2915">
        <w:t xml:space="preserve">Table </w:t>
      </w:r>
      <w:r w:rsidR="002A2CD0">
        <w:t>10</w:t>
      </w:r>
      <w:r w:rsidR="000C2915">
        <w:t>.</w:t>
      </w:r>
      <w:r w:rsidRPr="000C2915">
        <w:t xml:space="preserve"> Diagnoses</w:t>
      </w:r>
      <w:bookmarkEnd w:id="50"/>
    </w:p>
    <w:p w:rsidR="002A2CD0" w:rsidRPr="000C2915" w:rsidRDefault="002A2CD0" w:rsidP="00C72F55">
      <w:r>
        <w:rPr>
          <w:noProof/>
          <w:lang w:eastAsia="en-AU"/>
        </w:rPr>
        <w:drawing>
          <wp:inline distT="0" distB="0" distL="0" distR="0">
            <wp:extent cx="4737765" cy="1741419"/>
            <wp:effectExtent l="19050" t="0" r="5685" b="0"/>
            <wp:docPr id="2" name="Picture 2" descr="Table 10. Diagno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4737119" cy="1741182"/>
                    </a:xfrm>
                    <a:prstGeom prst="rect">
                      <a:avLst/>
                    </a:prstGeom>
                    <a:noFill/>
                    <a:ln w="9525">
                      <a:noFill/>
                      <a:miter lim="800000"/>
                      <a:headEnd/>
                      <a:tailEnd/>
                    </a:ln>
                  </pic:spPr>
                </pic:pic>
              </a:graphicData>
            </a:graphic>
          </wp:inline>
        </w:drawing>
      </w:r>
    </w:p>
    <w:p w:rsidR="00E8640C" w:rsidRPr="00E8640C" w:rsidRDefault="00E8640C" w:rsidP="00C72F55">
      <w:pPr>
        <w:pStyle w:val="TableTitle"/>
        <w:rPr>
          <w:lang w:eastAsia="ja-JP"/>
        </w:rPr>
      </w:pPr>
      <w:bookmarkStart w:id="51" w:name="_Toc328983417"/>
      <w:proofErr w:type="gramStart"/>
      <w:r w:rsidRPr="00E8640C">
        <w:rPr>
          <w:lang w:eastAsia="ja-JP"/>
        </w:rPr>
        <w:t xml:space="preserve">Table </w:t>
      </w:r>
      <w:r w:rsidR="002A2CD0">
        <w:rPr>
          <w:lang w:eastAsia="ja-JP"/>
        </w:rPr>
        <w:t>11</w:t>
      </w:r>
      <w:r w:rsidR="000C2915">
        <w:rPr>
          <w:lang w:eastAsia="ja-JP"/>
        </w:rPr>
        <w:t>.</w:t>
      </w:r>
      <w:proofErr w:type="gramEnd"/>
      <w:r w:rsidRPr="00E8640C">
        <w:rPr>
          <w:lang w:eastAsia="ja-JP"/>
        </w:rPr>
        <w:t xml:space="preserve"> Patient Demographics</w:t>
      </w:r>
      <w:bookmarkEnd w:id="51"/>
    </w:p>
    <w:p w:rsidR="00E8640C" w:rsidRPr="00E8640C" w:rsidRDefault="00E8640C" w:rsidP="00C72F55">
      <w:pPr>
        <w:rPr>
          <w:lang w:eastAsia="ja-JP"/>
        </w:rPr>
      </w:pPr>
      <w:r w:rsidRPr="00E8640C">
        <w:rPr>
          <w:noProof/>
          <w:lang w:eastAsia="en-AU"/>
        </w:rPr>
        <w:drawing>
          <wp:inline distT="0" distB="0" distL="0" distR="0">
            <wp:extent cx="4536440" cy="1351280"/>
            <wp:effectExtent l="19050" t="0" r="0" b="0"/>
            <wp:docPr id="33" name="Picture 18" descr="Table 11. Patient Demo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srcRect/>
                    <a:stretch>
                      <a:fillRect/>
                    </a:stretch>
                  </pic:blipFill>
                  <pic:spPr bwMode="auto">
                    <a:xfrm>
                      <a:off x="0" y="0"/>
                      <a:ext cx="4536440" cy="1351280"/>
                    </a:xfrm>
                    <a:prstGeom prst="rect">
                      <a:avLst/>
                    </a:prstGeom>
                    <a:noFill/>
                    <a:ln w="9525">
                      <a:noFill/>
                      <a:miter lim="800000"/>
                      <a:headEnd/>
                      <a:tailEnd/>
                    </a:ln>
                  </pic:spPr>
                </pic:pic>
              </a:graphicData>
            </a:graphic>
          </wp:inline>
        </w:drawing>
      </w:r>
    </w:p>
    <w:p w:rsidR="00E8640C" w:rsidRPr="000C2915" w:rsidRDefault="000C2915" w:rsidP="00C72F55">
      <w:pPr>
        <w:pStyle w:val="TableDescription"/>
        <w:rPr>
          <w:lang w:eastAsia="ja-JP"/>
        </w:rPr>
      </w:pPr>
      <w:r w:rsidRPr="000C2915">
        <w:rPr>
          <w:lang w:eastAsia="ja-JP"/>
        </w:rPr>
        <w:t>* Mean ± S.D</w:t>
      </w:r>
    </w:p>
    <w:p w:rsidR="00E8640C" w:rsidRPr="00E8640C" w:rsidRDefault="00E8640C" w:rsidP="000C2915">
      <w:pPr>
        <w:pStyle w:val="Heading6"/>
        <w:rPr>
          <w:lang w:eastAsia="ja-JP"/>
        </w:rPr>
      </w:pPr>
      <w:r w:rsidRPr="00E8640C">
        <w:rPr>
          <w:lang w:eastAsia="ja-JP"/>
        </w:rPr>
        <w:t>Major protocol violations/deviations</w:t>
      </w:r>
    </w:p>
    <w:p w:rsidR="00E8640C" w:rsidRPr="00E8640C" w:rsidRDefault="00E8640C" w:rsidP="00E8640C">
      <w:pPr>
        <w:rPr>
          <w:lang w:eastAsia="ja-JP"/>
        </w:rPr>
      </w:pPr>
      <w:r w:rsidRPr="00E8640C">
        <w:rPr>
          <w:lang w:eastAsia="ja-JP"/>
        </w:rPr>
        <w:t>Two in the 15% amino acid group and one in 10% amino acid group were excluded because they received less than 7 days of PN.</w:t>
      </w:r>
    </w:p>
    <w:p w:rsidR="00E8640C" w:rsidRPr="00E8640C" w:rsidRDefault="00E8640C" w:rsidP="00E8640C">
      <w:pPr>
        <w:rPr>
          <w:lang w:eastAsia="ja-JP"/>
        </w:rPr>
      </w:pPr>
      <w:r w:rsidRPr="00E8640C">
        <w:rPr>
          <w:lang w:eastAsia="ja-JP"/>
        </w:rPr>
        <w:t>Each group included two patients with Chronic Renal Failure who had no urine output and were receiving peritoneal dialysis. Fluid lost from peritoneal dialysis was not routinely measured and recorded in the hospitals, so output by this method was not available for the four patients.</w:t>
      </w:r>
    </w:p>
    <w:p w:rsidR="00E8640C" w:rsidRPr="00E8640C" w:rsidRDefault="00E8640C" w:rsidP="000C2915">
      <w:pPr>
        <w:pStyle w:val="Heading6"/>
        <w:rPr>
          <w:lang w:eastAsia="ja-JP"/>
        </w:rPr>
      </w:pPr>
      <w:r w:rsidRPr="00E8640C">
        <w:rPr>
          <w:lang w:eastAsia="ja-JP"/>
        </w:rPr>
        <w:lastRenderedPageBreak/>
        <w:t>Results for the primary efficacy outcome</w:t>
      </w:r>
    </w:p>
    <w:p w:rsidR="00E8640C" w:rsidRPr="00E8640C" w:rsidRDefault="00E8640C" w:rsidP="00E8640C">
      <w:pPr>
        <w:rPr>
          <w:lang w:eastAsia="ja-JP"/>
        </w:rPr>
      </w:pPr>
      <w:r w:rsidRPr="00E8640C">
        <w:rPr>
          <w:lang w:eastAsia="ja-JP"/>
        </w:rPr>
        <w:t>Total fluid volume from PN was 1059 ± 308 mL/day in the 15% amino acid group, and 1246 ± 355 mL/day in the 10</w:t>
      </w:r>
      <w:r w:rsidR="00C72F55">
        <w:rPr>
          <w:lang w:eastAsia="ja-JP"/>
        </w:rPr>
        <w:t>% amino acid group (p = 0.002).</w:t>
      </w:r>
    </w:p>
    <w:p w:rsidR="00E8640C" w:rsidRPr="00E8640C" w:rsidRDefault="00E8640C" w:rsidP="00E8640C">
      <w:pPr>
        <w:rPr>
          <w:lang w:eastAsia="ja-JP"/>
        </w:rPr>
      </w:pPr>
      <w:r w:rsidRPr="00E8640C">
        <w:rPr>
          <w:lang w:eastAsia="ja-JP"/>
        </w:rPr>
        <w:t>Fluid input from PN in the 15% amino acid group represented 40.9% of the total fluid input/day, while PN in the 10% amino acid group contributed 48.4% of this total (p =0.01).</w:t>
      </w:r>
    </w:p>
    <w:p w:rsidR="00E8640C" w:rsidRPr="00E8640C" w:rsidRDefault="00E8640C" w:rsidP="00E8640C">
      <w:pPr>
        <w:rPr>
          <w:lang w:eastAsia="ja-JP"/>
        </w:rPr>
      </w:pPr>
      <w:r w:rsidRPr="00E8640C">
        <w:rPr>
          <w:lang w:eastAsia="ja-JP"/>
        </w:rPr>
        <w:t>There was no statistical difference in Total fluid balance.</w:t>
      </w:r>
    </w:p>
    <w:p w:rsidR="00E8640C" w:rsidRPr="00E8640C" w:rsidRDefault="00E8640C" w:rsidP="00C72F55">
      <w:pPr>
        <w:pStyle w:val="TableTitle"/>
        <w:rPr>
          <w:lang w:eastAsia="ja-JP"/>
        </w:rPr>
      </w:pPr>
      <w:bookmarkStart w:id="52" w:name="_Toc328983418"/>
      <w:r w:rsidRPr="00E8640C">
        <w:rPr>
          <w:lang w:eastAsia="ja-JP"/>
        </w:rPr>
        <w:t xml:space="preserve">Table </w:t>
      </w:r>
      <w:r w:rsidR="002A2CD0">
        <w:rPr>
          <w:lang w:eastAsia="ja-JP"/>
        </w:rPr>
        <w:t>12</w:t>
      </w:r>
      <w:r w:rsidR="000C2915">
        <w:rPr>
          <w:lang w:eastAsia="ja-JP"/>
        </w:rPr>
        <w:t>.</w:t>
      </w:r>
      <w:r w:rsidRPr="00E8640C">
        <w:rPr>
          <w:lang w:eastAsia="ja-JP"/>
        </w:rPr>
        <w:t xml:space="preserve"> Fluid Balance and Parenteral Nutrition Intake</w:t>
      </w:r>
      <w:bookmarkEnd w:id="52"/>
    </w:p>
    <w:p w:rsidR="00E8640C" w:rsidRPr="00E8640C" w:rsidRDefault="00E8640C" w:rsidP="00C72F55">
      <w:pPr>
        <w:rPr>
          <w:lang w:eastAsia="ja-JP"/>
        </w:rPr>
      </w:pPr>
      <w:r w:rsidRPr="00E8640C">
        <w:rPr>
          <w:noProof/>
          <w:lang w:eastAsia="en-AU"/>
        </w:rPr>
        <w:drawing>
          <wp:inline distT="0" distB="0" distL="0" distR="0">
            <wp:extent cx="4973320" cy="1407160"/>
            <wp:effectExtent l="19050" t="0" r="0" b="0"/>
            <wp:docPr id="34" name="Picture 19" descr="Table 12. Fluid Balance and Parenteral Nutrition Int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4973320" cy="1407160"/>
                    </a:xfrm>
                    <a:prstGeom prst="rect">
                      <a:avLst/>
                    </a:prstGeom>
                    <a:noFill/>
                    <a:ln w="9525">
                      <a:noFill/>
                      <a:miter lim="800000"/>
                      <a:headEnd/>
                      <a:tailEnd/>
                    </a:ln>
                  </pic:spPr>
                </pic:pic>
              </a:graphicData>
            </a:graphic>
          </wp:inline>
        </w:drawing>
      </w:r>
    </w:p>
    <w:p w:rsidR="00E8640C" w:rsidRPr="000C2915" w:rsidRDefault="00E8640C" w:rsidP="00C72F55">
      <w:pPr>
        <w:pStyle w:val="TableDescription"/>
        <w:rPr>
          <w:lang w:eastAsia="ja-JP"/>
        </w:rPr>
      </w:pPr>
      <w:r w:rsidRPr="000C2915">
        <w:rPr>
          <w:lang w:eastAsia="ja-JP"/>
        </w:rPr>
        <w:t xml:space="preserve">* Mean </w:t>
      </w:r>
      <w:r w:rsidR="00C72F55">
        <w:rPr>
          <w:lang w:eastAsia="ja-JP"/>
        </w:rPr>
        <w:t>± SD. † p &lt;0.05 between groups.</w:t>
      </w:r>
    </w:p>
    <w:p w:rsidR="00E8640C" w:rsidRDefault="00E8640C" w:rsidP="00C72F55">
      <w:pPr>
        <w:pStyle w:val="TableTitle"/>
      </w:pPr>
      <w:bookmarkStart w:id="53" w:name="_Toc328983419"/>
      <w:proofErr w:type="gramStart"/>
      <w:r w:rsidRPr="000C2915">
        <w:t xml:space="preserve">Table </w:t>
      </w:r>
      <w:r w:rsidR="002A2CD0">
        <w:t>13</w:t>
      </w:r>
      <w:r w:rsidR="000C2915" w:rsidRPr="000C2915">
        <w:t>.</w:t>
      </w:r>
      <w:proofErr w:type="gramEnd"/>
      <w:r w:rsidRPr="000C2915">
        <w:t xml:space="preserve"> Laboratory Measurements of the Two Groups at Study Entry and End</w:t>
      </w:r>
      <w:bookmarkEnd w:id="53"/>
      <w:r w:rsidRPr="000C2915">
        <w:t xml:space="preserve"> </w:t>
      </w:r>
    </w:p>
    <w:p w:rsidR="000C2915" w:rsidRPr="000C2915" w:rsidRDefault="000C2915" w:rsidP="00C72F55">
      <w:r>
        <w:rPr>
          <w:noProof/>
          <w:lang w:eastAsia="en-AU"/>
        </w:rPr>
        <w:drawing>
          <wp:inline distT="0" distB="0" distL="0" distR="0">
            <wp:extent cx="5383407" cy="3852477"/>
            <wp:effectExtent l="19050" t="0" r="7743" b="0"/>
            <wp:docPr id="70" name="Picture 2" descr="Table 13. Laboratory Measurements of the Two Groups at Study Entry and 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386140" cy="3854432"/>
                    </a:xfrm>
                    <a:prstGeom prst="rect">
                      <a:avLst/>
                    </a:prstGeom>
                    <a:noFill/>
                    <a:ln w="9525">
                      <a:noFill/>
                      <a:miter lim="800000"/>
                      <a:headEnd/>
                      <a:tailEnd/>
                    </a:ln>
                  </pic:spPr>
                </pic:pic>
              </a:graphicData>
            </a:graphic>
          </wp:inline>
        </w:drawing>
      </w:r>
    </w:p>
    <w:p w:rsidR="00E8640C" w:rsidRPr="000C2915" w:rsidRDefault="00E8640C" w:rsidP="00C72F55">
      <w:pPr>
        <w:pStyle w:val="TableDescription"/>
        <w:rPr>
          <w:lang w:eastAsia="ja-JP"/>
        </w:rPr>
      </w:pPr>
      <w:r w:rsidRPr="000C2915">
        <w:rPr>
          <w:lang w:eastAsia="ja-JP"/>
        </w:rPr>
        <w:t>BUN = blood urea nitrogen (mg/dL) Cr = 11 creatinine (mg/dL</w:t>
      </w:r>
      <w:r w:rsidR="00C72F55">
        <w:rPr>
          <w:lang w:eastAsia="ja-JP"/>
        </w:rPr>
        <w:t>) Alb = albumin (g/</w:t>
      </w:r>
      <w:proofErr w:type="spellStart"/>
      <w:r w:rsidR="00C72F55">
        <w:rPr>
          <w:lang w:eastAsia="ja-JP"/>
        </w:rPr>
        <w:t>dL</w:t>
      </w:r>
      <w:proofErr w:type="spellEnd"/>
      <w:proofErr w:type="gramStart"/>
      <w:r w:rsidR="00C72F55">
        <w:rPr>
          <w:lang w:eastAsia="ja-JP"/>
        </w:rPr>
        <w:t>)  Source</w:t>
      </w:r>
      <w:proofErr w:type="gramEnd"/>
      <w:r w:rsidR="00C72F55">
        <w:rPr>
          <w:lang w:eastAsia="ja-JP"/>
        </w:rPr>
        <w:t>:</w:t>
      </w:r>
    </w:p>
    <w:p w:rsidR="00E8640C" w:rsidRPr="000C2915" w:rsidRDefault="00E8640C" w:rsidP="00C72F55">
      <w:r w:rsidRPr="000C2915">
        <w:rPr>
          <w:b/>
          <w:bCs/>
        </w:rPr>
        <w:t>Comment:</w:t>
      </w:r>
      <w:r w:rsidRPr="000C2915">
        <w:t xml:space="preserve"> Albumin has 20</w:t>
      </w:r>
      <w:r w:rsidR="000C2915" w:rsidRPr="000C2915">
        <w:t xml:space="preserve"> </w:t>
      </w:r>
      <w:r w:rsidRPr="000C2915">
        <w:t xml:space="preserve">day half life and is not considered a sensitive marker except in chronic malnutrition. The amount of enteral fluid and nutrition could not be determined from the report. Assessment of the effects of the 15% solution on Total Fluid balance showed no significant difference in discussion the authors point out that the saving of 187mL of fluid per day </w:t>
      </w:r>
      <w:r w:rsidR="004769BE">
        <w:t>“</w:t>
      </w:r>
      <w:r w:rsidRPr="000C2915">
        <w:t>could be easily negated by fluid challenges, a single administration of blood product, or administration of a new antibiotic.</w:t>
      </w:r>
      <w:r w:rsidR="004769BE">
        <w:t>”</w:t>
      </w:r>
      <w:r w:rsidRPr="000C2915">
        <w:t xml:space="preserve"> That is the clinical significance of the saving is doubtful.</w:t>
      </w:r>
    </w:p>
    <w:p w:rsidR="00E8640C" w:rsidRPr="000C2915" w:rsidRDefault="00C72F55" w:rsidP="004769BE">
      <w:pPr>
        <w:pStyle w:val="Heading4"/>
      </w:pPr>
      <w:bookmarkStart w:id="54" w:name="_Toc328983366"/>
      <w:r>
        <w:lastRenderedPageBreak/>
        <w:t>Lipid c</w:t>
      </w:r>
      <w:r w:rsidR="00E8640C" w:rsidRPr="000C2915">
        <w:t>omponent (</w:t>
      </w:r>
      <w:proofErr w:type="spellStart"/>
      <w:r w:rsidR="00E8640C" w:rsidRPr="000C2915">
        <w:t>Clinoleic</w:t>
      </w:r>
      <w:proofErr w:type="spellEnd"/>
      <w:r w:rsidR="00E8640C" w:rsidRPr="000C2915">
        <w:t>)</w:t>
      </w:r>
      <w:bookmarkEnd w:id="54"/>
    </w:p>
    <w:p w:rsidR="00E8640C" w:rsidRPr="000C2915" w:rsidRDefault="00E8640C" w:rsidP="000C2915">
      <w:r w:rsidRPr="000C2915">
        <w:t xml:space="preserve">This component is a relatively recently registered product (19/02/2004). </w:t>
      </w:r>
      <w:r w:rsidR="004769BE">
        <w:t>Reference is made to the previous TGA evaluation reports and discussions</w:t>
      </w:r>
      <w:r w:rsidRPr="000C2915">
        <w:t>.</w:t>
      </w:r>
    </w:p>
    <w:p w:rsidR="00E8640C" w:rsidRPr="000C2915" w:rsidRDefault="00E8640C" w:rsidP="004769BE">
      <w:pPr>
        <w:pStyle w:val="Heading4"/>
      </w:pPr>
      <w:bookmarkStart w:id="55" w:name="_Toc328983367"/>
      <w:r w:rsidRPr="000C2915">
        <w:t>Glucose (Component)</w:t>
      </w:r>
      <w:bookmarkEnd w:id="55"/>
    </w:p>
    <w:p w:rsidR="00E8640C" w:rsidRPr="000C2915" w:rsidRDefault="00E8640C" w:rsidP="000C2915">
      <w:r w:rsidRPr="000C2915">
        <w:t xml:space="preserve">This is </w:t>
      </w:r>
      <w:proofErr w:type="gramStart"/>
      <w:r w:rsidRPr="000C2915">
        <w:t>an</w:t>
      </w:r>
      <w:proofErr w:type="gramEnd"/>
      <w:r w:rsidRPr="000C2915">
        <w:t xml:space="preserve"> historically registered product.</w:t>
      </w:r>
    </w:p>
    <w:p w:rsidR="00E8640C" w:rsidRPr="000C2915" w:rsidRDefault="00E8640C" w:rsidP="004769BE">
      <w:pPr>
        <w:pStyle w:val="Heading3"/>
      </w:pPr>
      <w:bookmarkStart w:id="56" w:name="_Toc328983368"/>
      <w:bookmarkStart w:id="57" w:name="_Ref271126605"/>
      <w:bookmarkStart w:id="58" w:name="_Toc272414657"/>
      <w:bookmarkStart w:id="59" w:name="_Toc290846282"/>
      <w:bookmarkStart w:id="60" w:name="_Toc370730602"/>
      <w:r w:rsidRPr="000C2915">
        <w:t>Evaluator’s conclusions on clinical efficacy</w:t>
      </w:r>
      <w:bookmarkEnd w:id="56"/>
      <w:bookmarkEnd w:id="57"/>
      <w:bookmarkEnd w:id="58"/>
      <w:bookmarkEnd w:id="59"/>
      <w:bookmarkEnd w:id="60"/>
    </w:p>
    <w:p w:rsidR="00E8640C" w:rsidRPr="000C2915" w:rsidRDefault="00E8640C" w:rsidP="004769BE">
      <w:pPr>
        <w:pStyle w:val="Heading4"/>
      </w:pPr>
      <w:bookmarkStart w:id="61" w:name="_Toc328983369"/>
      <w:r w:rsidRPr="000C2915">
        <w:t>Evaluator’s conclusions on clinical efficacy of combined product</w:t>
      </w:r>
      <w:bookmarkEnd w:id="61"/>
    </w:p>
    <w:p w:rsidR="00E8640C" w:rsidRPr="004769BE" w:rsidRDefault="00E8640C" w:rsidP="004769BE">
      <w:r w:rsidRPr="004769BE">
        <w:t>The evidence for efficacy rests in a single study on 24 patients some of whom had a consi</w:t>
      </w:r>
      <w:r w:rsidR="00B07E14">
        <w:t xml:space="preserve">derable </w:t>
      </w:r>
      <w:proofErr w:type="spellStart"/>
      <w:r w:rsidR="00B07E14">
        <w:t>enteral</w:t>
      </w:r>
      <w:proofErr w:type="spellEnd"/>
      <w:r w:rsidR="00B07E14">
        <w:t xml:space="preserve"> intake as well.</w:t>
      </w:r>
    </w:p>
    <w:p w:rsidR="00E8640C" w:rsidRPr="004769BE" w:rsidRDefault="00E8640C" w:rsidP="004769BE">
      <w:pPr>
        <w:pStyle w:val="ListBullet"/>
      </w:pPr>
      <w:r w:rsidRPr="004769BE">
        <w:t>The study lasted only 5days.</w:t>
      </w:r>
    </w:p>
    <w:p w:rsidR="00E8640C" w:rsidRPr="004769BE" w:rsidRDefault="00E8640C" w:rsidP="004769BE">
      <w:pPr>
        <w:pStyle w:val="ListBullet"/>
      </w:pPr>
      <w:r w:rsidRPr="004769BE">
        <w:t>The comparator was a preparation not registered in A</w:t>
      </w:r>
      <w:r w:rsidR="00B07E14">
        <w:t>ustralia.</w:t>
      </w:r>
    </w:p>
    <w:p w:rsidR="00E8640C" w:rsidRPr="004769BE" w:rsidRDefault="00E8640C" w:rsidP="004769BE">
      <w:pPr>
        <w:pStyle w:val="ListBullet"/>
      </w:pPr>
      <w:r w:rsidRPr="004769BE">
        <w:t>Although the products had differing lipid/glucose ratios effects on glucose or triglycerides were not specifically considered except in discussion,</w:t>
      </w:r>
      <w:r w:rsidRPr="00641DBE">
        <w:rPr>
          <w:vertAlign w:val="superscript"/>
        </w:rPr>
        <w:footnoteReference w:id="5"/>
      </w:r>
      <w:r w:rsidRPr="004769BE">
        <w:t xml:space="preserve"> possibly because of the use of additional glucose infusions.</w:t>
      </w:r>
    </w:p>
    <w:p w:rsidR="00E8640C" w:rsidRPr="004769BE" w:rsidRDefault="00E8640C" w:rsidP="004769BE">
      <w:pPr>
        <w:pStyle w:val="ListBullet"/>
      </w:pPr>
      <w:r w:rsidRPr="004769BE">
        <w:t xml:space="preserve">This evaluator believes this is insufficient information to establish </w:t>
      </w:r>
      <w:r w:rsidR="00B07E14">
        <w:t>efficacy to the level required.</w:t>
      </w:r>
    </w:p>
    <w:p w:rsidR="00E8640C" w:rsidRPr="004769BE" w:rsidRDefault="00E8640C" w:rsidP="004769BE">
      <w:pPr>
        <w:pStyle w:val="Heading4"/>
      </w:pPr>
      <w:bookmarkStart w:id="62" w:name="_Toc328983370"/>
      <w:r w:rsidRPr="004769BE">
        <w:t>Evaluator’s conclusions on clinical efficacy of separate components</w:t>
      </w:r>
      <w:bookmarkEnd w:id="62"/>
    </w:p>
    <w:p w:rsidR="00E8640C" w:rsidRPr="004769BE" w:rsidRDefault="00E8640C" w:rsidP="004769BE">
      <w:r w:rsidRPr="004769BE">
        <w:t>The glucose and lipid components are registered and their efficacy is accepted.</w:t>
      </w:r>
    </w:p>
    <w:p w:rsidR="00E8640C" w:rsidRPr="00E8640C" w:rsidRDefault="00E8640C" w:rsidP="00E8640C">
      <w:pPr>
        <w:rPr>
          <w:lang w:eastAsia="ja-JP"/>
        </w:rPr>
      </w:pPr>
      <w:r w:rsidRPr="00E8640C">
        <w:rPr>
          <w:lang w:eastAsia="ja-JP"/>
        </w:rPr>
        <w:t>The 15% amino acid preparation (Clinisol) is not registered and the single literature trial in 10 patients for 7days failed to achieve a clinically significant difference in its primary endpoint and evidence of nutritional efficacy was lacking.</w:t>
      </w:r>
    </w:p>
    <w:p w:rsidR="00C22678" w:rsidRPr="00586F98" w:rsidRDefault="00E8640C" w:rsidP="00C22678">
      <w:pPr>
        <w:rPr>
          <w:lang w:eastAsia="ja-JP"/>
        </w:rPr>
      </w:pPr>
      <w:r w:rsidRPr="00E8640C">
        <w:rPr>
          <w:lang w:eastAsia="ja-JP"/>
        </w:rPr>
        <w:t>This evaluator believes this is insufficient information to establish efficacy.</w:t>
      </w:r>
    </w:p>
    <w:p w:rsidR="00C22678" w:rsidRDefault="00C22678" w:rsidP="00C22678">
      <w:pPr>
        <w:pStyle w:val="Heading2"/>
      </w:pPr>
      <w:bookmarkStart w:id="63" w:name="_Toc370730603"/>
      <w:r>
        <w:t>Clinical safety</w:t>
      </w:r>
      <w:bookmarkEnd w:id="63"/>
    </w:p>
    <w:p w:rsidR="00E8640C" w:rsidRPr="00AF6515" w:rsidRDefault="00B07E14" w:rsidP="00AF6515">
      <w:pPr>
        <w:pStyle w:val="Heading3"/>
      </w:pPr>
      <w:bookmarkStart w:id="64" w:name="_Toc328983372"/>
      <w:bookmarkStart w:id="65" w:name="_Toc272414659"/>
      <w:bookmarkStart w:id="66" w:name="_Toc290846284"/>
      <w:bookmarkStart w:id="67" w:name="_Toc370730604"/>
      <w:r>
        <w:t>Combined p</w:t>
      </w:r>
      <w:r w:rsidR="00E8640C" w:rsidRPr="00AF6515">
        <w:t xml:space="preserve">roduct - </w:t>
      </w:r>
      <w:r>
        <w:t>s</w:t>
      </w:r>
      <w:r w:rsidR="00E8640C" w:rsidRPr="00AF6515">
        <w:t>tudy ICS1063B/P01/03/</w:t>
      </w:r>
      <w:proofErr w:type="spellStart"/>
      <w:r w:rsidR="00E8640C" w:rsidRPr="00AF6515">
        <w:t>Mu.F</w:t>
      </w:r>
      <w:bookmarkEnd w:id="64"/>
      <w:bookmarkEnd w:id="65"/>
      <w:bookmarkEnd w:id="66"/>
      <w:bookmarkEnd w:id="67"/>
      <w:proofErr w:type="spellEnd"/>
    </w:p>
    <w:p w:rsidR="00E8640C" w:rsidRPr="00AF6515" w:rsidRDefault="00E8640C" w:rsidP="00AF6515">
      <w:r w:rsidRPr="00AF6515">
        <w:t>This study was the only source of safety data for the combined product other than post marketing.</w:t>
      </w:r>
    </w:p>
    <w:p w:rsidR="00E8640C" w:rsidRPr="00AF6515" w:rsidRDefault="00E8640C" w:rsidP="00AF6515">
      <w:pPr>
        <w:pStyle w:val="Heading4"/>
      </w:pPr>
      <w:bookmarkStart w:id="68" w:name="_Ref272317284"/>
      <w:bookmarkStart w:id="69" w:name="_Ref272333565"/>
      <w:bookmarkStart w:id="70" w:name="_Toc272414664"/>
      <w:bookmarkStart w:id="71" w:name="_Toc290846302"/>
      <w:bookmarkStart w:id="72" w:name="_Toc328983373"/>
      <w:r w:rsidRPr="00AF6515">
        <w:t>All adverse events (irrespective of relationship to study treatment)</w:t>
      </w:r>
      <w:bookmarkEnd w:id="68"/>
      <w:bookmarkEnd w:id="69"/>
      <w:bookmarkEnd w:id="70"/>
      <w:bookmarkEnd w:id="71"/>
      <w:bookmarkEnd w:id="72"/>
    </w:p>
    <w:p w:rsidR="00E8640C" w:rsidRPr="00AF6515" w:rsidRDefault="00E8640C" w:rsidP="00AF6515">
      <w:r w:rsidRPr="00AF6515">
        <w:t>A total of 53 Adverse Events occurred under treatment, 29 in Oliclinisol group vs. 24 in Oliclinomel group. Only 7 were estimated to be related to Oliclinisol and only 8 were estimated to be related to Oliclinomel.</w:t>
      </w:r>
    </w:p>
    <w:p w:rsidR="00E8640C" w:rsidRPr="00AF6515" w:rsidRDefault="00E8640C" w:rsidP="00547022">
      <w:pPr>
        <w:pStyle w:val="TableTitle"/>
      </w:pPr>
      <w:bookmarkStart w:id="73" w:name="_Toc328983420"/>
      <w:r w:rsidRPr="00AF6515">
        <w:lastRenderedPageBreak/>
        <w:t xml:space="preserve">Table </w:t>
      </w:r>
      <w:r w:rsidR="00403BBD">
        <w:t>14</w:t>
      </w:r>
      <w:r w:rsidR="00AF6515">
        <w:t>.</w:t>
      </w:r>
      <w:r w:rsidRPr="00AF6515">
        <w:t xml:space="preserve"> Adverse Events</w:t>
      </w:r>
      <w:bookmarkEnd w:id="73"/>
    </w:p>
    <w:p w:rsidR="00E8640C" w:rsidRPr="00E8640C" w:rsidRDefault="00E8640C" w:rsidP="00547022">
      <w:pPr>
        <w:keepNext/>
        <w:rPr>
          <w:lang w:eastAsia="ja-JP"/>
        </w:rPr>
      </w:pPr>
      <w:r w:rsidRPr="00E8640C">
        <w:rPr>
          <w:noProof/>
          <w:lang w:eastAsia="en-AU"/>
        </w:rPr>
        <w:drawing>
          <wp:inline distT="0" distB="0" distL="0" distR="0">
            <wp:extent cx="4028440" cy="1188720"/>
            <wp:effectExtent l="19050" t="0" r="0" b="0"/>
            <wp:docPr id="55" name="Picture 25" descr="Table 14. Advers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a:stretch>
                      <a:fillRect/>
                    </a:stretch>
                  </pic:blipFill>
                  <pic:spPr bwMode="auto">
                    <a:xfrm>
                      <a:off x="0" y="0"/>
                      <a:ext cx="4028440" cy="1188720"/>
                    </a:xfrm>
                    <a:prstGeom prst="rect">
                      <a:avLst/>
                    </a:prstGeom>
                    <a:noFill/>
                    <a:ln w="9525">
                      <a:noFill/>
                      <a:miter lim="800000"/>
                      <a:headEnd/>
                      <a:tailEnd/>
                    </a:ln>
                  </pic:spPr>
                </pic:pic>
              </a:graphicData>
            </a:graphic>
          </wp:inline>
        </w:drawing>
      </w:r>
    </w:p>
    <w:p w:rsidR="00E8640C" w:rsidRPr="00AF6515" w:rsidRDefault="00E8640C" w:rsidP="00547022">
      <w:pPr>
        <w:pStyle w:val="TableDescription"/>
      </w:pPr>
      <w:r w:rsidRPr="00AF6515">
        <w:t>1 Started after obtaining informed consent signature but before 1st infusion initiation</w:t>
      </w:r>
    </w:p>
    <w:p w:rsidR="00E8640C" w:rsidRPr="00AF6515" w:rsidRDefault="00E8640C" w:rsidP="00547022">
      <w:pPr>
        <w:pStyle w:val="TableDescription"/>
      </w:pPr>
      <w:r w:rsidRPr="00AF6515">
        <w:t>2 Started after 1st infusion initiation: Corresponds to “Treatment Emergent Signs and Symptoms” (TESS: those not seen at baseline and those worsened even if pre</w:t>
      </w:r>
      <w:r w:rsidR="00AF6515" w:rsidRPr="00AF6515">
        <w:t>sent at baseline)</w:t>
      </w:r>
    </w:p>
    <w:p w:rsidR="00E8640C" w:rsidRPr="00E8640C" w:rsidRDefault="00E8640C" w:rsidP="00547022">
      <w:pPr>
        <w:pStyle w:val="TableTitle"/>
        <w:rPr>
          <w:lang w:eastAsia="ja-JP"/>
        </w:rPr>
      </w:pPr>
      <w:bookmarkStart w:id="74" w:name="_Toc328983421"/>
      <w:proofErr w:type="gramStart"/>
      <w:r w:rsidRPr="00E8640C">
        <w:rPr>
          <w:lang w:eastAsia="ja-JP"/>
        </w:rPr>
        <w:t xml:space="preserve">Table </w:t>
      </w:r>
      <w:r w:rsidR="00403BBD">
        <w:rPr>
          <w:lang w:eastAsia="ja-JP"/>
        </w:rPr>
        <w:t>15</w:t>
      </w:r>
      <w:r w:rsidR="00AF6515">
        <w:rPr>
          <w:lang w:eastAsia="ja-JP"/>
        </w:rPr>
        <w:t>.</w:t>
      </w:r>
      <w:proofErr w:type="gramEnd"/>
      <w:r w:rsidRPr="00E8640C">
        <w:rPr>
          <w:lang w:eastAsia="ja-JP"/>
        </w:rPr>
        <w:t xml:space="preserve"> Number of AEs observed in </w:t>
      </w:r>
      <w:proofErr w:type="gramStart"/>
      <w:r w:rsidRPr="00E8640C">
        <w:rPr>
          <w:lang w:eastAsia="ja-JP"/>
        </w:rPr>
        <w:t>Oliclinisol(</w:t>
      </w:r>
      <w:proofErr w:type="gramEnd"/>
      <w:r w:rsidRPr="00E8640C">
        <w:rPr>
          <w:lang w:eastAsia="ja-JP"/>
        </w:rPr>
        <w:t>Olimel) group</w:t>
      </w:r>
      <w:r w:rsidRPr="00E8640C">
        <w:rPr>
          <w:vertAlign w:val="superscript"/>
          <w:lang w:eastAsia="ja-JP"/>
        </w:rPr>
        <w:t>a</w:t>
      </w:r>
      <w:r w:rsidRPr="00E8640C">
        <w:rPr>
          <w:lang w:eastAsia="ja-JP"/>
        </w:rPr>
        <w:t xml:space="preserve"> after start of 1st infusion</w:t>
      </w:r>
      <w:bookmarkEnd w:id="74"/>
    </w:p>
    <w:p w:rsidR="00E8640C" w:rsidRPr="00E8640C" w:rsidRDefault="00E8640C" w:rsidP="00547022">
      <w:pPr>
        <w:rPr>
          <w:lang w:eastAsia="ja-JP"/>
        </w:rPr>
      </w:pPr>
      <w:r w:rsidRPr="00E8640C">
        <w:rPr>
          <w:noProof/>
          <w:lang w:eastAsia="en-AU"/>
        </w:rPr>
        <w:drawing>
          <wp:inline distT="0" distB="0" distL="0" distR="0">
            <wp:extent cx="5701687" cy="4983480"/>
            <wp:effectExtent l="19050" t="0" r="0" b="0"/>
            <wp:docPr id="56" name="Picture 26" descr="Table 15. Number of AEs observed in Oliclinisol(Olimel) groupa after start of 1st in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srcRect/>
                    <a:stretch>
                      <a:fillRect/>
                    </a:stretch>
                  </pic:blipFill>
                  <pic:spPr bwMode="auto">
                    <a:xfrm>
                      <a:off x="0" y="0"/>
                      <a:ext cx="5701687" cy="4983480"/>
                    </a:xfrm>
                    <a:prstGeom prst="rect">
                      <a:avLst/>
                    </a:prstGeom>
                    <a:noFill/>
                    <a:ln w="9525">
                      <a:noFill/>
                      <a:miter lim="800000"/>
                      <a:headEnd/>
                      <a:tailEnd/>
                    </a:ln>
                  </pic:spPr>
                </pic:pic>
              </a:graphicData>
            </a:graphic>
          </wp:inline>
        </w:drawing>
      </w:r>
    </w:p>
    <w:p w:rsidR="00E8640C" w:rsidRPr="00A031C9" w:rsidRDefault="00E8640C" w:rsidP="00547022">
      <w:pPr>
        <w:pStyle w:val="TableDescription"/>
      </w:pPr>
      <w:proofErr w:type="gramStart"/>
      <w:r w:rsidRPr="00A031C9">
        <w:rPr>
          <w:vertAlign w:val="superscript"/>
          <w:lang w:eastAsia="ja-JP"/>
        </w:rPr>
        <w:t>a</w:t>
      </w:r>
      <w:proofErr w:type="gramEnd"/>
      <w:r w:rsidRPr="00A031C9">
        <w:rPr>
          <w:vertAlign w:val="superscript"/>
          <w:lang w:eastAsia="ja-JP"/>
        </w:rPr>
        <w:t xml:space="preserve"> </w:t>
      </w:r>
      <w:r w:rsidRPr="00A031C9">
        <w:t>If any follow-up was available, last relationship fr</w:t>
      </w:r>
      <w:r w:rsidR="00A031C9" w:rsidRPr="00A031C9">
        <w:t>om follow-up was considered.</w:t>
      </w:r>
    </w:p>
    <w:p w:rsidR="00E8640C" w:rsidRPr="00E8640C" w:rsidRDefault="00E8640C" w:rsidP="00E8640C">
      <w:pPr>
        <w:rPr>
          <w:lang w:eastAsia="ja-JP"/>
        </w:rPr>
      </w:pPr>
    </w:p>
    <w:p w:rsidR="00E8640C" w:rsidRPr="00E8640C" w:rsidRDefault="00E8640C" w:rsidP="00E8640C">
      <w:pPr>
        <w:rPr>
          <w:lang w:eastAsia="ja-JP"/>
        </w:rPr>
        <w:sectPr w:rsidR="00E8640C" w:rsidRPr="00E8640C" w:rsidSect="00E8640C">
          <w:endnotePr>
            <w:numFmt w:val="decimal"/>
          </w:endnotePr>
          <w:pgSz w:w="11906" w:h="16838" w:code="9"/>
          <w:pgMar w:top="1134" w:right="1134" w:bottom="1134" w:left="1440" w:header="737" w:footer="737" w:gutter="0"/>
          <w:cols w:space="720"/>
        </w:sectPr>
      </w:pPr>
    </w:p>
    <w:p w:rsidR="00E8640C" w:rsidRPr="00E8640C" w:rsidRDefault="00E8640C" w:rsidP="00547022">
      <w:pPr>
        <w:pStyle w:val="TableTitle"/>
        <w:rPr>
          <w:lang w:eastAsia="ja-JP"/>
        </w:rPr>
      </w:pPr>
      <w:bookmarkStart w:id="75" w:name="_Toc328983422"/>
      <w:r w:rsidRPr="00E8640C">
        <w:rPr>
          <w:lang w:eastAsia="ja-JP"/>
        </w:rPr>
        <w:lastRenderedPageBreak/>
        <w:t xml:space="preserve">Table </w:t>
      </w:r>
      <w:r w:rsidR="00403BBD">
        <w:rPr>
          <w:lang w:eastAsia="ja-JP"/>
        </w:rPr>
        <w:t>16</w:t>
      </w:r>
      <w:r w:rsidR="00AF6515">
        <w:rPr>
          <w:lang w:eastAsia="ja-JP"/>
        </w:rPr>
        <w:t>.</w:t>
      </w:r>
      <w:r w:rsidRPr="00E8640C">
        <w:rPr>
          <w:lang w:eastAsia="ja-JP"/>
        </w:rPr>
        <w:t xml:space="preserve"> Incidence and rate of AEs per System Organ Class and Preferred Term occurred after start of 1st infusion</w:t>
      </w:r>
      <w:bookmarkEnd w:id="75"/>
    </w:p>
    <w:p w:rsidR="00E8640C" w:rsidRDefault="00E8640C" w:rsidP="00E8640C">
      <w:pPr>
        <w:rPr>
          <w:lang w:eastAsia="ja-JP"/>
        </w:rPr>
      </w:pPr>
      <w:r w:rsidRPr="00E8640C">
        <w:rPr>
          <w:noProof/>
          <w:lang w:eastAsia="en-AU"/>
        </w:rPr>
        <w:drawing>
          <wp:inline distT="0" distB="0" distL="0" distR="0">
            <wp:extent cx="8778240" cy="5420360"/>
            <wp:effectExtent l="19050" t="0" r="3810" b="0"/>
            <wp:docPr id="57" name="Picture 27" descr="Table 16. Incidence and rate of AEs per System Organ Class and Preferred Term occurred after start of 1st in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srcRect/>
                    <a:stretch>
                      <a:fillRect/>
                    </a:stretch>
                  </pic:blipFill>
                  <pic:spPr bwMode="auto">
                    <a:xfrm>
                      <a:off x="0" y="0"/>
                      <a:ext cx="8778240" cy="5420360"/>
                    </a:xfrm>
                    <a:prstGeom prst="rect">
                      <a:avLst/>
                    </a:prstGeom>
                    <a:noFill/>
                    <a:ln w="9525">
                      <a:noFill/>
                      <a:miter lim="800000"/>
                      <a:headEnd/>
                      <a:tailEnd/>
                    </a:ln>
                  </pic:spPr>
                </pic:pic>
              </a:graphicData>
            </a:graphic>
          </wp:inline>
        </w:drawing>
      </w:r>
    </w:p>
    <w:p w:rsidR="00E8640C" w:rsidRPr="00AF6515" w:rsidRDefault="00E8640C" w:rsidP="00AF6515">
      <w:pPr>
        <w:pStyle w:val="FigureTitle"/>
        <w:rPr>
          <w:lang w:eastAsia="ja-JP"/>
        </w:rPr>
      </w:pPr>
      <w:r w:rsidRPr="00AF6515">
        <w:rPr>
          <w:lang w:eastAsia="ja-JP"/>
        </w:rPr>
        <w:lastRenderedPageBreak/>
        <w:t xml:space="preserve">Table </w:t>
      </w:r>
      <w:r w:rsidR="00403BBD">
        <w:rPr>
          <w:lang w:eastAsia="ja-JP"/>
        </w:rPr>
        <w:t>16</w:t>
      </w:r>
      <w:r w:rsidRPr="00AF6515">
        <w:rPr>
          <w:lang w:eastAsia="ja-JP"/>
        </w:rPr>
        <w:t xml:space="preserve"> </w:t>
      </w:r>
      <w:r w:rsidR="00AF6515">
        <w:rPr>
          <w:lang w:eastAsia="ja-JP"/>
        </w:rPr>
        <w:t xml:space="preserve">continued. </w:t>
      </w:r>
      <w:r w:rsidRPr="00AF6515">
        <w:rPr>
          <w:lang w:eastAsia="ja-JP"/>
        </w:rPr>
        <w:t>Incidence and rate of AEs per System Organ Class and Preferred Term occurred after start of 1st infusion</w:t>
      </w:r>
    </w:p>
    <w:p w:rsidR="00E8640C" w:rsidRPr="00E8640C" w:rsidRDefault="00E8640C" w:rsidP="00E8640C">
      <w:pPr>
        <w:rPr>
          <w:lang w:eastAsia="ja-JP"/>
        </w:rPr>
      </w:pPr>
      <w:r w:rsidRPr="00E8640C">
        <w:rPr>
          <w:noProof/>
          <w:lang w:eastAsia="en-AU"/>
        </w:rPr>
        <w:drawing>
          <wp:inline distT="0" distB="0" distL="0" distR="0">
            <wp:extent cx="8783320" cy="5034280"/>
            <wp:effectExtent l="19050" t="0" r="0" b="0"/>
            <wp:docPr id="58" name="Picture 28" descr="Table 16 continued. Incidence and rate of AEs per System Organ Class and Preferred Term occurred after start of 1st in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srcRect/>
                    <a:stretch>
                      <a:fillRect/>
                    </a:stretch>
                  </pic:blipFill>
                  <pic:spPr bwMode="auto">
                    <a:xfrm>
                      <a:off x="0" y="0"/>
                      <a:ext cx="8783320" cy="5034280"/>
                    </a:xfrm>
                    <a:prstGeom prst="rect">
                      <a:avLst/>
                    </a:prstGeom>
                    <a:noFill/>
                    <a:ln w="9525">
                      <a:noFill/>
                      <a:miter lim="800000"/>
                      <a:headEnd/>
                      <a:tailEnd/>
                    </a:ln>
                  </pic:spPr>
                </pic:pic>
              </a:graphicData>
            </a:graphic>
          </wp:inline>
        </w:drawing>
      </w:r>
    </w:p>
    <w:p w:rsidR="00E8640C" w:rsidRPr="00E8640C" w:rsidRDefault="00E8640C" w:rsidP="00547022">
      <w:pPr>
        <w:pStyle w:val="TableDescription"/>
        <w:rPr>
          <w:lang w:eastAsia="ja-JP"/>
        </w:rPr>
      </w:pPr>
      <w:r w:rsidRPr="00AF6515">
        <w:t>* Total SOC= Number of patients with at least one AE</w:t>
      </w:r>
      <w:r w:rsidR="00A031C9">
        <w:t>.</w:t>
      </w:r>
    </w:p>
    <w:p w:rsidR="00E8640C" w:rsidRPr="00E8640C" w:rsidRDefault="00E8640C" w:rsidP="00E8640C">
      <w:pPr>
        <w:rPr>
          <w:lang w:eastAsia="ja-JP"/>
        </w:rPr>
      </w:pPr>
    </w:p>
    <w:p w:rsidR="00E8640C" w:rsidRPr="00E8640C" w:rsidRDefault="00E8640C" w:rsidP="00E8640C">
      <w:pPr>
        <w:rPr>
          <w:lang w:eastAsia="ja-JP"/>
        </w:rPr>
        <w:sectPr w:rsidR="00E8640C" w:rsidRPr="00E8640C" w:rsidSect="00B52280">
          <w:footerReference w:type="default" r:id="rId26"/>
          <w:footnotePr>
            <w:numFmt w:val="lowerLetter"/>
          </w:footnotePr>
          <w:endnotePr>
            <w:numFmt w:val="decimal"/>
          </w:endnotePr>
          <w:pgSz w:w="16838" w:h="11906" w:orient="landscape" w:code="9"/>
          <w:pgMar w:top="1440" w:right="1134" w:bottom="1134" w:left="1134" w:header="737" w:footer="737" w:gutter="0"/>
          <w:cols w:space="720"/>
          <w:docGrid w:linePitch="299"/>
        </w:sectPr>
      </w:pPr>
    </w:p>
    <w:p w:rsidR="00E8640C" w:rsidRPr="00E8640C" w:rsidRDefault="00E8640C" w:rsidP="005B7A1C">
      <w:pPr>
        <w:pStyle w:val="Heading4"/>
      </w:pPr>
      <w:bookmarkStart w:id="76" w:name="_Toc241374320"/>
      <w:bookmarkStart w:id="77" w:name="_Ref272333507"/>
      <w:bookmarkStart w:id="78" w:name="_Toc272414666"/>
      <w:bookmarkStart w:id="79" w:name="_Toc290846304"/>
      <w:bookmarkStart w:id="80" w:name="_Toc328983374"/>
      <w:r w:rsidRPr="00E8640C">
        <w:lastRenderedPageBreak/>
        <w:t>Deaths and other serious adverse events</w:t>
      </w:r>
      <w:bookmarkEnd w:id="76"/>
      <w:bookmarkEnd w:id="77"/>
      <w:bookmarkEnd w:id="78"/>
      <w:bookmarkEnd w:id="79"/>
      <w:bookmarkEnd w:id="80"/>
    </w:p>
    <w:p w:rsidR="00E8640C" w:rsidRPr="005B7A1C" w:rsidRDefault="00E8640C" w:rsidP="005B7A1C">
      <w:r w:rsidRPr="005B7A1C">
        <w:t>1 death on Olimel due to septic shock not felt related.</w:t>
      </w:r>
    </w:p>
    <w:p w:rsidR="00E8640C" w:rsidRDefault="00E8640C" w:rsidP="00547022">
      <w:pPr>
        <w:pStyle w:val="TableTitle"/>
      </w:pPr>
      <w:bookmarkStart w:id="81" w:name="_Toc328983423"/>
      <w:r w:rsidRPr="005B7A1C">
        <w:t>Table</w:t>
      </w:r>
      <w:r w:rsidR="00403BBD">
        <w:t xml:space="preserve"> 17</w:t>
      </w:r>
      <w:r w:rsidR="00A031C9">
        <w:t>.</w:t>
      </w:r>
      <w:r w:rsidRPr="005B7A1C">
        <w:t xml:space="preserve"> Other SAEs occurred in the study.</w:t>
      </w:r>
      <w:bookmarkEnd w:id="81"/>
    </w:p>
    <w:tbl>
      <w:tblPr>
        <w:tblStyle w:val="TableTGAblue"/>
        <w:tblW w:w="0" w:type="auto"/>
        <w:tblLayout w:type="fixed"/>
        <w:tblLook w:val="04A0"/>
      </w:tblPr>
      <w:tblGrid>
        <w:gridCol w:w="1668"/>
        <w:gridCol w:w="2952"/>
        <w:gridCol w:w="1584"/>
        <w:gridCol w:w="3038"/>
      </w:tblGrid>
      <w:tr w:rsidR="005B7A1C" w:rsidTr="0096654E">
        <w:trPr>
          <w:cnfStyle w:val="100000000000"/>
        </w:trPr>
        <w:tc>
          <w:tcPr>
            <w:cnfStyle w:val="001000000000"/>
            <w:tcW w:w="1668" w:type="dxa"/>
          </w:tcPr>
          <w:p w:rsidR="005B7A1C" w:rsidRDefault="005B7A1C" w:rsidP="0096654E">
            <w:pPr>
              <w:spacing w:before="0" w:after="0"/>
              <w:ind w:left="0" w:right="0"/>
            </w:pPr>
            <w:r>
              <w:t>Treatment</w:t>
            </w:r>
          </w:p>
        </w:tc>
        <w:tc>
          <w:tcPr>
            <w:tcW w:w="2952" w:type="dxa"/>
          </w:tcPr>
          <w:p w:rsidR="005B7A1C" w:rsidRDefault="005B7A1C" w:rsidP="0096654E">
            <w:pPr>
              <w:spacing w:before="0" w:after="0"/>
              <w:ind w:left="0" w:right="0"/>
              <w:cnfStyle w:val="100000000000"/>
            </w:pPr>
            <w:r>
              <w:t>SAE PT</w:t>
            </w:r>
          </w:p>
        </w:tc>
        <w:tc>
          <w:tcPr>
            <w:tcW w:w="1584" w:type="dxa"/>
          </w:tcPr>
          <w:p w:rsidR="005B7A1C" w:rsidRDefault="005B7A1C" w:rsidP="0096654E">
            <w:pPr>
              <w:spacing w:before="0" w:after="0"/>
              <w:ind w:left="0" w:right="0"/>
              <w:cnfStyle w:val="100000000000"/>
            </w:pPr>
            <w:r>
              <w:t>Relationship to treatment</w:t>
            </w:r>
          </w:p>
        </w:tc>
        <w:tc>
          <w:tcPr>
            <w:tcW w:w="3038" w:type="dxa"/>
          </w:tcPr>
          <w:p w:rsidR="005B7A1C" w:rsidRDefault="005B7A1C" w:rsidP="0096654E">
            <w:pPr>
              <w:spacing w:before="0" w:after="0"/>
              <w:ind w:left="0" w:right="0"/>
              <w:cnfStyle w:val="100000000000"/>
            </w:pPr>
            <w:r>
              <w:t xml:space="preserve">Time frame between first infusion Onset time and AE Onset time </w:t>
            </w:r>
          </w:p>
        </w:tc>
      </w:tr>
      <w:tr w:rsidR="005B7A1C" w:rsidTr="0096654E">
        <w:tc>
          <w:tcPr>
            <w:cnfStyle w:val="001000000000"/>
            <w:tcW w:w="1668" w:type="dxa"/>
          </w:tcPr>
          <w:p w:rsidR="005B7A1C" w:rsidRDefault="0096654E" w:rsidP="0096654E">
            <w:pPr>
              <w:spacing w:before="0" w:after="0"/>
              <w:ind w:left="0" w:right="0"/>
            </w:pPr>
            <w:r w:rsidRPr="0096654E">
              <w:t>Oliclinisol</w:t>
            </w:r>
          </w:p>
        </w:tc>
        <w:tc>
          <w:tcPr>
            <w:tcW w:w="2952" w:type="dxa"/>
          </w:tcPr>
          <w:p w:rsidR="005B7A1C" w:rsidRDefault="0096654E" w:rsidP="0096654E">
            <w:pPr>
              <w:spacing w:before="0" w:after="0"/>
              <w:ind w:left="0" w:right="0"/>
              <w:cnfStyle w:val="000000000000"/>
            </w:pPr>
            <w:r>
              <w:t>Oesophagobronchial fistula</w:t>
            </w:r>
          </w:p>
        </w:tc>
        <w:tc>
          <w:tcPr>
            <w:tcW w:w="1584" w:type="dxa"/>
          </w:tcPr>
          <w:p w:rsidR="005B7A1C" w:rsidRDefault="0096654E" w:rsidP="0096654E">
            <w:pPr>
              <w:spacing w:before="0" w:after="0"/>
              <w:ind w:left="0" w:right="0"/>
              <w:cnfStyle w:val="000000000000"/>
            </w:pPr>
            <w:r>
              <w:t>None</w:t>
            </w:r>
          </w:p>
        </w:tc>
        <w:tc>
          <w:tcPr>
            <w:tcW w:w="3038" w:type="dxa"/>
          </w:tcPr>
          <w:p w:rsidR="005B7A1C" w:rsidRDefault="0096654E" w:rsidP="0096654E">
            <w:pPr>
              <w:spacing w:before="0" w:after="0"/>
              <w:ind w:left="0" w:right="0"/>
              <w:cnfStyle w:val="000000000000"/>
            </w:pPr>
            <w:r>
              <w:t>5 days</w:t>
            </w:r>
          </w:p>
        </w:tc>
      </w:tr>
      <w:tr w:rsidR="005B7A1C" w:rsidTr="0096654E">
        <w:tc>
          <w:tcPr>
            <w:cnfStyle w:val="001000000000"/>
            <w:tcW w:w="1668" w:type="dxa"/>
          </w:tcPr>
          <w:p w:rsidR="005B7A1C" w:rsidRDefault="0096654E" w:rsidP="0096654E">
            <w:pPr>
              <w:spacing w:before="0" w:after="0"/>
              <w:ind w:left="0" w:right="0"/>
            </w:pPr>
            <w:r w:rsidRPr="0096654E">
              <w:t>Oliclinomel</w:t>
            </w:r>
          </w:p>
        </w:tc>
        <w:tc>
          <w:tcPr>
            <w:tcW w:w="2952" w:type="dxa"/>
          </w:tcPr>
          <w:p w:rsidR="005B7A1C" w:rsidRDefault="0096654E" w:rsidP="0096654E">
            <w:pPr>
              <w:spacing w:before="0" w:after="0"/>
              <w:ind w:left="0" w:right="0"/>
              <w:cnfStyle w:val="000000000000"/>
            </w:pPr>
            <w:r>
              <w:t>Hypersensitivity</w:t>
            </w:r>
          </w:p>
        </w:tc>
        <w:tc>
          <w:tcPr>
            <w:tcW w:w="1584" w:type="dxa"/>
          </w:tcPr>
          <w:p w:rsidR="005B7A1C" w:rsidRDefault="0096654E" w:rsidP="0096654E">
            <w:pPr>
              <w:spacing w:before="0" w:after="0"/>
              <w:ind w:left="0" w:right="0"/>
              <w:cnfStyle w:val="000000000000"/>
            </w:pPr>
            <w:r>
              <w:t>Certain</w:t>
            </w:r>
          </w:p>
        </w:tc>
        <w:tc>
          <w:tcPr>
            <w:tcW w:w="3038" w:type="dxa"/>
          </w:tcPr>
          <w:p w:rsidR="005B7A1C" w:rsidRDefault="0096654E" w:rsidP="0096654E">
            <w:pPr>
              <w:spacing w:before="0" w:after="0"/>
              <w:ind w:left="0" w:right="0"/>
              <w:cnfStyle w:val="000000000000"/>
            </w:pPr>
            <w:r>
              <w:t>1 day 14 hours 0 min</w:t>
            </w:r>
          </w:p>
        </w:tc>
      </w:tr>
      <w:tr w:rsidR="005B7A1C" w:rsidTr="0096654E">
        <w:tc>
          <w:tcPr>
            <w:cnfStyle w:val="001000000000"/>
            <w:tcW w:w="1668" w:type="dxa"/>
          </w:tcPr>
          <w:p w:rsidR="005B7A1C" w:rsidRDefault="0096654E" w:rsidP="0096654E">
            <w:pPr>
              <w:spacing w:before="0" w:after="0"/>
              <w:ind w:left="0" w:right="0"/>
            </w:pPr>
            <w:r w:rsidRPr="0096654E">
              <w:t>Oliclinomel</w:t>
            </w:r>
          </w:p>
        </w:tc>
        <w:tc>
          <w:tcPr>
            <w:tcW w:w="2952" w:type="dxa"/>
          </w:tcPr>
          <w:p w:rsidR="005B7A1C" w:rsidRDefault="0096654E" w:rsidP="0096654E">
            <w:pPr>
              <w:spacing w:before="0" w:after="0"/>
              <w:ind w:left="0" w:right="0"/>
              <w:cnfStyle w:val="000000000000"/>
            </w:pPr>
            <w:r>
              <w:t>Acute pulmonary oedema</w:t>
            </w:r>
          </w:p>
        </w:tc>
        <w:tc>
          <w:tcPr>
            <w:tcW w:w="1584" w:type="dxa"/>
          </w:tcPr>
          <w:p w:rsidR="005B7A1C" w:rsidRDefault="0096654E" w:rsidP="0096654E">
            <w:pPr>
              <w:spacing w:before="0" w:after="0"/>
              <w:ind w:left="0" w:right="0"/>
              <w:cnfStyle w:val="000000000000"/>
            </w:pPr>
            <w:r>
              <w:t>None</w:t>
            </w:r>
          </w:p>
        </w:tc>
        <w:tc>
          <w:tcPr>
            <w:tcW w:w="3038" w:type="dxa"/>
          </w:tcPr>
          <w:p w:rsidR="005B7A1C" w:rsidRDefault="0096654E" w:rsidP="0096654E">
            <w:pPr>
              <w:spacing w:before="0" w:after="0"/>
              <w:ind w:left="0" w:right="0"/>
              <w:cnfStyle w:val="000000000000"/>
            </w:pPr>
            <w:r>
              <w:t>2 days 1 hour 0 min</w:t>
            </w:r>
          </w:p>
        </w:tc>
      </w:tr>
    </w:tbl>
    <w:p w:rsidR="00E8640C" w:rsidRPr="0096654E" w:rsidRDefault="00E8640C" w:rsidP="0096654E">
      <w:r w:rsidRPr="0096654E">
        <w:t>3 Other SAEs were reported</w:t>
      </w:r>
      <w:r w:rsidR="0096654E">
        <w:t>:</w:t>
      </w:r>
      <w:r w:rsidRPr="0096654E">
        <w:t xml:space="preserve"> 1 in Oliclinisol (Olimel) group and 2 in Oliclinomel group, all after 1st infusion initiation – no other information provided.</w:t>
      </w:r>
    </w:p>
    <w:p w:rsidR="00E8640C" w:rsidRPr="0096654E" w:rsidRDefault="00E8640C" w:rsidP="0096654E">
      <w:pPr>
        <w:pStyle w:val="Heading4"/>
      </w:pPr>
      <w:bookmarkStart w:id="82" w:name="_Toc241374325"/>
      <w:bookmarkStart w:id="83" w:name="_Ref272333477"/>
      <w:bookmarkStart w:id="84" w:name="_Toc272414667"/>
      <w:bookmarkStart w:id="85" w:name="_Toc290846305"/>
      <w:bookmarkStart w:id="86" w:name="_Toc328983375"/>
      <w:r w:rsidRPr="0096654E">
        <w:t>Discontinuation due to adverse events</w:t>
      </w:r>
      <w:bookmarkEnd w:id="82"/>
      <w:bookmarkEnd w:id="83"/>
      <w:bookmarkEnd w:id="84"/>
      <w:bookmarkEnd w:id="85"/>
      <w:bookmarkEnd w:id="86"/>
    </w:p>
    <w:p w:rsidR="0096654E" w:rsidRPr="0096654E" w:rsidRDefault="00E8640C" w:rsidP="0096654E">
      <w:bookmarkStart w:id="87" w:name="_Toc328983424"/>
      <w:r w:rsidRPr="0096654E">
        <w:t>Discontinuations for AEs</w:t>
      </w:r>
      <w:bookmarkEnd w:id="87"/>
      <w:r w:rsidR="0096654E" w:rsidRPr="0096654E">
        <w:t xml:space="preserve"> </w:t>
      </w:r>
      <w:r w:rsidR="0096654E">
        <w:t>were:</w:t>
      </w:r>
    </w:p>
    <w:p w:rsidR="00E8640C" w:rsidRPr="0096654E" w:rsidRDefault="0096654E" w:rsidP="0096654E">
      <w:pPr>
        <w:rPr>
          <w:b/>
          <w:bCs/>
          <w:lang w:eastAsia="ja-JP"/>
        </w:rPr>
      </w:pPr>
      <w:r w:rsidRPr="0096654E">
        <w:rPr>
          <w:b/>
          <w:bCs/>
          <w:lang w:eastAsia="ja-JP"/>
        </w:rPr>
        <w:t>Oliclinisol group:</w:t>
      </w:r>
    </w:p>
    <w:p w:rsidR="0096654E" w:rsidRDefault="0096654E" w:rsidP="0096654E">
      <w:pPr>
        <w:pStyle w:val="ListBullet"/>
        <w:rPr>
          <w:lang w:eastAsia="ja-JP"/>
        </w:rPr>
      </w:pPr>
      <w:r w:rsidRPr="00E8640C">
        <w:rPr>
          <w:lang w:eastAsia="ja-JP"/>
        </w:rPr>
        <w:t>Premature termination for AE (Catheter infection)</w:t>
      </w:r>
    </w:p>
    <w:p w:rsidR="0096654E" w:rsidRDefault="0096654E" w:rsidP="0096654E">
      <w:pPr>
        <w:pStyle w:val="ListBullet"/>
        <w:rPr>
          <w:lang w:eastAsia="ja-JP"/>
        </w:rPr>
      </w:pPr>
      <w:r w:rsidRPr="00E8640C">
        <w:rPr>
          <w:lang w:eastAsia="ja-JP"/>
        </w:rPr>
        <w:t>Premature termination for AEs (Cramps, Hypertension, Tachycardia):</w:t>
      </w:r>
    </w:p>
    <w:p w:rsidR="0096654E" w:rsidRDefault="0096654E" w:rsidP="0096654E">
      <w:pPr>
        <w:pStyle w:val="ListBullet"/>
        <w:rPr>
          <w:lang w:eastAsia="ja-JP"/>
        </w:rPr>
      </w:pPr>
      <w:r w:rsidRPr="00E8640C">
        <w:rPr>
          <w:lang w:eastAsia="ja-JP"/>
        </w:rPr>
        <w:t>Premature termination for SAE (septic shock leading to death)</w:t>
      </w:r>
    </w:p>
    <w:p w:rsidR="0096654E" w:rsidRPr="0096654E" w:rsidRDefault="0096654E" w:rsidP="0096654E">
      <w:pPr>
        <w:rPr>
          <w:b/>
          <w:bCs/>
          <w:lang w:eastAsia="ja-JP"/>
        </w:rPr>
      </w:pPr>
      <w:r w:rsidRPr="0096654E">
        <w:rPr>
          <w:b/>
          <w:bCs/>
          <w:lang w:eastAsia="ja-JP"/>
        </w:rPr>
        <w:t>Oliclinomel group:</w:t>
      </w:r>
    </w:p>
    <w:p w:rsidR="0096654E" w:rsidRDefault="0096654E" w:rsidP="00D42C8A">
      <w:pPr>
        <w:pStyle w:val="ListBullet"/>
        <w:rPr>
          <w:lang w:eastAsia="ja-JP"/>
        </w:rPr>
      </w:pPr>
      <w:r w:rsidRPr="00E8640C">
        <w:rPr>
          <w:lang w:eastAsia="ja-JP"/>
        </w:rPr>
        <w:t>Premature termination for SAE (Allergic reaction)</w:t>
      </w:r>
    </w:p>
    <w:p w:rsidR="0096654E" w:rsidRDefault="0096654E" w:rsidP="00D42C8A">
      <w:pPr>
        <w:pStyle w:val="ListBullet"/>
        <w:rPr>
          <w:lang w:eastAsia="ja-JP"/>
        </w:rPr>
      </w:pPr>
      <w:r w:rsidRPr="00E8640C">
        <w:rPr>
          <w:lang w:eastAsia="ja-JP"/>
        </w:rPr>
        <w:t>Premature termination for SAE (Acute pulmonary oedema)</w:t>
      </w:r>
    </w:p>
    <w:p w:rsidR="0096654E" w:rsidRPr="0096654E" w:rsidRDefault="0096654E" w:rsidP="00D42C8A">
      <w:pPr>
        <w:pStyle w:val="ListBullet"/>
      </w:pPr>
      <w:r w:rsidRPr="00E8640C">
        <w:rPr>
          <w:lang w:eastAsia="ja-JP"/>
        </w:rPr>
        <w:t>Premature termination upon investigator request for AE (Hyperthermia)</w:t>
      </w:r>
    </w:p>
    <w:p w:rsidR="00E8640C" w:rsidRPr="0096654E" w:rsidRDefault="00E8640C" w:rsidP="0096654E">
      <w:pPr>
        <w:pStyle w:val="Heading4"/>
      </w:pPr>
      <w:bookmarkStart w:id="88" w:name="_Toc241374321"/>
      <w:bookmarkStart w:id="89" w:name="_Ref271044780"/>
      <w:bookmarkStart w:id="90" w:name="_Ref271196640"/>
      <w:bookmarkStart w:id="91" w:name="_Ref272333085"/>
      <w:bookmarkStart w:id="92" w:name="_Toc272414668"/>
      <w:bookmarkStart w:id="93" w:name="_Toc290846306"/>
      <w:bookmarkStart w:id="94" w:name="_Toc328983376"/>
      <w:r w:rsidRPr="0096654E">
        <w:t>Laboratory tests</w:t>
      </w:r>
      <w:bookmarkEnd w:id="88"/>
      <w:bookmarkEnd w:id="89"/>
      <w:bookmarkEnd w:id="90"/>
      <w:bookmarkEnd w:id="91"/>
      <w:bookmarkEnd w:id="92"/>
      <w:bookmarkEnd w:id="93"/>
      <w:bookmarkEnd w:id="94"/>
    </w:p>
    <w:p w:rsidR="00403BBD" w:rsidRDefault="00403BBD" w:rsidP="00403BBD">
      <w:bookmarkStart w:id="95" w:name="_Toc328983425"/>
      <w:r>
        <w:t>Shift tables for the following were noted:</w:t>
      </w:r>
    </w:p>
    <w:p w:rsidR="00403BBD" w:rsidRDefault="00403BBD" w:rsidP="00403BBD">
      <w:pPr>
        <w:pStyle w:val="ListBullet"/>
      </w:pPr>
      <w:r>
        <w:t>Glucose</w:t>
      </w:r>
    </w:p>
    <w:p w:rsidR="00403BBD" w:rsidRDefault="00403BBD" w:rsidP="00403BBD">
      <w:pPr>
        <w:pStyle w:val="ListBullet"/>
      </w:pPr>
      <w:r>
        <w:t>ASAT</w:t>
      </w:r>
    </w:p>
    <w:p w:rsidR="00403BBD" w:rsidRDefault="00403BBD" w:rsidP="00403BBD">
      <w:pPr>
        <w:pStyle w:val="ListBullet"/>
      </w:pPr>
      <w:r>
        <w:t>ALAT</w:t>
      </w:r>
    </w:p>
    <w:p w:rsidR="00403BBD" w:rsidRDefault="00403BBD" w:rsidP="00403BBD">
      <w:pPr>
        <w:pStyle w:val="ListBullet"/>
      </w:pPr>
      <w:r>
        <w:t>Alkaline phosphatise</w:t>
      </w:r>
    </w:p>
    <w:p w:rsidR="00403BBD" w:rsidRDefault="00403BBD" w:rsidP="00403BBD">
      <w:pPr>
        <w:pStyle w:val="ListBullet"/>
      </w:pPr>
      <w:r>
        <w:t>GGT</w:t>
      </w:r>
    </w:p>
    <w:p w:rsidR="00403BBD" w:rsidRPr="00403BBD" w:rsidRDefault="00403BBD" w:rsidP="00403BBD">
      <w:pPr>
        <w:pStyle w:val="ListBullet"/>
      </w:pPr>
      <w:r>
        <w:t>Triglycerides</w:t>
      </w:r>
    </w:p>
    <w:p w:rsidR="00E8640C" w:rsidRPr="00D42C8A" w:rsidRDefault="00547022" w:rsidP="00D42C8A">
      <w:pPr>
        <w:pStyle w:val="Heading3"/>
      </w:pPr>
      <w:bookmarkStart w:id="96" w:name="_Toc328983377"/>
      <w:bookmarkStart w:id="97" w:name="_Toc370730605"/>
      <w:bookmarkEnd w:id="95"/>
      <w:r>
        <w:t>Safety of i</w:t>
      </w:r>
      <w:r w:rsidR="00E8640C" w:rsidRPr="00D42C8A">
        <w:t>ndividual components</w:t>
      </w:r>
      <w:bookmarkEnd w:id="96"/>
      <w:bookmarkEnd w:id="97"/>
    </w:p>
    <w:p w:rsidR="00E8640C" w:rsidRPr="00D42C8A" w:rsidRDefault="00547022" w:rsidP="00D42C8A">
      <w:pPr>
        <w:pStyle w:val="Heading4"/>
      </w:pPr>
      <w:bookmarkStart w:id="98" w:name="_Toc328983378"/>
      <w:r>
        <w:t>15% Amino a</w:t>
      </w:r>
      <w:r w:rsidR="00E8640C" w:rsidRPr="00D42C8A">
        <w:t xml:space="preserve">cids Study Broyles JE </w:t>
      </w:r>
      <w:r w:rsidR="00E8640C" w:rsidRPr="00D42C8A">
        <w:rPr>
          <w:i/>
          <w:iCs/>
        </w:rPr>
        <w:t>et al</w:t>
      </w:r>
      <w:bookmarkEnd w:id="98"/>
    </w:p>
    <w:p w:rsidR="00E8640C" w:rsidRPr="00D42C8A" w:rsidRDefault="00E8640C" w:rsidP="00D42C8A">
      <w:r w:rsidRPr="00D42C8A">
        <w:t>This Study had no safety information.</w:t>
      </w:r>
    </w:p>
    <w:p w:rsidR="00E8640C" w:rsidRPr="00D42C8A" w:rsidRDefault="00E8640C" w:rsidP="00D42C8A">
      <w:pPr>
        <w:pStyle w:val="Heading4"/>
      </w:pPr>
      <w:bookmarkStart w:id="99" w:name="_Toc328983379"/>
      <w:r w:rsidRPr="00D42C8A">
        <w:t>Lipid (Clinoleic)</w:t>
      </w:r>
      <w:bookmarkEnd w:id="99"/>
    </w:p>
    <w:p w:rsidR="00A45A93" w:rsidRDefault="00A45A93" w:rsidP="00D42C8A">
      <w:r>
        <w:t xml:space="preserve">Reference was made to the </w:t>
      </w:r>
      <w:r w:rsidR="00D42C8A">
        <w:t xml:space="preserve">TGA </w:t>
      </w:r>
      <w:r w:rsidR="00E8640C" w:rsidRPr="00D42C8A">
        <w:t xml:space="preserve">Delegate’s </w:t>
      </w:r>
      <w:r>
        <w:t>overv</w:t>
      </w:r>
      <w:r w:rsidR="00547022">
        <w:t>iew for a previous application.</w:t>
      </w:r>
    </w:p>
    <w:p w:rsidR="00E8640C" w:rsidRDefault="00A45A93" w:rsidP="00D42C8A">
      <w:r>
        <w:t>[</w:t>
      </w:r>
      <w:r w:rsidRPr="00A45A93">
        <w:rPr>
          <w:b/>
          <w:bCs/>
        </w:rPr>
        <w:t>Information has been redacted from this report</w:t>
      </w:r>
      <w:r>
        <w:t>]</w:t>
      </w:r>
    </w:p>
    <w:p w:rsidR="00E8640C" w:rsidRPr="00A45A93" w:rsidRDefault="00547022" w:rsidP="00A45A93">
      <w:pPr>
        <w:pStyle w:val="Heading4"/>
      </w:pPr>
      <w:r>
        <w:t>Glucose with/without c</w:t>
      </w:r>
      <w:r w:rsidR="00E8640C" w:rsidRPr="00A45A93">
        <w:t>alcium</w:t>
      </w:r>
    </w:p>
    <w:p w:rsidR="00E8640C" w:rsidRPr="00A45A93" w:rsidRDefault="00E8640C" w:rsidP="00A45A93">
      <w:bookmarkStart w:id="100" w:name="Marker"/>
      <w:bookmarkStart w:id="101" w:name="Temp"/>
      <w:bookmarkEnd w:id="100"/>
      <w:bookmarkEnd w:id="101"/>
      <w:r w:rsidRPr="00A45A93">
        <w:t>The safety of a higher concentration of calcium (0.52 vs. 0.3g/L) was not discussed.</w:t>
      </w:r>
    </w:p>
    <w:p w:rsidR="00E8640C" w:rsidRPr="00A45A93" w:rsidRDefault="00E8640C" w:rsidP="00A45A93">
      <w:pPr>
        <w:pStyle w:val="Heading3"/>
      </w:pPr>
      <w:bookmarkStart w:id="102" w:name="_Toc241374326"/>
      <w:bookmarkStart w:id="103" w:name="_Ref272333048"/>
      <w:bookmarkStart w:id="104" w:name="_Toc272414679"/>
      <w:bookmarkStart w:id="105" w:name="_Toc290846317"/>
      <w:bookmarkStart w:id="106" w:name="_Toc328983380"/>
      <w:bookmarkStart w:id="107" w:name="_Toc370730606"/>
      <w:r w:rsidRPr="00A45A93">
        <w:lastRenderedPageBreak/>
        <w:t>Post-marketing experience</w:t>
      </w:r>
      <w:bookmarkEnd w:id="102"/>
      <w:bookmarkEnd w:id="103"/>
      <w:bookmarkEnd w:id="104"/>
      <w:bookmarkEnd w:id="105"/>
      <w:bookmarkEnd w:id="106"/>
      <w:bookmarkEnd w:id="107"/>
    </w:p>
    <w:p w:rsidR="00E8640C" w:rsidRPr="00A45A93" w:rsidRDefault="00E8640C" w:rsidP="00A45A93">
      <w:r w:rsidRPr="00A45A93">
        <w:t>The submitted Summary of Clinical Safety did not</w:t>
      </w:r>
      <w:r w:rsidR="00A45A93">
        <w:t xml:space="preserve"> consider the PSURs for Olimel/</w:t>
      </w:r>
      <w:r w:rsidRPr="00A45A93">
        <w:t>Oliclinomel.</w:t>
      </w:r>
    </w:p>
    <w:p w:rsidR="00E8640C" w:rsidRPr="00A45A93" w:rsidRDefault="00E8640C" w:rsidP="00C90EF6">
      <w:pPr>
        <w:pStyle w:val="Heading4"/>
      </w:pPr>
      <w:r w:rsidRPr="00A45A93">
        <w:t>PSURs</w:t>
      </w:r>
    </w:p>
    <w:p w:rsidR="00E8640C" w:rsidRPr="00A45A93" w:rsidRDefault="00E8640C" w:rsidP="00A45A93">
      <w:r w:rsidRPr="00A45A93">
        <w:t>First launch March 2009. PSURS to 31 January 2012 submitted.</w:t>
      </w:r>
    </w:p>
    <w:p w:rsidR="00E8640C" w:rsidRPr="00A45A93" w:rsidRDefault="00E8640C" w:rsidP="00C90EF6">
      <w:r w:rsidRPr="00A45A93">
        <w:rPr>
          <w:b/>
          <w:bCs/>
        </w:rPr>
        <w:t>1.</w:t>
      </w:r>
      <w:r w:rsidR="00C90EF6">
        <w:rPr>
          <w:b/>
          <w:bCs/>
        </w:rPr>
        <w:t xml:space="preserve"> </w:t>
      </w:r>
      <w:r w:rsidRPr="00A45A93">
        <w:rPr>
          <w:b/>
          <w:bCs/>
        </w:rPr>
        <w:t>PSUR 01 Feb 2009 through 31 Jul 2009</w:t>
      </w:r>
      <w:r w:rsidRPr="00A45A93">
        <w:t xml:space="preserve"> creation of a new Reference Safety Information (CCDS) On 31 Mar 2009.</w:t>
      </w:r>
      <w:r w:rsidR="00C90EF6">
        <w:t xml:space="preserve"> M</w:t>
      </w:r>
      <w:r w:rsidRPr="00A45A93">
        <w:t xml:space="preserve">odifications </w:t>
      </w:r>
      <w:r w:rsidR="00383024">
        <w:t xml:space="preserve">were </w:t>
      </w:r>
      <w:r w:rsidR="00C90EF6">
        <w:t xml:space="preserve">made </w:t>
      </w:r>
      <w:r w:rsidRPr="00A45A93">
        <w:t>to the safety sections compared to the previous</w:t>
      </w:r>
      <w:r w:rsidR="00A45A93">
        <w:t xml:space="preserve"> </w:t>
      </w:r>
      <w:r w:rsidR="00C90EF6">
        <w:t>RSI.</w:t>
      </w:r>
    </w:p>
    <w:p w:rsidR="00E8640C" w:rsidRPr="00E8640C" w:rsidRDefault="00E8640C" w:rsidP="00E8640C">
      <w:pPr>
        <w:rPr>
          <w:lang w:eastAsia="ja-JP"/>
        </w:rPr>
      </w:pPr>
      <w:r w:rsidRPr="00E8640C">
        <w:rPr>
          <w:b/>
          <w:lang w:eastAsia="ja-JP"/>
        </w:rPr>
        <w:t>2.PSUR 01 Aug 2009 through 31 Jan 2010</w:t>
      </w:r>
      <w:r w:rsidRPr="00E8640C">
        <w:rPr>
          <w:lang w:eastAsia="ja-JP"/>
        </w:rPr>
        <w:t xml:space="preserve"> nil of note.</w:t>
      </w:r>
    </w:p>
    <w:p w:rsidR="00E8640C" w:rsidRPr="00E8640C" w:rsidRDefault="00E8640C" w:rsidP="00E8640C">
      <w:pPr>
        <w:rPr>
          <w:lang w:eastAsia="ja-JP"/>
        </w:rPr>
      </w:pPr>
      <w:r w:rsidRPr="00E8640C">
        <w:rPr>
          <w:b/>
          <w:lang w:eastAsia="ja-JP"/>
        </w:rPr>
        <w:t>3.PSUR 0l Feb 2010 through 3I Jul 2010</w:t>
      </w:r>
      <w:r w:rsidRPr="00E8640C">
        <w:rPr>
          <w:lang w:eastAsia="ja-JP"/>
        </w:rPr>
        <w:t xml:space="preserve"> one unrelated death reported.</w:t>
      </w:r>
    </w:p>
    <w:p w:rsidR="00E8640C" w:rsidRPr="00E8640C" w:rsidRDefault="00E8640C" w:rsidP="00E8640C">
      <w:pPr>
        <w:rPr>
          <w:lang w:eastAsia="ja-JP"/>
        </w:rPr>
      </w:pPr>
      <w:r w:rsidRPr="00E8640C">
        <w:rPr>
          <w:b/>
          <w:lang w:eastAsia="ja-JP"/>
        </w:rPr>
        <w:t xml:space="preserve">4.PSUR 01 Aug 2010 to 31 Jan 2011 </w:t>
      </w:r>
      <w:r w:rsidRPr="00E8640C">
        <w:rPr>
          <w:lang w:eastAsia="ja-JP"/>
        </w:rPr>
        <w:t>28 AEs reported; 16 serious unlisted ( including 14 deaths - 13 possibly associated) and 12 were non-serious.</w:t>
      </w:r>
    </w:p>
    <w:p w:rsidR="00E8640C" w:rsidRPr="00E8640C" w:rsidRDefault="00E8640C" w:rsidP="00E8640C">
      <w:pPr>
        <w:rPr>
          <w:lang w:eastAsia="ja-JP"/>
        </w:rPr>
      </w:pPr>
      <w:r w:rsidRPr="00E8640C">
        <w:rPr>
          <w:b/>
          <w:lang w:eastAsia="ja-JP"/>
        </w:rPr>
        <w:t>5.PSUR 01 Feb 2011 to 31 Jan 2012</w:t>
      </w:r>
      <w:r w:rsidRPr="00E8640C">
        <w:rPr>
          <w:lang w:eastAsia="ja-JP"/>
        </w:rPr>
        <w:t xml:space="preserve"> No changes to CCDS. In the previous PSUR (01 Aug 2010 – 31 Jan 2011) it was concluded that the RSI would be updated to add pyrexia and chills. In addition, the following statement will be removed, “There are no postma</w:t>
      </w:r>
      <w:r w:rsidR="00F00A8C">
        <w:rPr>
          <w:lang w:eastAsia="ja-JP"/>
        </w:rPr>
        <w:t>rketing data available for PeriO</w:t>
      </w:r>
      <w:r w:rsidRPr="00E8640C">
        <w:rPr>
          <w:lang w:eastAsia="ja-JP"/>
        </w:rPr>
        <w:t>limel/Olimel.”</w:t>
      </w:r>
    </w:p>
    <w:p w:rsidR="00E8640C" w:rsidRPr="00E8640C" w:rsidRDefault="00E8640C" w:rsidP="00E8640C">
      <w:pPr>
        <w:rPr>
          <w:lang w:eastAsia="ja-JP"/>
        </w:rPr>
      </w:pPr>
      <w:r w:rsidRPr="00E8640C">
        <w:rPr>
          <w:lang w:eastAsia="ja-JP"/>
        </w:rPr>
        <w:t xml:space="preserve">There was no summary of total exposure, nor could this evaluator calculate it from the PSURs submitted as two of the PSUR summary tables were labelled for the same period. </w:t>
      </w:r>
      <w:r w:rsidR="00325411">
        <w:rPr>
          <w:lang w:eastAsia="ja-JP"/>
        </w:rPr>
        <w:t>Information was provided on worldwide sales of Olimel/PeriOlimel/Triomel over 1 February 2011 and 31 January 2012.</w:t>
      </w:r>
    </w:p>
    <w:p w:rsidR="00E8640C" w:rsidRPr="00E8640C" w:rsidRDefault="00E8640C" w:rsidP="00E8640C">
      <w:pPr>
        <w:rPr>
          <w:lang w:eastAsia="ja-JP"/>
        </w:rPr>
      </w:pPr>
      <w:r w:rsidRPr="00E8640C">
        <w:rPr>
          <w:lang w:eastAsia="ja-JP"/>
        </w:rPr>
        <w:t>No clinical safety studies were reported to</w:t>
      </w:r>
      <w:r w:rsidR="00641DBE">
        <w:rPr>
          <w:lang w:eastAsia="ja-JP"/>
        </w:rPr>
        <w:t xml:space="preserve"> </w:t>
      </w:r>
      <w:r w:rsidRPr="00E8640C">
        <w:rPr>
          <w:lang w:eastAsia="ja-JP"/>
        </w:rPr>
        <w:t>31 January 2012.</w:t>
      </w:r>
    </w:p>
    <w:p w:rsidR="00E8640C" w:rsidRPr="00E8640C" w:rsidRDefault="00E8640C" w:rsidP="00E8640C">
      <w:pPr>
        <w:rPr>
          <w:lang w:eastAsia="ja-JP"/>
        </w:rPr>
      </w:pPr>
      <w:r w:rsidRPr="00E8640C">
        <w:rPr>
          <w:lang w:eastAsia="ja-JP"/>
        </w:rPr>
        <w:t>23 serious AEs, of which 22 were unlisted, and 30 were non-serious. 7 deaths, 5 possibly related, 2 unlikely related.</w:t>
      </w:r>
    </w:p>
    <w:p w:rsidR="00E8640C" w:rsidRPr="00E8640C" w:rsidRDefault="00E8640C" w:rsidP="00C10CC1">
      <w:pPr>
        <w:pStyle w:val="TableTitle"/>
        <w:rPr>
          <w:lang w:eastAsia="ja-JP"/>
        </w:rPr>
      </w:pPr>
      <w:bookmarkStart w:id="108" w:name="_Toc328983432"/>
      <w:r w:rsidRPr="00E8640C">
        <w:rPr>
          <w:lang w:eastAsia="ja-JP"/>
        </w:rPr>
        <w:t xml:space="preserve">Table </w:t>
      </w:r>
      <w:r w:rsidR="00403BBD">
        <w:rPr>
          <w:lang w:eastAsia="ja-JP"/>
        </w:rPr>
        <w:t>18</w:t>
      </w:r>
      <w:r w:rsidR="008742A2">
        <w:rPr>
          <w:lang w:eastAsia="ja-JP"/>
        </w:rPr>
        <w:t xml:space="preserve">. </w:t>
      </w:r>
      <w:r w:rsidRPr="00E8640C">
        <w:rPr>
          <w:lang w:eastAsia="ja-JP"/>
        </w:rPr>
        <w:t>Tabulation of Individual Cases SOC by Seriousness/Listedness for Case List '0698</w:t>
      </w:r>
      <w:r w:rsidR="008742A2">
        <w:rPr>
          <w:lang w:eastAsia="ja-JP"/>
        </w:rPr>
        <w:t xml:space="preserve">2C' and 'OLIMEL’ </w:t>
      </w:r>
      <w:r w:rsidRPr="00E8640C">
        <w:rPr>
          <w:lang w:eastAsia="ja-JP"/>
        </w:rPr>
        <w:t>medically confirmed, cumulative to 31 Jan12</w:t>
      </w:r>
      <w:bookmarkEnd w:id="108"/>
    </w:p>
    <w:tbl>
      <w:tblPr>
        <w:tblStyle w:val="TableTGAblue"/>
        <w:tblW w:w="0" w:type="auto"/>
        <w:tblLook w:val="04A0"/>
      </w:tblPr>
      <w:tblGrid>
        <w:gridCol w:w="3162"/>
        <w:gridCol w:w="910"/>
        <w:gridCol w:w="724"/>
        <w:gridCol w:w="910"/>
        <w:gridCol w:w="724"/>
        <w:gridCol w:w="652"/>
      </w:tblGrid>
      <w:tr w:rsidR="00E8640C" w:rsidRPr="008742A2" w:rsidTr="008742A2">
        <w:trPr>
          <w:cnfStyle w:val="100000000000"/>
          <w:tblHeader/>
        </w:trPr>
        <w:tc>
          <w:tcPr>
            <w:cnfStyle w:val="001000000000"/>
            <w:tcW w:w="0" w:type="auto"/>
          </w:tcPr>
          <w:p w:rsidR="00E8640C" w:rsidRPr="008742A2" w:rsidRDefault="00E8640C" w:rsidP="008742A2">
            <w:pPr>
              <w:spacing w:before="0" w:after="0"/>
              <w:ind w:left="0" w:right="0"/>
              <w:rPr>
                <w:sz w:val="18"/>
                <w:szCs w:val="18"/>
                <w:lang w:eastAsia="ja-JP"/>
              </w:rPr>
            </w:pPr>
          </w:p>
        </w:tc>
        <w:tc>
          <w:tcPr>
            <w:tcW w:w="0" w:type="auto"/>
            <w:gridSpan w:val="2"/>
          </w:tcPr>
          <w:p w:rsidR="00E8640C" w:rsidRPr="008742A2" w:rsidRDefault="00E8640C" w:rsidP="008742A2">
            <w:pPr>
              <w:spacing w:before="0" w:after="0"/>
              <w:ind w:left="0" w:right="0"/>
              <w:cnfStyle w:val="100000000000"/>
              <w:rPr>
                <w:sz w:val="18"/>
                <w:szCs w:val="18"/>
                <w:lang w:eastAsia="ja-JP"/>
              </w:rPr>
            </w:pPr>
            <w:r w:rsidRPr="008742A2">
              <w:rPr>
                <w:sz w:val="18"/>
                <w:szCs w:val="18"/>
                <w:lang w:eastAsia="ja-JP"/>
              </w:rPr>
              <w:t>Serious</w:t>
            </w:r>
          </w:p>
        </w:tc>
        <w:tc>
          <w:tcPr>
            <w:tcW w:w="0" w:type="auto"/>
            <w:gridSpan w:val="2"/>
          </w:tcPr>
          <w:p w:rsidR="00E8640C" w:rsidRPr="008742A2" w:rsidRDefault="00E8640C" w:rsidP="008742A2">
            <w:pPr>
              <w:spacing w:before="0" w:after="0"/>
              <w:ind w:left="0" w:right="0"/>
              <w:cnfStyle w:val="100000000000"/>
              <w:rPr>
                <w:sz w:val="18"/>
                <w:szCs w:val="18"/>
                <w:lang w:eastAsia="ja-JP"/>
              </w:rPr>
            </w:pPr>
            <w:r w:rsidRPr="008742A2">
              <w:rPr>
                <w:sz w:val="18"/>
                <w:szCs w:val="18"/>
                <w:lang w:eastAsia="ja-JP"/>
              </w:rPr>
              <w:t>Non-Serious</w:t>
            </w:r>
          </w:p>
        </w:tc>
        <w:tc>
          <w:tcPr>
            <w:tcW w:w="0" w:type="auto"/>
            <w:vMerge w:val="restart"/>
          </w:tcPr>
          <w:p w:rsidR="00E8640C" w:rsidRPr="008742A2" w:rsidRDefault="00E8640C" w:rsidP="008742A2">
            <w:pPr>
              <w:spacing w:before="0" w:after="0"/>
              <w:ind w:left="0" w:right="0"/>
              <w:cnfStyle w:val="100000000000"/>
              <w:rPr>
                <w:sz w:val="18"/>
                <w:szCs w:val="18"/>
                <w:lang w:eastAsia="ja-JP"/>
              </w:rPr>
            </w:pPr>
            <w:r w:rsidRPr="008742A2">
              <w:rPr>
                <w:sz w:val="18"/>
                <w:szCs w:val="18"/>
                <w:lang w:eastAsia="ja-JP"/>
              </w:rPr>
              <w:t>Total</w:t>
            </w:r>
          </w:p>
        </w:tc>
      </w:tr>
      <w:tr w:rsidR="00E8640C" w:rsidRPr="008742A2" w:rsidTr="008742A2">
        <w:trPr>
          <w:cnfStyle w:val="100000000000"/>
          <w:tblHeader/>
        </w:trPr>
        <w:tc>
          <w:tcPr>
            <w:cnfStyle w:val="001000000000"/>
            <w:tcW w:w="0" w:type="auto"/>
          </w:tcPr>
          <w:p w:rsidR="00E8640C" w:rsidRPr="008742A2" w:rsidRDefault="00E8640C" w:rsidP="008742A2">
            <w:pPr>
              <w:spacing w:before="0" w:after="0"/>
              <w:ind w:left="0" w:right="0"/>
              <w:rPr>
                <w:sz w:val="18"/>
                <w:szCs w:val="18"/>
                <w:lang w:eastAsia="ja-JP"/>
              </w:rPr>
            </w:pPr>
            <w:r w:rsidRPr="008742A2">
              <w:rPr>
                <w:b w:val="0"/>
                <w:sz w:val="18"/>
                <w:szCs w:val="18"/>
                <w:lang w:eastAsia="ja-JP"/>
              </w:rPr>
              <w:t>System Organ Class</w:t>
            </w:r>
            <w:r w:rsidRPr="008742A2">
              <w:rPr>
                <w:sz w:val="18"/>
                <w:szCs w:val="18"/>
                <w:lang w:eastAsia="ja-JP"/>
              </w:rPr>
              <w:t>/ADR Term</w:t>
            </w:r>
          </w:p>
        </w:tc>
        <w:tc>
          <w:tcPr>
            <w:tcW w:w="0" w:type="auto"/>
          </w:tcPr>
          <w:p w:rsidR="00E8640C" w:rsidRPr="008742A2" w:rsidRDefault="00E8640C" w:rsidP="008742A2">
            <w:pPr>
              <w:spacing w:before="0" w:after="0"/>
              <w:ind w:left="0" w:right="0"/>
              <w:cnfStyle w:val="100000000000"/>
              <w:rPr>
                <w:sz w:val="18"/>
                <w:szCs w:val="18"/>
                <w:lang w:eastAsia="ja-JP"/>
              </w:rPr>
            </w:pPr>
            <w:r w:rsidRPr="008742A2">
              <w:rPr>
                <w:sz w:val="18"/>
                <w:szCs w:val="18"/>
                <w:lang w:eastAsia="ja-JP"/>
              </w:rPr>
              <w:t>Unlisted</w:t>
            </w:r>
          </w:p>
        </w:tc>
        <w:tc>
          <w:tcPr>
            <w:tcW w:w="0" w:type="auto"/>
          </w:tcPr>
          <w:p w:rsidR="00E8640C" w:rsidRPr="008742A2" w:rsidRDefault="00E8640C" w:rsidP="008742A2">
            <w:pPr>
              <w:spacing w:before="0" w:after="0"/>
              <w:ind w:left="0" w:right="0"/>
              <w:cnfStyle w:val="100000000000"/>
              <w:rPr>
                <w:sz w:val="18"/>
                <w:szCs w:val="18"/>
                <w:lang w:eastAsia="ja-JP"/>
              </w:rPr>
            </w:pPr>
            <w:r w:rsidRPr="008742A2">
              <w:rPr>
                <w:sz w:val="18"/>
                <w:szCs w:val="18"/>
                <w:lang w:eastAsia="ja-JP"/>
              </w:rPr>
              <w:t>Listed</w:t>
            </w:r>
          </w:p>
        </w:tc>
        <w:tc>
          <w:tcPr>
            <w:tcW w:w="0" w:type="auto"/>
          </w:tcPr>
          <w:p w:rsidR="00E8640C" w:rsidRPr="008742A2" w:rsidRDefault="00E8640C" w:rsidP="008742A2">
            <w:pPr>
              <w:spacing w:before="0" w:after="0"/>
              <w:ind w:left="0" w:right="0"/>
              <w:cnfStyle w:val="100000000000"/>
              <w:rPr>
                <w:sz w:val="18"/>
                <w:szCs w:val="18"/>
                <w:lang w:eastAsia="ja-JP"/>
              </w:rPr>
            </w:pPr>
            <w:r w:rsidRPr="008742A2">
              <w:rPr>
                <w:sz w:val="18"/>
                <w:szCs w:val="18"/>
                <w:lang w:eastAsia="ja-JP"/>
              </w:rPr>
              <w:t>Unlisted</w:t>
            </w:r>
          </w:p>
        </w:tc>
        <w:tc>
          <w:tcPr>
            <w:tcW w:w="0" w:type="auto"/>
          </w:tcPr>
          <w:p w:rsidR="00E8640C" w:rsidRPr="008742A2" w:rsidRDefault="00E8640C" w:rsidP="008742A2">
            <w:pPr>
              <w:spacing w:before="0" w:after="0"/>
              <w:ind w:left="0" w:right="0"/>
              <w:cnfStyle w:val="100000000000"/>
              <w:rPr>
                <w:sz w:val="18"/>
                <w:szCs w:val="18"/>
                <w:lang w:eastAsia="ja-JP"/>
              </w:rPr>
            </w:pPr>
            <w:r w:rsidRPr="008742A2">
              <w:rPr>
                <w:sz w:val="18"/>
                <w:szCs w:val="18"/>
                <w:lang w:eastAsia="ja-JP"/>
              </w:rPr>
              <w:t>Listed</w:t>
            </w:r>
          </w:p>
        </w:tc>
        <w:tc>
          <w:tcPr>
            <w:tcW w:w="0" w:type="auto"/>
            <w:vMerge/>
          </w:tcPr>
          <w:p w:rsidR="00E8640C" w:rsidRPr="008742A2" w:rsidRDefault="00E8640C" w:rsidP="008742A2">
            <w:pPr>
              <w:spacing w:before="0" w:after="0"/>
              <w:ind w:left="0" w:right="0"/>
              <w:cnfStyle w:val="100000000000"/>
              <w:rPr>
                <w:sz w:val="18"/>
                <w:szCs w:val="18"/>
                <w:lang w:eastAsia="ja-JP"/>
              </w:rPr>
            </w:pPr>
          </w:p>
        </w:tc>
      </w:tr>
      <w:tr w:rsidR="00E8640C" w:rsidRPr="008742A2" w:rsidTr="008742A2">
        <w:tc>
          <w:tcPr>
            <w:cnfStyle w:val="001000000000"/>
            <w:tcW w:w="0" w:type="auto"/>
            <w:gridSpan w:val="6"/>
          </w:tcPr>
          <w:p w:rsidR="00E8640C" w:rsidRPr="008742A2" w:rsidRDefault="00E8640C" w:rsidP="008742A2">
            <w:pPr>
              <w:spacing w:before="0" w:after="0"/>
              <w:ind w:left="0" w:right="0"/>
              <w:rPr>
                <w:b/>
                <w:sz w:val="18"/>
                <w:szCs w:val="18"/>
                <w:lang w:eastAsia="ja-JP"/>
              </w:rPr>
            </w:pPr>
            <w:r w:rsidRPr="008742A2">
              <w:rPr>
                <w:b/>
                <w:sz w:val="18"/>
                <w:szCs w:val="18"/>
                <w:lang w:eastAsia="ja-JP"/>
              </w:rPr>
              <w:t>Infections and infestations</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Catheter site infection</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Device related infection</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Infection</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6</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6</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Sub-Total Number of Reactions</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7</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8</w:t>
            </w:r>
          </w:p>
        </w:tc>
      </w:tr>
      <w:tr w:rsidR="00E8640C" w:rsidRPr="008742A2" w:rsidTr="008742A2">
        <w:tc>
          <w:tcPr>
            <w:cnfStyle w:val="001000000000"/>
            <w:tcW w:w="0" w:type="auto"/>
            <w:gridSpan w:val="6"/>
          </w:tcPr>
          <w:p w:rsidR="00E8640C" w:rsidRPr="008742A2" w:rsidRDefault="00E8640C" w:rsidP="008742A2">
            <w:pPr>
              <w:spacing w:before="0" w:after="0"/>
              <w:ind w:left="0" w:right="0"/>
              <w:rPr>
                <w:b/>
                <w:sz w:val="18"/>
                <w:szCs w:val="18"/>
                <w:lang w:eastAsia="ja-JP"/>
              </w:rPr>
            </w:pPr>
            <w:r w:rsidRPr="008742A2">
              <w:rPr>
                <w:b/>
                <w:sz w:val="18"/>
                <w:szCs w:val="18"/>
                <w:lang w:eastAsia="ja-JP"/>
              </w:rPr>
              <w:t>Blood and lymphatic system disorders</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Thrombocytopenia</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Sub-Total Number of Reactions</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r>
      <w:tr w:rsidR="00E8640C" w:rsidRPr="008742A2" w:rsidTr="008742A2">
        <w:tc>
          <w:tcPr>
            <w:cnfStyle w:val="001000000000"/>
            <w:tcW w:w="0" w:type="auto"/>
            <w:gridSpan w:val="6"/>
          </w:tcPr>
          <w:p w:rsidR="00E8640C" w:rsidRPr="008742A2" w:rsidRDefault="00E8640C" w:rsidP="008742A2">
            <w:pPr>
              <w:spacing w:before="0" w:after="0"/>
              <w:ind w:left="0" w:right="0"/>
              <w:rPr>
                <w:b/>
                <w:sz w:val="18"/>
                <w:szCs w:val="18"/>
                <w:lang w:eastAsia="ja-JP"/>
              </w:rPr>
            </w:pPr>
            <w:r w:rsidRPr="008742A2">
              <w:rPr>
                <w:b/>
                <w:sz w:val="18"/>
                <w:szCs w:val="18"/>
                <w:lang w:eastAsia="ja-JP"/>
              </w:rPr>
              <w:t>Metabolism and Nutrition disorder</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Decreased appetite</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2</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Gout</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Hyperkalaemia</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Sub-Total Number of Reactions</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2</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4</w:t>
            </w:r>
          </w:p>
        </w:tc>
      </w:tr>
      <w:tr w:rsidR="00E8640C" w:rsidRPr="008742A2" w:rsidTr="008742A2">
        <w:tc>
          <w:tcPr>
            <w:cnfStyle w:val="001000000000"/>
            <w:tcW w:w="0" w:type="auto"/>
            <w:gridSpan w:val="6"/>
          </w:tcPr>
          <w:p w:rsidR="00E8640C" w:rsidRPr="008742A2" w:rsidRDefault="00E8640C" w:rsidP="008742A2">
            <w:pPr>
              <w:spacing w:before="0" w:after="0"/>
              <w:ind w:left="0" w:right="0"/>
              <w:rPr>
                <w:b/>
                <w:sz w:val="18"/>
                <w:szCs w:val="18"/>
                <w:lang w:eastAsia="ja-JP"/>
              </w:rPr>
            </w:pPr>
            <w:r w:rsidRPr="008742A2">
              <w:rPr>
                <w:b/>
                <w:sz w:val="18"/>
                <w:szCs w:val="18"/>
                <w:lang w:eastAsia="ja-JP"/>
              </w:rPr>
              <w:t>Psychiatric disorders</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Restlessness</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Sleep attacks</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Sub-Total Number of Reactions</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2</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2</w:t>
            </w:r>
          </w:p>
        </w:tc>
      </w:tr>
      <w:tr w:rsidR="00E8640C" w:rsidRPr="008742A2" w:rsidTr="008742A2">
        <w:tc>
          <w:tcPr>
            <w:cnfStyle w:val="001000000000"/>
            <w:tcW w:w="0" w:type="auto"/>
            <w:gridSpan w:val="6"/>
          </w:tcPr>
          <w:p w:rsidR="00E8640C" w:rsidRPr="008742A2" w:rsidRDefault="00E8640C" w:rsidP="008742A2">
            <w:pPr>
              <w:spacing w:before="0" w:after="0"/>
              <w:ind w:left="0" w:right="0"/>
              <w:rPr>
                <w:b/>
                <w:sz w:val="18"/>
                <w:szCs w:val="18"/>
                <w:lang w:eastAsia="ja-JP"/>
              </w:rPr>
            </w:pPr>
            <w:r w:rsidRPr="008742A2">
              <w:rPr>
                <w:b/>
                <w:sz w:val="18"/>
                <w:szCs w:val="18"/>
                <w:lang w:eastAsia="ja-JP"/>
              </w:rPr>
              <w:t>Nervous system disorders</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Cerebrovascular accident</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Coordination abnormal</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Dizziness</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lastRenderedPageBreak/>
              <w:t>Headache</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2</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3</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Paraesthesia</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Status epilepticus</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Sub-Total Number of Reactions</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2</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6</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2</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10</w:t>
            </w:r>
          </w:p>
        </w:tc>
      </w:tr>
      <w:tr w:rsidR="00E8640C" w:rsidRPr="008742A2" w:rsidTr="008742A2">
        <w:tc>
          <w:tcPr>
            <w:cnfStyle w:val="001000000000"/>
            <w:tcW w:w="0" w:type="auto"/>
            <w:gridSpan w:val="6"/>
          </w:tcPr>
          <w:p w:rsidR="00E8640C" w:rsidRPr="008742A2" w:rsidRDefault="00E8640C" w:rsidP="008742A2">
            <w:pPr>
              <w:spacing w:before="0" w:after="0"/>
              <w:ind w:left="0" w:right="0"/>
              <w:rPr>
                <w:b/>
                <w:sz w:val="18"/>
                <w:szCs w:val="18"/>
                <w:lang w:eastAsia="ja-JP"/>
              </w:rPr>
            </w:pPr>
            <w:r w:rsidRPr="008742A2">
              <w:rPr>
                <w:b/>
                <w:sz w:val="18"/>
                <w:szCs w:val="18"/>
                <w:lang w:eastAsia="ja-JP"/>
              </w:rPr>
              <w:t>Respiratory, thoracic and mediastinal disorders</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Dyspnoea</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Sub-Total Number of Reactions</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r>
      <w:tr w:rsidR="00E8640C" w:rsidRPr="008742A2" w:rsidTr="008742A2">
        <w:tc>
          <w:tcPr>
            <w:cnfStyle w:val="001000000000"/>
            <w:tcW w:w="0" w:type="auto"/>
            <w:gridSpan w:val="6"/>
          </w:tcPr>
          <w:p w:rsidR="00E8640C" w:rsidRPr="008742A2" w:rsidRDefault="00E8640C" w:rsidP="008742A2">
            <w:pPr>
              <w:spacing w:before="0" w:after="0"/>
              <w:ind w:left="0" w:right="0"/>
              <w:rPr>
                <w:b/>
                <w:sz w:val="18"/>
                <w:szCs w:val="18"/>
                <w:lang w:eastAsia="ja-JP"/>
              </w:rPr>
            </w:pPr>
            <w:r w:rsidRPr="008742A2">
              <w:rPr>
                <w:b/>
                <w:sz w:val="18"/>
                <w:szCs w:val="18"/>
                <w:lang w:eastAsia="ja-JP"/>
              </w:rPr>
              <w:t>Gastrointestinal disorders</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Abdominal distension</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2</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3</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5</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Abdominal pain</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3</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5</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Diarrhoea</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2</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2</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Nausea</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8</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9</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Vomiting</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4</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4</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Sub-Total Number of Reactions</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3</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2</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7</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13</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25</w:t>
            </w:r>
          </w:p>
        </w:tc>
      </w:tr>
      <w:tr w:rsidR="00E8640C" w:rsidRPr="008742A2" w:rsidTr="008742A2">
        <w:tc>
          <w:tcPr>
            <w:cnfStyle w:val="001000000000"/>
            <w:tcW w:w="0" w:type="auto"/>
            <w:gridSpan w:val="6"/>
          </w:tcPr>
          <w:p w:rsidR="00E8640C" w:rsidRPr="008742A2" w:rsidRDefault="00E8640C" w:rsidP="008742A2">
            <w:pPr>
              <w:spacing w:before="0" w:after="0"/>
              <w:ind w:left="0" w:right="0"/>
              <w:rPr>
                <w:b/>
                <w:sz w:val="18"/>
                <w:szCs w:val="18"/>
                <w:lang w:eastAsia="ja-JP"/>
              </w:rPr>
            </w:pPr>
            <w:r w:rsidRPr="008742A2">
              <w:rPr>
                <w:b/>
                <w:sz w:val="18"/>
                <w:szCs w:val="18"/>
                <w:lang w:eastAsia="ja-JP"/>
              </w:rPr>
              <w:t>Hepatobiliary disorders</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Hepatic pain</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Sub-Total Number of Reactions</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r>
      <w:tr w:rsidR="00E8640C" w:rsidRPr="008742A2" w:rsidTr="008742A2">
        <w:tc>
          <w:tcPr>
            <w:cnfStyle w:val="001000000000"/>
            <w:tcW w:w="0" w:type="auto"/>
            <w:gridSpan w:val="6"/>
          </w:tcPr>
          <w:p w:rsidR="00E8640C" w:rsidRPr="008742A2" w:rsidRDefault="00E8640C" w:rsidP="008742A2">
            <w:pPr>
              <w:spacing w:before="0" w:after="0"/>
              <w:ind w:left="0" w:right="0"/>
              <w:rPr>
                <w:b/>
                <w:sz w:val="18"/>
                <w:szCs w:val="18"/>
                <w:lang w:eastAsia="ja-JP"/>
              </w:rPr>
            </w:pPr>
            <w:r w:rsidRPr="008742A2">
              <w:rPr>
                <w:b/>
                <w:sz w:val="18"/>
                <w:szCs w:val="18"/>
                <w:lang w:eastAsia="ja-JP"/>
              </w:rPr>
              <w:t>Skin and subcutaneous tissue disorders</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Blister</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2</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Erythema</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Hyperhidrosis</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2</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2</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Night sweats</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Peau d'orange</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Pruritus</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2</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2</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Pruritus generalised</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 xml:space="preserve">Rash </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Scar</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Skin irritation</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Skin necrosis</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Skin tightness</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Sub-Total Number of Reactions</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5</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15</w:t>
            </w:r>
          </w:p>
        </w:tc>
      </w:tr>
      <w:tr w:rsidR="00E8640C" w:rsidRPr="008742A2" w:rsidTr="008742A2">
        <w:tc>
          <w:tcPr>
            <w:cnfStyle w:val="001000000000"/>
            <w:tcW w:w="0" w:type="auto"/>
            <w:gridSpan w:val="6"/>
          </w:tcPr>
          <w:p w:rsidR="00E8640C" w:rsidRPr="008742A2" w:rsidRDefault="00E8640C" w:rsidP="008742A2">
            <w:pPr>
              <w:spacing w:before="0" w:after="0"/>
              <w:ind w:left="0" w:right="0"/>
              <w:rPr>
                <w:b/>
                <w:sz w:val="18"/>
                <w:szCs w:val="18"/>
                <w:lang w:eastAsia="ja-JP"/>
              </w:rPr>
            </w:pPr>
            <w:r w:rsidRPr="008742A2">
              <w:rPr>
                <w:b/>
                <w:sz w:val="18"/>
                <w:szCs w:val="18"/>
                <w:lang w:eastAsia="ja-JP"/>
              </w:rPr>
              <w:t>Musculoskeletal and connective tissue disorders</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Back pain</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2</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2</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Muscle contracture</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Muscle spasms</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Sub-Total Number of Reactions</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4</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4</w:t>
            </w:r>
          </w:p>
        </w:tc>
      </w:tr>
      <w:tr w:rsidR="00E8640C" w:rsidRPr="008742A2" w:rsidTr="008742A2">
        <w:tc>
          <w:tcPr>
            <w:cnfStyle w:val="001000000000"/>
            <w:tcW w:w="0" w:type="auto"/>
            <w:gridSpan w:val="6"/>
          </w:tcPr>
          <w:p w:rsidR="00E8640C" w:rsidRPr="008742A2" w:rsidRDefault="00E8640C" w:rsidP="008742A2">
            <w:pPr>
              <w:spacing w:before="0" w:after="0"/>
              <w:ind w:left="0" w:right="0"/>
              <w:rPr>
                <w:b/>
                <w:sz w:val="18"/>
                <w:szCs w:val="18"/>
                <w:lang w:eastAsia="ja-JP"/>
              </w:rPr>
            </w:pPr>
            <w:r w:rsidRPr="008742A2">
              <w:rPr>
                <w:b/>
                <w:sz w:val="18"/>
                <w:szCs w:val="18"/>
                <w:lang w:eastAsia="ja-JP"/>
              </w:rPr>
              <w:t>Renal and urinary disorders</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Renal failure</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2</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2</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Sub-Total Number of Reactions</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2</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2</w:t>
            </w:r>
          </w:p>
        </w:tc>
      </w:tr>
      <w:tr w:rsidR="00E8640C" w:rsidRPr="008742A2" w:rsidTr="008742A2">
        <w:trPr>
          <w:trHeight w:val="299"/>
        </w:trPr>
        <w:tc>
          <w:tcPr>
            <w:cnfStyle w:val="001000000000"/>
            <w:tcW w:w="0" w:type="auto"/>
            <w:gridSpan w:val="6"/>
          </w:tcPr>
          <w:p w:rsidR="00E8640C" w:rsidRPr="008742A2" w:rsidRDefault="00E8640C" w:rsidP="008742A2">
            <w:pPr>
              <w:spacing w:before="0" w:after="0"/>
              <w:ind w:left="0" w:right="0"/>
              <w:rPr>
                <w:b/>
                <w:sz w:val="18"/>
                <w:szCs w:val="18"/>
                <w:lang w:eastAsia="ja-JP"/>
              </w:rPr>
            </w:pPr>
            <w:r w:rsidRPr="008742A2">
              <w:rPr>
                <w:b/>
                <w:sz w:val="18"/>
                <w:szCs w:val="18"/>
                <w:lang w:eastAsia="ja-JP"/>
              </w:rPr>
              <w:t>Reproductive system and breast disorders</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Breast enlargement</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Breast swelling</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Retracted nipple</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Sub-Total Number of Reactions</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3</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3</w:t>
            </w:r>
          </w:p>
        </w:tc>
      </w:tr>
      <w:tr w:rsidR="00E8640C" w:rsidRPr="008742A2" w:rsidTr="008742A2">
        <w:tc>
          <w:tcPr>
            <w:cnfStyle w:val="001000000000"/>
            <w:tcW w:w="0" w:type="auto"/>
            <w:gridSpan w:val="6"/>
          </w:tcPr>
          <w:p w:rsidR="00E8640C" w:rsidRPr="008742A2" w:rsidRDefault="00E8640C" w:rsidP="008742A2">
            <w:pPr>
              <w:spacing w:before="0" w:after="0"/>
              <w:ind w:left="0" w:right="0"/>
              <w:rPr>
                <w:b/>
                <w:sz w:val="18"/>
                <w:szCs w:val="18"/>
                <w:lang w:eastAsia="ja-JP"/>
              </w:rPr>
            </w:pPr>
            <w:r w:rsidRPr="008742A2">
              <w:rPr>
                <w:b/>
                <w:sz w:val="18"/>
                <w:szCs w:val="18"/>
                <w:lang w:eastAsia="ja-JP"/>
              </w:rPr>
              <w:t>General disorders and administration site conditions</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Catheter site inflammation</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Catheter site pain</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Chills</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7</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7</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Condition aggravated</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Death</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22</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22</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Device connection issue</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lastRenderedPageBreak/>
              <w:t>Device occlusion</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Drug intolerance</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4</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4</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Extravasation</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4</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14</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 xml:space="preserve">Fatigue </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General physical health deterioration</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2</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Influenza like illness</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Infusion site erythema</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Infusion site pain</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Infusion site swelling</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Infusion site warmth</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Injection site erythema</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Injection site swelling</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Local swelling</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Oedema</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2</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2</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Pain</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3</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3</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Pyrexia</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5</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16</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Swelling</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2</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2</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Sub-Total Number of Reactions</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37</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49</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86</w:t>
            </w:r>
          </w:p>
        </w:tc>
      </w:tr>
      <w:tr w:rsidR="00E8640C" w:rsidRPr="008742A2" w:rsidTr="008742A2">
        <w:tc>
          <w:tcPr>
            <w:cnfStyle w:val="001000000000"/>
            <w:tcW w:w="0" w:type="auto"/>
            <w:gridSpan w:val="6"/>
          </w:tcPr>
          <w:p w:rsidR="00E8640C" w:rsidRPr="008742A2" w:rsidRDefault="00E8640C" w:rsidP="008742A2">
            <w:pPr>
              <w:spacing w:before="0" w:after="0"/>
              <w:ind w:left="0" w:right="0"/>
              <w:rPr>
                <w:b/>
                <w:sz w:val="18"/>
                <w:szCs w:val="18"/>
                <w:lang w:eastAsia="ja-JP"/>
              </w:rPr>
            </w:pPr>
            <w:r w:rsidRPr="008742A2">
              <w:rPr>
                <w:b/>
                <w:sz w:val="18"/>
                <w:szCs w:val="18"/>
                <w:lang w:eastAsia="ja-JP"/>
              </w:rPr>
              <w:t>Investigations</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Blood glucose increased</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Glycosylated haemoglobin increased</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Weight decreased</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Sub-Total Number of Reactions</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3</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3</w:t>
            </w:r>
          </w:p>
        </w:tc>
      </w:tr>
      <w:tr w:rsidR="00E8640C" w:rsidRPr="008742A2" w:rsidTr="008742A2">
        <w:tc>
          <w:tcPr>
            <w:cnfStyle w:val="001000000000"/>
            <w:tcW w:w="0" w:type="auto"/>
            <w:gridSpan w:val="6"/>
          </w:tcPr>
          <w:p w:rsidR="00E8640C" w:rsidRPr="008742A2" w:rsidRDefault="00E8640C" w:rsidP="008742A2">
            <w:pPr>
              <w:spacing w:before="0" w:after="0"/>
              <w:ind w:left="0" w:right="0"/>
              <w:rPr>
                <w:b/>
                <w:sz w:val="18"/>
                <w:szCs w:val="18"/>
                <w:lang w:eastAsia="ja-JP"/>
              </w:rPr>
            </w:pPr>
            <w:r w:rsidRPr="008742A2">
              <w:rPr>
                <w:b/>
                <w:sz w:val="18"/>
                <w:szCs w:val="18"/>
                <w:lang w:eastAsia="ja-JP"/>
              </w:rPr>
              <w:t>Injury, poisoning and procedural complications</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Drug administration error</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Incorrect drug administration rate</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Incorrect route of drug administration</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Overdose</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Procedural complication</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Wrong drug administered</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w:t>
            </w:r>
          </w:p>
        </w:tc>
      </w:tr>
      <w:tr w:rsidR="00E8640C" w:rsidRPr="008742A2" w:rsidTr="008742A2">
        <w:tc>
          <w:tcPr>
            <w:cnfStyle w:val="001000000000"/>
            <w:tcW w:w="0" w:type="auto"/>
          </w:tcPr>
          <w:p w:rsidR="00E8640C" w:rsidRPr="008742A2" w:rsidRDefault="00E8640C" w:rsidP="008742A2">
            <w:pPr>
              <w:spacing w:before="0" w:after="0"/>
              <w:ind w:left="0" w:right="0"/>
              <w:rPr>
                <w:sz w:val="18"/>
                <w:szCs w:val="18"/>
                <w:lang w:eastAsia="ja-JP"/>
              </w:rPr>
            </w:pPr>
            <w:r w:rsidRPr="008742A2">
              <w:rPr>
                <w:sz w:val="18"/>
                <w:szCs w:val="18"/>
                <w:lang w:eastAsia="ja-JP"/>
              </w:rPr>
              <w:t>Sub-Total Number of Reactions</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6</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0</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6</w:t>
            </w:r>
          </w:p>
        </w:tc>
      </w:tr>
      <w:tr w:rsidR="00E8640C" w:rsidRPr="008742A2" w:rsidTr="008742A2">
        <w:tc>
          <w:tcPr>
            <w:cnfStyle w:val="001000000000"/>
            <w:tcW w:w="0" w:type="auto"/>
          </w:tcPr>
          <w:p w:rsidR="00E8640C" w:rsidRPr="008742A2" w:rsidRDefault="00E8640C" w:rsidP="008742A2">
            <w:pPr>
              <w:spacing w:before="0" w:after="0"/>
              <w:ind w:left="0" w:right="0"/>
              <w:rPr>
                <w:b/>
                <w:sz w:val="18"/>
                <w:szCs w:val="18"/>
                <w:lang w:eastAsia="ja-JP"/>
              </w:rPr>
            </w:pPr>
            <w:r w:rsidRPr="008742A2">
              <w:rPr>
                <w:b/>
                <w:sz w:val="18"/>
                <w:szCs w:val="18"/>
                <w:lang w:eastAsia="ja-JP"/>
              </w:rPr>
              <w:t>Total Number of Reactions</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52</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3</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101</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15</w:t>
            </w:r>
          </w:p>
        </w:tc>
        <w:tc>
          <w:tcPr>
            <w:tcW w:w="0" w:type="auto"/>
          </w:tcPr>
          <w:p w:rsidR="00E8640C" w:rsidRPr="008742A2" w:rsidRDefault="00E8640C" w:rsidP="008742A2">
            <w:pPr>
              <w:spacing w:before="0" w:after="0"/>
              <w:ind w:left="0" w:right="0"/>
              <w:cnfStyle w:val="000000000000"/>
              <w:rPr>
                <w:sz w:val="18"/>
                <w:szCs w:val="18"/>
                <w:lang w:eastAsia="ja-JP"/>
              </w:rPr>
            </w:pPr>
            <w:r w:rsidRPr="008742A2">
              <w:rPr>
                <w:sz w:val="18"/>
                <w:szCs w:val="18"/>
                <w:lang w:eastAsia="ja-JP"/>
              </w:rPr>
              <w:t>171</w:t>
            </w:r>
          </w:p>
        </w:tc>
      </w:tr>
    </w:tbl>
    <w:p w:rsidR="00E8640C" w:rsidRPr="00C90EF6" w:rsidRDefault="00E8640C" w:rsidP="00C90EF6">
      <w:pPr>
        <w:pStyle w:val="Heading3"/>
      </w:pPr>
      <w:bookmarkStart w:id="109" w:name="_Toc241374328"/>
      <w:bookmarkStart w:id="110" w:name="_Toc272414691"/>
      <w:bookmarkStart w:id="111" w:name="_Toc290846329"/>
      <w:bookmarkStart w:id="112" w:name="_Toc328983381"/>
      <w:bookmarkStart w:id="113" w:name="_Toc370730607"/>
      <w:r w:rsidRPr="00C90EF6">
        <w:t>Evaluator’s overall conclusions on clinical safety</w:t>
      </w:r>
      <w:bookmarkEnd w:id="109"/>
      <w:bookmarkEnd w:id="110"/>
      <w:bookmarkEnd w:id="111"/>
      <w:bookmarkEnd w:id="112"/>
      <w:bookmarkEnd w:id="113"/>
    </w:p>
    <w:p w:rsidR="00E8640C" w:rsidRPr="00C90EF6" w:rsidRDefault="00E8640C" w:rsidP="00C90EF6">
      <w:r w:rsidRPr="00C90EF6">
        <w:t>The Summary of Clinical Safety repeatedly makes reference to Synthamin and Oliclinomel which are not components of these proposed preparations.</w:t>
      </w:r>
    </w:p>
    <w:p w:rsidR="00E8640C" w:rsidRPr="00C90EF6" w:rsidRDefault="00C90EF6" w:rsidP="00C90EF6">
      <w:pPr>
        <w:pStyle w:val="Heading4"/>
      </w:pPr>
      <w:bookmarkStart w:id="114" w:name="_Toc328983382"/>
      <w:r>
        <w:t>S</w:t>
      </w:r>
      <w:r w:rsidRPr="00C90EF6">
        <w:t>afety of the combinatio</w:t>
      </w:r>
      <w:bookmarkEnd w:id="114"/>
      <w:r w:rsidR="00C10CC1">
        <w:t>n</w:t>
      </w:r>
    </w:p>
    <w:p w:rsidR="00E8640C" w:rsidRPr="0041160A" w:rsidRDefault="00E8640C" w:rsidP="0041160A">
      <w:r w:rsidRPr="0041160A">
        <w:t>The Safety of Olimel rests on only 28 patients in a clinical trial, supplemented by only 3 years of PSURs since first marketed. (Both reviewed above).</w:t>
      </w:r>
    </w:p>
    <w:p w:rsidR="00E8640C" w:rsidRPr="0041160A" w:rsidRDefault="00E8640C" w:rsidP="0041160A">
      <w:r w:rsidRPr="0041160A">
        <w:t>This is inadequate for a combination including an unregistered product.</w:t>
      </w:r>
    </w:p>
    <w:p w:rsidR="00E8640C" w:rsidRPr="0041160A" w:rsidRDefault="0041160A" w:rsidP="0041160A">
      <w:pPr>
        <w:pStyle w:val="Heading4"/>
      </w:pPr>
      <w:bookmarkStart w:id="115" w:name="_Toc328983383"/>
      <w:r w:rsidRPr="0041160A">
        <w:t>Safety of the individual components</w:t>
      </w:r>
      <w:bookmarkEnd w:id="115"/>
    </w:p>
    <w:p w:rsidR="00E8640C" w:rsidRPr="0041160A" w:rsidRDefault="00E8640C" w:rsidP="0041160A">
      <w:pPr>
        <w:pStyle w:val="Heading5"/>
      </w:pPr>
      <w:bookmarkStart w:id="116" w:name="_Toc328983384"/>
      <w:r w:rsidRPr="0041160A">
        <w:t>Amino acids (Clinisol)</w:t>
      </w:r>
      <w:bookmarkEnd w:id="116"/>
    </w:p>
    <w:p w:rsidR="00E8640C" w:rsidRPr="00E8640C" w:rsidRDefault="00E8640C" w:rsidP="00E8640C">
      <w:pPr>
        <w:rPr>
          <w:lang w:eastAsia="ja-JP"/>
        </w:rPr>
      </w:pPr>
      <w:r w:rsidRPr="00E8640C">
        <w:rPr>
          <w:lang w:eastAsia="ja-JP"/>
        </w:rPr>
        <w:t>The only data submission in relation to 15% amino acid solution is a published study (Broyles JE et al) that contains no safety data. The sponsor repeatedly refers to data for Synthamin, only a 10% amino acid solution that is already registered and which has different composition from Clinisol.</w:t>
      </w:r>
    </w:p>
    <w:p w:rsidR="00E8640C" w:rsidRPr="0041160A" w:rsidRDefault="00E8640C" w:rsidP="0041160A">
      <w:r w:rsidRPr="0041160A">
        <w:t>The data provided is insufficient to register Clinisol eithe</w:t>
      </w:r>
      <w:r w:rsidR="00AB7B93">
        <w:t>r as a component or separately.</w:t>
      </w:r>
    </w:p>
    <w:p w:rsidR="00E8640C" w:rsidRPr="0041160A" w:rsidRDefault="00E8640C" w:rsidP="0041160A">
      <w:pPr>
        <w:pStyle w:val="Heading5"/>
      </w:pPr>
      <w:bookmarkStart w:id="117" w:name="_Toc328983385"/>
      <w:r w:rsidRPr="0041160A">
        <w:lastRenderedPageBreak/>
        <w:t>Lipid (Clinoleic)</w:t>
      </w:r>
      <w:bookmarkEnd w:id="117"/>
    </w:p>
    <w:p w:rsidR="00E8640C" w:rsidRPr="0041160A" w:rsidRDefault="00E8640C" w:rsidP="0041160A">
      <w:r w:rsidRPr="0041160A">
        <w:t>The product is already registered, having been evaluated and reviewed Post Marketing.</w:t>
      </w:r>
    </w:p>
    <w:p w:rsidR="00E8640C" w:rsidRPr="0041160A" w:rsidRDefault="00E8640C" w:rsidP="0041160A">
      <w:pPr>
        <w:pStyle w:val="Heading5"/>
      </w:pPr>
      <w:bookmarkStart w:id="118" w:name="_Toc328983386"/>
      <w:r w:rsidRPr="0041160A">
        <w:t>Glucose</w:t>
      </w:r>
      <w:bookmarkEnd w:id="118"/>
      <w:r w:rsidRPr="0041160A">
        <w:t xml:space="preserve"> with/without </w:t>
      </w:r>
      <w:r w:rsidR="00AB7B93">
        <w:t>c</w:t>
      </w:r>
      <w:r w:rsidRPr="0041160A">
        <w:t>alcium</w:t>
      </w:r>
    </w:p>
    <w:p w:rsidR="00E8640C" w:rsidRPr="0041160A" w:rsidRDefault="00E8640C" w:rsidP="0041160A">
      <w:r w:rsidRPr="0041160A">
        <w:t>The product is already registered, but the added calcium concentration is higher (0.52</w:t>
      </w:r>
      <w:r w:rsidR="009E26E4">
        <w:t xml:space="preserve"> </w:t>
      </w:r>
      <w:r w:rsidRPr="0041160A">
        <w:t>vs. 0.3</w:t>
      </w:r>
      <w:r w:rsidR="009E26E4">
        <w:t> </w:t>
      </w:r>
      <w:r w:rsidRPr="0041160A">
        <w:t>g/L). It is noted that the PSUR 01 Feb 2009 through 31 Jul 2009</w:t>
      </w:r>
      <w:r w:rsidR="00EC752D">
        <w:t xml:space="preserve"> </w:t>
      </w:r>
      <w:r w:rsidRPr="0041160A">
        <w:t>advised of changes to the CCDS</w:t>
      </w:r>
      <w:r w:rsidR="00EC752D">
        <w:t xml:space="preserve"> </w:t>
      </w:r>
      <w:r w:rsidRPr="0041160A">
        <w:t>relating to calcium.</w:t>
      </w:r>
      <w:r w:rsidRPr="0041160A">
        <w:rPr>
          <w:vertAlign w:val="superscript"/>
        </w:rPr>
        <w:footnoteReference w:id="6"/>
      </w:r>
    </w:p>
    <w:p w:rsidR="00C22678" w:rsidRDefault="00C22678" w:rsidP="00C22678">
      <w:pPr>
        <w:pStyle w:val="Heading2"/>
      </w:pPr>
      <w:bookmarkStart w:id="119" w:name="_Toc370730608"/>
      <w:r>
        <w:t>First round benefit-risk assessment</w:t>
      </w:r>
      <w:bookmarkEnd w:id="119"/>
    </w:p>
    <w:p w:rsidR="00E8640C" w:rsidRPr="0041160A" w:rsidRDefault="00E8640C" w:rsidP="0041160A">
      <w:pPr>
        <w:pStyle w:val="Heading3"/>
      </w:pPr>
      <w:bookmarkStart w:id="120" w:name="_Toc236802592"/>
      <w:bookmarkStart w:id="121" w:name="_Toc241374331"/>
      <w:bookmarkStart w:id="122" w:name="_Ref272160836"/>
      <w:bookmarkStart w:id="123" w:name="_Toc272414693"/>
      <w:bookmarkStart w:id="124" w:name="_Toc290846331"/>
      <w:bookmarkStart w:id="125" w:name="_Toc328983388"/>
      <w:bookmarkStart w:id="126" w:name="_Toc370730609"/>
      <w:r w:rsidRPr="0041160A">
        <w:t>First round assessment of benefits</w:t>
      </w:r>
      <w:bookmarkEnd w:id="120"/>
      <w:bookmarkEnd w:id="121"/>
      <w:bookmarkEnd w:id="122"/>
      <w:bookmarkEnd w:id="123"/>
      <w:bookmarkEnd w:id="124"/>
      <w:bookmarkEnd w:id="125"/>
      <w:bookmarkEnd w:id="126"/>
    </w:p>
    <w:p w:rsidR="00E8640C" w:rsidRPr="0041160A" w:rsidRDefault="00E8640C" w:rsidP="0041160A">
      <w:r w:rsidRPr="0041160A">
        <w:t>In the Letter of Application the sponsor discussed the benefits of Olimel/PeriOlimel in the proposed usage:</w:t>
      </w:r>
    </w:p>
    <w:p w:rsidR="00E8640C" w:rsidRPr="0041160A" w:rsidRDefault="00E8640C" w:rsidP="0041160A">
      <w:pPr>
        <w:pStyle w:val="ListBullet"/>
      </w:pPr>
      <w:r w:rsidRPr="0041160A">
        <w:t>increased physiochemical shelf-life, since the components are not mixed until just prior to use</w:t>
      </w:r>
    </w:p>
    <w:p w:rsidR="00E8640C" w:rsidRPr="0041160A" w:rsidRDefault="00E8640C" w:rsidP="0041160A">
      <w:pPr>
        <w:pStyle w:val="ListBullet"/>
      </w:pPr>
      <w:r w:rsidRPr="0041160A">
        <w:t>reduced risk of contamination during preparation, and</w:t>
      </w:r>
    </w:p>
    <w:p w:rsidR="00E8640C" w:rsidRPr="0041160A" w:rsidRDefault="00E8640C" w:rsidP="0041160A">
      <w:pPr>
        <w:pStyle w:val="ListBullet"/>
      </w:pPr>
      <w:r w:rsidRPr="0041160A">
        <w:t>reduction in the number of steps required to prepare a parenteral nutrition product.</w:t>
      </w:r>
    </w:p>
    <w:p w:rsidR="00E8640C" w:rsidRPr="0041160A" w:rsidRDefault="00E8640C" w:rsidP="0041160A">
      <w:r w:rsidRPr="0041160A">
        <w:t>The first statement makes no sense, the shelf life is the same whether they are 3 separate components or 3-in-1 bag components until the components are mixed. There are alre</w:t>
      </w:r>
      <w:r w:rsidR="0041160A">
        <w:t xml:space="preserve">ady 2 preparations Oliclinomel </w:t>
      </w:r>
      <w:r w:rsidRPr="0041160A">
        <w:t>and SmofKabiven that are 3-in-one nutrition preparations that are registered in Australia and offer the same latter two advantages as claimed above.</w:t>
      </w:r>
    </w:p>
    <w:p w:rsidR="00E8640C" w:rsidRPr="0041160A" w:rsidRDefault="00E8640C" w:rsidP="0041160A">
      <w:r w:rsidRPr="00E8640C">
        <w:rPr>
          <w:lang w:eastAsia="ja-JP"/>
        </w:rPr>
        <w:t xml:space="preserve">For other advantages Raper </w:t>
      </w:r>
      <w:r w:rsidRPr="00EC752D">
        <w:rPr>
          <w:i/>
          <w:iCs/>
          <w:lang w:eastAsia="ja-JP"/>
        </w:rPr>
        <w:t>et al</w:t>
      </w:r>
      <w:r w:rsidR="00EC752D">
        <w:rPr>
          <w:i/>
          <w:iCs/>
          <w:lang w:eastAsia="ja-JP"/>
        </w:rPr>
        <w:t>.</w:t>
      </w:r>
      <w:r w:rsidR="00EC752D">
        <w:rPr>
          <w:rStyle w:val="FootnoteReference"/>
          <w:lang w:eastAsia="ja-JP"/>
        </w:rPr>
        <w:footnoteReference w:id="7"/>
      </w:r>
      <w:r w:rsidR="00EC752D" w:rsidRPr="00E8640C">
        <w:rPr>
          <w:lang w:eastAsia="ja-JP"/>
        </w:rPr>
        <w:t xml:space="preserve"> </w:t>
      </w:r>
      <w:r w:rsidR="00EC752D">
        <w:rPr>
          <w:lang w:eastAsia="ja-JP"/>
        </w:rPr>
        <w:t xml:space="preserve">(published online in </w:t>
      </w:r>
      <w:r w:rsidRPr="00E8640C">
        <w:rPr>
          <w:lang w:eastAsia="ja-JP"/>
        </w:rPr>
        <w:t>2008</w:t>
      </w:r>
      <w:r w:rsidR="00EC752D">
        <w:rPr>
          <w:lang w:eastAsia="ja-JP"/>
        </w:rPr>
        <w:t>)</w:t>
      </w:r>
      <w:r w:rsidRPr="00E8640C">
        <w:rPr>
          <w:lang w:eastAsia="ja-JP"/>
        </w:rPr>
        <w:t xml:space="preserve"> discuss the benefits of the using the separate components vs. the 3-in-one system. But when they make reference to “the additional delivery and waste costs” of the individual components and “the additional pharmacy cost for storage and dispensing” without further clarification this evaluator has concerns. The practice at those author’s hospital is for pharmacy to mix the individual components prior to use (Big bag) Thus the pharmacy would need to stock only 4 preparations for nutrition, some in 2 volumes - </w:t>
      </w:r>
      <w:r w:rsidRPr="0041160A">
        <w:t>this submission is for 5 preparations in 3 volumes.</w:t>
      </w:r>
    </w:p>
    <w:p w:rsidR="00E8640C" w:rsidRPr="0041160A" w:rsidRDefault="00E8640C" w:rsidP="0041160A">
      <w:r w:rsidRPr="0041160A">
        <w:t>Other advantages claimed relate principally to the amino acid component</w:t>
      </w:r>
      <w:r w:rsidRPr="00EC752D">
        <w:rPr>
          <w:vertAlign w:val="superscript"/>
        </w:rPr>
        <w:footnoteReference w:id="8"/>
      </w:r>
      <w:r w:rsidRPr="0041160A">
        <w:t xml:space="preserve"> </w:t>
      </w:r>
    </w:p>
    <w:p w:rsidR="00E8640C" w:rsidRPr="0041160A" w:rsidRDefault="00E8640C" w:rsidP="00EC752D">
      <w:pPr>
        <w:pStyle w:val="ListBullet"/>
      </w:pPr>
      <w:r w:rsidRPr="0041160A">
        <w:t>The use of an amino acid solution already registered in the USA (Clinisol) that contains two additional amino acids as compared to Synthamin (15 amino acid solution in OliClinomel): aspartic acid and glutamic acid,</w:t>
      </w:r>
    </w:p>
    <w:p w:rsidR="00E8640C" w:rsidRPr="0041160A" w:rsidRDefault="00E8640C" w:rsidP="00EC752D">
      <w:pPr>
        <w:pStyle w:val="ListBullet"/>
      </w:pPr>
      <w:r w:rsidRPr="0041160A">
        <w:t>A</w:t>
      </w:r>
      <w:r w:rsidR="00AB7B93">
        <w:t xml:space="preserve"> higher nitrogen concentration.</w:t>
      </w:r>
    </w:p>
    <w:p w:rsidR="00E8640C" w:rsidRPr="0041160A" w:rsidRDefault="00E8640C" w:rsidP="0041160A">
      <w:r w:rsidRPr="0041160A">
        <w:t>These both relate to the inclusion of a 15% amino acid preparation not registered in Australia.</w:t>
      </w:r>
      <w:r w:rsidR="00A93624">
        <w:t xml:space="preserve"> </w:t>
      </w:r>
      <w:r w:rsidRPr="0041160A">
        <w:t>The only evidence for this preparation was a literature study report that failed to show clinically relevant improvement in the primary endpoint.</w:t>
      </w:r>
    </w:p>
    <w:p w:rsidR="00E8640C" w:rsidRPr="0041160A" w:rsidRDefault="00E8640C" w:rsidP="00EC752D">
      <w:pPr>
        <w:pStyle w:val="ListBullet"/>
      </w:pPr>
      <w:r w:rsidRPr="0041160A">
        <w:t>Updated glucose calorie /lipid calorie ratio.</w:t>
      </w:r>
    </w:p>
    <w:p w:rsidR="00E8640C" w:rsidRPr="0041160A" w:rsidRDefault="00E8640C" w:rsidP="0041160A">
      <w:r w:rsidRPr="0041160A">
        <w:lastRenderedPageBreak/>
        <w:t>In comparison with an unregistered formulation of Oliclinomel the sponsor did not show any advantage, possibly because of the small numbers 24 vs. 23 involved.</w:t>
      </w:r>
    </w:p>
    <w:p w:rsidR="00E8640C" w:rsidRPr="0041160A" w:rsidRDefault="00E8640C" w:rsidP="0041160A">
      <w:r w:rsidRPr="0041160A">
        <w:t>This evaluator believes the data provided a</w:t>
      </w:r>
      <w:r w:rsidR="00AB7B93">
        <w:t>re inadequate for registration.</w:t>
      </w:r>
    </w:p>
    <w:p w:rsidR="006E04BE" w:rsidRDefault="00E8640C" w:rsidP="0041160A">
      <w:r w:rsidRPr="00EC752D">
        <w:rPr>
          <w:b/>
          <w:bCs/>
        </w:rPr>
        <w:t>Comment:</w:t>
      </w:r>
      <w:r w:rsidRPr="0041160A">
        <w:t xml:space="preserve"> </w:t>
      </w:r>
      <w:r w:rsidR="004517C7">
        <w:t xml:space="preserve"> </w:t>
      </w:r>
      <w:r w:rsidR="006E04BE">
        <w:t>[Infor</w:t>
      </w:r>
      <w:r w:rsidR="00AB7B93">
        <w:t>mation redacted]</w:t>
      </w:r>
    </w:p>
    <w:p w:rsidR="00E8640C" w:rsidRPr="00407FD6" w:rsidRDefault="006E04BE" w:rsidP="0041160A">
      <w:r>
        <w:t xml:space="preserve">[The marketing data] </w:t>
      </w:r>
      <w:r w:rsidR="00E8640C" w:rsidRPr="00407FD6">
        <w:t xml:space="preserve">suggests that the reason for prescribing Olimel is the higher (than 10% </w:t>
      </w:r>
      <w:proofErr w:type="spellStart"/>
      <w:r w:rsidR="00E8640C" w:rsidRPr="00407FD6">
        <w:t>Synthamin</w:t>
      </w:r>
      <w:proofErr w:type="spellEnd"/>
      <w:r w:rsidR="00E8640C" w:rsidRPr="00407FD6">
        <w:t xml:space="preserve">) amino acid concentration rather than the additional 2 amino acids </w:t>
      </w:r>
      <w:r w:rsidR="00AB7B93">
        <w:t xml:space="preserve">from the unregistered </w:t>
      </w:r>
      <w:proofErr w:type="spellStart"/>
      <w:r w:rsidR="00AB7B93">
        <w:t>Clinisol</w:t>
      </w:r>
      <w:proofErr w:type="spellEnd"/>
      <w:r w:rsidR="00AB7B93">
        <w:t>.</w:t>
      </w:r>
    </w:p>
    <w:p w:rsidR="00E8640C" w:rsidRPr="0041160A" w:rsidRDefault="00E8640C" w:rsidP="00EC752D">
      <w:pPr>
        <w:pStyle w:val="Heading3"/>
      </w:pPr>
      <w:bookmarkStart w:id="127" w:name="_Toc236802596"/>
      <w:bookmarkStart w:id="128" w:name="_Toc241374334"/>
      <w:bookmarkStart w:id="129" w:name="_Ref272160964"/>
      <w:bookmarkStart w:id="130" w:name="_Toc272414694"/>
      <w:bookmarkStart w:id="131" w:name="_Toc290846332"/>
      <w:bookmarkStart w:id="132" w:name="_Toc328983389"/>
      <w:bookmarkStart w:id="133" w:name="_Toc370730610"/>
      <w:r w:rsidRPr="0041160A">
        <w:t>First round assessment of risks</w:t>
      </w:r>
      <w:bookmarkEnd w:id="127"/>
      <w:bookmarkEnd w:id="128"/>
      <w:bookmarkEnd w:id="129"/>
      <w:bookmarkEnd w:id="130"/>
      <w:bookmarkEnd w:id="131"/>
      <w:bookmarkEnd w:id="132"/>
      <w:bookmarkEnd w:id="133"/>
    </w:p>
    <w:p w:rsidR="00E8640C" w:rsidRPr="0041160A" w:rsidRDefault="00E8640C" w:rsidP="0041160A">
      <w:r w:rsidRPr="0041160A">
        <w:t>The risks of Olimel in the proposed usage are reliant on a trial with 28 patients for 5 days supplemented by only 3 years of PSURs since first marketed.</w:t>
      </w:r>
    </w:p>
    <w:p w:rsidR="00E8640C" w:rsidRPr="0041160A" w:rsidRDefault="00E8640C" w:rsidP="0041160A">
      <w:r w:rsidRPr="0041160A">
        <w:t>Further of the individual components there was no safety data for a 15% amino acid preparation.</w:t>
      </w:r>
    </w:p>
    <w:p w:rsidR="00E8640C" w:rsidRPr="0041160A" w:rsidRDefault="00E8640C" w:rsidP="0041160A">
      <w:r w:rsidRPr="0041160A">
        <w:t>This evaluator finds the data available for as</w:t>
      </w:r>
      <w:r w:rsidR="006A0244">
        <w:t>sessment of risk is inadequate.</w:t>
      </w:r>
    </w:p>
    <w:p w:rsidR="00E8640C" w:rsidRPr="00BA77D2" w:rsidRDefault="00E8640C" w:rsidP="00BA77D2">
      <w:pPr>
        <w:pStyle w:val="Heading3"/>
      </w:pPr>
      <w:bookmarkStart w:id="134" w:name="_Toc236802597"/>
      <w:bookmarkStart w:id="135" w:name="_Toc241374335"/>
      <w:bookmarkStart w:id="136" w:name="_Toc272414695"/>
      <w:bookmarkStart w:id="137" w:name="_Toc290846333"/>
      <w:bookmarkStart w:id="138" w:name="_Toc328983390"/>
      <w:bookmarkStart w:id="139" w:name="_Toc370730611"/>
      <w:r w:rsidRPr="00BA77D2">
        <w:t>First round assessment of benefit-risk balance</w:t>
      </w:r>
      <w:bookmarkEnd w:id="134"/>
      <w:bookmarkEnd w:id="135"/>
      <w:bookmarkEnd w:id="136"/>
      <w:bookmarkEnd w:id="137"/>
      <w:bookmarkEnd w:id="138"/>
      <w:bookmarkEnd w:id="139"/>
    </w:p>
    <w:p w:rsidR="00E8640C" w:rsidRPr="0041160A" w:rsidRDefault="00E8640C" w:rsidP="0041160A">
      <w:r w:rsidRPr="0041160A">
        <w:t>The benefit-risk balance of Olimel, given the proposed usage, is unfavourable.</w:t>
      </w:r>
    </w:p>
    <w:p w:rsidR="00E8640C" w:rsidRPr="00BA77D2" w:rsidRDefault="00EC752D" w:rsidP="00BA77D2">
      <w:pPr>
        <w:pStyle w:val="Heading2"/>
      </w:pPr>
      <w:bookmarkStart w:id="140" w:name="_Ref272160564"/>
      <w:bookmarkStart w:id="141" w:name="_Ref272161481"/>
      <w:bookmarkStart w:id="142" w:name="_Toc272414697"/>
      <w:bookmarkStart w:id="143" w:name="_Toc290846334"/>
      <w:bookmarkStart w:id="144" w:name="_Toc328983391"/>
      <w:bookmarkStart w:id="145" w:name="_Toc370730612"/>
      <w:r w:rsidRPr="00BA77D2">
        <w:t>First round recommendation regarding authorisation</w:t>
      </w:r>
      <w:bookmarkEnd w:id="140"/>
      <w:bookmarkEnd w:id="141"/>
      <w:bookmarkEnd w:id="142"/>
      <w:bookmarkEnd w:id="143"/>
      <w:bookmarkEnd w:id="144"/>
      <w:bookmarkEnd w:id="145"/>
      <w:r w:rsidRPr="00BA77D2">
        <w:t xml:space="preserve"> </w:t>
      </w:r>
    </w:p>
    <w:p w:rsidR="00E8640C" w:rsidRPr="002D4BF1" w:rsidRDefault="00E8640C" w:rsidP="002D4BF1">
      <w:r w:rsidRPr="002D4BF1">
        <w:t xml:space="preserve">It is </w:t>
      </w:r>
      <w:r w:rsidRPr="00134B69">
        <w:rPr>
          <w:b/>
          <w:bCs/>
        </w:rPr>
        <w:t>not</w:t>
      </w:r>
      <w:r w:rsidRPr="002D4BF1">
        <w:t xml:space="preserve"> recommended that approval be given for the registration of PeriOLIMEL N4600E, OLIMEL N5-860E, OLIMEL N7-960, OLIMEL N7-960E, OL</w:t>
      </w:r>
      <w:r w:rsidR="006A0244">
        <w:t>IMEL N9-840 or OLIMEL N9-840E.</w:t>
      </w:r>
    </w:p>
    <w:p w:rsidR="002D4BF1" w:rsidRPr="002D4BF1" w:rsidRDefault="002D4BF1" w:rsidP="002D4BF1">
      <w:r w:rsidRPr="002D4BF1">
        <w:t>Should the delegate decide to approve registration of these products the clinical aspects of the draft Product Information</w:t>
      </w:r>
      <w:r w:rsidR="00A7100E">
        <w:t xml:space="preserve"> </w:t>
      </w:r>
      <w:r w:rsidRPr="002D4BF1">
        <w:t>are not entirely satisfactory and should be revised, having regard to the comments below.</w:t>
      </w:r>
      <w:r w:rsidR="00A7100E">
        <w:rPr>
          <w:rStyle w:val="FootnoteReference"/>
        </w:rPr>
        <w:footnoteReference w:id="9"/>
      </w:r>
    </w:p>
    <w:p w:rsidR="0084019F" w:rsidRDefault="006A0244">
      <w:pPr>
        <w:keepNext/>
        <w:rPr>
          <w:b/>
          <w:bCs/>
          <w:i/>
          <w:iCs/>
        </w:rPr>
      </w:pPr>
      <w:r>
        <w:rPr>
          <w:b/>
          <w:bCs/>
          <w:i/>
          <w:iCs/>
        </w:rPr>
        <w:t>Indications</w:t>
      </w:r>
    </w:p>
    <w:p w:rsidR="0084019F" w:rsidRDefault="00E8640C">
      <w:pPr>
        <w:keepNext/>
        <w:rPr>
          <w:i/>
          <w:iCs/>
        </w:rPr>
      </w:pPr>
      <w:r w:rsidRPr="0041160A">
        <w:t>The sponsor proposes to insert:</w:t>
      </w:r>
      <w:r w:rsidR="00134B69">
        <w:t xml:space="preserve"> </w:t>
      </w:r>
      <w:r w:rsidRPr="00134B69">
        <w:rPr>
          <w:i/>
          <w:iCs/>
        </w:rPr>
        <w:t>OLIMEL/PeriOLIMEL is indicated for parenteral nutrition for adults and children above 2 years of age when oral or enteral nutrition is impossible, insufficient or contraindicated.</w:t>
      </w:r>
    </w:p>
    <w:p w:rsidR="00E8640C" w:rsidRPr="00134B69" w:rsidRDefault="00E8640C" w:rsidP="0041160A">
      <w:pPr>
        <w:rPr>
          <w:i/>
          <w:iCs/>
        </w:rPr>
      </w:pPr>
      <w:r w:rsidRPr="0041160A">
        <w:t>The proposed PI itself states</w:t>
      </w:r>
      <w:r w:rsidR="00134B69">
        <w:t>:</w:t>
      </w:r>
      <w:r w:rsidRPr="00134B69">
        <w:rPr>
          <w:i/>
          <w:iCs/>
        </w:rPr>
        <w:t xml:space="preserve"> There have been no studies performed in the paediatric population.</w:t>
      </w:r>
    </w:p>
    <w:p w:rsidR="00134B69" w:rsidRDefault="00E8640C" w:rsidP="0041160A">
      <w:r w:rsidRPr="0041160A">
        <w:t>Further the CCDS only gives Indication</w:t>
      </w:r>
      <w:r w:rsidR="008B52C7">
        <w:t>s</w:t>
      </w:r>
      <w:r w:rsidRPr="0041160A">
        <w:t xml:space="preserve"> for adults.</w:t>
      </w:r>
      <w:r w:rsidR="00134B69" w:rsidRPr="00134B69">
        <w:t xml:space="preserve"> </w:t>
      </w:r>
    </w:p>
    <w:p w:rsidR="00E8640C" w:rsidRDefault="00134B69" w:rsidP="0041160A">
      <w:r w:rsidRPr="0041160A">
        <w:t>It is recommended that should the preparations be approved it only be for adults.</w:t>
      </w:r>
    </w:p>
    <w:p w:rsidR="00C22678" w:rsidRDefault="00C22678" w:rsidP="00C22678">
      <w:pPr>
        <w:pStyle w:val="Heading2"/>
      </w:pPr>
      <w:bookmarkStart w:id="146" w:name="_Toc370730613"/>
      <w:r>
        <w:t>Clinical questions</w:t>
      </w:r>
      <w:bookmarkEnd w:id="146"/>
    </w:p>
    <w:p w:rsidR="00C618F7" w:rsidRDefault="00A93624" w:rsidP="006A0244">
      <w:proofErr w:type="gramStart"/>
      <w:r>
        <w:t>N</w:t>
      </w:r>
      <w:r w:rsidR="00AE588B">
        <w:t>il</w:t>
      </w:r>
      <w:r>
        <w:t>.</w:t>
      </w:r>
      <w:proofErr w:type="gramEnd"/>
    </w:p>
    <w:bookmarkEnd w:id="2"/>
    <w:bookmarkEnd w:id="1"/>
    <w:bookmarkEnd w:id="0"/>
    <w:p w:rsidR="003D1E62" w:rsidRPr="001D043B" w:rsidRDefault="003D1E62" w:rsidP="002666AC">
      <w:pPr>
        <w:sectPr w:rsidR="003D1E62" w:rsidRPr="001D043B" w:rsidSect="008D770F">
          <w:headerReference w:type="even" r:id="rId27"/>
          <w:headerReference w:type="default" r:id="rId28"/>
          <w:footerReference w:type="default" r:id="rId29"/>
          <w:headerReference w:type="first" r:id="rId30"/>
          <w:footerReference w:type="first" r:id="rId31"/>
          <w:pgSz w:w="11906" w:h="16838" w:code="9"/>
          <w:pgMar w:top="1440" w:right="1440" w:bottom="1440" w:left="1440" w:header="907" w:footer="216" w:gutter="0"/>
          <w:cols w:space="708"/>
          <w:docGrid w:linePitch="360"/>
        </w:sectPr>
      </w:pPr>
    </w:p>
    <w:p w:rsidR="00774E1D" w:rsidRPr="008A5E0B" w:rsidRDefault="00774E1D" w:rsidP="008A5E0B"/>
    <w:sectPr w:rsidR="00774E1D" w:rsidRPr="008A5E0B" w:rsidSect="008D770F">
      <w:headerReference w:type="even" r:id="rId32"/>
      <w:headerReference w:type="default" r:id="rId33"/>
      <w:footerReference w:type="default" r:id="rId34"/>
      <w:headerReference w:type="first" r:id="rId35"/>
      <w:footerReference w:type="first" r:id="rId36"/>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52C7" w:rsidRDefault="008B52C7" w:rsidP="00C40A36">
      <w:pPr>
        <w:spacing w:after="0"/>
      </w:pPr>
      <w:r>
        <w:separator/>
      </w:r>
    </w:p>
  </w:endnote>
  <w:endnote w:type="continuationSeparator" w:id="0">
    <w:p w:rsidR="008B52C7" w:rsidRDefault="008B52C7"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DokChampa">
    <w:panose1 w:val="020B0604020202020204"/>
    <w:charset w:val="00"/>
    <w:family w:val="swiss"/>
    <w:pitch w:val="variable"/>
    <w:sig w:usb0="03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8B52C7" w:rsidRPr="00487162" w:rsidTr="0053625B">
      <w:trPr>
        <w:trHeight w:val="269"/>
      </w:trPr>
      <w:tc>
        <w:tcPr>
          <w:tcW w:w="7938" w:type="dxa"/>
          <w:tcMar>
            <w:top w:w="142" w:type="dxa"/>
            <w:bottom w:w="0" w:type="dxa"/>
          </w:tcMar>
        </w:tcPr>
        <w:p w:rsidR="008B52C7" w:rsidRPr="00487162" w:rsidRDefault="008B52C7" w:rsidP="003E4362">
          <w:pPr>
            <w:pStyle w:val="Footer"/>
          </w:pPr>
          <w:r>
            <w:t>Submission</w:t>
          </w:r>
          <w:r w:rsidRPr="00487162">
            <w:t xml:space="preserve"> PM-20</w:t>
          </w:r>
          <w:r>
            <w:t>12</w:t>
          </w:r>
          <w:r w:rsidRPr="00487162">
            <w:t>-</w:t>
          </w:r>
          <w:r>
            <w:t>00805</w:t>
          </w:r>
          <w:r w:rsidRPr="00487162">
            <w:t>-</w:t>
          </w:r>
          <w:r>
            <w:t>3</w:t>
          </w:r>
          <w:r w:rsidRPr="00487162">
            <w:t>-</w:t>
          </w:r>
          <w:r>
            <w:t>1 Extract from the Clinical Evaluation Report for Olimel/PeriOlimel</w:t>
          </w:r>
        </w:p>
      </w:tc>
      <w:tc>
        <w:tcPr>
          <w:tcW w:w="923" w:type="dxa"/>
          <w:tcMar>
            <w:top w:w="142" w:type="dxa"/>
            <w:bottom w:w="0" w:type="dxa"/>
          </w:tcMar>
        </w:tcPr>
        <w:p w:rsidR="008B52C7" w:rsidRPr="00487162" w:rsidRDefault="008B52C7" w:rsidP="00D855D4">
          <w:pPr>
            <w:pStyle w:val="Footer"/>
            <w:jc w:val="right"/>
          </w:pPr>
          <w:r w:rsidRPr="00487162">
            <w:t xml:space="preserve">Page </w:t>
          </w:r>
          <w:r>
            <w:t>2</w:t>
          </w:r>
          <w:r w:rsidRPr="00487162">
            <w:t xml:space="preserve"> of </w:t>
          </w:r>
          <w:fldSimple w:instr=" NUMPAGES  \* Arabic ">
            <w:r w:rsidR="00DA2843">
              <w:rPr>
                <w:noProof/>
              </w:rPr>
              <w:t>24</w:t>
            </w:r>
          </w:fldSimple>
        </w:p>
      </w:tc>
    </w:tr>
  </w:tbl>
  <w:p w:rsidR="008B52C7" w:rsidRDefault="008B52C7" w:rsidP="00E43EA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585" w:type="dxa"/>
      <w:tblLayout w:type="fixed"/>
      <w:tblCellMar>
        <w:top w:w="170" w:type="dxa"/>
        <w:left w:w="0" w:type="dxa"/>
        <w:bottom w:w="227" w:type="dxa"/>
        <w:right w:w="0" w:type="dxa"/>
      </w:tblCellMar>
      <w:tblLook w:val="04A0"/>
    </w:tblPr>
    <w:tblGrid>
      <w:gridCol w:w="13066"/>
      <w:gridCol w:w="1519"/>
    </w:tblGrid>
    <w:tr w:rsidR="00547022" w:rsidRPr="00487162" w:rsidTr="00547022">
      <w:trPr>
        <w:trHeight w:val="333"/>
      </w:trPr>
      <w:tc>
        <w:tcPr>
          <w:tcW w:w="13066" w:type="dxa"/>
          <w:tcMar>
            <w:top w:w="142" w:type="dxa"/>
            <w:bottom w:w="0" w:type="dxa"/>
          </w:tcMar>
        </w:tcPr>
        <w:p w:rsidR="00547022" w:rsidRPr="00487162" w:rsidRDefault="00547022" w:rsidP="003E4362">
          <w:pPr>
            <w:pStyle w:val="Footer"/>
          </w:pPr>
          <w:r>
            <w:t>Submission</w:t>
          </w:r>
          <w:r w:rsidRPr="00487162">
            <w:t xml:space="preserve"> PM-20</w:t>
          </w:r>
          <w:r>
            <w:t>12</w:t>
          </w:r>
          <w:r w:rsidRPr="00487162">
            <w:t>-</w:t>
          </w:r>
          <w:r>
            <w:t>00805</w:t>
          </w:r>
          <w:r w:rsidRPr="00487162">
            <w:t>-</w:t>
          </w:r>
          <w:r>
            <w:t>3</w:t>
          </w:r>
          <w:r w:rsidRPr="00487162">
            <w:t>-</w:t>
          </w:r>
          <w:r>
            <w:t xml:space="preserve">1 Extract from the Clinical Evaluation Report for </w:t>
          </w:r>
          <w:proofErr w:type="spellStart"/>
          <w:r>
            <w:t>Olimel</w:t>
          </w:r>
          <w:proofErr w:type="spellEnd"/>
          <w:r>
            <w:t>/</w:t>
          </w:r>
          <w:proofErr w:type="spellStart"/>
          <w:r>
            <w:t>PeriOlimel</w:t>
          </w:r>
          <w:proofErr w:type="spellEnd"/>
        </w:p>
      </w:tc>
      <w:tc>
        <w:tcPr>
          <w:tcW w:w="1519" w:type="dxa"/>
          <w:tcMar>
            <w:top w:w="142" w:type="dxa"/>
            <w:bottom w:w="0" w:type="dxa"/>
          </w:tcMar>
        </w:tcPr>
        <w:p w:rsidR="00547022" w:rsidRPr="00487162" w:rsidRDefault="00547022" w:rsidP="00D855D4">
          <w:pPr>
            <w:pStyle w:val="Footer"/>
            <w:jc w:val="right"/>
          </w:pPr>
          <w:r w:rsidRPr="00487162">
            <w:t xml:space="preserve">Page </w:t>
          </w:r>
          <w:r>
            <w:t>2</w:t>
          </w:r>
          <w:r w:rsidRPr="00487162">
            <w:t xml:space="preserve"> of </w:t>
          </w:r>
          <w:fldSimple w:instr=" NUMPAGES  \* Arabic ">
            <w:r w:rsidR="00DA2843">
              <w:rPr>
                <w:noProof/>
              </w:rPr>
              <w:t>24</w:t>
            </w:r>
          </w:fldSimple>
        </w:p>
      </w:tc>
    </w:tr>
  </w:tbl>
  <w:p w:rsidR="00547022" w:rsidRDefault="00547022" w:rsidP="00E43EA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655"/>
      <w:gridCol w:w="1206"/>
    </w:tblGrid>
    <w:tr w:rsidR="008B52C7" w:rsidRPr="00487162" w:rsidTr="00586F98">
      <w:trPr>
        <w:trHeight w:val="269"/>
      </w:trPr>
      <w:tc>
        <w:tcPr>
          <w:tcW w:w="7655" w:type="dxa"/>
          <w:tcMar>
            <w:top w:w="142" w:type="dxa"/>
            <w:bottom w:w="0" w:type="dxa"/>
          </w:tcMar>
        </w:tcPr>
        <w:p w:rsidR="008B52C7" w:rsidRPr="00487162" w:rsidRDefault="008B52C7" w:rsidP="00D855D4">
          <w:pPr>
            <w:pStyle w:val="Footer"/>
          </w:pPr>
          <w:r>
            <w:t>Submission</w:t>
          </w:r>
          <w:r w:rsidRPr="00487162">
            <w:t xml:space="preserve"> </w:t>
          </w:r>
          <w:r w:rsidRPr="003E4362">
            <w:t>PM-2012-00805-3-1 Extract from the Clinical Evaluation Report for Olimel/PeriOlimel</w:t>
          </w:r>
        </w:p>
      </w:tc>
      <w:tc>
        <w:tcPr>
          <w:tcW w:w="1206" w:type="dxa"/>
          <w:tcMar>
            <w:top w:w="142" w:type="dxa"/>
            <w:bottom w:w="0" w:type="dxa"/>
          </w:tcMar>
        </w:tcPr>
        <w:p w:rsidR="008B52C7" w:rsidRPr="00487162" w:rsidRDefault="008B52C7" w:rsidP="00E45619">
          <w:pPr>
            <w:pStyle w:val="Footer"/>
            <w:jc w:val="right"/>
          </w:pPr>
          <w:r w:rsidRPr="00487162">
            <w:t xml:space="preserve">Page </w:t>
          </w:r>
          <w:fldSimple w:instr="PAGE">
            <w:r w:rsidR="00DA2843">
              <w:rPr>
                <w:noProof/>
              </w:rPr>
              <w:t>28</w:t>
            </w:r>
          </w:fldSimple>
          <w:r w:rsidRPr="00487162">
            <w:t xml:space="preserve"> of </w:t>
          </w:r>
          <w:fldSimple w:instr=" NUMPAGES  \* Arabic ">
            <w:r w:rsidR="00DA2843">
              <w:rPr>
                <w:noProof/>
              </w:rPr>
              <w:t>28</w:t>
            </w:r>
          </w:fldSimple>
        </w:p>
      </w:tc>
    </w:tr>
  </w:tbl>
  <w:p w:rsidR="008B52C7" w:rsidRDefault="008B52C7" w:rsidP="00E2613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8B52C7" w:rsidRPr="00487162" w:rsidTr="00E45619">
      <w:trPr>
        <w:trHeight w:val="269"/>
      </w:trPr>
      <w:tc>
        <w:tcPr>
          <w:tcW w:w="4519" w:type="dxa"/>
          <w:tcBorders>
            <w:top w:val="single" w:sz="4" w:space="0" w:color="auto"/>
          </w:tcBorders>
          <w:tcMar>
            <w:top w:w="142" w:type="dxa"/>
            <w:bottom w:w="0" w:type="dxa"/>
          </w:tcMar>
        </w:tcPr>
        <w:p w:rsidR="008B52C7" w:rsidRPr="00487162" w:rsidRDefault="008B52C7" w:rsidP="00FE1DEE">
          <w:pPr>
            <w:pStyle w:val="Footer"/>
          </w:pPr>
          <w:r w:rsidRPr="00487162">
            <w:t>Document title, Part #, Section # - Section title</w:t>
          </w:r>
        </w:p>
        <w:p w:rsidR="008B52C7" w:rsidRPr="00487162" w:rsidRDefault="008B52C7" w:rsidP="00FE1DEE">
          <w:pPr>
            <w:pStyle w:val="Footer"/>
          </w:pPr>
          <w:r w:rsidRPr="00487162">
            <w:t>V1.0 October 2010</w:t>
          </w:r>
        </w:p>
      </w:tc>
      <w:tc>
        <w:tcPr>
          <w:tcW w:w="4342" w:type="dxa"/>
          <w:tcBorders>
            <w:top w:val="single" w:sz="4" w:space="0" w:color="auto"/>
          </w:tcBorders>
          <w:tcMar>
            <w:top w:w="142" w:type="dxa"/>
            <w:bottom w:w="0" w:type="dxa"/>
          </w:tcMar>
        </w:tcPr>
        <w:p w:rsidR="008B52C7" w:rsidRPr="00487162" w:rsidRDefault="008B52C7"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4</w:t>
            </w:r>
          </w:fldSimple>
        </w:p>
      </w:tc>
    </w:tr>
  </w:tbl>
  <w:p w:rsidR="008B52C7" w:rsidRDefault="008B52C7">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8B52C7" w:rsidRPr="00487162" w:rsidTr="008D770F">
              <w:trPr>
                <w:trHeight w:hRule="exact" w:val="564"/>
              </w:trPr>
              <w:tc>
                <w:tcPr>
                  <w:tcW w:w="9175" w:type="dxa"/>
                </w:tcPr>
                <w:p w:rsidR="008B52C7" w:rsidRPr="00487162" w:rsidRDefault="008B52C7" w:rsidP="008E7846">
                  <w:pPr>
                    <w:pStyle w:val="TGASignoff"/>
                  </w:pPr>
                  <w:r w:rsidRPr="00487162">
                    <w:t>Therapeutic Goods Administration</w:t>
                  </w:r>
                </w:p>
              </w:tc>
            </w:tr>
            <w:tr w:rsidR="008B52C7" w:rsidRPr="00487162" w:rsidTr="00E45619">
              <w:trPr>
                <w:trHeight w:val="1221"/>
              </w:trPr>
              <w:tc>
                <w:tcPr>
                  <w:tcW w:w="9175" w:type="dxa"/>
                  <w:tcMar>
                    <w:top w:w="28" w:type="dxa"/>
                  </w:tcMar>
                </w:tcPr>
                <w:p w:rsidR="008B52C7" w:rsidRPr="00487162" w:rsidRDefault="008B52C7" w:rsidP="00E45619">
                  <w:pPr>
                    <w:pStyle w:val="Address"/>
                  </w:pPr>
                  <w:r w:rsidRPr="00487162">
                    <w:t>PO Box 100 Woden ACT 2606 Australia</w:t>
                  </w:r>
                </w:p>
                <w:p w:rsidR="008B52C7" w:rsidRPr="00487162" w:rsidRDefault="008B52C7" w:rsidP="00E45619">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rsidR="008B52C7" w:rsidRPr="008D770F" w:rsidRDefault="00692B58" w:rsidP="008D770F">
                  <w:pPr>
                    <w:pStyle w:val="Address"/>
                    <w:spacing w:line="260" w:lineRule="atLeast"/>
                    <w:rPr>
                      <w:b/>
                      <w:color w:val="0000FF"/>
                      <w:u w:val="single"/>
                    </w:rPr>
                  </w:pPr>
                  <w:hyperlink r:id="rId2" w:history="1">
                    <w:r w:rsidR="008B52C7" w:rsidRPr="007C06C7">
                      <w:rPr>
                        <w:rStyle w:val="Hyperlink"/>
                        <w:b/>
                      </w:rPr>
                      <w:t>http://www.tga.gov.au</w:t>
                    </w:r>
                  </w:hyperlink>
                </w:p>
              </w:tc>
            </w:tr>
          </w:tbl>
          <w:p w:rsidR="008B52C7" w:rsidRDefault="00692B58" w:rsidP="008E7846">
            <w:pPr>
              <w:pStyle w:val="Notes"/>
            </w:pPr>
          </w:p>
        </w:sdtContent>
      </w:sdt>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8B52C7" w:rsidTr="0010601F">
      <w:trPr>
        <w:trHeight w:val="108"/>
      </w:trPr>
      <w:tc>
        <w:tcPr>
          <w:tcW w:w="8875" w:type="dxa"/>
          <w:gridSpan w:val="2"/>
          <w:tcBorders>
            <w:bottom w:val="single" w:sz="4" w:space="0" w:color="auto"/>
          </w:tcBorders>
          <w:tcMar>
            <w:right w:w="284" w:type="dxa"/>
          </w:tcMar>
        </w:tcPr>
        <w:p w:rsidR="008B52C7" w:rsidRDefault="008B52C7" w:rsidP="006E08B3">
          <w:pPr>
            <w:pStyle w:val="Heading3"/>
          </w:pPr>
          <w:r>
            <w:t>Copyright</w:t>
          </w:r>
        </w:p>
        <w:p w:rsidR="008B52C7" w:rsidRDefault="008B52C7" w:rsidP="006E08B3">
          <w:r>
            <w:rPr>
              <w:rFonts w:cs="Arial"/>
            </w:rPr>
            <w:t>©</w:t>
          </w:r>
          <w:r>
            <w:t xml:space="preserve"> Commonwealth of Australia [add year]</w:t>
          </w:r>
        </w:p>
        <w:p w:rsidR="008B52C7" w:rsidRDefault="008B52C7" w:rsidP="006E08B3"/>
        <w:p w:rsidR="008B52C7" w:rsidRDefault="008B52C7"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8B52C7" w:rsidRDefault="008B52C7" w:rsidP="006E08B3"/>
        <w:p w:rsidR="008B52C7" w:rsidRDefault="008B52C7" w:rsidP="006E08B3">
          <w:pPr>
            <w:pStyle w:val="Heading3"/>
          </w:pPr>
          <w:r>
            <w:t>Confidentiality</w:t>
          </w:r>
        </w:p>
        <w:p w:rsidR="008B52C7" w:rsidRDefault="008B52C7"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8B52C7" w:rsidRDefault="008B52C7" w:rsidP="006E08B3"/>
        <w:p w:rsidR="008B52C7" w:rsidRDefault="008B52C7" w:rsidP="006E08B3">
          <w:r>
            <w:t>For submission made by individuals, all personal details, other than your name, will be removed from your submission before it is published on the TGA’s Internet site.</w:t>
          </w:r>
        </w:p>
        <w:p w:rsidR="008B52C7" w:rsidRDefault="008B52C7" w:rsidP="006E08B3"/>
        <w:p w:rsidR="008B52C7" w:rsidRDefault="008B52C7" w:rsidP="006E08B3">
          <w:r>
            <w:t>In addition, a list of parties making submissions will be published. If you do not wish to be identified with your submission you must specifically request this in the space provided ib the submission coversheet.</w:t>
          </w:r>
        </w:p>
      </w:tc>
    </w:tr>
    <w:tr w:rsidR="008B52C7" w:rsidTr="0010601F">
      <w:trPr>
        <w:trHeight w:val="417"/>
      </w:trPr>
      <w:tc>
        <w:tcPr>
          <w:tcW w:w="4519" w:type="dxa"/>
          <w:tcBorders>
            <w:top w:val="single" w:sz="4" w:space="0" w:color="auto"/>
          </w:tcBorders>
          <w:tcMar>
            <w:top w:w="142" w:type="dxa"/>
            <w:bottom w:w="0" w:type="dxa"/>
          </w:tcMar>
        </w:tcPr>
        <w:p w:rsidR="008B52C7" w:rsidRDefault="008B52C7" w:rsidP="006E08B3">
          <w:r>
            <w:t>Document title, Part #, Section # - Section title</w:t>
          </w:r>
        </w:p>
        <w:p w:rsidR="008B52C7" w:rsidRDefault="008B52C7" w:rsidP="006E08B3">
          <w:r>
            <w:t>V1.0 October 2010</w:t>
          </w:r>
        </w:p>
      </w:tc>
      <w:tc>
        <w:tcPr>
          <w:tcW w:w="4356" w:type="dxa"/>
          <w:tcBorders>
            <w:top w:val="single" w:sz="4" w:space="0" w:color="auto"/>
          </w:tcBorders>
          <w:tcMar>
            <w:top w:w="142" w:type="dxa"/>
            <w:bottom w:w="0" w:type="dxa"/>
          </w:tcMar>
        </w:tcPr>
        <w:p w:rsidR="008B52C7" w:rsidRDefault="008B52C7" w:rsidP="006E08B3">
          <w:pPr>
            <w:jc w:val="right"/>
          </w:pPr>
          <w:r>
            <w:t xml:space="preserve">Page </w:t>
          </w:r>
          <w:fldSimple w:instr=" PAGE   \* MERGEFORMAT ">
            <w:r>
              <w:rPr>
                <w:noProof/>
              </w:rPr>
              <w:t>1</w:t>
            </w:r>
          </w:fldSimple>
          <w:r>
            <w:t xml:space="preserve"> of </w:t>
          </w:r>
          <w:fldSimple w:instr=" NUMPAGES  \* Arabic ">
            <w:r>
              <w:rPr>
                <w:noProof/>
              </w:rPr>
              <w:t>4</w:t>
            </w:r>
          </w:fldSimple>
          <w:r>
            <w:t xml:space="preserve">  </w:t>
          </w:r>
        </w:p>
      </w:tc>
    </w:tr>
  </w:tbl>
  <w:p w:rsidR="008B52C7" w:rsidRDefault="008B52C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52C7" w:rsidRDefault="008B52C7" w:rsidP="00C40A36">
      <w:pPr>
        <w:spacing w:after="0"/>
      </w:pPr>
      <w:r>
        <w:separator/>
      </w:r>
    </w:p>
  </w:footnote>
  <w:footnote w:type="continuationSeparator" w:id="0">
    <w:p w:rsidR="008B52C7" w:rsidRDefault="008B52C7" w:rsidP="00C40A36">
      <w:pPr>
        <w:spacing w:after="0"/>
      </w:pPr>
      <w:r>
        <w:continuationSeparator/>
      </w:r>
    </w:p>
  </w:footnote>
  <w:footnote w:id="1">
    <w:p w:rsidR="008B52C7" w:rsidRPr="00134B69" w:rsidRDefault="008B52C7" w:rsidP="001C36B1">
      <w:pPr>
        <w:pStyle w:val="FootnoteText"/>
      </w:pPr>
      <w:r w:rsidRPr="009C714F">
        <w:rPr>
          <w:vertAlign w:val="superscript"/>
        </w:rPr>
        <w:footnoteRef/>
      </w:r>
      <w:r w:rsidRPr="009C714F">
        <w:rPr>
          <w:vertAlign w:val="superscript"/>
        </w:rPr>
        <w:t xml:space="preserve"> </w:t>
      </w:r>
      <w:proofErr w:type="gramStart"/>
      <w:r w:rsidRPr="00134B69">
        <w:t xml:space="preserve">Robinson MK, Trujillo EB, </w:t>
      </w:r>
      <w:proofErr w:type="spellStart"/>
      <w:r w:rsidRPr="00134B69">
        <w:t>Mogensen</w:t>
      </w:r>
      <w:proofErr w:type="spellEnd"/>
      <w:r w:rsidRPr="00134B69">
        <w:t xml:space="preserve"> KM, Rounds J, McManus K, Jacobs DO.</w:t>
      </w:r>
      <w:proofErr w:type="gramEnd"/>
      <w:r w:rsidRPr="00134B69">
        <w:t xml:space="preserve"> Improving nutritional screening of hospitalized patients: the role of prealbumin. </w:t>
      </w:r>
      <w:r w:rsidRPr="00134B69">
        <w:rPr>
          <w:i/>
          <w:iCs/>
        </w:rPr>
        <w:t>J Parenter Enteral Nutr</w:t>
      </w:r>
      <w:r w:rsidRPr="00134B69">
        <w:t xml:space="preserve"> 2003; 27: 389-395</w:t>
      </w:r>
    </w:p>
  </w:footnote>
  <w:footnote w:id="2">
    <w:p w:rsidR="008B52C7" w:rsidRPr="00A031C9" w:rsidRDefault="008B52C7" w:rsidP="00C72F55">
      <w:pPr>
        <w:pStyle w:val="FootnoteText"/>
        <w:keepLines/>
        <w:rPr>
          <w:szCs w:val="18"/>
        </w:rPr>
      </w:pPr>
      <w:r w:rsidRPr="00A031C9">
        <w:rPr>
          <w:rStyle w:val="FootnoteReference"/>
          <w:szCs w:val="18"/>
        </w:rPr>
        <w:footnoteRef/>
      </w:r>
      <w:r w:rsidRPr="00A031C9">
        <w:rPr>
          <w:szCs w:val="18"/>
        </w:rPr>
        <w:t xml:space="preserve"> Bouletreau P, Chassard D, Allaouchiche B, Dumont JC, </w:t>
      </w:r>
      <w:proofErr w:type="spellStart"/>
      <w:r w:rsidRPr="00A031C9">
        <w:rPr>
          <w:szCs w:val="18"/>
        </w:rPr>
        <w:t>Auboyer</w:t>
      </w:r>
      <w:proofErr w:type="spellEnd"/>
      <w:r w:rsidRPr="00A031C9">
        <w:rPr>
          <w:szCs w:val="18"/>
        </w:rPr>
        <w:t xml:space="preserve"> C, </w:t>
      </w:r>
      <w:proofErr w:type="spellStart"/>
      <w:r w:rsidRPr="00A031C9">
        <w:rPr>
          <w:szCs w:val="18"/>
        </w:rPr>
        <w:t>Bertin-Maghit</w:t>
      </w:r>
      <w:proofErr w:type="spellEnd"/>
      <w:r w:rsidRPr="00A031C9">
        <w:rPr>
          <w:szCs w:val="18"/>
        </w:rPr>
        <w:t xml:space="preserve"> M, </w:t>
      </w:r>
      <w:proofErr w:type="spellStart"/>
      <w:r w:rsidRPr="00A031C9">
        <w:rPr>
          <w:szCs w:val="18"/>
        </w:rPr>
        <w:t>Bricard</w:t>
      </w:r>
      <w:proofErr w:type="spellEnd"/>
      <w:r w:rsidRPr="00A031C9">
        <w:rPr>
          <w:szCs w:val="18"/>
        </w:rPr>
        <w:t xml:space="preserve"> H, </w:t>
      </w:r>
      <w:proofErr w:type="spellStart"/>
      <w:r w:rsidRPr="00A031C9">
        <w:rPr>
          <w:szCs w:val="18"/>
        </w:rPr>
        <w:t>Ecochard</w:t>
      </w:r>
      <w:proofErr w:type="spellEnd"/>
      <w:r w:rsidRPr="00A031C9">
        <w:rPr>
          <w:szCs w:val="18"/>
        </w:rPr>
        <w:t xml:space="preserve"> R, </w:t>
      </w:r>
      <w:proofErr w:type="spellStart"/>
      <w:r w:rsidRPr="00A031C9">
        <w:rPr>
          <w:szCs w:val="18"/>
        </w:rPr>
        <w:t>Rangaraj</w:t>
      </w:r>
      <w:proofErr w:type="spellEnd"/>
      <w:r w:rsidRPr="00A031C9">
        <w:rPr>
          <w:szCs w:val="18"/>
        </w:rPr>
        <w:t xml:space="preserve"> J, </w:t>
      </w:r>
      <w:proofErr w:type="spellStart"/>
      <w:r w:rsidRPr="00A031C9">
        <w:rPr>
          <w:szCs w:val="18"/>
        </w:rPr>
        <w:t>Chambrier</w:t>
      </w:r>
      <w:proofErr w:type="spellEnd"/>
      <w:r w:rsidRPr="00A031C9">
        <w:rPr>
          <w:szCs w:val="18"/>
        </w:rPr>
        <w:t xml:space="preserve"> C, </w:t>
      </w:r>
      <w:proofErr w:type="spellStart"/>
      <w:r w:rsidRPr="00A031C9">
        <w:rPr>
          <w:szCs w:val="18"/>
        </w:rPr>
        <w:t>Schneid</w:t>
      </w:r>
      <w:proofErr w:type="spellEnd"/>
      <w:r w:rsidRPr="00A031C9">
        <w:rPr>
          <w:szCs w:val="18"/>
        </w:rPr>
        <w:t xml:space="preserve"> C, </w:t>
      </w:r>
      <w:proofErr w:type="spellStart"/>
      <w:r w:rsidRPr="00A031C9">
        <w:rPr>
          <w:szCs w:val="18"/>
        </w:rPr>
        <w:t>Cynober</w:t>
      </w:r>
      <w:proofErr w:type="spellEnd"/>
      <w:r w:rsidRPr="00A031C9">
        <w:rPr>
          <w:szCs w:val="18"/>
        </w:rPr>
        <w:t xml:space="preserve"> L. Glucose-lipid ratio is a determinant of nitrogen balance during total parenteral</w:t>
      </w:r>
      <w:r w:rsidRPr="00E37663">
        <w:t xml:space="preserve"> </w:t>
      </w:r>
      <w:r w:rsidRPr="00A031C9">
        <w:rPr>
          <w:szCs w:val="18"/>
        </w:rPr>
        <w:t xml:space="preserve">nutrition in critically ill patients: a prospective randomized multicenter blind trial with intention to treat analysis. </w:t>
      </w:r>
      <w:proofErr w:type="spellStart"/>
      <w:r w:rsidRPr="00A031C9">
        <w:rPr>
          <w:i/>
          <w:iCs/>
          <w:szCs w:val="18"/>
        </w:rPr>
        <w:t>Int</w:t>
      </w:r>
      <w:proofErr w:type="spellEnd"/>
      <w:r w:rsidRPr="00A031C9">
        <w:rPr>
          <w:i/>
          <w:iCs/>
          <w:szCs w:val="18"/>
        </w:rPr>
        <w:t xml:space="preserve"> Care Med</w:t>
      </w:r>
      <w:r w:rsidRPr="00A031C9">
        <w:rPr>
          <w:szCs w:val="18"/>
        </w:rPr>
        <w:t xml:space="preserve"> 2005; 31: 1394-1400</w:t>
      </w:r>
    </w:p>
  </w:footnote>
  <w:footnote w:id="3">
    <w:p w:rsidR="008B52C7" w:rsidRPr="00E82DEB" w:rsidRDefault="008B52C7" w:rsidP="00E8640C">
      <w:pPr>
        <w:pStyle w:val="FootnoteText"/>
        <w:rPr>
          <w:szCs w:val="18"/>
        </w:rPr>
      </w:pPr>
      <w:r w:rsidRPr="00E82DEB">
        <w:rPr>
          <w:rStyle w:val="FootnoteReference"/>
          <w:szCs w:val="18"/>
        </w:rPr>
        <w:footnoteRef/>
      </w:r>
      <w:r w:rsidRPr="00E82DEB">
        <w:rPr>
          <w:szCs w:val="18"/>
        </w:rPr>
        <w:t xml:space="preserve"> There was no evidence submitted of a literature search.</w:t>
      </w:r>
    </w:p>
  </w:footnote>
  <w:footnote w:id="4">
    <w:p w:rsidR="008B52C7" w:rsidRPr="00E82DEB" w:rsidRDefault="008B52C7" w:rsidP="00E8640C">
      <w:pPr>
        <w:pStyle w:val="FootnoteText"/>
        <w:rPr>
          <w:szCs w:val="18"/>
        </w:rPr>
      </w:pPr>
      <w:r w:rsidRPr="00E82DEB">
        <w:rPr>
          <w:rStyle w:val="FootnoteReference"/>
          <w:szCs w:val="18"/>
        </w:rPr>
        <w:footnoteRef/>
      </w:r>
      <w:r w:rsidRPr="00E82DEB">
        <w:rPr>
          <w:szCs w:val="18"/>
        </w:rPr>
        <w:t xml:space="preserve"> The 17 refers to g/L of Nitrogen not g/100mL - Clinical Overview </w:t>
      </w:r>
    </w:p>
  </w:footnote>
  <w:footnote w:id="5">
    <w:p w:rsidR="008B52C7" w:rsidRPr="00AF6515" w:rsidRDefault="008B52C7" w:rsidP="00E8640C">
      <w:pPr>
        <w:pStyle w:val="FootnoteText"/>
        <w:rPr>
          <w:szCs w:val="18"/>
        </w:rPr>
      </w:pPr>
      <w:r w:rsidRPr="00AF6515">
        <w:rPr>
          <w:rStyle w:val="FootnoteReference"/>
          <w:szCs w:val="18"/>
        </w:rPr>
        <w:footnoteRef/>
      </w:r>
      <w:r w:rsidRPr="00AF6515">
        <w:rPr>
          <w:szCs w:val="18"/>
        </w:rPr>
        <w:t xml:space="preserve"> This did not influence overall lipid tolerance nor blood glucose results, but on a nutritional point of view, this follows the trends to limit glucose intakes and risks of hyperglycaemia in this critically ill population exposed to inflammatory syndrome and insulin resistance </w:t>
      </w:r>
      <w:r>
        <w:rPr>
          <w:szCs w:val="18"/>
        </w:rPr>
        <w:t>[</w:t>
      </w:r>
      <w:r w:rsidRPr="00AF6515">
        <w:rPr>
          <w:szCs w:val="18"/>
        </w:rPr>
        <w:t>Study Report</w:t>
      </w:r>
      <w:r>
        <w:rPr>
          <w:szCs w:val="18"/>
        </w:rPr>
        <w:t>]</w:t>
      </w:r>
    </w:p>
  </w:footnote>
  <w:footnote w:id="6">
    <w:p w:rsidR="008B52C7" w:rsidRPr="00EC752D" w:rsidRDefault="008B52C7" w:rsidP="00AB7B93">
      <w:pPr>
        <w:pStyle w:val="FootnoteText"/>
      </w:pPr>
      <w:r w:rsidRPr="00EC752D">
        <w:rPr>
          <w:vertAlign w:val="superscript"/>
        </w:rPr>
        <w:footnoteRef/>
      </w:r>
      <w:r w:rsidRPr="00EC752D">
        <w:rPr>
          <w:vertAlign w:val="superscript"/>
        </w:rPr>
        <w:t xml:space="preserve"> </w:t>
      </w:r>
      <w:r w:rsidRPr="00EC752D">
        <w:t>4.4 Special Warnings and Precautions for Use: - addition of warning regarding excess addition of calcium and phosphorus that may result in formation of precipitates of calcium phosphate that could lead to vascular occlusion; 4.5 Interactions with Other Medicinal Products and Other Forms of Interaction: - addition of wording mentioning that ceftriaxone must not be coadministered with calcium containing IV solutions.</w:t>
      </w:r>
    </w:p>
  </w:footnote>
  <w:footnote w:id="7">
    <w:p w:rsidR="008B52C7" w:rsidRPr="00EC752D" w:rsidRDefault="008B52C7" w:rsidP="00AB7B93">
      <w:pPr>
        <w:pStyle w:val="FootnoteText"/>
      </w:pPr>
      <w:r w:rsidRPr="00EC752D">
        <w:rPr>
          <w:rStyle w:val="FootnoteReference"/>
          <w:szCs w:val="18"/>
        </w:rPr>
        <w:footnoteRef/>
      </w:r>
      <w:r w:rsidRPr="00EC752D">
        <w:t xml:space="preserve"> </w:t>
      </w:r>
      <w:proofErr w:type="gramStart"/>
      <w:r w:rsidRPr="00EC752D">
        <w:t xml:space="preserve">Raper </w:t>
      </w:r>
      <w:r w:rsidRPr="00EC752D">
        <w:rPr>
          <w:i/>
          <w:iCs/>
        </w:rPr>
        <w:t>et al</w:t>
      </w:r>
      <w:r w:rsidRPr="00EC752D">
        <w:t>.</w:t>
      </w:r>
      <w:proofErr w:type="gramEnd"/>
      <w:r w:rsidRPr="00EC752D">
        <w:t xml:space="preserve"> </w:t>
      </w:r>
      <w:proofErr w:type="gramStart"/>
      <w:r w:rsidRPr="00EC752D">
        <w:t>The cost of multi-compartment ‘big bag’ parenteral nutrition in an ICU.</w:t>
      </w:r>
      <w:proofErr w:type="gramEnd"/>
      <w:r w:rsidRPr="00EC752D">
        <w:t xml:space="preserve"> Anaesthesia; Volume 57, Issue 1, pages </w:t>
      </w:r>
      <w:r>
        <w:t>96-97</w:t>
      </w:r>
      <w:r w:rsidRPr="00EC752D">
        <w:t>, January 2002</w:t>
      </w:r>
    </w:p>
  </w:footnote>
  <w:footnote w:id="8">
    <w:p w:rsidR="008B52C7" w:rsidRPr="0041160A" w:rsidRDefault="008B52C7" w:rsidP="00AB7B93">
      <w:pPr>
        <w:pStyle w:val="FootnoteText"/>
      </w:pPr>
      <w:r w:rsidRPr="00EC752D">
        <w:rPr>
          <w:vertAlign w:val="superscript"/>
        </w:rPr>
        <w:footnoteRef/>
      </w:r>
      <w:r w:rsidRPr="0041160A">
        <w:t xml:space="preserve"> Clinical Overview - Product Development Rationale </w:t>
      </w:r>
    </w:p>
  </w:footnote>
  <w:footnote w:id="9">
    <w:p w:rsidR="008B52C7" w:rsidRDefault="008B52C7" w:rsidP="00A7100E">
      <w:pPr>
        <w:pStyle w:val="FootnoteText"/>
      </w:pPr>
      <w:r>
        <w:rPr>
          <w:rStyle w:val="FootnoteReference"/>
        </w:rPr>
        <w:footnoteRef/>
      </w:r>
      <w:r>
        <w:t xml:space="preserve"> The sections in the CER dealing with the PI ar</w:t>
      </w:r>
      <w:r w:rsidR="006A0244">
        <w:t>e not included in this Extract.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2C7" w:rsidRDefault="008B52C7"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2C7" w:rsidRDefault="00DC3CE0">
    <w:pPr>
      <w:rPr>
        <w:noProof/>
        <w:lang w:eastAsia="en-AU"/>
      </w:rPr>
    </w:pPr>
    <w:r w:rsidRPr="00DC3CE0">
      <w:rPr>
        <w:noProof/>
        <w:lang w:eastAsia="en-AU"/>
      </w:rPr>
      <w:drawing>
        <wp:anchor distT="0" distB="0" distL="114300" distR="114300" simplePos="0" relativeHeight="251659264" behindDoc="1" locked="0" layoutInCell="1" allowOverlap="1">
          <wp:simplePos x="0" y="0"/>
          <wp:positionH relativeFrom="column">
            <wp:posOffset>-1091565</wp:posOffset>
          </wp:positionH>
          <wp:positionV relativeFrom="paragraph">
            <wp:posOffset>-583565</wp:posOffset>
          </wp:positionV>
          <wp:extent cx="7570470" cy="10706100"/>
          <wp:effectExtent l="19050" t="0" r="0" b="0"/>
          <wp:wrapNone/>
          <wp:docPr id="5"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8B52C7" w:rsidRDefault="00DA2843"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1pt;height:601.3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2C7" w:rsidRDefault="008B52C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2C7" w:rsidRDefault="008B52C7">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2C7" w:rsidRDefault="008B52C7">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2C7" w:rsidRDefault="008B52C7">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2C7" w:rsidRDefault="008B52C7" w:rsidP="008D770F">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2C7" w:rsidRDefault="008B52C7" w:rsidP="006E08B3">
    <w:r>
      <w:t>Therapeutic Goods Administration</w:t>
    </w:r>
  </w:p>
  <w:p w:rsidR="008B52C7" w:rsidRDefault="008B52C7"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0881BD0"/>
    <w:lvl w:ilvl="0">
      <w:start w:val="1"/>
      <w:numFmt w:val="decimal"/>
      <w:lvlText w:val="%1."/>
      <w:lvlJc w:val="left"/>
      <w:pPr>
        <w:tabs>
          <w:tab w:val="num" w:pos="1492"/>
        </w:tabs>
        <w:ind w:left="1492" w:hanging="360"/>
      </w:pPr>
    </w:lvl>
  </w:abstractNum>
  <w:abstractNum w:abstractNumId="1">
    <w:nsid w:val="FFFFFF7D"/>
    <w:multiLevelType w:val="singleLevel"/>
    <w:tmpl w:val="146E16B2"/>
    <w:lvl w:ilvl="0">
      <w:start w:val="1"/>
      <w:numFmt w:val="decimal"/>
      <w:lvlText w:val="%1."/>
      <w:lvlJc w:val="left"/>
      <w:pPr>
        <w:tabs>
          <w:tab w:val="num" w:pos="1209"/>
        </w:tabs>
        <w:ind w:left="1209" w:hanging="360"/>
      </w:pPr>
    </w:lvl>
  </w:abstractNum>
  <w:abstractNum w:abstractNumId="2">
    <w:nsid w:val="FFFFFF7E"/>
    <w:multiLevelType w:val="singleLevel"/>
    <w:tmpl w:val="430207E8"/>
    <w:lvl w:ilvl="0">
      <w:start w:val="1"/>
      <w:numFmt w:val="decimal"/>
      <w:lvlText w:val="%1."/>
      <w:lvlJc w:val="left"/>
      <w:pPr>
        <w:tabs>
          <w:tab w:val="num" w:pos="926"/>
        </w:tabs>
        <w:ind w:left="926" w:hanging="360"/>
      </w:pPr>
    </w:lvl>
  </w:abstractNum>
  <w:abstractNum w:abstractNumId="3">
    <w:nsid w:val="FFFFFF7F"/>
    <w:multiLevelType w:val="singleLevel"/>
    <w:tmpl w:val="FE0E2D1E"/>
    <w:lvl w:ilvl="0">
      <w:start w:val="1"/>
      <w:numFmt w:val="decimal"/>
      <w:lvlText w:val="%1."/>
      <w:lvlJc w:val="left"/>
      <w:pPr>
        <w:tabs>
          <w:tab w:val="num" w:pos="643"/>
        </w:tabs>
        <w:ind w:left="643" w:hanging="360"/>
      </w:pPr>
    </w:lvl>
  </w:abstractNum>
  <w:abstractNum w:abstractNumId="4">
    <w:nsid w:val="FFFFFF80"/>
    <w:multiLevelType w:val="singleLevel"/>
    <w:tmpl w:val="9DA8E23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9F21DD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F16C8B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EDE1B14"/>
    <w:lvl w:ilvl="0">
      <w:start w:val="1"/>
      <w:numFmt w:val="bullet"/>
      <w:lvlText w:val="–"/>
      <w:lvlJc w:val="left"/>
      <w:pPr>
        <w:ind w:left="643" w:hanging="360"/>
      </w:pPr>
      <w:rPr>
        <w:rFonts w:ascii="Arial" w:hAnsi="Arial" w:hint="default"/>
      </w:rPr>
    </w:lvl>
  </w:abstractNum>
  <w:abstractNum w:abstractNumId="8">
    <w:nsid w:val="FFFFFF88"/>
    <w:multiLevelType w:val="singleLevel"/>
    <w:tmpl w:val="BA641ABC"/>
    <w:lvl w:ilvl="0">
      <w:start w:val="1"/>
      <w:numFmt w:val="decimal"/>
      <w:lvlText w:val="%1."/>
      <w:lvlJc w:val="left"/>
      <w:pPr>
        <w:tabs>
          <w:tab w:val="num" w:pos="360"/>
        </w:tabs>
        <w:ind w:left="360" w:hanging="360"/>
      </w:pPr>
    </w:lvl>
  </w:abstractNum>
  <w:abstractNum w:abstractNumId="9">
    <w:nsid w:val="FFFFFF89"/>
    <w:multiLevelType w:val="singleLevel"/>
    <w:tmpl w:val="76B81494"/>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8320B0A"/>
    <w:lvl w:ilvl="0">
      <w:numFmt w:val="bullet"/>
      <w:lvlText w:val="*"/>
      <w:lvlJc w:val="left"/>
    </w:lvl>
  </w:abstractNum>
  <w:abstractNum w:abstractNumId="11">
    <w:nsid w:val="00DD40FC"/>
    <w:multiLevelType w:val="hybridMultilevel"/>
    <w:tmpl w:val="B9C42088"/>
    <w:lvl w:ilvl="0" w:tplc="0DB8A5D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3">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nsid w:val="228331A6"/>
    <w:multiLevelType w:val="singleLevel"/>
    <w:tmpl w:val="0C09000F"/>
    <w:lvl w:ilvl="0">
      <w:start w:val="1"/>
      <w:numFmt w:val="decimal"/>
      <w:lvlText w:val="%1."/>
      <w:lvlJc w:val="left"/>
      <w:pPr>
        <w:tabs>
          <w:tab w:val="num" w:pos="360"/>
        </w:tabs>
        <w:ind w:left="360" w:hanging="360"/>
      </w:pPr>
    </w:lvl>
  </w:abstractNum>
  <w:abstractNum w:abstractNumId="15">
    <w:nsid w:val="2CB5450E"/>
    <w:multiLevelType w:val="hybridMultilevel"/>
    <w:tmpl w:val="F24CE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F800986"/>
    <w:multiLevelType w:val="hybridMultilevel"/>
    <w:tmpl w:val="FD4C0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11826D3"/>
    <w:multiLevelType w:val="hybridMultilevel"/>
    <w:tmpl w:val="289414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3840CFC"/>
    <w:multiLevelType w:val="hybridMultilevel"/>
    <w:tmpl w:val="8DE27E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2D51F79"/>
    <w:multiLevelType w:val="hybridMultilevel"/>
    <w:tmpl w:val="34B69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22">
    <w:nsid w:val="5D693CE8"/>
    <w:multiLevelType w:val="hybridMultilevel"/>
    <w:tmpl w:val="870E9A24"/>
    <w:lvl w:ilvl="0" w:tplc="CC766728">
      <w:numFmt w:val="decimal"/>
      <w:lvlText w:val="2.6.%1"/>
      <w:lvlJc w:val="left"/>
      <w:pPr>
        <w:ind w:left="1495" w:hanging="360"/>
      </w:pPr>
      <w:rPr>
        <w:rFonts w:ascii="Arial" w:hAnsi="Arial" w:hint="default"/>
        <w:b/>
        <w:i w:val="0"/>
        <w:color w:val="auto"/>
        <w:sz w:val="32"/>
        <w:u w:color="FFFFFF" w:themeColor="background1"/>
      </w:rPr>
    </w:lvl>
    <w:lvl w:ilvl="1" w:tplc="EBBC0EAA" w:tentative="1">
      <w:start w:val="1"/>
      <w:numFmt w:val="lowerLetter"/>
      <w:lvlText w:val="%2."/>
      <w:lvlJc w:val="left"/>
      <w:pPr>
        <w:ind w:left="2215" w:hanging="360"/>
      </w:pPr>
    </w:lvl>
    <w:lvl w:ilvl="2" w:tplc="D588486A" w:tentative="1">
      <w:start w:val="1"/>
      <w:numFmt w:val="lowerRoman"/>
      <w:lvlText w:val="%3."/>
      <w:lvlJc w:val="right"/>
      <w:pPr>
        <w:ind w:left="2935" w:hanging="180"/>
      </w:pPr>
    </w:lvl>
    <w:lvl w:ilvl="3" w:tplc="64906742" w:tentative="1">
      <w:start w:val="1"/>
      <w:numFmt w:val="decimal"/>
      <w:lvlText w:val="%4."/>
      <w:lvlJc w:val="left"/>
      <w:pPr>
        <w:ind w:left="3655" w:hanging="360"/>
      </w:pPr>
    </w:lvl>
    <w:lvl w:ilvl="4" w:tplc="A71E9CBC" w:tentative="1">
      <w:start w:val="1"/>
      <w:numFmt w:val="lowerLetter"/>
      <w:lvlText w:val="%5."/>
      <w:lvlJc w:val="left"/>
      <w:pPr>
        <w:ind w:left="4375" w:hanging="360"/>
      </w:pPr>
    </w:lvl>
    <w:lvl w:ilvl="5" w:tplc="74CE9C66" w:tentative="1">
      <w:start w:val="1"/>
      <w:numFmt w:val="lowerRoman"/>
      <w:lvlText w:val="%6."/>
      <w:lvlJc w:val="right"/>
      <w:pPr>
        <w:ind w:left="5095" w:hanging="180"/>
      </w:pPr>
    </w:lvl>
    <w:lvl w:ilvl="6" w:tplc="7A14C5F8" w:tentative="1">
      <w:start w:val="1"/>
      <w:numFmt w:val="decimal"/>
      <w:lvlText w:val="%7."/>
      <w:lvlJc w:val="left"/>
      <w:pPr>
        <w:ind w:left="5815" w:hanging="360"/>
      </w:pPr>
    </w:lvl>
    <w:lvl w:ilvl="7" w:tplc="3A10F6A6" w:tentative="1">
      <w:start w:val="1"/>
      <w:numFmt w:val="lowerLetter"/>
      <w:lvlText w:val="%8."/>
      <w:lvlJc w:val="left"/>
      <w:pPr>
        <w:ind w:left="6535" w:hanging="360"/>
      </w:pPr>
    </w:lvl>
    <w:lvl w:ilvl="8" w:tplc="CA3252FE" w:tentative="1">
      <w:start w:val="1"/>
      <w:numFmt w:val="lowerRoman"/>
      <w:lvlText w:val="%9."/>
      <w:lvlJc w:val="right"/>
      <w:pPr>
        <w:ind w:left="7255" w:hanging="180"/>
      </w:pPr>
    </w:lvl>
  </w:abstractNum>
  <w:abstractNum w:abstractNumId="23">
    <w:nsid w:val="678B0AC9"/>
    <w:multiLevelType w:val="hybridMultilevel"/>
    <w:tmpl w:val="870E9A24"/>
    <w:lvl w:ilvl="0" w:tplc="C51671FE">
      <w:numFmt w:val="decimal"/>
      <w:lvlText w:val="2.6.%1"/>
      <w:lvlJc w:val="left"/>
      <w:pPr>
        <w:ind w:left="1495" w:hanging="360"/>
      </w:pPr>
      <w:rPr>
        <w:rFonts w:ascii="Arial" w:hAnsi="Arial" w:hint="default"/>
        <w:b/>
        <w:i w:val="0"/>
        <w:color w:val="auto"/>
        <w:sz w:val="32"/>
        <w:u w:color="FFFFFF" w:themeColor="background1"/>
      </w:rPr>
    </w:lvl>
    <w:lvl w:ilvl="1" w:tplc="B8CA99C8" w:tentative="1">
      <w:start w:val="1"/>
      <w:numFmt w:val="lowerLetter"/>
      <w:lvlText w:val="%2."/>
      <w:lvlJc w:val="left"/>
      <w:pPr>
        <w:ind w:left="2215" w:hanging="360"/>
      </w:pPr>
    </w:lvl>
    <w:lvl w:ilvl="2" w:tplc="FE26B77C" w:tentative="1">
      <w:start w:val="1"/>
      <w:numFmt w:val="lowerRoman"/>
      <w:lvlText w:val="%3."/>
      <w:lvlJc w:val="right"/>
      <w:pPr>
        <w:ind w:left="2935" w:hanging="180"/>
      </w:pPr>
    </w:lvl>
    <w:lvl w:ilvl="3" w:tplc="97004BEC" w:tentative="1">
      <w:start w:val="1"/>
      <w:numFmt w:val="decimal"/>
      <w:lvlText w:val="%4."/>
      <w:lvlJc w:val="left"/>
      <w:pPr>
        <w:ind w:left="3655" w:hanging="360"/>
      </w:pPr>
    </w:lvl>
    <w:lvl w:ilvl="4" w:tplc="2FFADC98" w:tentative="1">
      <w:start w:val="1"/>
      <w:numFmt w:val="lowerLetter"/>
      <w:lvlText w:val="%5."/>
      <w:lvlJc w:val="left"/>
      <w:pPr>
        <w:ind w:left="4375" w:hanging="360"/>
      </w:pPr>
    </w:lvl>
    <w:lvl w:ilvl="5" w:tplc="68062FD4" w:tentative="1">
      <w:start w:val="1"/>
      <w:numFmt w:val="lowerRoman"/>
      <w:lvlText w:val="%6."/>
      <w:lvlJc w:val="right"/>
      <w:pPr>
        <w:ind w:left="5095" w:hanging="180"/>
      </w:pPr>
    </w:lvl>
    <w:lvl w:ilvl="6" w:tplc="324CF76E" w:tentative="1">
      <w:start w:val="1"/>
      <w:numFmt w:val="decimal"/>
      <w:lvlText w:val="%7."/>
      <w:lvlJc w:val="left"/>
      <w:pPr>
        <w:ind w:left="5815" w:hanging="360"/>
      </w:pPr>
    </w:lvl>
    <w:lvl w:ilvl="7" w:tplc="CC30EDB4" w:tentative="1">
      <w:start w:val="1"/>
      <w:numFmt w:val="lowerLetter"/>
      <w:lvlText w:val="%8."/>
      <w:lvlJc w:val="left"/>
      <w:pPr>
        <w:ind w:left="6535" w:hanging="360"/>
      </w:pPr>
    </w:lvl>
    <w:lvl w:ilvl="8" w:tplc="9F44A558" w:tentative="1">
      <w:start w:val="1"/>
      <w:numFmt w:val="lowerRoman"/>
      <w:lvlText w:val="%9."/>
      <w:lvlJc w:val="right"/>
      <w:pPr>
        <w:ind w:left="7255" w:hanging="180"/>
      </w:pPr>
    </w:lvl>
  </w:abstractNum>
  <w:abstractNum w:abstractNumId="24">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5">
    <w:nsid w:val="6D535CC5"/>
    <w:multiLevelType w:val="hybridMultilevel"/>
    <w:tmpl w:val="6088A7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D253C0D"/>
    <w:multiLevelType w:val="hybridMultilevel"/>
    <w:tmpl w:val="D8945092"/>
    <w:lvl w:ilvl="0" w:tplc="0310CC48">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3"/>
  </w:num>
  <w:num w:numId="4">
    <w:abstractNumId w:val="13"/>
  </w:num>
  <w:num w:numId="5">
    <w:abstractNumId w:val="6"/>
  </w:num>
  <w:num w:numId="6">
    <w:abstractNumId w:val="13"/>
  </w:num>
  <w:num w:numId="7">
    <w:abstractNumId w:val="13"/>
  </w:num>
  <w:num w:numId="8">
    <w:abstractNumId w:val="12"/>
  </w:num>
  <w:num w:numId="9">
    <w:abstractNumId w:val="12"/>
  </w:num>
  <w:num w:numId="10">
    <w:abstractNumId w:val="12"/>
  </w:num>
  <w:num w:numId="11">
    <w:abstractNumId w:val="12"/>
  </w:num>
  <w:num w:numId="12">
    <w:abstractNumId w:val="10"/>
    <w:lvlOverride w:ilvl="0">
      <w:lvl w:ilvl="0">
        <w:numFmt w:val="bullet"/>
        <w:lvlText w:val="•"/>
        <w:legacy w:legacy="1" w:legacySpace="0" w:legacyIndent="0"/>
        <w:lvlJc w:val="left"/>
        <w:rPr>
          <w:rFonts w:ascii="Helv" w:hAnsi="Helv" w:hint="default"/>
        </w:rPr>
      </w:lvl>
    </w:lvlOverride>
  </w:num>
  <w:num w:numId="13">
    <w:abstractNumId w:val="13"/>
  </w:num>
  <w:num w:numId="14">
    <w:abstractNumId w:val="13"/>
  </w:num>
  <w:num w:numId="15">
    <w:abstractNumId w:val="13"/>
  </w:num>
  <w:num w:numId="16">
    <w:abstractNumId w:val="12"/>
  </w:num>
  <w:num w:numId="17">
    <w:abstractNumId w:val="12"/>
  </w:num>
  <w:num w:numId="18">
    <w:abstractNumId w:val="12"/>
  </w:num>
  <w:num w:numId="19">
    <w:abstractNumId w:val="13"/>
  </w:num>
  <w:num w:numId="20">
    <w:abstractNumId w:val="13"/>
  </w:num>
  <w:num w:numId="21">
    <w:abstractNumId w:val="13"/>
  </w:num>
  <w:num w:numId="22">
    <w:abstractNumId w:val="12"/>
  </w:num>
  <w:num w:numId="23">
    <w:abstractNumId w:val="12"/>
  </w:num>
  <w:num w:numId="24">
    <w:abstractNumId w:val="12"/>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9"/>
  </w:num>
  <w:num w:numId="26">
    <w:abstractNumId w:val="21"/>
  </w:num>
  <w:num w:numId="27">
    <w:abstractNumId w:val="22"/>
  </w:num>
  <w:num w:numId="28">
    <w:abstractNumId w:val="23"/>
  </w:num>
  <w:num w:numId="29">
    <w:abstractNumId w:val="24"/>
  </w:num>
  <w:num w:numId="30">
    <w:abstractNumId w:val="24"/>
  </w:num>
  <w:num w:numId="31">
    <w:abstractNumId w:val="24"/>
  </w:num>
  <w:num w:numId="32">
    <w:abstractNumId w:val="1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11"/>
  </w:num>
  <w:num w:numId="34">
    <w:abstractNumId w:val="15"/>
  </w:num>
  <w:num w:numId="35">
    <w:abstractNumId w:val="16"/>
  </w:num>
  <w:num w:numId="36">
    <w:abstractNumId w:val="26"/>
  </w:num>
  <w:num w:numId="37">
    <w:abstractNumId w:val="17"/>
  </w:num>
  <w:num w:numId="38">
    <w:abstractNumId w:val="14"/>
    <w:lvlOverride w:ilvl="0">
      <w:startOverride w:val="1"/>
    </w:lvlOverride>
  </w:num>
  <w:num w:numId="39">
    <w:abstractNumId w:val="25"/>
  </w:num>
  <w:num w:numId="40">
    <w:abstractNumId w:val="20"/>
  </w:num>
  <w:num w:numId="41">
    <w:abstractNumId w:val="18"/>
  </w:num>
  <w:num w:numId="42">
    <w:abstractNumId w:val="5"/>
  </w:num>
  <w:num w:numId="43">
    <w:abstractNumId w:val="4"/>
  </w:num>
  <w:num w:numId="44">
    <w:abstractNumId w:val="8"/>
  </w:num>
  <w:num w:numId="45">
    <w:abstractNumId w:val="3"/>
  </w:num>
  <w:num w:numId="46">
    <w:abstractNumId w:val="2"/>
  </w:num>
  <w:num w:numId="47">
    <w:abstractNumId w:val="1"/>
  </w:num>
  <w:num w:numId="4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proofState w:spelling="clean" w:grammar="clean"/>
  <w:stylePaneFormatFilter w:val="1004"/>
  <w:stylePaneSortMethod w:val="0000"/>
  <w:defaultTabStop w:val="720"/>
  <w:defaultTableStyle w:val="TableTGAblue"/>
  <w:drawingGridHorizontalSpacing w:val="110"/>
  <w:displayHorizontalDrawingGridEvery w:val="2"/>
  <w:characterSpacingControl w:val="doNotCompress"/>
  <w:hdrShapeDefaults>
    <o:shapedefaults v:ext="edit" spidmax="55298">
      <o:colormenu v:ext="edit" fillcolor="none [3206]"/>
    </o:shapedefaults>
  </w:hdrShapeDefaults>
  <w:footnotePr>
    <w:footnote w:id="-1"/>
    <w:footnote w:id="0"/>
  </w:footnotePr>
  <w:endnotePr>
    <w:endnote w:id="-1"/>
    <w:endnote w:id="0"/>
  </w:endnotePr>
  <w:compat/>
  <w:rsids>
    <w:rsidRoot w:val="0017078F"/>
    <w:rsid w:val="00002031"/>
    <w:rsid w:val="00004734"/>
    <w:rsid w:val="00006B22"/>
    <w:rsid w:val="0001276A"/>
    <w:rsid w:val="0001486E"/>
    <w:rsid w:val="000246AE"/>
    <w:rsid w:val="00025C67"/>
    <w:rsid w:val="00040ACB"/>
    <w:rsid w:val="0005559E"/>
    <w:rsid w:val="00077775"/>
    <w:rsid w:val="00090471"/>
    <w:rsid w:val="000A3AED"/>
    <w:rsid w:val="000A63AF"/>
    <w:rsid w:val="000B3532"/>
    <w:rsid w:val="000B3A75"/>
    <w:rsid w:val="000C2915"/>
    <w:rsid w:val="000C690F"/>
    <w:rsid w:val="000D1295"/>
    <w:rsid w:val="000D391B"/>
    <w:rsid w:val="000D3D6D"/>
    <w:rsid w:val="000D4FC7"/>
    <w:rsid w:val="000F02F9"/>
    <w:rsid w:val="000F2944"/>
    <w:rsid w:val="000F4869"/>
    <w:rsid w:val="000F5B42"/>
    <w:rsid w:val="000F6E6F"/>
    <w:rsid w:val="00104613"/>
    <w:rsid w:val="0010601F"/>
    <w:rsid w:val="0010788A"/>
    <w:rsid w:val="00107A31"/>
    <w:rsid w:val="00110EA5"/>
    <w:rsid w:val="00112F56"/>
    <w:rsid w:val="00125318"/>
    <w:rsid w:val="001305A2"/>
    <w:rsid w:val="00133238"/>
    <w:rsid w:val="00134B69"/>
    <w:rsid w:val="0014197B"/>
    <w:rsid w:val="001447CD"/>
    <w:rsid w:val="001516B1"/>
    <w:rsid w:val="00154EBB"/>
    <w:rsid w:val="00156316"/>
    <w:rsid w:val="00165389"/>
    <w:rsid w:val="0017078F"/>
    <w:rsid w:val="0017693F"/>
    <w:rsid w:val="0018110E"/>
    <w:rsid w:val="00181684"/>
    <w:rsid w:val="001843C6"/>
    <w:rsid w:val="001850E0"/>
    <w:rsid w:val="001A2158"/>
    <w:rsid w:val="001A525F"/>
    <w:rsid w:val="001B09F9"/>
    <w:rsid w:val="001B35E8"/>
    <w:rsid w:val="001B6448"/>
    <w:rsid w:val="001C36B1"/>
    <w:rsid w:val="001D1C55"/>
    <w:rsid w:val="001E07CF"/>
    <w:rsid w:val="001E59F1"/>
    <w:rsid w:val="001F49EB"/>
    <w:rsid w:val="001F50F6"/>
    <w:rsid w:val="001F6CBA"/>
    <w:rsid w:val="00201D4E"/>
    <w:rsid w:val="002076C9"/>
    <w:rsid w:val="00220B8A"/>
    <w:rsid w:val="002257F3"/>
    <w:rsid w:val="002319FA"/>
    <w:rsid w:val="00233456"/>
    <w:rsid w:val="002339A5"/>
    <w:rsid w:val="00252E32"/>
    <w:rsid w:val="00257848"/>
    <w:rsid w:val="002666AC"/>
    <w:rsid w:val="0027084A"/>
    <w:rsid w:val="0028326A"/>
    <w:rsid w:val="00286434"/>
    <w:rsid w:val="00286C59"/>
    <w:rsid w:val="00292113"/>
    <w:rsid w:val="002942D1"/>
    <w:rsid w:val="0029501A"/>
    <w:rsid w:val="002A2CD0"/>
    <w:rsid w:val="002B1638"/>
    <w:rsid w:val="002C63ED"/>
    <w:rsid w:val="002D4BF1"/>
    <w:rsid w:val="002D6161"/>
    <w:rsid w:val="002E4C9A"/>
    <w:rsid w:val="002F11F8"/>
    <w:rsid w:val="002F3F56"/>
    <w:rsid w:val="002F44B5"/>
    <w:rsid w:val="00311AC0"/>
    <w:rsid w:val="00325411"/>
    <w:rsid w:val="0032583B"/>
    <w:rsid w:val="00327883"/>
    <w:rsid w:val="00335504"/>
    <w:rsid w:val="003521E8"/>
    <w:rsid w:val="003728F3"/>
    <w:rsid w:val="0037496E"/>
    <w:rsid w:val="0037623D"/>
    <w:rsid w:val="00383024"/>
    <w:rsid w:val="00386150"/>
    <w:rsid w:val="003874CE"/>
    <w:rsid w:val="00390900"/>
    <w:rsid w:val="00396C92"/>
    <w:rsid w:val="003A7F6C"/>
    <w:rsid w:val="003B1113"/>
    <w:rsid w:val="003B4D60"/>
    <w:rsid w:val="003B634F"/>
    <w:rsid w:val="003B7D80"/>
    <w:rsid w:val="003B7E39"/>
    <w:rsid w:val="003C58DC"/>
    <w:rsid w:val="003D0A3B"/>
    <w:rsid w:val="003D1E62"/>
    <w:rsid w:val="003E2486"/>
    <w:rsid w:val="003E3208"/>
    <w:rsid w:val="003E4362"/>
    <w:rsid w:val="003F0B04"/>
    <w:rsid w:val="003F5CF8"/>
    <w:rsid w:val="0040134E"/>
    <w:rsid w:val="00403BBD"/>
    <w:rsid w:val="00407FD6"/>
    <w:rsid w:val="0041160A"/>
    <w:rsid w:val="00415D59"/>
    <w:rsid w:val="00430F48"/>
    <w:rsid w:val="0043797D"/>
    <w:rsid w:val="00440A2D"/>
    <w:rsid w:val="004517C7"/>
    <w:rsid w:val="004564A7"/>
    <w:rsid w:val="004617BF"/>
    <w:rsid w:val="00463658"/>
    <w:rsid w:val="004722CC"/>
    <w:rsid w:val="004769BE"/>
    <w:rsid w:val="0048719E"/>
    <w:rsid w:val="004936E4"/>
    <w:rsid w:val="00494E60"/>
    <w:rsid w:val="00497487"/>
    <w:rsid w:val="004A7E13"/>
    <w:rsid w:val="004B7B76"/>
    <w:rsid w:val="004C2058"/>
    <w:rsid w:val="004C2DCA"/>
    <w:rsid w:val="004F0F38"/>
    <w:rsid w:val="00501921"/>
    <w:rsid w:val="00517370"/>
    <w:rsid w:val="00530354"/>
    <w:rsid w:val="005356F1"/>
    <w:rsid w:val="0053625B"/>
    <w:rsid w:val="005379AC"/>
    <w:rsid w:val="005434C6"/>
    <w:rsid w:val="00543B39"/>
    <w:rsid w:val="00547022"/>
    <w:rsid w:val="00550096"/>
    <w:rsid w:val="00557FF9"/>
    <w:rsid w:val="00566429"/>
    <w:rsid w:val="00576378"/>
    <w:rsid w:val="00577945"/>
    <w:rsid w:val="00577E38"/>
    <w:rsid w:val="00585322"/>
    <w:rsid w:val="005857C6"/>
    <w:rsid w:val="00586F98"/>
    <w:rsid w:val="00592F6E"/>
    <w:rsid w:val="00593AD1"/>
    <w:rsid w:val="005A68B6"/>
    <w:rsid w:val="005B7A1C"/>
    <w:rsid w:val="005C5570"/>
    <w:rsid w:val="005C79A4"/>
    <w:rsid w:val="005D5442"/>
    <w:rsid w:val="00603F32"/>
    <w:rsid w:val="00620406"/>
    <w:rsid w:val="006246AF"/>
    <w:rsid w:val="00632398"/>
    <w:rsid w:val="00640FC3"/>
    <w:rsid w:val="00641DBE"/>
    <w:rsid w:val="00642020"/>
    <w:rsid w:val="00646206"/>
    <w:rsid w:val="0065337B"/>
    <w:rsid w:val="0065419D"/>
    <w:rsid w:val="006604D8"/>
    <w:rsid w:val="00664A5B"/>
    <w:rsid w:val="00675D5E"/>
    <w:rsid w:val="006763D2"/>
    <w:rsid w:val="00680C08"/>
    <w:rsid w:val="00692B58"/>
    <w:rsid w:val="006931B1"/>
    <w:rsid w:val="006A0244"/>
    <w:rsid w:val="006A15C0"/>
    <w:rsid w:val="006C130C"/>
    <w:rsid w:val="006C3E2A"/>
    <w:rsid w:val="006C642F"/>
    <w:rsid w:val="006D03E5"/>
    <w:rsid w:val="006D5D3E"/>
    <w:rsid w:val="006E04BE"/>
    <w:rsid w:val="006E08B3"/>
    <w:rsid w:val="006F17AC"/>
    <w:rsid w:val="006F1D37"/>
    <w:rsid w:val="006F2796"/>
    <w:rsid w:val="006F572E"/>
    <w:rsid w:val="00701CFD"/>
    <w:rsid w:val="007046D6"/>
    <w:rsid w:val="00705DB0"/>
    <w:rsid w:val="00710BDD"/>
    <w:rsid w:val="00722B57"/>
    <w:rsid w:val="0074253D"/>
    <w:rsid w:val="00742A4A"/>
    <w:rsid w:val="0074429B"/>
    <w:rsid w:val="007513B4"/>
    <w:rsid w:val="007615BC"/>
    <w:rsid w:val="00762F05"/>
    <w:rsid w:val="007652FF"/>
    <w:rsid w:val="0076796F"/>
    <w:rsid w:val="00770EF1"/>
    <w:rsid w:val="007716AF"/>
    <w:rsid w:val="00773EF7"/>
    <w:rsid w:val="00774E1D"/>
    <w:rsid w:val="0077675A"/>
    <w:rsid w:val="00780355"/>
    <w:rsid w:val="00785721"/>
    <w:rsid w:val="00793A59"/>
    <w:rsid w:val="007B6E9F"/>
    <w:rsid w:val="007C1216"/>
    <w:rsid w:val="007C1AF7"/>
    <w:rsid w:val="007D1C13"/>
    <w:rsid w:val="007E6E27"/>
    <w:rsid w:val="00805D27"/>
    <w:rsid w:val="00821776"/>
    <w:rsid w:val="008321F5"/>
    <w:rsid w:val="00832369"/>
    <w:rsid w:val="00834660"/>
    <w:rsid w:val="00836BC2"/>
    <w:rsid w:val="0084019F"/>
    <w:rsid w:val="008414A0"/>
    <w:rsid w:val="00855577"/>
    <w:rsid w:val="0085641B"/>
    <w:rsid w:val="00857136"/>
    <w:rsid w:val="008742A2"/>
    <w:rsid w:val="00886D15"/>
    <w:rsid w:val="00887DD8"/>
    <w:rsid w:val="00896018"/>
    <w:rsid w:val="008960DD"/>
    <w:rsid w:val="0089635C"/>
    <w:rsid w:val="008A2B9D"/>
    <w:rsid w:val="008A5E0B"/>
    <w:rsid w:val="008A6D59"/>
    <w:rsid w:val="008B4B03"/>
    <w:rsid w:val="008B52C7"/>
    <w:rsid w:val="008B596F"/>
    <w:rsid w:val="008B5A3E"/>
    <w:rsid w:val="008C159F"/>
    <w:rsid w:val="008C1623"/>
    <w:rsid w:val="008C1850"/>
    <w:rsid w:val="008C51A9"/>
    <w:rsid w:val="008D770F"/>
    <w:rsid w:val="008E7846"/>
    <w:rsid w:val="008F1CCC"/>
    <w:rsid w:val="008F2967"/>
    <w:rsid w:val="008F5205"/>
    <w:rsid w:val="008F6943"/>
    <w:rsid w:val="008F7337"/>
    <w:rsid w:val="00902A21"/>
    <w:rsid w:val="00920330"/>
    <w:rsid w:val="009219D7"/>
    <w:rsid w:val="00922D53"/>
    <w:rsid w:val="00923B70"/>
    <w:rsid w:val="00924482"/>
    <w:rsid w:val="00930237"/>
    <w:rsid w:val="00946EA5"/>
    <w:rsid w:val="0095160F"/>
    <w:rsid w:val="00963C08"/>
    <w:rsid w:val="0096654E"/>
    <w:rsid w:val="0098585A"/>
    <w:rsid w:val="0098669D"/>
    <w:rsid w:val="009A4CED"/>
    <w:rsid w:val="009A690D"/>
    <w:rsid w:val="009B1D12"/>
    <w:rsid w:val="009B416B"/>
    <w:rsid w:val="009C4BD5"/>
    <w:rsid w:val="009C714F"/>
    <w:rsid w:val="009D7B77"/>
    <w:rsid w:val="009E0BB0"/>
    <w:rsid w:val="009E26E4"/>
    <w:rsid w:val="009E3FBB"/>
    <w:rsid w:val="00A031C9"/>
    <w:rsid w:val="00A102E4"/>
    <w:rsid w:val="00A12C42"/>
    <w:rsid w:val="00A14DF7"/>
    <w:rsid w:val="00A235D9"/>
    <w:rsid w:val="00A271E8"/>
    <w:rsid w:val="00A3246D"/>
    <w:rsid w:val="00A36FA7"/>
    <w:rsid w:val="00A45A93"/>
    <w:rsid w:val="00A475B7"/>
    <w:rsid w:val="00A47AF7"/>
    <w:rsid w:val="00A47C3E"/>
    <w:rsid w:val="00A50226"/>
    <w:rsid w:val="00A60BAD"/>
    <w:rsid w:val="00A7100E"/>
    <w:rsid w:val="00A93624"/>
    <w:rsid w:val="00A964D1"/>
    <w:rsid w:val="00AA0ED0"/>
    <w:rsid w:val="00AA3499"/>
    <w:rsid w:val="00AB7B93"/>
    <w:rsid w:val="00AC2B40"/>
    <w:rsid w:val="00AC2BB2"/>
    <w:rsid w:val="00AC2C3C"/>
    <w:rsid w:val="00AC512D"/>
    <w:rsid w:val="00AE01C2"/>
    <w:rsid w:val="00AE588B"/>
    <w:rsid w:val="00AE65EB"/>
    <w:rsid w:val="00AE67A7"/>
    <w:rsid w:val="00AF1D94"/>
    <w:rsid w:val="00AF60C5"/>
    <w:rsid w:val="00AF6515"/>
    <w:rsid w:val="00B009C6"/>
    <w:rsid w:val="00B01548"/>
    <w:rsid w:val="00B02208"/>
    <w:rsid w:val="00B07E14"/>
    <w:rsid w:val="00B1425E"/>
    <w:rsid w:val="00B21D29"/>
    <w:rsid w:val="00B25034"/>
    <w:rsid w:val="00B33588"/>
    <w:rsid w:val="00B33863"/>
    <w:rsid w:val="00B37D17"/>
    <w:rsid w:val="00B4175E"/>
    <w:rsid w:val="00B452CE"/>
    <w:rsid w:val="00B52280"/>
    <w:rsid w:val="00B54C25"/>
    <w:rsid w:val="00B76B91"/>
    <w:rsid w:val="00B77EB1"/>
    <w:rsid w:val="00B811C6"/>
    <w:rsid w:val="00B85A87"/>
    <w:rsid w:val="00B92E08"/>
    <w:rsid w:val="00B96EBE"/>
    <w:rsid w:val="00BA77D2"/>
    <w:rsid w:val="00BC622A"/>
    <w:rsid w:val="00BD45E3"/>
    <w:rsid w:val="00BE0A78"/>
    <w:rsid w:val="00BE6252"/>
    <w:rsid w:val="00BE79F0"/>
    <w:rsid w:val="00BF046D"/>
    <w:rsid w:val="00BF1190"/>
    <w:rsid w:val="00BF5D04"/>
    <w:rsid w:val="00C10CC1"/>
    <w:rsid w:val="00C1164D"/>
    <w:rsid w:val="00C16861"/>
    <w:rsid w:val="00C22678"/>
    <w:rsid w:val="00C404A6"/>
    <w:rsid w:val="00C40A36"/>
    <w:rsid w:val="00C44419"/>
    <w:rsid w:val="00C45E7B"/>
    <w:rsid w:val="00C471B1"/>
    <w:rsid w:val="00C618F7"/>
    <w:rsid w:val="00C6316B"/>
    <w:rsid w:val="00C634A9"/>
    <w:rsid w:val="00C64586"/>
    <w:rsid w:val="00C70D53"/>
    <w:rsid w:val="00C72F55"/>
    <w:rsid w:val="00C73D0B"/>
    <w:rsid w:val="00C772FF"/>
    <w:rsid w:val="00C801AF"/>
    <w:rsid w:val="00C80256"/>
    <w:rsid w:val="00C811C0"/>
    <w:rsid w:val="00C90EF6"/>
    <w:rsid w:val="00CB6BC0"/>
    <w:rsid w:val="00CC1B7C"/>
    <w:rsid w:val="00CC727F"/>
    <w:rsid w:val="00CF15C3"/>
    <w:rsid w:val="00CF2B6F"/>
    <w:rsid w:val="00CF58B6"/>
    <w:rsid w:val="00D017ED"/>
    <w:rsid w:val="00D040D3"/>
    <w:rsid w:val="00D04C65"/>
    <w:rsid w:val="00D224FE"/>
    <w:rsid w:val="00D42C8A"/>
    <w:rsid w:val="00D53A31"/>
    <w:rsid w:val="00D53EF9"/>
    <w:rsid w:val="00D6493E"/>
    <w:rsid w:val="00D7301E"/>
    <w:rsid w:val="00D83AE1"/>
    <w:rsid w:val="00D855D4"/>
    <w:rsid w:val="00D93466"/>
    <w:rsid w:val="00DA1124"/>
    <w:rsid w:val="00DA2843"/>
    <w:rsid w:val="00DB75B7"/>
    <w:rsid w:val="00DC3CE0"/>
    <w:rsid w:val="00DC6E02"/>
    <w:rsid w:val="00DD1C75"/>
    <w:rsid w:val="00DD41DC"/>
    <w:rsid w:val="00DE02AE"/>
    <w:rsid w:val="00DF1D7F"/>
    <w:rsid w:val="00DF4BE4"/>
    <w:rsid w:val="00E02FB4"/>
    <w:rsid w:val="00E07F15"/>
    <w:rsid w:val="00E20571"/>
    <w:rsid w:val="00E235F7"/>
    <w:rsid w:val="00E23659"/>
    <w:rsid w:val="00E239D4"/>
    <w:rsid w:val="00E26130"/>
    <w:rsid w:val="00E2741C"/>
    <w:rsid w:val="00E40B22"/>
    <w:rsid w:val="00E43EA5"/>
    <w:rsid w:val="00E45619"/>
    <w:rsid w:val="00E4588F"/>
    <w:rsid w:val="00E46DA3"/>
    <w:rsid w:val="00E51BB1"/>
    <w:rsid w:val="00E624A5"/>
    <w:rsid w:val="00E7344E"/>
    <w:rsid w:val="00E80645"/>
    <w:rsid w:val="00E82DEB"/>
    <w:rsid w:val="00E8640C"/>
    <w:rsid w:val="00E936E3"/>
    <w:rsid w:val="00EA3C3E"/>
    <w:rsid w:val="00EB0798"/>
    <w:rsid w:val="00EB308F"/>
    <w:rsid w:val="00EB40AD"/>
    <w:rsid w:val="00EB586E"/>
    <w:rsid w:val="00EB5FC8"/>
    <w:rsid w:val="00EC752D"/>
    <w:rsid w:val="00ED3CAD"/>
    <w:rsid w:val="00ED5A41"/>
    <w:rsid w:val="00EE0546"/>
    <w:rsid w:val="00EE1DE8"/>
    <w:rsid w:val="00EE2BFF"/>
    <w:rsid w:val="00F00A8C"/>
    <w:rsid w:val="00F033EC"/>
    <w:rsid w:val="00F04F68"/>
    <w:rsid w:val="00F12670"/>
    <w:rsid w:val="00F14B27"/>
    <w:rsid w:val="00F2203C"/>
    <w:rsid w:val="00F3148D"/>
    <w:rsid w:val="00F325C5"/>
    <w:rsid w:val="00F32FE0"/>
    <w:rsid w:val="00F34108"/>
    <w:rsid w:val="00F35298"/>
    <w:rsid w:val="00F47333"/>
    <w:rsid w:val="00F47E37"/>
    <w:rsid w:val="00F53C07"/>
    <w:rsid w:val="00F54B65"/>
    <w:rsid w:val="00F56947"/>
    <w:rsid w:val="00F640B6"/>
    <w:rsid w:val="00F6543D"/>
    <w:rsid w:val="00F7238B"/>
    <w:rsid w:val="00F74283"/>
    <w:rsid w:val="00F80E40"/>
    <w:rsid w:val="00F848D9"/>
    <w:rsid w:val="00FA5B82"/>
    <w:rsid w:val="00FA639E"/>
    <w:rsid w:val="00FC25E4"/>
    <w:rsid w:val="00FC4EF7"/>
    <w:rsid w:val="00FD022D"/>
    <w:rsid w:val="00FE1DEE"/>
    <w:rsid w:val="00FF2126"/>
    <w:rsid w:val="00FF5755"/>
    <w:rsid w:val="00FF69BE"/>
    <w:rsid w:val="00FF7B93"/>
    <w:rsid w:val="00FF7E2E"/>
  </w:rsids>
  <m:mathPr>
    <m:mathFont m:val="Cambria Math"/>
    <m:brkBin m:val="before"/>
    <m:brkBinSub m:val="--"/>
    <m:smallFrac m:val="off"/>
    <m:dispDef/>
    <m:lMargin m:val="0"/>
    <m:rMargin m:val="0"/>
    <m:defJc m:val="centerGroup"/>
    <m:wrapIndent m:val="1440"/>
    <m:intLim m:val="subSup"/>
    <m:naryLim m:val="undOvr"/>
  </m:mathPr>
  <w:themeFontLang w:val="en-AU" w:bidi="lo-LA"/>
  <w:clrSchemeMapping w:bg1="light1" w:t1="dark1" w:bg2="light2" w:t2="dark2" w:accent1="accent1" w:accent2="accent2" w:accent3="accent3" w:accent4="accent4" w:accent5="accent5" w:accent6="accent6" w:hyperlink="hyperlink" w:followedHyperlink="followedHyperlink"/>
  <w:shapeDefaults>
    <o:shapedefaults v:ext="edit" spidmax="55298">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iPriority="0" w:unhideWhenUsed="0"/>
    <w:lsdException w:name="caption" w:semiHidden="0" w:uiPriority="0" w:unhideWhenUsed="0" w:qFormat="1"/>
    <w:lsdException w:name="footnote reference" w:uiPriority="0"/>
    <w:lsdException w:name="page number"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C36B1"/>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31"/>
      </w:numPr>
      <w:spacing w:after="60" w:line="180" w:lineRule="atLeast"/>
      <w:ind w:left="1984" w:hanging="1644"/>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C72F55"/>
    <w:pPr>
      <w:spacing w:before="0" w:line="240" w:lineRule="auto"/>
    </w:pPr>
    <w:rPr>
      <w:sz w:val="18"/>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semiHidden/>
    <w:rsid w:val="001C36B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18"/>
      <w:szCs w:val="20"/>
      <w:lang w:eastAsia="en-AU"/>
    </w:rPr>
  </w:style>
  <w:style w:type="character" w:customStyle="1" w:styleId="FootnoteTextChar">
    <w:name w:val="Footnote Text Char"/>
    <w:basedOn w:val="DefaultParagraphFont"/>
    <w:link w:val="FootnoteText"/>
    <w:semiHidden/>
    <w:rsid w:val="001C36B1"/>
    <w:rPr>
      <w:rFonts w:ascii="Cambria" w:eastAsia="Times New Roman" w:hAnsi="Cambria" w:cs="Times New Roman"/>
      <w:kern w:val="16"/>
      <w:sz w:val="18"/>
      <w:szCs w:val="20"/>
      <w:lang w:eastAsia="en-AU"/>
    </w:rPr>
  </w:style>
  <w:style w:type="character" w:styleId="FootnoteReference">
    <w:name w:val="footnote reference"/>
    <w:semiHidden/>
    <w:rsid w:val="00701CFD"/>
    <w:rPr>
      <w:vertAlign w:val="superscript"/>
    </w:rPr>
  </w:style>
  <w:style w:type="character" w:styleId="PageNumber">
    <w:name w:val="page number"/>
    <w:rsid w:val="00E8640C"/>
    <w:rPr>
      <w:sz w:val="20"/>
    </w:rPr>
  </w:style>
  <w:style w:type="paragraph" w:styleId="DocumentMap">
    <w:name w:val="Document Map"/>
    <w:basedOn w:val="Normal"/>
    <w:link w:val="DocumentMapChar"/>
    <w:uiPriority w:val="99"/>
    <w:semiHidden/>
    <w:unhideWhenUsed/>
    <w:rsid w:val="004769BE"/>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769BE"/>
    <w:rPr>
      <w:rFonts w:ascii="Tahoma" w:eastAsia="Cambri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7434094">
      <w:bodyDiv w:val="1"/>
      <w:marLeft w:val="0"/>
      <w:marRight w:val="0"/>
      <w:marTop w:val="0"/>
      <w:marBottom w:val="0"/>
      <w:divBdr>
        <w:top w:val="none" w:sz="0" w:space="0" w:color="auto"/>
        <w:left w:val="none" w:sz="0" w:space="0" w:color="auto"/>
        <w:bottom w:val="none" w:sz="0" w:space="0" w:color="auto"/>
        <w:right w:val="none" w:sz="0" w:space="0" w:color="auto"/>
      </w:divBdr>
    </w:div>
    <w:div w:id="283078715">
      <w:bodyDiv w:val="1"/>
      <w:marLeft w:val="0"/>
      <w:marRight w:val="0"/>
      <w:marTop w:val="0"/>
      <w:marBottom w:val="0"/>
      <w:divBdr>
        <w:top w:val="none" w:sz="0" w:space="0" w:color="auto"/>
        <w:left w:val="none" w:sz="0" w:space="0" w:color="auto"/>
        <w:bottom w:val="none" w:sz="0" w:space="0" w:color="auto"/>
        <w:right w:val="none" w:sz="0" w:space="0" w:color="auto"/>
      </w:divBdr>
    </w:div>
    <w:div w:id="566956061">
      <w:bodyDiv w:val="1"/>
      <w:marLeft w:val="0"/>
      <w:marRight w:val="0"/>
      <w:marTop w:val="0"/>
      <w:marBottom w:val="0"/>
      <w:divBdr>
        <w:top w:val="none" w:sz="0" w:space="0" w:color="auto"/>
        <w:left w:val="none" w:sz="0" w:space="0" w:color="auto"/>
        <w:bottom w:val="none" w:sz="0" w:space="0" w:color="auto"/>
        <w:right w:val="none" w:sz="0" w:space="0" w:color="auto"/>
      </w:divBdr>
    </w:div>
    <w:div w:id="792870353">
      <w:bodyDiv w:val="1"/>
      <w:marLeft w:val="0"/>
      <w:marRight w:val="0"/>
      <w:marTop w:val="0"/>
      <w:marBottom w:val="0"/>
      <w:divBdr>
        <w:top w:val="none" w:sz="0" w:space="0" w:color="auto"/>
        <w:left w:val="none" w:sz="0" w:space="0" w:color="auto"/>
        <w:bottom w:val="none" w:sz="0" w:space="0" w:color="auto"/>
        <w:right w:val="none" w:sz="0" w:space="0" w:color="auto"/>
      </w:divBdr>
    </w:div>
    <w:div w:id="1467551379">
      <w:bodyDiv w:val="1"/>
      <w:marLeft w:val="0"/>
      <w:marRight w:val="0"/>
      <w:marTop w:val="0"/>
      <w:marBottom w:val="0"/>
      <w:divBdr>
        <w:top w:val="none" w:sz="0" w:space="0" w:color="auto"/>
        <w:left w:val="none" w:sz="0" w:space="0" w:color="auto"/>
        <w:bottom w:val="none" w:sz="0" w:space="0" w:color="auto"/>
        <w:right w:val="none" w:sz="0" w:space="0" w:color="auto"/>
      </w:divBdr>
    </w:div>
    <w:div w:id="1511750262">
      <w:bodyDiv w:val="1"/>
      <w:marLeft w:val="0"/>
      <w:marRight w:val="0"/>
      <w:marTop w:val="0"/>
      <w:marBottom w:val="0"/>
      <w:divBdr>
        <w:top w:val="none" w:sz="0" w:space="0" w:color="auto"/>
        <w:left w:val="none" w:sz="0" w:space="0" w:color="auto"/>
        <w:bottom w:val="none" w:sz="0" w:space="0" w:color="auto"/>
        <w:right w:val="none" w:sz="0" w:space="0" w:color="auto"/>
      </w:divBdr>
    </w:div>
    <w:div w:id="1612861497">
      <w:bodyDiv w:val="1"/>
      <w:marLeft w:val="0"/>
      <w:marRight w:val="0"/>
      <w:marTop w:val="0"/>
      <w:marBottom w:val="0"/>
      <w:divBdr>
        <w:top w:val="none" w:sz="0" w:space="0" w:color="auto"/>
        <w:left w:val="none" w:sz="0" w:space="0" w:color="auto"/>
        <w:bottom w:val="none" w:sz="0" w:space="0" w:color="auto"/>
        <w:right w:val="none" w:sz="0" w:space="0" w:color="auto"/>
      </w:divBdr>
    </w:div>
    <w:div w:id="1801146490">
      <w:bodyDiv w:val="1"/>
      <w:marLeft w:val="0"/>
      <w:marRight w:val="0"/>
      <w:marTop w:val="0"/>
      <w:marBottom w:val="0"/>
      <w:divBdr>
        <w:top w:val="none" w:sz="0" w:space="0" w:color="auto"/>
        <w:left w:val="none" w:sz="0" w:space="0" w:color="auto"/>
        <w:bottom w:val="none" w:sz="0" w:space="0" w:color="auto"/>
        <w:right w:val="none" w:sz="0" w:space="0" w:color="auto"/>
      </w:divBdr>
    </w:div>
    <w:div w:id="1923222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header" Target="header7.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header" Target="header6.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header" Target="header4.xml"/><Relationship Id="rId36" Type="http://schemas.openxmlformats.org/officeDocument/2006/relationships/footer" Target="footer6.xml"/><Relationship Id="rId10" Type="http://schemas.openxmlformats.org/officeDocument/2006/relationships/hyperlink" Target="mailto:tga.copyright@tga.gov.au" TargetMode="External"/><Relationship Id="rId19" Type="http://schemas.openxmlformats.org/officeDocument/2006/relationships/image" Target="media/image8.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tga.gov.au/hp/information-medicines-pi.htm"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header" Target="header5.xml"/><Relationship Id="rId35" Type="http://schemas.openxmlformats.org/officeDocument/2006/relationships/header" Target="header8.xml"/></Relationships>
</file>

<file path=word/_rels/footer5.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43EF4-C92B-4AE7-AB1F-E1524A76E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29</Pages>
  <Words>7607</Words>
  <Characters>41082</Characters>
  <Application>Microsoft Office Word</Application>
  <DocSecurity>0</DocSecurity>
  <Lines>1580</Lines>
  <Paragraphs>1432</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Amino acids, Lipids and Glucose, with and without Electrolytes</vt:lpstr>
    </vt:vector>
  </TitlesOfParts>
  <Company>TGA</Company>
  <LinksUpToDate>false</LinksUpToDate>
  <CharactersWithSpaces>47257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Amino acids, Lipids and Glucose, with and without Electrolytes</dc:title>
  <dc:subject>prescription medicine regulation</dc:subject>
  <dc:creator>Therapeutic Goods Administration</dc:creator>
  <cp:keywords>clinical, evaluation, report, medicine, assessment, regulation, australia, amino acids, lipids, glucose, electrolytes, periolimel, olimel, baxter healthcare</cp:keywords>
  <cp:lastModifiedBy>Sheppard, Fran</cp:lastModifiedBy>
  <cp:revision>19</cp:revision>
  <cp:lastPrinted>2010-12-20T22:59:00Z</cp:lastPrinted>
  <dcterms:created xsi:type="dcterms:W3CDTF">2013-09-25T03:44:00Z</dcterms:created>
  <dcterms:modified xsi:type="dcterms:W3CDTF">2013-10-28T03:53:00Z</dcterms:modified>
</cp:coreProperties>
</file>