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DD32B3" w:rsidP="00096AA7">
            <w:pPr>
              <w:rPr>
                <w:rFonts w:ascii="Arial" w:hAnsi="Arial" w:cs="Arial"/>
                <w:b/>
                <w:color w:val="002C47"/>
                <w:sz w:val="36"/>
                <w:szCs w:val="36"/>
              </w:rPr>
            </w:pPr>
            <w:r>
              <w:rPr>
                <w:rFonts w:ascii="Arial" w:hAnsi="Arial" w:cs="Arial"/>
                <w:b/>
                <w:color w:val="002C47"/>
                <w:sz w:val="36"/>
                <w:szCs w:val="36"/>
              </w:rPr>
              <w:t>October</w:t>
            </w:r>
            <w:r w:rsidR="00AC1A58">
              <w:rPr>
                <w:rFonts w:ascii="Arial" w:hAnsi="Arial" w:cs="Arial"/>
                <w:b/>
                <w:color w:val="002C47"/>
                <w:sz w:val="36"/>
                <w:szCs w:val="36"/>
              </w:rPr>
              <w:t xml:space="preserve"> 2015</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C1A58">
            <w:pPr>
              <w:pStyle w:val="Title"/>
              <w:rPr>
                <w:color w:val="FFFFFF" w:themeColor="background1"/>
              </w:rPr>
            </w:pPr>
            <w:r w:rsidRPr="00A964D1">
              <w:rPr>
                <w:color w:val="FFFFFF" w:themeColor="background1"/>
              </w:rPr>
              <w:t xml:space="preserve">Australian Public Assessment Report for </w:t>
            </w:r>
            <w:proofErr w:type="spellStart"/>
            <w:r w:rsidR="00AC1A58">
              <w:rPr>
                <w:color w:val="FFFFFF" w:themeColor="background1"/>
              </w:rPr>
              <w:t>Anakinra</w:t>
            </w:r>
            <w:proofErr w:type="spellEnd"/>
          </w:p>
        </w:tc>
      </w:tr>
      <w:tr w:rsidR="0032583B" w:rsidRPr="00B64760" w:rsidTr="0032583B">
        <w:tc>
          <w:tcPr>
            <w:tcW w:w="9079" w:type="dxa"/>
          </w:tcPr>
          <w:p w:rsidR="0032583B" w:rsidRPr="008E7846" w:rsidRDefault="0032583B" w:rsidP="00AC1A58">
            <w:pPr>
              <w:pStyle w:val="Subtitle"/>
              <w:rPr>
                <w:color w:val="FFFFFF" w:themeColor="background1"/>
              </w:rPr>
            </w:pPr>
            <w:r w:rsidRPr="008E7846">
              <w:rPr>
                <w:color w:val="FFFFFF" w:themeColor="background1"/>
              </w:rPr>
              <w:t xml:space="preserve">Proprietary Product Name: </w:t>
            </w:r>
            <w:proofErr w:type="spellStart"/>
            <w:r w:rsidR="00AC1A58">
              <w:rPr>
                <w:color w:val="FFFFFF" w:themeColor="background1"/>
              </w:rPr>
              <w:t>Kineret</w:t>
            </w:r>
            <w:proofErr w:type="spellEnd"/>
          </w:p>
        </w:tc>
      </w:tr>
      <w:tr w:rsidR="0032583B" w:rsidRPr="00B64760" w:rsidTr="0032583B">
        <w:trPr>
          <w:trHeight w:val="486"/>
        </w:trPr>
        <w:tc>
          <w:tcPr>
            <w:tcW w:w="9079" w:type="dxa"/>
          </w:tcPr>
          <w:p w:rsidR="0032583B" w:rsidRPr="008E7846" w:rsidRDefault="0032583B" w:rsidP="00AC1A58">
            <w:pPr>
              <w:pStyle w:val="Subtitle"/>
              <w:rPr>
                <w:color w:val="FFFFFF" w:themeColor="background1"/>
              </w:rPr>
            </w:pPr>
            <w:r w:rsidRPr="008E7846">
              <w:rPr>
                <w:color w:val="FFFFFF" w:themeColor="background1"/>
              </w:rPr>
              <w:t xml:space="preserve">Sponsor: </w:t>
            </w:r>
            <w:r w:rsidR="00AC1A58">
              <w:rPr>
                <w:color w:val="FFFFFF" w:themeColor="background1"/>
              </w:rPr>
              <w:t xml:space="preserve">A </w:t>
            </w:r>
            <w:proofErr w:type="spellStart"/>
            <w:r w:rsidR="00AC1A58">
              <w:rPr>
                <w:color w:val="FFFFFF" w:themeColor="background1"/>
              </w:rPr>
              <w:t>Menarini</w:t>
            </w:r>
            <w:proofErr w:type="spellEnd"/>
            <w:r w:rsidR="00AC1A58">
              <w:rPr>
                <w:color w:val="FFFFFF" w:themeColor="background1"/>
              </w:rPr>
              <w:t xml:space="preserve">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1D744A">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1D744A">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1D744A">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1D744A">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1D744A">
      <w:pPr>
        <w:pStyle w:val="ListBullet"/>
        <w:numPr>
          <w:ilvl w:val="0"/>
          <w:numId w:val="1"/>
        </w:numPr>
        <w:ind w:left="357" w:hanging="357"/>
      </w:pPr>
      <w:r>
        <w:t>To report a problem with a medicine or medical device, please see the information on the TGA website</w:t>
      </w:r>
      <w:r w:rsidR="00112F56">
        <w:t xml:space="preserve"> &lt;</w:t>
      </w:r>
      <w:hyperlink r:id="rId13" w:history="1">
        <w:r w:rsidR="004F47D6">
          <w:rPr>
            <w:rStyle w:val="Hyperlink"/>
          </w:rPr>
          <w:t>https://www.tga.gov.au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1D744A">
      <w:pPr>
        <w:pStyle w:val="ListBullet"/>
        <w:numPr>
          <w:ilvl w:val="0"/>
          <w:numId w:val="1"/>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rsidR="008E7846" w:rsidRDefault="008E7846" w:rsidP="001D744A">
      <w:pPr>
        <w:pStyle w:val="ListBullet"/>
        <w:numPr>
          <w:ilvl w:val="0"/>
          <w:numId w:val="1"/>
        </w:numPr>
        <w:ind w:left="357" w:hanging="357"/>
      </w:pPr>
      <w:proofErr w:type="spellStart"/>
      <w:r>
        <w:t>AusPARs</w:t>
      </w:r>
      <w:proofErr w:type="spellEnd"/>
      <w:r>
        <w:t xml:space="preserve"> are prepared and published by the TGA.</w:t>
      </w:r>
    </w:p>
    <w:p w:rsidR="008E7846" w:rsidRDefault="008E7846" w:rsidP="001D744A">
      <w:pPr>
        <w:pStyle w:val="ListBullet"/>
        <w:numPr>
          <w:ilvl w:val="0"/>
          <w:numId w:val="1"/>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1D744A">
      <w:pPr>
        <w:pStyle w:val="ListBullet"/>
        <w:numPr>
          <w:ilvl w:val="0"/>
          <w:numId w:val="1"/>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1D744A">
      <w:pPr>
        <w:pStyle w:val="ListBullet"/>
        <w:numPr>
          <w:ilvl w:val="0"/>
          <w:numId w:val="1"/>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3E0B99">
        <w:rPr>
          <w:rFonts w:cs="Arial"/>
          <w:lang w:val="en-GB"/>
        </w:rPr>
        <w:t>5</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4"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5"/>
          <w:footerReference w:type="default" r:id="rId16"/>
          <w:headerReference w:type="first" r:id="rId17"/>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w:t>
          </w:r>
          <w:bookmarkStart w:id="2" w:name="_GoBack"/>
          <w:bookmarkEnd w:id="2"/>
          <w:r w:rsidRPr="0010788A">
            <w:t>ents</w:t>
          </w:r>
        </w:p>
        <w:p w:rsidR="003016B1" w:rsidRDefault="00903F7A">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36300029" w:history="1">
            <w:r w:rsidR="003016B1" w:rsidRPr="00B1523C">
              <w:rPr>
                <w:rStyle w:val="Hyperlink"/>
                <w:noProof/>
              </w:rPr>
              <w:t>List of the most common abbreviations used in this AusPAR</w:t>
            </w:r>
            <w:r w:rsidR="003016B1">
              <w:rPr>
                <w:noProof/>
                <w:webHidden/>
              </w:rPr>
              <w:tab/>
            </w:r>
            <w:r w:rsidR="003016B1">
              <w:rPr>
                <w:noProof/>
                <w:webHidden/>
              </w:rPr>
              <w:fldChar w:fldCharType="begin"/>
            </w:r>
            <w:r w:rsidR="003016B1">
              <w:rPr>
                <w:noProof/>
                <w:webHidden/>
              </w:rPr>
              <w:instrText xml:space="preserve"> PAGEREF _Toc436300029 \h </w:instrText>
            </w:r>
            <w:r w:rsidR="003016B1">
              <w:rPr>
                <w:noProof/>
                <w:webHidden/>
              </w:rPr>
            </w:r>
            <w:r w:rsidR="003016B1">
              <w:rPr>
                <w:noProof/>
                <w:webHidden/>
              </w:rPr>
              <w:fldChar w:fldCharType="separate"/>
            </w:r>
            <w:r w:rsidR="003016B1">
              <w:rPr>
                <w:noProof/>
                <w:webHidden/>
              </w:rPr>
              <w:t>4</w:t>
            </w:r>
            <w:r w:rsidR="003016B1">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30" w:history="1">
            <w:r w:rsidRPr="00B1523C">
              <w:rPr>
                <w:rStyle w:val="Hyperlink"/>
                <w:noProof/>
              </w:rPr>
              <w:t>I. Introduction to product submission</w:t>
            </w:r>
            <w:r>
              <w:rPr>
                <w:noProof/>
                <w:webHidden/>
              </w:rPr>
              <w:tab/>
            </w:r>
            <w:r>
              <w:rPr>
                <w:noProof/>
                <w:webHidden/>
              </w:rPr>
              <w:fldChar w:fldCharType="begin"/>
            </w:r>
            <w:r>
              <w:rPr>
                <w:noProof/>
                <w:webHidden/>
              </w:rPr>
              <w:instrText xml:space="preserve"> PAGEREF _Toc436300030 \h </w:instrText>
            </w:r>
            <w:r>
              <w:rPr>
                <w:noProof/>
                <w:webHidden/>
              </w:rPr>
            </w:r>
            <w:r>
              <w:rPr>
                <w:noProof/>
                <w:webHidden/>
              </w:rPr>
              <w:fldChar w:fldCharType="separate"/>
            </w:r>
            <w:r>
              <w:rPr>
                <w:noProof/>
                <w:webHidden/>
              </w:rPr>
              <w:t>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31" w:history="1">
            <w:r w:rsidRPr="00B1523C">
              <w:rPr>
                <w:rStyle w:val="Hyperlink"/>
                <w:noProof/>
                <w:lang w:eastAsia="en-AU"/>
              </w:rPr>
              <w:t>Submission details</w:t>
            </w:r>
            <w:r>
              <w:rPr>
                <w:noProof/>
                <w:webHidden/>
              </w:rPr>
              <w:tab/>
            </w:r>
            <w:r>
              <w:rPr>
                <w:noProof/>
                <w:webHidden/>
              </w:rPr>
              <w:fldChar w:fldCharType="begin"/>
            </w:r>
            <w:r>
              <w:rPr>
                <w:noProof/>
                <w:webHidden/>
              </w:rPr>
              <w:instrText xml:space="preserve"> PAGEREF _Toc436300031 \h </w:instrText>
            </w:r>
            <w:r>
              <w:rPr>
                <w:noProof/>
                <w:webHidden/>
              </w:rPr>
            </w:r>
            <w:r>
              <w:rPr>
                <w:noProof/>
                <w:webHidden/>
              </w:rPr>
              <w:fldChar w:fldCharType="separate"/>
            </w:r>
            <w:r>
              <w:rPr>
                <w:noProof/>
                <w:webHidden/>
              </w:rPr>
              <w:t>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32" w:history="1">
            <w:r w:rsidRPr="00B1523C">
              <w:rPr>
                <w:rStyle w:val="Hyperlink"/>
                <w:noProof/>
              </w:rPr>
              <w:t>Product background</w:t>
            </w:r>
            <w:r>
              <w:rPr>
                <w:noProof/>
                <w:webHidden/>
              </w:rPr>
              <w:tab/>
            </w:r>
            <w:r>
              <w:rPr>
                <w:noProof/>
                <w:webHidden/>
              </w:rPr>
              <w:fldChar w:fldCharType="begin"/>
            </w:r>
            <w:r>
              <w:rPr>
                <w:noProof/>
                <w:webHidden/>
              </w:rPr>
              <w:instrText xml:space="preserve"> PAGEREF _Toc436300032 \h </w:instrText>
            </w:r>
            <w:r>
              <w:rPr>
                <w:noProof/>
                <w:webHidden/>
              </w:rPr>
            </w:r>
            <w:r>
              <w:rPr>
                <w:noProof/>
                <w:webHidden/>
              </w:rPr>
              <w:fldChar w:fldCharType="separate"/>
            </w:r>
            <w:r>
              <w:rPr>
                <w:noProof/>
                <w:webHidden/>
              </w:rPr>
              <w:t>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33" w:history="1">
            <w:r w:rsidRPr="00B1523C">
              <w:rPr>
                <w:rStyle w:val="Hyperlink"/>
                <w:noProof/>
              </w:rPr>
              <w:t>Regulatory status</w:t>
            </w:r>
            <w:r>
              <w:rPr>
                <w:noProof/>
                <w:webHidden/>
              </w:rPr>
              <w:tab/>
            </w:r>
            <w:r>
              <w:rPr>
                <w:noProof/>
                <w:webHidden/>
              </w:rPr>
              <w:fldChar w:fldCharType="begin"/>
            </w:r>
            <w:r>
              <w:rPr>
                <w:noProof/>
                <w:webHidden/>
              </w:rPr>
              <w:instrText xml:space="preserve"> PAGEREF _Toc436300033 \h </w:instrText>
            </w:r>
            <w:r>
              <w:rPr>
                <w:noProof/>
                <w:webHidden/>
              </w:rPr>
            </w:r>
            <w:r>
              <w:rPr>
                <w:noProof/>
                <w:webHidden/>
              </w:rPr>
              <w:fldChar w:fldCharType="separate"/>
            </w:r>
            <w:r>
              <w:rPr>
                <w:noProof/>
                <w:webHidden/>
              </w:rPr>
              <w:t>7</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34" w:history="1">
            <w:r w:rsidRPr="00B1523C">
              <w:rPr>
                <w:rStyle w:val="Hyperlink"/>
                <w:noProof/>
              </w:rPr>
              <w:t>Overseas approval status</w:t>
            </w:r>
            <w:r>
              <w:rPr>
                <w:noProof/>
                <w:webHidden/>
              </w:rPr>
              <w:tab/>
            </w:r>
            <w:r>
              <w:rPr>
                <w:noProof/>
                <w:webHidden/>
              </w:rPr>
              <w:fldChar w:fldCharType="begin"/>
            </w:r>
            <w:r>
              <w:rPr>
                <w:noProof/>
                <w:webHidden/>
              </w:rPr>
              <w:instrText xml:space="preserve"> PAGEREF _Toc436300034 \h </w:instrText>
            </w:r>
            <w:r>
              <w:rPr>
                <w:noProof/>
                <w:webHidden/>
              </w:rPr>
            </w:r>
            <w:r>
              <w:rPr>
                <w:noProof/>
                <w:webHidden/>
              </w:rPr>
              <w:fldChar w:fldCharType="separate"/>
            </w:r>
            <w:r>
              <w:rPr>
                <w:noProof/>
                <w:webHidden/>
              </w:rPr>
              <w:t>8</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35" w:history="1">
            <w:r w:rsidRPr="00B1523C">
              <w:rPr>
                <w:rStyle w:val="Hyperlink"/>
                <w:noProof/>
              </w:rPr>
              <w:t>Orphan drug designation</w:t>
            </w:r>
            <w:r>
              <w:rPr>
                <w:noProof/>
                <w:webHidden/>
              </w:rPr>
              <w:tab/>
            </w:r>
            <w:r>
              <w:rPr>
                <w:noProof/>
                <w:webHidden/>
              </w:rPr>
              <w:fldChar w:fldCharType="begin"/>
            </w:r>
            <w:r>
              <w:rPr>
                <w:noProof/>
                <w:webHidden/>
              </w:rPr>
              <w:instrText xml:space="preserve"> PAGEREF _Toc436300035 \h </w:instrText>
            </w:r>
            <w:r>
              <w:rPr>
                <w:noProof/>
                <w:webHidden/>
              </w:rPr>
            </w:r>
            <w:r>
              <w:rPr>
                <w:noProof/>
                <w:webHidden/>
              </w:rPr>
              <w:fldChar w:fldCharType="separate"/>
            </w:r>
            <w:r>
              <w:rPr>
                <w:noProof/>
                <w:webHidden/>
              </w:rPr>
              <w:t>8</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36" w:history="1">
            <w:r w:rsidRPr="00B1523C">
              <w:rPr>
                <w:rStyle w:val="Hyperlink"/>
                <w:noProof/>
              </w:rPr>
              <w:t>Product information</w:t>
            </w:r>
            <w:r>
              <w:rPr>
                <w:noProof/>
                <w:webHidden/>
              </w:rPr>
              <w:tab/>
            </w:r>
            <w:r>
              <w:rPr>
                <w:noProof/>
                <w:webHidden/>
              </w:rPr>
              <w:fldChar w:fldCharType="begin"/>
            </w:r>
            <w:r>
              <w:rPr>
                <w:noProof/>
                <w:webHidden/>
              </w:rPr>
              <w:instrText xml:space="preserve"> PAGEREF _Toc436300036 \h </w:instrText>
            </w:r>
            <w:r>
              <w:rPr>
                <w:noProof/>
                <w:webHidden/>
              </w:rPr>
            </w:r>
            <w:r>
              <w:rPr>
                <w:noProof/>
                <w:webHidden/>
              </w:rPr>
              <w:fldChar w:fldCharType="separate"/>
            </w:r>
            <w:r>
              <w:rPr>
                <w:noProof/>
                <w:webHidden/>
              </w:rPr>
              <w:t>8</w:t>
            </w:r>
            <w:r>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37" w:history="1">
            <w:r w:rsidRPr="00B1523C">
              <w:rPr>
                <w:rStyle w:val="Hyperlink"/>
                <w:noProof/>
              </w:rPr>
              <w:t>II. Quality findings</w:t>
            </w:r>
            <w:r>
              <w:rPr>
                <w:noProof/>
                <w:webHidden/>
              </w:rPr>
              <w:tab/>
            </w:r>
            <w:r>
              <w:rPr>
                <w:noProof/>
                <w:webHidden/>
              </w:rPr>
              <w:fldChar w:fldCharType="begin"/>
            </w:r>
            <w:r>
              <w:rPr>
                <w:noProof/>
                <w:webHidden/>
              </w:rPr>
              <w:instrText xml:space="preserve"> PAGEREF _Toc436300037 \h </w:instrText>
            </w:r>
            <w:r>
              <w:rPr>
                <w:noProof/>
                <w:webHidden/>
              </w:rPr>
            </w:r>
            <w:r>
              <w:rPr>
                <w:noProof/>
                <w:webHidden/>
              </w:rPr>
              <w:fldChar w:fldCharType="separate"/>
            </w:r>
            <w:r>
              <w:rPr>
                <w:noProof/>
                <w:webHidden/>
              </w:rPr>
              <w:t>8</w:t>
            </w:r>
            <w:r>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38" w:history="1">
            <w:r w:rsidRPr="00B1523C">
              <w:rPr>
                <w:rStyle w:val="Hyperlink"/>
                <w:noProof/>
              </w:rPr>
              <w:t>III. Nonclinical findings</w:t>
            </w:r>
            <w:r>
              <w:rPr>
                <w:noProof/>
                <w:webHidden/>
              </w:rPr>
              <w:tab/>
            </w:r>
            <w:r>
              <w:rPr>
                <w:noProof/>
                <w:webHidden/>
              </w:rPr>
              <w:fldChar w:fldCharType="begin"/>
            </w:r>
            <w:r>
              <w:rPr>
                <w:noProof/>
                <w:webHidden/>
              </w:rPr>
              <w:instrText xml:space="preserve"> PAGEREF _Toc436300038 \h </w:instrText>
            </w:r>
            <w:r>
              <w:rPr>
                <w:noProof/>
                <w:webHidden/>
              </w:rPr>
            </w:r>
            <w:r>
              <w:rPr>
                <w:noProof/>
                <w:webHidden/>
              </w:rPr>
              <w:fldChar w:fldCharType="separate"/>
            </w:r>
            <w:r>
              <w:rPr>
                <w:noProof/>
                <w:webHidden/>
              </w:rPr>
              <w:t>8</w:t>
            </w:r>
            <w:r>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39" w:history="1">
            <w:r w:rsidRPr="00B1523C">
              <w:rPr>
                <w:rStyle w:val="Hyperlink"/>
                <w:noProof/>
              </w:rPr>
              <w:t>IV. Clinical findings</w:t>
            </w:r>
            <w:r>
              <w:rPr>
                <w:noProof/>
                <w:webHidden/>
              </w:rPr>
              <w:tab/>
            </w:r>
            <w:r>
              <w:rPr>
                <w:noProof/>
                <w:webHidden/>
              </w:rPr>
              <w:fldChar w:fldCharType="begin"/>
            </w:r>
            <w:r>
              <w:rPr>
                <w:noProof/>
                <w:webHidden/>
              </w:rPr>
              <w:instrText xml:space="preserve"> PAGEREF _Toc436300039 \h </w:instrText>
            </w:r>
            <w:r>
              <w:rPr>
                <w:noProof/>
                <w:webHidden/>
              </w:rPr>
            </w:r>
            <w:r>
              <w:rPr>
                <w:noProof/>
                <w:webHidden/>
              </w:rPr>
              <w:fldChar w:fldCharType="separate"/>
            </w:r>
            <w:r>
              <w:rPr>
                <w:noProof/>
                <w:webHidden/>
              </w:rPr>
              <w:t>8</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0" w:history="1">
            <w:r w:rsidRPr="00B1523C">
              <w:rPr>
                <w:rStyle w:val="Hyperlink"/>
                <w:noProof/>
              </w:rPr>
              <w:t>Pharmacokinetics</w:t>
            </w:r>
            <w:r>
              <w:rPr>
                <w:noProof/>
                <w:webHidden/>
              </w:rPr>
              <w:tab/>
            </w:r>
            <w:r>
              <w:rPr>
                <w:noProof/>
                <w:webHidden/>
              </w:rPr>
              <w:fldChar w:fldCharType="begin"/>
            </w:r>
            <w:r>
              <w:rPr>
                <w:noProof/>
                <w:webHidden/>
              </w:rPr>
              <w:instrText xml:space="preserve"> PAGEREF _Toc436300040 \h </w:instrText>
            </w:r>
            <w:r>
              <w:rPr>
                <w:noProof/>
                <w:webHidden/>
              </w:rPr>
            </w:r>
            <w:r>
              <w:rPr>
                <w:noProof/>
                <w:webHidden/>
              </w:rPr>
              <w:fldChar w:fldCharType="separate"/>
            </w:r>
            <w:r>
              <w:rPr>
                <w:noProof/>
                <w:webHidden/>
              </w:rPr>
              <w:t>10</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1" w:history="1">
            <w:r w:rsidRPr="00B1523C">
              <w:rPr>
                <w:rStyle w:val="Hyperlink"/>
                <w:noProof/>
              </w:rPr>
              <w:t>Pharmacodynamics</w:t>
            </w:r>
            <w:r>
              <w:rPr>
                <w:noProof/>
                <w:webHidden/>
              </w:rPr>
              <w:tab/>
            </w:r>
            <w:r>
              <w:rPr>
                <w:noProof/>
                <w:webHidden/>
              </w:rPr>
              <w:fldChar w:fldCharType="begin"/>
            </w:r>
            <w:r>
              <w:rPr>
                <w:noProof/>
                <w:webHidden/>
              </w:rPr>
              <w:instrText xml:space="preserve"> PAGEREF _Toc436300041 \h </w:instrText>
            </w:r>
            <w:r>
              <w:rPr>
                <w:noProof/>
                <w:webHidden/>
              </w:rPr>
            </w:r>
            <w:r>
              <w:rPr>
                <w:noProof/>
                <w:webHidden/>
              </w:rPr>
              <w:fldChar w:fldCharType="separate"/>
            </w:r>
            <w:r>
              <w:rPr>
                <w:noProof/>
                <w:webHidden/>
              </w:rPr>
              <w:t>10</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2" w:history="1">
            <w:r w:rsidRPr="00B1523C">
              <w:rPr>
                <w:rStyle w:val="Hyperlink"/>
                <w:noProof/>
              </w:rPr>
              <w:t>Dosage selection for the pivotal studies</w:t>
            </w:r>
            <w:r>
              <w:rPr>
                <w:noProof/>
                <w:webHidden/>
              </w:rPr>
              <w:tab/>
            </w:r>
            <w:r>
              <w:rPr>
                <w:noProof/>
                <w:webHidden/>
              </w:rPr>
              <w:fldChar w:fldCharType="begin"/>
            </w:r>
            <w:r>
              <w:rPr>
                <w:noProof/>
                <w:webHidden/>
              </w:rPr>
              <w:instrText xml:space="preserve"> PAGEREF _Toc436300042 \h </w:instrText>
            </w:r>
            <w:r>
              <w:rPr>
                <w:noProof/>
                <w:webHidden/>
              </w:rPr>
            </w:r>
            <w:r>
              <w:rPr>
                <w:noProof/>
                <w:webHidden/>
              </w:rPr>
              <w:fldChar w:fldCharType="separate"/>
            </w:r>
            <w:r>
              <w:rPr>
                <w:noProof/>
                <w:webHidden/>
              </w:rPr>
              <w:t>10</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3" w:history="1">
            <w:r w:rsidRPr="00B1523C">
              <w:rPr>
                <w:rStyle w:val="Hyperlink"/>
                <w:noProof/>
              </w:rPr>
              <w:t>Efficacy</w:t>
            </w:r>
            <w:r>
              <w:rPr>
                <w:noProof/>
                <w:webHidden/>
              </w:rPr>
              <w:tab/>
            </w:r>
            <w:r>
              <w:rPr>
                <w:noProof/>
                <w:webHidden/>
              </w:rPr>
              <w:fldChar w:fldCharType="begin"/>
            </w:r>
            <w:r>
              <w:rPr>
                <w:noProof/>
                <w:webHidden/>
              </w:rPr>
              <w:instrText xml:space="preserve"> PAGEREF _Toc436300043 \h </w:instrText>
            </w:r>
            <w:r>
              <w:rPr>
                <w:noProof/>
                <w:webHidden/>
              </w:rPr>
            </w:r>
            <w:r>
              <w:rPr>
                <w:noProof/>
                <w:webHidden/>
              </w:rPr>
              <w:fldChar w:fldCharType="separate"/>
            </w:r>
            <w:r>
              <w:rPr>
                <w:noProof/>
                <w:webHidden/>
              </w:rPr>
              <w:t>11</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4" w:history="1">
            <w:r w:rsidRPr="00B1523C">
              <w:rPr>
                <w:rStyle w:val="Hyperlink"/>
                <w:noProof/>
              </w:rPr>
              <w:t>Safety</w:t>
            </w:r>
            <w:r>
              <w:rPr>
                <w:noProof/>
                <w:webHidden/>
              </w:rPr>
              <w:tab/>
            </w:r>
            <w:r>
              <w:rPr>
                <w:noProof/>
                <w:webHidden/>
              </w:rPr>
              <w:fldChar w:fldCharType="begin"/>
            </w:r>
            <w:r>
              <w:rPr>
                <w:noProof/>
                <w:webHidden/>
              </w:rPr>
              <w:instrText xml:space="preserve"> PAGEREF _Toc436300044 \h </w:instrText>
            </w:r>
            <w:r>
              <w:rPr>
                <w:noProof/>
                <w:webHidden/>
              </w:rPr>
            </w:r>
            <w:r>
              <w:rPr>
                <w:noProof/>
                <w:webHidden/>
              </w:rPr>
              <w:fldChar w:fldCharType="separate"/>
            </w:r>
            <w:r>
              <w:rPr>
                <w:noProof/>
                <w:webHidden/>
              </w:rPr>
              <w:t>12</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5" w:history="1">
            <w:r w:rsidRPr="00B1523C">
              <w:rPr>
                <w:rStyle w:val="Hyperlink"/>
                <w:noProof/>
              </w:rPr>
              <w:t>First round benefit-risk assessment</w:t>
            </w:r>
            <w:r>
              <w:rPr>
                <w:noProof/>
                <w:webHidden/>
              </w:rPr>
              <w:tab/>
            </w:r>
            <w:r>
              <w:rPr>
                <w:noProof/>
                <w:webHidden/>
              </w:rPr>
              <w:fldChar w:fldCharType="begin"/>
            </w:r>
            <w:r>
              <w:rPr>
                <w:noProof/>
                <w:webHidden/>
              </w:rPr>
              <w:instrText xml:space="preserve"> PAGEREF _Toc436300045 \h </w:instrText>
            </w:r>
            <w:r>
              <w:rPr>
                <w:noProof/>
                <w:webHidden/>
              </w:rPr>
            </w:r>
            <w:r>
              <w:rPr>
                <w:noProof/>
                <w:webHidden/>
              </w:rPr>
              <w:fldChar w:fldCharType="separate"/>
            </w:r>
            <w:r>
              <w:rPr>
                <w:noProof/>
                <w:webHidden/>
              </w:rPr>
              <w:t>13</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6" w:history="1">
            <w:r w:rsidRPr="00B1523C">
              <w:rPr>
                <w:rStyle w:val="Hyperlink"/>
                <w:noProof/>
              </w:rPr>
              <w:t>First round recommendation regarding authorisation</w:t>
            </w:r>
            <w:r>
              <w:rPr>
                <w:noProof/>
                <w:webHidden/>
              </w:rPr>
              <w:tab/>
            </w:r>
            <w:r>
              <w:rPr>
                <w:noProof/>
                <w:webHidden/>
              </w:rPr>
              <w:fldChar w:fldCharType="begin"/>
            </w:r>
            <w:r>
              <w:rPr>
                <w:noProof/>
                <w:webHidden/>
              </w:rPr>
              <w:instrText xml:space="preserve"> PAGEREF _Toc436300046 \h </w:instrText>
            </w:r>
            <w:r>
              <w:rPr>
                <w:noProof/>
                <w:webHidden/>
              </w:rPr>
            </w:r>
            <w:r>
              <w:rPr>
                <w:noProof/>
                <w:webHidden/>
              </w:rPr>
              <w:fldChar w:fldCharType="separate"/>
            </w:r>
            <w:r>
              <w:rPr>
                <w:noProof/>
                <w:webHidden/>
              </w:rPr>
              <w:t>15</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7" w:history="1">
            <w:r w:rsidRPr="00B1523C">
              <w:rPr>
                <w:rStyle w:val="Hyperlink"/>
                <w:noProof/>
              </w:rPr>
              <w:t>Clinical questions</w:t>
            </w:r>
            <w:r>
              <w:rPr>
                <w:noProof/>
                <w:webHidden/>
              </w:rPr>
              <w:tab/>
            </w:r>
            <w:r>
              <w:rPr>
                <w:noProof/>
                <w:webHidden/>
              </w:rPr>
              <w:fldChar w:fldCharType="begin"/>
            </w:r>
            <w:r>
              <w:rPr>
                <w:noProof/>
                <w:webHidden/>
              </w:rPr>
              <w:instrText xml:space="preserve"> PAGEREF _Toc436300047 \h </w:instrText>
            </w:r>
            <w:r>
              <w:rPr>
                <w:noProof/>
                <w:webHidden/>
              </w:rPr>
            </w:r>
            <w:r>
              <w:rPr>
                <w:noProof/>
                <w:webHidden/>
              </w:rPr>
              <w:fldChar w:fldCharType="separate"/>
            </w:r>
            <w:r>
              <w:rPr>
                <w:noProof/>
                <w:webHidden/>
              </w:rPr>
              <w:t>15</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8" w:history="1">
            <w:r w:rsidRPr="00B1523C">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_Toc436300048 \h </w:instrText>
            </w:r>
            <w:r>
              <w:rPr>
                <w:noProof/>
                <w:webHidden/>
              </w:rPr>
            </w:r>
            <w:r>
              <w:rPr>
                <w:noProof/>
                <w:webHidden/>
              </w:rPr>
              <w:fldChar w:fldCharType="separate"/>
            </w:r>
            <w:r>
              <w:rPr>
                <w:noProof/>
                <w:webHidden/>
              </w:rPr>
              <w:t>16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49" w:history="1">
            <w:r w:rsidRPr="00B1523C">
              <w:rPr>
                <w:rStyle w:val="Hyperlink"/>
                <w:noProof/>
              </w:rPr>
              <w:t>Second round benefit-risk assessment</w:t>
            </w:r>
            <w:r>
              <w:rPr>
                <w:noProof/>
                <w:webHidden/>
              </w:rPr>
              <w:tab/>
            </w:r>
            <w:r>
              <w:rPr>
                <w:noProof/>
                <w:webHidden/>
              </w:rPr>
              <w:fldChar w:fldCharType="begin"/>
            </w:r>
            <w:r>
              <w:rPr>
                <w:noProof/>
                <w:webHidden/>
              </w:rPr>
              <w:instrText xml:space="preserve"> PAGEREF _Toc436300049 \h </w:instrText>
            </w:r>
            <w:r>
              <w:rPr>
                <w:noProof/>
                <w:webHidden/>
              </w:rPr>
            </w:r>
            <w:r>
              <w:rPr>
                <w:noProof/>
                <w:webHidden/>
              </w:rPr>
              <w:fldChar w:fldCharType="separate"/>
            </w:r>
            <w:r>
              <w:rPr>
                <w:noProof/>
                <w:webHidden/>
              </w:rPr>
              <w:t>16</w:t>
            </w:r>
            <w:r>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50" w:history="1">
            <w:r w:rsidRPr="00B1523C">
              <w:rPr>
                <w:rStyle w:val="Hyperlink"/>
                <w:noProof/>
              </w:rPr>
              <w:t>V. Pharmacovigilance findings</w:t>
            </w:r>
            <w:r>
              <w:rPr>
                <w:noProof/>
                <w:webHidden/>
              </w:rPr>
              <w:tab/>
            </w:r>
            <w:r>
              <w:rPr>
                <w:noProof/>
                <w:webHidden/>
              </w:rPr>
              <w:fldChar w:fldCharType="begin"/>
            </w:r>
            <w:r>
              <w:rPr>
                <w:noProof/>
                <w:webHidden/>
              </w:rPr>
              <w:instrText xml:space="preserve"> PAGEREF _Toc436300050 \h </w:instrText>
            </w:r>
            <w:r>
              <w:rPr>
                <w:noProof/>
                <w:webHidden/>
              </w:rPr>
            </w:r>
            <w:r>
              <w:rPr>
                <w:noProof/>
                <w:webHidden/>
              </w:rPr>
              <w:fldChar w:fldCharType="separate"/>
            </w:r>
            <w:r>
              <w:rPr>
                <w:noProof/>
                <w:webHidden/>
              </w:rPr>
              <w:t>19</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51" w:history="1">
            <w:r w:rsidRPr="00B1523C">
              <w:rPr>
                <w:rStyle w:val="Hyperlink"/>
                <w:noProof/>
                <w:lang w:eastAsia="en-AU"/>
              </w:rPr>
              <w:t>Risk management plan</w:t>
            </w:r>
            <w:r>
              <w:rPr>
                <w:noProof/>
                <w:webHidden/>
              </w:rPr>
              <w:tab/>
            </w:r>
            <w:r>
              <w:rPr>
                <w:noProof/>
                <w:webHidden/>
              </w:rPr>
              <w:fldChar w:fldCharType="begin"/>
            </w:r>
            <w:r>
              <w:rPr>
                <w:noProof/>
                <w:webHidden/>
              </w:rPr>
              <w:instrText xml:space="preserve"> PAGEREF _Toc436300051 \h </w:instrText>
            </w:r>
            <w:r>
              <w:rPr>
                <w:noProof/>
                <w:webHidden/>
              </w:rPr>
            </w:r>
            <w:r>
              <w:rPr>
                <w:noProof/>
                <w:webHidden/>
              </w:rPr>
              <w:fldChar w:fldCharType="separate"/>
            </w:r>
            <w:r>
              <w:rPr>
                <w:noProof/>
                <w:webHidden/>
              </w:rPr>
              <w:t>19</w:t>
            </w:r>
            <w:r>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52" w:history="1">
            <w:r w:rsidRPr="00B1523C">
              <w:rPr>
                <w:rStyle w:val="Hyperlink"/>
                <w:noProof/>
              </w:rPr>
              <w:t>VI. Overall conclusion and risk/benefit assessment</w:t>
            </w:r>
            <w:r>
              <w:rPr>
                <w:noProof/>
                <w:webHidden/>
              </w:rPr>
              <w:tab/>
            </w:r>
            <w:r>
              <w:rPr>
                <w:noProof/>
                <w:webHidden/>
              </w:rPr>
              <w:fldChar w:fldCharType="begin"/>
            </w:r>
            <w:r>
              <w:rPr>
                <w:noProof/>
                <w:webHidden/>
              </w:rPr>
              <w:instrText xml:space="preserve"> PAGEREF _Toc436300052 \h </w:instrText>
            </w:r>
            <w:r>
              <w:rPr>
                <w:noProof/>
                <w:webHidden/>
              </w:rPr>
            </w:r>
            <w:r>
              <w:rPr>
                <w:noProof/>
                <w:webHidden/>
              </w:rPr>
              <w:fldChar w:fldCharType="separate"/>
            </w:r>
            <w:r>
              <w:rPr>
                <w:noProof/>
                <w:webHidden/>
              </w:rPr>
              <w:t>26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53" w:history="1">
            <w:r w:rsidRPr="00B1523C">
              <w:rPr>
                <w:rStyle w:val="Hyperlink"/>
                <w:noProof/>
              </w:rPr>
              <w:t>Quality</w:t>
            </w:r>
            <w:r>
              <w:rPr>
                <w:noProof/>
                <w:webHidden/>
              </w:rPr>
              <w:tab/>
            </w:r>
            <w:r>
              <w:rPr>
                <w:noProof/>
                <w:webHidden/>
              </w:rPr>
              <w:fldChar w:fldCharType="begin"/>
            </w:r>
            <w:r>
              <w:rPr>
                <w:noProof/>
                <w:webHidden/>
              </w:rPr>
              <w:instrText xml:space="preserve"> PAGEREF _Toc436300053 \h </w:instrText>
            </w:r>
            <w:r>
              <w:rPr>
                <w:noProof/>
                <w:webHidden/>
              </w:rPr>
            </w:r>
            <w:r>
              <w:rPr>
                <w:noProof/>
                <w:webHidden/>
              </w:rPr>
              <w:fldChar w:fldCharType="separate"/>
            </w:r>
            <w:r>
              <w:rPr>
                <w:noProof/>
                <w:webHidden/>
              </w:rPr>
              <w:t>26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54" w:history="1">
            <w:r w:rsidRPr="00B1523C">
              <w:rPr>
                <w:rStyle w:val="Hyperlink"/>
                <w:noProof/>
              </w:rPr>
              <w:t>Nonclinical</w:t>
            </w:r>
            <w:r>
              <w:rPr>
                <w:noProof/>
                <w:webHidden/>
              </w:rPr>
              <w:tab/>
            </w:r>
            <w:r>
              <w:rPr>
                <w:noProof/>
                <w:webHidden/>
              </w:rPr>
              <w:fldChar w:fldCharType="begin"/>
            </w:r>
            <w:r>
              <w:rPr>
                <w:noProof/>
                <w:webHidden/>
              </w:rPr>
              <w:instrText xml:space="preserve"> PAGEREF _Toc436300054 \h </w:instrText>
            </w:r>
            <w:r>
              <w:rPr>
                <w:noProof/>
                <w:webHidden/>
              </w:rPr>
            </w:r>
            <w:r>
              <w:rPr>
                <w:noProof/>
                <w:webHidden/>
              </w:rPr>
              <w:fldChar w:fldCharType="separate"/>
            </w:r>
            <w:r>
              <w:rPr>
                <w:noProof/>
                <w:webHidden/>
              </w:rPr>
              <w:t>26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55" w:history="1">
            <w:r w:rsidRPr="00B1523C">
              <w:rPr>
                <w:rStyle w:val="Hyperlink"/>
                <w:noProof/>
              </w:rPr>
              <w:t>Clinical</w:t>
            </w:r>
            <w:r>
              <w:rPr>
                <w:noProof/>
                <w:webHidden/>
              </w:rPr>
              <w:tab/>
            </w:r>
            <w:r>
              <w:rPr>
                <w:noProof/>
                <w:webHidden/>
              </w:rPr>
              <w:fldChar w:fldCharType="begin"/>
            </w:r>
            <w:r>
              <w:rPr>
                <w:noProof/>
                <w:webHidden/>
              </w:rPr>
              <w:instrText xml:space="preserve"> PAGEREF _Toc436300055 \h </w:instrText>
            </w:r>
            <w:r>
              <w:rPr>
                <w:noProof/>
                <w:webHidden/>
              </w:rPr>
            </w:r>
            <w:r>
              <w:rPr>
                <w:noProof/>
                <w:webHidden/>
              </w:rPr>
              <w:fldChar w:fldCharType="separate"/>
            </w:r>
            <w:r>
              <w:rPr>
                <w:noProof/>
                <w:webHidden/>
              </w:rPr>
              <w:t>26</w:t>
            </w:r>
            <w:r>
              <w:rPr>
                <w:noProof/>
                <w:webHidden/>
              </w:rPr>
              <w:fldChar w:fldCharType="end"/>
            </w:r>
          </w:hyperlink>
        </w:p>
        <w:p w:rsidR="003016B1" w:rsidRDefault="003016B1">
          <w:pPr>
            <w:pStyle w:val="TOC3"/>
            <w:rPr>
              <w:rFonts w:asciiTheme="minorHAnsi" w:eastAsiaTheme="minorEastAsia" w:hAnsiTheme="minorHAnsi" w:cstheme="minorBidi"/>
              <w:noProof/>
              <w:lang w:eastAsia="en-AU"/>
            </w:rPr>
          </w:pPr>
          <w:hyperlink w:anchor="_Toc436300056" w:history="1">
            <w:r w:rsidRPr="00B1523C">
              <w:rPr>
                <w:rStyle w:val="Hyperlink"/>
                <w:noProof/>
              </w:rPr>
              <w:t>Outcome</w:t>
            </w:r>
            <w:r>
              <w:rPr>
                <w:noProof/>
                <w:webHidden/>
              </w:rPr>
              <w:tab/>
            </w:r>
            <w:r>
              <w:rPr>
                <w:noProof/>
                <w:webHidden/>
              </w:rPr>
              <w:fldChar w:fldCharType="begin"/>
            </w:r>
            <w:r>
              <w:rPr>
                <w:noProof/>
                <w:webHidden/>
              </w:rPr>
              <w:instrText xml:space="preserve"> PAGEREF _Toc436300056 \h </w:instrText>
            </w:r>
            <w:r>
              <w:rPr>
                <w:noProof/>
                <w:webHidden/>
              </w:rPr>
            </w:r>
            <w:r>
              <w:rPr>
                <w:noProof/>
                <w:webHidden/>
              </w:rPr>
              <w:fldChar w:fldCharType="separate"/>
            </w:r>
            <w:r>
              <w:rPr>
                <w:noProof/>
                <w:webHidden/>
              </w:rPr>
              <w:t>40</w:t>
            </w:r>
            <w:r>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57" w:history="1">
            <w:r w:rsidRPr="00B1523C">
              <w:rPr>
                <w:rStyle w:val="Hyperlink"/>
                <w:noProof/>
              </w:rPr>
              <w:t>Attachment 1. Product Information</w:t>
            </w:r>
            <w:r>
              <w:rPr>
                <w:noProof/>
                <w:webHidden/>
              </w:rPr>
              <w:tab/>
            </w:r>
            <w:r>
              <w:rPr>
                <w:noProof/>
                <w:webHidden/>
              </w:rPr>
              <w:fldChar w:fldCharType="begin"/>
            </w:r>
            <w:r>
              <w:rPr>
                <w:noProof/>
                <w:webHidden/>
              </w:rPr>
              <w:instrText xml:space="preserve"> PAGEREF _Toc436300057 \h </w:instrText>
            </w:r>
            <w:r>
              <w:rPr>
                <w:noProof/>
                <w:webHidden/>
              </w:rPr>
            </w:r>
            <w:r>
              <w:rPr>
                <w:noProof/>
                <w:webHidden/>
              </w:rPr>
              <w:fldChar w:fldCharType="separate"/>
            </w:r>
            <w:r>
              <w:rPr>
                <w:noProof/>
                <w:webHidden/>
              </w:rPr>
              <w:t>40</w:t>
            </w:r>
            <w:r>
              <w:rPr>
                <w:noProof/>
                <w:webHidden/>
              </w:rPr>
              <w:fldChar w:fldCharType="end"/>
            </w:r>
          </w:hyperlink>
        </w:p>
        <w:p w:rsidR="003016B1" w:rsidRDefault="003016B1">
          <w:pPr>
            <w:pStyle w:val="TOC2"/>
            <w:rPr>
              <w:rFonts w:asciiTheme="minorHAnsi" w:eastAsiaTheme="minorEastAsia" w:hAnsiTheme="minorHAnsi" w:cstheme="minorBidi"/>
              <w:b w:val="0"/>
              <w:noProof/>
              <w:sz w:val="22"/>
              <w:lang w:eastAsia="en-AU"/>
            </w:rPr>
          </w:pPr>
          <w:hyperlink w:anchor="_Toc436300058" w:history="1">
            <w:r w:rsidRPr="00B1523C">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_Toc436300058 \h </w:instrText>
            </w:r>
            <w:r>
              <w:rPr>
                <w:noProof/>
                <w:webHidden/>
              </w:rPr>
            </w:r>
            <w:r>
              <w:rPr>
                <w:noProof/>
                <w:webHidden/>
              </w:rPr>
              <w:fldChar w:fldCharType="separate"/>
            </w:r>
            <w:r>
              <w:rPr>
                <w:noProof/>
                <w:webHidden/>
              </w:rPr>
              <w:t>41</w:t>
            </w:r>
            <w:r>
              <w:rPr>
                <w:noProof/>
                <w:webHidden/>
              </w:rPr>
              <w:fldChar w:fldCharType="end"/>
            </w:r>
          </w:hyperlink>
        </w:p>
        <w:p w:rsidR="003A7F6C" w:rsidRPr="00B811C6" w:rsidRDefault="00903F7A" w:rsidP="00B811C6">
          <w:pPr>
            <w:pStyle w:val="TOC2"/>
          </w:pPr>
          <w:r>
            <w:fldChar w:fldCharType="end"/>
          </w:r>
        </w:p>
      </w:sdtContent>
    </w:sdt>
    <w:bookmarkStart w:id="3" w:name="_Toc314842482" w:displacedByCustomXml="prev"/>
    <w:p w:rsidR="00FD119B" w:rsidRDefault="00FD119B">
      <w:pPr>
        <w:spacing w:before="0" w:after="200" w:line="0" w:lineRule="auto"/>
      </w:pPr>
      <w:r>
        <w:br w:type="page"/>
      </w:r>
    </w:p>
    <w:p w:rsidR="00FD119B" w:rsidRPr="00FD119B" w:rsidRDefault="00FD119B" w:rsidP="004F0C4A">
      <w:pPr>
        <w:pStyle w:val="Heading2"/>
      </w:pPr>
      <w:bookmarkStart w:id="4" w:name="_Toc351716269"/>
      <w:bookmarkStart w:id="5" w:name="_Toc351718881"/>
      <w:bookmarkStart w:id="6" w:name="_Toc355338616"/>
      <w:bookmarkStart w:id="7" w:name="_Toc356306144"/>
      <w:bookmarkStart w:id="8" w:name="_Toc436300029"/>
      <w:r w:rsidRPr="00FD119B">
        <w:lastRenderedPageBreak/>
        <w:t>List of the most common abbreviations</w:t>
      </w:r>
      <w:bookmarkEnd w:id="4"/>
      <w:bookmarkEnd w:id="5"/>
      <w:bookmarkEnd w:id="6"/>
      <w:bookmarkEnd w:id="7"/>
      <w:r w:rsidRPr="00FD119B">
        <w:t xml:space="preserve"> used in this </w:t>
      </w:r>
      <w:proofErr w:type="spellStart"/>
      <w:r w:rsidRPr="004F0C4A">
        <w:t>AusPAR</w:t>
      </w:r>
      <w:bookmarkEnd w:id="8"/>
      <w:proofErr w:type="spellEnd"/>
    </w:p>
    <w:tbl>
      <w:tblPr>
        <w:tblStyle w:val="TableTGAblue"/>
        <w:tblW w:w="0" w:type="auto"/>
        <w:tblLook w:val="04A0" w:firstRow="1" w:lastRow="0" w:firstColumn="1" w:lastColumn="0" w:noHBand="0" w:noVBand="1"/>
      </w:tblPr>
      <w:tblGrid>
        <w:gridCol w:w="1890"/>
        <w:gridCol w:w="6830"/>
      </w:tblGrid>
      <w:tr w:rsidR="00FD119B" w:rsidRPr="00FD119B" w:rsidTr="00D72FCC">
        <w:trPr>
          <w:cnfStyle w:val="100000000000" w:firstRow="1" w:lastRow="0" w:firstColumn="0" w:lastColumn="0" w:oddVBand="0" w:evenVBand="0" w:oddHBand="0" w:evenHBand="0" w:firstRowFirstColumn="0" w:firstRowLastColumn="0" w:lastRowFirstColumn="0" w:lastRowLastColumn="0"/>
        </w:trPr>
        <w:tc>
          <w:tcPr>
            <w:tcW w:w="1890" w:type="dxa"/>
          </w:tcPr>
          <w:p w:rsidR="00FD119B" w:rsidRPr="001257BF" w:rsidRDefault="00FD119B" w:rsidP="00D72FCC">
            <w:r w:rsidRPr="001257BF">
              <w:t>Abbreviation</w:t>
            </w:r>
          </w:p>
        </w:tc>
        <w:tc>
          <w:tcPr>
            <w:tcW w:w="6830" w:type="dxa"/>
          </w:tcPr>
          <w:p w:rsidR="00FD119B" w:rsidRPr="001257BF" w:rsidRDefault="00FD119B" w:rsidP="00D72FCC">
            <w:r w:rsidRPr="001257BF">
              <w:t>Meaning</w:t>
            </w:r>
          </w:p>
        </w:tc>
      </w:tr>
      <w:tr w:rsidR="009F1696" w:rsidRPr="00FD119B" w:rsidTr="00D72FCC">
        <w:tc>
          <w:tcPr>
            <w:tcW w:w="1890" w:type="dxa"/>
          </w:tcPr>
          <w:p w:rsidR="009F1696" w:rsidRPr="001257BF" w:rsidRDefault="001257BF" w:rsidP="00D72FCC">
            <w:r>
              <w:t>ACR</w:t>
            </w:r>
          </w:p>
        </w:tc>
        <w:tc>
          <w:tcPr>
            <w:tcW w:w="6830" w:type="dxa"/>
          </w:tcPr>
          <w:p w:rsidR="009F1696" w:rsidRPr="001257BF" w:rsidRDefault="009F1696" w:rsidP="00D72FCC">
            <w:r w:rsidRPr="001257BF">
              <w:t>A</w:t>
            </w:r>
            <w:r w:rsidR="001257BF">
              <w:t>merican College of Rheumatology</w:t>
            </w:r>
          </w:p>
        </w:tc>
      </w:tr>
      <w:tr w:rsidR="00325F8B" w:rsidRPr="00FD119B" w:rsidTr="00D72FCC">
        <w:tc>
          <w:tcPr>
            <w:tcW w:w="1890" w:type="dxa"/>
          </w:tcPr>
          <w:p w:rsidR="00325F8B" w:rsidRDefault="00325F8B" w:rsidP="00D72FCC">
            <w:proofErr w:type="spellStart"/>
            <w:r w:rsidRPr="00325F8B">
              <w:t>ACR</w:t>
            </w:r>
            <w:r w:rsidR="00313EDF">
              <w:t>p</w:t>
            </w:r>
            <w:r w:rsidR="002B55F6">
              <w:t>a</w:t>
            </w:r>
            <w:r w:rsidRPr="00325F8B">
              <w:t>ed</w:t>
            </w:r>
            <w:proofErr w:type="spellEnd"/>
          </w:p>
        </w:tc>
        <w:tc>
          <w:tcPr>
            <w:tcW w:w="6830" w:type="dxa"/>
          </w:tcPr>
          <w:p w:rsidR="00325F8B" w:rsidRPr="001257BF" w:rsidRDefault="00325F8B" w:rsidP="00D72FCC">
            <w:r w:rsidRPr="00325F8B">
              <w:t>American College of Rheumatology</w:t>
            </w:r>
            <w:r w:rsidR="00E02770">
              <w:t xml:space="preserve"> paediatric</w:t>
            </w:r>
          </w:p>
        </w:tc>
      </w:tr>
      <w:tr w:rsidR="00313EDF" w:rsidRPr="00FD119B" w:rsidTr="00D72FCC">
        <w:tc>
          <w:tcPr>
            <w:tcW w:w="1890" w:type="dxa"/>
          </w:tcPr>
          <w:p w:rsidR="00313EDF" w:rsidRPr="00325F8B" w:rsidRDefault="00313EDF" w:rsidP="00D72FCC">
            <w:proofErr w:type="spellStart"/>
            <w:r w:rsidRPr="00313EDF">
              <w:t>ACRp</w:t>
            </w:r>
            <w:r w:rsidR="002B55F6">
              <w:t>a</w:t>
            </w:r>
            <w:r w:rsidR="00E02770">
              <w:t>ed</w:t>
            </w:r>
            <w:proofErr w:type="spellEnd"/>
            <w:r w:rsidR="00E02770">
              <w:t xml:space="preserve"> </w:t>
            </w:r>
            <w:r>
              <w:t>30</w:t>
            </w:r>
          </w:p>
        </w:tc>
        <w:tc>
          <w:tcPr>
            <w:tcW w:w="6830" w:type="dxa"/>
          </w:tcPr>
          <w:p w:rsidR="00313EDF" w:rsidRPr="00325F8B" w:rsidRDefault="002B55F6" w:rsidP="00D72FCC">
            <w:r w:rsidRPr="002B55F6">
              <w:t>American College of Rheumatology paediatric</w:t>
            </w:r>
            <w:r w:rsidR="00E02770">
              <w:t xml:space="preserve"> 30</w:t>
            </w:r>
          </w:p>
        </w:tc>
      </w:tr>
      <w:tr w:rsidR="009F1696" w:rsidRPr="00FD119B" w:rsidTr="00D72FCC">
        <w:tc>
          <w:tcPr>
            <w:tcW w:w="1890" w:type="dxa"/>
          </w:tcPr>
          <w:p w:rsidR="009F1696" w:rsidRPr="001257BF" w:rsidRDefault="009F1696" w:rsidP="00D72FCC">
            <w:r w:rsidRPr="001257BF">
              <w:t>AE</w:t>
            </w:r>
          </w:p>
        </w:tc>
        <w:tc>
          <w:tcPr>
            <w:tcW w:w="6830" w:type="dxa"/>
          </w:tcPr>
          <w:p w:rsidR="009F1696" w:rsidRPr="001257BF" w:rsidRDefault="009F1696" w:rsidP="00D72FCC">
            <w:r w:rsidRPr="001257BF">
              <w:t>Adverse event</w:t>
            </w:r>
          </w:p>
        </w:tc>
      </w:tr>
      <w:tr w:rsidR="00AF359A" w:rsidRPr="00FD119B" w:rsidTr="00D72FCC">
        <w:tc>
          <w:tcPr>
            <w:tcW w:w="1890" w:type="dxa"/>
          </w:tcPr>
          <w:p w:rsidR="00AF359A" w:rsidRPr="001257BF" w:rsidRDefault="00AF359A" w:rsidP="00D72FCC">
            <w:r>
              <w:t>AUC</w:t>
            </w:r>
          </w:p>
        </w:tc>
        <w:tc>
          <w:tcPr>
            <w:tcW w:w="6830" w:type="dxa"/>
          </w:tcPr>
          <w:p w:rsidR="00AF359A" w:rsidRPr="001257BF" w:rsidRDefault="00AF359A" w:rsidP="00D72FCC">
            <w:r>
              <w:t>area under the concentration time curve</w:t>
            </w:r>
          </w:p>
        </w:tc>
      </w:tr>
      <w:tr w:rsidR="009F1696" w:rsidRPr="00FD119B" w:rsidTr="00D72FCC">
        <w:tc>
          <w:tcPr>
            <w:tcW w:w="1890" w:type="dxa"/>
          </w:tcPr>
          <w:p w:rsidR="009F1696" w:rsidRPr="001257BF" w:rsidRDefault="001257BF" w:rsidP="00D72FCC">
            <w:r>
              <w:t>CINCA</w:t>
            </w:r>
          </w:p>
        </w:tc>
        <w:tc>
          <w:tcPr>
            <w:tcW w:w="6830" w:type="dxa"/>
          </w:tcPr>
          <w:p w:rsidR="009F1696" w:rsidRPr="001257BF" w:rsidRDefault="00E02770" w:rsidP="00D72FCC">
            <w:r>
              <w:t>Chronic Infantile Neurological</w:t>
            </w:r>
            <w:r w:rsidR="009F1696" w:rsidRPr="001257BF">
              <w:t xml:space="preserve"> </w:t>
            </w:r>
            <w:r w:rsidR="001257BF">
              <w:t xml:space="preserve">Cutaneous and </w:t>
            </w:r>
            <w:proofErr w:type="spellStart"/>
            <w:r w:rsidR="001257BF">
              <w:t>Articularsyndrome</w:t>
            </w:r>
            <w:proofErr w:type="spellEnd"/>
          </w:p>
        </w:tc>
      </w:tr>
      <w:tr w:rsidR="009F1696" w:rsidRPr="00FD119B" w:rsidTr="00D72FCC">
        <w:tc>
          <w:tcPr>
            <w:tcW w:w="1890" w:type="dxa"/>
          </w:tcPr>
          <w:p w:rsidR="009F1696" w:rsidRPr="001257BF" w:rsidRDefault="001257BF" w:rsidP="00D72FCC">
            <w:r>
              <w:t>CAPS</w:t>
            </w:r>
          </w:p>
        </w:tc>
        <w:tc>
          <w:tcPr>
            <w:tcW w:w="6830" w:type="dxa"/>
          </w:tcPr>
          <w:p w:rsidR="009F1696" w:rsidRPr="001257BF" w:rsidRDefault="009F1696" w:rsidP="00D72FCC">
            <w:proofErr w:type="spellStart"/>
            <w:r w:rsidRPr="001257BF">
              <w:t>Cryopyri</w:t>
            </w:r>
            <w:r w:rsidR="001257BF">
              <w:t>n</w:t>
            </w:r>
            <w:proofErr w:type="spellEnd"/>
            <w:r w:rsidR="001257BF">
              <w:t>-associated periodic syndromes</w:t>
            </w:r>
          </w:p>
        </w:tc>
      </w:tr>
      <w:tr w:rsidR="008E20EA" w:rsidRPr="00FD119B" w:rsidTr="00D72FCC">
        <w:tc>
          <w:tcPr>
            <w:tcW w:w="1890" w:type="dxa"/>
          </w:tcPr>
          <w:p w:rsidR="008E20EA" w:rsidRDefault="008E20EA" w:rsidP="00D72FCC">
            <w:r>
              <w:t>CHMP</w:t>
            </w:r>
          </w:p>
        </w:tc>
        <w:tc>
          <w:tcPr>
            <w:tcW w:w="6830" w:type="dxa"/>
          </w:tcPr>
          <w:p w:rsidR="008E20EA" w:rsidRPr="001257BF" w:rsidRDefault="008E20EA" w:rsidP="00D72FCC">
            <w:r>
              <w:t xml:space="preserve">(EMA) </w:t>
            </w:r>
            <w:r w:rsidRPr="008E20EA">
              <w:t>committee for me</w:t>
            </w:r>
            <w:r>
              <w:t>dicinal products for human use</w:t>
            </w:r>
          </w:p>
        </w:tc>
      </w:tr>
      <w:tr w:rsidR="009F1696" w:rsidRPr="00FD119B" w:rsidTr="00D72FCC">
        <w:tc>
          <w:tcPr>
            <w:tcW w:w="1890" w:type="dxa"/>
          </w:tcPr>
          <w:p w:rsidR="009F1696" w:rsidRPr="001257BF" w:rsidRDefault="001257BF" w:rsidP="00D72FCC">
            <w:r>
              <w:t>CRP</w:t>
            </w:r>
          </w:p>
        </w:tc>
        <w:tc>
          <w:tcPr>
            <w:tcW w:w="6830" w:type="dxa"/>
          </w:tcPr>
          <w:p w:rsidR="009F1696" w:rsidRPr="001257BF" w:rsidRDefault="001257BF" w:rsidP="00D72FCC">
            <w:r>
              <w:t>C-reactive protein</w:t>
            </w:r>
          </w:p>
        </w:tc>
      </w:tr>
      <w:tr w:rsidR="009F1696" w:rsidRPr="00FD119B" w:rsidTr="00D72FCC">
        <w:tc>
          <w:tcPr>
            <w:tcW w:w="1890" w:type="dxa"/>
          </w:tcPr>
          <w:p w:rsidR="009F1696" w:rsidRPr="001257BF" w:rsidRDefault="009F1696" w:rsidP="00D72FCC">
            <w:r w:rsidRPr="001257BF">
              <w:t>DAE</w:t>
            </w:r>
          </w:p>
        </w:tc>
        <w:tc>
          <w:tcPr>
            <w:tcW w:w="6830" w:type="dxa"/>
          </w:tcPr>
          <w:p w:rsidR="009F1696" w:rsidRPr="001257BF" w:rsidRDefault="009F1696" w:rsidP="00D72FCC">
            <w:r w:rsidRPr="001257BF">
              <w:t>Adverse event leading to discontinuation</w:t>
            </w:r>
          </w:p>
        </w:tc>
      </w:tr>
      <w:tr w:rsidR="009F1696" w:rsidRPr="00FD119B" w:rsidTr="00D72FCC">
        <w:tc>
          <w:tcPr>
            <w:tcW w:w="1890" w:type="dxa"/>
          </w:tcPr>
          <w:p w:rsidR="009F1696" w:rsidRPr="001257BF" w:rsidRDefault="009F1696" w:rsidP="00D72FCC">
            <w:r w:rsidRPr="001257BF">
              <w:t>DMARD</w:t>
            </w:r>
          </w:p>
        </w:tc>
        <w:tc>
          <w:tcPr>
            <w:tcW w:w="6830" w:type="dxa"/>
          </w:tcPr>
          <w:p w:rsidR="009F1696" w:rsidRPr="001257BF" w:rsidRDefault="009F1696" w:rsidP="00D72FCC">
            <w:r w:rsidRPr="001257BF">
              <w:t>Disease modifying anti rheumatic drug</w:t>
            </w:r>
          </w:p>
        </w:tc>
      </w:tr>
      <w:tr w:rsidR="008E20EA" w:rsidRPr="00FD119B" w:rsidTr="00D72FCC">
        <w:tc>
          <w:tcPr>
            <w:tcW w:w="1890" w:type="dxa"/>
          </w:tcPr>
          <w:p w:rsidR="008E20EA" w:rsidRPr="001257BF" w:rsidRDefault="008E20EA" w:rsidP="00D72FCC">
            <w:r>
              <w:t>EMA</w:t>
            </w:r>
          </w:p>
        </w:tc>
        <w:tc>
          <w:tcPr>
            <w:tcW w:w="6830" w:type="dxa"/>
          </w:tcPr>
          <w:p w:rsidR="008E20EA" w:rsidRPr="001257BF" w:rsidRDefault="008E20EA" w:rsidP="00D72FCC">
            <w:r>
              <w:t>European medicines agency</w:t>
            </w:r>
          </w:p>
        </w:tc>
      </w:tr>
      <w:tr w:rsidR="009F1696" w:rsidRPr="00FD119B" w:rsidTr="00D72FCC">
        <w:tc>
          <w:tcPr>
            <w:tcW w:w="1890" w:type="dxa"/>
          </w:tcPr>
          <w:p w:rsidR="009F1696" w:rsidRPr="001257BF" w:rsidRDefault="009F1696" w:rsidP="00D72FCC">
            <w:r w:rsidRPr="001257BF">
              <w:t>ESR</w:t>
            </w:r>
          </w:p>
        </w:tc>
        <w:tc>
          <w:tcPr>
            <w:tcW w:w="6830" w:type="dxa"/>
          </w:tcPr>
          <w:p w:rsidR="009F1696" w:rsidRPr="001257BF" w:rsidRDefault="009F1696" w:rsidP="00D72FCC">
            <w:r w:rsidRPr="001257BF">
              <w:t>Erythrocyte sedimentation rate</w:t>
            </w:r>
          </w:p>
        </w:tc>
      </w:tr>
      <w:tr w:rsidR="007F7ED3" w:rsidRPr="00FD119B" w:rsidTr="00D72FCC">
        <w:tc>
          <w:tcPr>
            <w:tcW w:w="1890" w:type="dxa"/>
          </w:tcPr>
          <w:p w:rsidR="007F7ED3" w:rsidRPr="001257BF" w:rsidRDefault="007F7ED3" w:rsidP="00D72FCC">
            <w:r>
              <w:t>GCP</w:t>
            </w:r>
          </w:p>
        </w:tc>
        <w:tc>
          <w:tcPr>
            <w:tcW w:w="6830" w:type="dxa"/>
          </w:tcPr>
          <w:p w:rsidR="007F7ED3" w:rsidRPr="001257BF" w:rsidRDefault="007F7ED3" w:rsidP="00D72FCC">
            <w:r>
              <w:t>good clinical practice</w:t>
            </w:r>
          </w:p>
        </w:tc>
      </w:tr>
      <w:tr w:rsidR="009F1696" w:rsidRPr="00FD119B" w:rsidTr="00D72FCC">
        <w:tc>
          <w:tcPr>
            <w:tcW w:w="1890" w:type="dxa"/>
          </w:tcPr>
          <w:p w:rsidR="009F1696" w:rsidRPr="001257BF" w:rsidRDefault="009F1696" w:rsidP="00D72FCC">
            <w:r w:rsidRPr="001257BF">
              <w:t>IL-1</w:t>
            </w:r>
          </w:p>
        </w:tc>
        <w:tc>
          <w:tcPr>
            <w:tcW w:w="6830" w:type="dxa"/>
          </w:tcPr>
          <w:p w:rsidR="009F1696" w:rsidRPr="001257BF" w:rsidRDefault="009F1696" w:rsidP="00D72FCC">
            <w:r w:rsidRPr="001257BF">
              <w:t>Interleukin-1</w:t>
            </w:r>
          </w:p>
        </w:tc>
      </w:tr>
      <w:tr w:rsidR="009F1696" w:rsidRPr="00FD119B" w:rsidTr="00D72FCC">
        <w:tc>
          <w:tcPr>
            <w:tcW w:w="1890" w:type="dxa"/>
          </w:tcPr>
          <w:p w:rsidR="009F1696" w:rsidRPr="001257BF" w:rsidRDefault="009F1696" w:rsidP="00D72FCC">
            <w:r w:rsidRPr="001257BF">
              <w:t>IL-1Ra</w:t>
            </w:r>
          </w:p>
        </w:tc>
        <w:tc>
          <w:tcPr>
            <w:tcW w:w="6830" w:type="dxa"/>
          </w:tcPr>
          <w:p w:rsidR="009F1696" w:rsidRPr="001257BF" w:rsidRDefault="009F1696" w:rsidP="00D72FCC">
            <w:r w:rsidRPr="001257BF">
              <w:t>Interleukin-1 receptor antagonist</w:t>
            </w:r>
          </w:p>
        </w:tc>
      </w:tr>
      <w:tr w:rsidR="009F1696" w:rsidRPr="00FD119B" w:rsidTr="00D72FCC">
        <w:tc>
          <w:tcPr>
            <w:tcW w:w="1890" w:type="dxa"/>
          </w:tcPr>
          <w:p w:rsidR="009F1696" w:rsidRPr="001257BF" w:rsidRDefault="009F1696" w:rsidP="00D72FCC">
            <w:r w:rsidRPr="001257BF">
              <w:t>JCA</w:t>
            </w:r>
          </w:p>
        </w:tc>
        <w:tc>
          <w:tcPr>
            <w:tcW w:w="6830" w:type="dxa"/>
          </w:tcPr>
          <w:p w:rsidR="009F1696" w:rsidRPr="001257BF" w:rsidRDefault="009F1696" w:rsidP="00D72FCC">
            <w:r w:rsidRPr="001257BF">
              <w:t>Juvenile Chronic Arthritis</w:t>
            </w:r>
          </w:p>
        </w:tc>
      </w:tr>
      <w:tr w:rsidR="009F1696" w:rsidRPr="00FD119B" w:rsidTr="00D72FCC">
        <w:tc>
          <w:tcPr>
            <w:tcW w:w="1890" w:type="dxa"/>
          </w:tcPr>
          <w:p w:rsidR="009F1696" w:rsidRPr="001257BF" w:rsidRDefault="005D252D" w:rsidP="00D72FCC">
            <w:r>
              <w:t>JIA</w:t>
            </w:r>
          </w:p>
        </w:tc>
        <w:tc>
          <w:tcPr>
            <w:tcW w:w="6830" w:type="dxa"/>
          </w:tcPr>
          <w:p w:rsidR="009F1696" w:rsidRPr="001257BF" w:rsidRDefault="005D252D" w:rsidP="00D72FCC">
            <w:r>
              <w:t>Juvenile idiopathic arthritis</w:t>
            </w:r>
          </w:p>
        </w:tc>
      </w:tr>
      <w:tr w:rsidR="009F1696" w:rsidRPr="00FD119B" w:rsidTr="00D72FCC">
        <w:tc>
          <w:tcPr>
            <w:tcW w:w="1890" w:type="dxa"/>
          </w:tcPr>
          <w:p w:rsidR="009F1696" w:rsidRPr="001257BF" w:rsidRDefault="009F1696" w:rsidP="00D72FCC">
            <w:r w:rsidRPr="001257BF">
              <w:t>JRA</w:t>
            </w:r>
          </w:p>
        </w:tc>
        <w:tc>
          <w:tcPr>
            <w:tcW w:w="6830" w:type="dxa"/>
          </w:tcPr>
          <w:p w:rsidR="009F1696" w:rsidRPr="001257BF" w:rsidRDefault="009F1696" w:rsidP="00D72FCC">
            <w:r w:rsidRPr="001257BF">
              <w:t>Juvenile rheumatoid arthritis</w:t>
            </w:r>
          </w:p>
        </w:tc>
      </w:tr>
      <w:tr w:rsidR="00AB675F" w:rsidRPr="00FD119B" w:rsidTr="00D72FCC">
        <w:tc>
          <w:tcPr>
            <w:tcW w:w="1890" w:type="dxa"/>
          </w:tcPr>
          <w:p w:rsidR="00AB675F" w:rsidRPr="001257BF" w:rsidRDefault="00AB675F" w:rsidP="00D72FCC">
            <w:r>
              <w:t>MAS</w:t>
            </w:r>
          </w:p>
        </w:tc>
        <w:tc>
          <w:tcPr>
            <w:tcW w:w="6830" w:type="dxa"/>
          </w:tcPr>
          <w:p w:rsidR="00AB675F" w:rsidRPr="001257BF" w:rsidRDefault="00AB675F" w:rsidP="00D72FCC">
            <w:r>
              <w:t>m</w:t>
            </w:r>
            <w:r w:rsidRPr="00AB675F">
              <w:t>acrophage activation syndrome</w:t>
            </w:r>
          </w:p>
        </w:tc>
      </w:tr>
      <w:tr w:rsidR="009F1696" w:rsidRPr="00FD119B" w:rsidTr="00D72FCC">
        <w:tc>
          <w:tcPr>
            <w:tcW w:w="1890" w:type="dxa"/>
          </w:tcPr>
          <w:p w:rsidR="009F1696" w:rsidRPr="001257BF" w:rsidRDefault="009F1696" w:rsidP="00D72FCC">
            <w:r w:rsidRPr="001257BF">
              <w:t>MTX</w:t>
            </w:r>
          </w:p>
        </w:tc>
        <w:tc>
          <w:tcPr>
            <w:tcW w:w="6830" w:type="dxa"/>
          </w:tcPr>
          <w:p w:rsidR="009F1696" w:rsidRPr="001257BF" w:rsidRDefault="009F1696" w:rsidP="00D72FCC">
            <w:r w:rsidRPr="001257BF">
              <w:t>Methotrexate</w:t>
            </w:r>
          </w:p>
        </w:tc>
      </w:tr>
      <w:tr w:rsidR="009F1696" w:rsidRPr="00FD119B" w:rsidTr="00D72FCC">
        <w:tc>
          <w:tcPr>
            <w:tcW w:w="1890" w:type="dxa"/>
          </w:tcPr>
          <w:p w:rsidR="009F1696" w:rsidRPr="001257BF" w:rsidRDefault="009F1696" w:rsidP="00D72FCC">
            <w:r w:rsidRPr="001257BF">
              <w:t>NOMID</w:t>
            </w:r>
          </w:p>
        </w:tc>
        <w:tc>
          <w:tcPr>
            <w:tcW w:w="6830" w:type="dxa"/>
          </w:tcPr>
          <w:p w:rsidR="009F1696" w:rsidRPr="001257BF" w:rsidRDefault="009F1696" w:rsidP="00D72FCC">
            <w:r w:rsidRPr="001257BF">
              <w:t>Neonatal Onset Multi-system Inflammatory Disease</w:t>
            </w:r>
          </w:p>
        </w:tc>
      </w:tr>
      <w:tr w:rsidR="009F1696" w:rsidRPr="00FD119B" w:rsidTr="00D72FCC">
        <w:tc>
          <w:tcPr>
            <w:tcW w:w="1890" w:type="dxa"/>
          </w:tcPr>
          <w:p w:rsidR="009F1696" w:rsidRPr="001257BF" w:rsidRDefault="009F1696" w:rsidP="00D72FCC">
            <w:r w:rsidRPr="001257BF">
              <w:t>NSAID</w:t>
            </w:r>
          </w:p>
        </w:tc>
        <w:tc>
          <w:tcPr>
            <w:tcW w:w="6830" w:type="dxa"/>
          </w:tcPr>
          <w:p w:rsidR="009F1696" w:rsidRPr="001257BF" w:rsidRDefault="009F1696" w:rsidP="00D72FCC">
            <w:r w:rsidRPr="001257BF">
              <w:t>Non-steroidal anti-inflammatory drug</w:t>
            </w:r>
          </w:p>
        </w:tc>
      </w:tr>
      <w:tr w:rsidR="00DD32B3" w:rsidRPr="00FD119B" w:rsidTr="00D72FCC">
        <w:tc>
          <w:tcPr>
            <w:tcW w:w="1890" w:type="dxa"/>
          </w:tcPr>
          <w:p w:rsidR="00DD32B3" w:rsidRPr="001257BF" w:rsidRDefault="00DD32B3" w:rsidP="00D72FCC">
            <w:r>
              <w:t>PD</w:t>
            </w:r>
          </w:p>
        </w:tc>
        <w:tc>
          <w:tcPr>
            <w:tcW w:w="6830" w:type="dxa"/>
          </w:tcPr>
          <w:p w:rsidR="00DD32B3" w:rsidRPr="001257BF" w:rsidRDefault="00DD32B3" w:rsidP="00D72FCC">
            <w:r>
              <w:t>pharmacodynamics</w:t>
            </w:r>
          </w:p>
        </w:tc>
      </w:tr>
      <w:tr w:rsidR="009F1696" w:rsidRPr="00FD119B" w:rsidTr="00D72FCC">
        <w:tc>
          <w:tcPr>
            <w:tcW w:w="1890" w:type="dxa"/>
          </w:tcPr>
          <w:p w:rsidR="009F1696" w:rsidRPr="001257BF" w:rsidRDefault="009F1696" w:rsidP="00D72FCC">
            <w:r w:rsidRPr="001257BF">
              <w:lastRenderedPageBreak/>
              <w:t>PK</w:t>
            </w:r>
          </w:p>
        </w:tc>
        <w:tc>
          <w:tcPr>
            <w:tcW w:w="6830" w:type="dxa"/>
          </w:tcPr>
          <w:p w:rsidR="009F1696" w:rsidRPr="001257BF" w:rsidRDefault="009F1696" w:rsidP="00D72FCC">
            <w:r w:rsidRPr="001257BF">
              <w:t>Pharmacokinetics</w:t>
            </w:r>
          </w:p>
        </w:tc>
      </w:tr>
      <w:tr w:rsidR="009F1696" w:rsidRPr="00FD119B" w:rsidTr="00D72FCC">
        <w:tc>
          <w:tcPr>
            <w:tcW w:w="1890" w:type="dxa"/>
          </w:tcPr>
          <w:p w:rsidR="009F1696" w:rsidRPr="001257BF" w:rsidRDefault="009F1696" w:rsidP="00D72FCC">
            <w:r w:rsidRPr="001257BF">
              <w:t>PSUR</w:t>
            </w:r>
          </w:p>
        </w:tc>
        <w:tc>
          <w:tcPr>
            <w:tcW w:w="6830" w:type="dxa"/>
          </w:tcPr>
          <w:p w:rsidR="009F1696" w:rsidRPr="001257BF" w:rsidRDefault="009F1696" w:rsidP="00D72FCC">
            <w:r w:rsidRPr="001257BF">
              <w:t>Periodic Safety Update Report</w:t>
            </w:r>
          </w:p>
        </w:tc>
      </w:tr>
      <w:tr w:rsidR="009F1696" w:rsidRPr="00FD119B" w:rsidTr="00D72FCC">
        <w:tc>
          <w:tcPr>
            <w:tcW w:w="1890" w:type="dxa"/>
          </w:tcPr>
          <w:p w:rsidR="009F1696" w:rsidRPr="001257BF" w:rsidRDefault="009F1696" w:rsidP="00D72FCC">
            <w:r w:rsidRPr="001257BF">
              <w:t>RA</w:t>
            </w:r>
          </w:p>
        </w:tc>
        <w:tc>
          <w:tcPr>
            <w:tcW w:w="6830" w:type="dxa"/>
          </w:tcPr>
          <w:p w:rsidR="009F1696" w:rsidRPr="001257BF" w:rsidRDefault="009F1696" w:rsidP="00D72FCC">
            <w:r w:rsidRPr="001257BF">
              <w:t>Rheumatoid arthritis</w:t>
            </w:r>
          </w:p>
        </w:tc>
      </w:tr>
      <w:tr w:rsidR="008E20EA" w:rsidRPr="00FD119B" w:rsidTr="00D72FCC">
        <w:tc>
          <w:tcPr>
            <w:tcW w:w="1890" w:type="dxa"/>
          </w:tcPr>
          <w:p w:rsidR="008E20EA" w:rsidRPr="001257BF" w:rsidRDefault="008E20EA" w:rsidP="00D72FCC">
            <w:r>
              <w:t>RMP</w:t>
            </w:r>
          </w:p>
        </w:tc>
        <w:tc>
          <w:tcPr>
            <w:tcW w:w="6830" w:type="dxa"/>
          </w:tcPr>
          <w:p w:rsidR="008E20EA" w:rsidRPr="001257BF" w:rsidRDefault="008E20EA" w:rsidP="00D72FCC">
            <w:r>
              <w:t>Risk management plan</w:t>
            </w:r>
          </w:p>
        </w:tc>
      </w:tr>
      <w:tr w:rsidR="009F1696" w:rsidRPr="00FD119B" w:rsidTr="00D72FCC">
        <w:tc>
          <w:tcPr>
            <w:tcW w:w="1890" w:type="dxa"/>
          </w:tcPr>
          <w:p w:rsidR="009F1696" w:rsidRPr="001257BF" w:rsidRDefault="009F1696" w:rsidP="00D72FCC">
            <w:r w:rsidRPr="001257BF">
              <w:t>SAA</w:t>
            </w:r>
          </w:p>
        </w:tc>
        <w:tc>
          <w:tcPr>
            <w:tcW w:w="6830" w:type="dxa"/>
          </w:tcPr>
          <w:p w:rsidR="009F1696" w:rsidRPr="001257BF" w:rsidRDefault="009F1696" w:rsidP="00D72FCC">
            <w:r w:rsidRPr="001257BF">
              <w:t>Serum amyloid A</w:t>
            </w:r>
          </w:p>
        </w:tc>
      </w:tr>
      <w:tr w:rsidR="009F1696" w:rsidRPr="00FD119B" w:rsidTr="00D72FCC">
        <w:tc>
          <w:tcPr>
            <w:tcW w:w="1890" w:type="dxa"/>
          </w:tcPr>
          <w:p w:rsidR="009F1696" w:rsidRPr="001257BF" w:rsidRDefault="009F1696" w:rsidP="00D72FCC">
            <w:r w:rsidRPr="001257BF">
              <w:t>SAE</w:t>
            </w:r>
          </w:p>
        </w:tc>
        <w:tc>
          <w:tcPr>
            <w:tcW w:w="6830" w:type="dxa"/>
          </w:tcPr>
          <w:p w:rsidR="009F1696" w:rsidRPr="001257BF" w:rsidRDefault="009F1696" w:rsidP="00D72FCC">
            <w:r w:rsidRPr="001257BF">
              <w:t>Serious adverse event</w:t>
            </w:r>
          </w:p>
        </w:tc>
      </w:tr>
      <w:tr w:rsidR="009F1696" w:rsidRPr="00FD119B" w:rsidTr="00D72FCC">
        <w:tc>
          <w:tcPr>
            <w:tcW w:w="1890" w:type="dxa"/>
          </w:tcPr>
          <w:p w:rsidR="009F1696" w:rsidRPr="001257BF" w:rsidRDefault="009F1696" w:rsidP="00D72FCC">
            <w:r w:rsidRPr="001257BF">
              <w:t>SC</w:t>
            </w:r>
          </w:p>
        </w:tc>
        <w:tc>
          <w:tcPr>
            <w:tcW w:w="6830" w:type="dxa"/>
          </w:tcPr>
          <w:p w:rsidR="009F1696" w:rsidRPr="001257BF" w:rsidRDefault="009F1696" w:rsidP="00D72FCC">
            <w:r w:rsidRPr="001257BF">
              <w:t>Subcutaneous</w:t>
            </w:r>
          </w:p>
        </w:tc>
      </w:tr>
      <w:tr w:rsidR="009F1696" w:rsidRPr="00FD119B" w:rsidTr="00D72FCC">
        <w:tc>
          <w:tcPr>
            <w:tcW w:w="1890" w:type="dxa"/>
          </w:tcPr>
          <w:p w:rsidR="009F1696" w:rsidRPr="001257BF" w:rsidRDefault="009F1696" w:rsidP="00D72FCC">
            <w:r w:rsidRPr="001257BF">
              <w:t>SJIA</w:t>
            </w:r>
          </w:p>
        </w:tc>
        <w:tc>
          <w:tcPr>
            <w:tcW w:w="6830" w:type="dxa"/>
          </w:tcPr>
          <w:p w:rsidR="009F1696" w:rsidRPr="001257BF" w:rsidRDefault="009F1696" w:rsidP="00D72FCC">
            <w:r w:rsidRPr="001257BF">
              <w:t>Systemic-onset juvenile idiopathic arthritis</w:t>
            </w:r>
          </w:p>
        </w:tc>
      </w:tr>
      <w:tr w:rsidR="009F1696" w:rsidRPr="00FD119B" w:rsidTr="00D72FCC">
        <w:tc>
          <w:tcPr>
            <w:tcW w:w="1890" w:type="dxa"/>
          </w:tcPr>
          <w:p w:rsidR="009F1696" w:rsidRPr="001257BF" w:rsidRDefault="009F1696" w:rsidP="00D72FCC">
            <w:r w:rsidRPr="001257BF">
              <w:t>TNF</w:t>
            </w:r>
          </w:p>
        </w:tc>
        <w:tc>
          <w:tcPr>
            <w:tcW w:w="6830" w:type="dxa"/>
          </w:tcPr>
          <w:p w:rsidR="009F1696" w:rsidRPr="001257BF" w:rsidRDefault="009F1696" w:rsidP="00D72FCC">
            <w:r w:rsidRPr="001257BF">
              <w:t>Tumour necrosis factor</w:t>
            </w:r>
          </w:p>
        </w:tc>
      </w:tr>
    </w:tbl>
    <w:p w:rsidR="00FD119B" w:rsidRDefault="00FD119B" w:rsidP="00FD119B"/>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36300030"/>
      <w:r>
        <w:lastRenderedPageBreak/>
        <w:t>I.</w:t>
      </w:r>
      <w:r w:rsidR="008E7846">
        <w:t xml:space="preserve"> Introduction to product submission</w:t>
      </w:r>
      <w:bookmarkEnd w:id="3"/>
      <w:bookmarkEnd w:id="0"/>
      <w:bookmarkEnd w:id="9"/>
    </w:p>
    <w:p w:rsidR="008E7846" w:rsidRDefault="008E7846" w:rsidP="008E7846">
      <w:pPr>
        <w:pStyle w:val="Heading3"/>
        <w:rPr>
          <w:lang w:eastAsia="en-AU"/>
        </w:rPr>
      </w:pPr>
      <w:bookmarkStart w:id="10" w:name="_Toc247691502"/>
      <w:bookmarkStart w:id="11" w:name="_Toc314842483"/>
      <w:bookmarkStart w:id="12" w:name="_Toc436300031"/>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rsidTr="00D72FCC">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1609DB" w:rsidP="00DB65A9">
            <w:r>
              <w:t>M</w:t>
            </w:r>
            <w:r w:rsidR="008E7846" w:rsidRPr="003D1E62">
              <w:t xml:space="preserve">ajor </w:t>
            </w:r>
            <w:r w:rsidR="001B5C90">
              <w:t>v</w:t>
            </w:r>
            <w:r w:rsidR="008E7846" w:rsidRPr="003D1E62">
              <w:t>ariation (</w:t>
            </w:r>
            <w:r w:rsidR="00DB65A9">
              <w:t>extension of indications</w:t>
            </w:r>
            <w:r w:rsidR="008E7846" w:rsidRPr="003D1E62">
              <w:t>)</w:t>
            </w:r>
          </w:p>
        </w:tc>
      </w:tr>
      <w:tr w:rsidR="008E7846" w:rsidRPr="003D1E62" w:rsidTr="00D72FCC">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DB65A9" w:rsidP="001B5C90">
            <w:r>
              <w:t>Approved</w:t>
            </w:r>
          </w:p>
        </w:tc>
      </w:tr>
      <w:tr w:rsidR="008E7846" w:rsidRPr="003D1E62" w:rsidTr="00D72FCC">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DB65A9" w:rsidP="001B5C90">
            <w:r>
              <w:t>13 March 2015</w:t>
            </w:r>
          </w:p>
        </w:tc>
      </w:tr>
      <w:tr w:rsidR="008E7846" w:rsidRPr="00487162" w:rsidTr="00D72FCC">
        <w:tc>
          <w:tcPr>
            <w:tcW w:w="2907" w:type="dxa"/>
          </w:tcPr>
          <w:p w:rsidR="008E7846" w:rsidRPr="00487162" w:rsidRDefault="00DB65A9" w:rsidP="00E45619">
            <w:pPr>
              <w:rPr>
                <w:i/>
              </w:rPr>
            </w:pPr>
            <w:r>
              <w:rPr>
                <w:i/>
              </w:rPr>
              <w:t>Active ingredient</w:t>
            </w:r>
            <w:r w:rsidR="001B5C90">
              <w:rPr>
                <w:i/>
              </w:rPr>
              <w:t>:</w:t>
            </w:r>
          </w:p>
        </w:tc>
        <w:tc>
          <w:tcPr>
            <w:tcW w:w="6307" w:type="dxa"/>
          </w:tcPr>
          <w:p w:rsidR="008E7846" w:rsidRPr="00487162" w:rsidRDefault="00FE3581" w:rsidP="00E45619">
            <w:proofErr w:type="spellStart"/>
            <w:r>
              <w:t>A</w:t>
            </w:r>
            <w:r w:rsidR="00DB65A9">
              <w:t>nakinra</w:t>
            </w:r>
            <w:proofErr w:type="spellEnd"/>
            <w:r w:rsidR="00DB65A9">
              <w:t xml:space="preserve"> (</w:t>
            </w:r>
            <w:proofErr w:type="spellStart"/>
            <w:r w:rsidR="00DB65A9">
              <w:t>rbe</w:t>
            </w:r>
            <w:proofErr w:type="spellEnd"/>
            <w:r w:rsidR="00DB65A9">
              <w:t>)</w:t>
            </w:r>
          </w:p>
        </w:tc>
      </w:tr>
      <w:tr w:rsidR="008E7846" w:rsidRPr="00487162" w:rsidTr="00D72FCC">
        <w:tc>
          <w:tcPr>
            <w:tcW w:w="2907" w:type="dxa"/>
          </w:tcPr>
          <w:p w:rsidR="008E7846" w:rsidRPr="00487162" w:rsidRDefault="008E7846" w:rsidP="001B5C90">
            <w:pPr>
              <w:rPr>
                <w:i/>
              </w:rPr>
            </w:pPr>
            <w:r w:rsidRPr="00487162">
              <w:rPr>
                <w:i/>
              </w:rPr>
              <w:t>Product</w:t>
            </w:r>
            <w:r w:rsidR="00DB65A9">
              <w:rPr>
                <w:i/>
              </w:rPr>
              <w:t xml:space="preserve"> name</w:t>
            </w:r>
            <w:r w:rsidR="001B5C90">
              <w:rPr>
                <w:i/>
              </w:rPr>
              <w:t>:</w:t>
            </w:r>
          </w:p>
        </w:tc>
        <w:tc>
          <w:tcPr>
            <w:tcW w:w="6307" w:type="dxa"/>
          </w:tcPr>
          <w:p w:rsidR="008E7846" w:rsidRPr="00487162" w:rsidRDefault="00FE3581" w:rsidP="00E45619">
            <w:proofErr w:type="spellStart"/>
            <w:r>
              <w:t>K</w:t>
            </w:r>
            <w:r w:rsidR="00DB65A9">
              <w:t>ineret</w:t>
            </w:r>
            <w:proofErr w:type="spellEnd"/>
          </w:p>
        </w:tc>
      </w:tr>
      <w:tr w:rsidR="008E7846" w:rsidRPr="00487162" w:rsidTr="00D72FCC">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A97936" w:rsidP="00DB65A9">
            <w:pPr>
              <w:spacing w:before="0" w:after="0" w:line="240" w:lineRule="auto"/>
            </w:pPr>
            <w:r>
              <w:t xml:space="preserve">A. </w:t>
            </w:r>
            <w:proofErr w:type="spellStart"/>
            <w:r>
              <w:t>Menarini</w:t>
            </w:r>
            <w:proofErr w:type="spellEnd"/>
            <w:r w:rsidR="00DB65A9">
              <w:t xml:space="preserve"> Australia Pty Ltd</w:t>
            </w:r>
          </w:p>
          <w:p w:rsidR="00DB65A9" w:rsidRDefault="00DB65A9" w:rsidP="00DB65A9">
            <w:pPr>
              <w:spacing w:before="0" w:after="0" w:line="240" w:lineRule="auto"/>
            </w:pPr>
            <w:r>
              <w:t>Level 8, 67 Albert Avenue</w:t>
            </w:r>
          </w:p>
          <w:p w:rsidR="00DB65A9" w:rsidRPr="00487162" w:rsidRDefault="00DB65A9" w:rsidP="00DB65A9">
            <w:pPr>
              <w:spacing w:before="0" w:after="0" w:line="240" w:lineRule="auto"/>
            </w:pPr>
            <w:r>
              <w:t>Chatswood NSW 2067</w:t>
            </w:r>
          </w:p>
        </w:tc>
      </w:tr>
      <w:tr w:rsidR="008E7846" w:rsidRPr="00487162" w:rsidTr="00D72FCC">
        <w:tc>
          <w:tcPr>
            <w:tcW w:w="2907" w:type="dxa"/>
          </w:tcPr>
          <w:p w:rsidR="008E7846" w:rsidRPr="00487162" w:rsidRDefault="005154D7" w:rsidP="00E45619">
            <w:pPr>
              <w:rPr>
                <w:i/>
              </w:rPr>
            </w:pPr>
            <w:r>
              <w:rPr>
                <w:i/>
              </w:rPr>
              <w:t>Dose form</w:t>
            </w:r>
            <w:r w:rsidR="001B5C90">
              <w:rPr>
                <w:i/>
              </w:rPr>
              <w:t>:</w:t>
            </w:r>
          </w:p>
        </w:tc>
        <w:tc>
          <w:tcPr>
            <w:tcW w:w="6307" w:type="dxa"/>
          </w:tcPr>
          <w:p w:rsidR="008E7846" w:rsidRPr="00487162" w:rsidRDefault="005154D7" w:rsidP="00E45619">
            <w:r>
              <w:t>Solution for injection</w:t>
            </w:r>
          </w:p>
        </w:tc>
      </w:tr>
      <w:tr w:rsidR="008E7846" w:rsidRPr="00487162" w:rsidTr="00D72FCC">
        <w:tc>
          <w:tcPr>
            <w:tcW w:w="2907" w:type="dxa"/>
          </w:tcPr>
          <w:p w:rsidR="008E7846" w:rsidRPr="00487162" w:rsidRDefault="005154D7" w:rsidP="00E45619">
            <w:pPr>
              <w:rPr>
                <w:i/>
              </w:rPr>
            </w:pPr>
            <w:r>
              <w:rPr>
                <w:i/>
              </w:rPr>
              <w:t>Strength</w:t>
            </w:r>
            <w:r w:rsidR="008E7846" w:rsidRPr="00487162">
              <w:rPr>
                <w:i/>
              </w:rPr>
              <w:t xml:space="preserve">: </w:t>
            </w:r>
          </w:p>
        </w:tc>
        <w:tc>
          <w:tcPr>
            <w:tcW w:w="6307" w:type="dxa"/>
          </w:tcPr>
          <w:p w:rsidR="008E7846" w:rsidRPr="00487162" w:rsidRDefault="005154D7" w:rsidP="00E45619">
            <w:r>
              <w:t>100 mg/0.67 mL</w:t>
            </w:r>
          </w:p>
        </w:tc>
      </w:tr>
      <w:tr w:rsidR="008E7846" w:rsidRPr="00487162" w:rsidTr="00D72FCC">
        <w:tc>
          <w:tcPr>
            <w:tcW w:w="2907" w:type="dxa"/>
          </w:tcPr>
          <w:p w:rsidR="008E7846" w:rsidRPr="00487162" w:rsidRDefault="005154D7" w:rsidP="00E45619">
            <w:pPr>
              <w:rPr>
                <w:i/>
              </w:rPr>
            </w:pPr>
            <w:r>
              <w:rPr>
                <w:i/>
              </w:rPr>
              <w:t>Container</w:t>
            </w:r>
            <w:r w:rsidR="008E7846" w:rsidRPr="00487162">
              <w:rPr>
                <w:i/>
              </w:rPr>
              <w:t>:</w:t>
            </w:r>
          </w:p>
        </w:tc>
        <w:tc>
          <w:tcPr>
            <w:tcW w:w="6307" w:type="dxa"/>
          </w:tcPr>
          <w:p w:rsidR="008E7846" w:rsidRPr="00487162" w:rsidRDefault="005154D7" w:rsidP="00E45619">
            <w:r>
              <w:t>Prefilled syringe</w:t>
            </w:r>
          </w:p>
        </w:tc>
      </w:tr>
      <w:tr w:rsidR="008E7846" w:rsidRPr="00487162" w:rsidTr="00D72FCC">
        <w:tc>
          <w:tcPr>
            <w:tcW w:w="2907" w:type="dxa"/>
          </w:tcPr>
          <w:p w:rsidR="008E7846" w:rsidRPr="00487162" w:rsidRDefault="005154D7" w:rsidP="00E45619">
            <w:pPr>
              <w:rPr>
                <w:i/>
              </w:rPr>
            </w:pPr>
            <w:r>
              <w:rPr>
                <w:i/>
              </w:rPr>
              <w:t>Pack size</w:t>
            </w:r>
            <w:r w:rsidR="008E7846" w:rsidRPr="00487162">
              <w:rPr>
                <w:i/>
              </w:rPr>
              <w:t>:</w:t>
            </w:r>
          </w:p>
        </w:tc>
        <w:tc>
          <w:tcPr>
            <w:tcW w:w="6307" w:type="dxa"/>
          </w:tcPr>
          <w:p w:rsidR="008E7846" w:rsidRPr="00487162" w:rsidRDefault="005154D7" w:rsidP="00E45619">
            <w:r>
              <w:t>4 x 7 syringes</w:t>
            </w:r>
          </w:p>
        </w:tc>
      </w:tr>
      <w:tr w:rsidR="008E7846" w:rsidRPr="00487162" w:rsidTr="00D72FCC">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A070B2" w:rsidRDefault="00A97936" w:rsidP="00E45619">
            <w:pPr>
              <w:rPr>
                <w:rFonts w:eastAsia="MS Mincho"/>
                <w:i/>
                <w:lang w:eastAsia="ja-JP"/>
              </w:rPr>
            </w:pPr>
            <w:r w:rsidRPr="00A070B2">
              <w:rPr>
                <w:i/>
              </w:rPr>
              <w:t>For the treatment of active Systemic Juvenile Idiopathic Arthritis (SJIA)</w:t>
            </w:r>
            <w:r w:rsidR="00A070B2">
              <w:rPr>
                <w:i/>
              </w:rPr>
              <w:t xml:space="preserve"> in</w:t>
            </w:r>
            <w:r w:rsidR="00A070B2" w:rsidRPr="00A070B2">
              <w:rPr>
                <w:i/>
              </w:rPr>
              <w:t xml:space="preserve"> patients 2 years and above who have failed to respond adequately to non-biological DMARDs</w:t>
            </w:r>
            <w:r w:rsidR="00A070B2">
              <w:rPr>
                <w:i/>
              </w:rPr>
              <w:t>.</w:t>
            </w:r>
          </w:p>
        </w:tc>
      </w:tr>
      <w:tr w:rsidR="008E7846" w:rsidRPr="00487162" w:rsidTr="00D72FCC">
        <w:tc>
          <w:tcPr>
            <w:tcW w:w="2907" w:type="dxa"/>
          </w:tcPr>
          <w:p w:rsidR="008E7846" w:rsidRPr="00487162" w:rsidRDefault="005154D7" w:rsidP="00E45619">
            <w:pPr>
              <w:rPr>
                <w:i/>
              </w:rPr>
            </w:pPr>
            <w:r>
              <w:rPr>
                <w:i/>
              </w:rPr>
              <w:t>Route</w:t>
            </w:r>
            <w:r w:rsidR="008E7846" w:rsidRPr="00487162">
              <w:rPr>
                <w:i/>
              </w:rPr>
              <w:t xml:space="preserve"> of administration:</w:t>
            </w:r>
          </w:p>
        </w:tc>
        <w:tc>
          <w:tcPr>
            <w:tcW w:w="6307" w:type="dxa"/>
          </w:tcPr>
          <w:p w:rsidR="008E7846" w:rsidRPr="00487162" w:rsidRDefault="00FE3581" w:rsidP="00E45619">
            <w:r>
              <w:t>S</w:t>
            </w:r>
            <w:r w:rsidR="005154D7">
              <w:t>ubcutaneous</w:t>
            </w:r>
            <w:r>
              <w:t xml:space="preserve"> (SC)</w:t>
            </w:r>
          </w:p>
        </w:tc>
      </w:tr>
      <w:tr w:rsidR="008E7846" w:rsidRPr="00487162" w:rsidTr="00D72FCC">
        <w:tc>
          <w:tcPr>
            <w:tcW w:w="2907" w:type="dxa"/>
          </w:tcPr>
          <w:p w:rsidR="008E7846" w:rsidRPr="00487162" w:rsidRDefault="008E7846" w:rsidP="00E45619">
            <w:pPr>
              <w:rPr>
                <w:i/>
              </w:rPr>
            </w:pPr>
            <w:r w:rsidRPr="00487162">
              <w:rPr>
                <w:i/>
              </w:rPr>
              <w:t>Dosage:</w:t>
            </w:r>
          </w:p>
        </w:tc>
        <w:tc>
          <w:tcPr>
            <w:tcW w:w="6307" w:type="dxa"/>
          </w:tcPr>
          <w:p w:rsidR="008E7846" w:rsidRPr="00A97936" w:rsidRDefault="00A97936" w:rsidP="00A97936">
            <w:r w:rsidRPr="00A97936">
              <w:t xml:space="preserve">The recommended starting dose is </w:t>
            </w:r>
            <w:r w:rsidR="002429B6">
              <w:t>2 mg</w:t>
            </w:r>
            <w:r w:rsidRPr="00A97936">
              <w:t xml:space="preserve">/kg/day up to </w:t>
            </w:r>
            <w:r w:rsidR="001974C5">
              <w:t>100 mg</w:t>
            </w:r>
            <w:r w:rsidRPr="00A97936">
              <w:t>/day by SC injection. Dose adjustments should be based on clinical outcome and will thus be individual</w:t>
            </w:r>
            <w:r w:rsidR="00B4566A">
              <w:t>is</w:t>
            </w:r>
            <w:r w:rsidRPr="00A97936">
              <w:t>ed based on the response and the severity of the disease. Dose adjustment</w:t>
            </w:r>
            <w:r w:rsidR="007437BE">
              <w:t xml:space="preserve">s are performed in steps of 0.5 to </w:t>
            </w:r>
            <w:r w:rsidRPr="00A97936">
              <w:t xml:space="preserve">1.0mg/kg. Patients with inadequate response may require a maintenance dose of up to </w:t>
            </w:r>
            <w:r w:rsidR="001974C5">
              <w:t>4 mg</w:t>
            </w:r>
            <w:r w:rsidRPr="00A97936">
              <w:t>/kg/day.</w:t>
            </w:r>
          </w:p>
        </w:tc>
      </w:tr>
      <w:tr w:rsidR="008E7846" w:rsidRPr="00487162" w:rsidTr="00D72FCC">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rsidR="008E7846" w:rsidRPr="00487162" w:rsidRDefault="00A97936" w:rsidP="00E45619">
            <w:r>
              <w:t>82872</w:t>
            </w:r>
          </w:p>
        </w:tc>
      </w:tr>
    </w:tbl>
    <w:p w:rsidR="008E7846" w:rsidRDefault="008E7846" w:rsidP="008E7846">
      <w:pPr>
        <w:pStyle w:val="Heading3"/>
      </w:pPr>
      <w:bookmarkStart w:id="13" w:name="_Toc247691503"/>
      <w:bookmarkStart w:id="14" w:name="_Toc314842484"/>
      <w:bookmarkStart w:id="15" w:name="_Toc436300032"/>
      <w:r>
        <w:t>Product background</w:t>
      </w:r>
      <w:bookmarkEnd w:id="13"/>
      <w:bookmarkEnd w:id="14"/>
      <w:bookmarkEnd w:id="15"/>
    </w:p>
    <w:p w:rsidR="00A97936" w:rsidRDefault="00940A89" w:rsidP="00940A89">
      <w:r w:rsidRPr="00940A89">
        <w:t xml:space="preserve">This </w:t>
      </w:r>
      <w:proofErr w:type="spellStart"/>
      <w:r w:rsidRPr="00940A89">
        <w:t>AusPAR</w:t>
      </w:r>
      <w:proofErr w:type="spellEnd"/>
      <w:r w:rsidRPr="00940A89">
        <w:t xml:space="preserve"> describes the application by </w:t>
      </w:r>
      <w:r w:rsidR="00A97936" w:rsidRPr="00A97936">
        <w:t xml:space="preserve">A. </w:t>
      </w:r>
      <w:proofErr w:type="spellStart"/>
      <w:r w:rsidR="00A97936" w:rsidRPr="00A97936">
        <w:t>Menarini</w:t>
      </w:r>
      <w:proofErr w:type="spellEnd"/>
      <w:r w:rsidR="00A97936" w:rsidRPr="00A97936">
        <w:t xml:space="preserve"> Australia Pty Ltd</w:t>
      </w:r>
      <w:r w:rsidR="00A97936">
        <w:t xml:space="preserve"> (</w:t>
      </w:r>
      <w:r w:rsidRPr="00940A89">
        <w:t>the sponsor</w:t>
      </w:r>
      <w:r w:rsidR="00A97936">
        <w:t>)</w:t>
      </w:r>
      <w:r w:rsidRPr="00940A89">
        <w:t xml:space="preserve"> to </w:t>
      </w:r>
      <w:r w:rsidR="00FE3581">
        <w:t xml:space="preserve">extend the indication for </w:t>
      </w:r>
      <w:proofErr w:type="spellStart"/>
      <w:r w:rsidR="00A97936" w:rsidRPr="00A97936">
        <w:t>kineret</w:t>
      </w:r>
      <w:proofErr w:type="spellEnd"/>
      <w:r w:rsidR="007437BE">
        <w:t xml:space="preserve"> </w:t>
      </w:r>
      <w:r w:rsidR="00FE3581">
        <w:t>to include</w:t>
      </w:r>
      <w:r w:rsidR="007437BE">
        <w:t xml:space="preserve"> the following indication;</w:t>
      </w:r>
    </w:p>
    <w:p w:rsidR="00C358C8" w:rsidRDefault="005A19A5" w:rsidP="00FE3581">
      <w:pPr>
        <w:spacing w:line="240" w:lineRule="auto"/>
        <w:ind w:left="720"/>
        <w:jc w:val="both"/>
        <w:rPr>
          <w:i/>
        </w:rPr>
      </w:pPr>
      <w:bookmarkStart w:id="16" w:name="_Toc314842485"/>
      <w:bookmarkStart w:id="17" w:name="_Toc247691504"/>
      <w:proofErr w:type="gramStart"/>
      <w:r w:rsidRPr="005A19A5">
        <w:rPr>
          <w:i/>
        </w:rPr>
        <w:t>For the treatment of active Systemic Juvenile Idiopathic Arthritis (SJIA).</w:t>
      </w:r>
      <w:proofErr w:type="gramEnd"/>
      <w:r w:rsidRPr="005A19A5">
        <w:rPr>
          <w:i/>
        </w:rPr>
        <w:t xml:space="preserve"> </w:t>
      </w:r>
      <w:proofErr w:type="spellStart"/>
      <w:r w:rsidRPr="005A19A5">
        <w:rPr>
          <w:i/>
        </w:rPr>
        <w:t>Anakinra</w:t>
      </w:r>
      <w:proofErr w:type="spellEnd"/>
      <w:r w:rsidRPr="005A19A5">
        <w:rPr>
          <w:i/>
        </w:rPr>
        <w:t xml:space="preserve"> may be used alone or in combination with DMARDs’.</w:t>
      </w:r>
    </w:p>
    <w:p w:rsidR="00FE3581" w:rsidRPr="00FE3581" w:rsidRDefault="00FE3581" w:rsidP="00FE3581">
      <w:pPr>
        <w:spacing w:line="240" w:lineRule="auto"/>
        <w:jc w:val="both"/>
      </w:pPr>
      <w:r w:rsidRPr="00FE3581">
        <w:t>During the process of the evaluation of this submission the proposed indication was modified to:</w:t>
      </w:r>
    </w:p>
    <w:p w:rsidR="00FE3581" w:rsidRPr="00FE3581" w:rsidRDefault="00FE3581" w:rsidP="004652DB">
      <w:pPr>
        <w:spacing w:line="240" w:lineRule="auto"/>
        <w:ind w:left="720"/>
        <w:jc w:val="both"/>
      </w:pPr>
      <w:proofErr w:type="gramStart"/>
      <w:r w:rsidRPr="00FE3581">
        <w:rPr>
          <w:i/>
        </w:rPr>
        <w:t>‘For the treatment of active Systemic Juvenile Idiopathic Arthritis (SJIA) in patients 2 years and above who have failed to respond adequately to non-biological DMARDs.’</w:t>
      </w:r>
      <w:proofErr w:type="gramEnd"/>
    </w:p>
    <w:p w:rsidR="00FE3581" w:rsidRPr="004E24D7" w:rsidRDefault="00FE3581" w:rsidP="008831B9">
      <w:r w:rsidRPr="00FE3581">
        <w:t xml:space="preserve">The initial proposal for dosing regimen recommended a ‘starting dose of 1 to 2 mg/kg’. </w:t>
      </w:r>
      <w:r>
        <w:t>Th</w:t>
      </w:r>
      <w:r w:rsidR="000F3D5E">
        <w:t>is</w:t>
      </w:r>
      <w:r>
        <w:t xml:space="preserve"> proposal was modified during the course of the evaluation to </w:t>
      </w:r>
      <w:r w:rsidR="004E24D7">
        <w:t>‘</w:t>
      </w:r>
      <w:r w:rsidR="004E24D7" w:rsidRPr="004E24D7">
        <w:t xml:space="preserve">2 mg/kg/day up to a </w:t>
      </w:r>
      <w:r w:rsidR="004E24D7" w:rsidRPr="004E24D7">
        <w:lastRenderedPageBreak/>
        <w:t xml:space="preserve">maximum of 100 mg/day by SC injection. Treatment should be undertaken by physicians experienced in the treatment of SJIA. Decisions should be guided by clinical outcomes including laboratory measures. The treating physician should consider whether patients without clinical improvement should continue treatment with </w:t>
      </w:r>
      <w:proofErr w:type="spellStart"/>
      <w:r w:rsidR="004E24D7" w:rsidRPr="004E24D7">
        <w:t>anakinra</w:t>
      </w:r>
      <w:proofErr w:type="spellEnd"/>
      <w:r w:rsidR="004E24D7">
        <w:t>’</w:t>
      </w:r>
      <w:r w:rsidR="004E24D7" w:rsidRPr="004E24D7">
        <w:t>.</w:t>
      </w:r>
    </w:p>
    <w:p w:rsidR="009435DF" w:rsidRDefault="009435DF" w:rsidP="008831B9">
      <w:pPr>
        <w:rPr>
          <w:noProof/>
          <w:lang w:eastAsia="en-AU"/>
        </w:rPr>
      </w:pPr>
      <w:r w:rsidRPr="009435DF">
        <w:rPr>
          <w:noProof/>
          <w:lang w:eastAsia="en-AU"/>
        </w:rPr>
        <w:t>Juvenile idiopathic arthritis (JIA) is a term that encompasses all forms of arthritis that begin before a patient is aged 16 years that persist for more than 6 weeks and are of unknown origin.</w:t>
      </w:r>
      <w:bookmarkStart w:id="18" w:name="_Ref430773619"/>
      <w:r w:rsidRPr="009435DF">
        <w:rPr>
          <w:noProof/>
          <w:vertAlign w:val="superscript"/>
          <w:lang w:eastAsia="en-AU"/>
        </w:rPr>
        <w:footnoteReference w:id="1"/>
      </w:r>
      <w:bookmarkEnd w:id="18"/>
      <w:r w:rsidRPr="009435DF">
        <w:rPr>
          <w:noProof/>
          <w:lang w:eastAsia="en-AU"/>
        </w:rPr>
        <w:t xml:space="preserve"> Systemic juvenile idiopathic arthritis (SJIA) is a subgroup characterised by prominent systemic features, such as fever, rash, and se</w:t>
      </w:r>
      <w:r>
        <w:rPr>
          <w:noProof/>
          <w:lang w:eastAsia="en-AU"/>
        </w:rPr>
        <w:t xml:space="preserve">rositis. </w:t>
      </w:r>
      <w:r w:rsidRPr="009435DF">
        <w:rPr>
          <w:noProof/>
          <w:lang w:eastAsia="en-AU"/>
        </w:rPr>
        <w:t>The peak onset of SJIA, is between the ages of 18 months and 2 years, but the condition commonly persists as a chronic rheumatic condition.</w:t>
      </w:r>
    </w:p>
    <w:p w:rsidR="004652DB" w:rsidRDefault="004652DB" w:rsidP="008831B9">
      <w:pPr>
        <w:rPr>
          <w:noProof/>
          <w:lang w:eastAsia="en-AU"/>
        </w:rPr>
      </w:pPr>
      <w:r w:rsidRPr="004652DB">
        <w:rPr>
          <w:noProof/>
          <w:lang w:eastAsia="en-AU"/>
        </w:rPr>
        <w:t>In Australia, two biological agents are currently approved in SJIA. These are tocilizumab (IL-6 Ra; administered IV once every 2 weeks; used alone or in combination with methtrexate) and canakinumab (IL-1β Ra; administered SC once every 4 weeks).</w:t>
      </w:r>
    </w:p>
    <w:p w:rsidR="00FE3581" w:rsidRPr="009435DF" w:rsidRDefault="00FE3581" w:rsidP="008831B9">
      <w:pPr>
        <w:rPr>
          <w:noProof/>
          <w:lang w:eastAsia="en-AU"/>
        </w:rPr>
      </w:pPr>
      <w:r w:rsidRPr="00FE3581">
        <w:rPr>
          <w:noProof/>
          <w:lang w:eastAsia="en-AU"/>
        </w:rPr>
        <w:t xml:space="preserve">Anakinra is a recombinant human Interleukin-1 receptor antagonist (IL-1Ra) produced in Esherichia coli. It is currently approved for use in RA and Cryopyrin </w:t>
      </w:r>
      <w:r w:rsidR="000F3D5E">
        <w:rPr>
          <w:noProof/>
          <w:lang w:eastAsia="en-AU"/>
        </w:rPr>
        <w:t>A</w:t>
      </w:r>
      <w:r w:rsidRPr="00FE3581">
        <w:rPr>
          <w:noProof/>
          <w:lang w:eastAsia="en-AU"/>
        </w:rPr>
        <w:t xml:space="preserve">ssociated </w:t>
      </w:r>
      <w:r w:rsidR="000F3D5E">
        <w:rPr>
          <w:noProof/>
          <w:lang w:eastAsia="en-AU"/>
        </w:rPr>
        <w:t>P</w:t>
      </w:r>
      <w:r w:rsidRPr="00FE3581">
        <w:rPr>
          <w:noProof/>
          <w:lang w:eastAsia="en-AU"/>
        </w:rPr>
        <w:t xml:space="preserve">eriodic </w:t>
      </w:r>
      <w:r w:rsidR="000F3D5E">
        <w:rPr>
          <w:noProof/>
          <w:lang w:eastAsia="en-AU"/>
        </w:rPr>
        <w:t>S</w:t>
      </w:r>
      <w:r w:rsidRPr="00FE3581">
        <w:rPr>
          <w:noProof/>
          <w:lang w:eastAsia="en-AU"/>
        </w:rPr>
        <w:t>yndromes (CAPS). The CAPS indication was recently approved and was not referred to the Advisory Committee for Prescription Medicines (ACPM) for advice.</w:t>
      </w:r>
    </w:p>
    <w:p w:rsidR="009435DF" w:rsidRPr="009435DF" w:rsidRDefault="00FE3581" w:rsidP="008831B9">
      <w:r w:rsidRPr="00FE3581">
        <w:t>Interleukin-1</w:t>
      </w:r>
      <w:r>
        <w:t xml:space="preserve"> (</w:t>
      </w:r>
      <w:r w:rsidR="009435DF" w:rsidRPr="009435DF">
        <w:t>IL-1</w:t>
      </w:r>
      <w:r>
        <w:t>)</w:t>
      </w:r>
      <w:r w:rsidR="009435DF" w:rsidRPr="009435DF">
        <w:t xml:space="preserve"> production is induced in response to inflammatory stimuli and mediates various physiological responses including inflammatory and immunological responses. IL-1 has a broad range of activities including cartilage degradation by its induction of the rapid loss of proteoglycans as well as stimulation of bone resorption. The levels of the naturally occurring </w:t>
      </w:r>
      <w:r w:rsidRPr="00FE3581">
        <w:t xml:space="preserve">Interleukin-1 receptor antagonist </w:t>
      </w:r>
      <w:r>
        <w:t>(</w:t>
      </w:r>
      <w:r w:rsidR="009435DF" w:rsidRPr="009435DF">
        <w:t>IL-1Ra</w:t>
      </w:r>
      <w:r>
        <w:t>)</w:t>
      </w:r>
      <w:r w:rsidR="004E24D7">
        <w:t xml:space="preserve"> in </w:t>
      </w:r>
      <w:proofErr w:type="spellStart"/>
      <w:r w:rsidR="009435DF" w:rsidRPr="009435DF">
        <w:t>synovium</w:t>
      </w:r>
      <w:proofErr w:type="spellEnd"/>
      <w:r w:rsidR="009435DF" w:rsidRPr="009435DF">
        <w:t xml:space="preserve"> and synovial fluid from rheumatoid arthritis (RA) patients are not sufficient to compete </w:t>
      </w:r>
      <w:proofErr w:type="gramStart"/>
      <w:r w:rsidR="009435DF" w:rsidRPr="009435DF">
        <w:t>with</w:t>
      </w:r>
      <w:proofErr w:type="gramEnd"/>
      <w:r w:rsidR="009435DF" w:rsidRPr="009435DF">
        <w:t xml:space="preserve"> the elevated amount of locally produced IL-1.</w:t>
      </w:r>
    </w:p>
    <w:p w:rsidR="00C358C8" w:rsidRDefault="00C358C8" w:rsidP="008831B9">
      <w:pPr>
        <w:rPr>
          <w:noProof/>
          <w:lang w:eastAsia="en-AU"/>
        </w:rPr>
      </w:pPr>
      <w:r>
        <w:rPr>
          <w:noProof/>
          <w:lang w:eastAsia="en-AU"/>
        </w:rPr>
        <w:t xml:space="preserve">A </w:t>
      </w:r>
      <w:r w:rsidR="00FE3581">
        <w:rPr>
          <w:noProof/>
          <w:lang w:eastAsia="en-AU"/>
        </w:rPr>
        <w:t>nonclincial</w:t>
      </w:r>
      <w:r>
        <w:rPr>
          <w:noProof/>
          <w:lang w:eastAsia="en-AU"/>
        </w:rPr>
        <w:t xml:space="preserve"> dossier was not required, given earlier approval of a similar agent (IL-1β blocker canakinumab), recent approval of anakinra in CAPS and potential limitations of </w:t>
      </w:r>
      <w:r w:rsidR="00FE3581">
        <w:rPr>
          <w:noProof/>
          <w:lang w:eastAsia="en-AU"/>
        </w:rPr>
        <w:t>nonclinical</w:t>
      </w:r>
      <w:r>
        <w:rPr>
          <w:noProof/>
          <w:lang w:eastAsia="en-AU"/>
        </w:rPr>
        <w:t xml:space="preserve"> data for a biologicial agent.</w:t>
      </w:r>
    </w:p>
    <w:p w:rsidR="00C358C8" w:rsidRDefault="00C358C8" w:rsidP="008831B9">
      <w:pPr>
        <w:rPr>
          <w:noProof/>
          <w:lang w:eastAsia="en-AU"/>
        </w:rPr>
      </w:pPr>
      <w:r>
        <w:rPr>
          <w:noProof/>
          <w:lang w:eastAsia="en-AU"/>
        </w:rPr>
        <w:t>There are no changes to the pr</w:t>
      </w:r>
      <w:r w:rsidR="004E24D7">
        <w:rPr>
          <w:noProof/>
          <w:lang w:eastAsia="en-AU"/>
        </w:rPr>
        <w:t>oduct manufacture/formulation</w:t>
      </w:r>
      <w:r w:rsidR="000F3D5E">
        <w:rPr>
          <w:noProof/>
          <w:lang w:eastAsia="en-AU"/>
        </w:rPr>
        <w:t>,</w:t>
      </w:r>
      <w:r w:rsidR="004E24D7">
        <w:rPr>
          <w:noProof/>
          <w:lang w:eastAsia="en-AU"/>
        </w:rPr>
        <w:t xml:space="preserve"> t</w:t>
      </w:r>
      <w:r>
        <w:rPr>
          <w:noProof/>
          <w:lang w:eastAsia="en-AU"/>
        </w:rPr>
        <w:t xml:space="preserve">hus </w:t>
      </w:r>
      <w:r w:rsidR="004652DB">
        <w:rPr>
          <w:noProof/>
          <w:lang w:eastAsia="en-AU"/>
        </w:rPr>
        <w:t>a quality dossier</w:t>
      </w:r>
      <w:r>
        <w:rPr>
          <w:noProof/>
          <w:lang w:eastAsia="en-AU"/>
        </w:rPr>
        <w:t xml:space="preserve"> was also not required. The submission is su</w:t>
      </w:r>
      <w:r w:rsidR="004652DB">
        <w:rPr>
          <w:noProof/>
          <w:lang w:eastAsia="en-AU"/>
        </w:rPr>
        <w:t>pported by clinical data only and include</w:t>
      </w:r>
      <w:r w:rsidR="000F3D5E">
        <w:rPr>
          <w:noProof/>
          <w:lang w:eastAsia="en-AU"/>
        </w:rPr>
        <w:t>s</w:t>
      </w:r>
      <w:r w:rsidR="004652DB">
        <w:rPr>
          <w:noProof/>
          <w:lang w:eastAsia="en-AU"/>
        </w:rPr>
        <w:t xml:space="preserve"> </w:t>
      </w:r>
      <w:r>
        <w:rPr>
          <w:noProof/>
          <w:lang w:eastAsia="en-AU"/>
        </w:rPr>
        <w:t xml:space="preserve">mainly literature based </w:t>
      </w:r>
      <w:r w:rsidR="004652DB">
        <w:rPr>
          <w:noProof/>
          <w:lang w:eastAsia="en-AU"/>
        </w:rPr>
        <w:t xml:space="preserve">evidence </w:t>
      </w:r>
      <w:r>
        <w:rPr>
          <w:noProof/>
          <w:lang w:eastAsia="en-AU"/>
        </w:rPr>
        <w:t xml:space="preserve">with </w:t>
      </w:r>
      <w:r w:rsidR="000F3D5E">
        <w:rPr>
          <w:noProof/>
          <w:lang w:eastAsia="en-AU"/>
        </w:rPr>
        <w:t xml:space="preserve">an </w:t>
      </w:r>
      <w:r>
        <w:rPr>
          <w:noProof/>
          <w:lang w:eastAsia="en-AU"/>
        </w:rPr>
        <w:t xml:space="preserve">accompanying </w:t>
      </w:r>
      <w:r w:rsidR="004652DB">
        <w:rPr>
          <w:noProof/>
          <w:lang w:eastAsia="en-AU"/>
        </w:rPr>
        <w:t>r</w:t>
      </w:r>
      <w:r w:rsidR="004652DB" w:rsidRPr="004652DB">
        <w:rPr>
          <w:noProof/>
          <w:lang w:eastAsia="en-AU"/>
        </w:rPr>
        <w:t xml:space="preserve">isk management plan </w:t>
      </w:r>
      <w:r w:rsidR="004652DB">
        <w:rPr>
          <w:noProof/>
          <w:lang w:eastAsia="en-AU"/>
        </w:rPr>
        <w:t>(</w:t>
      </w:r>
      <w:r>
        <w:rPr>
          <w:noProof/>
          <w:lang w:eastAsia="en-AU"/>
        </w:rPr>
        <w:t>RMP</w:t>
      </w:r>
      <w:r w:rsidR="004652DB">
        <w:rPr>
          <w:noProof/>
          <w:lang w:eastAsia="en-AU"/>
        </w:rPr>
        <w:t>)</w:t>
      </w:r>
      <w:r>
        <w:rPr>
          <w:noProof/>
          <w:lang w:eastAsia="en-AU"/>
        </w:rPr>
        <w:t>.</w:t>
      </w:r>
    </w:p>
    <w:p w:rsidR="007437BE" w:rsidRPr="007437BE" w:rsidRDefault="007437BE" w:rsidP="008831B9">
      <w:pPr>
        <w:rPr>
          <w:noProof/>
          <w:lang w:eastAsia="en-AU"/>
        </w:rPr>
      </w:pPr>
      <w:r w:rsidRPr="007437BE">
        <w:rPr>
          <w:noProof/>
          <w:lang w:eastAsia="en-AU"/>
        </w:rPr>
        <w:t>According to the sponsor’s letter of application, the submission</w:t>
      </w:r>
      <w:r>
        <w:rPr>
          <w:noProof/>
          <w:lang w:eastAsia="en-AU"/>
        </w:rPr>
        <w:t xml:space="preserve"> in Australia was prompted by </w:t>
      </w:r>
      <w:r w:rsidRPr="007437BE">
        <w:rPr>
          <w:noProof/>
          <w:lang w:eastAsia="en-AU"/>
        </w:rPr>
        <w:t>a request from the Chair of the Paediatric Medicines Advisory Group (PMAG) in Australia.</w:t>
      </w:r>
    </w:p>
    <w:p w:rsidR="008E7846" w:rsidRPr="003F31A2" w:rsidRDefault="00386150" w:rsidP="008E7846">
      <w:pPr>
        <w:pStyle w:val="Heading3"/>
      </w:pPr>
      <w:bookmarkStart w:id="19" w:name="_Toc436300033"/>
      <w:r>
        <w:t>Regulatory s</w:t>
      </w:r>
      <w:r w:rsidR="008E7846">
        <w:t>tatus</w:t>
      </w:r>
      <w:bookmarkEnd w:id="16"/>
      <w:bookmarkEnd w:id="17"/>
      <w:bookmarkEnd w:id="19"/>
    </w:p>
    <w:p w:rsidR="009F1696" w:rsidRPr="009B3838" w:rsidRDefault="00940A89" w:rsidP="008831B9">
      <w:bookmarkStart w:id="20" w:name="_Toc247691505"/>
      <w:bookmarkStart w:id="21" w:name="_Toc314842486"/>
      <w:r w:rsidRPr="009B3838">
        <w:t>The product received initial registration on the Australian Register</w:t>
      </w:r>
      <w:r w:rsidR="009F1696" w:rsidRPr="009B3838">
        <w:t xml:space="preserve"> of Therapeut</w:t>
      </w:r>
      <w:r w:rsidR="00A54C1D">
        <w:t>ic Goods (ARTG) on 17 June 2003.</w:t>
      </w:r>
    </w:p>
    <w:p w:rsidR="009B3838" w:rsidRPr="009B3838" w:rsidRDefault="009B3838" w:rsidP="009B3838">
      <w:r w:rsidRPr="009B3838">
        <w:t xml:space="preserve">The approved indication </w:t>
      </w:r>
      <w:r w:rsidR="007F7894">
        <w:t>at the time of the submission wa</w:t>
      </w:r>
      <w:r w:rsidRPr="009B3838">
        <w:t>s:</w:t>
      </w:r>
    </w:p>
    <w:p w:rsidR="009B3838" w:rsidRDefault="009B3838" w:rsidP="009B3838">
      <w:pPr>
        <w:ind w:left="720"/>
        <w:rPr>
          <w:i/>
        </w:rPr>
      </w:pPr>
      <w:proofErr w:type="spellStart"/>
      <w:r w:rsidRPr="009B3838">
        <w:rPr>
          <w:i/>
        </w:rPr>
        <w:t>Kineret</w:t>
      </w:r>
      <w:proofErr w:type="spellEnd"/>
      <w:r w:rsidRPr="009B3838">
        <w:rPr>
          <w:i/>
        </w:rPr>
        <w:t xml:space="preserve"> (</w:t>
      </w:r>
      <w:proofErr w:type="spellStart"/>
      <w:r w:rsidRPr="009B3838">
        <w:rPr>
          <w:i/>
        </w:rPr>
        <w:t>anakinra</w:t>
      </w:r>
      <w:proofErr w:type="spellEnd"/>
      <w:r w:rsidRPr="009B3838">
        <w:rPr>
          <w:i/>
        </w:rPr>
        <w:t xml:space="preserve">) is indicated for the treatment of active adult rheumatoid arthritis (RA) in patients who have had inadequate response to one or more other Disease Modifying Anti Rheumatic Drugs (DMARDs). </w:t>
      </w:r>
      <w:proofErr w:type="spellStart"/>
      <w:r w:rsidRPr="009B3838">
        <w:rPr>
          <w:i/>
        </w:rPr>
        <w:t>Kineret</w:t>
      </w:r>
      <w:proofErr w:type="spellEnd"/>
      <w:r w:rsidRPr="009B3838">
        <w:rPr>
          <w:i/>
        </w:rPr>
        <w:t xml:space="preserve"> should be given in combination with methot</w:t>
      </w:r>
      <w:r w:rsidR="009435DF">
        <w:rPr>
          <w:i/>
        </w:rPr>
        <w:t>rexate.</w:t>
      </w:r>
    </w:p>
    <w:p w:rsidR="00903F7A" w:rsidRDefault="007F7894" w:rsidP="008831B9">
      <w:r>
        <w:t>During the time</w:t>
      </w:r>
      <w:r w:rsidR="00D2695E">
        <w:t xml:space="preserve"> </w:t>
      </w:r>
      <w:r w:rsidR="00903F7A" w:rsidRPr="00EA1957">
        <w:t>of</w:t>
      </w:r>
      <w:r w:rsidR="00D2695E">
        <w:t xml:space="preserve"> </w:t>
      </w:r>
      <w:r>
        <w:t>this submission</w:t>
      </w:r>
      <w:r w:rsidR="00DF393C">
        <w:t>,</w:t>
      </w:r>
      <w:r>
        <w:t xml:space="preserve"> an additional indication was approved (on 9 September 2014) for:</w:t>
      </w:r>
    </w:p>
    <w:p w:rsidR="00C52202" w:rsidRPr="00EA1957" w:rsidRDefault="00903F7A" w:rsidP="00C52202">
      <w:pPr>
        <w:ind w:left="720"/>
        <w:rPr>
          <w:i/>
        </w:rPr>
      </w:pPr>
      <w:proofErr w:type="spellStart"/>
      <w:r w:rsidRPr="00EA1957">
        <w:rPr>
          <w:i/>
        </w:rPr>
        <w:t>Kinaret</w:t>
      </w:r>
      <w:proofErr w:type="spellEnd"/>
      <w:r w:rsidRPr="00EA1957">
        <w:rPr>
          <w:i/>
        </w:rPr>
        <w:t xml:space="preserve"> (</w:t>
      </w:r>
      <w:proofErr w:type="spellStart"/>
      <w:r w:rsidRPr="00EA1957">
        <w:rPr>
          <w:i/>
        </w:rPr>
        <w:t>anakinra</w:t>
      </w:r>
      <w:proofErr w:type="spellEnd"/>
      <w:r w:rsidRPr="00EA1957">
        <w:rPr>
          <w:i/>
        </w:rPr>
        <w:t xml:space="preserve">) is indicated in adult and paediatric patients aged 8 months and older with a body weight of 10 kg or above for the treatment of </w:t>
      </w:r>
      <w:proofErr w:type="spellStart"/>
      <w:r w:rsidRPr="00EA1957">
        <w:rPr>
          <w:i/>
        </w:rPr>
        <w:t>Cryopyrin</w:t>
      </w:r>
      <w:proofErr w:type="spellEnd"/>
      <w:r w:rsidRPr="00EA1957">
        <w:rPr>
          <w:i/>
        </w:rPr>
        <w:t xml:space="preserve">-Associated </w:t>
      </w:r>
      <w:proofErr w:type="gramStart"/>
      <w:r w:rsidRPr="00EA1957">
        <w:rPr>
          <w:i/>
        </w:rPr>
        <w:lastRenderedPageBreak/>
        <w:t xml:space="preserve">Periodic Syndromes (CAPS) including Neonatal-Onset Multisystem Inflammatory Disease (NOMID) I Chronic Infantile Neurological, Cutaneous, Articular Syndrome ICINCA), </w:t>
      </w:r>
      <w:proofErr w:type="spellStart"/>
      <w:r w:rsidRPr="00EA1957">
        <w:rPr>
          <w:i/>
        </w:rPr>
        <w:t>Muckle</w:t>
      </w:r>
      <w:proofErr w:type="spellEnd"/>
      <w:r w:rsidRPr="00EA1957">
        <w:rPr>
          <w:i/>
        </w:rPr>
        <w:t xml:space="preserve">-Wells Syndrome (MWS), and Familial Cold </w:t>
      </w:r>
      <w:proofErr w:type="spellStart"/>
      <w:r w:rsidRPr="00EA1957">
        <w:rPr>
          <w:i/>
        </w:rPr>
        <w:t>Autoinfiammatory</w:t>
      </w:r>
      <w:proofErr w:type="spellEnd"/>
      <w:r w:rsidRPr="00EA1957">
        <w:rPr>
          <w:i/>
        </w:rPr>
        <w:t xml:space="preserve"> Syndrome (FCAS).</w:t>
      </w:r>
      <w:proofErr w:type="gramEnd"/>
    </w:p>
    <w:p w:rsidR="00C358C8" w:rsidRPr="00C358C8" w:rsidRDefault="00C358C8" w:rsidP="00304F66">
      <w:pPr>
        <w:pStyle w:val="Heading3"/>
      </w:pPr>
      <w:bookmarkStart w:id="22" w:name="_Toc436300034"/>
      <w:r w:rsidRPr="004E24D7">
        <w:t>Overseas</w:t>
      </w:r>
      <w:r w:rsidRPr="00C358C8">
        <w:t xml:space="preserve"> approval status</w:t>
      </w:r>
      <w:bookmarkEnd w:id="22"/>
    </w:p>
    <w:p w:rsidR="00C358C8" w:rsidRPr="00C358C8" w:rsidRDefault="00C358C8" w:rsidP="008831B9">
      <w:proofErr w:type="spellStart"/>
      <w:r w:rsidRPr="00C358C8">
        <w:t>Anakinra</w:t>
      </w:r>
      <w:proofErr w:type="spellEnd"/>
      <w:r w:rsidRPr="00C358C8">
        <w:t xml:space="preserve"> is not approved for use in SJIA in the USA, Canada or EU and the</w:t>
      </w:r>
      <w:r w:rsidR="00304F66">
        <w:t xml:space="preserve"> sponsor has confirmed that there is no</w:t>
      </w:r>
      <w:r w:rsidRPr="00C358C8">
        <w:t xml:space="preserve"> intent t</w:t>
      </w:r>
      <w:r w:rsidR="00304F66">
        <w:t xml:space="preserve">o apply </w:t>
      </w:r>
      <w:r w:rsidR="000F3D5E">
        <w:t xml:space="preserve">for approval </w:t>
      </w:r>
      <w:r w:rsidR="00304F66">
        <w:t>in these jurisdictions.</w:t>
      </w:r>
    </w:p>
    <w:p w:rsidR="000D3836" w:rsidRDefault="000D3836" w:rsidP="00304F66">
      <w:pPr>
        <w:pStyle w:val="Heading3"/>
      </w:pPr>
      <w:bookmarkStart w:id="23" w:name="_Toc436300035"/>
      <w:r>
        <w:t xml:space="preserve">Orphan drug </w:t>
      </w:r>
      <w:r w:rsidR="009435DF">
        <w:t>designation</w:t>
      </w:r>
      <w:bookmarkEnd w:id="23"/>
    </w:p>
    <w:p w:rsidR="001609DB" w:rsidRPr="007437BE" w:rsidRDefault="000D3836" w:rsidP="007437BE">
      <w:proofErr w:type="spellStart"/>
      <w:r w:rsidRPr="007437BE">
        <w:t>Kineret</w:t>
      </w:r>
      <w:proofErr w:type="spellEnd"/>
      <w:r w:rsidRPr="007437BE">
        <w:t xml:space="preserve"> has been designated an Orphan Drug for the indication:</w:t>
      </w:r>
    </w:p>
    <w:p w:rsidR="000D3836" w:rsidRPr="007437BE" w:rsidRDefault="001257BF" w:rsidP="007437BE">
      <w:pPr>
        <w:ind w:left="720"/>
        <w:rPr>
          <w:i/>
        </w:rPr>
      </w:pPr>
      <w:proofErr w:type="gramStart"/>
      <w:r w:rsidRPr="007437BE">
        <w:rPr>
          <w:i/>
        </w:rPr>
        <w:t>F</w:t>
      </w:r>
      <w:r w:rsidR="000D3836" w:rsidRPr="007437BE">
        <w:rPr>
          <w:i/>
        </w:rPr>
        <w:t>or the treatment of active systemic onset juvenile idiopathic arthritis (</w:t>
      </w:r>
      <w:proofErr w:type="spellStart"/>
      <w:r w:rsidR="000D3836" w:rsidRPr="007437BE">
        <w:rPr>
          <w:i/>
        </w:rPr>
        <w:t>SoJIA</w:t>
      </w:r>
      <w:proofErr w:type="spellEnd"/>
      <w:r w:rsidR="000D3836" w:rsidRPr="007437BE">
        <w:rPr>
          <w:i/>
        </w:rPr>
        <w:t>) in children.</w:t>
      </w:r>
      <w:proofErr w:type="gramEnd"/>
    </w:p>
    <w:p w:rsidR="001609DB" w:rsidRPr="007437BE" w:rsidRDefault="00304F66" w:rsidP="007437BE">
      <w:r>
        <w:t xml:space="preserve">But not </w:t>
      </w:r>
      <w:r w:rsidR="000D3836" w:rsidRPr="007437BE">
        <w:t xml:space="preserve">for the broader indication </w:t>
      </w:r>
      <w:r>
        <w:t>applied for in this application.</w:t>
      </w:r>
    </w:p>
    <w:p w:rsidR="000D3836" w:rsidRDefault="000D3836" w:rsidP="007437BE">
      <w:r w:rsidRPr="007437BE">
        <w:t xml:space="preserve">The Orphan Drug Designation does not include use in adults and does not refer to monotherapy or combination therapy with other </w:t>
      </w:r>
      <w:r w:rsidR="008C6F8C" w:rsidRPr="007437BE">
        <w:t>disease modifying anti rheumatic drug (</w:t>
      </w:r>
      <w:r w:rsidRPr="007437BE">
        <w:t>DMARDs</w:t>
      </w:r>
      <w:r w:rsidR="008C6F8C" w:rsidRPr="007437BE">
        <w:t>)</w:t>
      </w:r>
      <w:r w:rsidRPr="007437BE">
        <w:t>.</w:t>
      </w:r>
    </w:p>
    <w:p w:rsidR="005355E7" w:rsidRDefault="005355E7" w:rsidP="007437BE">
      <w:r>
        <w:t xml:space="preserve">An Orphan Drug Designation was also granted (on 24 April 2013) for the use </w:t>
      </w:r>
      <w:r w:rsidRPr="00840FD9">
        <w:t xml:space="preserve">of </w:t>
      </w:r>
      <w:proofErr w:type="spellStart"/>
      <w:r w:rsidR="00903F7A" w:rsidRPr="00EA1957">
        <w:t>Kineret</w:t>
      </w:r>
      <w:proofErr w:type="spellEnd"/>
      <w:r>
        <w:t xml:space="preserve"> for the indication:</w:t>
      </w:r>
    </w:p>
    <w:p w:rsidR="00903F7A" w:rsidRPr="00EA1957" w:rsidRDefault="00903F7A" w:rsidP="00EA1957">
      <w:pPr>
        <w:ind w:left="720"/>
        <w:rPr>
          <w:i/>
        </w:rPr>
      </w:pPr>
      <w:r w:rsidRPr="00EA1957">
        <w:rPr>
          <w:i/>
        </w:rPr>
        <w:t xml:space="preserve">for the treatment of </w:t>
      </w:r>
      <w:proofErr w:type="spellStart"/>
      <w:r w:rsidRPr="00EA1957">
        <w:rPr>
          <w:i/>
        </w:rPr>
        <w:t>Cryopyrin</w:t>
      </w:r>
      <w:proofErr w:type="spellEnd"/>
      <w:r w:rsidRPr="00EA1957">
        <w:rPr>
          <w:i/>
        </w:rPr>
        <w:t xml:space="preserve"> Associated Periodic Syndromes (CAPS) in adults and children including </w:t>
      </w:r>
      <w:proofErr w:type="spellStart"/>
      <w:r w:rsidRPr="00EA1957">
        <w:rPr>
          <w:i/>
        </w:rPr>
        <w:t>Muckle</w:t>
      </w:r>
      <w:proofErr w:type="spellEnd"/>
      <w:r w:rsidRPr="00EA1957">
        <w:rPr>
          <w:i/>
        </w:rPr>
        <w:t xml:space="preserve">-Wells Syndrome (MWS), Familial Cold-induced </w:t>
      </w:r>
      <w:proofErr w:type="spellStart"/>
      <w:r w:rsidRPr="00EA1957">
        <w:rPr>
          <w:i/>
        </w:rPr>
        <w:t>Autoinflammatory</w:t>
      </w:r>
      <w:proofErr w:type="spellEnd"/>
      <w:r w:rsidRPr="00EA1957">
        <w:rPr>
          <w:i/>
        </w:rPr>
        <w:t xml:space="preserve"> syndrome (FACS) / Familial Cold </w:t>
      </w:r>
      <w:proofErr w:type="spellStart"/>
      <w:r w:rsidRPr="00EA1957">
        <w:rPr>
          <w:i/>
        </w:rPr>
        <w:t>Urticaria</w:t>
      </w:r>
      <w:proofErr w:type="spellEnd"/>
      <w:r w:rsidRPr="00EA1957">
        <w:rPr>
          <w:i/>
        </w:rPr>
        <w:t xml:space="preserve"> (FUC), and Neonatal-Onset Multisystem Inflammatory Disease (NOMID) / Chronic Infantile Neurological Cutaneous and Articul</w:t>
      </w:r>
      <w:r w:rsidR="003226D6">
        <w:rPr>
          <w:i/>
        </w:rPr>
        <w:t>a</w:t>
      </w:r>
      <w:r w:rsidRPr="00EA1957">
        <w:rPr>
          <w:i/>
        </w:rPr>
        <w:t>r Syndrome (CINCA).</w:t>
      </w:r>
    </w:p>
    <w:p w:rsidR="008E7846" w:rsidRDefault="008E7846" w:rsidP="00940A89">
      <w:pPr>
        <w:pStyle w:val="Heading3"/>
      </w:pPr>
      <w:bookmarkStart w:id="24" w:name="_Toc436300036"/>
      <w:r>
        <w:t xml:space="preserve">Product </w:t>
      </w:r>
      <w:r w:rsidR="008831B9">
        <w:t>i</w:t>
      </w:r>
      <w:r>
        <w:t>nformation</w:t>
      </w:r>
      <w:bookmarkEnd w:id="20"/>
      <w:bookmarkEnd w:id="21"/>
      <w:bookmarkEnd w:id="24"/>
    </w:p>
    <w:p w:rsidR="00940A89" w:rsidRDefault="00940A89" w:rsidP="00940A89">
      <w:pPr>
        <w:rPr>
          <w:b/>
          <w:bCs/>
        </w:rPr>
      </w:pPr>
      <w:bookmarkStart w:id="25" w:name="_Toc247691506"/>
      <w:bookmarkStart w:id="26" w:name="_Toc314842487"/>
      <w:r w:rsidRPr="00940A89">
        <w:t xml:space="preserve">The approved Product Information (PI) current at the time this </w:t>
      </w:r>
      <w:proofErr w:type="spellStart"/>
      <w:r w:rsidRPr="00940A89">
        <w:t>AusPAR</w:t>
      </w:r>
      <w:proofErr w:type="spellEnd"/>
      <w:r w:rsidRPr="00940A89">
        <w:t xml:space="preserve"> was prepared can be found as Attachment 1. For the most recent Product Information please refer to the TGA website at &lt;</w:t>
      </w:r>
      <w:hyperlink r:id="rId18" w:history="1">
        <w:r w:rsidR="00383221">
          <w:rPr>
            <w:rStyle w:val="Hyperlink"/>
          </w:rPr>
          <w:t>https://www.tga.gov.au/product-information-pi</w:t>
        </w:r>
      </w:hyperlink>
      <w:r w:rsidRPr="00940A89">
        <w:t>&gt;.</w:t>
      </w:r>
    </w:p>
    <w:p w:rsidR="008E7846" w:rsidRPr="003602A9" w:rsidRDefault="008E7846" w:rsidP="008E7846">
      <w:pPr>
        <w:pStyle w:val="Heading2"/>
        <w:ind w:left="-11"/>
      </w:pPr>
      <w:bookmarkStart w:id="27" w:name="_Toc436300037"/>
      <w:r>
        <w:t>II. Quality</w:t>
      </w:r>
      <w:bookmarkEnd w:id="1"/>
      <w:r>
        <w:t xml:space="preserve"> findings</w:t>
      </w:r>
      <w:bookmarkEnd w:id="25"/>
      <w:bookmarkEnd w:id="26"/>
      <w:bookmarkEnd w:id="27"/>
    </w:p>
    <w:p w:rsidR="008E7846" w:rsidRDefault="00940A89" w:rsidP="008E7846">
      <w:bookmarkStart w:id="28" w:name="_Toc247691507"/>
      <w:bookmarkStart w:id="29" w:name="_Toc314842488"/>
      <w:r w:rsidRPr="00940A89">
        <w:t>There was no requirement for a quality evaluation in a submission of this type.</w:t>
      </w:r>
      <w:bookmarkEnd w:id="28"/>
      <w:bookmarkEnd w:id="29"/>
    </w:p>
    <w:p w:rsidR="008E7846" w:rsidRDefault="008E7846" w:rsidP="008E7846">
      <w:pPr>
        <w:pStyle w:val="Heading2"/>
      </w:pPr>
      <w:bookmarkStart w:id="30" w:name="_Toc196046439"/>
      <w:bookmarkStart w:id="31" w:name="_Toc247691510"/>
      <w:bookmarkStart w:id="32" w:name="_Toc314842494"/>
      <w:bookmarkStart w:id="33" w:name="_Toc436300038"/>
      <w:r>
        <w:t>III. Nonclinical</w:t>
      </w:r>
      <w:bookmarkEnd w:id="30"/>
      <w:r>
        <w:t xml:space="preserve"> findings</w:t>
      </w:r>
      <w:bookmarkEnd w:id="31"/>
      <w:bookmarkEnd w:id="32"/>
      <w:bookmarkEnd w:id="33"/>
    </w:p>
    <w:p w:rsidR="00940A89" w:rsidRDefault="00940A89" w:rsidP="000E6196">
      <w:bookmarkStart w:id="34" w:name="_Toc247691511"/>
      <w:bookmarkStart w:id="35" w:name="_Toc314842495"/>
      <w:r>
        <w:t>There was no requirement for a nonclinical evaluation in a submission of this type.</w:t>
      </w:r>
    </w:p>
    <w:p w:rsidR="008E7846" w:rsidRPr="00254787" w:rsidRDefault="008E7846" w:rsidP="008E7846">
      <w:pPr>
        <w:pStyle w:val="Heading2"/>
      </w:pPr>
      <w:bookmarkStart w:id="36" w:name="_Toc196046462"/>
      <w:bookmarkStart w:id="37" w:name="_Toc247691516"/>
      <w:bookmarkStart w:id="38" w:name="_Toc314842500"/>
      <w:bookmarkStart w:id="39" w:name="_Toc163441353"/>
      <w:bookmarkStart w:id="40" w:name="_Toc163441348"/>
      <w:bookmarkStart w:id="41" w:name="_Toc436300039"/>
      <w:bookmarkEnd w:id="34"/>
      <w:bookmarkEnd w:id="35"/>
      <w:r>
        <w:t xml:space="preserve">IV. </w:t>
      </w:r>
      <w:r w:rsidRPr="00254787">
        <w:t>Clinical</w:t>
      </w:r>
      <w:bookmarkEnd w:id="36"/>
      <w:r>
        <w:t xml:space="preserve"> </w:t>
      </w:r>
      <w:r w:rsidR="003A7F6C">
        <w:t>f</w:t>
      </w:r>
      <w:r>
        <w:t>indings</w:t>
      </w:r>
      <w:bookmarkEnd w:id="37"/>
      <w:bookmarkEnd w:id="38"/>
      <w:bookmarkEnd w:id="41"/>
    </w:p>
    <w:p w:rsidR="00C80137" w:rsidRDefault="00C80137" w:rsidP="00D425BB">
      <w:bookmarkStart w:id="42"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605AD4" w:rsidRDefault="00605AD4" w:rsidP="00605AD4">
      <w:pPr>
        <w:pStyle w:val="Heading4"/>
      </w:pPr>
      <w:bookmarkStart w:id="43" w:name="_Toc196046464"/>
      <w:bookmarkStart w:id="44" w:name="_Toc247691518"/>
      <w:bookmarkStart w:id="45" w:name="_Toc314842502"/>
      <w:bookmarkEnd w:id="42"/>
      <w:r w:rsidRPr="00605AD4">
        <w:lastRenderedPageBreak/>
        <w:t xml:space="preserve">Clinical </w:t>
      </w:r>
      <w:r w:rsidR="008831B9">
        <w:t>r</w:t>
      </w:r>
      <w:r w:rsidRPr="00605AD4">
        <w:t>ationale</w:t>
      </w:r>
    </w:p>
    <w:p w:rsidR="009B3838" w:rsidRPr="009B3838" w:rsidRDefault="009B3838" w:rsidP="008831B9">
      <w:r w:rsidRPr="009B3838">
        <w:t xml:space="preserve">Juvenile idiopathic arthritis </w:t>
      </w:r>
      <w:r w:rsidR="00F41C7E">
        <w:t xml:space="preserve">(JIA) </w:t>
      </w:r>
      <w:r w:rsidRPr="009B3838">
        <w:t xml:space="preserve">is a term that encompasses all forms of arthritis that begin before a patient is aged 16 years that persist for more than 6 weeks and are of unknown </w:t>
      </w:r>
      <w:r w:rsidR="009435DF">
        <w:t>origin</w:t>
      </w:r>
      <w:r w:rsidR="00840FD9" w:rsidRPr="00EA1957">
        <w:rPr>
          <w:vertAlign w:val="superscript"/>
        </w:rPr>
        <w:fldChar w:fldCharType="begin"/>
      </w:r>
      <w:r w:rsidR="00840FD9" w:rsidRPr="00EA1957">
        <w:rPr>
          <w:vertAlign w:val="superscript"/>
        </w:rPr>
        <w:instrText xml:space="preserve"> NOTEREF _Ref430773619 \h  \* MERGEFORMAT </w:instrText>
      </w:r>
      <w:r w:rsidR="00840FD9" w:rsidRPr="00EA1957">
        <w:rPr>
          <w:vertAlign w:val="superscript"/>
        </w:rPr>
      </w:r>
      <w:r w:rsidR="00840FD9" w:rsidRPr="00EA1957">
        <w:rPr>
          <w:vertAlign w:val="superscript"/>
        </w:rPr>
        <w:fldChar w:fldCharType="separate"/>
      </w:r>
      <w:r w:rsidR="009435DF" w:rsidRPr="00EA1957">
        <w:rPr>
          <w:vertAlign w:val="superscript"/>
        </w:rPr>
        <w:t>1</w:t>
      </w:r>
      <w:r w:rsidR="00840FD9" w:rsidRPr="00EA1957">
        <w:rPr>
          <w:vertAlign w:val="superscript"/>
        </w:rPr>
        <w:fldChar w:fldCharType="end"/>
      </w:r>
      <w:r w:rsidR="009435DF">
        <w:t>.</w:t>
      </w:r>
      <w:r>
        <w:t xml:space="preserve"> </w:t>
      </w:r>
      <w:r w:rsidRPr="009B3838">
        <w:t>Systemic juvenile idiopathic arthritis (SJIA) is a subgroup characterised by prominent systemi</w:t>
      </w:r>
      <w:r w:rsidR="00304F66">
        <w:t>c features, such as fever, rash</w:t>
      </w:r>
      <w:r w:rsidRPr="009B3838">
        <w:t xml:space="preserve"> and </w:t>
      </w:r>
      <w:proofErr w:type="spellStart"/>
      <w:r w:rsidRPr="009B3838">
        <w:t>se</w:t>
      </w:r>
      <w:r>
        <w:t>rositis</w:t>
      </w:r>
      <w:proofErr w:type="spellEnd"/>
      <w:r>
        <w:t xml:space="preserve">, and is much like adult onset </w:t>
      </w:r>
      <w:proofErr w:type="gramStart"/>
      <w:r>
        <w:t>Still’s</w:t>
      </w:r>
      <w:proofErr w:type="gramEnd"/>
      <w:r>
        <w:t xml:space="preserve"> disease.</w:t>
      </w:r>
      <w:r w:rsidRPr="009B3838">
        <w:t xml:space="preserve"> SJIA can be further stratified into at least two subgroups on the basis of responsiveness to inhibition of, and therefore </w:t>
      </w:r>
      <w:r w:rsidR="000F3D5E">
        <w:t xml:space="preserve">implying the </w:t>
      </w:r>
      <w:r w:rsidRPr="009B3838">
        <w:t>possible pathogenic relevance of, int</w:t>
      </w:r>
      <w:r w:rsidR="001609DB">
        <w:t xml:space="preserve">eleukin-1. SJIA accounts for 10 to </w:t>
      </w:r>
      <w:r w:rsidRPr="009B3838">
        <w:t>20% of JIA and affe</w:t>
      </w:r>
      <w:r w:rsidR="000D3836">
        <w:t xml:space="preserve">cts males and females equally. </w:t>
      </w:r>
      <w:r w:rsidR="00304F66">
        <w:t>The peak onset of SJIA</w:t>
      </w:r>
      <w:r w:rsidRPr="009B3838">
        <w:t xml:space="preserve"> is between th</w:t>
      </w:r>
      <w:r w:rsidR="00304F66">
        <w:t>e ages of 18 months and 2 years</w:t>
      </w:r>
      <w:r w:rsidRPr="009B3838">
        <w:t xml:space="preserve"> but the condition commonly persists as a chronic rheumatic condition.</w:t>
      </w:r>
    </w:p>
    <w:p w:rsidR="000D3836" w:rsidRPr="009B3838" w:rsidRDefault="009B3838" w:rsidP="009B3838">
      <w:r w:rsidRPr="009B3838">
        <w:t>SJIA is also known as known as juvenile rheumatoid arthritis (SJRA), which is an o</w:t>
      </w:r>
      <w:r w:rsidR="000D3836">
        <w:t>lder term for the same disease.</w:t>
      </w:r>
      <w:r w:rsidRPr="009B3838">
        <w:t xml:space="preserve"> The condition has also been previ</w:t>
      </w:r>
      <w:r w:rsidR="000D3836">
        <w:t>ously known as Still’s disease.</w:t>
      </w:r>
      <w:r w:rsidR="005D252D">
        <w:t xml:space="preserve"> The term juvenile c</w:t>
      </w:r>
      <w:r w:rsidRPr="009B3838">
        <w:t xml:space="preserve">hronic </w:t>
      </w:r>
      <w:r w:rsidR="005D252D">
        <w:t>a</w:t>
      </w:r>
      <w:r w:rsidR="007437BE" w:rsidRPr="009B3838">
        <w:t>rthritis</w:t>
      </w:r>
      <w:r w:rsidRPr="009B3838">
        <w:t xml:space="preserve"> (JCA) is broader than the terms JIA or </w:t>
      </w:r>
      <w:r w:rsidR="005D252D">
        <w:t>j</w:t>
      </w:r>
      <w:r w:rsidR="005D252D" w:rsidRPr="005D252D">
        <w:t xml:space="preserve">uvenile rheumatoid arthritis </w:t>
      </w:r>
      <w:r w:rsidR="005D252D">
        <w:t>(</w:t>
      </w:r>
      <w:r w:rsidRPr="009B3838">
        <w:t>JRA</w:t>
      </w:r>
      <w:r w:rsidR="005D252D">
        <w:t>)</w:t>
      </w:r>
      <w:r w:rsidRPr="009B3838">
        <w:t xml:space="preserve"> as it encompasses all chronic </w:t>
      </w:r>
      <w:proofErr w:type="spellStart"/>
      <w:r w:rsidRPr="009B3838">
        <w:t>arth</w:t>
      </w:r>
      <w:r w:rsidR="007437BE">
        <w:t>r</w:t>
      </w:r>
      <w:r w:rsidRPr="009B3838">
        <w:t>iti</w:t>
      </w:r>
      <w:r w:rsidR="00304F66">
        <w:t>des</w:t>
      </w:r>
      <w:proofErr w:type="spellEnd"/>
      <w:r w:rsidR="00304F66">
        <w:t xml:space="preserve"> of childhood</w:t>
      </w:r>
      <w:r w:rsidR="005D252D">
        <w:t xml:space="preserve"> but the term systemic juvenile chronic a</w:t>
      </w:r>
      <w:r w:rsidRPr="009B3838">
        <w:t xml:space="preserve">rthritis (SJCA) refers </w:t>
      </w:r>
      <w:r w:rsidR="00F41C7E">
        <w:t xml:space="preserve">to the same condition as SJIA. </w:t>
      </w:r>
      <w:r w:rsidRPr="009B3838">
        <w:t>In order to avoid confusion in this report the term S</w:t>
      </w:r>
      <w:r w:rsidR="00304F66">
        <w:t>JIA will be used to refer to this</w:t>
      </w:r>
      <w:r w:rsidRPr="009B3838">
        <w:t xml:space="preserve"> condition.</w:t>
      </w:r>
    </w:p>
    <w:p w:rsidR="00605AD4" w:rsidRDefault="00605AD4" w:rsidP="00605AD4">
      <w:pPr>
        <w:pStyle w:val="Heading4"/>
      </w:pPr>
      <w:r w:rsidRPr="00605AD4">
        <w:t>Guidance</w:t>
      </w:r>
    </w:p>
    <w:p w:rsidR="000D3836" w:rsidRPr="000D3836" w:rsidRDefault="000D3836" w:rsidP="000D3836">
      <w:r w:rsidRPr="000D3836">
        <w:t xml:space="preserve">The </w:t>
      </w:r>
      <w:r w:rsidR="00FB1C42">
        <w:t>sponsor</w:t>
      </w:r>
      <w:r w:rsidRPr="000D3836">
        <w:t xml:space="preserve"> states adherence to the </w:t>
      </w:r>
      <w:r w:rsidR="00304F66">
        <w:t xml:space="preserve">TGA’s </w:t>
      </w:r>
      <w:r w:rsidRPr="000D3836">
        <w:t>Literature Based Submission guideline.</w:t>
      </w:r>
    </w:p>
    <w:p w:rsidR="00605AD4" w:rsidRDefault="00605AD4" w:rsidP="00605AD4">
      <w:pPr>
        <w:pStyle w:val="Heading4"/>
      </w:pPr>
      <w:r w:rsidRPr="00605AD4">
        <w:t>Contents of the clinical dossier</w:t>
      </w:r>
    </w:p>
    <w:p w:rsidR="000D3836" w:rsidRPr="000D3836" w:rsidRDefault="000D3836" w:rsidP="000D3836">
      <w:r w:rsidRPr="000D3836">
        <w:t>The submission contained the following clinical information:</w:t>
      </w:r>
    </w:p>
    <w:p w:rsidR="000D3836" w:rsidRPr="000D3836" w:rsidRDefault="000D3836" w:rsidP="008831B9">
      <w:pPr>
        <w:pStyle w:val="ListBullet"/>
      </w:pPr>
      <w:r w:rsidRPr="000D3836">
        <w:t xml:space="preserve">One pivotal literature based study: Quartier </w:t>
      </w:r>
      <w:r w:rsidR="001974C5">
        <w:t>et</w:t>
      </w:r>
      <w:r w:rsidRPr="000D3836">
        <w:t xml:space="preserve"> </w:t>
      </w:r>
      <w:proofErr w:type="spellStart"/>
      <w:r w:rsidR="001974C5">
        <w:t>a</w:t>
      </w:r>
      <w:r w:rsidR="000F3D5E">
        <w:t>.</w:t>
      </w:r>
      <w:r w:rsidR="001974C5">
        <w:t>l</w:t>
      </w:r>
      <w:bookmarkStart w:id="46" w:name="_Ref430789889"/>
      <w:proofErr w:type="spellEnd"/>
      <w:r w:rsidR="001257BF">
        <w:rPr>
          <w:rStyle w:val="FootnoteReference"/>
        </w:rPr>
        <w:footnoteReference w:id="2"/>
      </w:r>
      <w:bookmarkEnd w:id="46"/>
    </w:p>
    <w:p w:rsidR="000D3836" w:rsidRPr="000D3836" w:rsidRDefault="000D3836" w:rsidP="003B27C4">
      <w:pPr>
        <w:pStyle w:val="ListBullet"/>
      </w:pPr>
      <w:r w:rsidRPr="000D3836">
        <w:t xml:space="preserve">Two company sponsored studies of efficacy and safety: Study 990758 (conducted in subjects with </w:t>
      </w:r>
      <w:proofErr w:type="spellStart"/>
      <w:r w:rsidRPr="000D3836">
        <w:t>polyarticular</w:t>
      </w:r>
      <w:proofErr w:type="spellEnd"/>
      <w:r w:rsidRPr="000D3836">
        <w:t xml:space="preserve"> juvenile rheumatoid arthritis) a</w:t>
      </w:r>
      <w:r w:rsidR="00F41C7E">
        <w:t xml:space="preserve">nd its extension Study 990779. </w:t>
      </w:r>
      <w:r w:rsidRPr="000D3836">
        <w:t xml:space="preserve">Limited </w:t>
      </w:r>
      <w:r w:rsidR="00DD32B3">
        <w:t>pharmacokinetic</w:t>
      </w:r>
      <w:r w:rsidR="00DD32B3" w:rsidRPr="00DD32B3">
        <w:t xml:space="preserve"> </w:t>
      </w:r>
      <w:r w:rsidR="00DD32B3">
        <w:t>(</w:t>
      </w:r>
      <w:r w:rsidRPr="000D3836">
        <w:t>PK</w:t>
      </w:r>
      <w:r w:rsidR="00DD32B3">
        <w:t>)</w:t>
      </w:r>
      <w:r w:rsidRPr="000D3836">
        <w:t xml:space="preserve"> data was also available from Study 990758.</w:t>
      </w:r>
    </w:p>
    <w:p w:rsidR="000D3836" w:rsidRPr="000D3836" w:rsidRDefault="000D3836" w:rsidP="003B27C4">
      <w:pPr>
        <w:pStyle w:val="ListBullet"/>
      </w:pPr>
      <w:r w:rsidRPr="000D3836">
        <w:t xml:space="preserve">Two other literature reports in support of efficacy and safety, one </w:t>
      </w:r>
      <w:r w:rsidR="00F41C7E">
        <w:t>of which described the company s</w:t>
      </w:r>
      <w:r w:rsidRPr="000D3836">
        <w:t>ponsored studies.</w:t>
      </w:r>
    </w:p>
    <w:p w:rsidR="000D3836" w:rsidRPr="000D3836" w:rsidRDefault="000D3836" w:rsidP="003B27C4">
      <w:pPr>
        <w:pStyle w:val="ListBullet"/>
      </w:pPr>
      <w:r w:rsidRPr="000D3836">
        <w:t>17 literature reports in support of safety.</w:t>
      </w:r>
      <w:r w:rsidR="003B27C4">
        <w:t xml:space="preserve"> </w:t>
      </w:r>
      <w:r w:rsidRPr="000D3836">
        <w:t xml:space="preserve">These reports were all of poor quality but some safety data were extractable and are commented </w:t>
      </w:r>
      <w:r w:rsidR="000F3D5E">
        <w:t>up</w:t>
      </w:r>
      <w:r w:rsidRPr="000D3836">
        <w:t>on in the relevant sections.</w:t>
      </w:r>
    </w:p>
    <w:p w:rsidR="000D3836" w:rsidRPr="000D3836" w:rsidRDefault="000D3836" w:rsidP="003B27C4">
      <w:pPr>
        <w:pStyle w:val="ListBullet"/>
      </w:pPr>
      <w:r w:rsidRPr="000D3836">
        <w:t xml:space="preserve">One </w:t>
      </w:r>
      <w:r w:rsidR="00DD32B3">
        <w:t>periodic safety update r</w:t>
      </w:r>
      <w:r w:rsidR="00DD32B3" w:rsidRPr="00DD32B3">
        <w:t xml:space="preserve">eport </w:t>
      </w:r>
      <w:r w:rsidR="00DD32B3">
        <w:t>(</w:t>
      </w:r>
      <w:r w:rsidRPr="000D3836">
        <w:t>PSUR</w:t>
      </w:r>
      <w:r w:rsidR="00DD32B3">
        <w:t>)</w:t>
      </w:r>
      <w:r w:rsidRPr="000D3836">
        <w:t xml:space="preserve"> t</w:t>
      </w:r>
      <w:r w:rsidR="00AB7C48">
        <w:t>hat covered the time period 14 May 2010 to 1</w:t>
      </w:r>
      <w:r w:rsidRPr="000D3836">
        <w:t xml:space="preserve"> May 2013</w:t>
      </w:r>
      <w:r w:rsidR="003B27C4">
        <w:t>.</w:t>
      </w:r>
    </w:p>
    <w:p w:rsidR="00605AD4" w:rsidRDefault="00605AD4" w:rsidP="00605AD4">
      <w:pPr>
        <w:pStyle w:val="Heading4"/>
      </w:pPr>
      <w:r w:rsidRPr="00605AD4">
        <w:t>Paediatric data</w:t>
      </w:r>
    </w:p>
    <w:p w:rsidR="003B27C4" w:rsidRPr="003B27C4" w:rsidRDefault="003B27C4" w:rsidP="003B27C4">
      <w:r w:rsidRPr="003B27C4">
        <w:t>The submission included paediatric pharmacokinetic, efficacy and safety data relating to the proposed new indication.</w:t>
      </w:r>
    </w:p>
    <w:p w:rsidR="00605AD4" w:rsidRDefault="00605AD4" w:rsidP="00605AD4">
      <w:pPr>
        <w:pStyle w:val="Heading4"/>
      </w:pPr>
      <w:r w:rsidRPr="00605AD4">
        <w:t>Good clinical practice</w:t>
      </w:r>
    </w:p>
    <w:p w:rsidR="003B27C4" w:rsidRPr="00A54C1D" w:rsidRDefault="00A54C1D" w:rsidP="00A54C1D">
      <w:r w:rsidRPr="00A54C1D">
        <w:t>The company sponsored studies were stated to be compliant with GCP. This information was generally not available for the literature based studies</w:t>
      </w:r>
      <w:r>
        <w:t>.</w:t>
      </w:r>
    </w:p>
    <w:p w:rsidR="008E7846" w:rsidRPr="00254787" w:rsidRDefault="008E7846" w:rsidP="00605AD4">
      <w:pPr>
        <w:pStyle w:val="Heading3"/>
      </w:pPr>
      <w:bookmarkStart w:id="47" w:name="_Toc436300040"/>
      <w:r w:rsidRPr="00254787">
        <w:lastRenderedPageBreak/>
        <w:t>Pharmacokinetics</w:t>
      </w:r>
      <w:bookmarkEnd w:id="39"/>
      <w:bookmarkEnd w:id="43"/>
      <w:bookmarkEnd w:id="44"/>
      <w:bookmarkEnd w:id="45"/>
      <w:bookmarkEnd w:id="47"/>
    </w:p>
    <w:p w:rsidR="00605AD4" w:rsidRDefault="00605AD4" w:rsidP="00605AD4">
      <w:pPr>
        <w:pStyle w:val="Heading4"/>
      </w:pPr>
      <w:r>
        <w:t>Studies</w:t>
      </w:r>
      <w:r w:rsidR="00AB7C48">
        <w:t xml:space="preserve"> providing pharmacokinetic data</w:t>
      </w:r>
    </w:p>
    <w:p w:rsidR="003B27C4" w:rsidRDefault="003B27C4" w:rsidP="003B27C4">
      <w:r w:rsidRPr="003B27C4">
        <w:t>There were no new</w:t>
      </w:r>
      <w:r w:rsidR="000F3D5E">
        <w:t xml:space="preserve"> pharmacokinetic (PK)</w:t>
      </w:r>
      <w:r w:rsidRPr="003B27C4">
        <w:t xml:space="preserve"> </w:t>
      </w:r>
      <w:proofErr w:type="gramStart"/>
      <w:r w:rsidRPr="003B27C4">
        <w:t>data  in</w:t>
      </w:r>
      <w:proofErr w:type="gramEnd"/>
      <w:r w:rsidRPr="003B27C4">
        <w:t xml:space="preserve"> healthy subjects.</w:t>
      </w:r>
    </w:p>
    <w:p w:rsidR="003B27C4" w:rsidRDefault="003B27C4" w:rsidP="003B27C4">
      <w:pPr>
        <w:pStyle w:val="Heading5"/>
      </w:pPr>
      <w:bookmarkStart w:id="48" w:name="_Toc241374292"/>
      <w:bookmarkStart w:id="49" w:name="_Ref271189131"/>
      <w:bookmarkStart w:id="50" w:name="_Ref271189136"/>
      <w:bookmarkStart w:id="51" w:name="_Toc272414625"/>
      <w:bookmarkStart w:id="52" w:name="_Toc290846248"/>
      <w:bookmarkStart w:id="53" w:name="_Toc404962146"/>
      <w:r w:rsidRPr="003B27C4">
        <w:t>Pharmacokinetics in the target population</w:t>
      </w:r>
      <w:bookmarkEnd w:id="48"/>
      <w:bookmarkEnd w:id="49"/>
      <w:bookmarkEnd w:id="50"/>
      <w:bookmarkEnd w:id="51"/>
      <w:bookmarkEnd w:id="52"/>
      <w:bookmarkEnd w:id="53"/>
    </w:p>
    <w:p w:rsidR="003B27C4" w:rsidRPr="003B27C4" w:rsidRDefault="003B27C4" w:rsidP="003B27C4">
      <w:r w:rsidRPr="003B27C4">
        <w:t>In Study 990758 PK data were available for 80 subjects aged 3 to 17 years with JI</w:t>
      </w:r>
      <w:r>
        <w:t xml:space="preserve">A. </w:t>
      </w:r>
      <w:r w:rsidRPr="003B27C4">
        <w:t>There was a high degree of variability in plasma concentrations</w:t>
      </w:r>
      <w:r w:rsidR="00DC5BDB">
        <w:t xml:space="preserve">. </w:t>
      </w:r>
      <w:r w:rsidRPr="003B27C4">
        <w:t>The mean plasma concentrations by age grouping suggest decreased exposure in the younger age groups</w:t>
      </w:r>
      <w:r w:rsidR="00F41C7E">
        <w:t>.</w:t>
      </w:r>
    </w:p>
    <w:p w:rsidR="00605AD4" w:rsidRDefault="00605AD4" w:rsidP="00605AD4">
      <w:pPr>
        <w:pStyle w:val="Heading4"/>
      </w:pPr>
      <w:r>
        <w:t>Evaluator’s conclusions on pharmacokinetics</w:t>
      </w:r>
    </w:p>
    <w:p w:rsidR="00DC5BDB" w:rsidRPr="00DC5BDB" w:rsidRDefault="00DC5BDB" w:rsidP="00DC5BDB">
      <w:r w:rsidRPr="00DC5BDB">
        <w:t>The analysis of the plasma concentration data fro</w:t>
      </w:r>
      <w:r>
        <w:t xml:space="preserve">m Study 990758 was inadequate. </w:t>
      </w:r>
      <w:r w:rsidRPr="00DC5BDB">
        <w:t>The data appear to be suitable for use in a population PK analysis which would have enabled assessment of covariate data such as age, weight, gender, renal fu</w:t>
      </w:r>
      <w:r>
        <w:t xml:space="preserve">nction and disease severity. </w:t>
      </w:r>
      <w:r w:rsidRPr="00DC5BDB">
        <w:t xml:space="preserve">This analysis should use all the available PK data. The structural model could be informed by PK data from </w:t>
      </w:r>
      <w:r>
        <w:t xml:space="preserve">adult studies. </w:t>
      </w:r>
      <w:r w:rsidRPr="00DC5BDB">
        <w:t xml:space="preserve">The error model </w:t>
      </w:r>
      <w:r>
        <w:t xml:space="preserve">could be informed by the data. </w:t>
      </w:r>
      <w:r w:rsidRPr="00DC5BDB">
        <w:t xml:space="preserve">The covariate model should explore </w:t>
      </w:r>
      <w:proofErr w:type="spellStart"/>
      <w:r w:rsidRPr="00DC5BDB">
        <w:t>allometric</w:t>
      </w:r>
      <w:proofErr w:type="spellEnd"/>
      <w:r w:rsidRPr="00DC5BDB">
        <w:t xml:space="preserve"> scaling models for weight on the PK parameters clearan</w:t>
      </w:r>
      <w:r>
        <w:t xml:space="preserve">ce and volume of distribution. </w:t>
      </w:r>
      <w:r w:rsidRPr="00DC5BDB">
        <w:t xml:space="preserve">Using simulations, a dosing strategy could be developed to produce similar exposure to </w:t>
      </w:r>
      <w:proofErr w:type="spellStart"/>
      <w:r w:rsidRPr="00DC5BDB">
        <w:t>anakinra</w:t>
      </w:r>
      <w:proofErr w:type="spellEnd"/>
      <w:r w:rsidRPr="00DC5BDB">
        <w:t xml:space="preserve">, represented by </w:t>
      </w:r>
      <w:r w:rsidR="00AF359A" w:rsidRPr="00AF359A">
        <w:t xml:space="preserve">area under the concentration time curve </w:t>
      </w:r>
      <w:r w:rsidR="00AF359A">
        <w:t>(</w:t>
      </w:r>
      <w:r w:rsidRPr="00DC5BDB">
        <w:t>AUC</w:t>
      </w:r>
      <w:r w:rsidR="00AF359A">
        <w:t>)</w:t>
      </w:r>
      <w:r w:rsidRPr="00DC5BDB">
        <w:t>, for children by age groupings and adults.</w:t>
      </w:r>
    </w:p>
    <w:p w:rsidR="00DC5BDB" w:rsidRPr="00DC5BDB" w:rsidRDefault="00DC5BDB" w:rsidP="00DC5BDB">
      <w:r w:rsidRPr="00DC5BDB">
        <w:t xml:space="preserve">There were no PK data available from the Pivotal study: Quartier </w:t>
      </w:r>
      <w:r w:rsidR="001974C5">
        <w:t>et</w:t>
      </w:r>
      <w:r w:rsidRPr="00DC5BDB">
        <w:t xml:space="preserve"> </w:t>
      </w:r>
      <w:r w:rsidR="001974C5">
        <w:t>al</w:t>
      </w:r>
      <w:r w:rsidR="009435DF">
        <w:t>.</w:t>
      </w:r>
      <w:r w:rsidR="00840FD9" w:rsidRPr="00EA1957">
        <w:rPr>
          <w:vertAlign w:val="superscript"/>
        </w:rPr>
        <w:fldChar w:fldCharType="begin"/>
      </w:r>
      <w:r w:rsidR="00840FD9" w:rsidRPr="00EA1957">
        <w:rPr>
          <w:vertAlign w:val="superscript"/>
        </w:rPr>
        <w:instrText xml:space="preserve"> NOTEREF _Ref430789889 \h  \* MERGEFORMAT </w:instrText>
      </w:r>
      <w:r w:rsidR="00840FD9" w:rsidRPr="00EA1957">
        <w:rPr>
          <w:vertAlign w:val="superscript"/>
        </w:rPr>
      </w:r>
      <w:r w:rsidR="00840FD9" w:rsidRPr="00EA1957">
        <w:rPr>
          <w:vertAlign w:val="superscript"/>
        </w:rPr>
        <w:fldChar w:fldCharType="separate"/>
      </w:r>
      <w:r w:rsidR="00AF359A" w:rsidRPr="00EA1957">
        <w:rPr>
          <w:vertAlign w:val="superscript"/>
        </w:rPr>
        <w:t>2</w:t>
      </w:r>
      <w:r w:rsidR="00840FD9" w:rsidRPr="00EA1957">
        <w:rPr>
          <w:vertAlign w:val="superscript"/>
        </w:rPr>
        <w:fldChar w:fldCharType="end"/>
      </w:r>
    </w:p>
    <w:p w:rsidR="00DC5BDB" w:rsidRPr="00DC5BDB" w:rsidRDefault="00DC5BDB" w:rsidP="00DC5BDB">
      <w:r w:rsidRPr="00DC5BDB">
        <w:t>The data as presented are insufficient to suppo</w:t>
      </w:r>
      <w:r w:rsidR="00AB7C48">
        <w:t>rt the proposed dosing regimen.</w:t>
      </w:r>
    </w:p>
    <w:p w:rsidR="008E7846" w:rsidRDefault="008E7846" w:rsidP="008E7846">
      <w:pPr>
        <w:pStyle w:val="Heading3"/>
      </w:pPr>
      <w:bookmarkStart w:id="54" w:name="_Toc196046481"/>
      <w:bookmarkStart w:id="55" w:name="_Toc247691520"/>
      <w:bookmarkStart w:id="56" w:name="_Toc314842503"/>
      <w:bookmarkStart w:id="57" w:name="_Toc436300041"/>
      <w:r w:rsidRPr="00254787">
        <w:t>Pharmacodynamics</w:t>
      </w:r>
      <w:bookmarkEnd w:id="40"/>
      <w:bookmarkEnd w:id="54"/>
      <w:bookmarkEnd w:id="55"/>
      <w:bookmarkEnd w:id="56"/>
      <w:bookmarkEnd w:id="57"/>
    </w:p>
    <w:p w:rsidR="00605AD4" w:rsidRDefault="00605AD4" w:rsidP="00605AD4">
      <w:pPr>
        <w:pStyle w:val="Heading4"/>
      </w:pPr>
      <w:r>
        <w:t xml:space="preserve">Studies providing </w:t>
      </w:r>
      <w:proofErr w:type="spellStart"/>
      <w:r>
        <w:t>pharmacodynamic</w:t>
      </w:r>
      <w:proofErr w:type="spellEnd"/>
      <w:r>
        <w:t xml:space="preserve"> data</w:t>
      </w:r>
    </w:p>
    <w:p w:rsidR="00DC5BDB" w:rsidRPr="00DC5BDB" w:rsidRDefault="00DC5BDB" w:rsidP="00DC5BDB">
      <w:r w:rsidRPr="00DC5BDB">
        <w:t xml:space="preserve">No new </w:t>
      </w:r>
      <w:proofErr w:type="spellStart"/>
      <w:r w:rsidR="00AB7C48">
        <w:t>pharmacodynamic</w:t>
      </w:r>
      <w:proofErr w:type="spellEnd"/>
      <w:r w:rsidR="00AB7C48">
        <w:t xml:space="preserve"> (</w:t>
      </w:r>
      <w:r w:rsidRPr="00DC5BDB">
        <w:t>PD</w:t>
      </w:r>
      <w:r w:rsidR="00AB7C48">
        <w:t>)</w:t>
      </w:r>
      <w:r w:rsidRPr="00DC5BDB">
        <w:t xml:space="preserve"> data were included in the submission.</w:t>
      </w:r>
    </w:p>
    <w:p w:rsidR="00605AD4" w:rsidRDefault="00605AD4" w:rsidP="00605AD4">
      <w:pPr>
        <w:pStyle w:val="Heading4"/>
      </w:pPr>
      <w:r>
        <w:t>Evaluator’s conclusions on pharmacodynamics</w:t>
      </w:r>
    </w:p>
    <w:p w:rsidR="00DC5BDB" w:rsidRPr="00DC5BDB" w:rsidRDefault="00DC5BDB" w:rsidP="00DC5BDB">
      <w:r w:rsidRPr="00DC5BDB">
        <w:t>The analysis of the plasma concentration data from Study 990758 in combination with response data from the same study appear to be suitable for analysis in a po</w:t>
      </w:r>
      <w:r w:rsidR="00F41C7E">
        <w:t>pulation PK</w:t>
      </w:r>
      <w:r w:rsidR="00DD32B3">
        <w:t>/</w:t>
      </w:r>
      <w:r w:rsidR="00F41C7E">
        <w:t xml:space="preserve">PD model. </w:t>
      </w:r>
      <w:r w:rsidRPr="00DC5BDB">
        <w:t>As there is a discrepancy between the proposed dosing regimen and that used in the pivotal study, a population PK</w:t>
      </w:r>
      <w:r w:rsidR="00DD32B3">
        <w:t>/</w:t>
      </w:r>
      <w:r w:rsidRPr="00DC5BDB">
        <w:t>PD study would be important in informing the dosing regimen.</w:t>
      </w:r>
    </w:p>
    <w:p w:rsidR="00DC5BDB" w:rsidRPr="00DC5BDB" w:rsidRDefault="00DC5BDB" w:rsidP="008831B9">
      <w:r w:rsidRPr="00DC5BDB">
        <w:t>The population PK</w:t>
      </w:r>
      <w:r w:rsidR="00DD32B3">
        <w:t>/</w:t>
      </w:r>
      <w:r w:rsidRPr="00DC5BDB">
        <w:t xml:space="preserve">PD model could use the final population PK model, </w:t>
      </w:r>
      <w:r w:rsidR="00AB7C48">
        <w:t xml:space="preserve">as proposed </w:t>
      </w:r>
      <w:r w:rsidRPr="00DC5BDB">
        <w:t>to generate individual estimates of the PK paramet</w:t>
      </w:r>
      <w:r>
        <w:t>ers (</w:t>
      </w:r>
      <w:r w:rsidR="00AB7C48">
        <w:t>for example,</w:t>
      </w:r>
      <w:r>
        <w:t xml:space="preserve"> AUC, </w:t>
      </w:r>
      <w:proofErr w:type="spellStart"/>
      <w:r>
        <w:t>C</w:t>
      </w:r>
      <w:r w:rsidRPr="00F41C7E">
        <w:rPr>
          <w:vertAlign w:val="subscript"/>
        </w:rPr>
        <w:t>max</w:t>
      </w:r>
      <w:proofErr w:type="spellEnd"/>
      <w:r>
        <w:t xml:space="preserve"> and </w:t>
      </w:r>
      <w:proofErr w:type="spellStart"/>
      <w:r>
        <w:t>C</w:t>
      </w:r>
      <w:r w:rsidRPr="00F41C7E">
        <w:rPr>
          <w:vertAlign w:val="subscript"/>
        </w:rPr>
        <w:t>min</w:t>
      </w:r>
      <w:proofErr w:type="spellEnd"/>
      <w:r>
        <w:t xml:space="preserve">). </w:t>
      </w:r>
      <w:r w:rsidRPr="00DC5BDB">
        <w:t xml:space="preserve">These could then be used in a logistic regression model to examine the relationship between the PK variables and </w:t>
      </w:r>
      <w:r>
        <w:t xml:space="preserve">disease flare. </w:t>
      </w:r>
      <w:r w:rsidRPr="00DC5BDB">
        <w:t>Time to disease flare could be examined using a proportional hazards model.</w:t>
      </w:r>
    </w:p>
    <w:p w:rsidR="008E7846" w:rsidRDefault="00605AD4" w:rsidP="008831B9">
      <w:pPr>
        <w:pStyle w:val="Heading3"/>
      </w:pPr>
      <w:bookmarkStart w:id="58" w:name="_Toc436300042"/>
      <w:r>
        <w:t>Dosage selection for the pivotal studies</w:t>
      </w:r>
      <w:bookmarkEnd w:id="58"/>
    </w:p>
    <w:p w:rsidR="00DC5BDB" w:rsidRPr="00DC5BDB" w:rsidRDefault="00DC5BDB" w:rsidP="00DC5BDB">
      <w:r w:rsidRPr="00DC5BDB">
        <w:t>It is not stated how the dose regimen used in t</w:t>
      </w:r>
      <w:r>
        <w:t xml:space="preserve">he pivotal study was selected. </w:t>
      </w:r>
      <w:r w:rsidRPr="00DC5BDB">
        <w:t>This is an important omission because the proposed dosing regimen differs from that used in the pivotal study.</w:t>
      </w:r>
    </w:p>
    <w:p w:rsidR="008E7846" w:rsidRPr="00254787" w:rsidRDefault="008E7846" w:rsidP="008E7846">
      <w:pPr>
        <w:pStyle w:val="Heading3"/>
      </w:pPr>
      <w:bookmarkStart w:id="59" w:name="_Toc163441372"/>
      <w:bookmarkStart w:id="60" w:name="_Toc196046485"/>
      <w:bookmarkStart w:id="61" w:name="_Toc247691521"/>
      <w:bookmarkStart w:id="62" w:name="_Toc314842504"/>
      <w:bookmarkStart w:id="63" w:name="_Toc436300043"/>
      <w:r w:rsidRPr="00254787">
        <w:lastRenderedPageBreak/>
        <w:t>Efficacy</w:t>
      </w:r>
      <w:bookmarkEnd w:id="59"/>
      <w:bookmarkEnd w:id="60"/>
      <w:bookmarkEnd w:id="61"/>
      <w:bookmarkEnd w:id="62"/>
      <w:bookmarkEnd w:id="63"/>
    </w:p>
    <w:p w:rsidR="00605AD4" w:rsidRDefault="00605AD4" w:rsidP="00605AD4">
      <w:pPr>
        <w:pStyle w:val="Heading4"/>
      </w:pPr>
      <w:bookmarkStart w:id="64" w:name="_Toc184439992"/>
      <w:bookmarkStart w:id="65" w:name="_Toc184440279"/>
      <w:bookmarkStart w:id="66" w:name="_Toc184444657"/>
      <w:bookmarkStart w:id="67" w:name="_Toc196046487"/>
      <w:r>
        <w:t>Studies providing efficacy data</w:t>
      </w:r>
    </w:p>
    <w:p w:rsidR="007A47AB" w:rsidRDefault="007A47AB" w:rsidP="007A47AB">
      <w:pPr>
        <w:pStyle w:val="Heading5"/>
      </w:pPr>
      <w:bookmarkStart w:id="68" w:name="_Ref271037274"/>
      <w:bookmarkStart w:id="69" w:name="_Toc272414652"/>
      <w:bookmarkStart w:id="70" w:name="_Toc290846274"/>
      <w:bookmarkStart w:id="71" w:name="_Toc404962157"/>
      <w:r w:rsidRPr="007A47AB">
        <w:t>Pivotal efficacy studies</w:t>
      </w:r>
      <w:bookmarkEnd w:id="68"/>
      <w:bookmarkEnd w:id="69"/>
      <w:bookmarkEnd w:id="70"/>
      <w:bookmarkEnd w:id="71"/>
    </w:p>
    <w:p w:rsidR="007A47AB" w:rsidRDefault="007A47AB" w:rsidP="007A47AB">
      <w:pPr>
        <w:pStyle w:val="Heading6"/>
      </w:pPr>
      <w:bookmarkStart w:id="72" w:name="_Toc404962158"/>
      <w:bookmarkStart w:id="73" w:name="_Ref271040927"/>
      <w:bookmarkStart w:id="74" w:name="_Ref271040932"/>
      <w:bookmarkStart w:id="75" w:name="_Toc272414653"/>
      <w:bookmarkStart w:id="76" w:name="_Toc290846275"/>
      <w:r w:rsidRPr="007A47AB">
        <w:t xml:space="preserve">Quartier </w:t>
      </w:r>
      <w:r w:rsidR="001974C5">
        <w:t>et</w:t>
      </w:r>
      <w:r w:rsidRPr="007A47AB">
        <w:t xml:space="preserve"> </w:t>
      </w:r>
      <w:r w:rsidR="001974C5">
        <w:t>al</w:t>
      </w:r>
      <w:bookmarkEnd w:id="72"/>
      <w:bookmarkEnd w:id="73"/>
      <w:bookmarkEnd w:id="74"/>
      <w:bookmarkEnd w:id="75"/>
      <w:bookmarkEnd w:id="76"/>
      <w:r w:rsidR="00903F7A" w:rsidRPr="00AF359A">
        <w:rPr>
          <w:vertAlign w:val="superscript"/>
        </w:rPr>
        <w:fldChar w:fldCharType="begin"/>
      </w:r>
      <w:r w:rsidR="00AF359A" w:rsidRPr="00AF359A">
        <w:rPr>
          <w:vertAlign w:val="superscript"/>
        </w:rPr>
        <w:instrText xml:space="preserve"> NOTEREF _Ref430789889 \h </w:instrText>
      </w:r>
      <w:r w:rsidR="00AF359A">
        <w:rPr>
          <w:vertAlign w:val="superscript"/>
        </w:rPr>
        <w:instrText xml:space="preserve"> \* MERGEFORMAT </w:instrText>
      </w:r>
      <w:r w:rsidR="00903F7A" w:rsidRPr="00AF359A">
        <w:rPr>
          <w:vertAlign w:val="superscript"/>
        </w:rPr>
      </w:r>
      <w:r w:rsidR="00903F7A" w:rsidRPr="00AF359A">
        <w:rPr>
          <w:vertAlign w:val="superscript"/>
        </w:rPr>
        <w:fldChar w:fldCharType="separate"/>
      </w:r>
      <w:r w:rsidR="00AF359A" w:rsidRPr="00AF359A">
        <w:rPr>
          <w:vertAlign w:val="superscript"/>
        </w:rPr>
        <w:t>2</w:t>
      </w:r>
      <w:r w:rsidR="00903F7A" w:rsidRPr="00AF359A">
        <w:rPr>
          <w:vertAlign w:val="superscript"/>
        </w:rPr>
        <w:fldChar w:fldCharType="end"/>
      </w:r>
    </w:p>
    <w:p w:rsidR="007A47AB" w:rsidRDefault="007A47AB" w:rsidP="007A47AB">
      <w:r>
        <w:t xml:space="preserve">This study </w:t>
      </w:r>
      <w:r w:rsidR="00AB7C48">
        <w:t>was an i</w:t>
      </w:r>
      <w:r w:rsidRPr="007A47AB">
        <w:t xml:space="preserve">nvestigator sponsored, multicentre, randomised, double blind, </w:t>
      </w:r>
      <w:r w:rsidR="00AB7C48" w:rsidRPr="007A47AB">
        <w:t>and placebo</w:t>
      </w:r>
      <w:r w:rsidRPr="007A47AB">
        <w:t xml:space="preserve"> controlled study of </w:t>
      </w:r>
      <w:proofErr w:type="spellStart"/>
      <w:r w:rsidRPr="007A47AB">
        <w:t>anakinra</w:t>
      </w:r>
      <w:proofErr w:type="spellEnd"/>
      <w:r w:rsidRPr="007A47AB">
        <w:t xml:space="preserve"> in subjects with SJI</w:t>
      </w:r>
      <w:r>
        <w:t>A.</w:t>
      </w:r>
      <w:r w:rsidRPr="007A47AB">
        <w:t xml:space="preserve"> </w:t>
      </w:r>
      <w:r w:rsidR="00AB7C48">
        <w:t>For a full description of the study please see Attachment 2.</w:t>
      </w:r>
    </w:p>
    <w:p w:rsidR="005635DD" w:rsidRPr="00BB33DF" w:rsidRDefault="005635DD" w:rsidP="005635DD">
      <w:pPr>
        <w:pStyle w:val="Heading5"/>
      </w:pPr>
      <w:bookmarkStart w:id="77" w:name="_Ref271037188"/>
      <w:bookmarkStart w:id="78" w:name="_Ref271037210"/>
      <w:bookmarkStart w:id="79" w:name="_Toc272414655"/>
      <w:bookmarkStart w:id="80" w:name="_Toc290846277"/>
      <w:bookmarkStart w:id="81" w:name="_Toc404962159"/>
      <w:bookmarkStart w:id="82" w:name="_Toc241374311"/>
      <w:bookmarkStart w:id="83" w:name="_Ref243294291"/>
      <w:r w:rsidRPr="00BB33DF">
        <w:t>Other efficacy studies</w:t>
      </w:r>
      <w:bookmarkEnd w:id="77"/>
      <w:bookmarkEnd w:id="78"/>
      <w:bookmarkEnd w:id="79"/>
      <w:bookmarkEnd w:id="80"/>
      <w:bookmarkEnd w:id="81"/>
    </w:p>
    <w:p w:rsidR="005635DD" w:rsidRPr="00BB33DF" w:rsidRDefault="005635DD" w:rsidP="005635DD">
      <w:pPr>
        <w:pStyle w:val="Heading6"/>
      </w:pPr>
      <w:bookmarkStart w:id="84" w:name="_Toc290846278"/>
      <w:bookmarkStart w:id="85" w:name="_Toc404962160"/>
      <w:bookmarkEnd w:id="82"/>
      <w:bookmarkEnd w:id="83"/>
      <w:r w:rsidRPr="00BB33DF">
        <w:t>Study 990758</w:t>
      </w:r>
      <w:bookmarkEnd w:id="84"/>
      <w:bookmarkEnd w:id="85"/>
    </w:p>
    <w:p w:rsidR="00AB7C48" w:rsidRPr="00E607A2" w:rsidRDefault="005635DD" w:rsidP="00AB7C48">
      <w:r w:rsidRPr="005635DD">
        <w:t xml:space="preserve">Study 990758 was a randomised, blinded, placebo controlled study of the PK, efficacy and safety of </w:t>
      </w:r>
      <w:proofErr w:type="spellStart"/>
      <w:r w:rsidRPr="005635DD">
        <w:t>anakinra</w:t>
      </w:r>
      <w:proofErr w:type="spellEnd"/>
      <w:r w:rsidRPr="005635DD">
        <w:t xml:space="preserve"> in </w:t>
      </w:r>
      <w:proofErr w:type="spellStart"/>
      <w:r w:rsidRPr="005635DD">
        <w:t>polyarticula</w:t>
      </w:r>
      <w:r w:rsidR="00AB7C48">
        <w:t>r</w:t>
      </w:r>
      <w:proofErr w:type="spellEnd"/>
      <w:r w:rsidR="00AB7C48">
        <w:t xml:space="preserve"> juvenile rheumatoid arthritis. </w:t>
      </w:r>
      <w:r w:rsidRPr="005635DD">
        <w:t>The data were also published</w:t>
      </w:r>
      <w:r w:rsidR="00AB7C48">
        <w:t>.</w:t>
      </w:r>
      <w:bookmarkStart w:id="86" w:name="_Ref429577062"/>
      <w:r w:rsidR="00AB7C48">
        <w:rPr>
          <w:rStyle w:val="FootnoteReference"/>
        </w:rPr>
        <w:footnoteReference w:id="3"/>
      </w:r>
      <w:bookmarkEnd w:id="86"/>
      <w:r w:rsidRPr="005635DD">
        <w:t xml:space="preserve"> </w:t>
      </w:r>
      <w:r w:rsidR="00AB7C48">
        <w:t>For a full description of the s</w:t>
      </w:r>
      <w:r w:rsidR="00AB7C48" w:rsidRPr="00AB7C48">
        <w:t>tudy please see Attachment 2.</w:t>
      </w:r>
    </w:p>
    <w:p w:rsidR="008E7846" w:rsidRDefault="00605AD4" w:rsidP="00605AD4">
      <w:pPr>
        <w:pStyle w:val="Heading4"/>
      </w:pPr>
      <w:r>
        <w:t>Evaluator’s conclusions on efficacy</w:t>
      </w:r>
    </w:p>
    <w:p w:rsidR="00F82C19" w:rsidRPr="00F82C19" w:rsidRDefault="00F82C19" w:rsidP="00F82C19">
      <w:r w:rsidRPr="00F82C19">
        <w:t xml:space="preserve">The efficacy conclusions are based on the results of a single pivotal study of </w:t>
      </w:r>
      <w:proofErr w:type="spellStart"/>
      <w:r w:rsidRPr="00F82C19">
        <w:t>anakinra</w:t>
      </w:r>
      <w:proofErr w:type="spellEnd"/>
      <w:r w:rsidRPr="00F82C19">
        <w:t xml:space="preserve"> as monotherapy</w:t>
      </w:r>
      <w:r>
        <w:t xml:space="preserve">. </w:t>
      </w:r>
      <w:r w:rsidRPr="00F82C19">
        <w:t>This study was performed in 24 subjects, 12 of wh</w:t>
      </w:r>
      <w:r>
        <w:t xml:space="preserve">om were treated with </w:t>
      </w:r>
      <w:proofErr w:type="spellStart"/>
      <w:r>
        <w:t>anakinra</w:t>
      </w:r>
      <w:proofErr w:type="spellEnd"/>
      <w:r>
        <w:t xml:space="preserve">. </w:t>
      </w:r>
      <w:r w:rsidRPr="00F82C19">
        <w:t>To conclude efficacy from a single pivotal study the results would need to be both clinically and statistically compelling.</w:t>
      </w:r>
    </w:p>
    <w:p w:rsidR="00F82C19" w:rsidRPr="00F82C19" w:rsidRDefault="00F82C19" w:rsidP="00F82C19">
      <w:r w:rsidRPr="00F82C19">
        <w:t xml:space="preserve">In the pivotal study the response </w:t>
      </w:r>
      <w:r w:rsidR="00AF359A">
        <w:t>rate was clinically significant</w:t>
      </w:r>
      <w:r w:rsidRPr="00F82C19">
        <w:t xml:space="preserve"> and hig</w:t>
      </w:r>
      <w:r>
        <w:t xml:space="preserve">hly statistically significant. </w:t>
      </w:r>
      <w:r w:rsidRPr="00F82C19">
        <w:t xml:space="preserve">There were eight (67%) responders in the </w:t>
      </w:r>
      <w:proofErr w:type="spellStart"/>
      <w:r w:rsidRPr="00F82C19">
        <w:t>anakinra</w:t>
      </w:r>
      <w:proofErr w:type="spellEnd"/>
      <w:r w:rsidRPr="00F82C19">
        <w:t xml:space="preserve"> group and one (8%) in th</w:t>
      </w:r>
      <w:r>
        <w:t xml:space="preserve">e placebo (p = 0.003). </w:t>
      </w:r>
      <w:r w:rsidRPr="00F82C19">
        <w:t>However, the initial response</w:t>
      </w:r>
      <w:r w:rsidR="00325F8B">
        <w:t xml:space="preserve"> was not maintained long </w:t>
      </w:r>
      <w:r>
        <w:t xml:space="preserve">term. </w:t>
      </w:r>
      <w:r w:rsidRPr="00F82C19">
        <w:t xml:space="preserve">The data presentation indicated considerable crossover </w:t>
      </w:r>
      <w:r w:rsidR="00325F8B">
        <w:t xml:space="preserve">between response and </w:t>
      </w:r>
      <w:proofErr w:type="spellStart"/>
      <w:r w:rsidR="00325F8B">
        <w:t xml:space="preserve">non </w:t>
      </w:r>
      <w:r w:rsidRPr="00F82C19">
        <w:t>response</w:t>
      </w:r>
      <w:proofErr w:type="spellEnd"/>
      <w:r w:rsidRPr="00F82C19">
        <w:t xml:space="preserve"> and it was not possible to account for concurrent treatments that may have modulated</w:t>
      </w:r>
      <w:r w:rsidR="00AF359A">
        <w:t xml:space="preserve"> the</w:t>
      </w:r>
      <w:r w:rsidRPr="00F82C19">
        <w:t xml:space="preserve"> response.</w:t>
      </w:r>
    </w:p>
    <w:p w:rsidR="00F82C19" w:rsidRPr="00F82C19" w:rsidRDefault="00F82C19" w:rsidP="00F82C19">
      <w:r w:rsidRPr="00F82C19">
        <w:t>In addition to the primary efficacy outcome variable, the secondary efficacy outcome variable</w:t>
      </w:r>
      <w:r>
        <w:t xml:space="preserve">s were supportive of efficacy. </w:t>
      </w:r>
      <w:r w:rsidRPr="00F82C19">
        <w:t xml:space="preserve">There were more </w:t>
      </w:r>
      <w:r w:rsidR="00AB675F" w:rsidRPr="00AB675F">
        <w:t xml:space="preserve">American College of Rheumatology </w:t>
      </w:r>
      <w:r w:rsidR="00AB675F">
        <w:t>paediatric (</w:t>
      </w:r>
      <w:proofErr w:type="spellStart"/>
      <w:r w:rsidRPr="00F82C19">
        <w:t>ACRpaed</w:t>
      </w:r>
      <w:proofErr w:type="spellEnd"/>
      <w:r w:rsidR="00AB675F">
        <w:t>)</w:t>
      </w:r>
      <w:r w:rsidRPr="00F82C19">
        <w:t xml:space="preserve"> 50 and </w:t>
      </w:r>
      <w:proofErr w:type="spellStart"/>
      <w:r w:rsidR="00325F8B" w:rsidRPr="00325F8B">
        <w:t>ACRpaed</w:t>
      </w:r>
      <w:proofErr w:type="spellEnd"/>
      <w:r w:rsidR="00325F8B" w:rsidRPr="00325F8B">
        <w:t xml:space="preserve"> </w:t>
      </w:r>
      <w:r w:rsidRPr="00F82C19">
        <w:t>70</w:t>
      </w:r>
      <w:r w:rsidR="00A36AA9" w:rsidRPr="00A36AA9">
        <w:rPr>
          <w:vertAlign w:val="superscript"/>
        </w:rPr>
        <w:footnoteReference w:id="4"/>
      </w:r>
      <w:r w:rsidRPr="00F82C19">
        <w:t xml:space="preserve"> responders in the </w:t>
      </w:r>
      <w:proofErr w:type="spellStart"/>
      <w:r w:rsidRPr="00F82C19">
        <w:t>anaki</w:t>
      </w:r>
      <w:r>
        <w:t>nra</w:t>
      </w:r>
      <w:proofErr w:type="spellEnd"/>
      <w:r>
        <w:t xml:space="preserve"> group than in the placebo. </w:t>
      </w:r>
      <w:r w:rsidRPr="00F82C19">
        <w:t xml:space="preserve">There were greater improvements in the </w:t>
      </w:r>
      <w:proofErr w:type="spellStart"/>
      <w:r w:rsidRPr="00F82C19">
        <w:t>anakinra</w:t>
      </w:r>
      <w:proofErr w:type="spellEnd"/>
      <w:r w:rsidRPr="00F82C19">
        <w:t xml:space="preserve"> group for most of the remaining efficacy outcome measures, although these were </w:t>
      </w:r>
      <w:r>
        <w:t>not statistically significant.</w:t>
      </w:r>
    </w:p>
    <w:p w:rsidR="00F82C19" w:rsidRPr="00F82C19" w:rsidRDefault="00F82C19" w:rsidP="00F82C19">
      <w:r w:rsidRPr="00F82C19">
        <w:t xml:space="preserve">The age </w:t>
      </w:r>
      <w:r w:rsidR="00A36AA9" w:rsidRPr="00F82C19">
        <w:t>range</w:t>
      </w:r>
      <w:r w:rsidRPr="00F82C19">
        <w:t xml:space="preserve"> and distribution of ages, for the study subjects included in Quartier </w:t>
      </w:r>
      <w:r w:rsidR="001974C5">
        <w:t>et</w:t>
      </w:r>
      <w:r w:rsidRPr="00F82C19">
        <w:t xml:space="preserve"> </w:t>
      </w:r>
      <w:r w:rsidR="001974C5">
        <w:t>al</w:t>
      </w:r>
      <w:r w:rsidRPr="00F82C19">
        <w:t xml:space="preserve"> </w:t>
      </w:r>
      <w:r>
        <w:t xml:space="preserve">was not provided. </w:t>
      </w:r>
      <w:r w:rsidRPr="00F82C19">
        <w:t>Hence it is not possible to determine whether the age range represented by the proposed indication wa</w:t>
      </w:r>
      <w:r>
        <w:t>s studied in the pivotal study.</w:t>
      </w:r>
      <w:r w:rsidR="00A36AA9">
        <w:t xml:space="preserve"> Other than this</w:t>
      </w:r>
      <w:r w:rsidRPr="00F82C19">
        <w:t xml:space="preserve"> it appears that the population studied in the pivotal study </w:t>
      </w:r>
      <w:r w:rsidR="00F97AD3">
        <w:t>is</w:t>
      </w:r>
      <w:r w:rsidRPr="00F82C19">
        <w:t xml:space="preserve"> similar to those intended </w:t>
      </w:r>
      <w:r w:rsidR="00F97AD3">
        <w:t xml:space="preserve">for treatment </w:t>
      </w:r>
      <w:r w:rsidRPr="00F82C19">
        <w:t>in the proposed indication, noting that the efficacy data relate only to active disease</w:t>
      </w:r>
      <w:r>
        <w:t>.</w:t>
      </w:r>
    </w:p>
    <w:p w:rsidR="00F82C19" w:rsidRPr="00F82C19" w:rsidRDefault="00F82C19" w:rsidP="00F82C19">
      <w:r w:rsidRPr="00F82C19">
        <w:lastRenderedPageBreak/>
        <w:t>The data from the pivotal study were pertinent to the indication of SJIA as opposed to other types of JIA/JCA/JRA</w:t>
      </w:r>
      <w:r>
        <w:t xml:space="preserve">. </w:t>
      </w:r>
      <w:r w:rsidRPr="00F82C19">
        <w:t>The study appears to have been well conducted and is reported in sufficient detail to</w:t>
      </w:r>
      <w:r>
        <w:t xml:space="preserve"> be acceptable for evaluation. </w:t>
      </w:r>
      <w:r w:rsidR="00AF359A">
        <w:t>The p</w:t>
      </w:r>
      <w:r w:rsidRPr="00F82C19">
        <w:t>ivotal study appears to be in accordance with the CHMP Guideline</w:t>
      </w:r>
      <w:r w:rsidR="001974C5">
        <w:t>.</w:t>
      </w:r>
      <w:r w:rsidR="001974C5">
        <w:rPr>
          <w:rStyle w:val="FootnoteReference"/>
        </w:rPr>
        <w:footnoteReference w:id="5"/>
      </w:r>
    </w:p>
    <w:p w:rsidR="00F82C19" w:rsidRPr="00F82C19" w:rsidRDefault="00A36AA9" w:rsidP="00F82C19">
      <w:r>
        <w:t>However</w:t>
      </w:r>
      <w:r w:rsidR="00F82C19" w:rsidRPr="00F82C19">
        <w:t xml:space="preserve"> there are a number of deficiencies </w:t>
      </w:r>
      <w:r w:rsidR="00F82C19">
        <w:t xml:space="preserve">in the clinical efficacy data. </w:t>
      </w:r>
      <w:r w:rsidR="00F82C19" w:rsidRPr="00F82C19">
        <w:t>These are:</w:t>
      </w:r>
    </w:p>
    <w:p w:rsidR="00F82C19" w:rsidRPr="00F82C19" w:rsidRDefault="00F82C19" w:rsidP="008831B9">
      <w:pPr>
        <w:pStyle w:val="ListBullet"/>
      </w:pPr>
      <w:r w:rsidRPr="00F82C19">
        <w:t xml:space="preserve">The dose regimen used in the pivotal study is different </w:t>
      </w:r>
      <w:r w:rsidR="00F97AD3">
        <w:t xml:space="preserve">from </w:t>
      </w:r>
      <w:r w:rsidR="00325F8B">
        <w:t>that proposed by the s</w:t>
      </w:r>
      <w:r>
        <w:t xml:space="preserve">ponsor. </w:t>
      </w:r>
      <w:r w:rsidR="00AF359A">
        <w:t>In the opinion of the e</w:t>
      </w:r>
      <w:r w:rsidRPr="00F82C19">
        <w:t xml:space="preserve">valuator, the regimen used in the pivotal study is supported to a greater extent by the data and should replace that proposed by the </w:t>
      </w:r>
      <w:r w:rsidR="00FB1C42">
        <w:t>sponsor</w:t>
      </w:r>
    </w:p>
    <w:p w:rsidR="00F82C19" w:rsidRPr="00F82C19" w:rsidRDefault="00F82C19" w:rsidP="00F82C19">
      <w:pPr>
        <w:pStyle w:val="ListBullet"/>
      </w:pPr>
      <w:r w:rsidRPr="00F82C19">
        <w:t>The efficacy data are primarily literature based</w:t>
      </w:r>
      <w:r w:rsidR="00A54C1D">
        <w:t xml:space="preserve"> and are not reported in detail</w:t>
      </w:r>
    </w:p>
    <w:p w:rsidR="00F82C19" w:rsidRPr="00F82C19" w:rsidRDefault="00F82C19" w:rsidP="00F82C19">
      <w:pPr>
        <w:pStyle w:val="ListBullet"/>
      </w:pPr>
      <w:r w:rsidRPr="00F82C19">
        <w:t>There were insufficient data to support a maximum dose, specificall</w:t>
      </w:r>
      <w:r w:rsidR="00A54C1D">
        <w:t>y a maximum dose of 4 mg/kg/day</w:t>
      </w:r>
    </w:p>
    <w:p w:rsidR="00F82C19" w:rsidRPr="00F82C19" w:rsidRDefault="00F82C19" w:rsidP="00F82C19">
      <w:pPr>
        <w:pStyle w:val="ListBullet"/>
      </w:pPr>
      <w:r w:rsidRPr="00F82C19">
        <w:t xml:space="preserve">There were insufficient data to support efficacy </w:t>
      </w:r>
      <w:r w:rsidR="00F97AD3">
        <w:t>in</w:t>
      </w:r>
      <w:r w:rsidR="00F97AD3" w:rsidRPr="00F82C19">
        <w:t xml:space="preserve"> </w:t>
      </w:r>
      <w:r w:rsidR="00A54C1D">
        <w:t>combination therapy</w:t>
      </w:r>
    </w:p>
    <w:p w:rsidR="00F82C19" w:rsidRPr="00F82C19" w:rsidRDefault="00F82C19" w:rsidP="008831B9">
      <w:pPr>
        <w:pStyle w:val="ListBullet"/>
      </w:pPr>
      <w:r w:rsidRPr="00F82C19">
        <w:t>There were inadequate data to support an independent evaluation of combination therapy with DMARDs as a group</w:t>
      </w:r>
      <w:r w:rsidR="00F97AD3">
        <w:t>,</w:t>
      </w:r>
      <w:r w:rsidRPr="00F82C19">
        <w:t xml:space="preserve"> or as</w:t>
      </w:r>
      <w:r w:rsidR="00A54C1D">
        <w:t xml:space="preserve"> individual agents</w:t>
      </w:r>
    </w:p>
    <w:p w:rsidR="00F82C19" w:rsidRPr="00F82C19" w:rsidRDefault="00F82C19" w:rsidP="00F82C19">
      <w:pPr>
        <w:pStyle w:val="ListBullet"/>
      </w:pPr>
      <w:r w:rsidRPr="00F82C19">
        <w:t>There were insufficient data to support s</w:t>
      </w:r>
      <w:r w:rsidR="00A36AA9">
        <w:t xml:space="preserve">ustained efficacy over the long </w:t>
      </w:r>
      <w:r w:rsidRPr="00F82C19">
        <w:t>term (</w:t>
      </w:r>
      <w:r w:rsidR="00325F8B">
        <w:t>that is,</w:t>
      </w:r>
      <w:r w:rsidR="00A36AA9">
        <w:t xml:space="preserve"> 6 </w:t>
      </w:r>
      <w:r w:rsidRPr="00F82C19">
        <w:t>months or longer).</w:t>
      </w:r>
    </w:p>
    <w:p w:rsidR="00F82C19" w:rsidRPr="00F82C19" w:rsidRDefault="00F82C19" w:rsidP="00F82C19">
      <w:r w:rsidRPr="00F82C19">
        <w:t>The intended indication is rare and Orphan Drug Designation applies to the paediatric age groups (but not to the adult)</w:t>
      </w:r>
      <w:r>
        <w:t>.</w:t>
      </w:r>
      <w:r w:rsidRPr="00F82C19">
        <w:t xml:space="preserve"> Recruitment for clinical trials for this condition is difficult and would require collaboration between many large centr</w:t>
      </w:r>
      <w:r>
        <w:t>es for paediatric rheumatology.</w:t>
      </w:r>
    </w:p>
    <w:p w:rsidR="008E7846" w:rsidRPr="002E238E" w:rsidRDefault="008E7846" w:rsidP="008E7846">
      <w:pPr>
        <w:pStyle w:val="Heading3"/>
      </w:pPr>
      <w:bookmarkStart w:id="87" w:name="_Toc163441378"/>
      <w:bookmarkStart w:id="88" w:name="_Toc196046495"/>
      <w:bookmarkStart w:id="89" w:name="_Toc247691522"/>
      <w:bookmarkStart w:id="90" w:name="_Toc314842505"/>
      <w:bookmarkStart w:id="91" w:name="_Toc436300044"/>
      <w:bookmarkEnd w:id="64"/>
      <w:bookmarkEnd w:id="65"/>
      <w:bookmarkEnd w:id="66"/>
      <w:bookmarkEnd w:id="67"/>
      <w:r w:rsidRPr="002E238E">
        <w:t>Safety</w:t>
      </w:r>
      <w:bookmarkEnd w:id="87"/>
      <w:bookmarkEnd w:id="88"/>
      <w:bookmarkEnd w:id="89"/>
      <w:bookmarkEnd w:id="90"/>
      <w:bookmarkEnd w:id="91"/>
    </w:p>
    <w:p w:rsidR="00605AD4" w:rsidRDefault="00605AD4" w:rsidP="00605AD4">
      <w:pPr>
        <w:pStyle w:val="Heading4"/>
      </w:pPr>
      <w:bookmarkStart w:id="92" w:name="_Toc247691524"/>
      <w:bookmarkStart w:id="93" w:name="_Toc314842508"/>
      <w:bookmarkStart w:id="94" w:name="_Toc196046504"/>
      <w:bookmarkStart w:id="95" w:name="_Toc163441390"/>
      <w:r w:rsidRPr="00605AD4">
        <w:t>Studies providing safety data</w:t>
      </w:r>
    </w:p>
    <w:p w:rsidR="00D520E3" w:rsidRDefault="00D520E3" w:rsidP="00325F8B">
      <w:pPr>
        <w:pStyle w:val="Heading5"/>
      </w:pPr>
      <w:r w:rsidRPr="00D520E3">
        <w:t>Pivotal efficacy study</w:t>
      </w:r>
    </w:p>
    <w:p w:rsidR="00D520E3" w:rsidRPr="00D520E3" w:rsidRDefault="00D520E3" w:rsidP="00D520E3">
      <w:r w:rsidRPr="00D520E3">
        <w:t>In the pivotal efficacy study, the following safety data</w:t>
      </w:r>
      <w:r w:rsidR="00AF359A">
        <w:t xml:space="preserve"> were collected: adverse events (AEs).</w:t>
      </w:r>
    </w:p>
    <w:p w:rsidR="00D520E3" w:rsidRPr="00D520E3" w:rsidRDefault="00325F8B" w:rsidP="00325F8B">
      <w:pPr>
        <w:pStyle w:val="Heading5"/>
      </w:pPr>
      <w:r>
        <w:t xml:space="preserve">Dose-response and </w:t>
      </w:r>
      <w:proofErr w:type="spellStart"/>
      <w:r>
        <w:t xml:space="preserve">non </w:t>
      </w:r>
      <w:r w:rsidR="00D520E3" w:rsidRPr="00D520E3">
        <w:t>pivotal</w:t>
      </w:r>
      <w:proofErr w:type="spellEnd"/>
      <w:r w:rsidR="00D520E3" w:rsidRPr="00D520E3">
        <w:t xml:space="preserve"> efficacy studies</w:t>
      </w:r>
    </w:p>
    <w:p w:rsidR="00D520E3" w:rsidRPr="00D520E3" w:rsidRDefault="00325F8B" w:rsidP="00D520E3">
      <w:r>
        <w:t>The non</w:t>
      </w:r>
      <w:r w:rsidR="00F97AD3">
        <w:t>-</w:t>
      </w:r>
      <w:r w:rsidR="00D520E3" w:rsidRPr="00D520E3">
        <w:t>pivotal safety study reported AEs and laboratory tests.</w:t>
      </w:r>
    </w:p>
    <w:p w:rsidR="00D520E3" w:rsidRPr="00D520E3" w:rsidRDefault="00D520E3" w:rsidP="00325F8B">
      <w:pPr>
        <w:pStyle w:val="Heading5"/>
      </w:pPr>
      <w:r w:rsidRPr="00D520E3">
        <w:t>Other studies evaluable for safety only</w:t>
      </w:r>
    </w:p>
    <w:p w:rsidR="00D520E3" w:rsidRPr="00325F8B" w:rsidRDefault="00D520E3" w:rsidP="000541DB">
      <w:proofErr w:type="gramStart"/>
      <w:r w:rsidRPr="00325F8B">
        <w:t xml:space="preserve">Study </w:t>
      </w:r>
      <w:r w:rsidRPr="000541DB">
        <w:t>990779</w:t>
      </w:r>
      <w:r w:rsidR="000541DB">
        <w:t>.</w:t>
      </w:r>
      <w:proofErr w:type="gramEnd"/>
    </w:p>
    <w:p w:rsidR="00325F8B" w:rsidRDefault="00325F8B" w:rsidP="00325F8B">
      <w:pPr>
        <w:pStyle w:val="Heading5"/>
      </w:pPr>
      <w:r>
        <w:t>S</w:t>
      </w:r>
      <w:r w:rsidR="00D520E3" w:rsidRPr="00D520E3">
        <w:t>tudies were identified from the literat</w:t>
      </w:r>
      <w:r>
        <w:t>ure search performed by the s</w:t>
      </w:r>
      <w:r w:rsidR="00D520E3" w:rsidRPr="00D520E3">
        <w:t>ponsor</w:t>
      </w:r>
    </w:p>
    <w:p w:rsidR="00D520E3" w:rsidRDefault="00D520E3" w:rsidP="00D520E3">
      <w:r w:rsidRPr="00D520E3">
        <w:t>Although these studies were of poor quality, so</w:t>
      </w:r>
      <w:r w:rsidR="00325F8B">
        <w:t>me safety data were extractable. For further detail please see Attachment 2.</w:t>
      </w:r>
    </w:p>
    <w:p w:rsidR="00FC0516" w:rsidRPr="00FC0516" w:rsidRDefault="00FC0516" w:rsidP="00FC0516">
      <w:pPr>
        <w:pStyle w:val="Heading5"/>
      </w:pPr>
      <w:bookmarkStart w:id="96" w:name="_Ref269204367"/>
      <w:bookmarkStart w:id="97" w:name="_Ref271195835"/>
      <w:bookmarkStart w:id="98" w:name="_Ref271195841"/>
      <w:bookmarkStart w:id="99" w:name="_Toc272414660"/>
      <w:bookmarkStart w:id="100" w:name="_Toc290846285"/>
      <w:bookmarkStart w:id="101" w:name="_Toc404962165"/>
      <w:r w:rsidRPr="00FC0516">
        <w:t>Pivotal studies that assessed safety as a primary outcome</w:t>
      </w:r>
      <w:bookmarkEnd w:id="96"/>
      <w:bookmarkEnd w:id="97"/>
      <w:bookmarkEnd w:id="98"/>
      <w:bookmarkEnd w:id="99"/>
      <w:bookmarkEnd w:id="100"/>
      <w:bookmarkEnd w:id="101"/>
    </w:p>
    <w:p w:rsidR="00FC0516" w:rsidRPr="00D520E3" w:rsidRDefault="00FC0516" w:rsidP="00D520E3">
      <w:r w:rsidRPr="00FC0516">
        <w:t>There were no pivotal studies that assessed safety as a primary outcome.</w:t>
      </w:r>
    </w:p>
    <w:p w:rsidR="00605AD4" w:rsidRDefault="00605AD4" w:rsidP="00605AD4">
      <w:pPr>
        <w:pStyle w:val="Heading4"/>
      </w:pPr>
      <w:r w:rsidRPr="00605AD4">
        <w:t>Patient exposure</w:t>
      </w:r>
    </w:p>
    <w:p w:rsidR="00FC0516" w:rsidRPr="00FC0516" w:rsidRDefault="00FC0516" w:rsidP="00FC0516">
      <w:r w:rsidRPr="00FC0516">
        <w:t>In Study 990758 a total of 80 subjects aged 3 to 17 years with JR</w:t>
      </w:r>
      <w:r w:rsidR="000541DB">
        <w:t xml:space="preserve">A were treated with </w:t>
      </w:r>
      <w:proofErr w:type="spellStart"/>
      <w:r w:rsidR="000541DB">
        <w:t>anakinra</w:t>
      </w:r>
      <w:proofErr w:type="spellEnd"/>
      <w:r w:rsidR="000541DB">
        <w:t xml:space="preserve"> 10</w:t>
      </w:r>
      <w:r w:rsidRPr="00FC0516">
        <w:t xml:space="preserve"> mg/kg, up to 100 mg, daily for up to 28 weeks. During the open label phase 86 </w:t>
      </w:r>
      <w:r w:rsidRPr="00FC0516">
        <w:lastRenderedPageBreak/>
        <w:t xml:space="preserve">subjects were treated for a median </w:t>
      </w:r>
      <w:r>
        <w:t xml:space="preserve">(range) of 84 (2 to 106) days. </w:t>
      </w:r>
      <w:r w:rsidRPr="00FC0516">
        <w:t>During the blinded phase, 25 subjects were treated for a median (</w:t>
      </w:r>
      <w:r>
        <w:t xml:space="preserve">range) of 112 (9 to 126) days. </w:t>
      </w:r>
      <w:r w:rsidRPr="00FC0516">
        <w:t>There were 15 subjects with systemic JCA.</w:t>
      </w:r>
    </w:p>
    <w:p w:rsidR="00FC0516" w:rsidRPr="00FC0516" w:rsidRDefault="00FC0516" w:rsidP="00FC0516">
      <w:r w:rsidRPr="00FC0516">
        <w:t xml:space="preserve">In Study 990779 there were 44 subjects exposed to </w:t>
      </w:r>
      <w:proofErr w:type="spellStart"/>
      <w:r w:rsidRPr="00FC0516">
        <w:t>anakinra</w:t>
      </w:r>
      <w:proofErr w:type="spellEnd"/>
      <w:r w:rsidRPr="00FC0516">
        <w:t xml:space="preserve"> for up to 363 days, mean (SD) duration of treatment 162.68 (54.48) days.</w:t>
      </w:r>
    </w:p>
    <w:p w:rsidR="00FC0516" w:rsidRPr="00FC0516" w:rsidRDefault="00FC0516" w:rsidP="00FC0516">
      <w:r w:rsidRPr="00FC0516">
        <w:t xml:space="preserve">In Quartier </w:t>
      </w:r>
      <w:r w:rsidR="001974C5">
        <w:t>et</w:t>
      </w:r>
      <w:r w:rsidRPr="00FC0516">
        <w:t xml:space="preserve"> </w:t>
      </w:r>
      <w:r w:rsidR="001974C5">
        <w:t>al</w:t>
      </w:r>
      <w:r w:rsidRPr="00FC0516">
        <w:t xml:space="preserve"> there were 24 subjects with systemic on</w:t>
      </w:r>
      <w:r>
        <w:t xml:space="preserve">set JRA treated with </w:t>
      </w:r>
      <w:proofErr w:type="spellStart"/>
      <w:r>
        <w:t>anakinra</w:t>
      </w:r>
      <w:proofErr w:type="spellEnd"/>
      <w:r>
        <w:t xml:space="preserve"> 2 </w:t>
      </w:r>
      <w:r w:rsidRPr="00FC0516">
        <w:t>mg/kg (up to 100 mg) with nine trea</w:t>
      </w:r>
      <w:r w:rsidR="000541DB">
        <w:t xml:space="preserve">ted for 11 months </w:t>
      </w:r>
      <w:r w:rsidRPr="00FC0516">
        <w:t>and seven treated for 12 months.</w:t>
      </w:r>
    </w:p>
    <w:p w:rsidR="00605AD4" w:rsidRDefault="00605AD4" w:rsidP="00605AD4">
      <w:pPr>
        <w:pStyle w:val="Heading4"/>
      </w:pPr>
      <w:r w:rsidRPr="00605AD4">
        <w:t>Post</w:t>
      </w:r>
      <w:r w:rsidR="00A36AA9">
        <w:t>-</w:t>
      </w:r>
      <w:r w:rsidRPr="00605AD4">
        <w:t>marketing data</w:t>
      </w:r>
    </w:p>
    <w:p w:rsidR="00FC0516" w:rsidRPr="00FC0516" w:rsidRDefault="00A36AA9" w:rsidP="00FC0516">
      <w:r>
        <w:t>Post-</w:t>
      </w:r>
      <w:r w:rsidR="00FC0516" w:rsidRPr="00FC0516">
        <w:t>marketing data were provided from one PSUR that covered the time period 14</w:t>
      </w:r>
      <w:r w:rsidR="00FC0516">
        <w:t xml:space="preserve"> </w:t>
      </w:r>
      <w:r w:rsidR="00FC0516" w:rsidRPr="00FC0516">
        <w:t>May 2010 to 1</w:t>
      </w:r>
      <w:r w:rsidR="00FC0516">
        <w:t xml:space="preserve"> May 2013. </w:t>
      </w:r>
      <w:r w:rsidR="00FC0516" w:rsidRPr="00FC0516">
        <w:t>The recommended starting dose o</w:t>
      </w:r>
      <w:r w:rsidR="00FC0516">
        <w:t>ver that time period was 1 to 2 </w:t>
      </w:r>
      <w:r w:rsidR="00FC0516" w:rsidRPr="00FC0516">
        <w:t>mg/kg day up to 8 mg/kg/day</w:t>
      </w:r>
      <w:r w:rsidR="00AB675F">
        <w:t xml:space="preserve"> in patients with </w:t>
      </w:r>
      <w:r>
        <w:t xml:space="preserve">Neonatal Onset Multi </w:t>
      </w:r>
      <w:r w:rsidR="00DD32B3" w:rsidRPr="00DD32B3">
        <w:t xml:space="preserve">system Inflammatory Disease </w:t>
      </w:r>
      <w:r w:rsidR="00DD32B3">
        <w:t>(</w:t>
      </w:r>
      <w:r w:rsidR="00AB675F">
        <w:t>NOMID</w:t>
      </w:r>
      <w:r w:rsidR="00DD32B3">
        <w:t>)</w:t>
      </w:r>
      <w:r w:rsidR="00AB675F">
        <w:t>/</w:t>
      </w:r>
      <w:r w:rsidR="00E02770" w:rsidRPr="00E02770">
        <w:t xml:space="preserve"> Chronic Infantile Neurological Cutaneous and Articular</w:t>
      </w:r>
      <w:r w:rsidR="001974C5">
        <w:t xml:space="preserve"> S</w:t>
      </w:r>
      <w:r w:rsidR="00E02770" w:rsidRPr="00E02770">
        <w:t xml:space="preserve">yndrome </w:t>
      </w:r>
      <w:r w:rsidR="00E02770">
        <w:t>(</w:t>
      </w:r>
      <w:r w:rsidR="00AB675F">
        <w:t>CINCA</w:t>
      </w:r>
      <w:r w:rsidR="00E02770">
        <w:t>)</w:t>
      </w:r>
      <w:r w:rsidR="00AB675F">
        <w:t xml:space="preserve">. </w:t>
      </w:r>
      <w:r w:rsidR="00FC0516" w:rsidRPr="00FC0516">
        <w:t>Clinical exposure in company sponsored clinical trials was e</w:t>
      </w:r>
      <w:r w:rsidR="00AB675F">
        <w:t>stimated at 6404 subject-years. Cumul</w:t>
      </w:r>
      <w:r w:rsidR="000541DB">
        <w:t>ative post-</w:t>
      </w:r>
      <w:r w:rsidR="00FC0516" w:rsidRPr="00FC0516">
        <w:t>marketing exposure was estimated to be 63,748 patient</w:t>
      </w:r>
      <w:r w:rsidR="000541DB">
        <w:t>-years since first registration</w:t>
      </w:r>
      <w:r w:rsidR="00FC0516" w:rsidRPr="00FC0516">
        <w:t xml:space="preserve"> in November 2001.</w:t>
      </w:r>
      <w:r w:rsidR="00AB675F">
        <w:t xml:space="preserve"> The sponsor has identified an i</w:t>
      </w:r>
      <w:r w:rsidR="00FC0516" w:rsidRPr="00FC0516">
        <w:t>nvestigator sponsored clinical</w:t>
      </w:r>
      <w:r w:rsidR="001974C5">
        <w:t xml:space="preserve"> trial where doses up to 20,900 </w:t>
      </w:r>
      <w:r w:rsidR="00FC0516" w:rsidRPr="00FC0516">
        <w:t xml:space="preserve">mg/24 hours were administered intravenously in 13 subjects with no reported </w:t>
      </w:r>
      <w:r w:rsidR="00DD32B3">
        <w:t>s</w:t>
      </w:r>
      <w:r w:rsidR="00DD32B3" w:rsidRPr="00DD32B3">
        <w:t>erious adverse event</w:t>
      </w:r>
      <w:r w:rsidR="00DD32B3">
        <w:t>s</w:t>
      </w:r>
      <w:r w:rsidR="00DD32B3" w:rsidRPr="00DD32B3">
        <w:t xml:space="preserve"> </w:t>
      </w:r>
      <w:r w:rsidR="00DD32B3">
        <w:t>(</w:t>
      </w:r>
      <w:r w:rsidR="00FC0516" w:rsidRPr="00FC0516">
        <w:t>SAEs</w:t>
      </w:r>
      <w:r w:rsidR="00DD32B3">
        <w:t>)</w:t>
      </w:r>
      <w:r w:rsidR="00FC0516" w:rsidRPr="00FC0516">
        <w:t>.</w:t>
      </w:r>
    </w:p>
    <w:p w:rsidR="00FC0516" w:rsidRPr="00FC0516" w:rsidRDefault="00FC0516" w:rsidP="00FC0516">
      <w:r w:rsidRPr="00FC0516">
        <w:t xml:space="preserve">The </w:t>
      </w:r>
      <w:r w:rsidR="00AB675F">
        <w:t xml:space="preserve">sponsor identified extensive off label use of </w:t>
      </w:r>
      <w:proofErr w:type="spellStart"/>
      <w:r w:rsidR="00AB675F">
        <w:t>anakinra</w:t>
      </w:r>
      <w:proofErr w:type="spellEnd"/>
      <w:r w:rsidR="00AB675F">
        <w:t>.</w:t>
      </w:r>
      <w:r w:rsidRPr="00FC0516">
        <w:t xml:space="preserve"> In the US</w:t>
      </w:r>
      <w:r w:rsidR="000541DB">
        <w:t>A</w:t>
      </w:r>
      <w:r w:rsidRPr="00FC0516">
        <w:t xml:space="preserve"> the indications for treatment with </w:t>
      </w:r>
      <w:proofErr w:type="spellStart"/>
      <w:r w:rsidRPr="00FC0516">
        <w:t>anakinra</w:t>
      </w:r>
      <w:proofErr w:type="spellEnd"/>
      <w:r w:rsidRPr="00FC0516">
        <w:t xml:space="preserve"> were systemic onset JRA f</w:t>
      </w:r>
      <w:r w:rsidR="00AB675F">
        <w:t>or 21% of the patients treated. In</w:t>
      </w:r>
      <w:r w:rsidRPr="00FC0516">
        <w:t xml:space="preserve"> Sweden the most common indication for </w:t>
      </w:r>
      <w:proofErr w:type="spellStart"/>
      <w:r w:rsidRPr="00FC0516">
        <w:t>anakinra</w:t>
      </w:r>
      <w:proofErr w:type="spellEnd"/>
      <w:r w:rsidRPr="00FC0516">
        <w:t xml:space="preserve"> use in children was systemic onset JRA.</w:t>
      </w:r>
    </w:p>
    <w:p w:rsidR="00FC0516" w:rsidRPr="00FC0516" w:rsidRDefault="00FC0516" w:rsidP="00FC0516">
      <w:r w:rsidRPr="00FC0516">
        <w:t>There were no new safety concerns identified in the PSUR.</w:t>
      </w:r>
    </w:p>
    <w:p w:rsidR="00605AD4" w:rsidRPr="00605AD4" w:rsidRDefault="00605AD4" w:rsidP="00605AD4">
      <w:pPr>
        <w:pStyle w:val="Heading4"/>
      </w:pPr>
      <w:r w:rsidRPr="00605AD4">
        <w:t>Evaluator’s conclusions on safety</w:t>
      </w:r>
    </w:p>
    <w:p w:rsidR="00E054D7" w:rsidRPr="00E054D7" w:rsidRDefault="00E054D7" w:rsidP="00E054D7">
      <w:r w:rsidRPr="00E054D7">
        <w:t xml:space="preserve">The safety data presented in the submission reflected the known safety profile of </w:t>
      </w:r>
      <w:proofErr w:type="spellStart"/>
      <w:r w:rsidRPr="00E054D7">
        <w:t>anakinra</w:t>
      </w:r>
      <w:proofErr w:type="spellEnd"/>
      <w:r w:rsidRPr="00E054D7">
        <w:t xml:space="preserve"> and were consistent with the safety specification stated in the RMP</w:t>
      </w:r>
      <w:r>
        <w:t xml:space="preserve">. </w:t>
      </w:r>
      <w:r w:rsidRPr="00E054D7">
        <w:t xml:space="preserve">Injection site AEs were common but were of minor severity and are to be expected with the </w:t>
      </w:r>
      <w:r w:rsidR="000541DB">
        <w:t>SC</w:t>
      </w:r>
      <w:r>
        <w:t xml:space="preserve"> route of administration. </w:t>
      </w:r>
      <w:r w:rsidRPr="00E054D7">
        <w:t xml:space="preserve">Serious infections were reported but it was not possible from the data to determine whether the risk was increased by </w:t>
      </w:r>
      <w:proofErr w:type="spellStart"/>
      <w:r w:rsidRPr="00E054D7">
        <w:t>anakinra</w:t>
      </w:r>
      <w:proofErr w:type="spellEnd"/>
      <w:r w:rsidRPr="00E054D7">
        <w:t xml:space="preserve"> or reflected the background risk in the treated population</w:t>
      </w:r>
      <w:r w:rsidR="00F41C7E">
        <w:t xml:space="preserve">. </w:t>
      </w:r>
      <w:r w:rsidRPr="00E054D7">
        <w:t xml:space="preserve">Similarly, </w:t>
      </w:r>
      <w:r w:rsidR="00AB675F">
        <w:t>m</w:t>
      </w:r>
      <w:r w:rsidR="00AB675F" w:rsidRPr="00AB675F">
        <w:t xml:space="preserve">acrophage activation syndrome </w:t>
      </w:r>
      <w:r w:rsidR="00AB675F">
        <w:t>(</w:t>
      </w:r>
      <w:r w:rsidRPr="00E054D7">
        <w:t>MAS</w:t>
      </w:r>
      <w:r w:rsidR="00AB675F">
        <w:t>)</w:t>
      </w:r>
      <w:r w:rsidRPr="00E054D7">
        <w:t xml:space="preserve"> </w:t>
      </w:r>
      <w:r w:rsidR="000541DB">
        <w:t>and</w:t>
      </w:r>
      <w:r w:rsidR="00F41C7E">
        <w:t xml:space="preserve"> </w:t>
      </w:r>
      <w:r w:rsidR="000541DB">
        <w:t>l</w:t>
      </w:r>
      <w:r w:rsidRPr="00E054D7">
        <w:t xml:space="preserve">iver toxicity was also reported in subjects treated with </w:t>
      </w:r>
      <w:proofErr w:type="spellStart"/>
      <w:r w:rsidRPr="00E054D7">
        <w:t>anakinra</w:t>
      </w:r>
      <w:proofErr w:type="spellEnd"/>
      <w:r w:rsidR="00F41C7E">
        <w:t xml:space="preserve">. </w:t>
      </w:r>
      <w:r w:rsidRPr="00E054D7">
        <w:t>The data did not identify any specific issue with regard to neutralising antibodies</w:t>
      </w:r>
      <w:r w:rsidR="00F41C7E">
        <w:t xml:space="preserve">. </w:t>
      </w:r>
      <w:r w:rsidRPr="00E054D7">
        <w:t>There do not appear to be any add</w:t>
      </w:r>
      <w:r w:rsidR="000541DB">
        <w:t>itional monitoring requirements</w:t>
      </w:r>
      <w:r w:rsidRPr="00E054D7">
        <w:t xml:space="preserve"> other than those normally required for patients with systemic JCA.</w:t>
      </w:r>
    </w:p>
    <w:p w:rsidR="00E054D7" w:rsidRPr="00E054D7" w:rsidRDefault="00E054D7" w:rsidP="00E054D7">
      <w:r w:rsidRPr="00E054D7">
        <w:t>There i</w:t>
      </w:r>
      <w:r w:rsidR="00AB675F">
        <w:t xml:space="preserve">s clearly an extensive off </w:t>
      </w:r>
      <w:r w:rsidRPr="00E054D7">
        <w:t xml:space="preserve">label usage of </w:t>
      </w:r>
      <w:proofErr w:type="spellStart"/>
      <w:r w:rsidRPr="00E054D7">
        <w:t>anakinra</w:t>
      </w:r>
      <w:proofErr w:type="spellEnd"/>
      <w:r w:rsidRPr="00E054D7">
        <w:t xml:space="preserve"> in subjects with systemic onset JIA and the post-marketing reports of MAS, serious infections and liver toxicity should be interpreted in this context</w:t>
      </w:r>
      <w:r w:rsidR="00F41C7E">
        <w:t xml:space="preserve">. </w:t>
      </w:r>
      <w:r w:rsidRPr="00E054D7">
        <w:t>These events are also associated with the population of patients with systemic onset JIA and may reflect the underlying condition and the medicines used to treat it.</w:t>
      </w:r>
    </w:p>
    <w:p w:rsidR="00E054D7" w:rsidRPr="00E054D7" w:rsidRDefault="00E054D7" w:rsidP="00E054D7">
      <w:r w:rsidRPr="00E054D7">
        <w:t>However, there were inadequate data with regard to growth and development in the paediatric population.</w:t>
      </w:r>
    </w:p>
    <w:p w:rsidR="00605AD4" w:rsidRPr="00605AD4" w:rsidRDefault="00605AD4" w:rsidP="00605AD4">
      <w:pPr>
        <w:pStyle w:val="Heading3"/>
        <w:rPr>
          <w:rFonts w:eastAsia="Cambria"/>
        </w:rPr>
      </w:pPr>
      <w:bookmarkStart w:id="102" w:name="_Toc436300045"/>
      <w:r w:rsidRPr="00605AD4">
        <w:rPr>
          <w:rFonts w:eastAsia="Cambria"/>
        </w:rPr>
        <w:t xml:space="preserve">First </w:t>
      </w:r>
      <w:r w:rsidR="008831B9">
        <w:rPr>
          <w:rFonts w:eastAsia="Cambria"/>
        </w:rPr>
        <w:t>r</w:t>
      </w:r>
      <w:r w:rsidRPr="00605AD4">
        <w:rPr>
          <w:rFonts w:eastAsia="Cambria"/>
        </w:rPr>
        <w:t xml:space="preserve">ound </w:t>
      </w:r>
      <w:r w:rsidR="008831B9">
        <w:rPr>
          <w:rFonts w:eastAsia="Cambria"/>
        </w:rPr>
        <w:t>b</w:t>
      </w:r>
      <w:r w:rsidRPr="00605AD4">
        <w:rPr>
          <w:rFonts w:eastAsia="Cambria"/>
        </w:rPr>
        <w:t>enefit-</w:t>
      </w:r>
      <w:r w:rsidR="008831B9">
        <w:rPr>
          <w:rFonts w:eastAsia="Cambria"/>
        </w:rPr>
        <w:t>r</w:t>
      </w:r>
      <w:r w:rsidRPr="00605AD4">
        <w:rPr>
          <w:rFonts w:eastAsia="Cambria"/>
        </w:rPr>
        <w:t xml:space="preserve">isk </w:t>
      </w:r>
      <w:r w:rsidR="008831B9">
        <w:rPr>
          <w:rFonts w:eastAsia="Cambria"/>
        </w:rPr>
        <w:t>a</w:t>
      </w:r>
      <w:r w:rsidRPr="00605AD4">
        <w:rPr>
          <w:rFonts w:eastAsia="Cambria"/>
        </w:rPr>
        <w:t>ssessment</w:t>
      </w:r>
      <w:bookmarkEnd w:id="102"/>
    </w:p>
    <w:p w:rsidR="00605AD4" w:rsidRDefault="00605AD4" w:rsidP="00605AD4">
      <w:pPr>
        <w:pStyle w:val="Heading4"/>
      </w:pPr>
      <w:r w:rsidRPr="00605AD4">
        <w:t>First round assessment of benefits</w:t>
      </w:r>
    </w:p>
    <w:p w:rsidR="00E054D7" w:rsidRPr="00E054D7" w:rsidRDefault="00E054D7" w:rsidP="00E054D7">
      <w:r w:rsidRPr="00E054D7">
        <w:t xml:space="preserve">The efficacy conclusions are based on the results of a single pivotal study of </w:t>
      </w:r>
      <w:proofErr w:type="spellStart"/>
      <w:r w:rsidRPr="00E054D7">
        <w:t>anakinra</w:t>
      </w:r>
      <w:proofErr w:type="spellEnd"/>
      <w:r w:rsidRPr="00E054D7">
        <w:t xml:space="preserve"> as monotherapy</w:t>
      </w:r>
      <w:r w:rsidR="00F41C7E">
        <w:t xml:space="preserve">. </w:t>
      </w:r>
      <w:r w:rsidRPr="00E054D7">
        <w:t xml:space="preserve">This study was performed in 24 subjects, 12 of whom were treated with </w:t>
      </w:r>
      <w:proofErr w:type="spellStart"/>
      <w:r w:rsidRPr="00E054D7">
        <w:lastRenderedPageBreak/>
        <w:t>anakinra</w:t>
      </w:r>
      <w:proofErr w:type="spellEnd"/>
      <w:r w:rsidR="00F41C7E">
        <w:t xml:space="preserve">. </w:t>
      </w:r>
      <w:r w:rsidRPr="00E054D7">
        <w:t>To conclude efficacy from a single pivotal study the results would need to be both clinicall</w:t>
      </w:r>
      <w:r w:rsidR="00AB675F">
        <w:t>y and statistically compelling.</w:t>
      </w:r>
    </w:p>
    <w:p w:rsidR="00E054D7" w:rsidRPr="00E054D7" w:rsidRDefault="00E054D7" w:rsidP="00E054D7">
      <w:r w:rsidRPr="00E054D7">
        <w:t xml:space="preserve">In the pivotal study the response </w:t>
      </w:r>
      <w:r w:rsidR="00A36AA9">
        <w:t>rate was clinically significant</w:t>
      </w:r>
      <w:r w:rsidRPr="00E054D7">
        <w:t xml:space="preserve"> and highly statistically significant</w:t>
      </w:r>
      <w:r w:rsidR="00F41C7E">
        <w:t xml:space="preserve">. </w:t>
      </w:r>
      <w:r w:rsidRPr="00E054D7">
        <w:t xml:space="preserve">There were eight (67%) responders in the </w:t>
      </w:r>
      <w:proofErr w:type="spellStart"/>
      <w:r w:rsidRPr="00E054D7">
        <w:t>anakinra</w:t>
      </w:r>
      <w:proofErr w:type="spellEnd"/>
      <w:r w:rsidRPr="00E054D7">
        <w:t xml:space="preserve"> group and one (8%) in the placebo (p = 0.003)</w:t>
      </w:r>
      <w:r w:rsidR="00F41C7E">
        <w:t xml:space="preserve">. </w:t>
      </w:r>
      <w:r w:rsidR="00A36AA9">
        <w:t>However</w:t>
      </w:r>
      <w:r w:rsidRPr="00E054D7">
        <w:t xml:space="preserve"> the initial response was not ma</w:t>
      </w:r>
      <w:r w:rsidR="00A36AA9">
        <w:t xml:space="preserve">intained long </w:t>
      </w:r>
      <w:r w:rsidRPr="00E054D7">
        <w:t>term</w:t>
      </w:r>
      <w:r w:rsidR="00F41C7E">
        <w:t xml:space="preserve">. </w:t>
      </w:r>
      <w:r w:rsidRPr="00E054D7">
        <w:t>The data presentation indicated considerable cro</w:t>
      </w:r>
      <w:r w:rsidR="00A36AA9">
        <w:t>ssover between response and non</w:t>
      </w:r>
      <w:r w:rsidR="00F97AD3">
        <w:t>-</w:t>
      </w:r>
      <w:r w:rsidRPr="00E054D7">
        <w:t>response and it was not possible to account for concurrent treatments that may have modulated response.</w:t>
      </w:r>
    </w:p>
    <w:p w:rsidR="00E054D7" w:rsidRPr="00E054D7" w:rsidRDefault="00E054D7" w:rsidP="00E054D7">
      <w:r w:rsidRPr="00E054D7">
        <w:t>In addition to the primary efficacy outcome variable, the secondary efficacy outcome variables were supportive of efficacy</w:t>
      </w:r>
      <w:r w:rsidR="00F41C7E">
        <w:t xml:space="preserve">. </w:t>
      </w:r>
      <w:r w:rsidRPr="00E054D7">
        <w:t xml:space="preserve">There were more </w:t>
      </w:r>
      <w:proofErr w:type="spellStart"/>
      <w:r w:rsidRPr="00E054D7">
        <w:t>ACRpaed</w:t>
      </w:r>
      <w:proofErr w:type="spellEnd"/>
      <w:r w:rsidRPr="00E054D7">
        <w:t xml:space="preserve"> 50 and 70 responders in the </w:t>
      </w:r>
      <w:proofErr w:type="spellStart"/>
      <w:r w:rsidRPr="00E054D7">
        <w:t>anakinra</w:t>
      </w:r>
      <w:proofErr w:type="spellEnd"/>
      <w:r w:rsidRPr="00E054D7">
        <w:t xml:space="preserve"> group than in the placebo</w:t>
      </w:r>
      <w:r w:rsidR="00F41C7E">
        <w:t xml:space="preserve">. </w:t>
      </w:r>
      <w:r w:rsidRPr="00E054D7">
        <w:t xml:space="preserve">There were greater improvements in the </w:t>
      </w:r>
      <w:proofErr w:type="spellStart"/>
      <w:r w:rsidRPr="00E054D7">
        <w:t>anakinra</w:t>
      </w:r>
      <w:proofErr w:type="spellEnd"/>
      <w:r w:rsidRPr="00E054D7">
        <w:t xml:space="preserve"> group for most of the remaining efficacy outcome measures, although these were not statistically significant</w:t>
      </w:r>
      <w:r w:rsidR="00AB675F">
        <w:t>.</w:t>
      </w:r>
    </w:p>
    <w:p w:rsidR="00E054D7" w:rsidRPr="00E054D7" w:rsidRDefault="00FB1C42" w:rsidP="00E054D7">
      <w:r>
        <w:t>The age range</w:t>
      </w:r>
      <w:r w:rsidR="00E054D7" w:rsidRPr="00E054D7">
        <w:t xml:space="preserve"> and distribution of ages, for the study subjects included in Quartier </w:t>
      </w:r>
      <w:r w:rsidR="001974C5">
        <w:t>et</w:t>
      </w:r>
      <w:r w:rsidR="00E054D7" w:rsidRPr="00E054D7">
        <w:t xml:space="preserve"> </w:t>
      </w:r>
      <w:r w:rsidR="001974C5">
        <w:t>al</w:t>
      </w:r>
      <w:r w:rsidR="00F97AD3">
        <w:t>.</w:t>
      </w:r>
      <w:r w:rsidR="00E054D7" w:rsidRPr="00E054D7">
        <w:t xml:space="preserve"> was not provided</w:t>
      </w:r>
      <w:r w:rsidR="00F41C7E">
        <w:t xml:space="preserve">. </w:t>
      </w:r>
      <w:r w:rsidR="00E054D7" w:rsidRPr="00E054D7">
        <w:t>Hence it is not possible to determine whether the age range represented by the proposed indication was studied in the pivotal study</w:t>
      </w:r>
      <w:r w:rsidR="00F41C7E">
        <w:t xml:space="preserve">. </w:t>
      </w:r>
      <w:r w:rsidR="00E054D7" w:rsidRPr="00E054D7">
        <w:t xml:space="preserve">Other than this, it appears that the population studied in the pivotal study </w:t>
      </w:r>
      <w:r w:rsidR="00F97AD3">
        <w:t>is</w:t>
      </w:r>
      <w:r w:rsidR="00F97AD3" w:rsidRPr="00E054D7">
        <w:t xml:space="preserve"> </w:t>
      </w:r>
      <w:r w:rsidR="00E054D7" w:rsidRPr="00E054D7">
        <w:t>similar to those intended</w:t>
      </w:r>
      <w:r w:rsidR="00F97AD3">
        <w:t xml:space="preserve"> for treatment</w:t>
      </w:r>
      <w:r w:rsidR="00E054D7" w:rsidRPr="00E054D7">
        <w:t xml:space="preserve"> in the proposed indication, noting that the efficacy data</w:t>
      </w:r>
      <w:r w:rsidR="00AB675F">
        <w:t xml:space="preserve"> relate only to active disease.</w:t>
      </w:r>
    </w:p>
    <w:p w:rsidR="00E054D7" w:rsidRPr="00E054D7" w:rsidRDefault="00E054D7" w:rsidP="00E054D7">
      <w:r w:rsidRPr="00E054D7">
        <w:t>The data from the pivotal study were pertinent to the indication of SJIA as opposed to other types of JIA/JCA/JRA</w:t>
      </w:r>
      <w:r w:rsidR="00F41C7E">
        <w:t xml:space="preserve">. </w:t>
      </w:r>
      <w:r w:rsidRPr="00E054D7">
        <w:t>The study appears to have been well conducted and is reported in sufficient detail to be acceptable for evaluation</w:t>
      </w:r>
      <w:r w:rsidR="00F41C7E">
        <w:t xml:space="preserve">. </w:t>
      </w:r>
      <w:r w:rsidR="00AB675F">
        <w:t>The p</w:t>
      </w:r>
      <w:r w:rsidRPr="00E054D7">
        <w:t xml:space="preserve">ivotal study appears to be in accordance with the </w:t>
      </w:r>
      <w:r w:rsidR="008E20EA">
        <w:t>committee for medicinal products for human use (</w:t>
      </w:r>
      <w:r w:rsidRPr="00E054D7">
        <w:t>CHMP</w:t>
      </w:r>
      <w:r w:rsidR="008E20EA">
        <w:t>)</w:t>
      </w:r>
      <w:r w:rsidR="000541DB">
        <w:t xml:space="preserve"> g</w:t>
      </w:r>
      <w:r w:rsidRPr="00E054D7">
        <w:t>uideline</w:t>
      </w:r>
      <w:r w:rsidR="00AB675F">
        <w:t>.</w:t>
      </w:r>
      <w:r w:rsidR="00AB675F">
        <w:rPr>
          <w:rStyle w:val="FootnoteReference"/>
        </w:rPr>
        <w:footnoteReference w:id="6"/>
      </w:r>
    </w:p>
    <w:p w:rsidR="00E054D7" w:rsidRPr="00E054D7" w:rsidRDefault="00E054D7" w:rsidP="00E054D7">
      <w:r w:rsidRPr="00E054D7">
        <w:t>However, there are a number of deficiencies in the clinical efficacy data</w:t>
      </w:r>
      <w:r w:rsidR="00F41C7E">
        <w:t xml:space="preserve">. </w:t>
      </w:r>
      <w:r w:rsidRPr="00E054D7">
        <w:t>These are:</w:t>
      </w:r>
    </w:p>
    <w:p w:rsidR="00E054D7" w:rsidRPr="00E054D7" w:rsidRDefault="00E054D7" w:rsidP="00E054D7">
      <w:pPr>
        <w:pStyle w:val="ListBullet"/>
      </w:pPr>
      <w:r w:rsidRPr="00E054D7">
        <w:t>The dose regimen used in the pivotal study is dif</w:t>
      </w:r>
      <w:r w:rsidR="008E20EA">
        <w:t>ferent to that proposed by the s</w:t>
      </w:r>
      <w:r w:rsidRPr="00E054D7">
        <w:t>ponsor</w:t>
      </w:r>
      <w:r w:rsidR="00F41C7E">
        <w:t xml:space="preserve">. </w:t>
      </w:r>
      <w:r w:rsidR="008E20EA">
        <w:t>In the opinion of the e</w:t>
      </w:r>
      <w:r w:rsidRPr="00E054D7">
        <w:t>valuator, the regimen used in the pivotal study is supported by the data and should replace that propose</w:t>
      </w:r>
      <w:r w:rsidR="008E20EA">
        <w:t>d by the s</w:t>
      </w:r>
      <w:r w:rsidRPr="00E054D7">
        <w:t>ponsor.</w:t>
      </w:r>
    </w:p>
    <w:p w:rsidR="00E054D7" w:rsidRPr="00E054D7" w:rsidRDefault="00E054D7" w:rsidP="00E054D7">
      <w:pPr>
        <w:pStyle w:val="ListBullet"/>
      </w:pPr>
      <w:r w:rsidRPr="00E054D7">
        <w:t xml:space="preserve">The </w:t>
      </w:r>
      <w:proofErr w:type="gramStart"/>
      <w:r w:rsidRPr="00E054D7">
        <w:t>efficacy</w:t>
      </w:r>
      <w:proofErr w:type="gramEnd"/>
      <w:r w:rsidRPr="00E054D7">
        <w:t xml:space="preserve"> data are primarily literature based and are not reported in detail.</w:t>
      </w:r>
    </w:p>
    <w:p w:rsidR="00E054D7" w:rsidRPr="00E054D7" w:rsidRDefault="00E054D7" w:rsidP="00E054D7">
      <w:pPr>
        <w:pStyle w:val="ListBullet"/>
      </w:pPr>
      <w:r w:rsidRPr="00E054D7">
        <w:t>There were insufficient data to support a maximum dose, specifically a maximum dose of 4 mg/kg/day.</w:t>
      </w:r>
    </w:p>
    <w:p w:rsidR="00E054D7" w:rsidRPr="00E054D7" w:rsidRDefault="00E054D7" w:rsidP="00E054D7">
      <w:pPr>
        <w:pStyle w:val="ListBullet"/>
      </w:pPr>
      <w:r w:rsidRPr="00E054D7">
        <w:t xml:space="preserve">There were insufficient data to support efficacy </w:t>
      </w:r>
      <w:r w:rsidR="000541DB">
        <w:t>in</w:t>
      </w:r>
      <w:r w:rsidRPr="00E054D7">
        <w:t xml:space="preserve"> combination therapy.</w:t>
      </w:r>
    </w:p>
    <w:p w:rsidR="00E054D7" w:rsidRPr="00E054D7" w:rsidRDefault="00E054D7" w:rsidP="00E054D7">
      <w:pPr>
        <w:pStyle w:val="ListBullet"/>
      </w:pPr>
      <w:r w:rsidRPr="00E054D7">
        <w:t>There were inadequate data to support an independent evaluation of combination therapy with DMARDs as a group or as individual agents.</w:t>
      </w:r>
    </w:p>
    <w:p w:rsidR="00E054D7" w:rsidRPr="00E054D7" w:rsidRDefault="00E054D7" w:rsidP="00E054D7">
      <w:pPr>
        <w:pStyle w:val="ListBullet"/>
      </w:pPr>
      <w:r w:rsidRPr="00E054D7">
        <w:t>There were insufficient data to support s</w:t>
      </w:r>
      <w:r w:rsidR="008E20EA">
        <w:t xml:space="preserve">ustained efficacy over the long </w:t>
      </w:r>
      <w:r w:rsidRPr="00E054D7">
        <w:t>term (</w:t>
      </w:r>
      <w:r w:rsidR="00325F8B">
        <w:t>that is</w:t>
      </w:r>
      <w:r w:rsidRPr="00E054D7">
        <w:t xml:space="preserve"> 6 months or longer).</w:t>
      </w:r>
    </w:p>
    <w:p w:rsidR="00E054D7" w:rsidRPr="00E054D7" w:rsidRDefault="00E054D7" w:rsidP="008831B9">
      <w:r w:rsidRPr="00E054D7">
        <w:t>The intended indication is rare and Orphan Drug Designation applies to the paediatric age groups (but not to the adult)</w:t>
      </w:r>
      <w:r w:rsidR="00F41C7E">
        <w:t xml:space="preserve">. </w:t>
      </w:r>
      <w:r w:rsidRPr="00E054D7">
        <w:t>Recruitment for clinical trials for this condition is difficult and would require collaboration between many large centres for paediatric rheumatology</w:t>
      </w:r>
      <w:r w:rsidR="008E20EA">
        <w:t>.</w:t>
      </w:r>
    </w:p>
    <w:p w:rsidR="00E054D7" w:rsidRPr="00E054D7" w:rsidRDefault="00E054D7" w:rsidP="008831B9">
      <w:r w:rsidRPr="00E054D7">
        <w:t>As stated above, the dose regimen used in the pivotal study is dif</w:t>
      </w:r>
      <w:r w:rsidR="008E20EA">
        <w:t>ferent to that proposed by the s</w:t>
      </w:r>
      <w:r w:rsidRPr="00E054D7">
        <w:t>pon</w:t>
      </w:r>
      <w:r w:rsidR="00FB1C42">
        <w:t>sor</w:t>
      </w:r>
      <w:r w:rsidR="008E20EA">
        <w:t xml:space="preserve"> and in the opinion of the e</w:t>
      </w:r>
      <w:r w:rsidRPr="00E054D7">
        <w:t>valuator, the regimen used in the pivotal study is supported by the data and should replace that proposed</w:t>
      </w:r>
      <w:r w:rsidR="008E20EA">
        <w:t xml:space="preserve"> by the s</w:t>
      </w:r>
      <w:r w:rsidRPr="00E054D7">
        <w:t>ponsor</w:t>
      </w:r>
      <w:r w:rsidR="00F41C7E">
        <w:t xml:space="preserve">. </w:t>
      </w:r>
      <w:r w:rsidRPr="00E054D7">
        <w:t>However</w:t>
      </w:r>
      <w:r w:rsidR="008E20EA">
        <w:t xml:space="preserve"> the PK data available to the s</w:t>
      </w:r>
      <w:r w:rsidRPr="00E054D7">
        <w:t>ponsor could be explored using population PK</w:t>
      </w:r>
      <w:r w:rsidR="00DD32B3">
        <w:t>/</w:t>
      </w:r>
      <w:r w:rsidRPr="00E054D7">
        <w:t>PD methods in order to support a dosing regimen.</w:t>
      </w:r>
    </w:p>
    <w:p w:rsidR="00605AD4" w:rsidRDefault="00605AD4" w:rsidP="00605AD4">
      <w:pPr>
        <w:pStyle w:val="Heading4"/>
      </w:pPr>
      <w:r w:rsidRPr="00605AD4">
        <w:lastRenderedPageBreak/>
        <w:t>First round assessment of risks</w:t>
      </w:r>
    </w:p>
    <w:p w:rsidR="003A6DF9" w:rsidRPr="003A6DF9" w:rsidRDefault="003A6DF9" w:rsidP="003A6DF9">
      <w:r>
        <w:t>The first round assessment of risks is the same as those stated in the clinical evaluator’s conclusions of safety.</w:t>
      </w:r>
    </w:p>
    <w:p w:rsidR="00605AD4" w:rsidRPr="00605AD4" w:rsidRDefault="00605AD4" w:rsidP="00605AD4">
      <w:pPr>
        <w:pStyle w:val="Heading4"/>
      </w:pPr>
      <w:r w:rsidRPr="00605AD4">
        <w:t>First round assessment of benefit-risk balance</w:t>
      </w:r>
    </w:p>
    <w:p w:rsidR="00E054D7" w:rsidRPr="00E054D7" w:rsidRDefault="00E054D7" w:rsidP="00E054D7">
      <w:r w:rsidRPr="00E054D7">
        <w:t xml:space="preserve">The benefit-risk balance of </w:t>
      </w:r>
      <w:proofErr w:type="spellStart"/>
      <w:r w:rsidRPr="00E054D7">
        <w:t>anakinra</w:t>
      </w:r>
      <w:proofErr w:type="spellEnd"/>
      <w:r w:rsidRPr="00E054D7">
        <w:t xml:space="preserve"> is unfavo</w:t>
      </w:r>
      <w:r w:rsidR="000541DB">
        <w:t>urable given the proposed usage</w:t>
      </w:r>
      <w:r w:rsidRPr="00E054D7">
        <w:t xml:space="preserve"> because of </w:t>
      </w:r>
      <w:r w:rsidR="000541DB">
        <w:t xml:space="preserve">there not being </w:t>
      </w:r>
      <w:r w:rsidRPr="00E054D7">
        <w:t>sufficient data supporting sustained efficacy.</w:t>
      </w:r>
    </w:p>
    <w:p w:rsidR="00605AD4" w:rsidRPr="00605AD4" w:rsidRDefault="00605AD4" w:rsidP="00605AD4">
      <w:pPr>
        <w:pStyle w:val="Heading3"/>
        <w:rPr>
          <w:rFonts w:eastAsia="Cambria"/>
        </w:rPr>
      </w:pPr>
      <w:bookmarkStart w:id="103" w:name="_Toc436300046"/>
      <w:r w:rsidRPr="00605AD4">
        <w:rPr>
          <w:rFonts w:eastAsia="Cambria"/>
        </w:rPr>
        <w:t xml:space="preserve">First </w:t>
      </w:r>
      <w:r w:rsidR="008831B9">
        <w:rPr>
          <w:rFonts w:eastAsia="Cambria"/>
        </w:rPr>
        <w:t>r</w:t>
      </w:r>
      <w:r w:rsidRPr="00605AD4">
        <w:rPr>
          <w:rFonts w:eastAsia="Cambria"/>
        </w:rPr>
        <w:t xml:space="preserve">ound </w:t>
      </w:r>
      <w:r w:rsidR="008831B9">
        <w:rPr>
          <w:rFonts w:eastAsia="Cambria"/>
        </w:rPr>
        <w:t>r</w:t>
      </w:r>
      <w:r w:rsidRPr="00605AD4">
        <w:rPr>
          <w:rFonts w:eastAsia="Cambria"/>
        </w:rPr>
        <w:t xml:space="preserve">ecommendation </w:t>
      </w:r>
      <w:r w:rsidR="008831B9">
        <w:rPr>
          <w:rFonts w:eastAsia="Cambria"/>
        </w:rPr>
        <w:t>r</w:t>
      </w:r>
      <w:r w:rsidRPr="00605AD4">
        <w:rPr>
          <w:rFonts w:eastAsia="Cambria"/>
        </w:rPr>
        <w:t xml:space="preserve">egarding </w:t>
      </w:r>
      <w:r w:rsidR="008831B9">
        <w:rPr>
          <w:rFonts w:eastAsia="Cambria"/>
        </w:rPr>
        <w:t>a</w:t>
      </w:r>
      <w:r w:rsidRPr="00605AD4">
        <w:rPr>
          <w:rFonts w:eastAsia="Cambria"/>
        </w:rPr>
        <w:t>uthorisation</w:t>
      </w:r>
      <w:bookmarkEnd w:id="103"/>
    </w:p>
    <w:p w:rsidR="00E054D7" w:rsidRPr="00E054D7" w:rsidRDefault="000541DB" w:rsidP="00E054D7">
      <w:r>
        <w:t>The e</w:t>
      </w:r>
      <w:r w:rsidR="00E054D7" w:rsidRPr="00E054D7">
        <w:t>valuator recommends rejection of the application for the extension of indicat</w:t>
      </w:r>
      <w:r w:rsidR="008E20EA">
        <w:t xml:space="preserve">ions for </w:t>
      </w:r>
      <w:proofErr w:type="spellStart"/>
      <w:r w:rsidR="008E20EA">
        <w:t>Kineret</w:t>
      </w:r>
      <w:proofErr w:type="spellEnd"/>
      <w:r w:rsidR="008E20EA">
        <w:t xml:space="preserve"> (</w:t>
      </w:r>
      <w:proofErr w:type="spellStart"/>
      <w:r w:rsidR="008E20EA">
        <w:t>anakinra</w:t>
      </w:r>
      <w:proofErr w:type="spellEnd"/>
      <w:r w:rsidR="008E20EA">
        <w:t>) to:</w:t>
      </w:r>
    </w:p>
    <w:p w:rsidR="00E054D7" w:rsidRPr="00E054D7" w:rsidRDefault="00E054D7" w:rsidP="00E054D7">
      <w:pPr>
        <w:rPr>
          <w:i/>
        </w:rPr>
      </w:pPr>
      <w:proofErr w:type="spellStart"/>
      <w:r w:rsidRPr="00E054D7">
        <w:rPr>
          <w:i/>
        </w:rPr>
        <w:t>Kineret</w:t>
      </w:r>
      <w:proofErr w:type="spellEnd"/>
      <w:r w:rsidRPr="00E054D7">
        <w:rPr>
          <w:i/>
        </w:rPr>
        <w:t xml:space="preserve"> (</w:t>
      </w:r>
      <w:proofErr w:type="spellStart"/>
      <w:r w:rsidRPr="00E054D7">
        <w:rPr>
          <w:i/>
        </w:rPr>
        <w:t>anakinra</w:t>
      </w:r>
      <w:proofErr w:type="spellEnd"/>
      <w:r w:rsidRPr="00E054D7">
        <w:rPr>
          <w:i/>
        </w:rPr>
        <w:t>) is indica</w:t>
      </w:r>
      <w:r w:rsidR="00A54C1D">
        <w:rPr>
          <w:i/>
        </w:rPr>
        <w:t>ted</w:t>
      </w:r>
    </w:p>
    <w:p w:rsidR="00E054D7" w:rsidRPr="00E054D7" w:rsidRDefault="00E054D7" w:rsidP="00E054D7">
      <w:pPr>
        <w:pStyle w:val="ListBullet"/>
        <w:rPr>
          <w:i/>
        </w:rPr>
      </w:pPr>
      <w:proofErr w:type="gramStart"/>
      <w:r w:rsidRPr="00E054D7">
        <w:rPr>
          <w:i/>
        </w:rPr>
        <w:t>for</w:t>
      </w:r>
      <w:proofErr w:type="gramEnd"/>
      <w:r w:rsidRPr="00E054D7">
        <w:rPr>
          <w:i/>
        </w:rPr>
        <w:t xml:space="preserve"> the treatment of active Systemic Juvenile Idiopathic Arthritis (SJIA)</w:t>
      </w:r>
      <w:r w:rsidR="00F41C7E">
        <w:rPr>
          <w:i/>
        </w:rPr>
        <w:t xml:space="preserve">. </w:t>
      </w:r>
      <w:proofErr w:type="spellStart"/>
      <w:r w:rsidRPr="00E054D7">
        <w:rPr>
          <w:i/>
        </w:rPr>
        <w:t>Kineret</w:t>
      </w:r>
      <w:proofErr w:type="spellEnd"/>
      <w:r w:rsidRPr="00E054D7">
        <w:rPr>
          <w:i/>
        </w:rPr>
        <w:t xml:space="preserve"> may be used alone or in</w:t>
      </w:r>
      <w:r w:rsidR="00A54C1D">
        <w:rPr>
          <w:i/>
        </w:rPr>
        <w:t xml:space="preserve"> combination with other DMARDs.</w:t>
      </w:r>
    </w:p>
    <w:p w:rsidR="00E054D7" w:rsidRPr="00E054D7" w:rsidRDefault="00E054D7" w:rsidP="00E054D7">
      <w:r w:rsidRPr="00E054D7">
        <w:t>The reasons for recommending rejection of the application are:</w:t>
      </w:r>
    </w:p>
    <w:p w:rsidR="00E054D7" w:rsidRPr="00E054D7" w:rsidRDefault="008E20EA" w:rsidP="00E054D7">
      <w:pPr>
        <w:pStyle w:val="ListBullet"/>
      </w:pPr>
      <w:r>
        <w:t>In the opinion of the e</w:t>
      </w:r>
      <w:r w:rsidR="00FB1C42">
        <w:t>valuator the p</w:t>
      </w:r>
      <w:r w:rsidR="00E054D7" w:rsidRPr="00E054D7">
        <w:t>ivotal study only relate</w:t>
      </w:r>
      <w:r w:rsidR="00FB1C42">
        <w:t>s</w:t>
      </w:r>
      <w:r w:rsidR="00E054D7" w:rsidRPr="00E054D7">
        <w:t xml:space="preserve"> to the efficacy of </w:t>
      </w:r>
      <w:proofErr w:type="spellStart"/>
      <w:r w:rsidR="00E054D7" w:rsidRPr="00E054D7">
        <w:t>anakinra</w:t>
      </w:r>
      <w:proofErr w:type="spellEnd"/>
      <w:r w:rsidR="00E054D7" w:rsidRPr="00E054D7">
        <w:t xml:space="preserve"> in </w:t>
      </w:r>
      <w:r w:rsidR="005D252D">
        <w:t>S</w:t>
      </w:r>
      <w:r w:rsidR="00E054D7" w:rsidRPr="00E054D7">
        <w:t>JIA as monotherapy and not in</w:t>
      </w:r>
      <w:r>
        <w:t xml:space="preserve"> combination with other DMARDs.</w:t>
      </w:r>
    </w:p>
    <w:p w:rsidR="00E054D7" w:rsidRPr="00E054D7" w:rsidRDefault="00E054D7" w:rsidP="00E054D7">
      <w:pPr>
        <w:pStyle w:val="ListBullet"/>
      </w:pPr>
      <w:r w:rsidRPr="00E054D7">
        <w:t>The age distribution of the subjects studied in the pivotal study is not presented in sufficient detail to demonstrate efficacy across the age range sought in the application.</w:t>
      </w:r>
    </w:p>
    <w:p w:rsidR="00E054D7" w:rsidRPr="00E054D7" w:rsidRDefault="00E054D7" w:rsidP="00E054D7">
      <w:pPr>
        <w:pStyle w:val="ListBullet"/>
      </w:pPr>
      <w:r w:rsidRPr="00E054D7">
        <w:t>There is no compe</w:t>
      </w:r>
      <w:r w:rsidR="008E20EA">
        <w:t xml:space="preserve">lling evidence of sustained long </w:t>
      </w:r>
      <w:r w:rsidRPr="00E054D7">
        <w:t>term benefit.</w:t>
      </w:r>
    </w:p>
    <w:p w:rsidR="00E054D7" w:rsidRPr="00E054D7" w:rsidRDefault="00E054D7" w:rsidP="00E054D7">
      <w:pPr>
        <w:pStyle w:val="ListBullet"/>
      </w:pPr>
      <w:r w:rsidRPr="00E054D7">
        <w:t>The size of</w:t>
      </w:r>
      <w:r w:rsidR="00FB1C42">
        <w:t xml:space="preserve"> the population studied in the p</w:t>
      </w:r>
      <w:r w:rsidRPr="00E054D7">
        <w:t>ivotal study was small (24 subjects).</w:t>
      </w:r>
    </w:p>
    <w:p w:rsidR="00605AD4" w:rsidRPr="00605AD4" w:rsidRDefault="008E20EA" w:rsidP="00605AD4">
      <w:pPr>
        <w:pStyle w:val="ListBullet"/>
      </w:pPr>
      <w:r>
        <w:t>In the opinion of the e</w:t>
      </w:r>
      <w:r w:rsidR="00E054D7" w:rsidRPr="00E054D7">
        <w:t>valuator there is inconsistency betwe</w:t>
      </w:r>
      <w:r>
        <w:t>en the dose recommended by the s</w:t>
      </w:r>
      <w:r w:rsidR="00E054D7" w:rsidRPr="00E054D7">
        <w:t>ponsor and that used in the pivotal study</w:t>
      </w:r>
      <w:r w:rsidR="00F41C7E">
        <w:t xml:space="preserve">. </w:t>
      </w:r>
      <w:r w:rsidR="00E054D7" w:rsidRPr="00E054D7">
        <w:t>In addition, there has been inadequate analysis of the PK and PD data available</w:t>
      </w:r>
      <w:r>
        <w:t xml:space="preserve"> to the s</w:t>
      </w:r>
      <w:r w:rsidR="00E054D7" w:rsidRPr="00E054D7">
        <w:t>ponsor</w:t>
      </w:r>
      <w:r w:rsidR="00F41C7E">
        <w:t xml:space="preserve">. </w:t>
      </w:r>
      <w:r>
        <w:t>In the opinion of the evaluator the s</w:t>
      </w:r>
      <w:r w:rsidR="00E054D7" w:rsidRPr="00E054D7">
        <w:t>ponsor should conduct further analysis of these data using a population PK</w:t>
      </w:r>
      <w:r w:rsidR="00DD32B3">
        <w:t>/</w:t>
      </w:r>
      <w:r w:rsidR="00E054D7" w:rsidRPr="00E054D7">
        <w:t>PD approach, and reconsider the dosing regimen using all the data available.</w:t>
      </w:r>
    </w:p>
    <w:p w:rsidR="00605AD4" w:rsidRPr="00605AD4" w:rsidRDefault="00605AD4" w:rsidP="00605AD4">
      <w:pPr>
        <w:pStyle w:val="Heading3"/>
        <w:rPr>
          <w:rFonts w:eastAsia="Cambria"/>
        </w:rPr>
      </w:pPr>
      <w:bookmarkStart w:id="104" w:name="_Toc436300047"/>
      <w:r w:rsidRPr="00605AD4">
        <w:rPr>
          <w:rFonts w:eastAsia="Cambria"/>
        </w:rPr>
        <w:t xml:space="preserve">Clinical </w:t>
      </w:r>
      <w:r w:rsidR="008831B9">
        <w:rPr>
          <w:rFonts w:eastAsia="Cambria"/>
        </w:rPr>
        <w:t>q</w:t>
      </w:r>
      <w:r w:rsidRPr="00605AD4">
        <w:rPr>
          <w:rFonts w:eastAsia="Cambria"/>
        </w:rPr>
        <w:t>uestions</w:t>
      </w:r>
      <w:bookmarkEnd w:id="104"/>
    </w:p>
    <w:p w:rsidR="00E054D7" w:rsidRPr="00E054D7" w:rsidRDefault="00E054D7" w:rsidP="00E054D7">
      <w:pPr>
        <w:pStyle w:val="Heading4"/>
      </w:pPr>
      <w:bookmarkStart w:id="105" w:name="_Toc272414702"/>
      <w:bookmarkStart w:id="106" w:name="_Toc290846342"/>
      <w:bookmarkStart w:id="107" w:name="_Toc404962198"/>
      <w:r w:rsidRPr="00E054D7">
        <w:t>Pharmacokinetics</w:t>
      </w:r>
      <w:bookmarkEnd w:id="105"/>
      <w:bookmarkEnd w:id="106"/>
      <w:bookmarkEnd w:id="107"/>
    </w:p>
    <w:p w:rsidR="00E054D7" w:rsidRPr="00E054D7" w:rsidRDefault="00FB1C42" w:rsidP="008831B9">
      <w:pPr>
        <w:pStyle w:val="Numberbullet0"/>
      </w:pPr>
      <w:r>
        <w:t>Does the s</w:t>
      </w:r>
      <w:r w:rsidR="00E054D7" w:rsidRPr="00E054D7">
        <w:t>ponsor have results from a population PK study using the PK data from the paediatric subjects?</w:t>
      </w:r>
    </w:p>
    <w:p w:rsidR="00E054D7" w:rsidRPr="00E054D7" w:rsidRDefault="00E054D7" w:rsidP="00E054D7">
      <w:pPr>
        <w:pStyle w:val="Heading4"/>
      </w:pPr>
      <w:bookmarkStart w:id="108" w:name="_Toc272414703"/>
      <w:bookmarkStart w:id="109" w:name="_Toc290846343"/>
      <w:bookmarkStart w:id="110" w:name="_Toc404962199"/>
      <w:r w:rsidRPr="00E054D7">
        <w:t>Pharmacodynamics</w:t>
      </w:r>
      <w:bookmarkEnd w:id="108"/>
      <w:bookmarkEnd w:id="109"/>
      <w:bookmarkEnd w:id="110"/>
    </w:p>
    <w:p w:rsidR="00E054D7" w:rsidRPr="00E054D7" w:rsidRDefault="00FB1C42" w:rsidP="008E20EA">
      <w:pPr>
        <w:pStyle w:val="Numberbullet0"/>
      </w:pPr>
      <w:r>
        <w:t>Does the s</w:t>
      </w:r>
      <w:r w:rsidR="00E054D7" w:rsidRPr="00E054D7">
        <w:t>ponsor have results from a population PK</w:t>
      </w:r>
      <w:r w:rsidR="00DD32B3">
        <w:t>/</w:t>
      </w:r>
      <w:r w:rsidR="00E054D7" w:rsidRPr="00E054D7">
        <w:t>PD study using the PK and outcome data from the paediatric subjects?</w:t>
      </w:r>
    </w:p>
    <w:p w:rsidR="00E054D7" w:rsidRPr="00E054D7" w:rsidRDefault="00E054D7" w:rsidP="00E054D7">
      <w:pPr>
        <w:pStyle w:val="Heading4"/>
      </w:pPr>
      <w:bookmarkStart w:id="111" w:name="_Toc272414704"/>
      <w:bookmarkStart w:id="112" w:name="_Toc290846344"/>
      <w:bookmarkStart w:id="113" w:name="_Toc404962200"/>
      <w:r w:rsidRPr="00E054D7">
        <w:t>Efficacy</w:t>
      </w:r>
      <w:bookmarkEnd w:id="111"/>
      <w:bookmarkEnd w:id="112"/>
      <w:bookmarkEnd w:id="113"/>
    </w:p>
    <w:p w:rsidR="00E054D7" w:rsidRPr="00E054D7" w:rsidRDefault="00E054D7" w:rsidP="008E20EA">
      <w:pPr>
        <w:pStyle w:val="Numberbullet0"/>
      </w:pPr>
      <w:r w:rsidRPr="00E054D7">
        <w:t xml:space="preserve">What is the justification for the 1 mg/kg/day starting dose proposed by the </w:t>
      </w:r>
      <w:r w:rsidR="00FB1C42">
        <w:t>sponsor</w:t>
      </w:r>
      <w:r w:rsidRPr="00E054D7">
        <w:t>, given that the starting dose in the pivotal study was 2 mg/kg/day?</w:t>
      </w:r>
    </w:p>
    <w:p w:rsidR="00E054D7" w:rsidRPr="00E054D7" w:rsidRDefault="00E054D7" w:rsidP="008E20EA">
      <w:pPr>
        <w:pStyle w:val="Numberbullet0"/>
      </w:pPr>
      <w:r w:rsidRPr="00E054D7">
        <w:t xml:space="preserve">In the report pivotal study, Quartier </w:t>
      </w:r>
      <w:r w:rsidR="001974C5">
        <w:t>et</w:t>
      </w:r>
      <w:r w:rsidRPr="00E054D7">
        <w:t xml:space="preserve"> </w:t>
      </w:r>
      <w:r w:rsidR="001974C5">
        <w:t>al</w:t>
      </w:r>
      <w:r w:rsidRPr="00E054D7">
        <w:t>, the age range of the subjects at baseline was not reported</w:t>
      </w:r>
      <w:r w:rsidR="00F41C7E">
        <w:t xml:space="preserve">. </w:t>
      </w:r>
      <w:r w:rsidRPr="00E054D7">
        <w:t xml:space="preserve">The </w:t>
      </w:r>
      <w:r w:rsidR="00FB1C42">
        <w:t>sponsor</w:t>
      </w:r>
      <w:r w:rsidRPr="00E054D7">
        <w:t xml:space="preserve"> should provide a tabulation of the number of subjects for each year of age that were included in the study.</w:t>
      </w:r>
    </w:p>
    <w:p w:rsidR="00E054D7" w:rsidRPr="00E054D7" w:rsidRDefault="00E054D7" w:rsidP="008E20EA">
      <w:pPr>
        <w:pStyle w:val="Numberbullet0"/>
      </w:pPr>
      <w:r w:rsidRPr="00E054D7">
        <w:lastRenderedPageBreak/>
        <w:t>What was the definition of SJIA that was used in the inclusion criteria for Study 990758?</w:t>
      </w:r>
    </w:p>
    <w:p w:rsidR="00E054D7" w:rsidRPr="00E054D7" w:rsidRDefault="00E054D7" w:rsidP="00E054D7">
      <w:pPr>
        <w:pStyle w:val="Heading4"/>
      </w:pPr>
      <w:bookmarkStart w:id="114" w:name="_Toc272414705"/>
      <w:bookmarkStart w:id="115" w:name="_Toc290846345"/>
      <w:bookmarkStart w:id="116" w:name="_Toc404962201"/>
      <w:r w:rsidRPr="00E054D7">
        <w:t>Safety</w:t>
      </w:r>
      <w:bookmarkEnd w:id="114"/>
      <w:bookmarkEnd w:id="115"/>
      <w:bookmarkEnd w:id="116"/>
    </w:p>
    <w:p w:rsidR="00E054D7" w:rsidRPr="00E054D7" w:rsidRDefault="00E054D7" w:rsidP="008E20EA">
      <w:pPr>
        <w:pStyle w:val="Numberbullet0"/>
      </w:pPr>
      <w:r w:rsidRPr="00E054D7">
        <w:t>In Study 990779 how many of the subjects included in the stud</w:t>
      </w:r>
      <w:r w:rsidR="008E20EA">
        <w:t>y had been diagnosed with SJIA?</w:t>
      </w:r>
      <w:r w:rsidRPr="00E054D7">
        <w:t xml:space="preserve"> What was the outcome for these subjects (efficacy and safety)?</w:t>
      </w:r>
    </w:p>
    <w:p w:rsidR="00E054D7" w:rsidRPr="00E054D7" w:rsidRDefault="00E054D7" w:rsidP="008E20EA">
      <w:pPr>
        <w:pStyle w:val="Numberbullet0"/>
      </w:pPr>
      <w:r w:rsidRPr="00E054D7">
        <w:t xml:space="preserve">Does the </w:t>
      </w:r>
      <w:r w:rsidR="00FB1C42">
        <w:t>sponsor</w:t>
      </w:r>
      <w:r w:rsidRPr="00E054D7">
        <w:t xml:space="preserve"> have any additional information about the trial described in the PSUR that used d</w:t>
      </w:r>
      <w:r w:rsidR="008E20EA">
        <w:t xml:space="preserve">oses up to 20,900 mg/24 hours? </w:t>
      </w:r>
      <w:r w:rsidRPr="00E054D7">
        <w:t>What was the indication studied?</w:t>
      </w:r>
    </w:p>
    <w:p w:rsidR="00605AD4" w:rsidRPr="00605AD4" w:rsidRDefault="00E054D7" w:rsidP="008E20EA">
      <w:pPr>
        <w:pStyle w:val="Numberbullet0"/>
      </w:pPr>
      <w:r w:rsidRPr="00E054D7">
        <w:t xml:space="preserve">Of the subjects treated with </w:t>
      </w:r>
      <w:proofErr w:type="spellStart"/>
      <w:r w:rsidRPr="00E054D7">
        <w:t>anakinra</w:t>
      </w:r>
      <w:proofErr w:type="spellEnd"/>
      <w:r w:rsidRPr="00E054D7">
        <w:t xml:space="preserve"> who developed MAS, did their SJIA initially respond to </w:t>
      </w:r>
      <w:proofErr w:type="spellStart"/>
      <w:r w:rsidRPr="00E054D7">
        <w:t>anakinra</w:t>
      </w:r>
      <w:proofErr w:type="spellEnd"/>
      <w:r w:rsidRPr="00E054D7">
        <w:t>?</w:t>
      </w:r>
    </w:p>
    <w:p w:rsidR="00605AD4" w:rsidRPr="00605AD4" w:rsidRDefault="00605AD4" w:rsidP="00605AD4">
      <w:pPr>
        <w:pStyle w:val="Heading3"/>
        <w:rPr>
          <w:rFonts w:eastAsia="Cambria"/>
        </w:rPr>
      </w:pPr>
      <w:bookmarkStart w:id="117" w:name="_Toc436300048"/>
      <w:r w:rsidRPr="00605AD4">
        <w:rPr>
          <w:rFonts w:eastAsia="Cambria"/>
        </w:rPr>
        <w:t xml:space="preserve">Second </w:t>
      </w:r>
      <w:r w:rsidR="008831B9">
        <w:rPr>
          <w:rFonts w:eastAsia="Cambria"/>
        </w:rPr>
        <w:t>r</w:t>
      </w:r>
      <w:r w:rsidRPr="00605AD4">
        <w:rPr>
          <w:rFonts w:eastAsia="Cambria"/>
        </w:rPr>
        <w:t xml:space="preserve">ound </w:t>
      </w:r>
      <w:r w:rsidR="008831B9">
        <w:rPr>
          <w:rFonts w:eastAsia="Cambria"/>
        </w:rPr>
        <w:t>e</w:t>
      </w:r>
      <w:r w:rsidRPr="00605AD4">
        <w:rPr>
          <w:rFonts w:eastAsia="Cambria"/>
        </w:rPr>
        <w:t>valuation of clinical data submitted in response to questions</w:t>
      </w:r>
      <w:bookmarkEnd w:id="117"/>
    </w:p>
    <w:p w:rsidR="00461D73" w:rsidRPr="00461D73" w:rsidRDefault="00461D73" w:rsidP="00461D73">
      <w:r w:rsidRPr="00461D73">
        <w:t xml:space="preserve">The </w:t>
      </w:r>
      <w:r w:rsidR="00FB1C42">
        <w:t>sponsor</w:t>
      </w:r>
      <w:r w:rsidRPr="00461D73">
        <w:t xml:space="preserve"> has submitted a detailed response to the clinical questions</w:t>
      </w:r>
      <w:r w:rsidR="00F41C7E">
        <w:t xml:space="preserve">. </w:t>
      </w:r>
      <w:r w:rsidRPr="00461D73">
        <w:t>The response also includes three new references (two of which are recent publications) which provide substantial additional data</w:t>
      </w:r>
      <w:r w:rsidR="00F41C7E">
        <w:t xml:space="preserve">. </w:t>
      </w:r>
      <w:r w:rsidRPr="00461D73">
        <w:t>In summary these references are:</w:t>
      </w:r>
    </w:p>
    <w:p w:rsidR="00461D73" w:rsidRPr="00461D73" w:rsidRDefault="00461D73" w:rsidP="0072537D">
      <w:pPr>
        <w:pStyle w:val="ListBullet"/>
      </w:pPr>
      <w:r w:rsidRPr="00461D73">
        <w:t>Singh et al</w:t>
      </w:r>
      <w:r w:rsidR="00F97AD3">
        <w:t>.</w:t>
      </w:r>
      <w:r w:rsidRPr="00461D73">
        <w:t xml:space="preserve"> </w:t>
      </w:r>
      <w:r w:rsidR="00F97AD3">
        <w:t>(</w:t>
      </w:r>
      <w:r w:rsidRPr="00461D73">
        <w:t>2014</w:t>
      </w:r>
      <w:bookmarkStart w:id="118" w:name="_Ref429391668"/>
      <w:r w:rsidR="00F97AD3">
        <w:t>)</w:t>
      </w:r>
      <w:r w:rsidR="008E20EA">
        <w:rPr>
          <w:rStyle w:val="FootnoteReference"/>
        </w:rPr>
        <w:footnoteReference w:id="7"/>
      </w:r>
      <w:bookmarkEnd w:id="118"/>
      <w:r w:rsidRPr="00461D73">
        <w:t xml:space="preserve"> describes a double blind, randomised controlled trial of high dose </w:t>
      </w:r>
      <w:proofErr w:type="spellStart"/>
      <w:r w:rsidRPr="00461D73">
        <w:t>anakinra</w:t>
      </w:r>
      <w:proofErr w:type="spellEnd"/>
      <w:r w:rsidRPr="00461D73">
        <w:t xml:space="preserve"> as a neuro</w:t>
      </w:r>
      <w:r w:rsidR="001974C5">
        <w:t xml:space="preserve"> </w:t>
      </w:r>
      <w:r w:rsidRPr="00461D73">
        <w:t>protective agent in adult subjects with aneurysmal subarachnoid haemorrhage</w:t>
      </w:r>
      <w:r w:rsidR="00F8349D">
        <w:t>. For further details see Attachment 2.</w:t>
      </w:r>
    </w:p>
    <w:p w:rsidR="00461D73" w:rsidRPr="00461D73" w:rsidRDefault="00461D73" w:rsidP="0072537D">
      <w:pPr>
        <w:pStyle w:val="ListBullet"/>
      </w:pPr>
      <w:proofErr w:type="spellStart"/>
      <w:r w:rsidRPr="00461D73">
        <w:t>Urien</w:t>
      </w:r>
      <w:proofErr w:type="spellEnd"/>
      <w:r w:rsidRPr="00461D73">
        <w:t xml:space="preserve"> et al</w:t>
      </w:r>
      <w:r w:rsidR="00F97AD3">
        <w:t>.</w:t>
      </w:r>
      <w:r w:rsidRPr="00461D73">
        <w:t xml:space="preserve"> </w:t>
      </w:r>
      <w:r w:rsidR="00F97AD3">
        <w:t>(</w:t>
      </w:r>
      <w:r w:rsidRPr="00461D73">
        <w:t>2013</w:t>
      </w:r>
      <w:bookmarkStart w:id="119" w:name="_Ref429146312"/>
      <w:r w:rsidR="00F97AD3">
        <w:t>)</w:t>
      </w:r>
      <w:r w:rsidR="000C6913">
        <w:rPr>
          <w:rStyle w:val="FootnoteReference"/>
        </w:rPr>
        <w:footnoteReference w:id="8"/>
      </w:r>
      <w:bookmarkEnd w:id="119"/>
      <w:r w:rsidRPr="00461D73">
        <w:t xml:space="preserve"> is a report </w:t>
      </w:r>
      <w:r w:rsidR="0072537D">
        <w:t>of a population PK</w:t>
      </w:r>
      <w:r w:rsidR="00DD32B3">
        <w:t>/</w:t>
      </w:r>
      <w:r w:rsidR="0072537D">
        <w:t>PD</w:t>
      </w:r>
      <w:r w:rsidRPr="00461D73">
        <w:t xml:space="preserve"> analysis of </w:t>
      </w:r>
      <w:proofErr w:type="spellStart"/>
      <w:r w:rsidRPr="00461D73">
        <w:t>anakinra</w:t>
      </w:r>
      <w:proofErr w:type="spellEnd"/>
      <w:r w:rsidRPr="00461D73">
        <w:t xml:space="preserve"> conducted in children and adolescents with SJIA and auto</w:t>
      </w:r>
      <w:r w:rsidR="0072537D">
        <w:t xml:space="preserve"> </w:t>
      </w:r>
      <w:r w:rsidRPr="00461D73">
        <w:t>inflammatory syndromes</w:t>
      </w:r>
      <w:r w:rsidR="00F41C7E">
        <w:t xml:space="preserve">. </w:t>
      </w:r>
      <w:r w:rsidRPr="00461D73">
        <w:t>The study included data from 87 subjects aged 8 months to 21 years</w:t>
      </w:r>
      <w:r w:rsidR="00F41C7E">
        <w:t xml:space="preserve">. </w:t>
      </w:r>
      <w:r w:rsidRPr="00461D73">
        <w:t>There were 22 subjects with SJIA with an age range of 2.26 to 16.8 years</w:t>
      </w:r>
      <w:r w:rsidR="0072537D">
        <w:t>. For further details see Attachment 2.</w:t>
      </w:r>
    </w:p>
    <w:p w:rsidR="00461D73" w:rsidRPr="00461D73" w:rsidRDefault="001974C5" w:rsidP="00F8349D">
      <w:pPr>
        <w:pStyle w:val="ListBullet"/>
      </w:pPr>
      <w:proofErr w:type="spellStart"/>
      <w:r>
        <w:t>Vastert</w:t>
      </w:r>
      <w:proofErr w:type="spellEnd"/>
      <w:r>
        <w:t xml:space="preserve"> et al</w:t>
      </w:r>
      <w:r w:rsidR="00F97AD3">
        <w:t>.</w:t>
      </w:r>
      <w:r w:rsidR="00461D73" w:rsidRPr="00461D73">
        <w:t xml:space="preserve"> </w:t>
      </w:r>
      <w:r w:rsidR="00F97AD3">
        <w:t>(</w:t>
      </w:r>
      <w:r w:rsidR="00461D73" w:rsidRPr="00461D73">
        <w:t>2014</w:t>
      </w:r>
      <w:bookmarkStart w:id="120" w:name="_Ref429563282"/>
      <w:r w:rsidR="00F97AD3">
        <w:t>)</w:t>
      </w:r>
      <w:r w:rsidR="0072537D">
        <w:rPr>
          <w:rStyle w:val="FootnoteReference"/>
        </w:rPr>
        <w:footnoteReference w:id="9"/>
      </w:r>
      <w:bookmarkEnd w:id="120"/>
      <w:r w:rsidR="00461D73" w:rsidRPr="00461D73">
        <w:t xml:space="preserve"> is a report of a prospective cohort study of recombinant </w:t>
      </w:r>
      <w:r w:rsidR="007437BE" w:rsidRPr="007437BE">
        <w:t xml:space="preserve">Interleukin-1 receptor antagonist </w:t>
      </w:r>
      <w:r w:rsidR="007437BE">
        <w:t>(</w:t>
      </w:r>
      <w:r w:rsidR="00461D73" w:rsidRPr="00461D73">
        <w:t>IL-1Ra</w:t>
      </w:r>
      <w:r w:rsidR="007437BE">
        <w:t>)</w:t>
      </w:r>
      <w:r w:rsidR="00461D73" w:rsidRPr="00461D73">
        <w:t xml:space="preserve"> (</w:t>
      </w:r>
      <w:proofErr w:type="spellStart"/>
      <w:r w:rsidR="00461D73" w:rsidRPr="00461D73">
        <w:t>anakinra</w:t>
      </w:r>
      <w:proofErr w:type="spellEnd"/>
      <w:r w:rsidR="00461D73" w:rsidRPr="00461D73">
        <w:t xml:space="preserve">) in treatment naïve subjects </w:t>
      </w:r>
      <w:r w:rsidR="005D252D">
        <w:t>(except for indomethacin) with S</w:t>
      </w:r>
      <w:r w:rsidR="00461D73" w:rsidRPr="00461D73">
        <w:t>JIA</w:t>
      </w:r>
      <w:r w:rsidR="00F41C7E">
        <w:t xml:space="preserve">. </w:t>
      </w:r>
      <w:r w:rsidR="00F8349D">
        <w:t>For further details see Attachment 2.</w:t>
      </w:r>
    </w:p>
    <w:p w:rsidR="00461D73" w:rsidRDefault="00461D73" w:rsidP="00461D73">
      <w:pPr>
        <w:pStyle w:val="Heading4"/>
      </w:pPr>
      <w:bookmarkStart w:id="121" w:name="_Toc404962205"/>
      <w:r w:rsidRPr="00461D73">
        <w:t xml:space="preserve">Sponsor’s responses to </w:t>
      </w:r>
      <w:bookmarkEnd w:id="121"/>
      <w:r w:rsidR="00F8349D">
        <w:t>clinical questions</w:t>
      </w:r>
    </w:p>
    <w:p w:rsidR="007437BE" w:rsidRPr="007437BE" w:rsidRDefault="007437BE" w:rsidP="007437BE">
      <w:r>
        <w:t>For details of the sponsor’s response to the clinical questions and the evaluation of the response please see Attachment 2.</w:t>
      </w:r>
    </w:p>
    <w:p w:rsidR="00605AD4" w:rsidRPr="00605AD4" w:rsidRDefault="00605AD4" w:rsidP="00546154">
      <w:pPr>
        <w:pStyle w:val="Heading3"/>
        <w:rPr>
          <w:rFonts w:eastAsia="Cambria"/>
        </w:rPr>
      </w:pPr>
      <w:bookmarkStart w:id="122" w:name="_Toc436300049"/>
      <w:r w:rsidRPr="00605AD4">
        <w:rPr>
          <w:rFonts w:eastAsia="Cambria"/>
        </w:rPr>
        <w:t xml:space="preserve">Second </w:t>
      </w:r>
      <w:r w:rsidR="008831B9">
        <w:rPr>
          <w:rFonts w:eastAsia="Cambria"/>
        </w:rPr>
        <w:t>r</w:t>
      </w:r>
      <w:r w:rsidRPr="00605AD4">
        <w:rPr>
          <w:rFonts w:eastAsia="Cambria"/>
        </w:rPr>
        <w:t xml:space="preserve">ound </w:t>
      </w:r>
      <w:r w:rsidR="008831B9">
        <w:rPr>
          <w:rFonts w:eastAsia="Cambria"/>
        </w:rPr>
        <w:t>b</w:t>
      </w:r>
      <w:r w:rsidRPr="00605AD4">
        <w:rPr>
          <w:rFonts w:eastAsia="Cambria"/>
        </w:rPr>
        <w:t>enefit-</w:t>
      </w:r>
      <w:r w:rsidR="008831B9">
        <w:rPr>
          <w:rFonts w:eastAsia="Cambria"/>
        </w:rPr>
        <w:t>r</w:t>
      </w:r>
      <w:r w:rsidRPr="00605AD4">
        <w:rPr>
          <w:rFonts w:eastAsia="Cambria"/>
        </w:rPr>
        <w:t xml:space="preserve">isk </w:t>
      </w:r>
      <w:r w:rsidR="008831B9">
        <w:rPr>
          <w:rFonts w:eastAsia="Cambria"/>
        </w:rPr>
        <w:t>a</w:t>
      </w:r>
      <w:r w:rsidRPr="00605AD4">
        <w:rPr>
          <w:rFonts w:eastAsia="Cambria"/>
        </w:rPr>
        <w:t>ssessment</w:t>
      </w:r>
      <w:bookmarkEnd w:id="122"/>
    </w:p>
    <w:p w:rsidR="00904439" w:rsidRPr="00904439" w:rsidRDefault="00904439" w:rsidP="00904439">
      <w:pPr>
        <w:pStyle w:val="Heading4"/>
      </w:pPr>
      <w:bookmarkStart w:id="123" w:name="_Toc272414709"/>
      <w:bookmarkStart w:id="124" w:name="_Toc290846349"/>
      <w:bookmarkStart w:id="125" w:name="_Toc290888886"/>
      <w:bookmarkStart w:id="126" w:name="_Toc404962208"/>
      <w:r w:rsidRPr="00904439">
        <w:t>Second round assessment of benefits</w:t>
      </w:r>
      <w:bookmarkEnd w:id="123"/>
      <w:bookmarkEnd w:id="124"/>
      <w:bookmarkEnd w:id="125"/>
      <w:bookmarkEnd w:id="126"/>
    </w:p>
    <w:p w:rsidR="00904439" w:rsidRPr="00904439" w:rsidRDefault="00913F95" w:rsidP="00904439">
      <w:r>
        <w:t>The s</w:t>
      </w:r>
      <w:r w:rsidR="00904439" w:rsidRPr="00904439">
        <w:t>ponsor has provided additional data that have satisfactorily addressed the following concerns:</w:t>
      </w:r>
    </w:p>
    <w:p w:rsidR="00904439" w:rsidRPr="00904439" w:rsidRDefault="00904439" w:rsidP="00904439">
      <w:pPr>
        <w:pStyle w:val="ListBullet"/>
      </w:pPr>
      <w:r w:rsidRPr="00904439">
        <w:t>The dose regimen used in the pivotal study is dif</w:t>
      </w:r>
      <w:r w:rsidR="00913F95">
        <w:t>ferent to that proposed by the s</w:t>
      </w:r>
      <w:r w:rsidRPr="00904439">
        <w:t>ponsor</w:t>
      </w:r>
      <w:r w:rsidR="00F41C7E">
        <w:t xml:space="preserve">. </w:t>
      </w:r>
      <w:r w:rsidR="00913F95">
        <w:t>In the opinion of the e</w:t>
      </w:r>
      <w:r w:rsidRPr="00904439">
        <w:t>valuator, the regimen used in the pivotal study is supported by the data and shoul</w:t>
      </w:r>
      <w:r w:rsidR="00913F95">
        <w:t>d replace that proposed by the s</w:t>
      </w:r>
      <w:r w:rsidR="00A54C1D">
        <w:t>ponsor</w:t>
      </w:r>
    </w:p>
    <w:p w:rsidR="00904439" w:rsidRPr="00904439" w:rsidRDefault="00904439" w:rsidP="00904439">
      <w:pPr>
        <w:pStyle w:val="ListBullet"/>
      </w:pPr>
      <w:r w:rsidRPr="00904439">
        <w:lastRenderedPageBreak/>
        <w:t>The efficacy data are primarily literature based</w:t>
      </w:r>
      <w:r w:rsidR="00A54C1D">
        <w:t xml:space="preserve"> and are not reported in detail</w:t>
      </w:r>
    </w:p>
    <w:p w:rsidR="00904439" w:rsidRPr="00904439" w:rsidRDefault="00904439" w:rsidP="00904439">
      <w:pPr>
        <w:pStyle w:val="ListBullet"/>
      </w:pPr>
      <w:r w:rsidRPr="00904439">
        <w:t xml:space="preserve">There were insufficient data to support </w:t>
      </w:r>
      <w:r w:rsidR="00A54C1D">
        <w:t>efficacy as combination therapy</w:t>
      </w:r>
    </w:p>
    <w:p w:rsidR="00904439" w:rsidRPr="00904439" w:rsidRDefault="00904439" w:rsidP="00904439">
      <w:pPr>
        <w:pStyle w:val="ListBullet"/>
      </w:pPr>
      <w:r w:rsidRPr="00904439">
        <w:t xml:space="preserve">There were inadequate data to support an independent evaluation of combination therapy with DMARDs as </w:t>
      </w:r>
      <w:r w:rsidR="00A54C1D">
        <w:t>a group or as individual agents</w:t>
      </w:r>
    </w:p>
    <w:p w:rsidR="00904439" w:rsidRPr="00904439" w:rsidRDefault="00904439" w:rsidP="00904439">
      <w:pPr>
        <w:pStyle w:val="ListBullet"/>
      </w:pPr>
      <w:r w:rsidRPr="00904439">
        <w:t>There were insufficient data to support s</w:t>
      </w:r>
      <w:r w:rsidR="00882310">
        <w:t xml:space="preserve">ustained efficacy over the long </w:t>
      </w:r>
      <w:r w:rsidRPr="00904439">
        <w:t>term (</w:t>
      </w:r>
      <w:r w:rsidR="00325F8B">
        <w:t>that is</w:t>
      </w:r>
      <w:r w:rsidRPr="00904439">
        <w:t xml:space="preserve"> 6 months or longer).</w:t>
      </w:r>
    </w:p>
    <w:p w:rsidR="00904439" w:rsidRPr="00904439" w:rsidRDefault="00882310" w:rsidP="00904439">
      <w:r>
        <w:t>Specifically</w:t>
      </w:r>
      <w:r w:rsidR="005875F2">
        <w:t xml:space="preserve"> the s</w:t>
      </w:r>
      <w:r w:rsidR="00904439" w:rsidRPr="00904439">
        <w:t>ponsor has provided data from a population PK</w:t>
      </w:r>
      <w:r w:rsidR="00DD32B3">
        <w:t>/</w:t>
      </w:r>
      <w:r w:rsidR="000541DB">
        <w:t>PD study,</w:t>
      </w:r>
      <w:r w:rsidR="00904439" w:rsidRPr="00904439">
        <w:t xml:space="preserve"> a long</w:t>
      </w:r>
      <w:r w:rsidR="003F7537">
        <w:t>-</w:t>
      </w:r>
      <w:r w:rsidR="00904439" w:rsidRPr="00904439">
        <w:t>term efficacy study and further detail from studies included in the original application</w:t>
      </w:r>
      <w:r w:rsidR="005875F2">
        <w:t>.</w:t>
      </w:r>
    </w:p>
    <w:p w:rsidR="00904439" w:rsidRPr="00904439" w:rsidRDefault="00882310" w:rsidP="00904439">
      <w:r>
        <w:t>However</w:t>
      </w:r>
      <w:r w:rsidR="00904439" w:rsidRPr="00904439">
        <w:t xml:space="preserve"> despite having sourced a population PK</w:t>
      </w:r>
      <w:r w:rsidR="00DD32B3">
        <w:t>/</w:t>
      </w:r>
      <w:r w:rsidR="00904439" w:rsidRPr="00904439">
        <w:t>PD study that provid</w:t>
      </w:r>
      <w:r w:rsidR="005875F2">
        <w:t>es dosing recommendations, the s</w:t>
      </w:r>
      <w:r w:rsidR="00904439" w:rsidRPr="00904439">
        <w:t>ponsor has not adopted those recommendations</w:t>
      </w:r>
      <w:r w:rsidR="00F41C7E">
        <w:t xml:space="preserve">. </w:t>
      </w:r>
      <w:proofErr w:type="spellStart"/>
      <w:r w:rsidR="005875F2">
        <w:t>Urien</w:t>
      </w:r>
      <w:proofErr w:type="spellEnd"/>
      <w:r w:rsidR="005875F2">
        <w:t xml:space="preserve"> et al</w:t>
      </w:r>
      <w:r w:rsidR="003F7537">
        <w:t>.</w:t>
      </w:r>
      <w:r w:rsidR="005875F2">
        <w:t xml:space="preserve"> </w:t>
      </w:r>
      <w:r w:rsidR="003F7537">
        <w:t>(</w:t>
      </w:r>
      <w:r w:rsidR="005875F2">
        <w:t>2013</w:t>
      </w:r>
      <w:r w:rsidR="003F7537">
        <w:t>)</w:t>
      </w:r>
      <w:r w:rsidR="00904439" w:rsidRPr="00904439">
        <w:t>, supports a dose of 3 mg/kg/day at body weight &lt;</w:t>
      </w:r>
      <w:r w:rsidR="005875F2">
        <w:t xml:space="preserve"> </w:t>
      </w:r>
      <w:r w:rsidR="00904439" w:rsidRPr="00904439">
        <w:t>10 kg and 2 mg/kg/day up to 100 mg/day at body weight ≥</w:t>
      </w:r>
      <w:r w:rsidR="005875F2">
        <w:t xml:space="preserve"> </w:t>
      </w:r>
      <w:r w:rsidR="00904439" w:rsidRPr="00904439">
        <w:t>10 kg</w:t>
      </w:r>
      <w:r w:rsidR="00F41C7E">
        <w:t xml:space="preserve">. </w:t>
      </w:r>
      <w:r>
        <w:t>In addition</w:t>
      </w:r>
      <w:r w:rsidR="003F7537">
        <w:t>,</w:t>
      </w:r>
      <w:r w:rsidR="00904439" w:rsidRPr="00904439">
        <w:t xml:space="preserve"> there are insufficient data to support a maximum dose of 4 mg/kg/day, particularly when a maximum dose of 10 mg/kg/day has been used in this population and there does not appear to be dose</w:t>
      </w:r>
      <w:r w:rsidR="003F7537">
        <w:t>-</w:t>
      </w:r>
      <w:r w:rsidR="00904439" w:rsidRPr="00904439">
        <w:t xml:space="preserve">dependent toxicity for </w:t>
      </w:r>
      <w:proofErr w:type="spellStart"/>
      <w:r w:rsidR="00904439" w:rsidRPr="00904439">
        <w:t>anakinra</w:t>
      </w:r>
      <w:proofErr w:type="spellEnd"/>
      <w:r w:rsidR="00904439" w:rsidRPr="00904439">
        <w:t>.</w:t>
      </w:r>
    </w:p>
    <w:p w:rsidR="00904439" w:rsidRPr="00C00D6D" w:rsidRDefault="00904439" w:rsidP="00904439">
      <w:r w:rsidRPr="00C00D6D">
        <w:t>As discussed</w:t>
      </w:r>
      <w:r w:rsidR="005875F2" w:rsidRPr="00C00D6D">
        <w:t xml:space="preserve">, the simulations of dose </w:t>
      </w:r>
      <w:r w:rsidRPr="00C00D6D">
        <w:t xml:space="preserve">effect reported in </w:t>
      </w:r>
      <w:proofErr w:type="spellStart"/>
      <w:r w:rsidRPr="00C00D6D">
        <w:t>Urien</w:t>
      </w:r>
      <w:proofErr w:type="spellEnd"/>
      <w:r w:rsidRPr="00C00D6D">
        <w:t xml:space="preserve"> </w:t>
      </w:r>
      <w:r w:rsidR="001974C5">
        <w:t>et</w:t>
      </w:r>
      <w:r w:rsidRPr="00C00D6D">
        <w:t xml:space="preserve"> al</w:t>
      </w:r>
      <w:r w:rsidR="003F7537">
        <w:t>.</w:t>
      </w:r>
      <w:r w:rsidRPr="00C00D6D">
        <w:t xml:space="preserve"> </w:t>
      </w:r>
      <w:r w:rsidR="003F7537">
        <w:t>(</w:t>
      </w:r>
      <w:r w:rsidRPr="00C00D6D">
        <w:t>2013</w:t>
      </w:r>
      <w:r w:rsidR="003F7537">
        <w:t>)</w:t>
      </w:r>
      <w:r w:rsidRPr="00C00D6D">
        <w:t xml:space="preserve"> did not display the 5</w:t>
      </w:r>
      <w:r w:rsidRPr="00EA1957">
        <w:rPr>
          <w:vertAlign w:val="superscript"/>
        </w:rPr>
        <w:t>th</w:t>
      </w:r>
      <w:r w:rsidRPr="00C00D6D">
        <w:t xml:space="preserve"> or 95</w:t>
      </w:r>
      <w:r w:rsidRPr="00EA1957">
        <w:rPr>
          <w:vertAlign w:val="superscript"/>
        </w:rPr>
        <w:t>th</w:t>
      </w:r>
      <w:r w:rsidRPr="00C00D6D">
        <w:t xml:space="preserve"> centiles for each plasma concentration that was simulated (</w:t>
      </w:r>
      <w:r w:rsidR="00C00D6D">
        <w:t xml:space="preserve">see </w:t>
      </w:r>
      <w:r w:rsidRPr="00C00D6D">
        <w:t xml:space="preserve">Figure </w:t>
      </w:r>
      <w:r w:rsidR="003A6DF9">
        <w:t>1</w:t>
      </w:r>
      <w:r w:rsidRPr="00C00D6D">
        <w:t>)</w:t>
      </w:r>
      <w:r w:rsidR="00F41C7E" w:rsidRPr="00C00D6D">
        <w:t xml:space="preserve">. </w:t>
      </w:r>
      <w:r w:rsidRPr="00C00D6D">
        <w:t xml:space="preserve">The simulations only used the typical values of the parameter estimates, and did </w:t>
      </w:r>
      <w:r w:rsidR="00882310">
        <w:t>not use the estimates for inter</w:t>
      </w:r>
      <w:r w:rsidR="003F7537">
        <w:t>-</w:t>
      </w:r>
      <w:r w:rsidRPr="00C00D6D">
        <w:t xml:space="preserve">individual and residual error displayed in Table </w:t>
      </w:r>
      <w:r w:rsidR="003A6DF9">
        <w:t xml:space="preserve">1 </w:t>
      </w:r>
      <w:r w:rsidRPr="00C00D6D">
        <w:t xml:space="preserve">and Table </w:t>
      </w:r>
      <w:r w:rsidR="003A6DF9">
        <w:t>2</w:t>
      </w:r>
      <w:r w:rsidR="00F41C7E" w:rsidRPr="00C00D6D">
        <w:t xml:space="preserve">. </w:t>
      </w:r>
      <w:r w:rsidRPr="00C00D6D">
        <w:t>Hence there may be considerable variability between subjects in the dose required to produce a stead</w:t>
      </w:r>
      <w:r w:rsidR="00A54C1D">
        <w:t>y</w:t>
      </w:r>
      <w:r w:rsidR="003F7537">
        <w:t>-</w:t>
      </w:r>
      <w:r w:rsidRPr="00C00D6D">
        <w:t>state plasma concentration of 0.4 mg/L</w:t>
      </w:r>
      <w:r w:rsidR="00F41C7E" w:rsidRPr="00C00D6D">
        <w:t xml:space="preserve">. </w:t>
      </w:r>
      <w:r w:rsidRPr="00C00D6D">
        <w:t>There may also be considerable variation in the effect at 0.4 mg/L.</w:t>
      </w:r>
    </w:p>
    <w:p w:rsidR="00904439" w:rsidRDefault="00882310" w:rsidP="00904439">
      <w:r>
        <w:t>Hence,</w:t>
      </w:r>
      <w:r w:rsidR="0036148D">
        <w:t xml:space="preserve"> in the opinion of the e</w:t>
      </w:r>
      <w:r>
        <w:t>valuator</w:t>
      </w:r>
      <w:r w:rsidR="00904439" w:rsidRPr="00C00D6D">
        <w:t xml:space="preserve"> the dosing recommendations should not preclude dosing up to 10 mg/kg/day, a dose that appears to be tolerated by subjects in the data submitted.</w:t>
      </w:r>
    </w:p>
    <w:p w:rsidR="003A6DF9" w:rsidRDefault="003A6DF9" w:rsidP="008831B9">
      <w:pPr>
        <w:pStyle w:val="FigureTitle"/>
      </w:pPr>
      <w:proofErr w:type="gramStart"/>
      <w:r>
        <w:t>Figure 1</w:t>
      </w:r>
      <w:r w:rsidRPr="003A6DF9">
        <w:t>.</w:t>
      </w:r>
      <w:proofErr w:type="gramEnd"/>
      <w:r w:rsidRPr="003A6DF9">
        <w:t xml:space="preserve"> Simulations of CRP response by plasma </w:t>
      </w:r>
      <w:proofErr w:type="spellStart"/>
      <w:r w:rsidRPr="003A6DF9">
        <w:t>anakinra</w:t>
      </w:r>
      <w:proofErr w:type="spellEnd"/>
      <w:r w:rsidRPr="003A6DF9">
        <w:t xml:space="preserve"> steady state concentration (from </w:t>
      </w:r>
      <w:proofErr w:type="spellStart"/>
      <w:r w:rsidRPr="003A6DF9">
        <w:t>Urien</w:t>
      </w:r>
      <w:proofErr w:type="spellEnd"/>
      <w:r w:rsidRPr="003A6DF9">
        <w:t xml:space="preserve"> et al 2013)</w:t>
      </w:r>
      <w:r>
        <w:t>.</w:t>
      </w:r>
    </w:p>
    <w:p w:rsidR="003A6DF9" w:rsidRPr="003A6DF9" w:rsidRDefault="003A6DF9" w:rsidP="008831B9">
      <w:r>
        <w:rPr>
          <w:noProof/>
          <w:lang w:eastAsia="en-AU"/>
        </w:rPr>
        <w:drawing>
          <wp:inline distT="0" distB="0" distL="0" distR="0" wp14:anchorId="104E0E6A" wp14:editId="1D8BA52B">
            <wp:extent cx="5261977" cy="2384755"/>
            <wp:effectExtent l="0" t="0" r="0" b="0"/>
            <wp:docPr id="3" name="Picture 3" descr="Figure 1. Simulations of CRP response by plasma anakinra steady state concentration (from Urien et a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263364" cy="2385384"/>
                    </a:xfrm>
                    <a:prstGeom prst="rect">
                      <a:avLst/>
                    </a:prstGeom>
                  </pic:spPr>
                </pic:pic>
              </a:graphicData>
            </a:graphic>
          </wp:inline>
        </w:drawing>
      </w:r>
    </w:p>
    <w:p w:rsidR="003A6DF9" w:rsidRDefault="003A6DF9" w:rsidP="008831B9">
      <w:pPr>
        <w:pStyle w:val="TableTitle"/>
        <w:rPr>
          <w:lang w:val="en-US"/>
        </w:rPr>
      </w:pPr>
      <w:r>
        <w:lastRenderedPageBreak/>
        <w:t>Table 1</w:t>
      </w:r>
      <w:r w:rsidRPr="003A6DF9">
        <w:t xml:space="preserve"> </w:t>
      </w:r>
      <w:r w:rsidRPr="003A6DF9">
        <w:rPr>
          <w:lang w:val="en-US"/>
        </w:rPr>
        <w:t xml:space="preserve">Parameter estimates of the final </w:t>
      </w:r>
      <w:proofErr w:type="spellStart"/>
      <w:r w:rsidRPr="003A6DF9">
        <w:rPr>
          <w:lang w:val="en-US"/>
        </w:rPr>
        <w:t>anakinra</w:t>
      </w:r>
      <w:proofErr w:type="spellEnd"/>
      <w:r w:rsidRPr="003A6DF9">
        <w:rPr>
          <w:lang w:val="en-US"/>
        </w:rPr>
        <w:t xml:space="preserve"> population pharmacokinetic model in 87 pediatric patients (from </w:t>
      </w:r>
      <w:proofErr w:type="spellStart"/>
      <w:r w:rsidRPr="003A6DF9">
        <w:rPr>
          <w:lang w:val="en-US"/>
        </w:rPr>
        <w:t>Urien</w:t>
      </w:r>
      <w:proofErr w:type="spellEnd"/>
      <w:r w:rsidRPr="003A6DF9">
        <w:rPr>
          <w:lang w:val="en-US"/>
        </w:rPr>
        <w:t xml:space="preserve"> et. al. 2013).</w:t>
      </w:r>
    </w:p>
    <w:p w:rsidR="003A6DF9" w:rsidRDefault="006D42C7" w:rsidP="008831B9">
      <w:r>
        <w:rPr>
          <w:noProof/>
          <w:lang w:eastAsia="en-AU"/>
        </w:rPr>
        <w:drawing>
          <wp:inline distT="0" distB="0" distL="0" distR="0" wp14:anchorId="114C1FFE" wp14:editId="3073FDAF">
            <wp:extent cx="3875221" cy="2838297"/>
            <wp:effectExtent l="0" t="0" r="0" b="635"/>
            <wp:docPr id="8" name="Picture 8" descr="Table 1 Parameter estimates of the final anakinra population pharmacokinetic model in 87 pediatric patients (from Urien et. a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873285" cy="2836879"/>
                    </a:xfrm>
                    <a:prstGeom prst="rect">
                      <a:avLst/>
                    </a:prstGeom>
                  </pic:spPr>
                </pic:pic>
              </a:graphicData>
            </a:graphic>
          </wp:inline>
        </w:drawing>
      </w:r>
    </w:p>
    <w:p w:rsidR="006D42C7" w:rsidRDefault="006D42C7" w:rsidP="008831B9">
      <w:pPr>
        <w:pStyle w:val="TableTitle"/>
        <w:rPr>
          <w:lang w:val="en-US"/>
        </w:rPr>
      </w:pPr>
      <w:bookmarkStart w:id="127" w:name="_Toc272414710"/>
      <w:bookmarkStart w:id="128" w:name="_Toc290846350"/>
      <w:bookmarkStart w:id="129" w:name="_Toc290888887"/>
      <w:bookmarkStart w:id="130" w:name="_Toc404962209"/>
      <w:proofErr w:type="gramStart"/>
      <w:r>
        <w:rPr>
          <w:lang w:val="en-US"/>
        </w:rPr>
        <w:t xml:space="preserve">Table </w:t>
      </w:r>
      <w:r w:rsidRPr="006D42C7">
        <w:rPr>
          <w:lang w:val="en-US"/>
        </w:rPr>
        <w:t>2.</w:t>
      </w:r>
      <w:proofErr w:type="gramEnd"/>
      <w:r w:rsidRPr="006D42C7">
        <w:rPr>
          <w:lang w:val="en-US"/>
        </w:rPr>
        <w:t xml:space="preserve"> Parameter estimates of the </w:t>
      </w:r>
      <w:proofErr w:type="spellStart"/>
      <w:r w:rsidRPr="006D42C7">
        <w:rPr>
          <w:lang w:val="en-US"/>
        </w:rPr>
        <w:t>anakinra</w:t>
      </w:r>
      <w:proofErr w:type="spellEnd"/>
      <w:r w:rsidRPr="006D42C7">
        <w:rPr>
          <w:lang w:val="en-US"/>
        </w:rPr>
        <w:t xml:space="preserve"> effect on </w:t>
      </w:r>
      <w:proofErr w:type="gramStart"/>
      <w:r w:rsidRPr="006D42C7">
        <w:rPr>
          <w:lang w:val="en-US"/>
        </w:rPr>
        <w:t>c-reactive</w:t>
      </w:r>
      <w:proofErr w:type="gramEnd"/>
      <w:r w:rsidRPr="006D42C7">
        <w:rPr>
          <w:lang w:val="en-US"/>
        </w:rPr>
        <w:t xml:space="preserve"> protein concentrations in 22 SJIA patients (RESP = responders and</w:t>
      </w:r>
      <w:r>
        <w:rPr>
          <w:lang w:val="en-US"/>
        </w:rPr>
        <w:t xml:space="preserve"> RESI = patients with onset of ‘resistance’</w:t>
      </w:r>
      <w:r w:rsidRPr="006D42C7">
        <w:rPr>
          <w:lang w:val="en-US"/>
        </w:rPr>
        <w:t xml:space="preserve"> to treatment) (from </w:t>
      </w:r>
      <w:proofErr w:type="spellStart"/>
      <w:r w:rsidRPr="006D42C7">
        <w:rPr>
          <w:lang w:val="en-US"/>
        </w:rPr>
        <w:t>Urien</w:t>
      </w:r>
      <w:proofErr w:type="spellEnd"/>
      <w:r w:rsidRPr="006D42C7">
        <w:rPr>
          <w:lang w:val="en-US"/>
        </w:rPr>
        <w:t xml:space="preserve"> et. al. 2013).</w:t>
      </w:r>
    </w:p>
    <w:p w:rsidR="006D42C7" w:rsidRPr="006D42C7" w:rsidRDefault="006D42C7" w:rsidP="008831B9">
      <w:pPr>
        <w:rPr>
          <w:lang w:val="en-US"/>
        </w:rPr>
      </w:pPr>
      <w:r>
        <w:rPr>
          <w:noProof/>
          <w:lang w:eastAsia="en-AU"/>
        </w:rPr>
        <w:drawing>
          <wp:inline distT="0" distB="0" distL="0" distR="0" wp14:anchorId="6CD7F511" wp14:editId="33E18CDB">
            <wp:extent cx="3650284" cy="2946449"/>
            <wp:effectExtent l="0" t="0" r="7620" b="6350"/>
            <wp:docPr id="7" name="Picture 7" descr="Table 2. Parameter estimates of the anakinra effect on c-reactive protein concentrations in 22 SJIA patients (RESP = responders and RESI = patients with onset of ‘resistance’ to treatment) (from Urien et. a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3650216" cy="2946394"/>
                    </a:xfrm>
                    <a:prstGeom prst="rect">
                      <a:avLst/>
                    </a:prstGeom>
                  </pic:spPr>
                </pic:pic>
              </a:graphicData>
            </a:graphic>
          </wp:inline>
        </w:drawing>
      </w:r>
    </w:p>
    <w:p w:rsidR="00904439" w:rsidRPr="00C00D6D" w:rsidRDefault="00904439" w:rsidP="00904439">
      <w:pPr>
        <w:pStyle w:val="Heading4"/>
      </w:pPr>
      <w:r w:rsidRPr="00C00D6D">
        <w:t>Second round assessment of risks</w:t>
      </w:r>
      <w:bookmarkEnd w:id="127"/>
      <w:bookmarkEnd w:id="128"/>
      <w:bookmarkEnd w:id="129"/>
      <w:bookmarkEnd w:id="130"/>
    </w:p>
    <w:p w:rsidR="00904439" w:rsidRPr="0036148D" w:rsidRDefault="00904439" w:rsidP="00904439">
      <w:r w:rsidRPr="0036148D">
        <w:t xml:space="preserve">After consideration of the responses to clinical questions, the risks of </w:t>
      </w:r>
      <w:proofErr w:type="spellStart"/>
      <w:r w:rsidRPr="0036148D">
        <w:t>anakinra</w:t>
      </w:r>
      <w:proofErr w:type="spellEnd"/>
      <w:r w:rsidRPr="0036148D">
        <w:t xml:space="preserve"> in the proposed usage are unchanged from those identified in </w:t>
      </w:r>
      <w:r w:rsidR="0036148D" w:rsidRPr="0036148D">
        <w:t>the first round assessment of risks.</w:t>
      </w:r>
    </w:p>
    <w:p w:rsidR="00904439" w:rsidRPr="0036148D" w:rsidRDefault="00904439" w:rsidP="00904439">
      <w:pPr>
        <w:pStyle w:val="Heading4"/>
      </w:pPr>
      <w:bookmarkStart w:id="131" w:name="_Toc272414711"/>
      <w:bookmarkStart w:id="132" w:name="_Toc290846351"/>
      <w:bookmarkStart w:id="133" w:name="_Toc290888888"/>
      <w:bookmarkStart w:id="134" w:name="_Toc404962210"/>
      <w:r w:rsidRPr="0036148D">
        <w:t>Second round assessment of benefit-risk balance</w:t>
      </w:r>
      <w:bookmarkEnd w:id="131"/>
      <w:bookmarkEnd w:id="132"/>
      <w:bookmarkEnd w:id="133"/>
      <w:bookmarkEnd w:id="134"/>
    </w:p>
    <w:p w:rsidR="00904439" w:rsidRPr="0036148D" w:rsidRDefault="00904439" w:rsidP="00904439">
      <w:r w:rsidRPr="0036148D">
        <w:t xml:space="preserve">The benefit-risk balance of </w:t>
      </w:r>
      <w:proofErr w:type="spellStart"/>
      <w:r w:rsidRPr="0036148D">
        <w:t>anakinra</w:t>
      </w:r>
      <w:proofErr w:type="spellEnd"/>
      <w:r w:rsidRPr="0036148D">
        <w:t>, given the proposed usage, is favourable.</w:t>
      </w:r>
    </w:p>
    <w:p w:rsidR="00904439" w:rsidRPr="0036148D" w:rsidRDefault="00904439" w:rsidP="0036148D">
      <w:pPr>
        <w:pStyle w:val="Heading4"/>
      </w:pPr>
      <w:bookmarkStart w:id="135" w:name="_Ref272160677"/>
      <w:bookmarkStart w:id="136" w:name="_Toc272414713"/>
      <w:bookmarkStart w:id="137" w:name="_Toc290846352"/>
      <w:bookmarkStart w:id="138" w:name="_Toc290888889"/>
      <w:bookmarkStart w:id="139" w:name="_Toc404962211"/>
      <w:r w:rsidRPr="0036148D">
        <w:lastRenderedPageBreak/>
        <w:t>Second round recommendation regarding authorisation</w:t>
      </w:r>
      <w:bookmarkEnd w:id="135"/>
      <w:bookmarkEnd w:id="136"/>
      <w:bookmarkEnd w:id="137"/>
      <w:bookmarkEnd w:id="138"/>
      <w:bookmarkEnd w:id="139"/>
      <w:r w:rsidRPr="0036148D">
        <w:t xml:space="preserve"> </w:t>
      </w:r>
    </w:p>
    <w:p w:rsidR="00904439" w:rsidRPr="0036148D" w:rsidRDefault="0007191A" w:rsidP="0036148D">
      <w:r>
        <w:t>The evaluator had</w:t>
      </w:r>
      <w:r w:rsidR="00904439" w:rsidRPr="0036148D">
        <w:t xml:space="preserve"> no objection to the authorisation of </w:t>
      </w:r>
      <w:proofErr w:type="spellStart"/>
      <w:r w:rsidR="00904439" w:rsidRPr="0036148D">
        <w:t>K</w:t>
      </w:r>
      <w:r w:rsidR="00882310" w:rsidRPr="0036148D">
        <w:t>ineret</w:t>
      </w:r>
      <w:proofErr w:type="spellEnd"/>
      <w:r w:rsidR="00904439" w:rsidRPr="0036148D">
        <w:t xml:space="preserve"> (</w:t>
      </w:r>
      <w:proofErr w:type="spellStart"/>
      <w:r w:rsidR="00904439" w:rsidRPr="0036148D">
        <w:t>anakinra</w:t>
      </w:r>
      <w:proofErr w:type="spellEnd"/>
      <w:r w:rsidR="0036148D">
        <w:t>) for the following indication:</w:t>
      </w:r>
    </w:p>
    <w:p w:rsidR="00904439" w:rsidRPr="00882310" w:rsidRDefault="0036148D" w:rsidP="00882310">
      <w:pPr>
        <w:ind w:left="720"/>
        <w:rPr>
          <w:i/>
        </w:rPr>
      </w:pPr>
      <w:proofErr w:type="spellStart"/>
      <w:r w:rsidRPr="00882310">
        <w:rPr>
          <w:i/>
        </w:rPr>
        <w:t>Kineret</w:t>
      </w:r>
      <w:proofErr w:type="spellEnd"/>
      <w:r w:rsidRPr="00882310">
        <w:rPr>
          <w:i/>
        </w:rPr>
        <w:t xml:space="preserve"> (</w:t>
      </w:r>
      <w:proofErr w:type="spellStart"/>
      <w:r w:rsidRPr="00882310">
        <w:rPr>
          <w:i/>
        </w:rPr>
        <w:t>anakinra</w:t>
      </w:r>
      <w:proofErr w:type="spellEnd"/>
      <w:r w:rsidRPr="00882310">
        <w:rPr>
          <w:i/>
        </w:rPr>
        <w:t>) is indicated</w:t>
      </w:r>
      <w:r w:rsidR="00882310" w:rsidRPr="00882310">
        <w:rPr>
          <w:i/>
        </w:rPr>
        <w:t xml:space="preserve"> </w:t>
      </w:r>
      <w:r w:rsidR="00904439" w:rsidRPr="00882310">
        <w:rPr>
          <w:i/>
        </w:rPr>
        <w:t>for the treatment of active Systemic Juvenile Idiopathic Arthritis (SJIA)</w:t>
      </w:r>
      <w:r w:rsidR="00882310">
        <w:rPr>
          <w:i/>
        </w:rPr>
        <w:t>.</w:t>
      </w:r>
    </w:p>
    <w:p w:rsidR="00904439" w:rsidRPr="0036148D" w:rsidRDefault="00904439" w:rsidP="0036148D">
      <w:r w:rsidRPr="0036148D">
        <w:t xml:space="preserve">The reasons for the change in recommendation from that in </w:t>
      </w:r>
      <w:r w:rsidR="00533DF9">
        <w:t>the first round evaluation</w:t>
      </w:r>
      <w:r w:rsidRPr="0036148D">
        <w:t xml:space="preserve"> are:</w:t>
      </w:r>
    </w:p>
    <w:p w:rsidR="00904439" w:rsidRPr="0036148D" w:rsidRDefault="00904439" w:rsidP="00533DF9">
      <w:pPr>
        <w:pStyle w:val="ListBullet"/>
      </w:pPr>
      <w:r w:rsidRPr="0036148D">
        <w:t xml:space="preserve">The </w:t>
      </w:r>
      <w:r w:rsidR="00FB1C42">
        <w:t>sponsor</w:t>
      </w:r>
      <w:r w:rsidRPr="0036148D">
        <w:t xml:space="preserve"> has amended the proposed indication by removing the sentence: </w:t>
      </w:r>
      <w:r w:rsidR="00882310">
        <w:t>‘</w:t>
      </w:r>
      <w:proofErr w:type="spellStart"/>
      <w:r w:rsidRPr="00882310">
        <w:rPr>
          <w:i/>
        </w:rPr>
        <w:t>Kineret</w:t>
      </w:r>
      <w:proofErr w:type="spellEnd"/>
      <w:r w:rsidRPr="00882310">
        <w:rPr>
          <w:i/>
        </w:rPr>
        <w:t xml:space="preserve"> may be used alone or in combination with other DMARDs</w:t>
      </w:r>
      <w:r w:rsidR="00882310" w:rsidRPr="00882310">
        <w:rPr>
          <w:i/>
        </w:rPr>
        <w:t>’</w:t>
      </w:r>
    </w:p>
    <w:p w:rsidR="00904439" w:rsidRPr="00533DF9" w:rsidRDefault="00904439" w:rsidP="00533DF9">
      <w:pPr>
        <w:pStyle w:val="ListBullet"/>
      </w:pPr>
      <w:r w:rsidRPr="00533DF9">
        <w:t xml:space="preserve">The </w:t>
      </w:r>
      <w:r w:rsidR="00FB1C42">
        <w:t>sponsor</w:t>
      </w:r>
      <w:r w:rsidRPr="00533DF9">
        <w:t xml:space="preserve"> has clarified the age distribution of the subjects studied in the pivotal study in sufficient detail to justify the age </w:t>
      </w:r>
      <w:r w:rsidR="00A54C1D">
        <w:t>range sought in the application</w:t>
      </w:r>
    </w:p>
    <w:p w:rsidR="00904439" w:rsidRPr="00533DF9" w:rsidRDefault="00904439" w:rsidP="00533DF9">
      <w:pPr>
        <w:pStyle w:val="ListBullet"/>
      </w:pPr>
      <w:r w:rsidRPr="00533DF9">
        <w:t xml:space="preserve">The </w:t>
      </w:r>
      <w:r w:rsidR="00FB1C42">
        <w:t>sponsor</w:t>
      </w:r>
      <w:r w:rsidRPr="00533DF9">
        <w:t xml:space="preserve"> has prov</w:t>
      </w:r>
      <w:r w:rsidR="00533DF9">
        <w:t xml:space="preserve">ided support for sustained long </w:t>
      </w:r>
      <w:r w:rsidRPr="00533DF9">
        <w:t>term benefit</w:t>
      </w:r>
      <w:r w:rsidR="00840FD9" w:rsidRPr="00EA1957">
        <w:rPr>
          <w:vertAlign w:val="superscript"/>
        </w:rPr>
        <w:fldChar w:fldCharType="begin"/>
      </w:r>
      <w:r w:rsidR="00840FD9" w:rsidRPr="00EA1957">
        <w:rPr>
          <w:vertAlign w:val="superscript"/>
        </w:rPr>
        <w:instrText xml:space="preserve"> NOTEREF _Ref429563282 \h  \* MERGEFORMAT </w:instrText>
      </w:r>
      <w:r w:rsidR="00840FD9" w:rsidRPr="00EA1957">
        <w:rPr>
          <w:vertAlign w:val="superscript"/>
        </w:rPr>
      </w:r>
      <w:r w:rsidR="00840FD9" w:rsidRPr="00EA1957">
        <w:rPr>
          <w:vertAlign w:val="superscript"/>
        </w:rPr>
        <w:fldChar w:fldCharType="separate"/>
      </w:r>
      <w:r w:rsidR="00B4566A" w:rsidRPr="00EA1957">
        <w:rPr>
          <w:vertAlign w:val="superscript"/>
        </w:rPr>
        <w:t>9</w:t>
      </w:r>
      <w:r w:rsidR="00840FD9" w:rsidRPr="00EA1957">
        <w:rPr>
          <w:vertAlign w:val="superscript"/>
        </w:rPr>
        <w:fldChar w:fldCharType="end"/>
      </w:r>
    </w:p>
    <w:p w:rsidR="00904439" w:rsidRPr="00533DF9" w:rsidRDefault="00904439" w:rsidP="00533DF9">
      <w:pPr>
        <w:pStyle w:val="ListBullet"/>
      </w:pPr>
      <w:r w:rsidRPr="00533DF9">
        <w:t xml:space="preserve">The </w:t>
      </w:r>
      <w:r w:rsidR="00FB1C42">
        <w:t>sponsor</w:t>
      </w:r>
      <w:r w:rsidRPr="00533DF9">
        <w:t xml:space="preserve"> has provided data from an additional 20 subjects</w:t>
      </w:r>
      <w:r w:rsidR="003F7537">
        <w:t>.</w:t>
      </w:r>
      <w:r w:rsidR="00840FD9" w:rsidRPr="00EA1957">
        <w:rPr>
          <w:vertAlign w:val="superscript"/>
        </w:rPr>
        <w:fldChar w:fldCharType="begin"/>
      </w:r>
      <w:r w:rsidR="00840FD9" w:rsidRPr="00EA1957">
        <w:rPr>
          <w:vertAlign w:val="superscript"/>
        </w:rPr>
        <w:instrText xml:space="preserve"> NOTEREF _Ref429563282 \h  \* MERGEFORMAT </w:instrText>
      </w:r>
      <w:r w:rsidR="00840FD9" w:rsidRPr="00EA1957">
        <w:rPr>
          <w:vertAlign w:val="superscript"/>
        </w:rPr>
      </w:r>
      <w:r w:rsidR="00840FD9" w:rsidRPr="00EA1957">
        <w:rPr>
          <w:vertAlign w:val="superscript"/>
        </w:rPr>
        <w:fldChar w:fldCharType="separate"/>
      </w:r>
      <w:r w:rsidR="00B4566A" w:rsidRPr="00EA1957">
        <w:rPr>
          <w:vertAlign w:val="superscript"/>
        </w:rPr>
        <w:t>9</w:t>
      </w:r>
      <w:r w:rsidR="00840FD9" w:rsidRPr="00EA1957">
        <w:rPr>
          <w:vertAlign w:val="superscript"/>
        </w:rPr>
        <w:fldChar w:fldCharType="end"/>
      </w:r>
      <w:r w:rsidR="003F7537">
        <w:rPr>
          <w:vertAlign w:val="superscript"/>
        </w:rPr>
        <w:t xml:space="preserve"> </w:t>
      </w:r>
      <w:r w:rsidRPr="00533DF9">
        <w:t>Although the size of t</w:t>
      </w:r>
      <w:r w:rsidR="00FC024B">
        <w:t>he population studied in the p</w:t>
      </w:r>
      <w:r w:rsidRPr="00533DF9">
        <w:t>ivota</w:t>
      </w:r>
      <w:r w:rsidR="00FC024B">
        <w:t>l study was small (24 subjects)</w:t>
      </w:r>
      <w:r w:rsidRPr="00533DF9">
        <w:t xml:space="preserve"> and the population studied in </w:t>
      </w:r>
      <w:proofErr w:type="spellStart"/>
      <w:r w:rsidRPr="00533DF9">
        <w:t>Vastert</w:t>
      </w:r>
      <w:proofErr w:type="spellEnd"/>
      <w:r w:rsidRPr="00533DF9">
        <w:t xml:space="preserve"> </w:t>
      </w:r>
      <w:r w:rsidR="001974C5">
        <w:t>et</w:t>
      </w:r>
      <w:r w:rsidRPr="00533DF9">
        <w:t xml:space="preserve"> </w:t>
      </w:r>
      <w:r w:rsidR="001974C5">
        <w:t>al</w:t>
      </w:r>
      <w:r w:rsidR="003F7537">
        <w:t>.</w:t>
      </w:r>
      <w:r w:rsidRPr="00533DF9">
        <w:t xml:space="preserve"> </w:t>
      </w:r>
      <w:r w:rsidR="003F7537">
        <w:t>(</w:t>
      </w:r>
      <w:r w:rsidRPr="00533DF9">
        <w:t>2014</w:t>
      </w:r>
      <w:r w:rsidR="003F7537">
        <w:t>)</w:t>
      </w:r>
      <w:r w:rsidRPr="00533DF9">
        <w:t xml:space="preserve"> is also small (20 subjects), SJIA is an uncommon condition and there would be difficulties in recruiting a larger sample of subjects in any clinical trial for this condition</w:t>
      </w:r>
      <w:r w:rsidR="00F41C7E" w:rsidRPr="00533DF9">
        <w:t xml:space="preserve">. </w:t>
      </w:r>
      <w:r w:rsidR="00FC024B">
        <w:t>Consistent with this</w:t>
      </w:r>
      <w:r w:rsidR="00EA2073">
        <w:t>,</w:t>
      </w:r>
      <w:r w:rsidR="00FC024B">
        <w:t xml:space="preserve"> </w:t>
      </w:r>
      <w:proofErr w:type="spellStart"/>
      <w:r w:rsidRPr="00533DF9">
        <w:t>K</w:t>
      </w:r>
      <w:r w:rsidR="00533DF9" w:rsidRPr="00533DF9">
        <w:t>ineret</w:t>
      </w:r>
      <w:proofErr w:type="spellEnd"/>
      <w:r w:rsidRPr="00533DF9">
        <w:t xml:space="preserve"> has been designated an Orphan Drug for the indication: </w:t>
      </w:r>
      <w:r w:rsidRPr="00FC024B">
        <w:rPr>
          <w:i/>
        </w:rPr>
        <w:t>for the treatment of active systemic onset juvenile idiopathic arthritis (</w:t>
      </w:r>
      <w:proofErr w:type="spellStart"/>
      <w:r w:rsidRPr="00FC024B">
        <w:rPr>
          <w:i/>
        </w:rPr>
        <w:t>SoJIA</w:t>
      </w:r>
      <w:proofErr w:type="spellEnd"/>
      <w:r w:rsidRPr="00FC024B">
        <w:rPr>
          <w:i/>
        </w:rPr>
        <w:t>) in children</w:t>
      </w:r>
      <w:r w:rsidR="00F41C7E" w:rsidRPr="00FC024B">
        <w:rPr>
          <w:i/>
        </w:rPr>
        <w:t>.</w:t>
      </w:r>
      <w:r w:rsidR="00F41C7E" w:rsidRPr="00533DF9">
        <w:t xml:space="preserve"> </w:t>
      </w:r>
      <w:r w:rsidRPr="00533DF9">
        <w:t>The populations included in the studies included in the submis</w:t>
      </w:r>
      <w:r w:rsidR="00A54C1D">
        <w:t>sion are predominantly children</w:t>
      </w:r>
    </w:p>
    <w:p w:rsidR="00904439" w:rsidRPr="00533DF9" w:rsidRDefault="00904439" w:rsidP="00533DF9">
      <w:pPr>
        <w:pStyle w:val="ListBullet"/>
      </w:pPr>
      <w:r w:rsidRPr="00533DF9">
        <w:t xml:space="preserve">The </w:t>
      </w:r>
      <w:r w:rsidR="00FB1C42">
        <w:t>sponsor</w:t>
      </w:r>
      <w:r w:rsidRPr="00533DF9">
        <w:t xml:space="preserve"> has provided further analysis using a population PK</w:t>
      </w:r>
      <w:r w:rsidR="00DD32B3">
        <w:t>/</w:t>
      </w:r>
      <w:r w:rsidRPr="00533DF9">
        <w:t>PD approach, which provides support for a rational dosing regimen.</w:t>
      </w:r>
    </w:p>
    <w:p w:rsidR="00904439" w:rsidRPr="00533DF9" w:rsidRDefault="00FC024B" w:rsidP="00533DF9">
      <w:r>
        <w:t>However</w:t>
      </w:r>
      <w:r w:rsidR="00904439" w:rsidRPr="00533DF9">
        <w:t xml:space="preserve"> the dosing regimen proposed by the </w:t>
      </w:r>
      <w:r w:rsidR="00FB1C42">
        <w:t>sponsor</w:t>
      </w:r>
      <w:r w:rsidR="00904439" w:rsidRPr="00533DF9">
        <w:t xml:space="preserve"> is not consistent with the data presented in the application</w:t>
      </w:r>
      <w:r w:rsidR="00F41C7E" w:rsidRPr="00533DF9">
        <w:t xml:space="preserve">. </w:t>
      </w:r>
      <w:proofErr w:type="spellStart"/>
      <w:r w:rsidR="00904439" w:rsidRPr="00533DF9">
        <w:t>Urien</w:t>
      </w:r>
      <w:proofErr w:type="spellEnd"/>
      <w:r w:rsidR="00904439" w:rsidRPr="00533DF9">
        <w:t xml:space="preserve"> et al</w:t>
      </w:r>
      <w:r w:rsidR="003F7537">
        <w:t>.</w:t>
      </w:r>
      <w:r w:rsidR="00904439" w:rsidRPr="00533DF9">
        <w:t xml:space="preserve"> </w:t>
      </w:r>
      <w:r w:rsidR="003F7537">
        <w:t>(</w:t>
      </w:r>
      <w:r w:rsidR="00904439" w:rsidRPr="00533DF9">
        <w:t>2013</w:t>
      </w:r>
      <w:r w:rsidR="003F7537">
        <w:t>)</w:t>
      </w:r>
      <w:r w:rsidR="00904439" w:rsidRPr="00533DF9">
        <w:t>, supports a dose of 3 mg/kg/day at body weight &lt;</w:t>
      </w:r>
      <w:r w:rsidR="009C283F">
        <w:t xml:space="preserve"> </w:t>
      </w:r>
      <w:r w:rsidR="00904439" w:rsidRPr="00533DF9">
        <w:t>10 kg and 2 mg/kg/day up to 100 mg/day at body weight ≥</w:t>
      </w:r>
      <w:r w:rsidR="009C283F">
        <w:t xml:space="preserve"> </w:t>
      </w:r>
      <w:r w:rsidR="00904439" w:rsidRPr="00533DF9">
        <w:t>10 kg</w:t>
      </w:r>
      <w:r w:rsidR="00F41C7E" w:rsidRPr="00533DF9">
        <w:t xml:space="preserve">. </w:t>
      </w:r>
      <w:r w:rsidR="00533DF9">
        <w:t>In the opinion of the e</w:t>
      </w:r>
      <w:r w:rsidR="00904439" w:rsidRPr="00533DF9">
        <w:t>valuator this dosing regimen should be adopted as the starting dose</w:t>
      </w:r>
      <w:r w:rsidR="00533DF9">
        <w:t>.</w:t>
      </w:r>
    </w:p>
    <w:p w:rsidR="00904439" w:rsidRPr="00533DF9" w:rsidRDefault="00904439" w:rsidP="00533DF9">
      <w:r w:rsidRPr="00533DF9">
        <w:t>As discussed</w:t>
      </w:r>
      <w:r w:rsidR="00533DF9">
        <w:t xml:space="preserve"> the simulations of dose </w:t>
      </w:r>
      <w:r w:rsidRPr="00533DF9">
        <w:t xml:space="preserve">effect reported in </w:t>
      </w:r>
      <w:proofErr w:type="spellStart"/>
      <w:r w:rsidRPr="00533DF9">
        <w:t>Urien</w:t>
      </w:r>
      <w:proofErr w:type="spellEnd"/>
      <w:r w:rsidRPr="00533DF9">
        <w:t xml:space="preserve"> </w:t>
      </w:r>
      <w:r w:rsidR="001974C5">
        <w:t>et</w:t>
      </w:r>
      <w:r w:rsidRPr="00533DF9">
        <w:t xml:space="preserve"> al</w:t>
      </w:r>
      <w:r w:rsidR="003F7537">
        <w:t>.</w:t>
      </w:r>
      <w:r w:rsidRPr="00533DF9">
        <w:t xml:space="preserve"> </w:t>
      </w:r>
      <w:r w:rsidR="003F7537">
        <w:t>(</w:t>
      </w:r>
      <w:r w:rsidRPr="00533DF9">
        <w:t>2013</w:t>
      </w:r>
      <w:r w:rsidR="003F7537">
        <w:t>)</w:t>
      </w:r>
      <w:r w:rsidRPr="00533DF9">
        <w:t xml:space="preserve"> did not display the 5</w:t>
      </w:r>
      <w:r w:rsidRPr="00EA1957">
        <w:rPr>
          <w:vertAlign w:val="superscript"/>
        </w:rPr>
        <w:t>th</w:t>
      </w:r>
      <w:r w:rsidRPr="00533DF9">
        <w:t xml:space="preserve"> or 95</w:t>
      </w:r>
      <w:r w:rsidRPr="00EA1957">
        <w:rPr>
          <w:vertAlign w:val="superscript"/>
        </w:rPr>
        <w:t>th</w:t>
      </w:r>
      <w:r w:rsidRPr="00533DF9">
        <w:t xml:space="preserve"> centiles for each plasma concentration that was simulated (Figure </w:t>
      </w:r>
      <w:r w:rsidR="00533DF9">
        <w:t>7</w:t>
      </w:r>
      <w:r w:rsidR="003F7537">
        <w:t>,</w:t>
      </w:r>
      <w:r w:rsidR="00533DF9">
        <w:t xml:space="preserve"> Attachment 2</w:t>
      </w:r>
      <w:r w:rsidRPr="00533DF9">
        <w:t>)</w:t>
      </w:r>
      <w:r w:rsidR="00F41C7E" w:rsidRPr="00533DF9">
        <w:t xml:space="preserve">. </w:t>
      </w:r>
      <w:r w:rsidRPr="00533DF9">
        <w:t>The simulations only used the typical va</w:t>
      </w:r>
      <w:r w:rsidR="00FC024B">
        <w:t>lues of the parameter estimates</w:t>
      </w:r>
      <w:r w:rsidRPr="00533DF9">
        <w:t xml:space="preserve"> and did </w:t>
      </w:r>
      <w:r w:rsidR="009C283F">
        <w:t>not use the estimates for inter</w:t>
      </w:r>
      <w:r w:rsidR="003F7537">
        <w:t>-</w:t>
      </w:r>
      <w:r w:rsidRPr="00533DF9">
        <w:t xml:space="preserve">individual and residual variability displayed in Table </w:t>
      </w:r>
      <w:r w:rsidR="00F56F98">
        <w:t>11</w:t>
      </w:r>
      <w:r w:rsidRPr="00533DF9">
        <w:t xml:space="preserve"> and Table </w:t>
      </w:r>
      <w:r w:rsidR="00F56F98">
        <w:t>12, Attachment 2</w:t>
      </w:r>
      <w:r w:rsidR="00F41C7E" w:rsidRPr="00533DF9">
        <w:t xml:space="preserve">. </w:t>
      </w:r>
      <w:r w:rsidRPr="00533DF9">
        <w:t>Hence there may be considerable variability between subjects in the dose required to produce a steady</w:t>
      </w:r>
      <w:r w:rsidR="003F7537">
        <w:t>-</w:t>
      </w:r>
      <w:r w:rsidRPr="00533DF9">
        <w:t>state plasma concentration of 0.4 mg/L</w:t>
      </w:r>
      <w:r w:rsidR="00F41C7E" w:rsidRPr="00533DF9">
        <w:t xml:space="preserve">. </w:t>
      </w:r>
      <w:r w:rsidRPr="00533DF9">
        <w:t>There may also be considerable variation in the effect at 0.4 mg/L.</w:t>
      </w:r>
    </w:p>
    <w:p w:rsidR="00605AD4" w:rsidRPr="00533DF9" w:rsidRDefault="00FC024B" w:rsidP="00533DF9">
      <w:r>
        <w:t>Hence</w:t>
      </w:r>
      <w:r w:rsidR="003F7537">
        <w:t>,</w:t>
      </w:r>
      <w:r w:rsidR="00F56F98">
        <w:t xml:space="preserve"> in the opinion of the e</w:t>
      </w:r>
      <w:r w:rsidR="00904439" w:rsidRPr="00533DF9">
        <w:t>valuator, the dosing recommendations should not preclude dosing up to 10 mg/kg/day, a dose that appears to be tolerated by subjects in the data submitted</w:t>
      </w:r>
      <w:r w:rsidR="00F41C7E" w:rsidRPr="00533DF9">
        <w:t xml:space="preserve">. </w:t>
      </w:r>
      <w:r w:rsidR="00904439" w:rsidRPr="00533DF9">
        <w:t>In those patients who do not respond to the starting dose, the recommendation with regard to maximum dose should include the dose r</w:t>
      </w:r>
      <w:r>
        <w:t>ange studied in this population</w:t>
      </w:r>
      <w:r w:rsidR="00EA2073">
        <w:t>,</w:t>
      </w:r>
      <w:r w:rsidR="00904439" w:rsidRPr="00533DF9">
        <w:t xml:space="preserve"> which was not associated with an increase in adverse </w:t>
      </w:r>
      <w:proofErr w:type="gramStart"/>
      <w:r w:rsidR="00904439" w:rsidRPr="00533DF9">
        <w:t xml:space="preserve">effects, </w:t>
      </w:r>
      <w:r w:rsidR="00325F8B" w:rsidRPr="00533DF9">
        <w:t>that is</w:t>
      </w:r>
      <w:r w:rsidR="00904439" w:rsidRPr="00533DF9">
        <w:t xml:space="preserve"> up to 10 mg/kg/day</w:t>
      </w:r>
      <w:proofErr w:type="gramEnd"/>
      <w:r w:rsidR="00F41C7E" w:rsidRPr="00533DF9">
        <w:t xml:space="preserve">. </w:t>
      </w:r>
      <w:r w:rsidR="00F56F98">
        <w:t>In the opinion of the e</w:t>
      </w:r>
      <w:r w:rsidR="00904439" w:rsidRPr="00533DF9">
        <w:t>valuator the maximum dose should be increased from 4 mg/kg/day up to 10 mg/kg/day.</w:t>
      </w:r>
    </w:p>
    <w:p w:rsidR="008E7846" w:rsidRPr="00E41208" w:rsidRDefault="008E7846" w:rsidP="00546154">
      <w:pPr>
        <w:pStyle w:val="Heading2"/>
      </w:pPr>
      <w:bookmarkStart w:id="140" w:name="_Toc436300050"/>
      <w:r w:rsidRPr="00E41208">
        <w:t xml:space="preserve">V. Pharmacovigilance </w:t>
      </w:r>
      <w:r>
        <w:t>f</w:t>
      </w:r>
      <w:r w:rsidRPr="00E41208">
        <w:t>indings</w:t>
      </w:r>
      <w:bookmarkEnd w:id="92"/>
      <w:bookmarkEnd w:id="93"/>
      <w:bookmarkEnd w:id="140"/>
    </w:p>
    <w:p w:rsidR="008E7846" w:rsidRDefault="00386150" w:rsidP="008E7846">
      <w:pPr>
        <w:pStyle w:val="Heading3"/>
        <w:rPr>
          <w:lang w:eastAsia="en-AU"/>
        </w:rPr>
      </w:pPr>
      <w:bookmarkStart w:id="141" w:name="_Toc247691526"/>
      <w:bookmarkStart w:id="142" w:name="_Toc314842509"/>
      <w:bookmarkStart w:id="143" w:name="_Toc436300051"/>
      <w:r>
        <w:rPr>
          <w:lang w:eastAsia="en-AU"/>
        </w:rPr>
        <w:t>Risk m</w:t>
      </w:r>
      <w:r w:rsidR="008E7846">
        <w:rPr>
          <w:lang w:eastAsia="en-AU"/>
        </w:rPr>
        <w:t xml:space="preserve">anagement </w:t>
      </w:r>
      <w:r>
        <w:rPr>
          <w:lang w:eastAsia="en-AU"/>
        </w:rPr>
        <w:t>p</w:t>
      </w:r>
      <w:r w:rsidR="008E7846">
        <w:rPr>
          <w:lang w:eastAsia="en-AU"/>
        </w:rPr>
        <w:t>lan</w:t>
      </w:r>
      <w:bookmarkEnd w:id="141"/>
      <w:bookmarkEnd w:id="142"/>
      <w:bookmarkEnd w:id="143"/>
    </w:p>
    <w:p w:rsidR="008E7846" w:rsidRDefault="008E7846" w:rsidP="008E7846">
      <w:pPr>
        <w:rPr>
          <w:lang w:eastAsia="en-AU"/>
        </w:rPr>
      </w:pPr>
      <w:r>
        <w:rPr>
          <w:lang w:eastAsia="en-AU"/>
        </w:rPr>
        <w:t>The sponsor submitted a Risk Management Plan</w:t>
      </w:r>
      <w:r w:rsidR="006F25B8">
        <w:rPr>
          <w:lang w:eastAsia="en-AU"/>
        </w:rPr>
        <w:t xml:space="preserve"> </w:t>
      </w:r>
      <w:proofErr w:type="spellStart"/>
      <w:r w:rsidR="00813CF5">
        <w:rPr>
          <w:lang w:eastAsia="en-AU"/>
        </w:rPr>
        <w:t>Anakinra</w:t>
      </w:r>
      <w:proofErr w:type="spellEnd"/>
      <w:r w:rsidR="00813CF5">
        <w:rPr>
          <w:lang w:eastAsia="en-AU"/>
        </w:rPr>
        <w:t xml:space="preserve"> </w:t>
      </w:r>
      <w:r w:rsidR="00D17CE7">
        <w:rPr>
          <w:lang w:eastAsia="en-AU"/>
        </w:rPr>
        <w:t xml:space="preserve">EU-RMP (version 3.2 September 2013) and Australian specific Annex (dated February 2014) </w:t>
      </w:r>
      <w:r w:rsidR="00EA2073">
        <w:rPr>
          <w:lang w:eastAsia="en-AU"/>
        </w:rPr>
        <w:t>which was reviewed by the TGA.</w:t>
      </w:r>
    </w:p>
    <w:p w:rsidR="008E7846" w:rsidRDefault="00EA2073" w:rsidP="008E7846">
      <w:pPr>
        <w:pStyle w:val="Heading4"/>
        <w:rPr>
          <w:lang w:eastAsia="en-AU"/>
        </w:rPr>
      </w:pPr>
      <w:r>
        <w:rPr>
          <w:lang w:eastAsia="en-AU"/>
        </w:rPr>
        <w:lastRenderedPageBreak/>
        <w:t xml:space="preserve">Summary of </w:t>
      </w:r>
      <w:r w:rsidR="00DC7605">
        <w:rPr>
          <w:lang w:eastAsia="en-AU"/>
        </w:rPr>
        <w:t>ongoing safety concerns</w:t>
      </w:r>
    </w:p>
    <w:p w:rsidR="00DC7605" w:rsidRPr="00717977" w:rsidRDefault="00EA2073" w:rsidP="00DC7605">
      <w:pPr>
        <w:jc w:val="both"/>
        <w:rPr>
          <w:rFonts w:asciiTheme="minorHAnsi" w:hAnsiTheme="minorHAnsi"/>
        </w:rPr>
      </w:pPr>
      <w:r>
        <w:rPr>
          <w:rFonts w:asciiTheme="minorHAnsi" w:hAnsiTheme="minorHAnsi"/>
        </w:rPr>
        <w:t>Table 3 provides a</w:t>
      </w:r>
      <w:r w:rsidR="00DC7605" w:rsidRPr="00717977">
        <w:rPr>
          <w:rFonts w:asciiTheme="minorHAnsi" w:hAnsiTheme="minorHAnsi"/>
        </w:rPr>
        <w:t xml:space="preserve"> summary of the Ongoing Safety Concerns as specified by the sponsor</w:t>
      </w:r>
      <w:r w:rsidR="00DC7605">
        <w:rPr>
          <w:rFonts w:asciiTheme="minorHAnsi" w:hAnsiTheme="minorHAnsi"/>
        </w:rPr>
        <w:t>.</w:t>
      </w:r>
    </w:p>
    <w:p w:rsidR="00DC7605" w:rsidRDefault="00EA2073" w:rsidP="008831B9">
      <w:pPr>
        <w:pStyle w:val="TableTitle"/>
        <w:rPr>
          <w:lang w:eastAsia="en-AU"/>
        </w:rPr>
      </w:pPr>
      <w:proofErr w:type="gramStart"/>
      <w:r>
        <w:rPr>
          <w:lang w:eastAsia="en-AU"/>
        </w:rPr>
        <w:t>Table 3</w:t>
      </w:r>
      <w:r w:rsidR="00D17CE7">
        <w:rPr>
          <w:lang w:eastAsia="en-AU"/>
        </w:rPr>
        <w:t>.</w:t>
      </w:r>
      <w:proofErr w:type="gramEnd"/>
      <w:r w:rsidR="00DC7605">
        <w:rPr>
          <w:lang w:eastAsia="en-AU"/>
        </w:rPr>
        <w:t xml:space="preserve"> Summary of ongoing safety concerns</w:t>
      </w:r>
      <w:r w:rsidR="00D17CE7">
        <w:rPr>
          <w:lang w:eastAsia="en-AU"/>
        </w:rPr>
        <w:t>.</w:t>
      </w:r>
    </w:p>
    <w:tbl>
      <w:tblPr>
        <w:tblStyle w:val="TableGrid"/>
        <w:tblW w:w="0" w:type="auto"/>
        <w:tblLook w:val="04A0" w:firstRow="1" w:lastRow="0" w:firstColumn="1" w:lastColumn="0" w:noHBand="0" w:noVBand="1"/>
      </w:tblPr>
      <w:tblGrid>
        <w:gridCol w:w="4563"/>
        <w:gridCol w:w="4157"/>
      </w:tblGrid>
      <w:tr w:rsidR="00DC7605" w:rsidRPr="00717977" w:rsidTr="00C610FA">
        <w:tc>
          <w:tcPr>
            <w:tcW w:w="5210" w:type="dxa"/>
          </w:tcPr>
          <w:p w:rsidR="00DC7605" w:rsidRPr="00717977" w:rsidRDefault="00DC7605" w:rsidP="00C610FA">
            <w:r w:rsidRPr="00717977">
              <w:t>Important identified risks</w:t>
            </w:r>
          </w:p>
        </w:tc>
        <w:tc>
          <w:tcPr>
            <w:tcW w:w="4645" w:type="dxa"/>
          </w:tcPr>
          <w:p w:rsidR="00DC7605" w:rsidRPr="00717977" w:rsidRDefault="00DC7605" w:rsidP="00C610FA">
            <w:r w:rsidRPr="00717977">
              <w:t>Injection site reactions (ISR)</w:t>
            </w:r>
          </w:p>
          <w:p w:rsidR="00DC7605" w:rsidRPr="00717977" w:rsidRDefault="00DC7605" w:rsidP="00C610FA">
            <w:r w:rsidRPr="00717977">
              <w:t>Immunogenicity</w:t>
            </w:r>
          </w:p>
          <w:p w:rsidR="00DC7605" w:rsidRPr="00717977" w:rsidRDefault="00DC7605" w:rsidP="00C610FA">
            <w:r w:rsidRPr="00717977">
              <w:t>Serious infections</w:t>
            </w:r>
          </w:p>
          <w:p w:rsidR="00DC7605" w:rsidRPr="00717977" w:rsidRDefault="00DC7605" w:rsidP="00C610FA">
            <w:r w:rsidRPr="00717977">
              <w:t>Neutropenia</w:t>
            </w:r>
          </w:p>
          <w:p w:rsidR="00DC7605" w:rsidRPr="00717977" w:rsidRDefault="00DC7605" w:rsidP="00C610FA">
            <w:r w:rsidRPr="00717977">
              <w:t>Allergic conditions</w:t>
            </w:r>
          </w:p>
          <w:p w:rsidR="00DC7605" w:rsidRPr="00717977" w:rsidRDefault="00DC7605" w:rsidP="00C610FA">
            <w:r w:rsidRPr="00717977">
              <w:t>Hepatic disorders</w:t>
            </w:r>
          </w:p>
          <w:p w:rsidR="00DC7605" w:rsidRPr="00717977" w:rsidRDefault="00DC7605" w:rsidP="00C610FA">
            <w:r w:rsidRPr="00717977">
              <w:t xml:space="preserve">Interaction with </w:t>
            </w:r>
            <w:r w:rsidR="00DD32B3">
              <w:t>t</w:t>
            </w:r>
            <w:r w:rsidR="00DD32B3" w:rsidRPr="00DD32B3">
              <w:t xml:space="preserve">umour necrosis factor </w:t>
            </w:r>
            <w:r w:rsidR="00DD32B3">
              <w:t>(</w:t>
            </w:r>
            <w:r w:rsidRPr="00717977">
              <w:t>TNF</w:t>
            </w:r>
            <w:r w:rsidR="00DD32B3">
              <w:t xml:space="preserve">) </w:t>
            </w:r>
            <w:r w:rsidRPr="00717977">
              <w:t>antagonists</w:t>
            </w:r>
          </w:p>
        </w:tc>
      </w:tr>
      <w:tr w:rsidR="00DC7605" w:rsidRPr="00717977" w:rsidTr="00C610FA">
        <w:tc>
          <w:tcPr>
            <w:tcW w:w="5210" w:type="dxa"/>
          </w:tcPr>
          <w:p w:rsidR="00DC7605" w:rsidRPr="00717977" w:rsidRDefault="00DC7605" w:rsidP="00C610FA">
            <w:r w:rsidRPr="00717977">
              <w:t>Important potential risks</w:t>
            </w:r>
          </w:p>
        </w:tc>
        <w:tc>
          <w:tcPr>
            <w:tcW w:w="4645" w:type="dxa"/>
          </w:tcPr>
          <w:p w:rsidR="00DC7605" w:rsidRPr="00717977" w:rsidRDefault="00DC7605" w:rsidP="00C610FA">
            <w:r w:rsidRPr="00717977">
              <w:t>Malignancies</w:t>
            </w:r>
          </w:p>
          <w:p w:rsidR="00DC7605" w:rsidRPr="00717977" w:rsidRDefault="00DC7605" w:rsidP="00C610FA">
            <w:r w:rsidRPr="00717977">
              <w:t>Macrophage activation syndrome (MAS)</w:t>
            </w:r>
          </w:p>
          <w:p w:rsidR="00DC7605" w:rsidRPr="00717977" w:rsidRDefault="00DC7605" w:rsidP="00C610FA">
            <w:r w:rsidRPr="00717977">
              <w:t>Medication errors including re-use of syringe</w:t>
            </w:r>
          </w:p>
          <w:p w:rsidR="00DC7605" w:rsidRPr="00717977" w:rsidRDefault="00DC7605" w:rsidP="00C610FA">
            <w:r w:rsidRPr="00717977">
              <w:t>Safety in off-label use</w:t>
            </w:r>
          </w:p>
        </w:tc>
      </w:tr>
      <w:tr w:rsidR="00DC7605" w:rsidRPr="00717977" w:rsidTr="00C610FA">
        <w:tc>
          <w:tcPr>
            <w:tcW w:w="5210" w:type="dxa"/>
          </w:tcPr>
          <w:p w:rsidR="00DC7605" w:rsidRPr="00717977" w:rsidRDefault="00DC7605" w:rsidP="00C610FA">
            <w:r w:rsidRPr="00717977">
              <w:t>Important missing information</w:t>
            </w:r>
          </w:p>
        </w:tc>
        <w:tc>
          <w:tcPr>
            <w:tcW w:w="4645" w:type="dxa"/>
          </w:tcPr>
          <w:p w:rsidR="00DC7605" w:rsidRPr="00717977" w:rsidRDefault="00DC7605" w:rsidP="00C610FA">
            <w:r w:rsidRPr="00717977">
              <w:t>Pregnant women</w:t>
            </w:r>
          </w:p>
          <w:p w:rsidR="00DC7605" w:rsidRPr="00717977" w:rsidRDefault="00DC7605" w:rsidP="00C610FA">
            <w:r w:rsidRPr="00717977">
              <w:t>Lactating women</w:t>
            </w:r>
          </w:p>
          <w:p w:rsidR="00DC7605" w:rsidRPr="00717977" w:rsidRDefault="00DC7605" w:rsidP="00C610FA">
            <w:r w:rsidRPr="00717977">
              <w:t>Patients with cardiac impairment</w:t>
            </w:r>
          </w:p>
          <w:p w:rsidR="00DC7605" w:rsidRPr="00717977" w:rsidRDefault="00DC7605" w:rsidP="00C610FA">
            <w:r w:rsidRPr="00717977">
              <w:t>Use in patients with chronic infections</w:t>
            </w:r>
          </w:p>
          <w:p w:rsidR="00DC7605" w:rsidRPr="00717977" w:rsidRDefault="00DC7605" w:rsidP="00C610FA">
            <w:r w:rsidRPr="00717977">
              <w:t>Use in patients with pre-existing cancers</w:t>
            </w:r>
          </w:p>
          <w:p w:rsidR="00DC7605" w:rsidRPr="00717977" w:rsidRDefault="00DC7605" w:rsidP="00C610FA">
            <w:r w:rsidRPr="00717977">
              <w:t>Interactions with living vaccines</w:t>
            </w:r>
          </w:p>
        </w:tc>
      </w:tr>
    </w:tbl>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DC7605" w:rsidRPr="00DC7605" w:rsidRDefault="00DC7605" w:rsidP="00DC7605">
      <w:r w:rsidRPr="00DC7605">
        <w:t>Routine pharmacovigilance is proposed by the sponsor to monitor all specified safety concerns.</w:t>
      </w:r>
    </w:p>
    <w:p w:rsidR="00DC7605" w:rsidRPr="00DC7605" w:rsidRDefault="00DC7605" w:rsidP="00DC7605">
      <w:r w:rsidRPr="00DC7605">
        <w:t>Targeted questionnaires are proposed for the important identified risks ‘serious infections’, ‘neutropenia’ and ‘hepatic disorders’ and important missing information ‘pregnant women’.</w:t>
      </w:r>
    </w:p>
    <w:p w:rsidR="00DC7605" w:rsidRPr="00DC7605" w:rsidRDefault="00DC7605" w:rsidP="00DC7605">
      <w:r w:rsidRPr="00DC7605">
        <w:t>The pharmacovigilance plan includes 4 patient registries (3 ongoing, 1 planned):</w:t>
      </w:r>
    </w:p>
    <w:p w:rsidR="00DC7605" w:rsidRPr="00DC7605" w:rsidRDefault="00DC7605" w:rsidP="00DC7605">
      <w:pPr>
        <w:pStyle w:val="ListBullet"/>
      </w:pPr>
      <w:r w:rsidRPr="00DC7605">
        <w:t>British Society of Rheumatism Biologics Register (BSRBR) (ongoing)</w:t>
      </w:r>
    </w:p>
    <w:p w:rsidR="00DC7605" w:rsidRPr="00DC7605" w:rsidRDefault="00DC7605" w:rsidP="00DC7605">
      <w:pPr>
        <w:pStyle w:val="ListBullet"/>
      </w:pPr>
      <w:r w:rsidRPr="00DC7605">
        <w:t xml:space="preserve">German Rheumatism Research </w:t>
      </w:r>
      <w:proofErr w:type="spellStart"/>
      <w:r w:rsidRPr="00DC7605">
        <w:t>Center</w:t>
      </w:r>
      <w:proofErr w:type="spellEnd"/>
      <w:r w:rsidRPr="00DC7605">
        <w:t xml:space="preserve"> Berlin </w:t>
      </w:r>
      <w:proofErr w:type="spellStart"/>
      <w:r w:rsidRPr="00DC7605">
        <w:t>Deutsches</w:t>
      </w:r>
      <w:proofErr w:type="spellEnd"/>
      <w:r w:rsidRPr="00DC7605">
        <w:t xml:space="preserve"> </w:t>
      </w:r>
      <w:proofErr w:type="spellStart"/>
      <w:r w:rsidRPr="00DC7605">
        <w:t>Rheuma-Forschungszentrum</w:t>
      </w:r>
      <w:proofErr w:type="spellEnd"/>
      <w:r w:rsidRPr="00DC7605">
        <w:t xml:space="preserve"> (DRFZ) RABBIT Registry (ongoing)</w:t>
      </w:r>
    </w:p>
    <w:p w:rsidR="00DC7605" w:rsidRPr="00DC7605" w:rsidRDefault="00DC7605" w:rsidP="00DC7605">
      <w:pPr>
        <w:pStyle w:val="ListBullet"/>
      </w:pPr>
      <w:r w:rsidRPr="00DC7605">
        <w:t>Swedish Biologics Registry (ARTIS) (ongoing)</w:t>
      </w:r>
    </w:p>
    <w:p w:rsidR="00DC7605" w:rsidRPr="00DC7605" w:rsidRDefault="00DC7605" w:rsidP="00DC7605">
      <w:pPr>
        <w:pStyle w:val="ListBullet"/>
      </w:pPr>
      <w:proofErr w:type="spellStart"/>
      <w:r w:rsidRPr="00DC7605">
        <w:t>Pediatric</w:t>
      </w:r>
      <w:proofErr w:type="spellEnd"/>
      <w:r w:rsidRPr="00DC7605">
        <w:t xml:space="preserve"> Rheumatology International Trials Organisation (PRINTO)/</w:t>
      </w:r>
      <w:proofErr w:type="spellStart"/>
      <w:r w:rsidRPr="00DC7605">
        <w:t>Eurofever</w:t>
      </w:r>
      <w:proofErr w:type="spellEnd"/>
      <w:r w:rsidRPr="00DC7605">
        <w:t xml:space="preserve"> Registry (planned)</w:t>
      </w:r>
      <w:r w:rsidR="009C283F">
        <w:t>.</w:t>
      </w:r>
    </w:p>
    <w:p w:rsidR="00DC7605" w:rsidRPr="001C708A" w:rsidRDefault="00DC7605" w:rsidP="00DC7605">
      <w:pPr>
        <w:pStyle w:val="Heading5"/>
        <w:rPr>
          <w:color w:val="auto"/>
        </w:rPr>
      </w:pPr>
      <w:r w:rsidRPr="001C708A">
        <w:rPr>
          <w:color w:val="auto"/>
        </w:rPr>
        <w:t>OPR reviewer comment</w:t>
      </w:r>
    </w:p>
    <w:p w:rsidR="00DC7605" w:rsidRPr="001C708A" w:rsidRDefault="00DC7605" w:rsidP="00DC7605">
      <w:r w:rsidRPr="001C708A">
        <w:t>The PRINTO/</w:t>
      </w:r>
      <w:proofErr w:type="spellStart"/>
      <w:r w:rsidRPr="001C708A">
        <w:t>E</w:t>
      </w:r>
      <w:r w:rsidR="009C283F">
        <w:t>urofever</w:t>
      </w:r>
      <w:proofErr w:type="spellEnd"/>
      <w:r w:rsidR="009C283F">
        <w:t xml:space="preserve"> Registry is a post</w:t>
      </w:r>
      <w:r w:rsidR="003F7537">
        <w:t>-</w:t>
      </w:r>
      <w:r w:rsidRPr="001C708A">
        <w:t xml:space="preserve">authorisation safety study of </w:t>
      </w:r>
      <w:proofErr w:type="spellStart"/>
      <w:r w:rsidRPr="001C708A">
        <w:t>Kineret</w:t>
      </w:r>
      <w:proofErr w:type="spellEnd"/>
      <w:r w:rsidRPr="001C708A">
        <w:t xml:space="preserve"> in </w:t>
      </w:r>
      <w:r w:rsidR="00E02770">
        <w:t>CAPS</w:t>
      </w:r>
      <w:r w:rsidRPr="001C708A">
        <w:t xml:space="preserve"> patients</w:t>
      </w:r>
      <w:r w:rsidR="00F41C7E" w:rsidRPr="001C708A">
        <w:t xml:space="preserve">. </w:t>
      </w:r>
      <w:r w:rsidRPr="001C708A">
        <w:t>Prospective data collection is planned in</w:t>
      </w:r>
      <w:r w:rsidR="001C708A">
        <w:t xml:space="preserve"> the third quarter</w:t>
      </w:r>
      <w:r w:rsidRPr="001C708A">
        <w:t xml:space="preserve"> </w:t>
      </w:r>
      <w:r w:rsidR="001C708A">
        <w:t>(</w:t>
      </w:r>
      <w:r w:rsidRPr="001C708A">
        <w:t>Q3</w:t>
      </w:r>
      <w:r w:rsidR="001C708A">
        <w:t>)</w:t>
      </w:r>
      <w:r w:rsidRPr="001C708A">
        <w:t xml:space="preserve"> 2014 with follow </w:t>
      </w:r>
      <w:r w:rsidRPr="001C708A">
        <w:lastRenderedPageBreak/>
        <w:t>up until 2018</w:t>
      </w:r>
      <w:r w:rsidR="00F41C7E" w:rsidRPr="001C708A">
        <w:t xml:space="preserve">. </w:t>
      </w:r>
      <w:r w:rsidRPr="001C708A">
        <w:t>Data will be reported annually</w:t>
      </w:r>
      <w:r w:rsidR="00F41C7E" w:rsidRPr="001C708A">
        <w:t xml:space="preserve">. </w:t>
      </w:r>
      <w:r w:rsidRPr="001C708A">
        <w:t>Although not specific to the proposed indication it is accepted that safety data gained from this study will be generally informative to the safety profile.</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DC7605" w:rsidRDefault="00DC7605" w:rsidP="00DC7605">
      <w:bookmarkStart w:id="144" w:name="_Toc247691527"/>
      <w:r w:rsidRPr="00DC7605">
        <w:t>According to the RMP routi</w:t>
      </w:r>
      <w:r w:rsidR="001C708A">
        <w:t>ne risk minimisation activities</w:t>
      </w:r>
      <w:r w:rsidRPr="00DC7605">
        <w:t xml:space="preserve"> are proposed for Australia</w:t>
      </w:r>
      <w:r w:rsidR="00F41C7E">
        <w:t xml:space="preserve">. </w:t>
      </w:r>
      <w:r w:rsidRPr="00DC7605">
        <w:t>No additional risk minimisation activities are proposed in the ASA provided however the EU-RMP does propose additional risk minimisation activities in the form of educational materials.</w:t>
      </w:r>
    </w:p>
    <w:p w:rsidR="006F25B8" w:rsidRDefault="006F25B8" w:rsidP="006F25B8">
      <w:pPr>
        <w:pStyle w:val="Heading4"/>
        <w:rPr>
          <w:lang w:eastAsia="en-AU"/>
        </w:rPr>
      </w:pPr>
      <w:r w:rsidRPr="006F25B8">
        <w:rPr>
          <w:lang w:eastAsia="en-AU"/>
        </w:rPr>
        <w:t xml:space="preserve">Reconciliation of issues outlined in the RMP report </w:t>
      </w:r>
    </w:p>
    <w:p w:rsidR="006F25B8" w:rsidRDefault="006F25B8" w:rsidP="006F25B8">
      <w:pPr>
        <w:rPr>
          <w:lang w:eastAsia="en-AU"/>
        </w:rPr>
      </w:pPr>
      <w:r>
        <w:rPr>
          <w:lang w:eastAsia="en-AU"/>
        </w:rPr>
        <w:t xml:space="preserve">Table </w:t>
      </w:r>
      <w:r w:rsidR="00EA2073">
        <w:rPr>
          <w:lang w:eastAsia="en-AU"/>
        </w:rPr>
        <w:t>4</w:t>
      </w:r>
      <w:r>
        <w:rPr>
          <w:lang w:eastAsia="en-AU"/>
        </w:rPr>
        <w:t xml:space="preserve"> summarises the first round evaluation of the RMP, the sponsor’s responses to issues raised by the </w:t>
      </w:r>
      <w:r w:rsidR="00EA2073">
        <w:rPr>
          <w:lang w:eastAsia="en-AU"/>
        </w:rPr>
        <w:t>RMP evaluator</w:t>
      </w:r>
      <w:r>
        <w:rPr>
          <w:lang w:eastAsia="en-AU"/>
        </w:rPr>
        <w:t xml:space="preserve"> and </w:t>
      </w:r>
      <w:r w:rsidR="00EA2073">
        <w:rPr>
          <w:lang w:eastAsia="en-AU"/>
        </w:rPr>
        <w:t xml:space="preserve">an </w:t>
      </w:r>
      <w:r>
        <w:rPr>
          <w:lang w:eastAsia="en-AU"/>
        </w:rPr>
        <w:t>evaluat</w:t>
      </w:r>
      <w:r w:rsidR="00813CF5">
        <w:rPr>
          <w:lang w:eastAsia="en-AU"/>
        </w:rPr>
        <w:t>ion of the sponsor’s responses.</w:t>
      </w:r>
    </w:p>
    <w:p w:rsidR="00813CF5" w:rsidRDefault="00EA2073" w:rsidP="00C610FA">
      <w:pPr>
        <w:pStyle w:val="TableTitle"/>
        <w:rPr>
          <w:lang w:eastAsia="en-AU"/>
        </w:rPr>
      </w:pPr>
      <w:proofErr w:type="gramStart"/>
      <w:r>
        <w:rPr>
          <w:lang w:eastAsia="en-AU"/>
        </w:rPr>
        <w:t>Table 4</w:t>
      </w:r>
      <w:r w:rsidR="00813CF5">
        <w:rPr>
          <w:lang w:eastAsia="en-AU"/>
        </w:rPr>
        <w:t>.</w:t>
      </w:r>
      <w:proofErr w:type="gramEnd"/>
      <w:r w:rsidR="00813CF5">
        <w:rPr>
          <w:lang w:eastAsia="en-AU"/>
        </w:rPr>
        <w:t xml:space="preserve"> Reconciliation of issues </w:t>
      </w:r>
      <w:r w:rsidR="0015527C">
        <w:rPr>
          <w:lang w:eastAsia="en-AU"/>
        </w:rPr>
        <w:t>outlined in the RMP report.</w:t>
      </w:r>
    </w:p>
    <w:tbl>
      <w:tblPr>
        <w:tblStyle w:val="TableTGAblue"/>
        <w:tblW w:w="4875" w:type="pct"/>
        <w:tblLayout w:type="fixed"/>
        <w:tblLook w:val="04A0" w:firstRow="1" w:lastRow="0" w:firstColumn="1" w:lastColumn="0" w:noHBand="0" w:noVBand="1"/>
      </w:tblPr>
      <w:tblGrid>
        <w:gridCol w:w="3392"/>
        <w:gridCol w:w="2445"/>
        <w:gridCol w:w="2665"/>
      </w:tblGrid>
      <w:tr w:rsidR="0041585A" w:rsidRPr="0041585A" w:rsidTr="00C610FA">
        <w:trPr>
          <w:cnfStyle w:val="100000000000" w:firstRow="1" w:lastRow="0" w:firstColumn="0" w:lastColumn="0" w:oddVBand="0" w:evenVBand="0" w:oddHBand="0" w:evenHBand="0" w:firstRowFirstColumn="0" w:firstRowLastColumn="0" w:lastRowFirstColumn="0" w:lastRowLastColumn="0"/>
        </w:trPr>
        <w:tc>
          <w:tcPr>
            <w:tcW w:w="1995" w:type="pct"/>
            <w:noWrap/>
          </w:tcPr>
          <w:p w:rsidR="0041585A" w:rsidRPr="0041585A" w:rsidRDefault="0041585A" w:rsidP="00C610FA">
            <w:r w:rsidRPr="0041585A">
              <w:t>Recommendation in RMP evaluation report</w:t>
            </w:r>
          </w:p>
        </w:tc>
        <w:tc>
          <w:tcPr>
            <w:tcW w:w="1438" w:type="pct"/>
            <w:noWrap/>
          </w:tcPr>
          <w:p w:rsidR="0041585A" w:rsidRPr="0041585A" w:rsidRDefault="009C283F" w:rsidP="00C610FA">
            <w:r>
              <w:t>Sponsor’s response</w:t>
            </w:r>
          </w:p>
        </w:tc>
        <w:tc>
          <w:tcPr>
            <w:tcW w:w="1567" w:type="pct"/>
            <w:noWrap/>
          </w:tcPr>
          <w:p w:rsidR="0041585A" w:rsidRPr="0041585A" w:rsidRDefault="0041585A" w:rsidP="00C610FA">
            <w:r w:rsidRPr="0041585A">
              <w:t>OPR evaluator’s comment</w:t>
            </w:r>
          </w:p>
        </w:tc>
      </w:tr>
      <w:tr w:rsidR="0041585A" w:rsidRPr="0041585A" w:rsidTr="00C610FA">
        <w:tc>
          <w:tcPr>
            <w:tcW w:w="1995" w:type="pct"/>
            <w:noWrap/>
          </w:tcPr>
          <w:p w:rsidR="0041585A" w:rsidRPr="0041585A" w:rsidRDefault="0041585A" w:rsidP="00C610FA">
            <w:r>
              <w:t xml:space="preserve">1. </w:t>
            </w:r>
            <w:r w:rsidRPr="0041585A">
              <w:t xml:space="preserve">Safety considerations may be raised by the nonclinical and clinical evaluators through the </w:t>
            </w:r>
            <w:r>
              <w:t xml:space="preserve">TGAs </w:t>
            </w:r>
            <w:r w:rsidRPr="0041585A">
              <w:t xml:space="preserve">consolidated request </w:t>
            </w:r>
            <w:r>
              <w:t>for information and/or the nonclinical and clinical evaluation r</w:t>
            </w:r>
            <w:r w:rsidRPr="0041585A">
              <w:t xml:space="preserve">eports respectively. It is important to ensure that the information provided in response to these includes consideration of the relevance for the </w:t>
            </w:r>
            <w:r>
              <w:t>RMP</w:t>
            </w:r>
            <w:r w:rsidRPr="0041585A">
              <w:t>, and any specific information needed to address this issue in the RMP. For any safety considerations so raised, the sponsor should provide information that is relevant and necessary to address the issue in the RMP.</w:t>
            </w:r>
          </w:p>
        </w:tc>
        <w:tc>
          <w:tcPr>
            <w:tcW w:w="1438" w:type="pct"/>
            <w:noWrap/>
          </w:tcPr>
          <w:p w:rsidR="0041585A" w:rsidRPr="0041585A" w:rsidRDefault="009C283F" w:rsidP="00C610FA">
            <w:r>
              <w:t>The sponsor</w:t>
            </w:r>
            <w:r w:rsidR="0041585A" w:rsidRPr="0041585A">
              <w:t xml:space="preserve"> agrees that for any safety considerations raised by the nonclinical and clinical evaluator, the information provided in response to the issues will include consideration of the relevance for the </w:t>
            </w:r>
            <w:r w:rsidR="0041585A">
              <w:t>RMP</w:t>
            </w:r>
            <w:r w:rsidR="00B060F5">
              <w:t>.</w:t>
            </w:r>
          </w:p>
          <w:p w:rsidR="0041585A" w:rsidRPr="0041585A" w:rsidRDefault="0041585A" w:rsidP="00C610FA">
            <w:r w:rsidRPr="0041585A">
              <w:t>The RMP ASA has been updated with relevant information for SJIA.</w:t>
            </w:r>
          </w:p>
        </w:tc>
        <w:tc>
          <w:tcPr>
            <w:tcW w:w="1567" w:type="pct"/>
            <w:noWrap/>
          </w:tcPr>
          <w:p w:rsidR="0041585A" w:rsidRPr="0041585A" w:rsidRDefault="0041585A" w:rsidP="00C610FA">
            <w:r w:rsidRPr="0041585A">
              <w:t>This is acceptable.</w:t>
            </w:r>
          </w:p>
        </w:tc>
      </w:tr>
      <w:tr w:rsidR="0041585A" w:rsidRPr="0041585A" w:rsidTr="00C610FA">
        <w:tc>
          <w:tcPr>
            <w:tcW w:w="1995" w:type="pct"/>
            <w:noWrap/>
          </w:tcPr>
          <w:p w:rsidR="0041585A" w:rsidRPr="0041585A" w:rsidRDefault="0041585A" w:rsidP="00C610FA">
            <w:r>
              <w:t xml:space="preserve">2. </w:t>
            </w:r>
            <w:r w:rsidRPr="0041585A">
              <w:t xml:space="preserve">The protocols of ongoing activities have not been reviewed as part of this evaluation. The ongoing studies will either generate safety data that will simply support the known safety profile of the medicine or generate data that will provoke applications to amend the Australian registration details. It is </w:t>
            </w:r>
            <w:r w:rsidRPr="0041585A">
              <w:lastRenderedPageBreak/>
              <w:t>recommended that all interim reports and final reports for each activity are provided to the TGA accordingly.</w:t>
            </w:r>
          </w:p>
        </w:tc>
        <w:tc>
          <w:tcPr>
            <w:tcW w:w="1438" w:type="pct"/>
            <w:noWrap/>
          </w:tcPr>
          <w:p w:rsidR="0041585A" w:rsidRPr="0041585A" w:rsidRDefault="009C283F" w:rsidP="00C610FA">
            <w:r w:rsidRPr="009C283F">
              <w:lastRenderedPageBreak/>
              <w:t>The sponsor</w:t>
            </w:r>
            <w:r w:rsidR="0041585A" w:rsidRPr="0041585A">
              <w:t xml:space="preserve"> agrees to provide all interim reports and final reports for each activity to the TGA as they become available.</w:t>
            </w:r>
          </w:p>
        </w:tc>
        <w:tc>
          <w:tcPr>
            <w:tcW w:w="1567" w:type="pct"/>
            <w:noWrap/>
          </w:tcPr>
          <w:p w:rsidR="0041585A" w:rsidRPr="0041585A" w:rsidRDefault="0041585A" w:rsidP="00C610FA">
            <w:r w:rsidRPr="0041585A">
              <w:t>This is acceptable.</w:t>
            </w:r>
          </w:p>
        </w:tc>
      </w:tr>
      <w:tr w:rsidR="0041585A" w:rsidRPr="0041585A" w:rsidTr="00C610FA">
        <w:tc>
          <w:tcPr>
            <w:tcW w:w="1995" w:type="pct"/>
            <w:noWrap/>
          </w:tcPr>
          <w:p w:rsidR="0041585A" w:rsidRPr="0041585A" w:rsidRDefault="0041585A" w:rsidP="00C610FA">
            <w:r>
              <w:lastRenderedPageBreak/>
              <w:t xml:space="preserve">3. </w:t>
            </w:r>
            <w:r w:rsidRPr="0041585A">
              <w:t xml:space="preserve">The sponsor is requested to provide in their response </w:t>
            </w:r>
            <w:r>
              <w:t xml:space="preserve">to the TGAs request for information </w:t>
            </w:r>
            <w:r w:rsidRPr="0041585A">
              <w:t>the most recent version of the ASA and RMP which should accommodate th</w:t>
            </w:r>
            <w:r w:rsidR="00EA2073">
              <w:t xml:space="preserve">e changes previously negotiated </w:t>
            </w:r>
            <w:r w:rsidRPr="0041585A">
              <w:t>including the additional pharmacovigilance activities (and their associated milestones) as they apply in the Australian context. The updated ASA should also include information regarding the proposed SJIA indication as appropriate.</w:t>
            </w:r>
          </w:p>
        </w:tc>
        <w:tc>
          <w:tcPr>
            <w:tcW w:w="1438" w:type="pct"/>
            <w:noWrap/>
          </w:tcPr>
          <w:p w:rsidR="0041585A" w:rsidRPr="0041585A" w:rsidRDefault="0041585A" w:rsidP="00C610FA">
            <w:pPr>
              <w:rPr>
                <w:highlight w:val="yellow"/>
              </w:rPr>
            </w:pPr>
            <w:r w:rsidRPr="0041585A">
              <w:t>The most recent version of the ASA (Version No. 3.1.2) which accommodates the changes previously negotiated includes the additional pharmacovigilance activities and their associate milestones as they apply in the Australian context. The updated ASA also includes information regarding the proposed SJIA indication as appropriate.</w:t>
            </w:r>
          </w:p>
        </w:tc>
        <w:tc>
          <w:tcPr>
            <w:tcW w:w="1567" w:type="pct"/>
            <w:noWrap/>
          </w:tcPr>
          <w:p w:rsidR="0041585A" w:rsidRPr="0041585A" w:rsidRDefault="0041585A" w:rsidP="00C610FA">
            <w:r w:rsidRPr="0041585A">
              <w:t>The updated ASA submitted is labelled version 3.2 not 3.1.2.</w:t>
            </w:r>
            <w:r w:rsidR="00C610FA">
              <w:t xml:space="preserve"> </w:t>
            </w:r>
            <w:r w:rsidRPr="0041585A">
              <w:t>The sponsor’s response is acceptable.</w:t>
            </w:r>
          </w:p>
        </w:tc>
      </w:tr>
      <w:tr w:rsidR="0041585A" w:rsidRPr="0041585A" w:rsidTr="00C610FA">
        <w:tc>
          <w:tcPr>
            <w:tcW w:w="1995" w:type="pct"/>
            <w:noWrap/>
          </w:tcPr>
          <w:p w:rsidR="0041585A" w:rsidRPr="0041585A" w:rsidRDefault="00EA2073" w:rsidP="00C610FA">
            <w:r>
              <w:t xml:space="preserve">4. </w:t>
            </w:r>
            <w:r w:rsidR="0041585A" w:rsidRPr="0041585A">
              <w:t>The sponsor is requested to provide in their response</w:t>
            </w:r>
            <w:r w:rsidR="0041585A">
              <w:t xml:space="preserve"> to TGAs request for information</w:t>
            </w:r>
            <w:r w:rsidR="0041585A" w:rsidRPr="0041585A">
              <w:t xml:space="preserve"> the most recent version of the ASA and RMP which should accommodate the changes previously negotiated including the summary table of product labelling statements as they apply in Australia.</w:t>
            </w:r>
          </w:p>
        </w:tc>
        <w:tc>
          <w:tcPr>
            <w:tcW w:w="1438" w:type="pct"/>
            <w:noWrap/>
          </w:tcPr>
          <w:p w:rsidR="0041585A" w:rsidRPr="0041585A" w:rsidRDefault="0041585A" w:rsidP="00C610FA">
            <w:r w:rsidRPr="0041585A">
              <w:t>The most recent version of the ASA (Version No. 3.1.2) which accommodate the changes previously negotiated including the summary table of product labelling statements as they apply in Australia is attached in Module 1.13, Risk management plan for Australia. The RMP Version 3.2 included with the submission is the latest version.</w:t>
            </w:r>
          </w:p>
        </w:tc>
        <w:tc>
          <w:tcPr>
            <w:tcW w:w="1567" w:type="pct"/>
            <w:noWrap/>
          </w:tcPr>
          <w:p w:rsidR="0041585A" w:rsidRPr="0041585A" w:rsidRDefault="0041585A" w:rsidP="00C610FA">
            <w:r w:rsidRPr="0041585A">
              <w:t>The updated ASA submitted is labelled version 3.2 not 3.1.2.</w:t>
            </w:r>
            <w:r w:rsidR="00C610FA">
              <w:t xml:space="preserve"> </w:t>
            </w:r>
            <w:r w:rsidRPr="0041585A">
              <w:t>The sponsor’s response is acceptable.</w:t>
            </w:r>
          </w:p>
        </w:tc>
      </w:tr>
      <w:tr w:rsidR="0041585A" w:rsidRPr="0041585A" w:rsidTr="00C610FA">
        <w:tc>
          <w:tcPr>
            <w:tcW w:w="1995" w:type="pct"/>
            <w:noWrap/>
          </w:tcPr>
          <w:p w:rsidR="0041585A" w:rsidRPr="0041585A" w:rsidRDefault="00EA2073" w:rsidP="00C610FA">
            <w:r>
              <w:t xml:space="preserve">5. </w:t>
            </w:r>
            <w:r w:rsidR="0041585A" w:rsidRPr="0041585A">
              <w:t xml:space="preserve">In the response </w:t>
            </w:r>
            <w:r w:rsidR="0041585A">
              <w:t xml:space="preserve">to the TGAs request for information </w:t>
            </w:r>
            <w:r w:rsidR="0041585A" w:rsidRPr="0041585A">
              <w:t xml:space="preserve">for </w:t>
            </w:r>
            <w:r>
              <w:t xml:space="preserve">a previous application, </w:t>
            </w:r>
            <w:r w:rsidR="0041585A" w:rsidRPr="0041585A">
              <w:t xml:space="preserve">the </w:t>
            </w:r>
            <w:r w:rsidR="0041585A" w:rsidRPr="0041585A">
              <w:lastRenderedPageBreak/>
              <w:t xml:space="preserve">sponsor agreed to provide healthcare and patient educational materials as additional risk minimisation activities to ensure consistency with activities in the European Union (EU). The sponsor should update the ASA regarding the educational materials with consideration of the following: </w:t>
            </w:r>
          </w:p>
          <w:p w:rsidR="0041585A" w:rsidRPr="002C162A" w:rsidRDefault="0041585A" w:rsidP="00C610FA">
            <w:r w:rsidRPr="002C162A">
              <w:t>Educational materials are considered additional risk minimisation and should b</w:t>
            </w:r>
            <w:r w:rsidR="002C162A">
              <w:t>e presented as such in the ASA.</w:t>
            </w:r>
          </w:p>
          <w:p w:rsidR="0041585A" w:rsidRPr="002C162A" w:rsidRDefault="0041585A" w:rsidP="00C610FA">
            <w:r w:rsidRPr="002C162A">
              <w:t>The ASA should detail a distribution strategy for the educational materials</w:t>
            </w:r>
            <w:r w:rsidR="002C162A">
              <w:t>.</w:t>
            </w:r>
          </w:p>
          <w:p w:rsidR="0041585A" w:rsidRPr="002C162A" w:rsidRDefault="0041585A" w:rsidP="00C610FA">
            <w:r w:rsidRPr="002C162A">
              <w:t>The ASA should detail a strategy for the assessment of the effectivenes</w:t>
            </w:r>
            <w:r w:rsidR="002C162A">
              <w:t>s of the educational materials.</w:t>
            </w:r>
          </w:p>
          <w:p w:rsidR="0041585A" w:rsidRPr="002C162A" w:rsidRDefault="0041585A" w:rsidP="00C610FA">
            <w:r w:rsidRPr="002C162A">
              <w:t>The ASA should include at least draft educational ma</w:t>
            </w:r>
            <w:r w:rsidR="002C162A">
              <w:t>terials proposed for Australia.</w:t>
            </w:r>
          </w:p>
          <w:p w:rsidR="0041585A" w:rsidRPr="002C162A" w:rsidRDefault="0041585A" w:rsidP="00C610FA">
            <w:r w:rsidRPr="002C162A">
              <w:t>The TGA expects that the educational materials will be updated with information specific to t</w:t>
            </w:r>
            <w:r w:rsidR="002C162A">
              <w:t>he SJIA indication if approved.</w:t>
            </w:r>
          </w:p>
        </w:tc>
        <w:tc>
          <w:tcPr>
            <w:tcW w:w="1438" w:type="pct"/>
            <w:noWrap/>
          </w:tcPr>
          <w:p w:rsidR="0041585A" w:rsidRPr="0041585A" w:rsidRDefault="0041585A" w:rsidP="00C610FA">
            <w:r w:rsidRPr="0041585A">
              <w:lastRenderedPageBreak/>
              <w:t xml:space="preserve">The updated ASA (Version No. 3.1.2) provided in Module </w:t>
            </w:r>
            <w:r w:rsidRPr="0041585A">
              <w:lastRenderedPageBreak/>
              <w:t>1.13, Risk management plan for Australia. The ASA has been up</w:t>
            </w:r>
            <w:r w:rsidR="002C162A">
              <w:t>dated to include the following:</w:t>
            </w:r>
          </w:p>
          <w:p w:rsidR="0041585A" w:rsidRPr="002C162A" w:rsidRDefault="0041585A" w:rsidP="00C610FA">
            <w:r w:rsidRPr="002C162A">
              <w:t>Educational materials are included as additi</w:t>
            </w:r>
            <w:r w:rsidR="002C162A">
              <w:t>onal risk minim</w:t>
            </w:r>
            <w:r w:rsidR="00B4566A">
              <w:t>is</w:t>
            </w:r>
            <w:r w:rsidR="002C162A">
              <w:t>ation.</w:t>
            </w:r>
          </w:p>
          <w:p w:rsidR="0041585A" w:rsidRPr="002C162A" w:rsidRDefault="0041585A" w:rsidP="00C610FA">
            <w:r w:rsidRPr="002C162A">
              <w:t>Details on the distribution strategy</w:t>
            </w:r>
            <w:r w:rsidR="00A22315">
              <w:t xml:space="preserve"> for the educational materials.</w:t>
            </w:r>
          </w:p>
          <w:p w:rsidR="0041585A" w:rsidRPr="002C162A" w:rsidRDefault="0041585A" w:rsidP="00C610FA">
            <w:r w:rsidRPr="002C162A">
              <w:t>Detail a strategy for the assessment of the effectivenes</w:t>
            </w:r>
            <w:r w:rsidR="00A22315">
              <w:t>s of the educational materials.</w:t>
            </w:r>
          </w:p>
          <w:p w:rsidR="0041585A" w:rsidRPr="0041585A" w:rsidRDefault="0041585A" w:rsidP="00C610FA">
            <w:r w:rsidRPr="0041585A">
              <w:t>As presented in the ASA, Section 3, Risk Minimisation Plan, the number and change in numbers of reports describing injection site reactions and medication errors including re-use of syringe will be followed. This will be done by monitoring and evaluating individual case safety reports (ICSRs) and comparing the frequency of events to frequencies for previous years. The results of the assessments will be r</w:t>
            </w:r>
            <w:r w:rsidR="00A22315">
              <w:t>eported to TGA in future PSURs.</w:t>
            </w:r>
          </w:p>
          <w:p w:rsidR="0041585A" w:rsidRPr="0041585A" w:rsidRDefault="0041585A" w:rsidP="00C610FA">
            <w:r w:rsidRPr="0041585A">
              <w:t>Draft educational ma</w:t>
            </w:r>
            <w:r w:rsidR="00A22315">
              <w:t xml:space="preserve">terials proposed </w:t>
            </w:r>
            <w:r w:rsidR="00A22315">
              <w:lastRenderedPageBreak/>
              <w:t>for Australia.</w:t>
            </w:r>
          </w:p>
          <w:p w:rsidR="0041585A" w:rsidRPr="0041585A" w:rsidRDefault="0041585A" w:rsidP="00C610FA">
            <w:r w:rsidRPr="0041585A">
              <w:t>The educational materials have been updated with information specific to the SJIA indication</w:t>
            </w:r>
            <w:r w:rsidR="00A22315">
              <w:t xml:space="preserve"> if approved.</w:t>
            </w:r>
          </w:p>
        </w:tc>
        <w:tc>
          <w:tcPr>
            <w:tcW w:w="1567" w:type="pct"/>
            <w:noWrap/>
          </w:tcPr>
          <w:p w:rsidR="0041585A" w:rsidRPr="0041585A" w:rsidRDefault="0041585A" w:rsidP="00C610FA">
            <w:r w:rsidRPr="0041585A">
              <w:lastRenderedPageBreak/>
              <w:t>The updated ASA submitted is labelled version 3.2 not 3.1.2.</w:t>
            </w:r>
            <w:r w:rsidR="00C610FA">
              <w:t xml:space="preserve"> </w:t>
            </w:r>
            <w:r w:rsidRPr="0041585A">
              <w:lastRenderedPageBreak/>
              <w:t>The evaluator has no objection to the content of the draft educational materials.</w:t>
            </w:r>
            <w:r w:rsidR="00C610FA">
              <w:t xml:space="preserve"> </w:t>
            </w:r>
            <w:r w:rsidRPr="0041585A">
              <w:t>The sponsor’s approach to implementing the educational program is considered acceptable.</w:t>
            </w:r>
          </w:p>
        </w:tc>
      </w:tr>
      <w:tr w:rsidR="0041585A" w:rsidRPr="0041585A" w:rsidTr="00C610FA">
        <w:tc>
          <w:tcPr>
            <w:tcW w:w="1995" w:type="pct"/>
            <w:noWrap/>
          </w:tcPr>
          <w:p w:rsidR="0041585A" w:rsidRPr="0041585A" w:rsidRDefault="00EA2073" w:rsidP="00C610FA">
            <w:r>
              <w:lastRenderedPageBreak/>
              <w:t xml:space="preserve">6. </w:t>
            </w:r>
            <w:r w:rsidR="0041585A" w:rsidRPr="0041585A">
              <w:t>The incidence of medication errors seen in the clinical trial programme and in post‐marketing experience for the available and proposed indications is not appropriately detailed in the RMP or ASA. This should be corrected. Characterisation of medication errors is considered a requirement of the RMP.</w:t>
            </w:r>
          </w:p>
        </w:tc>
        <w:tc>
          <w:tcPr>
            <w:tcW w:w="1438" w:type="pct"/>
            <w:noWrap/>
          </w:tcPr>
          <w:p w:rsidR="0041585A" w:rsidRPr="0041585A" w:rsidRDefault="0041585A" w:rsidP="00C610FA">
            <w:r w:rsidRPr="0041585A">
              <w:t xml:space="preserve">The incidence of medication errors seen in the clinical trial programme and in post‐marketing experience for the available and proposed indications is further detailed in the updated ASA (Version No. 3.1.2), Section 2.2.2, Safety concerns – Important potential risks. </w:t>
            </w:r>
          </w:p>
          <w:p w:rsidR="0041585A" w:rsidRPr="0041585A" w:rsidRDefault="0041585A" w:rsidP="00C610FA">
            <w:r w:rsidRPr="0041585A">
              <w:t xml:space="preserve">Medication errors are followed by </w:t>
            </w:r>
            <w:proofErr w:type="spellStart"/>
            <w:r w:rsidRPr="002C2E2E">
              <w:rPr>
                <w:color w:val="auto"/>
              </w:rPr>
              <w:t>Sobi</w:t>
            </w:r>
            <w:proofErr w:type="spellEnd"/>
            <w:r w:rsidR="009C283F" w:rsidRPr="002C2E2E">
              <w:rPr>
                <w:rStyle w:val="FootnoteReference"/>
                <w:color w:val="auto"/>
              </w:rPr>
              <w:footnoteReference w:id="10"/>
            </w:r>
            <w:r w:rsidRPr="002C2E2E">
              <w:rPr>
                <w:color w:val="auto"/>
              </w:rPr>
              <w:t xml:space="preserve"> as </w:t>
            </w:r>
            <w:r w:rsidRPr="0041585A">
              <w:t xml:space="preserve">part of regular safety surveillance. Currently the new graduated syringe, which has not been used either in RA or in CAPS studies, is being introduced worldwide. </w:t>
            </w:r>
            <w:proofErr w:type="spellStart"/>
            <w:r w:rsidRPr="0041585A">
              <w:t>Sobi</w:t>
            </w:r>
            <w:proofErr w:type="spellEnd"/>
            <w:r w:rsidRPr="0041585A">
              <w:t xml:space="preserve"> will continue to follow medication errors and search for any changes in frequency and/or types of medication errors when the new graduated syringe is introduced. </w:t>
            </w:r>
            <w:proofErr w:type="spellStart"/>
            <w:r w:rsidRPr="0041585A">
              <w:t>Sobi</w:t>
            </w:r>
            <w:proofErr w:type="spellEnd"/>
            <w:r w:rsidRPr="0041585A">
              <w:t xml:space="preserve"> </w:t>
            </w:r>
            <w:r w:rsidRPr="0041585A">
              <w:lastRenderedPageBreak/>
              <w:t xml:space="preserve">will also, as agreed with </w:t>
            </w:r>
            <w:r w:rsidR="007437BE" w:rsidRPr="007437BE">
              <w:t xml:space="preserve">European medicines agency </w:t>
            </w:r>
            <w:r w:rsidR="007437BE">
              <w:t>(</w:t>
            </w:r>
            <w:r w:rsidRPr="0041585A">
              <w:t>EMA</w:t>
            </w:r>
            <w:r w:rsidR="007437BE">
              <w:t>)</w:t>
            </w:r>
            <w:r w:rsidRPr="0041585A">
              <w:t>, conduct a PASS in CAPS patients in Europe. One of the primary objectives of this PASS is to monitor types and incidence of medication errors. As mentioned in the response above, since EU has a similar demographic to Australia, the company considers that the results from the PASS conducted in EU are also relevant for Australia. The results of the PASS will be provided to TGA when they are available.</w:t>
            </w:r>
          </w:p>
        </w:tc>
        <w:tc>
          <w:tcPr>
            <w:tcW w:w="1567" w:type="pct"/>
            <w:noWrap/>
          </w:tcPr>
          <w:p w:rsidR="0041585A" w:rsidRPr="0041585A" w:rsidRDefault="0041585A" w:rsidP="00C610FA">
            <w:r w:rsidRPr="0041585A">
              <w:lastRenderedPageBreak/>
              <w:t>The updated ASA submitted is labelled version 3.2 not 3.1.2.</w:t>
            </w:r>
            <w:r w:rsidR="00C610FA">
              <w:t xml:space="preserve"> </w:t>
            </w:r>
            <w:r w:rsidRPr="0041585A">
              <w:t>The sponsor’s approach to pharmacovigilance and risk minimisation for the risk of medication errors is considered acceptable.</w:t>
            </w:r>
          </w:p>
        </w:tc>
      </w:tr>
    </w:tbl>
    <w:p w:rsidR="008E7846" w:rsidRDefault="008E7846" w:rsidP="008E7846">
      <w:pPr>
        <w:pStyle w:val="Heading4"/>
        <w:rPr>
          <w:lang w:eastAsia="en-AU"/>
        </w:rPr>
      </w:pPr>
      <w:r>
        <w:rPr>
          <w:lang w:eastAsia="en-AU"/>
        </w:rPr>
        <w:lastRenderedPageBreak/>
        <w:t xml:space="preserve">Summary of </w:t>
      </w:r>
      <w:r w:rsidR="003A7F6C">
        <w:rPr>
          <w:lang w:eastAsia="en-AU"/>
        </w:rPr>
        <w:t>r</w:t>
      </w:r>
      <w:r>
        <w:rPr>
          <w:lang w:eastAsia="en-AU"/>
        </w:rPr>
        <w:t>ecommendations</w:t>
      </w:r>
    </w:p>
    <w:p w:rsidR="00C63375" w:rsidRDefault="00C63375" w:rsidP="00C63375">
      <w:pPr>
        <w:pStyle w:val="Heading5"/>
        <w:rPr>
          <w:lang w:eastAsia="en-AU"/>
        </w:rPr>
      </w:pPr>
      <w:r>
        <w:rPr>
          <w:lang w:eastAsia="en-AU"/>
        </w:rPr>
        <w:t>Outstanding issues</w:t>
      </w:r>
    </w:p>
    <w:p w:rsidR="00C63375" w:rsidRDefault="00C63375" w:rsidP="00C63375">
      <w:pPr>
        <w:pStyle w:val="Heading6"/>
        <w:rPr>
          <w:lang w:eastAsia="en-AU"/>
        </w:rPr>
      </w:pPr>
      <w:r>
        <w:rPr>
          <w:lang w:eastAsia="en-AU"/>
        </w:rPr>
        <w:t>Issues in relation to the RMP</w:t>
      </w:r>
    </w:p>
    <w:p w:rsidR="00C63375" w:rsidRPr="00C63375" w:rsidRDefault="00C63375" w:rsidP="00C63375">
      <w:r w:rsidRPr="00C63375">
        <w:t xml:space="preserve">The statement in section 3.2 of the ASA that </w:t>
      </w:r>
      <w:r w:rsidR="003F7537">
        <w:t>‘</w:t>
      </w:r>
      <w:r w:rsidRPr="00C63375">
        <w:rPr>
          <w:i/>
        </w:rPr>
        <w:t>no additional risk minimisation activities are planned for Australia</w:t>
      </w:r>
      <w:r w:rsidR="003F7537">
        <w:t>’</w:t>
      </w:r>
      <w:r w:rsidRPr="00C63375">
        <w:t xml:space="preserve"> is incorrect and should be deleted. An educational program is proposed as additional risk minimisation for the risks of injection site reactions and medication error</w:t>
      </w:r>
      <w:r w:rsidR="00A22315">
        <w:t>.</w:t>
      </w:r>
    </w:p>
    <w:p w:rsidR="00C63375" w:rsidRPr="00C63375" w:rsidRDefault="00C63375" w:rsidP="002C2E2E">
      <w:pPr>
        <w:pStyle w:val="Heading5"/>
      </w:pPr>
      <w:r w:rsidRPr="00C63375">
        <w:t>Advice from the Advisory Committee on the Safety of Medicines (ACSOM)</w:t>
      </w:r>
    </w:p>
    <w:p w:rsidR="00C63375" w:rsidRDefault="00C63375" w:rsidP="00C63375">
      <w:r w:rsidRPr="00C63375">
        <w:t>ACSOM advice was not sought for this submission.</w:t>
      </w:r>
    </w:p>
    <w:p w:rsidR="00C358C8" w:rsidRPr="00C358C8" w:rsidRDefault="00C358C8" w:rsidP="00C358C8">
      <w:pPr>
        <w:pStyle w:val="Heading5"/>
      </w:pPr>
      <w:r w:rsidRPr="00C358C8">
        <w:t xml:space="preserve">Suggested wording for conditions of registration </w:t>
      </w:r>
    </w:p>
    <w:p w:rsidR="00C358C8" w:rsidRPr="00C358C8" w:rsidRDefault="00C358C8" w:rsidP="00C358C8">
      <w:pPr>
        <w:pStyle w:val="Heading6"/>
      </w:pPr>
      <w:r w:rsidRPr="00C358C8">
        <w:t>RMP</w:t>
      </w:r>
    </w:p>
    <w:p w:rsidR="00C358C8" w:rsidRPr="00C63375" w:rsidRDefault="00A22315" w:rsidP="00C63375">
      <w:r>
        <w:t xml:space="preserve">Implement </w:t>
      </w:r>
      <w:proofErr w:type="spellStart"/>
      <w:r>
        <w:t>A</w:t>
      </w:r>
      <w:r w:rsidR="00C358C8" w:rsidRPr="00C358C8">
        <w:t>nakinra</w:t>
      </w:r>
      <w:proofErr w:type="spellEnd"/>
      <w:r w:rsidR="00C358C8" w:rsidRPr="00C358C8">
        <w:t xml:space="preserve"> EU-RMP (version 3.2 dated 13 September 2013) with Australian Specific Annex (version 3.2 dated September 2014) to be revised as recommended in section 1 and any future updates as a condition of registration.</w:t>
      </w:r>
    </w:p>
    <w:p w:rsidR="00C63375" w:rsidRDefault="00DD32B3" w:rsidP="00C63375">
      <w:pPr>
        <w:pStyle w:val="Heading5"/>
      </w:pPr>
      <w:r>
        <w:t>Key changes to the updated RMP</w:t>
      </w:r>
    </w:p>
    <w:p w:rsidR="00C63375" w:rsidRPr="00C63375" w:rsidRDefault="00C63375" w:rsidP="00C63375">
      <w:r w:rsidRPr="00C63375">
        <w:t xml:space="preserve">The ASA evaluated in </w:t>
      </w:r>
      <w:r w:rsidR="00EA2073">
        <w:t>the first round</w:t>
      </w:r>
      <w:r w:rsidRPr="00C63375">
        <w:t xml:space="preserve"> has been superseded by the ASA to EU-RMP version 3.2 (dated September 2014).</w:t>
      </w:r>
    </w:p>
    <w:p w:rsidR="00C63375" w:rsidRPr="00C63375" w:rsidRDefault="00EA2073" w:rsidP="00C610FA">
      <w:pPr>
        <w:pStyle w:val="TableTitle"/>
      </w:pPr>
      <w:proofErr w:type="gramStart"/>
      <w:r>
        <w:lastRenderedPageBreak/>
        <w:t>Table 5</w:t>
      </w:r>
      <w:r w:rsidR="00C358C8">
        <w:t>.</w:t>
      </w:r>
      <w:proofErr w:type="gramEnd"/>
      <w:r w:rsidR="00C358C8">
        <w:t xml:space="preserve"> Key changes to the updated RMP.</w:t>
      </w:r>
    </w:p>
    <w:tbl>
      <w:tblPr>
        <w:tblStyle w:val="TableGrid"/>
        <w:tblW w:w="0" w:type="auto"/>
        <w:tblLook w:val="04A0" w:firstRow="1" w:lastRow="0" w:firstColumn="1" w:lastColumn="0" w:noHBand="0" w:noVBand="1"/>
      </w:tblPr>
      <w:tblGrid>
        <w:gridCol w:w="2195"/>
        <w:gridCol w:w="6525"/>
      </w:tblGrid>
      <w:tr w:rsidR="00C63375" w:rsidRPr="00C63375" w:rsidTr="00C610FA">
        <w:trPr>
          <w:trHeight w:val="270"/>
        </w:trPr>
        <w:tc>
          <w:tcPr>
            <w:tcW w:w="2195" w:type="dxa"/>
            <w:hideMark/>
          </w:tcPr>
          <w:p w:rsidR="00C63375" w:rsidRPr="00C63375" w:rsidRDefault="00C63375" w:rsidP="00C610FA">
            <w:r w:rsidRPr="00C63375">
              <w:t>Safety specification</w:t>
            </w:r>
          </w:p>
        </w:tc>
        <w:tc>
          <w:tcPr>
            <w:tcW w:w="6525" w:type="dxa"/>
          </w:tcPr>
          <w:p w:rsidR="00C63375" w:rsidRPr="00C63375" w:rsidRDefault="00C63375" w:rsidP="00C610FA">
            <w:r w:rsidRPr="00C63375">
              <w:t>Information relating to Systemic Juvenile Idiopathic Arthritis (SJIA) has been included throughout the ASA.</w:t>
            </w:r>
          </w:p>
        </w:tc>
      </w:tr>
      <w:tr w:rsidR="00C63375" w:rsidRPr="00C63375" w:rsidTr="00C610FA">
        <w:trPr>
          <w:trHeight w:val="524"/>
        </w:trPr>
        <w:tc>
          <w:tcPr>
            <w:tcW w:w="2195" w:type="dxa"/>
            <w:hideMark/>
          </w:tcPr>
          <w:p w:rsidR="00C63375" w:rsidRPr="00C63375" w:rsidRDefault="00C63375" w:rsidP="00C610FA">
            <w:r w:rsidRPr="00C63375">
              <w:t>Pharmacovigilance activities</w:t>
            </w:r>
          </w:p>
        </w:tc>
        <w:tc>
          <w:tcPr>
            <w:tcW w:w="6525" w:type="dxa"/>
          </w:tcPr>
          <w:p w:rsidR="00C63375" w:rsidRPr="00C63375" w:rsidRDefault="00C63375" w:rsidP="00C610FA">
            <w:r w:rsidRPr="00C63375">
              <w:t>Updated with additional information regarding the Post-authorisation Safety Study to be conducted in CAPS patients.</w:t>
            </w:r>
          </w:p>
        </w:tc>
      </w:tr>
      <w:tr w:rsidR="00C63375" w:rsidRPr="00C63375" w:rsidTr="00C610FA">
        <w:trPr>
          <w:trHeight w:val="524"/>
        </w:trPr>
        <w:tc>
          <w:tcPr>
            <w:tcW w:w="2195" w:type="dxa"/>
            <w:hideMark/>
          </w:tcPr>
          <w:p w:rsidR="00C63375" w:rsidRPr="00C63375" w:rsidRDefault="00C63375" w:rsidP="00C610FA">
            <w:r w:rsidRPr="00C63375">
              <w:t>Risk minimisation activities</w:t>
            </w:r>
          </w:p>
        </w:tc>
        <w:tc>
          <w:tcPr>
            <w:tcW w:w="6525" w:type="dxa"/>
          </w:tcPr>
          <w:p w:rsidR="00C63375" w:rsidRPr="00C63375" w:rsidRDefault="00C63375" w:rsidP="00C610FA">
            <w:r w:rsidRPr="00C63375">
              <w:t>Additional information regarding the educational program has been included.</w:t>
            </w:r>
          </w:p>
        </w:tc>
      </w:tr>
    </w:tbl>
    <w:p w:rsidR="008E7846" w:rsidRPr="00792A32" w:rsidRDefault="008E7846" w:rsidP="008E7846">
      <w:pPr>
        <w:pStyle w:val="Heading2"/>
      </w:pPr>
      <w:bookmarkStart w:id="145" w:name="_Toc314842510"/>
      <w:bookmarkStart w:id="146" w:name="_Toc43630005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4"/>
      <w:bookmarkEnd w:id="144"/>
      <w:bookmarkEnd w:id="145"/>
      <w:bookmarkEnd w:id="146"/>
    </w:p>
    <w:p w:rsidR="008E7846" w:rsidRDefault="008E7846" w:rsidP="008E7846">
      <w:bookmarkStart w:id="147"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48" w:name="_Toc314842511"/>
      <w:bookmarkStart w:id="149" w:name="_Toc436300053"/>
      <w:r>
        <w:t>Quality</w:t>
      </w:r>
      <w:bookmarkEnd w:id="147"/>
      <w:bookmarkEnd w:id="148"/>
      <w:bookmarkEnd w:id="149"/>
    </w:p>
    <w:p w:rsidR="00E45619" w:rsidRDefault="008E7846" w:rsidP="003A7F6C">
      <w:r>
        <w:t>There was no requirement for a quality evaluation in a submission of this type.</w:t>
      </w:r>
    </w:p>
    <w:p w:rsidR="008E7846" w:rsidRDefault="008E7846" w:rsidP="008E7846">
      <w:pPr>
        <w:pStyle w:val="Heading3"/>
      </w:pPr>
      <w:bookmarkStart w:id="150" w:name="_Toc314842512"/>
      <w:bookmarkStart w:id="151" w:name="_Toc436300054"/>
      <w:r>
        <w:t>Nonclinical</w:t>
      </w:r>
      <w:bookmarkEnd w:id="150"/>
      <w:bookmarkEnd w:id="151"/>
    </w:p>
    <w:p w:rsidR="008E7846" w:rsidRDefault="008E7846" w:rsidP="008E7846">
      <w:r>
        <w:t>There was no requirement for a nonclinical evaluation in a submission of this type.</w:t>
      </w:r>
    </w:p>
    <w:p w:rsidR="008E7846" w:rsidRDefault="008E7846" w:rsidP="008E7846">
      <w:pPr>
        <w:pStyle w:val="Heading3"/>
      </w:pPr>
      <w:bookmarkStart w:id="152" w:name="_Toc247691530"/>
      <w:bookmarkStart w:id="153" w:name="_Toc314842513"/>
      <w:bookmarkStart w:id="154" w:name="_Toc436300055"/>
      <w:r>
        <w:t>Clinical</w:t>
      </w:r>
      <w:bookmarkEnd w:id="152"/>
      <w:bookmarkEnd w:id="153"/>
      <w:bookmarkEnd w:id="154"/>
    </w:p>
    <w:p w:rsidR="00C358C8" w:rsidRPr="00C358C8" w:rsidRDefault="00C358C8" w:rsidP="00C358C8">
      <w:pPr>
        <w:pStyle w:val="Heading4"/>
      </w:pPr>
      <w:bookmarkStart w:id="155" w:name="_Toc314842514"/>
      <w:r w:rsidRPr="00C358C8">
        <w:t>Supporting clinical data</w:t>
      </w:r>
    </w:p>
    <w:p w:rsidR="00C358C8" w:rsidRPr="00C358C8" w:rsidRDefault="00C358C8" w:rsidP="00C358C8">
      <w:r w:rsidRPr="00C358C8">
        <w:t xml:space="preserve">The clinical data underlying this submission consist of published reports of 2 trials for assessment of efficacy and a number of literature reports in support of clinical safety. One PSUR (14/5/2010 to 01/5/2013) was also included. Further significant information was provided at the time of </w:t>
      </w:r>
      <w:r w:rsidR="00A22315">
        <w:t>the response to questions raised by the TGA</w:t>
      </w:r>
      <w:r w:rsidRPr="00C358C8">
        <w:t>.</w:t>
      </w:r>
    </w:p>
    <w:p w:rsidR="00C358C8" w:rsidRPr="00C358C8" w:rsidRDefault="00EA2073" w:rsidP="00C358C8">
      <w:pPr>
        <w:pStyle w:val="Heading4"/>
      </w:pPr>
      <w:r>
        <w:t>Pharmacokinetics and</w:t>
      </w:r>
      <w:r w:rsidR="00C358C8" w:rsidRPr="00C358C8">
        <w:t xml:space="preserve"> dose selection</w:t>
      </w:r>
    </w:p>
    <w:p w:rsidR="00C358C8" w:rsidRPr="0015527C" w:rsidRDefault="00C358C8" w:rsidP="0015527C">
      <w:r w:rsidRPr="0015527C">
        <w:t>The dose regimen used in the nominated efficacy studies was not based on prior dose investigation.</w:t>
      </w:r>
    </w:p>
    <w:p w:rsidR="00C358C8" w:rsidRPr="0015527C" w:rsidRDefault="00C358C8" w:rsidP="0015527C">
      <w:r w:rsidRPr="0015527C">
        <w:t>Li</w:t>
      </w:r>
      <w:r w:rsidR="00DD32B3">
        <w:t>mited PK</w:t>
      </w:r>
      <w:r w:rsidR="00B060F5">
        <w:t xml:space="preserve"> data were collected in S</w:t>
      </w:r>
      <w:r w:rsidRPr="0015527C">
        <w:t>tudy 990758 (see</w:t>
      </w:r>
      <w:r w:rsidR="00A22315" w:rsidRPr="0015527C">
        <w:t xml:space="preserve"> </w:t>
      </w:r>
      <w:r w:rsidR="001377E5">
        <w:t>Table 6</w:t>
      </w:r>
      <w:r w:rsidRPr="0015527C">
        <w:t xml:space="preserve">) in JRA patients aged 3 to 17 years. The dose normalised results, by age groupings including historical comparison with </w:t>
      </w:r>
      <w:r w:rsidR="00EA2073">
        <w:t>data in adults</w:t>
      </w:r>
      <w:r w:rsidR="001377E5">
        <w:t xml:space="preserve"> were as follows (see Figure 2</w:t>
      </w:r>
      <w:r w:rsidR="0015527C" w:rsidRPr="0015527C">
        <w:t>).</w:t>
      </w:r>
    </w:p>
    <w:p w:rsidR="008001E4" w:rsidRDefault="001377E5" w:rsidP="00C610FA">
      <w:pPr>
        <w:pStyle w:val="TableTitle"/>
      </w:pPr>
      <w:proofErr w:type="gramStart"/>
      <w:r>
        <w:lastRenderedPageBreak/>
        <w:t>Table 6</w:t>
      </w:r>
      <w:r w:rsidR="00B4566A">
        <w:t>.</w:t>
      </w:r>
      <w:proofErr w:type="gramEnd"/>
      <w:r w:rsidR="008001E4">
        <w:t xml:space="preserve"> Study 990758 Pharmacokinetic data</w:t>
      </w:r>
      <w:r w:rsidR="0015527C">
        <w:t>.</w:t>
      </w:r>
    </w:p>
    <w:p w:rsidR="008001E4" w:rsidRDefault="008001E4" w:rsidP="00C610FA">
      <w:r>
        <w:rPr>
          <w:noProof/>
          <w:lang w:eastAsia="en-AU"/>
        </w:rPr>
        <w:drawing>
          <wp:inline distT="0" distB="0" distL="0" distR="0" wp14:anchorId="673A9AC1" wp14:editId="4E4FD087">
            <wp:extent cx="5400040" cy="2445595"/>
            <wp:effectExtent l="0" t="0" r="0" b="0"/>
            <wp:docPr id="1" name="Picture 1" descr="Table 6. Study 990758 Pharmacokinetic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400040" cy="2445595"/>
                    </a:xfrm>
                    <a:prstGeom prst="rect">
                      <a:avLst/>
                    </a:prstGeom>
                  </pic:spPr>
                </pic:pic>
              </a:graphicData>
            </a:graphic>
          </wp:inline>
        </w:drawing>
      </w:r>
    </w:p>
    <w:p w:rsidR="008001E4" w:rsidRDefault="001377E5" w:rsidP="00C610FA">
      <w:pPr>
        <w:pStyle w:val="FigureTitle"/>
      </w:pPr>
      <w:r>
        <w:t>Figure 2</w:t>
      </w:r>
      <w:r w:rsidR="0015527C">
        <w:t xml:space="preserve"> Normalised PK data.</w:t>
      </w:r>
    </w:p>
    <w:p w:rsidR="008001E4" w:rsidRDefault="008001E4" w:rsidP="00C610FA">
      <w:r>
        <w:rPr>
          <w:noProof/>
          <w:lang w:eastAsia="en-AU"/>
        </w:rPr>
        <w:drawing>
          <wp:inline distT="0" distB="0" distL="0" distR="0" wp14:anchorId="2106DACB" wp14:editId="1F046036">
            <wp:extent cx="4301337" cy="3254858"/>
            <wp:effectExtent l="0" t="0" r="4445" b="3175"/>
            <wp:docPr id="2" name="Picture 2" descr="Figure 2 Normalised PK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300537" cy="3254253"/>
                    </a:xfrm>
                    <a:prstGeom prst="rect">
                      <a:avLst/>
                    </a:prstGeom>
                  </pic:spPr>
                </pic:pic>
              </a:graphicData>
            </a:graphic>
          </wp:inline>
        </w:drawing>
      </w:r>
    </w:p>
    <w:p w:rsidR="008001E4" w:rsidRPr="0015527C" w:rsidRDefault="008001E4" w:rsidP="0015527C">
      <w:r w:rsidRPr="0015527C">
        <w:t xml:space="preserve">Analysis of PK data at Month 2 and Month 6 indicated a trend towards lower </w:t>
      </w:r>
      <w:proofErr w:type="spellStart"/>
      <w:r w:rsidRPr="0015527C">
        <w:t>anakinra</w:t>
      </w:r>
      <w:proofErr w:type="spellEnd"/>
      <w:r w:rsidRPr="0015527C">
        <w:t xml:space="preserve"> concentration (45.5</w:t>
      </w:r>
      <w:r w:rsidR="0015527C">
        <w:t xml:space="preserve"> </w:t>
      </w:r>
      <w:r w:rsidRPr="0015527C">
        <w:t>ng/mL (SD 51), range 20</w:t>
      </w:r>
      <w:r w:rsidR="0015527C">
        <w:t xml:space="preserve"> to </w:t>
      </w:r>
      <w:r w:rsidRPr="0015527C">
        <w:t>122</w:t>
      </w:r>
      <w:r w:rsidR="003F7537">
        <w:t xml:space="preserve"> ng/mL</w:t>
      </w:r>
      <w:r w:rsidRPr="0015527C">
        <w:t>) in patients with lower body w</w:t>
      </w:r>
      <w:r w:rsidR="0015527C">
        <w:t xml:space="preserve">eight and patients who were non </w:t>
      </w:r>
      <w:r w:rsidRPr="0015527C">
        <w:t xml:space="preserve">responders to </w:t>
      </w:r>
      <w:proofErr w:type="spellStart"/>
      <w:r w:rsidRPr="0015527C">
        <w:t>anakinra</w:t>
      </w:r>
      <w:proofErr w:type="spellEnd"/>
      <w:r w:rsidRPr="0015527C">
        <w:t xml:space="preserve"> at Month 1 compared to patients who were responders to </w:t>
      </w:r>
      <w:proofErr w:type="spellStart"/>
      <w:r w:rsidRPr="0015527C">
        <w:t>anakinra</w:t>
      </w:r>
      <w:proofErr w:type="spellEnd"/>
      <w:r w:rsidRPr="0015527C">
        <w:t xml:space="preserve"> at Month 1 (136.5</w:t>
      </w:r>
      <w:r w:rsidR="0015527C">
        <w:t xml:space="preserve"> </w:t>
      </w:r>
      <w:r w:rsidR="00B060F5">
        <w:t>ng/mL</w:t>
      </w:r>
      <w:r w:rsidR="00B060F5" w:rsidRPr="0015527C">
        <w:t xml:space="preserve"> (</w:t>
      </w:r>
      <w:r w:rsidRPr="0015527C">
        <w:t>SD 106), range 20</w:t>
      </w:r>
      <w:r w:rsidR="0015527C">
        <w:t xml:space="preserve"> to</w:t>
      </w:r>
      <w:r w:rsidRPr="0015527C">
        <w:t>353</w:t>
      </w:r>
      <w:r w:rsidR="003F7537">
        <w:t xml:space="preserve"> ng/mL</w:t>
      </w:r>
      <w:r w:rsidRPr="0015527C">
        <w:t>). However, the overall difference was not significant.</w:t>
      </w:r>
    </w:p>
    <w:p w:rsidR="008001E4" w:rsidRPr="008001E4" w:rsidRDefault="008001E4" w:rsidP="008001E4">
      <w:pPr>
        <w:pStyle w:val="Heading4"/>
      </w:pPr>
      <w:r w:rsidRPr="008001E4">
        <w:t xml:space="preserve">Clinical </w:t>
      </w:r>
      <w:r w:rsidR="00C610FA">
        <w:t>e</w:t>
      </w:r>
      <w:r w:rsidRPr="008001E4">
        <w:t>fficacy</w:t>
      </w:r>
    </w:p>
    <w:p w:rsidR="008001E4" w:rsidRPr="008001E4" w:rsidRDefault="008001E4" w:rsidP="008001E4">
      <w:pPr>
        <w:pStyle w:val="Heading5"/>
      </w:pPr>
      <w:bookmarkStart w:id="156" w:name="_Toc403937001"/>
      <w:r w:rsidRPr="008001E4">
        <w:t xml:space="preserve">Quartier </w:t>
      </w:r>
      <w:r w:rsidR="001974C5">
        <w:t>et</w:t>
      </w:r>
      <w:r w:rsidRPr="008001E4">
        <w:t xml:space="preserve"> </w:t>
      </w:r>
      <w:r w:rsidR="001974C5">
        <w:t>al</w:t>
      </w:r>
      <w:r w:rsidR="000D705E">
        <w:t xml:space="preserve"> (2011)</w:t>
      </w:r>
      <w:r w:rsidR="00840FD9" w:rsidRPr="00EA1957">
        <w:rPr>
          <w:vertAlign w:val="superscript"/>
        </w:rPr>
        <w:fldChar w:fldCharType="begin"/>
      </w:r>
      <w:r w:rsidR="00840FD9" w:rsidRPr="00EA1957">
        <w:rPr>
          <w:vertAlign w:val="superscript"/>
        </w:rPr>
        <w:instrText xml:space="preserve"> NOTEREF _Ref430789889 \h  \* MERGEFORMAT </w:instrText>
      </w:r>
      <w:r w:rsidR="00840FD9" w:rsidRPr="00EA1957">
        <w:rPr>
          <w:vertAlign w:val="superscript"/>
        </w:rPr>
      </w:r>
      <w:r w:rsidR="00840FD9" w:rsidRPr="00EA1957">
        <w:rPr>
          <w:vertAlign w:val="superscript"/>
        </w:rPr>
        <w:fldChar w:fldCharType="separate"/>
      </w:r>
      <w:r w:rsidR="001D744A" w:rsidRPr="00EA1957">
        <w:rPr>
          <w:vertAlign w:val="superscript"/>
        </w:rPr>
        <w:t>2</w:t>
      </w:r>
      <w:r w:rsidR="00840FD9" w:rsidRPr="00EA1957">
        <w:rPr>
          <w:vertAlign w:val="superscript"/>
        </w:rPr>
        <w:fldChar w:fldCharType="end"/>
      </w:r>
    </w:p>
    <w:bookmarkEnd w:id="156"/>
    <w:p w:rsidR="008001E4" w:rsidRPr="002773F6" w:rsidRDefault="0007191A" w:rsidP="002773F6">
      <w:r>
        <w:t xml:space="preserve">This was an investigator </w:t>
      </w:r>
      <w:r w:rsidR="008001E4" w:rsidRPr="002773F6">
        <w:t>sponsored, trial in SJIA patients (&gt;</w:t>
      </w:r>
      <w:r w:rsidR="002773F6" w:rsidRPr="002773F6">
        <w:t xml:space="preserve"> </w:t>
      </w:r>
      <w:r w:rsidR="008001E4" w:rsidRPr="002773F6">
        <w:t xml:space="preserve">6 months disease </w:t>
      </w:r>
      <w:r w:rsidR="0015527C" w:rsidRPr="002773F6">
        <w:t>duration</w:t>
      </w:r>
      <w:r>
        <w:t xml:space="preserve">) consisting of 1 month double blind placebo </w:t>
      </w:r>
      <w:r w:rsidR="008001E4" w:rsidRPr="002773F6">
        <w:t>controlled treatment (</w:t>
      </w:r>
      <w:proofErr w:type="spellStart"/>
      <w:r w:rsidR="008001E4" w:rsidRPr="002773F6">
        <w:t>anakinra</w:t>
      </w:r>
      <w:proofErr w:type="spellEnd"/>
      <w:r w:rsidR="008001E4" w:rsidRPr="002773F6">
        <w:t xml:space="preserve"> 2</w:t>
      </w:r>
      <w:r w:rsidR="002773F6" w:rsidRPr="002773F6">
        <w:t xml:space="preserve"> </w:t>
      </w:r>
      <w:r w:rsidR="008001E4" w:rsidRPr="002773F6">
        <w:t>mg/kg/day SC to a maximum of 100</w:t>
      </w:r>
      <w:r w:rsidR="002773F6" w:rsidRPr="002773F6">
        <w:t xml:space="preserve"> </w:t>
      </w:r>
      <w:r w:rsidR="008001E4" w:rsidRPr="002773F6">
        <w:t xml:space="preserve">mg/day </w:t>
      </w:r>
      <w:r w:rsidR="002773F6" w:rsidRPr="002773F6">
        <w:t>versus</w:t>
      </w:r>
      <w:r w:rsidR="008001E4" w:rsidRPr="002773F6">
        <w:t xml:space="preserve"> pla</w:t>
      </w:r>
      <w:r w:rsidR="002773F6" w:rsidRPr="002773F6">
        <w:t>cebo) followed by 11 month open label single </w:t>
      </w:r>
      <w:r w:rsidR="008001E4" w:rsidRPr="002773F6">
        <w:t xml:space="preserve">arm </w:t>
      </w:r>
      <w:proofErr w:type="spellStart"/>
      <w:r w:rsidR="008001E4" w:rsidRPr="002773F6">
        <w:t>an</w:t>
      </w:r>
      <w:r w:rsidR="0015527C" w:rsidRPr="002773F6">
        <w:t>a</w:t>
      </w:r>
      <w:r w:rsidR="008001E4" w:rsidRPr="002773F6">
        <w:t>kinra</w:t>
      </w:r>
      <w:proofErr w:type="spellEnd"/>
      <w:r w:rsidR="008001E4" w:rsidRPr="002773F6">
        <w:t xml:space="preserve"> treatment. This constitutes the pivotal trial for this submission.</w:t>
      </w:r>
    </w:p>
    <w:p w:rsidR="002773F6" w:rsidRPr="002773F6" w:rsidRDefault="008001E4" w:rsidP="002773F6">
      <w:r w:rsidRPr="002773F6">
        <w:t>Th</w:t>
      </w:r>
      <w:r w:rsidR="002773F6" w:rsidRPr="002773F6">
        <w:t xml:space="preserve">e inclusion criteria were age 2 to </w:t>
      </w:r>
      <w:r w:rsidRPr="002773F6">
        <w:t>20 years, a</w:t>
      </w:r>
      <w:r w:rsidR="002773F6" w:rsidRPr="002773F6">
        <w:t xml:space="preserve">ctive systemic disease (disease </w:t>
      </w:r>
      <w:r w:rsidRPr="002773F6">
        <w:t xml:space="preserve">related fever and/or </w:t>
      </w:r>
      <w:r w:rsidR="008C6F8C" w:rsidRPr="008C6F8C">
        <w:t xml:space="preserve">C-reactive protein </w:t>
      </w:r>
      <w:r w:rsidR="008C6F8C">
        <w:t>(</w:t>
      </w:r>
      <w:r w:rsidRPr="002773F6">
        <w:t>CRP</w:t>
      </w:r>
      <w:r w:rsidR="008C6F8C">
        <w:t>)</w:t>
      </w:r>
      <w:r w:rsidRPr="002773F6">
        <w:t xml:space="preserve"> &gt;</w:t>
      </w:r>
      <w:r w:rsidR="002773F6" w:rsidRPr="002773F6">
        <w:t xml:space="preserve"> </w:t>
      </w:r>
      <w:r w:rsidRPr="002773F6">
        <w:t>20</w:t>
      </w:r>
      <w:r w:rsidR="002773F6" w:rsidRPr="002773F6">
        <w:t xml:space="preserve"> </w:t>
      </w:r>
      <w:r w:rsidRPr="002773F6">
        <w:t xml:space="preserve">mg/L and/or first hour </w:t>
      </w:r>
      <w:r w:rsidR="007437BE">
        <w:t>e</w:t>
      </w:r>
      <w:r w:rsidR="007437BE" w:rsidRPr="007437BE">
        <w:t xml:space="preserve">rythrocyte sedimentation </w:t>
      </w:r>
      <w:r w:rsidR="007437BE" w:rsidRPr="007437BE">
        <w:lastRenderedPageBreak/>
        <w:t xml:space="preserve">rate </w:t>
      </w:r>
      <w:r w:rsidR="007437BE">
        <w:t>(</w:t>
      </w:r>
      <w:r w:rsidRPr="002773F6">
        <w:t>ESR</w:t>
      </w:r>
      <w:r w:rsidR="007437BE">
        <w:t>)</w:t>
      </w:r>
      <w:r w:rsidRPr="002773F6">
        <w:t xml:space="preserve"> &gt;</w:t>
      </w:r>
      <w:r w:rsidR="002773F6" w:rsidRPr="002773F6">
        <w:t xml:space="preserve"> </w:t>
      </w:r>
      <w:r w:rsidRPr="002773F6">
        <w:t>20) and significant overall disease activit</w:t>
      </w:r>
      <w:r w:rsidR="002773F6">
        <w:t>y on Day 1 (at least 3 of the 6) as follows:</w:t>
      </w:r>
    </w:p>
    <w:p w:rsidR="002773F6" w:rsidRPr="002773F6" w:rsidRDefault="002773F6" w:rsidP="00C610FA">
      <w:pPr>
        <w:pStyle w:val="Numberbullet0"/>
        <w:numPr>
          <w:ilvl w:val="0"/>
          <w:numId w:val="7"/>
        </w:numPr>
      </w:pPr>
      <w:r>
        <w:t>P</w:t>
      </w:r>
      <w:r w:rsidR="008001E4" w:rsidRPr="002773F6">
        <w:t>hysician global assessm</w:t>
      </w:r>
      <w:r>
        <w:t xml:space="preserve">ent of disease activity </w:t>
      </w:r>
      <w:r w:rsidR="00B060F5">
        <w:t xml:space="preserve">≥ </w:t>
      </w:r>
      <w:r w:rsidR="00A54C1D">
        <w:t>20/100</w:t>
      </w:r>
    </w:p>
    <w:p w:rsidR="002773F6" w:rsidRPr="002773F6" w:rsidRDefault="002773F6" w:rsidP="00C610FA">
      <w:pPr>
        <w:pStyle w:val="Numberbullet0"/>
        <w:numPr>
          <w:ilvl w:val="0"/>
          <w:numId w:val="7"/>
        </w:numPr>
      </w:pPr>
      <w:r>
        <w:t>P</w:t>
      </w:r>
      <w:r w:rsidR="008001E4" w:rsidRPr="002773F6">
        <w:t>arent/patient assessment of disease on overall wellbeing ≥</w:t>
      </w:r>
      <w:r w:rsidR="00A54C1D">
        <w:t xml:space="preserve"> 20/100</w:t>
      </w:r>
    </w:p>
    <w:p w:rsidR="002773F6" w:rsidRPr="002773F6" w:rsidRDefault="008001E4" w:rsidP="00C610FA">
      <w:pPr>
        <w:pStyle w:val="Numberbullet0"/>
        <w:numPr>
          <w:ilvl w:val="0"/>
          <w:numId w:val="7"/>
        </w:numPr>
      </w:pPr>
      <w:r w:rsidRPr="002773F6">
        <w:t>Childhood Health Assessmen</w:t>
      </w:r>
      <w:r w:rsidR="002773F6">
        <w:t xml:space="preserve">t Questionnaire score </w:t>
      </w:r>
      <w:r w:rsidR="00B060F5">
        <w:t xml:space="preserve">≥ </w:t>
      </w:r>
      <w:r w:rsidR="00A54C1D">
        <w:t>0.375/3</w:t>
      </w:r>
    </w:p>
    <w:p w:rsidR="002773F6" w:rsidRPr="002773F6" w:rsidRDefault="002773F6" w:rsidP="001D744A">
      <w:pPr>
        <w:pStyle w:val="Numberbullet0"/>
        <w:numPr>
          <w:ilvl w:val="0"/>
          <w:numId w:val="7"/>
        </w:numPr>
      </w:pPr>
      <w:r>
        <w:t>≥ 2 joints with active arthritis.</w:t>
      </w:r>
    </w:p>
    <w:p w:rsidR="002773F6" w:rsidRDefault="008001E4" w:rsidP="00C610FA">
      <w:pPr>
        <w:pStyle w:val="Numberbullet0"/>
        <w:numPr>
          <w:ilvl w:val="0"/>
          <w:numId w:val="7"/>
        </w:numPr>
      </w:pPr>
      <w:r w:rsidRPr="002773F6">
        <w:t>≥</w:t>
      </w:r>
      <w:r w:rsidR="002773F6">
        <w:t xml:space="preserve"> </w:t>
      </w:r>
      <w:r w:rsidRPr="002773F6">
        <w:t>2 joints with non-irreversible limited</w:t>
      </w:r>
      <w:r w:rsidR="00A54C1D">
        <w:t xml:space="preserve"> range of motion</w:t>
      </w:r>
    </w:p>
    <w:p w:rsidR="002773F6" w:rsidRPr="002773F6" w:rsidRDefault="008001E4" w:rsidP="00C610FA">
      <w:pPr>
        <w:pStyle w:val="Numberbullet0"/>
        <w:numPr>
          <w:ilvl w:val="0"/>
          <w:numId w:val="7"/>
        </w:numPr>
      </w:pPr>
      <w:r w:rsidRPr="002773F6">
        <w:t>ESR ≥</w:t>
      </w:r>
      <w:r w:rsidR="002773F6">
        <w:t xml:space="preserve"> </w:t>
      </w:r>
      <w:r w:rsidRPr="002773F6">
        <w:t>30 despite oral prednisone or prednisolone ≥</w:t>
      </w:r>
      <w:r w:rsidR="002773F6">
        <w:t xml:space="preserve"> </w:t>
      </w:r>
      <w:r w:rsidRPr="002773F6">
        <w:t>0.</w:t>
      </w:r>
      <w:r w:rsidR="008B473E">
        <w:t>3 mg</w:t>
      </w:r>
      <w:r w:rsidRPr="002773F6">
        <w:t>/kg o</w:t>
      </w:r>
      <w:r w:rsidR="002773F6">
        <w:t>r 10 mg/day whichever was lower</w:t>
      </w:r>
      <w:r w:rsidR="00A54C1D">
        <w:t>.</w:t>
      </w:r>
    </w:p>
    <w:p w:rsidR="008001E4" w:rsidRPr="008001E4" w:rsidRDefault="00B060F5" w:rsidP="00C610FA">
      <w:r>
        <w:t xml:space="preserve">Intravenous or intra </w:t>
      </w:r>
      <w:r w:rsidR="008001E4" w:rsidRPr="008001E4">
        <w:t>articular steroids, immunosuppressive drugs and DMARDs had to be stopped at least 1 month before study or longer depending on half-life.</w:t>
      </w:r>
    </w:p>
    <w:p w:rsidR="008001E4" w:rsidRPr="008001E4" w:rsidRDefault="008001E4" w:rsidP="00C610FA">
      <w:r w:rsidRPr="008001E4">
        <w:t xml:space="preserve">A total of 24 patients were randomised (12 in each group). The mean age was 9.5 years (SD 5.19) in </w:t>
      </w:r>
      <w:proofErr w:type="spellStart"/>
      <w:r w:rsidRPr="008001E4">
        <w:t>anakinra</w:t>
      </w:r>
      <w:proofErr w:type="spellEnd"/>
      <w:r w:rsidRPr="008001E4">
        <w:t xml:space="preserve"> group </w:t>
      </w:r>
      <w:r w:rsidR="002773F6">
        <w:t>versus</w:t>
      </w:r>
      <w:r w:rsidRPr="008001E4">
        <w:t xml:space="preserve"> 7.5 years (SD 3.73) in placebo group. The age range was 2 to 16 years. The mean duration of disease was 4.2 years (SD 3.3) in </w:t>
      </w:r>
      <w:proofErr w:type="spellStart"/>
      <w:r w:rsidRPr="008001E4">
        <w:t>anakinra</w:t>
      </w:r>
      <w:proofErr w:type="spellEnd"/>
      <w:r w:rsidRPr="008001E4">
        <w:t xml:space="preserve"> </w:t>
      </w:r>
      <w:r w:rsidR="002773F6">
        <w:t>versus</w:t>
      </w:r>
      <w:r w:rsidRPr="008001E4">
        <w:t xml:space="preserve"> 3.2 years (SD 1.95) in placebo group. The mean daily steroid dose was 0.52</w:t>
      </w:r>
      <w:r w:rsidR="002773F6">
        <w:t xml:space="preserve"> </w:t>
      </w:r>
      <w:r w:rsidRPr="008001E4">
        <w:t xml:space="preserve">mg/kg (SD 0.237) in </w:t>
      </w:r>
      <w:proofErr w:type="spellStart"/>
      <w:r w:rsidRPr="008001E4">
        <w:t>anakinra</w:t>
      </w:r>
      <w:proofErr w:type="spellEnd"/>
      <w:r w:rsidRPr="008001E4">
        <w:t xml:space="preserve"> group </w:t>
      </w:r>
      <w:r w:rsidR="002773F6">
        <w:t>versus</w:t>
      </w:r>
      <w:r w:rsidRPr="008001E4">
        <w:t xml:space="preserve"> 0.66</w:t>
      </w:r>
      <w:r w:rsidR="002773F6">
        <w:t xml:space="preserve"> </w:t>
      </w:r>
      <w:r w:rsidRPr="008001E4">
        <w:t xml:space="preserve">mg/kg (SD 0.373) in placebo group. A total of 8/12 patients in </w:t>
      </w:r>
      <w:proofErr w:type="spellStart"/>
      <w:r w:rsidRPr="008001E4">
        <w:t>anakinra</w:t>
      </w:r>
      <w:proofErr w:type="spellEnd"/>
      <w:r w:rsidRPr="008001E4">
        <w:t xml:space="preserve"> group and 11/12 patients in placebo group were on methotrexate (MTX) at baseline. All patients completed Month 1 and 16 patients completed Month 12.</w:t>
      </w:r>
    </w:p>
    <w:p w:rsidR="002773F6" w:rsidRDefault="008001E4" w:rsidP="008001E4">
      <w:r w:rsidRPr="008001E4">
        <w:t>The primary efficacy outcome was proportion of responders (patients fu</w:t>
      </w:r>
      <w:r w:rsidR="007F2643">
        <w:t>lfilling 3 criteria as follows:</w:t>
      </w:r>
    </w:p>
    <w:p w:rsidR="002773F6" w:rsidRDefault="002773F6" w:rsidP="001D744A">
      <w:pPr>
        <w:pStyle w:val="Numberbullet0"/>
        <w:numPr>
          <w:ilvl w:val="0"/>
          <w:numId w:val="8"/>
        </w:numPr>
      </w:pPr>
      <w:r>
        <w:t>M</w:t>
      </w:r>
      <w:r w:rsidR="008001E4" w:rsidRPr="008001E4">
        <w:t>odified American College of Rheumatology Paediatri</w:t>
      </w:r>
      <w:r>
        <w:t>c (</w:t>
      </w:r>
      <w:proofErr w:type="spellStart"/>
      <w:r w:rsidR="00E02770" w:rsidRPr="00E02770">
        <w:t>ACRpaed</w:t>
      </w:r>
      <w:proofErr w:type="spellEnd"/>
      <w:r>
        <w:t xml:space="preserve"> 30) </w:t>
      </w:r>
      <w:r w:rsidR="00A54C1D">
        <w:t>score</w:t>
      </w:r>
    </w:p>
    <w:p w:rsidR="002773F6" w:rsidRDefault="002773F6" w:rsidP="001D744A">
      <w:pPr>
        <w:pStyle w:val="Numberbullet0"/>
        <w:numPr>
          <w:ilvl w:val="0"/>
          <w:numId w:val="8"/>
        </w:numPr>
      </w:pPr>
      <w:r>
        <w:t>A</w:t>
      </w:r>
      <w:r w:rsidR="007F2643">
        <w:t xml:space="preserve">bsence of disease </w:t>
      </w:r>
      <w:r w:rsidR="008001E4" w:rsidRPr="008001E4">
        <w:t>related fever (body temperature &lt;</w:t>
      </w:r>
      <w:r>
        <w:t xml:space="preserve"> </w:t>
      </w:r>
      <w:r w:rsidR="008001E4" w:rsidRPr="008001E4">
        <w:t>38°C for &gt;</w:t>
      </w:r>
      <w:r>
        <w:t xml:space="preserve"> </w:t>
      </w:r>
      <w:r w:rsidR="008001E4" w:rsidRPr="008001E4">
        <w:t>7 days)</w:t>
      </w:r>
    </w:p>
    <w:p w:rsidR="008001E4" w:rsidRPr="008001E4" w:rsidRDefault="002773F6" w:rsidP="001D744A">
      <w:pPr>
        <w:pStyle w:val="Numberbullet0"/>
        <w:numPr>
          <w:ilvl w:val="0"/>
          <w:numId w:val="8"/>
        </w:numPr>
      </w:pPr>
      <w:r>
        <w:t>N</w:t>
      </w:r>
      <w:r w:rsidR="008001E4" w:rsidRPr="008001E4">
        <w:t>ormalisation or ≥</w:t>
      </w:r>
      <w:r>
        <w:t xml:space="preserve"> </w:t>
      </w:r>
      <w:r w:rsidR="008001E4" w:rsidRPr="008001E4">
        <w:t xml:space="preserve">50% decrease compared with Day </w:t>
      </w:r>
      <w:r w:rsidR="007F2643">
        <w:t xml:space="preserve">1 </w:t>
      </w:r>
      <w:r w:rsidR="001377E5">
        <w:t>in CRP and</w:t>
      </w:r>
      <w:r w:rsidR="00A54C1D">
        <w:t xml:space="preserve"> ESR)</w:t>
      </w:r>
    </w:p>
    <w:p w:rsidR="008001E4" w:rsidRDefault="008001E4" w:rsidP="008001E4">
      <w:r w:rsidRPr="008001E4">
        <w:t xml:space="preserve">There were a number of secondary outcomes. </w:t>
      </w:r>
    </w:p>
    <w:p w:rsidR="008001E4" w:rsidRDefault="008001E4" w:rsidP="008001E4">
      <w:pPr>
        <w:pStyle w:val="Heading6"/>
      </w:pPr>
      <w:r>
        <w:t>Results</w:t>
      </w:r>
    </w:p>
    <w:p w:rsidR="008001E4" w:rsidRPr="008001E4" w:rsidRDefault="008001E4" w:rsidP="008001E4">
      <w:r w:rsidRPr="008001E4">
        <w:t>The results were as follows:</w:t>
      </w:r>
    </w:p>
    <w:p w:rsidR="008001E4" w:rsidRPr="008001E4" w:rsidRDefault="008001E4" w:rsidP="008001E4">
      <w:pPr>
        <w:pStyle w:val="Heading7"/>
        <w:rPr>
          <w:sz w:val="20"/>
          <w:szCs w:val="20"/>
        </w:rPr>
      </w:pPr>
      <w:r w:rsidRPr="008001E4">
        <w:rPr>
          <w:sz w:val="20"/>
          <w:szCs w:val="20"/>
        </w:rPr>
        <w:t>Results at Month 1</w:t>
      </w:r>
    </w:p>
    <w:p w:rsidR="008001E4" w:rsidRPr="008001E4" w:rsidRDefault="008001E4" w:rsidP="008001E4">
      <w:r w:rsidRPr="008001E4">
        <w:t xml:space="preserve">There were 8/12 (67%) responders in </w:t>
      </w:r>
      <w:proofErr w:type="spellStart"/>
      <w:r w:rsidRPr="008001E4">
        <w:t>anakinra</w:t>
      </w:r>
      <w:proofErr w:type="spellEnd"/>
      <w:r w:rsidRPr="008001E4">
        <w:t xml:space="preserve"> group </w:t>
      </w:r>
      <w:r w:rsidR="002773F6">
        <w:t>versus</w:t>
      </w:r>
      <w:r w:rsidRPr="008001E4">
        <w:t xml:space="preserve"> 1/12 (8%) responder in placebo group. The treatment difference was statistically significant (p = 0.003).</w:t>
      </w:r>
      <w:r w:rsidR="002C2E2E">
        <w:t xml:space="preserve"> S</w:t>
      </w:r>
      <w:r w:rsidRPr="008001E4">
        <w:t>ame proportion of patients responded with resolution of systemic symptoms (body temperature &lt;</w:t>
      </w:r>
      <w:r w:rsidR="002C2E2E">
        <w:t xml:space="preserve"> </w:t>
      </w:r>
      <w:r w:rsidRPr="008001E4">
        <w:t>38˚C for &gt;</w:t>
      </w:r>
      <w:r w:rsidR="002C2E2E">
        <w:t xml:space="preserve"> 7 days, CRP and</w:t>
      </w:r>
      <w:r w:rsidRPr="008001E4">
        <w:t xml:space="preserve"> ESR normalised or decrease ≥</w:t>
      </w:r>
      <w:r w:rsidR="002C2E2E">
        <w:t xml:space="preserve"> </w:t>
      </w:r>
      <w:r w:rsidRPr="008001E4">
        <w:t>50%) in the two groups respectively.</w:t>
      </w:r>
    </w:p>
    <w:p w:rsidR="008001E4" w:rsidRPr="008001E4" w:rsidRDefault="00E02770" w:rsidP="002C2E2E">
      <w:pPr>
        <w:pStyle w:val="ListBullet"/>
      </w:pPr>
      <w:proofErr w:type="spellStart"/>
      <w:r w:rsidRPr="00E02770">
        <w:t>ACRpaed</w:t>
      </w:r>
      <w:proofErr w:type="spellEnd"/>
      <w:r w:rsidR="001377E5">
        <w:t xml:space="preserve"> 30 responders: </w:t>
      </w:r>
      <w:r w:rsidR="008001E4" w:rsidRPr="008001E4">
        <w:t xml:space="preserve">11/12 (92%) in </w:t>
      </w:r>
      <w:proofErr w:type="spellStart"/>
      <w:r w:rsidR="007F2643" w:rsidRPr="008001E4">
        <w:t>anakinra</w:t>
      </w:r>
      <w:proofErr w:type="spellEnd"/>
      <w:r w:rsidR="008001E4" w:rsidRPr="008001E4">
        <w:t xml:space="preserve"> </w:t>
      </w:r>
      <w:r w:rsidR="002773F6">
        <w:t>versus</w:t>
      </w:r>
      <w:r w:rsidR="00A54C1D">
        <w:t xml:space="preserve"> 7/12 (58%) in placebo group</w:t>
      </w:r>
    </w:p>
    <w:p w:rsidR="008001E4" w:rsidRPr="008001E4" w:rsidRDefault="00E02770" w:rsidP="002C2E2E">
      <w:pPr>
        <w:pStyle w:val="ListBullet"/>
      </w:pPr>
      <w:proofErr w:type="spellStart"/>
      <w:r w:rsidRPr="00E02770">
        <w:t>ACRpaed</w:t>
      </w:r>
      <w:proofErr w:type="spellEnd"/>
      <w:r w:rsidR="001377E5">
        <w:t xml:space="preserve"> 50 responders: </w:t>
      </w:r>
      <w:r w:rsidR="008001E4" w:rsidRPr="008001E4">
        <w:t xml:space="preserve">7/12 (58%) in </w:t>
      </w:r>
      <w:proofErr w:type="spellStart"/>
      <w:r w:rsidR="007F2643" w:rsidRPr="008001E4">
        <w:t>anakinra</w:t>
      </w:r>
      <w:proofErr w:type="spellEnd"/>
      <w:r w:rsidR="008001E4" w:rsidRPr="008001E4">
        <w:t xml:space="preserve"> </w:t>
      </w:r>
      <w:r w:rsidR="002773F6">
        <w:t>versus</w:t>
      </w:r>
      <w:r w:rsidR="00A54C1D">
        <w:t xml:space="preserve"> none in placebo group</w:t>
      </w:r>
    </w:p>
    <w:p w:rsidR="008001E4" w:rsidRPr="008001E4" w:rsidRDefault="00E02770" w:rsidP="002C2E2E">
      <w:pPr>
        <w:pStyle w:val="ListBullet"/>
      </w:pPr>
      <w:proofErr w:type="spellStart"/>
      <w:r w:rsidRPr="00E02770">
        <w:t>ACRpaed</w:t>
      </w:r>
      <w:proofErr w:type="spellEnd"/>
      <w:r w:rsidR="001377E5">
        <w:t xml:space="preserve"> 70 responders: </w:t>
      </w:r>
      <w:r w:rsidR="008001E4" w:rsidRPr="008001E4">
        <w:t xml:space="preserve">5/12 (42%) in </w:t>
      </w:r>
      <w:proofErr w:type="spellStart"/>
      <w:r w:rsidR="007F2643" w:rsidRPr="008001E4">
        <w:t>anakinra</w:t>
      </w:r>
      <w:proofErr w:type="spellEnd"/>
      <w:r w:rsidR="008001E4" w:rsidRPr="008001E4">
        <w:t xml:space="preserve"> </w:t>
      </w:r>
      <w:r w:rsidR="002773F6">
        <w:t>versus</w:t>
      </w:r>
      <w:r w:rsidR="00A54C1D">
        <w:t xml:space="preserve"> none in placebo group</w:t>
      </w:r>
    </w:p>
    <w:p w:rsidR="008001E4" w:rsidRPr="008001E4" w:rsidRDefault="008001E4" w:rsidP="002C2E2E">
      <w:pPr>
        <w:pStyle w:val="ListBullet"/>
      </w:pPr>
      <w:r w:rsidRPr="008001E4">
        <w:t xml:space="preserve">There were no </w:t>
      </w:r>
      <w:proofErr w:type="spellStart"/>
      <w:r w:rsidR="00E02770" w:rsidRPr="00E02770">
        <w:t>ACRpaed</w:t>
      </w:r>
      <w:proofErr w:type="spellEnd"/>
      <w:r w:rsidRPr="008001E4">
        <w:t xml:space="preserve"> 100 responders in either group.</w:t>
      </w:r>
    </w:p>
    <w:p w:rsidR="008001E4" w:rsidRPr="008001E4" w:rsidRDefault="00E02770" w:rsidP="008001E4">
      <w:proofErr w:type="spellStart"/>
      <w:r w:rsidRPr="00E02770">
        <w:t>ACRpaed</w:t>
      </w:r>
      <w:proofErr w:type="spellEnd"/>
      <w:r w:rsidR="008001E4" w:rsidRPr="008001E4">
        <w:t xml:space="preserve"> 30 response</w:t>
      </w:r>
      <w:r w:rsidR="001377E5">
        <w:t>,</w:t>
      </w:r>
      <w:r w:rsidR="008001E4" w:rsidRPr="008001E4">
        <w:t xml:space="preserve"> no fever (&gt;</w:t>
      </w:r>
      <w:r w:rsidR="002C2E2E">
        <w:t xml:space="preserve"> </w:t>
      </w:r>
      <w:r w:rsidR="008001E4" w:rsidRPr="008001E4">
        <w:t>7 days) and CRP &lt;</w:t>
      </w:r>
      <w:r w:rsidR="002C2E2E">
        <w:t xml:space="preserve"> </w:t>
      </w:r>
      <w:r w:rsidR="008001E4" w:rsidRPr="008001E4">
        <w:t>15</w:t>
      </w:r>
      <w:r w:rsidR="001377E5">
        <w:t xml:space="preserve"> </w:t>
      </w:r>
      <w:r w:rsidR="008001E4" w:rsidRPr="008001E4">
        <w:t xml:space="preserve">mg/L was attained by 10/12 (83%) </w:t>
      </w:r>
      <w:proofErr w:type="spellStart"/>
      <w:r w:rsidR="008001E4" w:rsidRPr="008001E4">
        <w:t>anakinra</w:t>
      </w:r>
      <w:proofErr w:type="spellEnd"/>
      <w:r w:rsidR="008001E4" w:rsidRPr="008001E4">
        <w:t xml:space="preserve"> patients </w:t>
      </w:r>
      <w:r w:rsidR="001377E5">
        <w:t>compared to</w:t>
      </w:r>
      <w:r w:rsidR="008001E4" w:rsidRPr="008001E4">
        <w:t xml:space="preserve"> 3/12 (25%) placebo patients.</w:t>
      </w:r>
    </w:p>
    <w:p w:rsidR="008001E4" w:rsidRPr="008001E4" w:rsidRDefault="007437BE" w:rsidP="008001E4">
      <w:r w:rsidRPr="007437BE">
        <w:t>Erythrocyte sedimentation rate</w:t>
      </w:r>
      <w:r w:rsidR="008001E4" w:rsidRPr="008001E4">
        <w:t xml:space="preserve">, CRP and serum amyloid A (SAA) decreased to a statistically greater extent in the </w:t>
      </w:r>
      <w:proofErr w:type="spellStart"/>
      <w:r w:rsidR="008001E4" w:rsidRPr="008001E4">
        <w:t>anakinra</w:t>
      </w:r>
      <w:proofErr w:type="spellEnd"/>
      <w:r w:rsidR="008001E4" w:rsidRPr="008001E4">
        <w:t xml:space="preserve"> group compared to placebo group. No increase was reported in either group.</w:t>
      </w:r>
    </w:p>
    <w:p w:rsidR="008001E4" w:rsidRPr="008001E4" w:rsidRDefault="008001E4" w:rsidP="008001E4">
      <w:r w:rsidRPr="008001E4">
        <w:lastRenderedPageBreak/>
        <w:t xml:space="preserve">Physician’s disease activity assessment, parent/patient global assessment, parent/patient assessment of pain and CHAQ all decreased to a greater extent in </w:t>
      </w:r>
      <w:proofErr w:type="spellStart"/>
      <w:r w:rsidRPr="008001E4">
        <w:t>anakinra</w:t>
      </w:r>
      <w:proofErr w:type="spellEnd"/>
      <w:r w:rsidRPr="008001E4">
        <w:t xml:space="preserve"> group compared to placebo but the differences were not statistically significant.</w:t>
      </w:r>
    </w:p>
    <w:p w:rsidR="008001E4" w:rsidRPr="008001E4" w:rsidRDefault="002C2E2E" w:rsidP="008001E4">
      <w:pPr>
        <w:pStyle w:val="Heading7"/>
        <w:rPr>
          <w:sz w:val="20"/>
          <w:szCs w:val="20"/>
        </w:rPr>
      </w:pPr>
      <w:r>
        <w:rPr>
          <w:sz w:val="20"/>
          <w:szCs w:val="20"/>
        </w:rPr>
        <w:t xml:space="preserve">Open label results (Month 2 to </w:t>
      </w:r>
      <w:r w:rsidR="008001E4" w:rsidRPr="008001E4">
        <w:rPr>
          <w:sz w:val="20"/>
          <w:szCs w:val="20"/>
        </w:rPr>
        <w:t>12)</w:t>
      </w:r>
    </w:p>
    <w:p w:rsidR="008001E4" w:rsidRPr="008001E4" w:rsidRDefault="008001E4" w:rsidP="008001E4">
      <w:r w:rsidRPr="008001E4">
        <w:t>A total of 22 patients entered the single arm phase at the end of Month 1.</w:t>
      </w:r>
    </w:p>
    <w:p w:rsidR="008001E4" w:rsidRPr="008001E4" w:rsidRDefault="008001E4" w:rsidP="008001E4">
      <w:r w:rsidRPr="008001E4">
        <w:t xml:space="preserve">A total 9/10 (90%) placebo patients who switched to </w:t>
      </w:r>
      <w:proofErr w:type="spellStart"/>
      <w:r w:rsidRPr="008001E4">
        <w:t>an</w:t>
      </w:r>
      <w:r w:rsidR="002C2E2E">
        <w:t>akinra</w:t>
      </w:r>
      <w:proofErr w:type="spellEnd"/>
      <w:r w:rsidR="002C2E2E">
        <w:t xml:space="preserve"> were responders at Month </w:t>
      </w:r>
      <w:r w:rsidRPr="008001E4">
        <w:t>2</w:t>
      </w:r>
      <w:r w:rsidR="001377E5">
        <w:t>,</w:t>
      </w:r>
      <w:r w:rsidRPr="008001E4">
        <w:t xml:space="preserve"> </w:t>
      </w:r>
      <w:r w:rsidR="00325F8B">
        <w:t>that is</w:t>
      </w:r>
      <w:r w:rsidR="001377E5">
        <w:t>,</w:t>
      </w:r>
      <w:r w:rsidRPr="008001E4">
        <w:t xml:space="preserve"> after one month of active treatment. A total of 17 patients continued treatment until Month</w:t>
      </w:r>
      <w:r w:rsidR="002C2E2E">
        <w:t xml:space="preserve"> 6 with 6 responders and 11 non </w:t>
      </w:r>
      <w:r w:rsidRPr="008001E4">
        <w:t>responders at Month 6. Among responders, the daily prednisolone dose was &lt;</w:t>
      </w:r>
      <w:r w:rsidR="002C2E2E">
        <w:t xml:space="preserve"> </w:t>
      </w:r>
      <w:r w:rsidRPr="008001E4">
        <w:t>10 mg or 0.3 mg/kg. A total of 16 patients continued treatment to Month</w:t>
      </w:r>
      <w:r w:rsidR="002C2E2E">
        <w:t xml:space="preserve"> 12 with 7 responders and 9 non </w:t>
      </w:r>
      <w:r w:rsidRPr="008001E4">
        <w:t xml:space="preserve">responders by Month 12. Among the </w:t>
      </w:r>
      <w:r w:rsidR="002C2E2E" w:rsidRPr="008001E4">
        <w:t>responders</w:t>
      </w:r>
      <w:r w:rsidRPr="008001E4">
        <w:t xml:space="preserve"> 6 had stopped corticosteroid treatment and 5 had inactive disease.</w:t>
      </w:r>
    </w:p>
    <w:p w:rsidR="008001E4" w:rsidRPr="008001E4" w:rsidRDefault="008001E4" w:rsidP="008001E4">
      <w:pPr>
        <w:pStyle w:val="Comment"/>
      </w:pPr>
      <w:r w:rsidRPr="002C2E2E">
        <w:rPr>
          <w:b/>
        </w:rPr>
        <w:t>Comment:</w:t>
      </w:r>
      <w:r>
        <w:t xml:space="preserve"> </w:t>
      </w:r>
      <w:r w:rsidR="001377E5">
        <w:t>How the p</w:t>
      </w:r>
      <w:r w:rsidR="007F2643">
        <w:t>atient</w:t>
      </w:r>
      <w:r w:rsidRPr="008001E4">
        <w:t xml:space="preserve"> </w:t>
      </w:r>
      <w:r w:rsidR="001377E5">
        <w:t>counts</w:t>
      </w:r>
      <w:r w:rsidRPr="008001E4">
        <w:t xml:space="preserve"> at </w:t>
      </w:r>
      <w:r w:rsidR="001377E5">
        <w:t xml:space="preserve">the </w:t>
      </w:r>
      <w:r w:rsidRPr="008001E4">
        <w:t>various time</w:t>
      </w:r>
      <w:r w:rsidR="002C2E2E">
        <w:t xml:space="preserve"> </w:t>
      </w:r>
      <w:r w:rsidRPr="008001E4">
        <w:t>points (Months 1, 2, 6 12)</w:t>
      </w:r>
      <w:r w:rsidR="001377E5">
        <w:t xml:space="preserve"> were derived</w:t>
      </w:r>
      <w:r w:rsidRPr="008001E4">
        <w:t xml:space="preserve"> was not clear. The sponsor is requested to clarify this. Please also comment whether ‘disease flare’ was examined in this study and include summary of results.</w:t>
      </w:r>
    </w:p>
    <w:p w:rsidR="008001E4" w:rsidRPr="008001E4" w:rsidRDefault="008001E4" w:rsidP="008001E4">
      <w:pPr>
        <w:pStyle w:val="Heading5"/>
      </w:pPr>
      <w:bookmarkStart w:id="157" w:name="_Toc403937003"/>
      <w:r w:rsidRPr="008001E4">
        <w:t>Study 990758</w:t>
      </w:r>
      <w:bookmarkEnd w:id="157"/>
      <w:r w:rsidR="00E72ACA">
        <w:t xml:space="preserve"> and extension S</w:t>
      </w:r>
      <w:r w:rsidRPr="008001E4">
        <w:t>tudy 990779</w:t>
      </w:r>
    </w:p>
    <w:p w:rsidR="008001E4" w:rsidRPr="008001E4" w:rsidRDefault="008001E4" w:rsidP="008001E4">
      <w:r w:rsidRPr="008001E4">
        <w:t>This supportive</w:t>
      </w:r>
      <w:r w:rsidR="002C2E2E">
        <w:t xml:space="preserve"> trial was a randomised, double blind, placebo </w:t>
      </w:r>
      <w:r w:rsidRPr="008001E4">
        <w:t xml:space="preserve">controlled study in </w:t>
      </w:r>
      <w:proofErr w:type="spellStart"/>
      <w:r w:rsidRPr="008001E4">
        <w:t>polyarticular</w:t>
      </w:r>
      <w:proofErr w:type="spellEnd"/>
      <w:r w:rsidRPr="008001E4">
        <w:t xml:space="preserve"> JRA</w:t>
      </w:r>
      <w:r w:rsidR="002C2E2E">
        <w:t>. The study consisted of a run in phase (12 </w:t>
      </w:r>
      <w:r w:rsidRPr="008001E4">
        <w:t>weeks; n</w:t>
      </w:r>
      <w:r w:rsidR="002C2E2E">
        <w:t xml:space="preserve"> </w:t>
      </w:r>
      <w:r w:rsidRPr="008001E4">
        <w:t>=</w:t>
      </w:r>
      <w:r w:rsidR="002C2E2E">
        <w:t xml:space="preserve"> </w:t>
      </w:r>
      <w:r w:rsidRPr="008001E4">
        <w:t xml:space="preserve">86 included 15 SJIA patients) with responders randomised to </w:t>
      </w:r>
      <w:proofErr w:type="spellStart"/>
      <w:r w:rsidRPr="008001E4">
        <w:t>anakinra</w:t>
      </w:r>
      <w:proofErr w:type="spellEnd"/>
      <w:r w:rsidRPr="008001E4">
        <w:t xml:space="preserve"> or placebo for the blinded phase (16 weeks; n</w:t>
      </w:r>
      <w:r w:rsidR="002C2E2E">
        <w:t xml:space="preserve"> </w:t>
      </w:r>
      <w:r w:rsidRPr="008001E4">
        <w:t>=</w:t>
      </w:r>
      <w:r w:rsidR="002C2E2E">
        <w:t xml:space="preserve"> 50) followed by an open </w:t>
      </w:r>
      <w:r w:rsidRPr="008001E4">
        <w:t>label extension study (12 months; n</w:t>
      </w:r>
      <w:r w:rsidR="002C2E2E">
        <w:t xml:space="preserve"> </w:t>
      </w:r>
      <w:r w:rsidRPr="008001E4">
        <w:t>=</w:t>
      </w:r>
      <w:r w:rsidR="002C2E2E">
        <w:t xml:space="preserve"> </w:t>
      </w:r>
      <w:r w:rsidRPr="008001E4">
        <w:t xml:space="preserve">44 included 10 SJIA patients). The 50 patients randomised to the blinded treatment included 11 SJIA patients (9/25 in </w:t>
      </w:r>
      <w:proofErr w:type="spellStart"/>
      <w:r w:rsidRPr="008001E4">
        <w:t>anakinra</w:t>
      </w:r>
      <w:proofErr w:type="spellEnd"/>
      <w:r w:rsidRPr="008001E4">
        <w:t xml:space="preserve"> and 2/25 in placebo group).</w:t>
      </w:r>
    </w:p>
    <w:p w:rsidR="008001E4" w:rsidRPr="008001E4" w:rsidRDefault="008001E4" w:rsidP="008001E4">
      <w:r w:rsidRPr="008001E4">
        <w:t xml:space="preserve">The study population was 2 to 17 years old patients presenting with </w:t>
      </w:r>
      <w:proofErr w:type="spellStart"/>
      <w:r w:rsidRPr="008001E4">
        <w:t>polyarticular</w:t>
      </w:r>
      <w:proofErr w:type="spellEnd"/>
      <w:r w:rsidRPr="008001E4">
        <w:t xml:space="preserve"> JRA independent of ons</w:t>
      </w:r>
      <w:r w:rsidR="001974C5">
        <w:t>et.</w:t>
      </w:r>
      <w:r w:rsidRPr="008001E4">
        <w:t xml:space="preserve"> The study treatments were </w:t>
      </w:r>
      <w:proofErr w:type="spellStart"/>
      <w:r w:rsidRPr="008001E4">
        <w:t>anakinra</w:t>
      </w:r>
      <w:proofErr w:type="spellEnd"/>
      <w:r w:rsidRPr="008001E4">
        <w:t xml:space="preserve"> 1.0</w:t>
      </w:r>
      <w:r w:rsidR="00E72ACA">
        <w:t xml:space="preserve"> </w:t>
      </w:r>
      <w:r w:rsidRPr="008001E4">
        <w:t xml:space="preserve">mg/kg/day up to </w:t>
      </w:r>
      <w:r w:rsidR="00E72ACA">
        <w:t>100 </w:t>
      </w:r>
      <w:r w:rsidR="001974C5">
        <w:t>mg</w:t>
      </w:r>
      <w:r w:rsidR="007F2643">
        <w:t>/day</w:t>
      </w:r>
      <w:r w:rsidRPr="008001E4">
        <w:t xml:space="preserve"> or placebo, administered SC once daily. The intended sample size of 200 was not achieved and the study objectives were amended to safety.</w:t>
      </w:r>
    </w:p>
    <w:p w:rsidR="008001E4" w:rsidRPr="008001E4" w:rsidRDefault="008001E4" w:rsidP="008001E4">
      <w:r w:rsidRPr="008001E4">
        <w:t xml:space="preserve">A total of 31/50 (62%) completed the blinded phase. The available efficacy data in SJIA patients in blinded phase were limited to two patients (one in each group </w:t>
      </w:r>
      <w:r w:rsidR="00325F8B">
        <w:t>that is</w:t>
      </w:r>
      <w:r w:rsidRPr="008001E4">
        <w:t xml:space="preserve"> one </w:t>
      </w:r>
      <w:proofErr w:type="spellStart"/>
      <w:r w:rsidRPr="008001E4">
        <w:t>anakinra</w:t>
      </w:r>
      <w:proofErr w:type="spellEnd"/>
      <w:r w:rsidRPr="008001E4">
        <w:t xml:space="preserve"> treated SJIA patient). This patient had an increase in affected joints of 2 during the blinded treatment. In the published report of this trial</w:t>
      </w:r>
      <w:proofErr w:type="gramStart"/>
      <w:r w:rsidRPr="008001E4">
        <w:t>,</w:t>
      </w:r>
      <w:proofErr w:type="gramEnd"/>
      <w:r w:rsidR="00903F7A" w:rsidRPr="005E365E">
        <w:rPr>
          <w:vertAlign w:val="superscript"/>
        </w:rPr>
        <w:fldChar w:fldCharType="begin"/>
      </w:r>
      <w:r w:rsidR="005E365E" w:rsidRPr="005E365E">
        <w:rPr>
          <w:vertAlign w:val="superscript"/>
        </w:rPr>
        <w:instrText xml:space="preserve"> NOTEREF _Ref429577062 \h  \* MERGEFORMAT </w:instrText>
      </w:r>
      <w:r w:rsidR="00903F7A" w:rsidRPr="005E365E">
        <w:rPr>
          <w:vertAlign w:val="superscript"/>
        </w:rPr>
      </w:r>
      <w:r w:rsidR="00903F7A" w:rsidRPr="005E365E">
        <w:rPr>
          <w:vertAlign w:val="superscript"/>
        </w:rPr>
        <w:fldChar w:fldCharType="separate"/>
      </w:r>
      <w:r w:rsidR="005E365E" w:rsidRPr="005E365E">
        <w:rPr>
          <w:vertAlign w:val="superscript"/>
        </w:rPr>
        <w:t>3</w:t>
      </w:r>
      <w:r w:rsidR="00903F7A" w:rsidRPr="005E365E">
        <w:rPr>
          <w:vertAlign w:val="superscript"/>
        </w:rPr>
        <w:fldChar w:fldCharType="end"/>
      </w:r>
      <w:r w:rsidRPr="008001E4">
        <w:t xml:space="preserve"> disease flares were reported in 2/9 SJIA patients in </w:t>
      </w:r>
      <w:proofErr w:type="spellStart"/>
      <w:r w:rsidRPr="008001E4">
        <w:t>anakinra</w:t>
      </w:r>
      <w:proofErr w:type="spellEnd"/>
      <w:r w:rsidRPr="008001E4">
        <w:t xml:space="preserve"> group and 1/2 SJIA patient in placebo group.</w:t>
      </w:r>
    </w:p>
    <w:p w:rsidR="008001E4" w:rsidRPr="008001E4" w:rsidRDefault="008001E4" w:rsidP="008001E4">
      <w:r w:rsidRPr="008001E4">
        <w:t>Study 990779 was an open label extension study to Study 990758. The study inc</w:t>
      </w:r>
      <w:r w:rsidR="00344161">
        <w:t>luded patients who entered</w:t>
      </w:r>
      <w:r w:rsidR="002C2E2E">
        <w:t xml:space="preserve"> Study 990758, including non</w:t>
      </w:r>
      <w:r w:rsidR="000D705E">
        <w:t>-</w:t>
      </w:r>
      <w:r w:rsidR="002C2E2E">
        <w:t xml:space="preserve">responders during the run </w:t>
      </w:r>
      <w:r w:rsidRPr="008001E4">
        <w:t xml:space="preserve">in phase. The patients received </w:t>
      </w:r>
      <w:proofErr w:type="spellStart"/>
      <w:r w:rsidRPr="008001E4">
        <w:t>anakinra</w:t>
      </w:r>
      <w:proofErr w:type="spellEnd"/>
      <w:r w:rsidRPr="008001E4">
        <w:t xml:space="preserve"> 1</w:t>
      </w:r>
      <w:r w:rsidR="002C2E2E">
        <w:t xml:space="preserve"> </w:t>
      </w:r>
      <w:r w:rsidRPr="008001E4">
        <w:t>mg/kg/day up to a maximum of 100 mg/day for up to one year. A total of 44 patients en</w:t>
      </w:r>
      <w:r w:rsidR="002C2E2E">
        <w:t xml:space="preserve">tered the open </w:t>
      </w:r>
      <w:r w:rsidRPr="008001E4">
        <w:t>label phase. The age range was 4 to 18 years. A total of 29/44 patients completed the study. No efficacy data were collected during th</w:t>
      </w:r>
      <w:r w:rsidR="002C2E2E">
        <w:t>e extension study. As such the S</w:t>
      </w:r>
      <w:r w:rsidRPr="008001E4">
        <w:t xml:space="preserve">tudy 990758 and its extension 990779 do not provide meaningful data for </w:t>
      </w:r>
      <w:r w:rsidR="002C2E2E" w:rsidRPr="008001E4">
        <w:t>assessment</w:t>
      </w:r>
      <w:r w:rsidRPr="008001E4">
        <w:t xml:space="preserve"> of </w:t>
      </w:r>
      <w:proofErr w:type="spellStart"/>
      <w:r w:rsidRPr="008001E4">
        <w:t>anakinra</w:t>
      </w:r>
      <w:proofErr w:type="spellEnd"/>
      <w:r w:rsidRPr="008001E4">
        <w:t xml:space="preserve"> efficacy in SJIA.</w:t>
      </w:r>
    </w:p>
    <w:p w:rsidR="008001E4" w:rsidRPr="008001E4" w:rsidRDefault="008001E4" w:rsidP="008001E4">
      <w:pPr>
        <w:pStyle w:val="Heading5"/>
      </w:pPr>
      <w:r w:rsidRPr="008001E4">
        <w:t>Other studies</w:t>
      </w:r>
    </w:p>
    <w:p w:rsidR="008001E4" w:rsidRPr="008001E4" w:rsidRDefault="008001E4" w:rsidP="008001E4">
      <w:r w:rsidRPr="008001E4">
        <w:t xml:space="preserve">A number of published </w:t>
      </w:r>
      <w:r w:rsidR="00E72ACA">
        <w:t>articles provided very limited</w:t>
      </w:r>
      <w:r w:rsidRPr="008001E4">
        <w:t xml:space="preserve"> observational data for efficacy as well as safety. Overall these are not considered useful for regulatory deci</w:t>
      </w:r>
      <w:r>
        <w:t>sion</w:t>
      </w:r>
      <w:r w:rsidRPr="008001E4">
        <w:t xml:space="preserve"> making with respect to efficacy. The </w:t>
      </w:r>
      <w:r w:rsidR="00E72ACA">
        <w:t xml:space="preserve">published </w:t>
      </w:r>
      <w:r w:rsidRPr="008001E4">
        <w:t>papers</w:t>
      </w:r>
      <w:r w:rsidR="00E72ACA">
        <w:t xml:space="preserve"> submitted </w:t>
      </w:r>
      <w:r w:rsidRPr="008001E4">
        <w:t xml:space="preserve"> included Canna </w:t>
      </w:r>
      <w:r w:rsidR="001974C5">
        <w:t>et</w:t>
      </w:r>
      <w:r w:rsidRPr="008001E4">
        <w:t xml:space="preserve"> </w:t>
      </w:r>
      <w:r w:rsidR="001974C5">
        <w:t>al</w:t>
      </w:r>
      <w:r w:rsidR="000D705E">
        <w:t>.</w:t>
      </w:r>
      <w:r w:rsidRPr="008001E4">
        <w:t xml:space="preserve"> </w:t>
      </w:r>
      <w:r w:rsidR="000D705E">
        <w:t>(</w:t>
      </w:r>
      <w:r w:rsidRPr="008001E4">
        <w:t>2009</w:t>
      </w:r>
      <w:r w:rsidR="000D705E">
        <w:t>)</w:t>
      </w:r>
      <w:r w:rsidRPr="008001E4">
        <w:t xml:space="preserve"> (3 patients)</w:t>
      </w:r>
      <w:r w:rsidR="00EB6345">
        <w:rPr>
          <w:rStyle w:val="FootnoteReference"/>
        </w:rPr>
        <w:footnoteReference w:id="11"/>
      </w:r>
      <w:r w:rsidRPr="008001E4">
        <w:t xml:space="preserve">, De </w:t>
      </w:r>
      <w:proofErr w:type="spellStart"/>
      <w:r w:rsidRPr="008001E4">
        <w:t>Jager</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2009</w:t>
      </w:r>
      <w:r w:rsidR="000D705E">
        <w:t>)</w:t>
      </w:r>
      <w:r w:rsidR="00EB6345">
        <w:rPr>
          <w:rStyle w:val="FootnoteReference"/>
        </w:rPr>
        <w:footnoteReference w:id="12"/>
      </w:r>
      <w:r w:rsidRPr="008001E4">
        <w:t xml:space="preserve">, </w:t>
      </w:r>
      <w:r w:rsidR="000D705E">
        <w:t>(</w:t>
      </w:r>
      <w:r w:rsidRPr="008001E4">
        <w:t>2010</w:t>
      </w:r>
      <w:bookmarkStart w:id="158" w:name="_Ref429577790"/>
      <w:r w:rsidR="000D705E">
        <w:t>)</w:t>
      </w:r>
      <w:r w:rsidR="00EB6345">
        <w:rPr>
          <w:rStyle w:val="FootnoteReference"/>
        </w:rPr>
        <w:footnoteReference w:id="13"/>
      </w:r>
      <w:bookmarkEnd w:id="158"/>
      <w:r w:rsidRPr="008001E4">
        <w:t xml:space="preserve">, </w:t>
      </w:r>
      <w:r w:rsidR="000D705E">
        <w:t>(</w:t>
      </w:r>
      <w:r w:rsidRPr="008001E4">
        <w:t>2011</w:t>
      </w:r>
      <w:r w:rsidR="000D705E">
        <w:t>)</w:t>
      </w:r>
      <w:r w:rsidR="00EB6345">
        <w:rPr>
          <w:rStyle w:val="FootnoteReference"/>
        </w:rPr>
        <w:footnoteReference w:id="14"/>
      </w:r>
      <w:r w:rsidR="00344161">
        <w:t xml:space="preserve"> (8 to </w:t>
      </w:r>
      <w:r w:rsidRPr="008001E4">
        <w:t xml:space="preserve">16 patients), </w:t>
      </w:r>
      <w:proofErr w:type="spellStart"/>
      <w:r w:rsidRPr="008001E4">
        <w:t>Gattorno</w:t>
      </w:r>
      <w:proofErr w:type="spellEnd"/>
      <w:r w:rsidRPr="008001E4">
        <w:t xml:space="preserve"> </w:t>
      </w:r>
      <w:r w:rsidR="001974C5">
        <w:t>et</w:t>
      </w:r>
      <w:r w:rsidRPr="008001E4">
        <w:t xml:space="preserve"> </w:t>
      </w:r>
      <w:r w:rsidR="001974C5">
        <w:t>al</w:t>
      </w:r>
      <w:r w:rsidR="000D705E">
        <w:t>.</w:t>
      </w:r>
      <w:r w:rsidRPr="008001E4">
        <w:t xml:space="preserve"> </w:t>
      </w:r>
      <w:r w:rsidR="000D705E">
        <w:lastRenderedPageBreak/>
        <w:t>(</w:t>
      </w:r>
      <w:r w:rsidRPr="008001E4">
        <w:t>2008</w:t>
      </w:r>
      <w:r w:rsidR="000D705E">
        <w:t>)</w:t>
      </w:r>
      <w:r w:rsidRPr="008001E4">
        <w:t xml:space="preserve"> (22 patients)</w:t>
      </w:r>
      <w:r w:rsidR="002C15ED">
        <w:rPr>
          <w:rStyle w:val="FootnoteReference"/>
        </w:rPr>
        <w:footnoteReference w:id="15"/>
      </w:r>
      <w:r w:rsidRPr="008001E4">
        <w:t xml:space="preserve">, </w:t>
      </w:r>
      <w:proofErr w:type="spellStart"/>
      <w:r w:rsidRPr="008001E4">
        <w:t>Hedrich</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2011</w:t>
      </w:r>
      <w:r w:rsidR="000D705E">
        <w:t>)</w:t>
      </w:r>
      <w:r w:rsidRPr="008001E4">
        <w:t xml:space="preserve"> (4 patients)</w:t>
      </w:r>
      <w:r w:rsidR="002C15ED">
        <w:rPr>
          <w:rStyle w:val="FootnoteReference"/>
        </w:rPr>
        <w:footnoteReference w:id="16"/>
      </w:r>
      <w:r w:rsidRPr="008001E4">
        <w:t xml:space="preserve">, </w:t>
      </w:r>
      <w:proofErr w:type="spellStart"/>
      <w:r w:rsidRPr="008001E4">
        <w:t>Henrickson</w:t>
      </w:r>
      <w:proofErr w:type="spellEnd"/>
      <w:r w:rsidRPr="008001E4">
        <w:t xml:space="preserve"> </w:t>
      </w:r>
      <w:r w:rsidR="000D705E">
        <w:t>(</w:t>
      </w:r>
      <w:r w:rsidRPr="008001E4">
        <w:t>2004</w:t>
      </w:r>
      <w:r w:rsidR="000D705E">
        <w:t>)</w:t>
      </w:r>
      <w:r w:rsidRPr="008001E4">
        <w:t xml:space="preserve"> (4 patients)</w:t>
      </w:r>
      <w:r w:rsidR="002C15ED">
        <w:rPr>
          <w:rStyle w:val="FootnoteReference"/>
        </w:rPr>
        <w:footnoteReference w:id="17"/>
      </w:r>
      <w:r w:rsidRPr="008001E4">
        <w:t xml:space="preserve">, </w:t>
      </w:r>
      <w:proofErr w:type="spellStart"/>
      <w:r w:rsidRPr="008001E4">
        <w:t>Irigoyen</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2006</w:t>
      </w:r>
      <w:r w:rsidR="000D705E">
        <w:t>)</w:t>
      </w:r>
      <w:r w:rsidRPr="008001E4">
        <w:t xml:space="preserve"> (14 patients)</w:t>
      </w:r>
      <w:r w:rsidR="008B2AAC">
        <w:rPr>
          <w:rStyle w:val="FootnoteReference"/>
        </w:rPr>
        <w:footnoteReference w:id="18"/>
      </w:r>
      <w:r w:rsidRPr="008001E4">
        <w:t xml:space="preserve">, </w:t>
      </w:r>
      <w:proofErr w:type="spellStart"/>
      <w:r w:rsidRPr="008001E4">
        <w:t>Lequerre</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2008</w:t>
      </w:r>
      <w:r w:rsidR="000D705E">
        <w:t>)</w:t>
      </w:r>
      <w:r w:rsidRPr="008001E4">
        <w:t xml:space="preserve"> (35 patients)</w:t>
      </w:r>
      <w:bookmarkStart w:id="159" w:name="_Ref430789696"/>
      <w:r w:rsidR="008B2AAC">
        <w:rPr>
          <w:rStyle w:val="FootnoteReference"/>
        </w:rPr>
        <w:footnoteReference w:id="19"/>
      </w:r>
      <w:bookmarkEnd w:id="159"/>
      <w:r w:rsidRPr="008001E4">
        <w:t xml:space="preserve">, Livermore and Woo </w:t>
      </w:r>
      <w:r w:rsidR="000D705E">
        <w:t>(</w:t>
      </w:r>
      <w:r w:rsidRPr="008001E4">
        <w:t>2008</w:t>
      </w:r>
      <w:r w:rsidR="000D705E">
        <w:t>)</w:t>
      </w:r>
      <w:r w:rsidRPr="008001E4">
        <w:t xml:space="preserve"> (10 patients)</w:t>
      </w:r>
      <w:r w:rsidR="008B2AAC">
        <w:rPr>
          <w:rStyle w:val="FootnoteReference"/>
        </w:rPr>
        <w:footnoteReference w:id="20"/>
      </w:r>
      <w:r w:rsidRPr="008001E4">
        <w:t xml:space="preserve">, </w:t>
      </w:r>
      <w:proofErr w:type="spellStart"/>
      <w:r w:rsidRPr="008001E4">
        <w:t>Lurati</w:t>
      </w:r>
      <w:proofErr w:type="spellEnd"/>
      <w:r w:rsidRPr="008001E4">
        <w:t xml:space="preserve"> </w:t>
      </w:r>
      <w:r w:rsidR="001974C5">
        <w:t>et</w:t>
      </w:r>
      <w:r w:rsidRPr="008001E4">
        <w:t xml:space="preserve"> al</w:t>
      </w:r>
      <w:r w:rsidR="000D705E">
        <w:t>.</w:t>
      </w:r>
      <w:r w:rsidRPr="008001E4">
        <w:t xml:space="preserve"> </w:t>
      </w:r>
      <w:r w:rsidR="000D705E">
        <w:t>(</w:t>
      </w:r>
      <w:r w:rsidRPr="008001E4">
        <w:t>2005</w:t>
      </w:r>
      <w:r w:rsidR="000D705E">
        <w:t>)</w:t>
      </w:r>
      <w:r w:rsidRPr="008001E4">
        <w:t xml:space="preserve"> (one patient)</w:t>
      </w:r>
      <w:r w:rsidR="008B2AAC">
        <w:rPr>
          <w:rStyle w:val="FootnoteReference"/>
        </w:rPr>
        <w:footnoteReference w:id="21"/>
      </w:r>
      <w:r w:rsidRPr="008001E4">
        <w:t xml:space="preserve">, </w:t>
      </w:r>
      <w:proofErr w:type="spellStart"/>
      <w:r w:rsidRPr="008001E4">
        <w:t>Nigrovic</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2011</w:t>
      </w:r>
      <w:r w:rsidR="000D705E">
        <w:t>)</w:t>
      </w:r>
      <w:r w:rsidRPr="008001E4">
        <w:t xml:space="preserve"> (46 patients)</w:t>
      </w:r>
      <w:bookmarkStart w:id="160" w:name="_Ref429577869"/>
      <w:r w:rsidR="008B2AAC">
        <w:rPr>
          <w:rStyle w:val="FootnoteReference"/>
        </w:rPr>
        <w:footnoteReference w:id="22"/>
      </w:r>
      <w:bookmarkEnd w:id="160"/>
      <w:r w:rsidRPr="008001E4">
        <w:t xml:space="preserve">, </w:t>
      </w:r>
      <w:proofErr w:type="spellStart"/>
      <w:r w:rsidRPr="008001E4">
        <w:t>Ohlson</w:t>
      </w:r>
      <w:proofErr w:type="spellEnd"/>
      <w:r w:rsidRPr="008001E4">
        <w:t xml:space="preserve"> </w:t>
      </w:r>
      <w:r w:rsidR="001974C5">
        <w:t>et</w:t>
      </w:r>
      <w:r w:rsidRPr="008001E4">
        <w:t xml:space="preserve"> al</w:t>
      </w:r>
      <w:r w:rsidR="000D705E">
        <w:t>.</w:t>
      </w:r>
      <w:r w:rsidRPr="008001E4">
        <w:t xml:space="preserve"> </w:t>
      </w:r>
      <w:r w:rsidR="000D705E">
        <w:t>(</w:t>
      </w:r>
      <w:r w:rsidRPr="008001E4">
        <w:t>2008</w:t>
      </w:r>
      <w:r w:rsidR="000D705E">
        <w:t>)</w:t>
      </w:r>
      <w:r w:rsidRPr="008001E4">
        <w:t xml:space="preserve"> (7 patients)</w:t>
      </w:r>
      <w:r w:rsidR="008B2AAC">
        <w:rPr>
          <w:rStyle w:val="FootnoteReference"/>
        </w:rPr>
        <w:footnoteReference w:id="23"/>
      </w:r>
      <w:r w:rsidRPr="008001E4">
        <w:t xml:space="preserve">, </w:t>
      </w:r>
      <w:proofErr w:type="spellStart"/>
      <w:r w:rsidRPr="008001E4">
        <w:t>Pascual</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2005</w:t>
      </w:r>
      <w:r w:rsidR="000D705E">
        <w:t>)</w:t>
      </w:r>
      <w:r w:rsidRPr="008001E4">
        <w:t xml:space="preserve"> (9 patients)</w:t>
      </w:r>
      <w:bookmarkStart w:id="161" w:name="_Ref430789530"/>
      <w:r w:rsidR="005E365E">
        <w:rPr>
          <w:rStyle w:val="FootnoteReference"/>
        </w:rPr>
        <w:footnoteReference w:id="24"/>
      </w:r>
      <w:bookmarkEnd w:id="161"/>
      <w:r w:rsidRPr="008001E4">
        <w:t xml:space="preserve">, </w:t>
      </w:r>
      <w:proofErr w:type="spellStart"/>
      <w:r w:rsidRPr="008001E4">
        <w:t>Pontitaki</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2008</w:t>
      </w:r>
      <w:r w:rsidR="000D705E">
        <w:t>)</w:t>
      </w:r>
      <w:r w:rsidRPr="008001E4">
        <w:t xml:space="preserve"> (16 patients)</w:t>
      </w:r>
      <w:r w:rsidR="005E365E">
        <w:rPr>
          <w:rStyle w:val="FootnoteReference"/>
        </w:rPr>
        <w:footnoteReference w:id="25"/>
      </w:r>
      <w:r w:rsidRPr="008001E4">
        <w:t xml:space="preserve">, </w:t>
      </w:r>
      <w:proofErr w:type="spellStart"/>
      <w:r w:rsidRPr="008001E4">
        <w:t>Verbsky</w:t>
      </w:r>
      <w:proofErr w:type="spellEnd"/>
      <w:r w:rsidRPr="008001E4">
        <w:t xml:space="preserve"> and White </w:t>
      </w:r>
      <w:r w:rsidR="000D705E">
        <w:t>(</w:t>
      </w:r>
      <w:r w:rsidRPr="008001E4">
        <w:t>2004</w:t>
      </w:r>
      <w:r w:rsidR="000D705E">
        <w:t>)</w:t>
      </w:r>
      <w:r w:rsidRPr="008001E4">
        <w:t xml:space="preserve"> (2 </w:t>
      </w:r>
      <w:r w:rsidR="005E365E" w:rsidRPr="008001E4">
        <w:t>patients)</w:t>
      </w:r>
      <w:r w:rsidR="005E365E">
        <w:rPr>
          <w:rStyle w:val="FootnoteReference"/>
        </w:rPr>
        <w:footnoteReference w:id="26"/>
      </w:r>
      <w:r w:rsidRPr="008001E4">
        <w:t xml:space="preserve"> and </w:t>
      </w:r>
      <w:proofErr w:type="spellStart"/>
      <w:r w:rsidRPr="008001E4">
        <w:t>Zeft</w:t>
      </w:r>
      <w:proofErr w:type="spellEnd"/>
      <w:r w:rsidRPr="008001E4">
        <w:t xml:space="preserve"> </w:t>
      </w:r>
      <w:r w:rsidR="001974C5">
        <w:t>et</w:t>
      </w:r>
      <w:r w:rsidRPr="008001E4">
        <w:t xml:space="preserve"> </w:t>
      </w:r>
      <w:r w:rsidR="001974C5">
        <w:t>al</w:t>
      </w:r>
      <w:r w:rsidR="000D705E">
        <w:t>.</w:t>
      </w:r>
      <w:r w:rsidRPr="008001E4">
        <w:t xml:space="preserve"> </w:t>
      </w:r>
      <w:r w:rsidR="000D705E">
        <w:t>(</w:t>
      </w:r>
      <w:r w:rsidRPr="008001E4">
        <w:t>2009</w:t>
      </w:r>
      <w:r w:rsidR="000D705E">
        <w:t>)</w:t>
      </w:r>
      <w:r w:rsidRPr="008001E4">
        <w:t xml:space="preserve"> (33 </w:t>
      </w:r>
      <w:r w:rsidR="005E365E" w:rsidRPr="008001E4">
        <w:t>patients)</w:t>
      </w:r>
      <w:bookmarkStart w:id="162" w:name="_Ref430789854"/>
      <w:r w:rsidR="005E365E">
        <w:rPr>
          <w:rStyle w:val="FootnoteReference"/>
        </w:rPr>
        <w:footnoteReference w:id="27"/>
      </w:r>
      <w:bookmarkEnd w:id="162"/>
      <w:r w:rsidRPr="008001E4">
        <w:t>.</w:t>
      </w:r>
    </w:p>
    <w:p w:rsidR="008001E4" w:rsidRPr="008001E4" w:rsidRDefault="008001E4" w:rsidP="008001E4">
      <w:r w:rsidRPr="008001E4">
        <w:t xml:space="preserve">De </w:t>
      </w:r>
      <w:proofErr w:type="spellStart"/>
      <w:r w:rsidRPr="008001E4">
        <w:t>Jager</w:t>
      </w:r>
      <w:proofErr w:type="spellEnd"/>
      <w:r w:rsidRPr="008001E4">
        <w:t xml:space="preserve"> </w:t>
      </w:r>
      <w:r w:rsidR="001974C5">
        <w:t>et</w:t>
      </w:r>
      <w:r w:rsidRPr="008001E4">
        <w:t xml:space="preserve"> </w:t>
      </w:r>
      <w:r w:rsidR="001974C5">
        <w:t>al</w:t>
      </w:r>
      <w:r w:rsidR="000D705E">
        <w:t>.</w:t>
      </w:r>
      <w:r w:rsidRPr="008001E4">
        <w:t xml:space="preserve"> (2010)</w:t>
      </w:r>
      <w:r w:rsidR="00840FD9">
        <w:fldChar w:fldCharType="begin"/>
      </w:r>
      <w:r w:rsidR="00840FD9">
        <w:instrText xml:space="preserve"> NOTEREF _Ref429577790 \h  \* MERGEFORMAT </w:instrText>
      </w:r>
      <w:r w:rsidR="00840FD9">
        <w:fldChar w:fldCharType="separate"/>
      </w:r>
      <w:r w:rsidR="00206124" w:rsidRPr="00206124">
        <w:rPr>
          <w:vertAlign w:val="superscript"/>
        </w:rPr>
        <w:t>13</w:t>
      </w:r>
      <w:r w:rsidR="00840FD9">
        <w:fldChar w:fldCharType="end"/>
      </w:r>
      <w:r w:rsidRPr="008001E4">
        <w:t xml:space="preserve"> was</w:t>
      </w:r>
      <w:r w:rsidR="00344161">
        <w:t xml:space="preserve"> a </w:t>
      </w:r>
      <w:r w:rsidRPr="008001E4">
        <w:t>report of 13 patients with systemic onset JRA. There was ‘a fast response’ in all patients and 75% were described as having achieved a</w:t>
      </w:r>
      <w:r w:rsidR="00206124">
        <w:t>n</w:t>
      </w:r>
      <w:r w:rsidRPr="008001E4">
        <w:t xml:space="preserve"> ACR90pedi response after 3 weeks. After 1 year, 6</w:t>
      </w:r>
      <w:r w:rsidR="00206124">
        <w:t xml:space="preserve"> patients were in remission off </w:t>
      </w:r>
      <w:r w:rsidRPr="008001E4">
        <w:t xml:space="preserve">treatment, </w:t>
      </w:r>
      <w:r w:rsidR="00206124">
        <w:t xml:space="preserve">4 patients were in remission on </w:t>
      </w:r>
      <w:proofErr w:type="spellStart"/>
      <w:r w:rsidRPr="008001E4">
        <w:t>anakinra</w:t>
      </w:r>
      <w:proofErr w:type="spellEnd"/>
      <w:r w:rsidRPr="008001E4">
        <w:t xml:space="preserve"> and 3 patients required addition of st</w:t>
      </w:r>
      <w:r w:rsidR="00E72ACA">
        <w:t>eroid treatment</w:t>
      </w:r>
      <w:r w:rsidRPr="008001E4">
        <w:t>.</w:t>
      </w:r>
    </w:p>
    <w:p w:rsidR="008001E4" w:rsidRPr="008001E4" w:rsidRDefault="008001E4" w:rsidP="008001E4">
      <w:proofErr w:type="spellStart"/>
      <w:r w:rsidRPr="008001E4">
        <w:t>Nigrovic</w:t>
      </w:r>
      <w:proofErr w:type="spellEnd"/>
      <w:r w:rsidRPr="008001E4">
        <w:t xml:space="preserve"> </w:t>
      </w:r>
      <w:r w:rsidR="001974C5">
        <w:t>et</w:t>
      </w:r>
      <w:r w:rsidRPr="008001E4">
        <w:t xml:space="preserve"> </w:t>
      </w:r>
      <w:r w:rsidR="001974C5">
        <w:t>al</w:t>
      </w:r>
      <w:r w:rsidRPr="008001E4">
        <w:t xml:space="preserve"> (2011)</w:t>
      </w:r>
      <w:r w:rsidR="00840FD9">
        <w:fldChar w:fldCharType="begin"/>
      </w:r>
      <w:r w:rsidR="00840FD9">
        <w:instrText xml:space="preserve"> NOTEREF _Ref429577869 \h  \* MERGEFORMAT </w:instrText>
      </w:r>
      <w:r w:rsidR="00840FD9">
        <w:fldChar w:fldCharType="separate"/>
      </w:r>
      <w:r w:rsidR="00206124" w:rsidRPr="00206124">
        <w:rPr>
          <w:vertAlign w:val="superscript"/>
        </w:rPr>
        <w:t>22</w:t>
      </w:r>
      <w:r w:rsidR="00840FD9">
        <w:fldChar w:fldCharType="end"/>
      </w:r>
      <w:r w:rsidRPr="00206124">
        <w:rPr>
          <w:vertAlign w:val="superscript"/>
        </w:rPr>
        <w:t xml:space="preserve"> </w:t>
      </w:r>
      <w:r w:rsidRPr="008001E4">
        <w:t xml:space="preserve">was a report of 46 </w:t>
      </w:r>
      <w:proofErr w:type="spellStart"/>
      <w:r w:rsidRPr="008001E4">
        <w:t>anakinra</w:t>
      </w:r>
      <w:proofErr w:type="spellEnd"/>
      <w:r w:rsidRPr="008001E4">
        <w:t xml:space="preserve"> treated patients with systemic JRA. Ten (22%) patients received </w:t>
      </w:r>
      <w:proofErr w:type="spellStart"/>
      <w:r w:rsidRPr="008001E4">
        <w:t>anakinra</w:t>
      </w:r>
      <w:proofErr w:type="spellEnd"/>
      <w:r w:rsidRPr="008001E4">
        <w:t xml:space="preserve"> as monotherapy, 67% received corticosteroids and 33% received additional DMARDs. Nearly 60% patients attained complete response. The median starting dose was 1.5</w:t>
      </w:r>
      <w:r w:rsidR="00344161">
        <w:t xml:space="preserve"> </w:t>
      </w:r>
      <w:r w:rsidRPr="008001E4">
        <w:t xml:space="preserve">mg/kg/day (range 0.93 to 11.2 mg/kg/day). The median duration of follow up was 14.5 months (range 7.5 to 26 months); 11 </w:t>
      </w:r>
      <w:r w:rsidR="00DD32B3">
        <w:t>MAS</w:t>
      </w:r>
      <w:r w:rsidRPr="008001E4">
        <w:t xml:space="preserve"> episodes were reported of which 6 were prior to </w:t>
      </w:r>
      <w:proofErr w:type="spellStart"/>
      <w:r w:rsidRPr="008001E4">
        <w:t>anakinra</w:t>
      </w:r>
      <w:proofErr w:type="spellEnd"/>
      <w:r w:rsidRPr="008001E4">
        <w:t xml:space="preserve"> treatment. Injection site reactions were reported in 44% patients with evaluable data. Three serious infections were reported (pneumococcal bacteraemia, infected gastric feeding tube site and pneumonia). One c</w:t>
      </w:r>
      <w:r w:rsidR="00E72ACA">
        <w:t>ase of eosinophilic hepatitis, two patients</w:t>
      </w:r>
      <w:r w:rsidRPr="008001E4">
        <w:t xml:space="preserve"> with elevated trans</w:t>
      </w:r>
      <w:r>
        <w:t>a</w:t>
      </w:r>
      <w:r w:rsidRPr="008001E4">
        <w:t>minases and one patient with neutropenia were reported.</w:t>
      </w:r>
    </w:p>
    <w:p w:rsidR="008001E4" w:rsidRPr="008001E4" w:rsidRDefault="008001E4" w:rsidP="008001E4">
      <w:pPr>
        <w:pStyle w:val="Heading5"/>
      </w:pPr>
      <w:r w:rsidRPr="008001E4">
        <w:t xml:space="preserve">Additional data </w:t>
      </w:r>
      <w:r w:rsidR="00E72ACA">
        <w:t>in</w:t>
      </w:r>
      <w:r w:rsidRPr="008001E4">
        <w:t xml:space="preserve"> response</w:t>
      </w:r>
      <w:r w:rsidR="00DF6E0B">
        <w:t xml:space="preserve"> to TGAs request for information</w:t>
      </w:r>
    </w:p>
    <w:p w:rsidR="008001E4" w:rsidRPr="008001E4" w:rsidRDefault="008001E4" w:rsidP="008001E4">
      <w:r w:rsidRPr="008001E4">
        <w:t xml:space="preserve">Three new references were provided for </w:t>
      </w:r>
      <w:r w:rsidR="00206124">
        <w:t>the second round evaluation</w:t>
      </w:r>
      <w:r w:rsidRPr="008001E4">
        <w:t>. Among these Singh et al</w:t>
      </w:r>
      <w:r w:rsidR="006D3E76">
        <w:t>.</w:t>
      </w:r>
      <w:r w:rsidRPr="008001E4">
        <w:t xml:space="preserve"> (2014)</w:t>
      </w:r>
      <w:r w:rsidR="00840FD9" w:rsidRPr="00EA1957">
        <w:rPr>
          <w:vertAlign w:val="superscript"/>
        </w:rPr>
        <w:fldChar w:fldCharType="begin"/>
      </w:r>
      <w:r w:rsidR="00840FD9" w:rsidRPr="00EA1957">
        <w:rPr>
          <w:vertAlign w:val="superscript"/>
        </w:rPr>
        <w:instrText xml:space="preserve"> NOTEREF _Ref429391668 \h  \* MERGEFORMAT </w:instrText>
      </w:r>
      <w:r w:rsidR="00840FD9" w:rsidRPr="00EA1957">
        <w:rPr>
          <w:vertAlign w:val="superscript"/>
        </w:rPr>
      </w:r>
      <w:r w:rsidR="00840FD9" w:rsidRPr="00EA1957">
        <w:rPr>
          <w:vertAlign w:val="superscript"/>
        </w:rPr>
        <w:fldChar w:fldCharType="separate"/>
      </w:r>
      <w:r w:rsidR="00206124" w:rsidRPr="00EA1957">
        <w:rPr>
          <w:vertAlign w:val="superscript"/>
        </w:rPr>
        <w:t>5</w:t>
      </w:r>
      <w:r w:rsidR="00840FD9" w:rsidRPr="00EA1957">
        <w:rPr>
          <w:vertAlign w:val="superscript"/>
        </w:rPr>
        <w:fldChar w:fldCharType="end"/>
      </w:r>
      <w:r w:rsidRPr="008001E4">
        <w:t xml:space="preserve"> is not relevant to this submission.</w:t>
      </w:r>
    </w:p>
    <w:p w:rsidR="00DF6E0B" w:rsidRDefault="008001E4" w:rsidP="00DF6E0B">
      <w:pPr>
        <w:pStyle w:val="Heading6"/>
      </w:pPr>
      <w:proofErr w:type="spellStart"/>
      <w:r w:rsidRPr="00DF6E0B">
        <w:lastRenderedPageBreak/>
        <w:t>Vastert</w:t>
      </w:r>
      <w:proofErr w:type="spellEnd"/>
      <w:r w:rsidRPr="00DF6E0B">
        <w:t xml:space="preserve"> </w:t>
      </w:r>
      <w:r w:rsidR="001974C5">
        <w:t>et</w:t>
      </w:r>
      <w:r w:rsidRPr="00DF6E0B">
        <w:t xml:space="preserve"> </w:t>
      </w:r>
      <w:r w:rsidR="001974C5">
        <w:t>al</w:t>
      </w:r>
      <w:r w:rsidR="006D3E76">
        <w:t xml:space="preserve">. </w:t>
      </w:r>
      <w:r w:rsidRPr="00DF6E0B">
        <w:t>(2014)</w:t>
      </w:r>
    </w:p>
    <w:p w:rsidR="008001E4" w:rsidRPr="008001E4" w:rsidRDefault="008001E4" w:rsidP="008001E4">
      <w:proofErr w:type="spellStart"/>
      <w:r w:rsidRPr="008001E4">
        <w:t>Vastert</w:t>
      </w:r>
      <w:proofErr w:type="spellEnd"/>
      <w:r w:rsidRPr="008001E4">
        <w:t xml:space="preserve"> </w:t>
      </w:r>
      <w:r w:rsidR="001974C5">
        <w:t>et</w:t>
      </w:r>
      <w:r w:rsidRPr="008001E4">
        <w:t xml:space="preserve"> </w:t>
      </w:r>
      <w:r w:rsidR="001974C5">
        <w:t>al</w:t>
      </w:r>
      <w:r w:rsidR="006D3E76">
        <w:t>.</w:t>
      </w:r>
      <w:r w:rsidRPr="008001E4">
        <w:t xml:space="preserve"> (2014)</w:t>
      </w:r>
      <w:r w:rsidR="00840FD9" w:rsidRPr="00EA1957">
        <w:rPr>
          <w:vertAlign w:val="superscript"/>
        </w:rPr>
        <w:fldChar w:fldCharType="begin"/>
      </w:r>
      <w:r w:rsidR="00840FD9" w:rsidRPr="00EA1957">
        <w:rPr>
          <w:vertAlign w:val="superscript"/>
        </w:rPr>
        <w:instrText xml:space="preserve"> NOTEREF _Ref429563282 \h  \* MERGEFORMAT </w:instrText>
      </w:r>
      <w:r w:rsidR="00840FD9" w:rsidRPr="00EA1957">
        <w:rPr>
          <w:vertAlign w:val="superscript"/>
        </w:rPr>
      </w:r>
      <w:r w:rsidR="00840FD9" w:rsidRPr="00EA1957">
        <w:rPr>
          <w:vertAlign w:val="superscript"/>
        </w:rPr>
        <w:fldChar w:fldCharType="separate"/>
      </w:r>
      <w:r w:rsidR="00467029" w:rsidRPr="00EA1957">
        <w:rPr>
          <w:vertAlign w:val="superscript"/>
        </w:rPr>
        <w:t>9</w:t>
      </w:r>
      <w:r w:rsidR="00840FD9" w:rsidRPr="00EA1957">
        <w:rPr>
          <w:vertAlign w:val="superscript"/>
        </w:rPr>
        <w:fldChar w:fldCharType="end"/>
      </w:r>
      <w:r w:rsidRPr="008001E4">
        <w:t xml:space="preserve"> was a report of a prospective uncontrolled </w:t>
      </w:r>
      <w:proofErr w:type="spellStart"/>
      <w:r w:rsidR="00206124">
        <w:t>anakinra</w:t>
      </w:r>
      <w:proofErr w:type="spellEnd"/>
      <w:r w:rsidR="00206124">
        <w:t xml:space="preserve"> treatment in treatment </w:t>
      </w:r>
      <w:r w:rsidRPr="008001E4">
        <w:t>naïve patients (indomethacin</w:t>
      </w:r>
      <w:r w:rsidR="00E72ACA">
        <w:t xml:space="preserve"> </w:t>
      </w:r>
      <w:proofErr w:type="gramStart"/>
      <w:r w:rsidR="00E72ACA">
        <w:t>excepted</w:t>
      </w:r>
      <w:proofErr w:type="gramEnd"/>
      <w:r w:rsidRPr="008001E4">
        <w:t>)</w:t>
      </w:r>
      <w:r w:rsidR="00206124">
        <w:t xml:space="preserve"> with SJIA (n = 20; age range 1 to </w:t>
      </w:r>
      <w:r w:rsidRPr="008001E4">
        <w:t xml:space="preserve">15 years). The treatment was commenced as </w:t>
      </w:r>
      <w:proofErr w:type="spellStart"/>
      <w:r w:rsidRPr="008001E4">
        <w:t>anakinra</w:t>
      </w:r>
      <w:proofErr w:type="spellEnd"/>
      <w:r w:rsidRPr="008001E4">
        <w:t xml:space="preserve"> </w:t>
      </w:r>
      <w:r w:rsidR="002429B6">
        <w:t>2 mg</w:t>
      </w:r>
      <w:r w:rsidRPr="008001E4">
        <w:t>/kg/day and was tapered if patient had inactive disease after 3 months of treatment (every second day for a month then ceasing treatment). Clinical remission was defined as inactive disease for at least 6 months.</w:t>
      </w:r>
    </w:p>
    <w:p w:rsidR="008001E4" w:rsidRPr="008001E4" w:rsidRDefault="008001E4" w:rsidP="008001E4">
      <w:r w:rsidRPr="008001E4">
        <w:t>After 1 year of treatment</w:t>
      </w:r>
      <w:r w:rsidR="00E72ACA">
        <w:t>,</w:t>
      </w:r>
      <w:r w:rsidRPr="008001E4">
        <w:t xml:space="preserve"> 11/20 (55%) pa</w:t>
      </w:r>
      <w:r w:rsidR="00206124">
        <w:t xml:space="preserve">tients had inactive disease off </w:t>
      </w:r>
      <w:r w:rsidRPr="008001E4">
        <w:t>treat</w:t>
      </w:r>
      <w:r w:rsidR="00206124">
        <w:t xml:space="preserve">ment, </w:t>
      </w:r>
      <w:r w:rsidR="00E72ACA">
        <w:t>two</w:t>
      </w:r>
      <w:r w:rsidR="00206124">
        <w:t xml:space="preserve"> had inactive disease on </w:t>
      </w:r>
      <w:r w:rsidRPr="008001E4">
        <w:t>treatment, o</w:t>
      </w:r>
      <w:r w:rsidR="00206124">
        <w:t xml:space="preserve">ne had inactive disease off </w:t>
      </w:r>
      <w:r w:rsidRPr="008001E4">
        <w:t xml:space="preserve">treatment following combined therapy with </w:t>
      </w:r>
      <w:proofErr w:type="spellStart"/>
      <w:r w:rsidRPr="008001E4">
        <w:t>anakinra</w:t>
      </w:r>
      <w:proofErr w:type="spellEnd"/>
      <w:r w:rsidRPr="008001E4">
        <w:t xml:space="preserve"> and MTX and/or corticosteroids, one had inactive disease with ongoing combined therapy with </w:t>
      </w:r>
      <w:proofErr w:type="spellStart"/>
      <w:r w:rsidRPr="008001E4">
        <w:t>anakinra</w:t>
      </w:r>
      <w:proofErr w:type="spellEnd"/>
      <w:r w:rsidRPr="008001E4">
        <w:t xml:space="preserve"> and MTX and/or corticosteroids, and five had varying response on concomitant treatment with MTX and/or corticosteroids.</w:t>
      </w:r>
    </w:p>
    <w:p w:rsidR="008001E4" w:rsidRPr="008001E4" w:rsidRDefault="00206124" w:rsidP="008001E4">
      <w:r>
        <w:t xml:space="preserve">Over a 3 year follow </w:t>
      </w:r>
      <w:r w:rsidR="008001E4" w:rsidRPr="008001E4">
        <w:t>up period</w:t>
      </w:r>
      <w:r w:rsidR="00E72ACA">
        <w:t>,</w:t>
      </w:r>
      <w:r w:rsidR="008001E4" w:rsidRPr="008001E4">
        <w:t xml:space="preserve"> 90% patients had sustained </w:t>
      </w:r>
      <w:proofErr w:type="spellStart"/>
      <w:r w:rsidR="00E02770" w:rsidRPr="00E02770">
        <w:t>ACRpaed</w:t>
      </w:r>
      <w:proofErr w:type="spellEnd"/>
      <w:r w:rsidR="008001E4" w:rsidRPr="008001E4">
        <w:t xml:space="preserve"> 70 and 80% had sustained </w:t>
      </w:r>
      <w:proofErr w:type="spellStart"/>
      <w:r w:rsidR="00E02770" w:rsidRPr="00E02770">
        <w:t>ACRpaed</w:t>
      </w:r>
      <w:proofErr w:type="spellEnd"/>
      <w:r w:rsidR="008001E4" w:rsidRPr="008001E4">
        <w:t xml:space="preserve"> 90. There were 60% patients with sustained </w:t>
      </w:r>
      <w:proofErr w:type="spellStart"/>
      <w:r w:rsidR="00E02770" w:rsidRPr="00E02770">
        <w:t>ACRpaed</w:t>
      </w:r>
      <w:proofErr w:type="spellEnd"/>
      <w:r w:rsidR="008001E4" w:rsidRPr="008001E4">
        <w:t xml:space="preserve"> 90 on monotherapy. One patient died of MAS and pulmonary hypertension 2 years into the study. No serious invasive infection was reported. Reactivation of herpes simplex virus type 1 infection was reported in several patients.</w:t>
      </w:r>
    </w:p>
    <w:p w:rsidR="00DF6E0B" w:rsidRDefault="008001E4" w:rsidP="00DF6E0B">
      <w:pPr>
        <w:pStyle w:val="Heading6"/>
      </w:pPr>
      <w:proofErr w:type="spellStart"/>
      <w:r w:rsidRPr="00DF6E0B">
        <w:t>Urien</w:t>
      </w:r>
      <w:proofErr w:type="spellEnd"/>
      <w:r w:rsidRPr="00DF6E0B">
        <w:t xml:space="preserve"> et al</w:t>
      </w:r>
      <w:proofErr w:type="gramStart"/>
      <w:r w:rsidR="006D3E76">
        <w:t>.(</w:t>
      </w:r>
      <w:proofErr w:type="gramEnd"/>
      <w:r w:rsidR="006D3E76">
        <w:t>2013)</w:t>
      </w:r>
    </w:p>
    <w:p w:rsidR="008001E4" w:rsidRDefault="008001E4" w:rsidP="008001E4">
      <w:proofErr w:type="spellStart"/>
      <w:r w:rsidRPr="008001E4">
        <w:t>Urien</w:t>
      </w:r>
      <w:proofErr w:type="spellEnd"/>
      <w:r w:rsidRPr="008001E4">
        <w:t xml:space="preserve"> et al</w:t>
      </w:r>
      <w:r w:rsidR="006D3E76">
        <w:t>. (2013)</w:t>
      </w:r>
      <w:r w:rsidR="00840FD9" w:rsidRPr="00EA1957">
        <w:rPr>
          <w:vertAlign w:val="superscript"/>
        </w:rPr>
        <w:fldChar w:fldCharType="begin"/>
      </w:r>
      <w:r w:rsidR="00840FD9" w:rsidRPr="00EA1957">
        <w:rPr>
          <w:vertAlign w:val="superscript"/>
        </w:rPr>
        <w:instrText xml:space="preserve"> NOTEREF _Ref429146312 \h  \* MERGEFORMAT </w:instrText>
      </w:r>
      <w:r w:rsidR="00840FD9" w:rsidRPr="00EA1957">
        <w:rPr>
          <w:vertAlign w:val="superscript"/>
        </w:rPr>
      </w:r>
      <w:r w:rsidR="00840FD9" w:rsidRPr="00EA1957">
        <w:rPr>
          <w:vertAlign w:val="superscript"/>
        </w:rPr>
        <w:fldChar w:fldCharType="separate"/>
      </w:r>
      <w:r w:rsidR="00467029" w:rsidRPr="00EA1957">
        <w:rPr>
          <w:vertAlign w:val="superscript"/>
        </w:rPr>
        <w:t>8</w:t>
      </w:r>
      <w:r w:rsidR="00840FD9" w:rsidRPr="00EA1957">
        <w:rPr>
          <w:vertAlign w:val="superscript"/>
        </w:rPr>
        <w:fldChar w:fldCharType="end"/>
      </w:r>
      <w:r w:rsidR="00206124" w:rsidRPr="00467029">
        <w:rPr>
          <w:vertAlign w:val="superscript"/>
        </w:rPr>
        <w:t xml:space="preserve"> </w:t>
      </w:r>
      <w:r w:rsidRPr="008001E4">
        <w:t>was a report of a population PK/PD analysis in patients with SJIA and auto</w:t>
      </w:r>
      <w:r w:rsidR="00206124">
        <w:t xml:space="preserve"> </w:t>
      </w:r>
      <w:r w:rsidRPr="008001E4">
        <w:t xml:space="preserve">inflammatory syndromes. The study included data from </w:t>
      </w:r>
      <w:r w:rsidR="00344161">
        <w:t>87 patients aged 8 months to 21 </w:t>
      </w:r>
      <w:r w:rsidRPr="008001E4">
        <w:t xml:space="preserve">years and included 22 </w:t>
      </w:r>
      <w:r w:rsidR="00206124">
        <w:t xml:space="preserve">patients with SJIA (age range 2 to </w:t>
      </w:r>
      <w:r w:rsidRPr="008001E4">
        <w:t xml:space="preserve">16 years; all from pivotal study Quartier </w:t>
      </w:r>
      <w:r w:rsidR="001974C5">
        <w:t>et</w:t>
      </w:r>
      <w:r w:rsidRPr="008001E4">
        <w:t xml:space="preserve"> al). </w:t>
      </w:r>
      <w:proofErr w:type="spellStart"/>
      <w:r w:rsidRPr="008001E4">
        <w:t>Anakinra</w:t>
      </w:r>
      <w:proofErr w:type="spellEnd"/>
      <w:r w:rsidRPr="008001E4">
        <w:t xml:space="preserve"> was administered in the dose range </w:t>
      </w:r>
      <w:r w:rsidR="002429B6">
        <w:t>2 mg</w:t>
      </w:r>
      <w:r w:rsidRPr="008001E4">
        <w:t>/kg/day to 10</w:t>
      </w:r>
      <w:r w:rsidR="00344161">
        <w:t> </w:t>
      </w:r>
      <w:r w:rsidRPr="008001E4">
        <w:t>mg/kg/day up to 100</w:t>
      </w:r>
      <w:r w:rsidR="00206124">
        <w:t xml:space="preserve"> </w:t>
      </w:r>
      <w:r w:rsidRPr="008001E4">
        <w:t xml:space="preserve">mg daily. The only significant covariate was body weight. The predicted dose as function of body weight was as </w:t>
      </w:r>
      <w:r w:rsidR="000F28E6">
        <w:t>shown in Figure 3</w:t>
      </w:r>
      <w:r w:rsidR="00206124">
        <w:t>.</w:t>
      </w:r>
    </w:p>
    <w:p w:rsidR="00DF6E0B" w:rsidRDefault="00E72ACA" w:rsidP="00B161F7">
      <w:pPr>
        <w:pStyle w:val="FigureTitle"/>
      </w:pPr>
      <w:proofErr w:type="gramStart"/>
      <w:r>
        <w:t>Figure 3</w:t>
      </w:r>
      <w:r w:rsidR="00206124">
        <w:t>.</w:t>
      </w:r>
      <w:proofErr w:type="gramEnd"/>
      <w:r w:rsidR="00206124">
        <w:t xml:space="preserve"> </w:t>
      </w:r>
      <w:proofErr w:type="gramStart"/>
      <w:r w:rsidR="00206124">
        <w:t xml:space="preserve">Daily dose of </w:t>
      </w:r>
      <w:proofErr w:type="spellStart"/>
      <w:r w:rsidR="00206124">
        <w:t>anakinra</w:t>
      </w:r>
      <w:proofErr w:type="spellEnd"/>
      <w:r w:rsidR="00206124">
        <w:t xml:space="preserve"> (mg/kg, thick curve) as a function of bodyweight in order to</w:t>
      </w:r>
      <w:r w:rsidR="00344161">
        <w:t xml:space="preserve"> reach the mean </w:t>
      </w:r>
      <w:proofErr w:type="spellStart"/>
      <w:r w:rsidR="00344161">
        <w:t>anakinra</w:t>
      </w:r>
      <w:proofErr w:type="spellEnd"/>
      <w:r w:rsidR="00344161">
        <w:t xml:space="preserve"> steady </w:t>
      </w:r>
      <w:r w:rsidR="00206124">
        <w:t>state concentration of 0.4 mg/L.</w:t>
      </w:r>
      <w:proofErr w:type="gramEnd"/>
    </w:p>
    <w:p w:rsidR="00206124" w:rsidRDefault="00206124" w:rsidP="00B161F7">
      <w:r>
        <w:rPr>
          <w:noProof/>
          <w:lang w:eastAsia="en-AU"/>
        </w:rPr>
        <w:drawing>
          <wp:inline distT="0" distB="0" distL="0" distR="0" wp14:anchorId="27B9F034" wp14:editId="2340D51B">
            <wp:extent cx="3158631" cy="2809037"/>
            <wp:effectExtent l="0" t="0" r="3810" b="0"/>
            <wp:docPr id="5" name="Picture 5" descr="Figure 3. Daily dose of anakinra (mg/kg, thick curve) as a function of bodyweight in order to reach the mean anakinra steady state concentration of 0.4 m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168051" cy="2817414"/>
                    </a:xfrm>
                    <a:prstGeom prst="rect">
                      <a:avLst/>
                    </a:prstGeom>
                  </pic:spPr>
                </pic:pic>
              </a:graphicData>
            </a:graphic>
          </wp:inline>
        </w:drawing>
      </w:r>
    </w:p>
    <w:p w:rsidR="00DF6E0B" w:rsidRPr="005354B4" w:rsidRDefault="00206124" w:rsidP="00B161F7">
      <w:pPr>
        <w:pStyle w:val="FigureDescription"/>
      </w:pPr>
      <w:r w:rsidRPr="005354B4">
        <w:t>The 0.4 mg/L target corresponds to a maximal effect on the CRP biological marker of inflammation. Bold text in rectangles defines possible mean dosage recommendation for 3 bodyweight ranges. Text on top side stands for the maximal dosage in the corresponding bodyweight range.</w:t>
      </w:r>
    </w:p>
    <w:p w:rsidR="00DF6E0B" w:rsidRDefault="00DF6E0B" w:rsidP="00B161F7">
      <w:pPr>
        <w:rPr>
          <w:noProof/>
          <w:lang w:eastAsia="en-AU"/>
        </w:rPr>
      </w:pPr>
      <w:r>
        <w:rPr>
          <w:noProof/>
          <w:lang w:eastAsia="en-AU"/>
        </w:rPr>
        <w:t xml:space="preserve">The PD </w:t>
      </w:r>
      <w:r w:rsidRPr="00E829F3">
        <w:rPr>
          <w:noProof/>
          <w:lang w:eastAsia="en-AU"/>
        </w:rPr>
        <w:t xml:space="preserve">measure </w:t>
      </w:r>
      <w:r>
        <w:rPr>
          <w:noProof/>
          <w:lang w:eastAsia="en-AU"/>
        </w:rPr>
        <w:t xml:space="preserve">for PK/PD modelling </w:t>
      </w:r>
      <w:r w:rsidRPr="00E829F3">
        <w:rPr>
          <w:noProof/>
          <w:lang w:eastAsia="en-AU"/>
        </w:rPr>
        <w:t>wa</w:t>
      </w:r>
      <w:r w:rsidR="00206124">
        <w:rPr>
          <w:noProof/>
          <w:lang w:eastAsia="en-AU"/>
        </w:rPr>
        <w:t xml:space="preserve">s CRP. Based on a steady </w:t>
      </w:r>
      <w:r>
        <w:rPr>
          <w:noProof/>
          <w:lang w:eastAsia="en-AU"/>
        </w:rPr>
        <w:t>state anakinra plasma concentration of 0.4</w:t>
      </w:r>
      <w:r w:rsidR="00206124">
        <w:rPr>
          <w:noProof/>
          <w:lang w:eastAsia="en-AU"/>
        </w:rPr>
        <w:t xml:space="preserve"> </w:t>
      </w:r>
      <w:r w:rsidRPr="00B64C44">
        <w:rPr>
          <w:noProof/>
          <w:lang w:eastAsia="en-AU"/>
        </w:rPr>
        <w:t xml:space="preserve">mg/L </w:t>
      </w:r>
      <w:r>
        <w:rPr>
          <w:noProof/>
          <w:lang w:eastAsia="en-AU"/>
        </w:rPr>
        <w:t xml:space="preserve">required to obtain plasma CRP </w:t>
      </w:r>
      <w:r w:rsidR="005354B4">
        <w:rPr>
          <w:noProof/>
          <w:lang w:eastAsia="en-AU"/>
        </w:rPr>
        <w:t>≤</w:t>
      </w:r>
      <w:r w:rsidR="00206124">
        <w:rPr>
          <w:noProof/>
          <w:lang w:eastAsia="en-AU"/>
        </w:rPr>
        <w:t xml:space="preserve"> </w:t>
      </w:r>
      <w:r>
        <w:rPr>
          <w:noProof/>
          <w:lang w:eastAsia="en-AU"/>
        </w:rPr>
        <w:t>10</w:t>
      </w:r>
      <w:r w:rsidR="005354B4">
        <w:rPr>
          <w:noProof/>
          <w:lang w:eastAsia="en-AU"/>
        </w:rPr>
        <w:t xml:space="preserve"> </w:t>
      </w:r>
      <w:r>
        <w:rPr>
          <w:noProof/>
          <w:lang w:eastAsia="en-AU"/>
        </w:rPr>
        <w:t>mg/L, the model indicated mean anakinra dose of 3</w:t>
      </w:r>
      <w:r w:rsidR="00206124">
        <w:rPr>
          <w:noProof/>
          <w:lang w:eastAsia="en-AU"/>
        </w:rPr>
        <w:t xml:space="preserve"> </w:t>
      </w:r>
      <w:r>
        <w:rPr>
          <w:noProof/>
          <w:lang w:eastAsia="en-AU"/>
        </w:rPr>
        <w:t>mg/kg/day for body weight &lt;</w:t>
      </w:r>
      <w:r w:rsidR="00206124">
        <w:rPr>
          <w:noProof/>
          <w:lang w:eastAsia="en-AU"/>
        </w:rPr>
        <w:t xml:space="preserve"> </w:t>
      </w:r>
      <w:r w:rsidR="005354B4">
        <w:rPr>
          <w:noProof/>
          <w:lang w:eastAsia="en-AU"/>
        </w:rPr>
        <w:t>10 kg</w:t>
      </w:r>
      <w:r w:rsidRPr="004D615A">
        <w:rPr>
          <w:noProof/>
          <w:lang w:eastAsia="en-AU"/>
        </w:rPr>
        <w:t xml:space="preserve"> and 2 mg/kg/day </w:t>
      </w:r>
      <w:r w:rsidR="00206124">
        <w:rPr>
          <w:noProof/>
          <w:lang w:eastAsia="en-AU"/>
        </w:rPr>
        <w:t xml:space="preserve">for body weight 10 to </w:t>
      </w:r>
      <w:r>
        <w:rPr>
          <w:noProof/>
          <w:lang w:eastAsia="en-AU"/>
        </w:rPr>
        <w:t>50</w:t>
      </w:r>
      <w:r w:rsidR="005354B4">
        <w:rPr>
          <w:noProof/>
          <w:lang w:eastAsia="en-AU"/>
        </w:rPr>
        <w:t xml:space="preserve"> </w:t>
      </w:r>
      <w:r>
        <w:rPr>
          <w:noProof/>
          <w:lang w:eastAsia="en-AU"/>
        </w:rPr>
        <w:t>kg and 1</w:t>
      </w:r>
      <w:r w:rsidR="00206124">
        <w:rPr>
          <w:noProof/>
          <w:lang w:eastAsia="en-AU"/>
        </w:rPr>
        <w:t xml:space="preserve"> </w:t>
      </w:r>
      <w:r>
        <w:rPr>
          <w:noProof/>
          <w:lang w:eastAsia="en-AU"/>
        </w:rPr>
        <w:t xml:space="preserve">mg/kg </w:t>
      </w:r>
      <w:r w:rsidRPr="004D615A">
        <w:rPr>
          <w:noProof/>
          <w:lang w:eastAsia="en-AU"/>
        </w:rPr>
        <w:t xml:space="preserve">up to </w:t>
      </w:r>
      <w:r>
        <w:rPr>
          <w:noProof/>
          <w:lang w:eastAsia="en-AU"/>
        </w:rPr>
        <w:t>a maximum of 100</w:t>
      </w:r>
      <w:r w:rsidR="00206124">
        <w:rPr>
          <w:noProof/>
          <w:lang w:eastAsia="en-AU"/>
        </w:rPr>
        <w:t xml:space="preserve"> </w:t>
      </w:r>
      <w:r>
        <w:rPr>
          <w:noProof/>
          <w:lang w:eastAsia="en-AU"/>
        </w:rPr>
        <w:t>mg/day for body weight &gt;</w:t>
      </w:r>
      <w:r w:rsidR="00206124">
        <w:rPr>
          <w:noProof/>
          <w:lang w:eastAsia="en-AU"/>
        </w:rPr>
        <w:t xml:space="preserve"> </w:t>
      </w:r>
      <w:r w:rsidR="005354B4">
        <w:rPr>
          <w:noProof/>
          <w:lang w:eastAsia="en-AU"/>
        </w:rPr>
        <w:t>50 kg</w:t>
      </w:r>
      <w:r w:rsidRPr="004D615A">
        <w:rPr>
          <w:noProof/>
          <w:lang w:eastAsia="en-AU"/>
        </w:rPr>
        <w:t>.</w:t>
      </w:r>
    </w:p>
    <w:p w:rsidR="00DF6E0B" w:rsidRPr="00DF6E0B" w:rsidRDefault="00DF6E0B" w:rsidP="00B161F7">
      <w:r w:rsidRPr="00DF6E0B">
        <w:lastRenderedPageBreak/>
        <w:t xml:space="preserve">For further details of sponsor’s response </w:t>
      </w:r>
      <w:r w:rsidR="00206124">
        <w:t>to questions raised</w:t>
      </w:r>
      <w:r w:rsidR="00385F9E">
        <w:t xml:space="preserve"> in the first round clinical evaluation</w:t>
      </w:r>
      <w:r w:rsidRPr="00DF6E0B">
        <w:t xml:space="preserve"> please see </w:t>
      </w:r>
      <w:r w:rsidR="00206124">
        <w:t>Attachment 2</w:t>
      </w:r>
      <w:r w:rsidRPr="00DF6E0B">
        <w:t>.</w:t>
      </w:r>
    </w:p>
    <w:p w:rsidR="00DF6E0B" w:rsidRPr="00DF6E0B" w:rsidRDefault="00DF6E0B" w:rsidP="00DF6E0B">
      <w:pPr>
        <w:pStyle w:val="Heading4"/>
      </w:pPr>
      <w:r w:rsidRPr="00DF6E0B">
        <w:t xml:space="preserve">Clinical </w:t>
      </w:r>
      <w:r w:rsidR="00B161F7">
        <w:t>s</w:t>
      </w:r>
      <w:r w:rsidRPr="00DF6E0B">
        <w:t>afety</w:t>
      </w:r>
    </w:p>
    <w:p w:rsidR="00DF6E0B" w:rsidRDefault="00DF6E0B" w:rsidP="00DF6E0B">
      <w:r w:rsidRPr="00DF6E0B">
        <w:t xml:space="preserve">The safety information in this dossier was consistent with the known adverse effects profile of </w:t>
      </w:r>
      <w:proofErr w:type="spellStart"/>
      <w:r w:rsidRPr="00DF6E0B">
        <w:t>anakinra</w:t>
      </w:r>
      <w:proofErr w:type="spellEnd"/>
      <w:r w:rsidRPr="00DF6E0B">
        <w:t>. Currently there are no data with regard to growth and development in children.</w:t>
      </w:r>
    </w:p>
    <w:p w:rsidR="00453997" w:rsidRPr="00453997" w:rsidRDefault="00453997" w:rsidP="00453997">
      <w:pPr>
        <w:rPr>
          <w:b/>
          <w:bCs/>
        </w:rPr>
      </w:pPr>
      <w:r w:rsidRPr="00453997">
        <w:rPr>
          <w:b/>
          <w:bCs/>
        </w:rPr>
        <w:t>Clinical evaluator’s recommendation</w:t>
      </w:r>
    </w:p>
    <w:p w:rsidR="00453997" w:rsidRPr="00453997" w:rsidRDefault="00453997" w:rsidP="00453997">
      <w:r w:rsidRPr="00453997">
        <w:t xml:space="preserve">The clinical evaluator had no objection to the authorisation of </w:t>
      </w:r>
      <w:proofErr w:type="spellStart"/>
      <w:r w:rsidRPr="00453997">
        <w:t>Kineret</w:t>
      </w:r>
      <w:proofErr w:type="spellEnd"/>
      <w:r w:rsidRPr="00453997">
        <w:t xml:space="preserve"> (</w:t>
      </w:r>
      <w:proofErr w:type="spellStart"/>
      <w:r w:rsidRPr="00453997">
        <w:t>anakinra</w:t>
      </w:r>
      <w:proofErr w:type="spellEnd"/>
      <w:r w:rsidRPr="00453997">
        <w:t xml:space="preserve">) for the following </w:t>
      </w:r>
      <w:r w:rsidR="00385F9E">
        <w:t xml:space="preserve">(modified) </w:t>
      </w:r>
      <w:r w:rsidRPr="00453997">
        <w:t>indication:</w:t>
      </w:r>
    </w:p>
    <w:p w:rsidR="00453997" w:rsidRPr="00453997" w:rsidRDefault="00453997" w:rsidP="00453997">
      <w:proofErr w:type="spellStart"/>
      <w:r w:rsidRPr="00453997">
        <w:rPr>
          <w:i/>
        </w:rPr>
        <w:t>Kineret</w:t>
      </w:r>
      <w:proofErr w:type="spellEnd"/>
      <w:r w:rsidRPr="00453997">
        <w:rPr>
          <w:i/>
        </w:rPr>
        <w:t xml:space="preserve"> (</w:t>
      </w:r>
      <w:proofErr w:type="spellStart"/>
      <w:r w:rsidRPr="00453997">
        <w:rPr>
          <w:i/>
        </w:rPr>
        <w:t>anakinra</w:t>
      </w:r>
      <w:proofErr w:type="spellEnd"/>
      <w:r w:rsidRPr="00453997">
        <w:rPr>
          <w:i/>
        </w:rPr>
        <w:t>) is indicated for the treatment of active Systemic Juvenile Idiopathic Arthritis (SJIA)</w:t>
      </w:r>
      <w:r w:rsidR="000F28E6">
        <w:rPr>
          <w:i/>
        </w:rPr>
        <w:t>.</w:t>
      </w:r>
    </w:p>
    <w:p w:rsidR="00721983" w:rsidRPr="00453997" w:rsidRDefault="00721983" w:rsidP="00453997">
      <w:pPr>
        <w:rPr>
          <w:b/>
          <w:bCs/>
        </w:rPr>
      </w:pPr>
      <w:r w:rsidRPr="00453997">
        <w:rPr>
          <w:b/>
          <w:bCs/>
        </w:rPr>
        <w:t xml:space="preserve">Risk </w:t>
      </w:r>
      <w:r w:rsidR="003016B1">
        <w:rPr>
          <w:b/>
          <w:bCs/>
        </w:rPr>
        <w:t>m</w:t>
      </w:r>
      <w:r w:rsidRPr="00453997">
        <w:rPr>
          <w:b/>
          <w:bCs/>
        </w:rPr>
        <w:t xml:space="preserve">anagement </w:t>
      </w:r>
      <w:r w:rsidR="003016B1">
        <w:rPr>
          <w:b/>
          <w:bCs/>
        </w:rPr>
        <w:t>p</w:t>
      </w:r>
      <w:r w:rsidRPr="00453997">
        <w:rPr>
          <w:b/>
          <w:bCs/>
        </w:rPr>
        <w:t>lan</w:t>
      </w:r>
    </w:p>
    <w:p w:rsidR="00453997" w:rsidRPr="00DF6E0B" w:rsidRDefault="00721983" w:rsidP="00DF6E0B">
      <w:r w:rsidRPr="00453997">
        <w:t xml:space="preserve">The submission is subject to a Risk Management Plan (RMP) to the satisfaction of RMP evaluation area and </w:t>
      </w:r>
      <w:r w:rsidR="00385F9E">
        <w:t xml:space="preserve">this </w:t>
      </w:r>
      <w:r w:rsidRPr="00453997">
        <w:t>will be a condition of registration</w:t>
      </w:r>
      <w:r w:rsidR="00453997" w:rsidRPr="00453997">
        <w:t>.</w:t>
      </w:r>
    </w:p>
    <w:p w:rsidR="00453997" w:rsidRDefault="00453997" w:rsidP="00453997">
      <w:pPr>
        <w:pStyle w:val="Heading4"/>
      </w:pPr>
      <w:r w:rsidRPr="00453997">
        <w:t>Delegate’s comment and recommendation</w:t>
      </w:r>
    </w:p>
    <w:p w:rsidR="00453997" w:rsidRDefault="00453997" w:rsidP="00DF6E0B">
      <w:pPr>
        <w:pStyle w:val="Heading4"/>
      </w:pPr>
      <w:r w:rsidRPr="00453997">
        <w:t xml:space="preserve">Delegate’s considerations </w:t>
      </w:r>
    </w:p>
    <w:p w:rsidR="00DF6E0B" w:rsidRPr="00DF6E0B" w:rsidRDefault="00DF6E0B" w:rsidP="001D744A">
      <w:pPr>
        <w:pStyle w:val="Numberbullet0"/>
        <w:numPr>
          <w:ilvl w:val="0"/>
          <w:numId w:val="11"/>
        </w:numPr>
      </w:pPr>
      <w:r w:rsidRPr="00DF6E0B">
        <w:t xml:space="preserve">The supporting evidence of efficacy is based on </w:t>
      </w:r>
      <w:r w:rsidR="0097225A">
        <w:t xml:space="preserve">the results of a single placebo </w:t>
      </w:r>
      <w:r w:rsidRPr="00DF6E0B">
        <w:t>controlled pivotal trial (Quartier et al) in 24 patients with SJIA. The pati</w:t>
      </w:r>
      <w:r w:rsidR="005354B4">
        <w:t>ents had disease for at least 6 </w:t>
      </w:r>
      <w:r w:rsidRPr="00DF6E0B">
        <w:t>months and had active disease at the time of entry into the study</w:t>
      </w:r>
      <w:r w:rsidR="001974C5">
        <w:t xml:space="preserve">. The age of participants was 2 to </w:t>
      </w:r>
      <w:r w:rsidRPr="00DF6E0B">
        <w:t xml:space="preserve">16 years. The patients were variously on treatment but DMARDs were discontinued prior to the study. The patients remained on steroids although </w:t>
      </w:r>
      <w:r w:rsidR="001974C5" w:rsidRPr="00DF6E0B">
        <w:t>tapering</w:t>
      </w:r>
      <w:r w:rsidRPr="00DF6E0B">
        <w:t xml:space="preserve"> was allowed on clinical basis in respo</w:t>
      </w:r>
      <w:r w:rsidR="001974C5">
        <w:t xml:space="preserve">nders after one month of double </w:t>
      </w:r>
      <w:r w:rsidRPr="00DF6E0B">
        <w:t>blind tre</w:t>
      </w:r>
      <w:r w:rsidR="001974C5">
        <w:t xml:space="preserve">atment. The uncontrolled single </w:t>
      </w:r>
      <w:r w:rsidRPr="00DF6E0B">
        <w:t>arm treatment continued from Months 2</w:t>
      </w:r>
      <w:r w:rsidR="001974C5">
        <w:t xml:space="preserve"> to </w:t>
      </w:r>
      <w:r w:rsidRPr="00DF6E0B">
        <w:t>12.</w:t>
      </w:r>
    </w:p>
    <w:p w:rsidR="00DF6E0B" w:rsidRPr="00DF6E0B" w:rsidRDefault="00DF6E0B" w:rsidP="0097225A">
      <w:pPr>
        <w:ind w:left="454"/>
      </w:pPr>
      <w:r w:rsidRPr="00414434">
        <w:t xml:space="preserve">The response rate was clinically meaningful (8/12 </w:t>
      </w:r>
      <w:r w:rsidR="00385F9E">
        <w:t xml:space="preserve">(67%) </w:t>
      </w:r>
      <w:r w:rsidRPr="00414434">
        <w:t xml:space="preserve">responders </w:t>
      </w:r>
      <w:r w:rsidR="00385F9E">
        <w:t>(</w:t>
      </w:r>
      <w:proofErr w:type="spellStart"/>
      <w:r w:rsidR="00385F9E">
        <w:t>anakinra</w:t>
      </w:r>
      <w:proofErr w:type="spellEnd"/>
      <w:r w:rsidR="00385F9E">
        <w:t xml:space="preserve">) </w:t>
      </w:r>
      <w:r w:rsidR="002773F6" w:rsidRPr="00414434">
        <w:t>versus</w:t>
      </w:r>
      <w:r w:rsidRPr="00414434">
        <w:t xml:space="preserve"> 1/</w:t>
      </w:r>
      <w:r w:rsidR="00385F9E">
        <w:t>12 (</w:t>
      </w:r>
      <w:r w:rsidRPr="00414434">
        <w:t>8</w:t>
      </w:r>
      <w:r w:rsidR="00385F9E">
        <w:t>%)</w:t>
      </w:r>
      <w:r w:rsidRPr="00414434">
        <w:t xml:space="preserve"> responder</w:t>
      </w:r>
      <w:r w:rsidR="00385F9E">
        <w:t xml:space="preserve"> (placebo)</w:t>
      </w:r>
      <w:r w:rsidRPr="00414434">
        <w:t>) and statistically significant (p</w:t>
      </w:r>
      <w:r w:rsidR="001974C5" w:rsidRPr="00414434">
        <w:t xml:space="preserve"> </w:t>
      </w:r>
      <w:r w:rsidRPr="00414434">
        <w:t>=</w:t>
      </w:r>
      <w:r w:rsidR="001974C5" w:rsidRPr="00414434">
        <w:t xml:space="preserve"> </w:t>
      </w:r>
      <w:r w:rsidRPr="00414434">
        <w:t>0.003) at Month 1.</w:t>
      </w:r>
      <w:r w:rsidR="001974C5" w:rsidRPr="00414434">
        <w:t xml:space="preserve"> </w:t>
      </w:r>
      <w:r w:rsidR="001974C5">
        <w:t xml:space="preserve">The evidence of sustained long </w:t>
      </w:r>
      <w:r w:rsidRPr="00DF6E0B">
        <w:t>term benefit over 12 months was inconsistent with considerable cross</w:t>
      </w:r>
      <w:r w:rsidR="0097225A">
        <w:t xml:space="preserve">over between responders and </w:t>
      </w:r>
      <w:proofErr w:type="spellStart"/>
      <w:r w:rsidR="0097225A">
        <w:t xml:space="preserve">non </w:t>
      </w:r>
      <w:r w:rsidRPr="00DF6E0B">
        <w:t>responders</w:t>
      </w:r>
      <w:proofErr w:type="spellEnd"/>
      <w:r w:rsidRPr="00DF6E0B">
        <w:t xml:space="preserve"> throughout the study.</w:t>
      </w:r>
    </w:p>
    <w:p w:rsidR="00DF6E0B" w:rsidRPr="00DF6E0B" w:rsidRDefault="00DF6E0B" w:rsidP="0097225A">
      <w:pPr>
        <w:ind w:left="454"/>
      </w:pPr>
      <w:r w:rsidRPr="00DF6E0B">
        <w:t>Additional evidence of benefit was either anecdotal or observational from a number of published articles.</w:t>
      </w:r>
    </w:p>
    <w:p w:rsidR="00DF6E0B" w:rsidRPr="00DF6E0B" w:rsidRDefault="00DF6E0B" w:rsidP="0097225A">
      <w:pPr>
        <w:ind w:left="454"/>
      </w:pPr>
      <w:r w:rsidRPr="00DF6E0B">
        <w:t xml:space="preserve">Overall, treatment with </w:t>
      </w:r>
      <w:proofErr w:type="spellStart"/>
      <w:r w:rsidRPr="00DF6E0B">
        <w:t>anakin</w:t>
      </w:r>
      <w:r w:rsidR="0097225A">
        <w:t>ra</w:t>
      </w:r>
      <w:proofErr w:type="spellEnd"/>
      <w:r w:rsidR="0097225A">
        <w:t xml:space="preserve"> in SJIA resulted in rapid (3 to </w:t>
      </w:r>
      <w:r w:rsidRPr="00DF6E0B">
        <w:t xml:space="preserve">4 weeks) amelioration of systemic signs and symptoms but the evidence of </w:t>
      </w:r>
      <w:r w:rsidR="001974C5" w:rsidRPr="00DF6E0B">
        <w:t>maintenance</w:t>
      </w:r>
      <w:r w:rsidRPr="00DF6E0B">
        <w:t xml:space="preserve"> of effect was less compelling. The report by </w:t>
      </w:r>
      <w:proofErr w:type="spellStart"/>
      <w:r w:rsidRPr="00DF6E0B">
        <w:t>Vastert</w:t>
      </w:r>
      <w:proofErr w:type="spellEnd"/>
      <w:r w:rsidRPr="00DF6E0B">
        <w:t xml:space="preserve"> </w:t>
      </w:r>
      <w:r w:rsidR="001974C5">
        <w:t>et</w:t>
      </w:r>
      <w:r w:rsidRPr="00DF6E0B">
        <w:t xml:space="preserve"> </w:t>
      </w:r>
      <w:r w:rsidR="001974C5">
        <w:t>al</w:t>
      </w:r>
      <w:r w:rsidR="006D3E76">
        <w:t>. (2014)</w:t>
      </w:r>
      <w:r w:rsidR="00840FD9" w:rsidRPr="00EA1957">
        <w:rPr>
          <w:vertAlign w:val="superscript"/>
        </w:rPr>
        <w:fldChar w:fldCharType="begin"/>
      </w:r>
      <w:r w:rsidR="00840FD9" w:rsidRPr="00EA1957">
        <w:rPr>
          <w:vertAlign w:val="superscript"/>
        </w:rPr>
        <w:instrText xml:space="preserve"> NOTEREF _Ref429563282 \h  \* MERGEFORMAT </w:instrText>
      </w:r>
      <w:r w:rsidR="00840FD9" w:rsidRPr="00EA1957">
        <w:rPr>
          <w:vertAlign w:val="superscript"/>
        </w:rPr>
      </w:r>
      <w:r w:rsidR="00840FD9" w:rsidRPr="00EA1957">
        <w:rPr>
          <w:vertAlign w:val="superscript"/>
        </w:rPr>
        <w:fldChar w:fldCharType="separate"/>
      </w:r>
      <w:r w:rsidR="00467029" w:rsidRPr="00EA1957">
        <w:rPr>
          <w:vertAlign w:val="superscript"/>
        </w:rPr>
        <w:t>9</w:t>
      </w:r>
      <w:r w:rsidR="00840FD9" w:rsidRPr="00EA1957">
        <w:rPr>
          <w:vertAlign w:val="superscript"/>
        </w:rPr>
        <w:fldChar w:fldCharType="end"/>
      </w:r>
      <w:r w:rsidRPr="00DF6E0B">
        <w:t xml:space="preserve"> </w:t>
      </w:r>
      <w:r w:rsidR="001974C5">
        <w:t>(</w:t>
      </w:r>
      <w:r w:rsidRPr="00DF6E0B">
        <w:t>p</w:t>
      </w:r>
      <w:r w:rsidR="001974C5">
        <w:t>r</w:t>
      </w:r>
      <w:r w:rsidRPr="00DF6E0B">
        <w:t xml:space="preserve">ovided at the time of </w:t>
      </w:r>
      <w:r w:rsidR="001974C5">
        <w:t>response to</w:t>
      </w:r>
      <w:r w:rsidRPr="00DF6E0B">
        <w:t xml:space="preserve"> questions</w:t>
      </w:r>
      <w:r w:rsidR="001974C5">
        <w:t>)</w:t>
      </w:r>
      <w:r w:rsidRPr="00DF6E0B">
        <w:t xml:space="preserve"> included follow up of up to 3 years.</w:t>
      </w:r>
    </w:p>
    <w:p w:rsidR="00DF6E0B" w:rsidRPr="00DF6E0B" w:rsidRDefault="00DF6E0B" w:rsidP="0097225A">
      <w:pPr>
        <w:ind w:left="454"/>
      </w:pPr>
      <w:r w:rsidRPr="00DF6E0B">
        <w:t>Overall, the adverse effects profile in children was generally consistent with the known adverse effects data in adults.</w:t>
      </w:r>
    </w:p>
    <w:p w:rsidR="00E345FF" w:rsidRPr="00414434" w:rsidRDefault="00DF6E0B" w:rsidP="0097225A">
      <w:pPr>
        <w:ind w:left="454"/>
      </w:pPr>
      <w:r w:rsidRPr="00DF6E0B">
        <w:t>Based on post-market data the s</w:t>
      </w:r>
      <w:r w:rsidR="001974C5">
        <w:t xml:space="preserve">ponsor identified extensive off </w:t>
      </w:r>
      <w:r w:rsidRPr="00DF6E0B">
        <w:t xml:space="preserve">label use of </w:t>
      </w:r>
      <w:proofErr w:type="spellStart"/>
      <w:r w:rsidRPr="00DF6E0B">
        <w:t>anakinra</w:t>
      </w:r>
      <w:proofErr w:type="spellEnd"/>
      <w:r w:rsidRPr="00DF6E0B">
        <w:t xml:space="preserve">. In the US the indications for treatment with </w:t>
      </w:r>
      <w:proofErr w:type="spellStart"/>
      <w:r w:rsidRPr="00DF6E0B">
        <w:t>anakinra</w:t>
      </w:r>
      <w:proofErr w:type="spellEnd"/>
      <w:r w:rsidRPr="00DF6E0B">
        <w:t xml:space="preserve"> </w:t>
      </w:r>
      <w:r w:rsidRPr="00414434">
        <w:t xml:space="preserve">for systemic onset JRA were </w:t>
      </w:r>
      <w:r w:rsidRPr="00DF6E0B">
        <w:t xml:space="preserve">21% of the patients treated. In Sweden the most common indication for </w:t>
      </w:r>
      <w:proofErr w:type="spellStart"/>
      <w:r w:rsidRPr="00DF6E0B">
        <w:t>anakinra</w:t>
      </w:r>
      <w:proofErr w:type="spellEnd"/>
      <w:r w:rsidRPr="00DF6E0B">
        <w:t xml:space="preserve"> use in c</w:t>
      </w:r>
      <w:r w:rsidR="001974C5">
        <w:t xml:space="preserve">hildren was </w:t>
      </w:r>
      <w:r w:rsidR="001974C5" w:rsidRPr="00414434">
        <w:t>systemic onset JRA.</w:t>
      </w:r>
    </w:p>
    <w:p w:rsidR="00DF6E0B" w:rsidRPr="00DF6E0B" w:rsidRDefault="00E345FF" w:rsidP="0097225A">
      <w:pPr>
        <w:pStyle w:val="Comment"/>
        <w:ind w:left="1134" w:hanging="1134"/>
      </w:pPr>
      <w:r w:rsidRPr="00465989">
        <w:rPr>
          <w:b/>
        </w:rPr>
        <w:t>Comment:</w:t>
      </w:r>
      <w:r>
        <w:t xml:space="preserve"> </w:t>
      </w:r>
      <w:r w:rsidR="00DF6E0B" w:rsidRPr="00DF6E0B">
        <w:t xml:space="preserve">The sponsor is requested to include a summary of Australian specific data of off-label </w:t>
      </w:r>
      <w:proofErr w:type="spellStart"/>
      <w:r w:rsidR="00DF6E0B" w:rsidRPr="00DF6E0B">
        <w:t>anakinra</w:t>
      </w:r>
      <w:proofErr w:type="spellEnd"/>
      <w:r w:rsidR="00DF6E0B" w:rsidRPr="00DF6E0B">
        <w:t xml:space="preserve"> use in SJIA.</w:t>
      </w:r>
    </w:p>
    <w:p w:rsidR="00E345FF" w:rsidRDefault="00DF6E0B" w:rsidP="0097225A">
      <w:pPr>
        <w:pStyle w:val="Numberbullet0"/>
      </w:pPr>
      <w:r w:rsidRPr="00DF6E0B">
        <w:lastRenderedPageBreak/>
        <w:t xml:space="preserve">The dataset is very small. </w:t>
      </w:r>
      <w:proofErr w:type="spellStart"/>
      <w:r w:rsidRPr="00DF6E0B">
        <w:t>Tocilizumab</w:t>
      </w:r>
      <w:proofErr w:type="spellEnd"/>
      <w:r w:rsidRPr="00DF6E0B">
        <w:t xml:space="preserve"> (IL-6Ra) and </w:t>
      </w:r>
      <w:proofErr w:type="spellStart"/>
      <w:r w:rsidRPr="00DF6E0B">
        <w:t>canakinumab</w:t>
      </w:r>
      <w:proofErr w:type="spellEnd"/>
      <w:r w:rsidRPr="00DF6E0B">
        <w:t xml:space="preserve"> (IL-1 Ra) are currently approved biological agents for use in SJIA. In particular, the dataset supporting </w:t>
      </w:r>
      <w:proofErr w:type="spellStart"/>
      <w:r w:rsidRPr="00DF6E0B">
        <w:t>canakinumab</w:t>
      </w:r>
      <w:proofErr w:type="spellEnd"/>
      <w:r w:rsidRPr="00DF6E0B">
        <w:t xml:space="preserve"> was larger and more organised than presented here for </w:t>
      </w:r>
      <w:proofErr w:type="spellStart"/>
      <w:r w:rsidRPr="00DF6E0B">
        <w:t>anakinra</w:t>
      </w:r>
      <w:proofErr w:type="spellEnd"/>
      <w:r w:rsidRPr="00DF6E0B">
        <w:t xml:space="preserve">. In addition, </w:t>
      </w:r>
      <w:proofErr w:type="spellStart"/>
      <w:r w:rsidRPr="00DF6E0B">
        <w:t>canakinumab</w:t>
      </w:r>
      <w:proofErr w:type="spellEnd"/>
      <w:r w:rsidRPr="00DF6E0B">
        <w:t xml:space="preserve"> provides distinct advantage in terms of administration regime (SC every 4 weeks) compa</w:t>
      </w:r>
      <w:r w:rsidR="001974C5">
        <w:t xml:space="preserve">red to </w:t>
      </w:r>
      <w:proofErr w:type="spellStart"/>
      <w:r w:rsidR="001974C5">
        <w:t>anakinra</w:t>
      </w:r>
      <w:proofErr w:type="spellEnd"/>
      <w:r w:rsidR="001974C5">
        <w:t xml:space="preserve"> (SC every day).</w:t>
      </w:r>
    </w:p>
    <w:p w:rsidR="00DF6E0B" w:rsidRPr="00DF6E0B" w:rsidRDefault="00E345FF" w:rsidP="001974C5">
      <w:pPr>
        <w:pStyle w:val="Comment"/>
        <w:ind w:left="1134" w:hanging="1134"/>
      </w:pPr>
      <w:r w:rsidRPr="00465989">
        <w:rPr>
          <w:b/>
        </w:rPr>
        <w:t>Comment:</w:t>
      </w:r>
      <w:r>
        <w:t xml:space="preserve"> </w:t>
      </w:r>
      <w:r w:rsidR="00465989">
        <w:t>T</w:t>
      </w:r>
      <w:r w:rsidR="00DF6E0B" w:rsidRPr="00DF6E0B">
        <w:t xml:space="preserve">he sponsor is requested to comment whether every day administration regime of </w:t>
      </w:r>
      <w:proofErr w:type="spellStart"/>
      <w:r w:rsidR="00DF6E0B" w:rsidRPr="00DF6E0B">
        <w:t>anakinra</w:t>
      </w:r>
      <w:proofErr w:type="spellEnd"/>
      <w:r w:rsidR="00DF6E0B" w:rsidRPr="00DF6E0B">
        <w:t xml:space="preserve"> has been re-examined since its first worldwide approval, in </w:t>
      </w:r>
      <w:r w:rsidR="001974C5" w:rsidRPr="00DF6E0B">
        <w:t>particular</w:t>
      </w:r>
      <w:r w:rsidR="00DF6E0B" w:rsidRPr="00DF6E0B">
        <w:t xml:space="preserve"> whether sponsor is in possession of any data indicating that a less frequent administrat</w:t>
      </w:r>
      <w:r w:rsidR="00165081">
        <w:t>ion may or may not be effective</w:t>
      </w:r>
      <w:r w:rsidR="00DF6E0B" w:rsidRPr="00DF6E0B">
        <w:t xml:space="preserve"> given its biological effect.</w:t>
      </w:r>
    </w:p>
    <w:p w:rsidR="00DF6E0B" w:rsidRPr="00DF6E0B" w:rsidRDefault="00DF6E0B" w:rsidP="0097225A">
      <w:pPr>
        <w:pStyle w:val="Numberbullet0"/>
      </w:pPr>
      <w:r w:rsidRPr="00DF6E0B">
        <w:t xml:space="preserve">SJIA is most often diagnosed at or after 2 years of age. This was reflected in the pivotal trial where the age </w:t>
      </w:r>
      <w:r w:rsidR="001974C5">
        <w:t xml:space="preserve">of participating patients was 2 to </w:t>
      </w:r>
      <w:r w:rsidRPr="00DF6E0B">
        <w:t>16 years. This age limitation is also reflected in the previously approved agents for SJIA in Australia. Hence a restriction to age 2 years and above is considered appropriate.</w:t>
      </w:r>
    </w:p>
    <w:p w:rsidR="00DF6E0B" w:rsidRPr="00DF6E0B" w:rsidRDefault="00DF6E0B" w:rsidP="0097225A">
      <w:pPr>
        <w:pStyle w:val="Numberbullet0"/>
      </w:pPr>
      <w:r w:rsidRPr="00DF6E0B">
        <w:t xml:space="preserve">The data were inadequate for evaluation of combination therapy with DMARDs including methotrexate. However, qualification of use as second line therapy (inadequate response to DMARDs) may be appropriate. Similarly, withdrawal or </w:t>
      </w:r>
      <w:r w:rsidR="001974C5" w:rsidRPr="00DF6E0B">
        <w:t>interruption</w:t>
      </w:r>
      <w:r w:rsidRPr="00DF6E0B">
        <w:t xml:space="preserve"> of treatment was not studied but recommendations on theoretical grounds may be justified.</w:t>
      </w:r>
    </w:p>
    <w:p w:rsidR="00DF6E0B" w:rsidRPr="00DF6E0B" w:rsidRDefault="00DF6E0B" w:rsidP="0097225A">
      <w:pPr>
        <w:pStyle w:val="Numberbullet0"/>
      </w:pPr>
      <w:r w:rsidRPr="00DF6E0B">
        <w:t>The dose regimen used in the pivotal study (2</w:t>
      </w:r>
      <w:r w:rsidR="001974C5">
        <w:t xml:space="preserve"> </w:t>
      </w:r>
      <w:r w:rsidRPr="00DF6E0B">
        <w:t>mg/kg/day SC to a maximum of 100</w:t>
      </w:r>
      <w:r w:rsidR="008B473E">
        <w:t> </w:t>
      </w:r>
      <w:r w:rsidRPr="00DF6E0B">
        <w:t>mg/day) was not based on prior dose finding. The proposed maximum dose (4</w:t>
      </w:r>
      <w:r w:rsidR="001974C5">
        <w:t> </w:t>
      </w:r>
      <w:r w:rsidRPr="00DF6E0B">
        <w:t>mg/kg/day) was also not used in this study.</w:t>
      </w:r>
    </w:p>
    <w:p w:rsidR="00DF6E0B" w:rsidRPr="00DF6E0B" w:rsidRDefault="00DF6E0B" w:rsidP="0097225A">
      <w:pPr>
        <w:ind w:left="454"/>
      </w:pPr>
      <w:r w:rsidRPr="00DF6E0B">
        <w:t>The PK/PD model (</w:t>
      </w:r>
      <w:proofErr w:type="spellStart"/>
      <w:r w:rsidRPr="00DF6E0B">
        <w:t>Urien</w:t>
      </w:r>
      <w:proofErr w:type="spellEnd"/>
      <w:r w:rsidRPr="00DF6E0B">
        <w:t xml:space="preserve"> et al</w:t>
      </w:r>
      <w:r w:rsidR="006D3E76">
        <w:t>. (2013)</w:t>
      </w:r>
      <w:r w:rsidRPr="00DF6E0B">
        <w:t xml:space="preserve">) supports </w:t>
      </w:r>
      <w:proofErr w:type="spellStart"/>
      <w:r w:rsidRPr="00DF6E0B">
        <w:t>anakinra</w:t>
      </w:r>
      <w:proofErr w:type="spellEnd"/>
      <w:r w:rsidRPr="00DF6E0B">
        <w:t xml:space="preserve"> </w:t>
      </w:r>
      <w:r w:rsidR="008B473E">
        <w:t>3 mg</w:t>
      </w:r>
      <w:r w:rsidRPr="00DF6E0B">
        <w:t>/kg/day for body weight &lt;</w:t>
      </w:r>
      <w:r w:rsidR="008B473E">
        <w:t> </w:t>
      </w:r>
      <w:r w:rsidRPr="00DF6E0B">
        <w:t>10</w:t>
      </w:r>
      <w:r w:rsidR="008B473E">
        <w:t> </w:t>
      </w:r>
      <w:r w:rsidRPr="00DF6E0B">
        <w:t>kg</w:t>
      </w:r>
      <w:r w:rsidR="001974C5">
        <w:t>, 2 mg/kg/day for body weight 10</w:t>
      </w:r>
      <w:r w:rsidR="008B473E">
        <w:t xml:space="preserve"> </w:t>
      </w:r>
      <w:r w:rsidR="001974C5">
        <w:t xml:space="preserve">to </w:t>
      </w:r>
      <w:r w:rsidRPr="00DF6E0B">
        <w:t>50</w:t>
      </w:r>
      <w:r w:rsidR="001974C5">
        <w:t xml:space="preserve"> </w:t>
      </w:r>
      <w:r w:rsidRPr="00DF6E0B">
        <w:t>kg and 1</w:t>
      </w:r>
      <w:r w:rsidR="001974C5">
        <w:t xml:space="preserve"> </w:t>
      </w:r>
      <w:r w:rsidRPr="00DF6E0B">
        <w:t>mg/kg up to a maximum of 100</w:t>
      </w:r>
      <w:r w:rsidR="001974C5">
        <w:t xml:space="preserve"> </w:t>
      </w:r>
      <w:r w:rsidRPr="00DF6E0B">
        <w:t>mg/day for body weight &gt;</w:t>
      </w:r>
      <w:r w:rsidR="001974C5">
        <w:t xml:space="preserve"> </w:t>
      </w:r>
      <w:r w:rsidRPr="00DF6E0B">
        <w:t>50</w:t>
      </w:r>
      <w:r w:rsidR="001974C5">
        <w:t xml:space="preserve"> </w:t>
      </w:r>
      <w:r w:rsidRPr="00DF6E0B">
        <w:t>kg. The use of C</w:t>
      </w:r>
      <w:r w:rsidR="008C6F8C">
        <w:t>RP (</w:t>
      </w:r>
      <w:r w:rsidR="008C6F8C" w:rsidRPr="008B473E">
        <w:t>target plasma level ≤ 10</w:t>
      </w:r>
      <w:r w:rsidR="00165081">
        <w:t xml:space="preserve"> </w:t>
      </w:r>
      <w:r w:rsidR="008C6F8C" w:rsidRPr="008B473E">
        <w:t>mg/L</w:t>
      </w:r>
      <w:r w:rsidRPr="008B473E">
        <w:t xml:space="preserve">) </w:t>
      </w:r>
      <w:r w:rsidRPr="00DF6E0B">
        <w:t xml:space="preserve">as biological marker for correlation with mean plasma </w:t>
      </w:r>
      <w:proofErr w:type="spellStart"/>
      <w:r w:rsidRPr="00DF6E0B">
        <w:t>anakinra</w:t>
      </w:r>
      <w:proofErr w:type="spellEnd"/>
      <w:r w:rsidRPr="00DF6E0B">
        <w:t xml:space="preserve"> level is considered appropriate for SJIA.</w:t>
      </w:r>
    </w:p>
    <w:p w:rsidR="00DF6E0B" w:rsidRPr="00DF6E0B" w:rsidRDefault="00DF6E0B" w:rsidP="0097225A">
      <w:pPr>
        <w:ind w:left="454"/>
      </w:pPr>
      <w:r w:rsidRPr="00DF6E0B">
        <w:t>However, as recommended above if the indication is res</w:t>
      </w:r>
      <w:r w:rsidR="001974C5">
        <w:t>tricted to SJIA patients aged 2 </w:t>
      </w:r>
      <w:r w:rsidRPr="00DF6E0B">
        <w:t>years and above, the &lt;</w:t>
      </w:r>
      <w:r w:rsidR="001974C5">
        <w:t xml:space="preserve"> </w:t>
      </w:r>
      <w:r w:rsidR="005354B4">
        <w:t>10 kg</w:t>
      </w:r>
      <w:r w:rsidRPr="00DF6E0B">
        <w:t xml:space="preserve"> body weight category may not be relevant. Hence, the proposed dose (‘2</w:t>
      </w:r>
      <w:r w:rsidR="001974C5">
        <w:t xml:space="preserve"> </w:t>
      </w:r>
      <w:r w:rsidRPr="00DF6E0B">
        <w:t xml:space="preserve">mg/kg/day up to </w:t>
      </w:r>
      <w:r w:rsidR="001974C5">
        <w:t>100 mg</w:t>
      </w:r>
      <w:r w:rsidRPr="00DF6E0B">
        <w:t xml:space="preserve">/day by SC injection’) is considered consistent with the model both as starting and </w:t>
      </w:r>
      <w:r w:rsidR="001974C5" w:rsidRPr="00DF6E0B">
        <w:t>maintenance</w:t>
      </w:r>
      <w:r w:rsidRPr="00DF6E0B">
        <w:t xml:space="preserve"> dose.</w:t>
      </w:r>
    </w:p>
    <w:p w:rsidR="008B473E" w:rsidRDefault="00DF6E0B" w:rsidP="0097225A">
      <w:pPr>
        <w:pStyle w:val="Numberbullet0"/>
      </w:pPr>
      <w:r w:rsidRPr="00DF6E0B">
        <w:t xml:space="preserve">The higher doses, </w:t>
      </w:r>
      <w:r w:rsidR="001974C5">
        <w:t>4 mg</w:t>
      </w:r>
      <w:r w:rsidRPr="00DF6E0B">
        <w:t>/kg proposed by sponsor and up to 10</w:t>
      </w:r>
      <w:r w:rsidR="00721983">
        <w:t xml:space="preserve"> </w:t>
      </w:r>
      <w:r w:rsidRPr="00DF6E0B">
        <w:t xml:space="preserve">mg/kg proposed by the clinical evaluator, are not supported in SJIA. The reasons are </w:t>
      </w:r>
    </w:p>
    <w:p w:rsidR="008B473E" w:rsidRDefault="00DF6E0B" w:rsidP="003016B1">
      <w:pPr>
        <w:pStyle w:val="Numberbullet2"/>
      </w:pPr>
      <w:r w:rsidRPr="00DF6E0B">
        <w:t>these doses were not used in the pivotal study which contributed all SJ</w:t>
      </w:r>
      <w:r w:rsidR="008B473E">
        <w:t>IA patients to the PK/PD model</w:t>
      </w:r>
    </w:p>
    <w:p w:rsidR="008B473E" w:rsidRDefault="00DF6E0B" w:rsidP="008B473E">
      <w:pPr>
        <w:pStyle w:val="Numberbullet2"/>
      </w:pPr>
      <w:r w:rsidRPr="00DF6E0B">
        <w:t>higher doses in the model were contributed by patients with other auto</w:t>
      </w:r>
      <w:r w:rsidR="00721983">
        <w:t xml:space="preserve"> inflammatory syndromes (n</w:t>
      </w:r>
      <w:r w:rsidRPr="00DF6E0B">
        <w:t>ote</w:t>
      </w:r>
      <w:r w:rsidR="008B473E">
        <w:t xml:space="preserve"> higher </w:t>
      </w:r>
      <w:r w:rsidR="00165081">
        <w:t xml:space="preserve">dose is </w:t>
      </w:r>
      <w:r w:rsidR="008B473E">
        <w:t>approved in CAPS)</w:t>
      </w:r>
    </w:p>
    <w:p w:rsidR="008B473E" w:rsidRDefault="00DF6E0B" w:rsidP="008B473E">
      <w:pPr>
        <w:pStyle w:val="Numberbullet2"/>
      </w:pPr>
      <w:r w:rsidRPr="00DF6E0B">
        <w:t xml:space="preserve">the model predictions (mean doses) do not </w:t>
      </w:r>
      <w:r w:rsidR="00721983">
        <w:t>support these higher doses, and</w:t>
      </w:r>
    </w:p>
    <w:p w:rsidR="008B473E" w:rsidRDefault="00DF6E0B" w:rsidP="008B473E">
      <w:pPr>
        <w:pStyle w:val="Numberbullet2"/>
      </w:pPr>
      <w:proofErr w:type="gramStart"/>
      <w:r w:rsidRPr="00DF6E0B">
        <w:t>in</w:t>
      </w:r>
      <w:proofErr w:type="gramEnd"/>
      <w:r w:rsidRPr="00DF6E0B">
        <w:t xml:space="preserve"> some patients these will lead to absolute drug amount higher than the adult approved dose (</w:t>
      </w:r>
      <w:r w:rsidR="001974C5">
        <w:t>100 mg</w:t>
      </w:r>
      <w:r w:rsidRPr="00DF6E0B">
        <w:t>/kg/day</w:t>
      </w:r>
      <w:r w:rsidR="008B473E">
        <w:t>) in RA.</w:t>
      </w:r>
    </w:p>
    <w:p w:rsidR="00DF6E0B" w:rsidRPr="008B473E" w:rsidRDefault="00DF6E0B" w:rsidP="008B473E">
      <w:pPr>
        <w:ind w:left="454"/>
      </w:pPr>
      <w:r w:rsidRPr="008B473E">
        <w:t xml:space="preserve">It is argued that failure of response at the predicted mean dose </w:t>
      </w:r>
      <w:r w:rsidR="00721983">
        <w:t xml:space="preserve">levels should be considered non </w:t>
      </w:r>
      <w:r w:rsidRPr="008B473E">
        <w:t>response and grounds for discontinuation of treatment.</w:t>
      </w:r>
    </w:p>
    <w:p w:rsidR="00DF6E0B" w:rsidRPr="00DF6E0B" w:rsidRDefault="00DF6E0B" w:rsidP="00721983">
      <w:pPr>
        <w:pStyle w:val="Numberbullet0"/>
      </w:pPr>
      <w:r w:rsidRPr="00DF6E0B">
        <w:t>Pending advice from the ACPM, the following indication is supported:</w:t>
      </w:r>
    </w:p>
    <w:p w:rsidR="00DF6E0B" w:rsidRPr="00E345FF" w:rsidRDefault="00DF6E0B" w:rsidP="00721983">
      <w:pPr>
        <w:ind w:left="720"/>
        <w:rPr>
          <w:i/>
        </w:rPr>
      </w:pPr>
      <w:r w:rsidRPr="00E345FF">
        <w:rPr>
          <w:i/>
        </w:rPr>
        <w:t>For the treatment of active Systemic Juvenile Idiopathic Arthritis (SJIA) in patients 2 years and above who have failed to respond adequately to non-biological DMARDs.</w:t>
      </w:r>
    </w:p>
    <w:p w:rsidR="00DF6E0B" w:rsidRPr="00721983" w:rsidRDefault="00DF6E0B" w:rsidP="00721983">
      <w:pPr>
        <w:ind w:left="425"/>
      </w:pPr>
      <w:r w:rsidRPr="00721983">
        <w:t xml:space="preserve">The recommended dose in SJIA is </w:t>
      </w:r>
      <w:r w:rsidR="002429B6" w:rsidRPr="00721983">
        <w:t>2 mg</w:t>
      </w:r>
      <w:r w:rsidRPr="00721983">
        <w:t xml:space="preserve">/kg/day up to a maximum of </w:t>
      </w:r>
      <w:r w:rsidR="001974C5" w:rsidRPr="00721983">
        <w:t>100 mg</w:t>
      </w:r>
      <w:r w:rsidRPr="00721983">
        <w:t>/day by SC injection.</w:t>
      </w:r>
    </w:p>
    <w:p w:rsidR="00DF6E0B" w:rsidRPr="00721983" w:rsidRDefault="00DF6E0B" w:rsidP="00721983">
      <w:pPr>
        <w:ind w:left="425"/>
      </w:pPr>
      <w:r w:rsidRPr="00721983">
        <w:lastRenderedPageBreak/>
        <w:t>Treatment should be undertaken by physicians experienced in the treatment of SJIA. Decisions should be guided by clinical outcomes including laboratory measures. The treating physician should consider whether patients without clinical improvement should co</w:t>
      </w:r>
      <w:r w:rsidR="00721983">
        <w:t xml:space="preserve">ntinue treatment with </w:t>
      </w:r>
      <w:proofErr w:type="spellStart"/>
      <w:r w:rsidR="00721983">
        <w:t>anakinra</w:t>
      </w:r>
      <w:proofErr w:type="spellEnd"/>
      <w:r w:rsidR="00721983">
        <w:t>.</w:t>
      </w:r>
    </w:p>
    <w:p w:rsidR="00D23139" w:rsidRDefault="00D23139" w:rsidP="00D23139">
      <w:pPr>
        <w:pStyle w:val="Heading4"/>
      </w:pPr>
      <w:bookmarkStart w:id="163" w:name="_Toc196046505"/>
      <w:bookmarkStart w:id="164" w:name="_Toc196046949"/>
      <w:bookmarkEnd w:id="155"/>
      <w:r w:rsidRPr="00D23139">
        <w:t>Proposed action</w:t>
      </w:r>
    </w:p>
    <w:p w:rsidR="00453997" w:rsidRPr="00453997" w:rsidRDefault="00453997" w:rsidP="00453997">
      <w:r w:rsidRPr="00453997">
        <w:t>The Delegate had</w:t>
      </w:r>
      <w:r>
        <w:t xml:space="preserve"> no reason to say, at the</w:t>
      </w:r>
      <w:r w:rsidRPr="00453997">
        <w:t xml:space="preserve"> time, that the application for </w:t>
      </w:r>
      <w:proofErr w:type="spellStart"/>
      <w:r w:rsidRPr="00453997">
        <w:t>Kineret</w:t>
      </w:r>
      <w:proofErr w:type="spellEnd"/>
      <w:r w:rsidRPr="00453997">
        <w:t xml:space="preserve"> (</w:t>
      </w:r>
      <w:proofErr w:type="spellStart"/>
      <w:r w:rsidRPr="00453997">
        <w:t>anakinra</w:t>
      </w:r>
      <w:proofErr w:type="spellEnd"/>
      <w:r w:rsidRPr="00453997">
        <w:t xml:space="preserve"> 100 mg/0.67</w:t>
      </w:r>
      <w:r w:rsidR="00165081">
        <w:t xml:space="preserve"> </w:t>
      </w:r>
      <w:r w:rsidRPr="00453997">
        <w:t>mL) should not be approved for registration.</w:t>
      </w:r>
    </w:p>
    <w:p w:rsidR="00D23139" w:rsidRDefault="00D23139" w:rsidP="00D23139">
      <w:pPr>
        <w:pStyle w:val="Heading4"/>
      </w:pPr>
      <w:r w:rsidRPr="00D23139">
        <w:t>Request for ACPM advice</w:t>
      </w:r>
    </w:p>
    <w:p w:rsidR="00E345FF" w:rsidRPr="00E345FF" w:rsidRDefault="00165081" w:rsidP="00E345FF">
      <w:r>
        <w:t>The c</w:t>
      </w:r>
      <w:r w:rsidR="00E345FF" w:rsidRPr="00E345FF">
        <w:t>ommittee is requested to provide advice on the following specific issues:</w:t>
      </w:r>
    </w:p>
    <w:p w:rsidR="00E345FF" w:rsidRPr="00E345FF" w:rsidRDefault="00E345FF" w:rsidP="001D744A">
      <w:pPr>
        <w:pStyle w:val="Numberbullet0"/>
        <w:numPr>
          <w:ilvl w:val="0"/>
          <w:numId w:val="6"/>
        </w:numPr>
      </w:pPr>
      <w:r w:rsidRPr="00E345FF">
        <w:t>Do</w:t>
      </w:r>
      <w:r w:rsidR="00165081">
        <w:t>es the c</w:t>
      </w:r>
      <w:r w:rsidRPr="00E345FF">
        <w:t xml:space="preserve">ommittee consider the supporting dataset sufficient for approval of </w:t>
      </w:r>
      <w:proofErr w:type="spellStart"/>
      <w:r w:rsidRPr="00E345FF">
        <w:t>anakinra</w:t>
      </w:r>
      <w:proofErr w:type="spellEnd"/>
      <w:r w:rsidRPr="00E345FF">
        <w:t xml:space="preserve"> in SJIA patients aged 2 years and above?</w:t>
      </w:r>
    </w:p>
    <w:p w:rsidR="00E345FF" w:rsidRPr="00E345FF" w:rsidRDefault="00E345FF" w:rsidP="001D744A">
      <w:pPr>
        <w:pStyle w:val="Numberbullet0"/>
        <w:numPr>
          <w:ilvl w:val="0"/>
          <w:numId w:val="6"/>
        </w:numPr>
      </w:pPr>
      <w:r w:rsidRPr="00E345FF">
        <w:t xml:space="preserve">Would a </w:t>
      </w:r>
      <w:r w:rsidR="00165081">
        <w:t>second</w:t>
      </w:r>
      <w:r w:rsidRPr="00E345FF">
        <w:t xml:space="preserve"> line indication (failed response to non-biological agents) and broad recommendation (without specifying concomitant use with methotrexate) </w:t>
      </w:r>
      <w:r w:rsidR="00165081">
        <w:t xml:space="preserve">be </w:t>
      </w:r>
      <w:r w:rsidRPr="00E345FF">
        <w:t>clinically appropriate?</w:t>
      </w:r>
    </w:p>
    <w:p w:rsidR="00E345FF" w:rsidRPr="00E345FF" w:rsidRDefault="00165081" w:rsidP="001D744A">
      <w:pPr>
        <w:pStyle w:val="Numberbullet0"/>
        <w:numPr>
          <w:ilvl w:val="0"/>
          <w:numId w:val="6"/>
        </w:numPr>
      </w:pPr>
      <w:r>
        <w:t>Is the D</w:t>
      </w:r>
      <w:r w:rsidR="00E345FF" w:rsidRPr="00E345FF">
        <w:t>elegate’s recommended restricted dosing regimen (</w:t>
      </w:r>
      <w:r w:rsidR="002429B6">
        <w:t>2 mg</w:t>
      </w:r>
      <w:r w:rsidR="00E345FF" w:rsidRPr="00E345FF">
        <w:t xml:space="preserve">/kg/day up to </w:t>
      </w:r>
      <w:r w:rsidR="001974C5">
        <w:t>100 mg</w:t>
      </w:r>
      <w:r w:rsidR="00E345FF" w:rsidRPr="00E345FF">
        <w:t>/day SC) consistent with the data and the PK/PD model?</w:t>
      </w:r>
    </w:p>
    <w:p w:rsidR="00E345FF" w:rsidRPr="00E345FF" w:rsidRDefault="00165081" w:rsidP="001D744A">
      <w:pPr>
        <w:pStyle w:val="Numberbullet0"/>
        <w:numPr>
          <w:ilvl w:val="0"/>
          <w:numId w:val="6"/>
        </w:numPr>
      </w:pPr>
      <w:r>
        <w:t>Does the c</w:t>
      </w:r>
      <w:r w:rsidR="00E345FF" w:rsidRPr="00E345FF">
        <w:t>ommittee have further specific recommendations in regard to treatment withdrawal in case of non-response (such as after 4 weeks of treatment) and cessation of treatment in case of responders (such as at 3 months)?</w:t>
      </w:r>
      <w:r w:rsidR="00E345FF">
        <w:t xml:space="preserve"> Would </w:t>
      </w:r>
      <w:proofErr w:type="gramStart"/>
      <w:r w:rsidR="00E345FF">
        <w:t>ta</w:t>
      </w:r>
      <w:r w:rsidR="00E345FF" w:rsidRPr="00E345FF">
        <w:t>pering</w:t>
      </w:r>
      <w:proofErr w:type="gramEnd"/>
      <w:r w:rsidR="00E345FF" w:rsidRPr="00E345FF">
        <w:t xml:space="preserve"> (such as once every other day dosing for one month) be appropriate prior to ceasing?</w:t>
      </w:r>
    </w:p>
    <w:p w:rsidR="00E345FF" w:rsidRPr="00E345FF" w:rsidRDefault="00165081" w:rsidP="00E345FF">
      <w:r>
        <w:t>The c</w:t>
      </w:r>
      <w:r w:rsidR="00E345FF" w:rsidRPr="00E345FF">
        <w:t>ommittee is also requested to provide advice on any other issue that may be relevant to a decision on whether or not to approve this application.</w:t>
      </w:r>
    </w:p>
    <w:p w:rsidR="00D23139" w:rsidRDefault="00C44878" w:rsidP="00D23139">
      <w:pPr>
        <w:pStyle w:val="Heading4"/>
      </w:pPr>
      <w:r>
        <w:t xml:space="preserve">Response from </w:t>
      </w:r>
      <w:r w:rsidR="00FB1C42">
        <w:t>sponsor</w:t>
      </w:r>
    </w:p>
    <w:p w:rsidR="00C44878" w:rsidRPr="00C44878" w:rsidRDefault="00F26E20" w:rsidP="00C44878">
      <w:r>
        <w:t xml:space="preserve">The sponsor </w:t>
      </w:r>
      <w:r w:rsidR="00C44878" w:rsidRPr="00C44878">
        <w:t>support</w:t>
      </w:r>
      <w:r>
        <w:t>s</w:t>
      </w:r>
      <w:r w:rsidR="00C44878" w:rsidRPr="00C44878">
        <w:t xml:space="preserve"> the Delegate’s preliminary</w:t>
      </w:r>
      <w:r w:rsidR="00C44878">
        <w:t xml:space="preserve"> </w:t>
      </w:r>
      <w:r w:rsidR="00C44878" w:rsidRPr="00C44878">
        <w:t>recommendation that there is no reason that the ap</w:t>
      </w:r>
      <w:r w:rsidR="00C44878">
        <w:t xml:space="preserve">plication for </w:t>
      </w:r>
      <w:proofErr w:type="spellStart"/>
      <w:r w:rsidR="00C44878">
        <w:t>K</w:t>
      </w:r>
      <w:r>
        <w:t>ineret</w:t>
      </w:r>
      <w:proofErr w:type="spellEnd"/>
      <w:r w:rsidR="00C44878">
        <w:t xml:space="preserve"> (</w:t>
      </w:r>
      <w:proofErr w:type="spellStart"/>
      <w:r w:rsidR="00C44878">
        <w:t>anakinra</w:t>
      </w:r>
      <w:proofErr w:type="spellEnd"/>
      <w:r w:rsidR="00C44878">
        <w:t xml:space="preserve"> </w:t>
      </w:r>
      <w:r w:rsidR="001974C5">
        <w:t>100 mg</w:t>
      </w:r>
      <w:r w:rsidR="00C44878" w:rsidRPr="00C44878">
        <w:t>/0.67</w:t>
      </w:r>
      <w:r w:rsidR="00165081">
        <w:t xml:space="preserve"> </w:t>
      </w:r>
      <w:r w:rsidR="00C44878" w:rsidRPr="00C44878">
        <w:t>mL) should not be approved for registration.</w:t>
      </w:r>
    </w:p>
    <w:p w:rsidR="00C44878" w:rsidRPr="00C44878" w:rsidRDefault="00C44878" w:rsidP="00F26E20">
      <w:pPr>
        <w:pStyle w:val="Heading5"/>
      </w:pPr>
      <w:r w:rsidRPr="00C44878">
        <w:t>Delegate’s comment and recommendation</w:t>
      </w:r>
    </w:p>
    <w:p w:rsidR="00C44878" w:rsidRPr="00DC3BD0" w:rsidRDefault="00C44878" w:rsidP="001D744A">
      <w:pPr>
        <w:pStyle w:val="Numberbullet0"/>
        <w:numPr>
          <w:ilvl w:val="0"/>
          <w:numId w:val="10"/>
        </w:numPr>
        <w:rPr>
          <w:i/>
        </w:rPr>
      </w:pPr>
      <w:r w:rsidRPr="00DC3BD0">
        <w:rPr>
          <w:i/>
        </w:rPr>
        <w:t xml:space="preserve">The sponsor is requested to include a summary of Australian specific data of off label </w:t>
      </w:r>
      <w:proofErr w:type="spellStart"/>
      <w:r w:rsidRPr="00DC3BD0">
        <w:rPr>
          <w:i/>
        </w:rPr>
        <w:t>anakinra</w:t>
      </w:r>
      <w:proofErr w:type="spellEnd"/>
      <w:r w:rsidRPr="00DC3BD0">
        <w:rPr>
          <w:i/>
        </w:rPr>
        <w:t xml:space="preserve"> use in SJIA.</w:t>
      </w:r>
    </w:p>
    <w:p w:rsidR="00C44878" w:rsidRPr="00F26E20" w:rsidRDefault="00C44878" w:rsidP="00DC3BD0">
      <w:pPr>
        <w:pStyle w:val="Heading6"/>
      </w:pPr>
      <w:r w:rsidRPr="00F26E20">
        <w:t>Sponsor</w:t>
      </w:r>
      <w:r w:rsidR="00721983">
        <w:t>’</w:t>
      </w:r>
      <w:r w:rsidRPr="00F26E20">
        <w:t>s r</w:t>
      </w:r>
      <w:r w:rsidR="00F26E20">
        <w:t>esponse:</w:t>
      </w:r>
    </w:p>
    <w:p w:rsidR="00054BCA" w:rsidRDefault="00C44878" w:rsidP="00C44878">
      <w:proofErr w:type="spellStart"/>
      <w:r w:rsidRPr="00C44878">
        <w:t>Menarini</w:t>
      </w:r>
      <w:proofErr w:type="spellEnd"/>
      <w:r w:rsidR="00F26E20">
        <w:t xml:space="preserve"> only has access to data on off </w:t>
      </w:r>
      <w:r w:rsidRPr="00C44878">
        <w:t xml:space="preserve">label </w:t>
      </w:r>
      <w:proofErr w:type="spellStart"/>
      <w:r w:rsidRPr="00C44878">
        <w:t>an</w:t>
      </w:r>
      <w:r>
        <w:t>akinra</w:t>
      </w:r>
      <w:proofErr w:type="spellEnd"/>
      <w:r>
        <w:t xml:space="preserve"> use in SJIA in Australia </w:t>
      </w:r>
      <w:r w:rsidRPr="00C44878">
        <w:t>from the compassionate supply program via the special a</w:t>
      </w:r>
      <w:r>
        <w:t xml:space="preserve">ccess scheme. The compassionate </w:t>
      </w:r>
      <w:r w:rsidRPr="00C44878">
        <w:t xml:space="preserve">supply program was ceased at the end of 2012 when </w:t>
      </w:r>
      <w:proofErr w:type="spellStart"/>
      <w:r w:rsidRPr="00C44878">
        <w:t>Actem</w:t>
      </w:r>
      <w:r>
        <w:t>ra</w:t>
      </w:r>
      <w:proofErr w:type="spellEnd"/>
      <w:r>
        <w:t xml:space="preserve"> was listed in the </w:t>
      </w:r>
      <w:r w:rsidR="00165081">
        <w:t>pharmaceutical benefits scheme (</w:t>
      </w:r>
      <w:r>
        <w:t>PBS</w:t>
      </w:r>
      <w:r w:rsidR="00165081">
        <w:t>)</w:t>
      </w:r>
      <w:r>
        <w:t xml:space="preserve">. Until </w:t>
      </w:r>
      <w:r w:rsidR="00165081">
        <w:t xml:space="preserve">the </w:t>
      </w:r>
      <w:r w:rsidRPr="00C44878">
        <w:t xml:space="preserve">end of 2012, there were 10 patients in the program which </w:t>
      </w:r>
      <w:r>
        <w:t xml:space="preserve">have been treated with </w:t>
      </w:r>
      <w:proofErr w:type="spellStart"/>
      <w:r>
        <w:t>anakinra</w:t>
      </w:r>
      <w:proofErr w:type="spellEnd"/>
      <w:r>
        <w:t xml:space="preserve"> </w:t>
      </w:r>
      <w:r w:rsidR="00F26E20">
        <w:t xml:space="preserve">off </w:t>
      </w:r>
      <w:r w:rsidRPr="00C44878">
        <w:t>label in SJIA, which is aligned with the estimated num</w:t>
      </w:r>
      <w:r>
        <w:t xml:space="preserve">ber of patients quoted by </w:t>
      </w:r>
      <w:r w:rsidR="00F26E20">
        <w:t>a</w:t>
      </w:r>
      <w:r w:rsidR="00054BCA">
        <w:t>n Australian</w:t>
      </w:r>
      <w:r w:rsidRPr="00C44878">
        <w:t xml:space="preserve"> Paediatric Rheumatologist</w:t>
      </w:r>
      <w:r w:rsidR="00054BCA">
        <w:t>.</w:t>
      </w:r>
    </w:p>
    <w:p w:rsidR="0098281B" w:rsidRPr="00467029" w:rsidRDefault="00467029" w:rsidP="00467029">
      <w:pPr>
        <w:rPr>
          <w:i/>
        </w:rPr>
      </w:pPr>
      <w:r>
        <w:rPr>
          <w:i/>
        </w:rPr>
        <w:t>‘</w:t>
      </w:r>
      <w:r w:rsidR="000F28E6">
        <w:rPr>
          <w:i/>
        </w:rPr>
        <w:t xml:space="preserve">I, </w:t>
      </w:r>
      <w:r w:rsidR="000F28E6" w:rsidRPr="000F28E6">
        <w:t>[</w:t>
      </w:r>
      <w:r w:rsidR="0098281B" w:rsidRPr="000F28E6">
        <w:t>information redacted</w:t>
      </w:r>
      <w:r w:rsidR="000F28E6" w:rsidRPr="000F28E6">
        <w:t>]</w:t>
      </w:r>
      <w:r w:rsidR="0098281B" w:rsidRPr="00467029">
        <w:rPr>
          <w:i/>
        </w:rPr>
        <w:t xml:space="preserve">, am a legally qualified consultant paediatric rheumatologist practicing in the </w:t>
      </w:r>
      <w:r w:rsidR="000F28E6" w:rsidRPr="000F28E6">
        <w:t>[information redacted]</w:t>
      </w:r>
      <w:r w:rsidR="0098281B" w:rsidRPr="00467029">
        <w:rPr>
          <w:i/>
        </w:rPr>
        <w:t xml:space="preserve">. I hold the following qualifications: MBBS </w:t>
      </w:r>
      <w:r w:rsidR="000F28E6" w:rsidRPr="000F28E6">
        <w:t>[information redacted]</w:t>
      </w:r>
      <w:r w:rsidR="0098281B" w:rsidRPr="00467029">
        <w:rPr>
          <w:i/>
        </w:rPr>
        <w:t xml:space="preserve">, FRACP </w:t>
      </w:r>
      <w:r w:rsidR="000F28E6" w:rsidRPr="000F28E6">
        <w:t>[information redacted]</w:t>
      </w:r>
      <w:r w:rsidR="0098281B" w:rsidRPr="00467029">
        <w:rPr>
          <w:i/>
        </w:rPr>
        <w:t xml:space="preserve">. I have been involved with clinical paediatrics for 17 years and been a consultant paediatric rheumatologist for 9 years. I am employed on a full time basis as a consultant paediatric rheumatologist and paediatrician at </w:t>
      </w:r>
      <w:r w:rsidR="000F28E6" w:rsidRPr="000F28E6">
        <w:t>[information redacted]</w:t>
      </w:r>
      <w:r w:rsidR="0098281B" w:rsidRPr="00467029">
        <w:rPr>
          <w:i/>
        </w:rPr>
        <w:t xml:space="preserve">. I have been asked to provide an opinion regarding the utility of </w:t>
      </w:r>
      <w:proofErr w:type="spellStart"/>
      <w:r w:rsidR="0098281B" w:rsidRPr="00467029">
        <w:rPr>
          <w:i/>
        </w:rPr>
        <w:t>Anakinra</w:t>
      </w:r>
      <w:proofErr w:type="spellEnd"/>
      <w:r w:rsidR="0098281B" w:rsidRPr="00467029">
        <w:rPr>
          <w:i/>
        </w:rPr>
        <w:t xml:space="preserve"> in the management of systemic Juvenile Idiopathic Arthritis.</w:t>
      </w:r>
    </w:p>
    <w:p w:rsidR="0098281B" w:rsidRPr="00467029" w:rsidRDefault="0098281B" w:rsidP="00467029">
      <w:pPr>
        <w:rPr>
          <w:i/>
        </w:rPr>
      </w:pPr>
      <w:r w:rsidRPr="00467029">
        <w:rPr>
          <w:i/>
        </w:rPr>
        <w:lastRenderedPageBreak/>
        <w:t>Juvenile idiopathic arthritis (JIA) is the commonest auto-immune paediatric rheumatic disease. It has an estimated prevalence of 1: 1000 children, affecting approximately 4600 Australians un</w:t>
      </w:r>
      <w:r w:rsidR="00E2422D" w:rsidRPr="00467029">
        <w:rPr>
          <w:i/>
        </w:rPr>
        <w:t>der the age of 16 in 2004-05</w:t>
      </w:r>
      <w:r w:rsidR="00F17D80" w:rsidRPr="00467029">
        <w:rPr>
          <w:i/>
        </w:rPr>
        <w:t>.</w:t>
      </w:r>
      <w:r w:rsidR="00F17D80" w:rsidRPr="00467029">
        <w:rPr>
          <w:rStyle w:val="FootnoteReference"/>
          <w:i/>
        </w:rPr>
        <w:footnoteReference w:id="28"/>
      </w:r>
      <w:r w:rsidR="00453997" w:rsidRPr="00467029">
        <w:rPr>
          <w:i/>
        </w:rPr>
        <w:t xml:space="preserve"> Systemic JIA (S</w:t>
      </w:r>
      <w:r w:rsidRPr="00467029">
        <w:rPr>
          <w:i/>
        </w:rPr>
        <w:t xml:space="preserve">JIA) is a subtype of JIA comprising approximately 10% of all children with this condition. Its name is derived from the significant constitutional symptoms that may accompany the arthritis. These include debilitating fevers, rash, organ enlargement and abnormalities of blood tests indicating marked systemic inflammation. In the short-term these symptoms result in a significant deterioration in the physical functioning and quality of life of affected children, which persists until the disease is adequately controlled. This has traditionally been achieved using systemic corticosteroid therapy, as until recently there have been no alternative agents effective in controlling this aspect of the disease. For many patients the need for steroid therapy </w:t>
      </w:r>
      <w:r w:rsidR="00453997" w:rsidRPr="00467029">
        <w:rPr>
          <w:i/>
        </w:rPr>
        <w:t>is ongoing as more than 50% of S</w:t>
      </w:r>
      <w:r w:rsidRPr="00467029">
        <w:rPr>
          <w:i/>
        </w:rPr>
        <w:t xml:space="preserve">JIA patients have recurrent or </w:t>
      </w:r>
      <w:r w:rsidR="00F17D80" w:rsidRPr="00467029">
        <w:rPr>
          <w:i/>
        </w:rPr>
        <w:t>persistent disease</w:t>
      </w:r>
      <w:r w:rsidRPr="00467029">
        <w:rPr>
          <w:i/>
        </w:rPr>
        <w:t>.</w:t>
      </w:r>
      <w:r w:rsidR="00F17D80" w:rsidRPr="00467029">
        <w:rPr>
          <w:rStyle w:val="FootnoteReference"/>
          <w:i/>
        </w:rPr>
        <w:footnoteReference w:id="29"/>
      </w:r>
      <w:r w:rsidRPr="00467029">
        <w:rPr>
          <w:i/>
        </w:rPr>
        <w:t xml:space="preserve"> The result of both long-term steroid therapy and active disease has histor</w:t>
      </w:r>
      <w:r w:rsidR="00453997" w:rsidRPr="00467029">
        <w:rPr>
          <w:i/>
        </w:rPr>
        <w:t>ically been that patients with S</w:t>
      </w:r>
      <w:r w:rsidRPr="00467029">
        <w:rPr>
          <w:i/>
        </w:rPr>
        <w:t xml:space="preserve">JIA have a poor outcome, with almost two thirds reporting severe disability and marked impairment of physical and psychological functioning as adults, the most of any subtype of </w:t>
      </w:r>
      <w:proofErr w:type="gramStart"/>
      <w:r w:rsidRPr="00467029">
        <w:rPr>
          <w:i/>
        </w:rPr>
        <w:t>JIA.</w:t>
      </w:r>
      <w:r w:rsidR="00F17D80" w:rsidRPr="00467029">
        <w:rPr>
          <w:rStyle w:val="FootnoteReference"/>
          <w:i/>
        </w:rPr>
        <w:footnoteReference w:id="30"/>
      </w:r>
      <w:r w:rsidR="00F17D80" w:rsidRPr="00165081">
        <w:rPr>
          <w:i/>
          <w:vertAlign w:val="superscript"/>
        </w:rPr>
        <w:t>,</w:t>
      </w:r>
      <w:proofErr w:type="gramEnd"/>
      <w:r w:rsidR="00A41910">
        <w:rPr>
          <w:i/>
          <w:vertAlign w:val="superscript"/>
        </w:rPr>
        <w:t xml:space="preserve"> </w:t>
      </w:r>
      <w:r w:rsidR="00903F7A">
        <w:rPr>
          <w:i/>
          <w:vertAlign w:val="superscript"/>
        </w:rPr>
        <w:fldChar w:fldCharType="begin"/>
      </w:r>
      <w:r w:rsidR="00A41910">
        <w:rPr>
          <w:i/>
          <w:vertAlign w:val="superscript"/>
        </w:rPr>
        <w:instrText xml:space="preserve"> NOTEREF _Ref429577869 \h </w:instrText>
      </w:r>
      <w:r w:rsidR="00903F7A">
        <w:rPr>
          <w:i/>
          <w:vertAlign w:val="superscript"/>
        </w:rPr>
      </w:r>
      <w:r w:rsidR="00903F7A">
        <w:rPr>
          <w:i/>
          <w:vertAlign w:val="superscript"/>
        </w:rPr>
        <w:fldChar w:fldCharType="separate"/>
      </w:r>
      <w:r w:rsidR="00A41910">
        <w:rPr>
          <w:i/>
          <w:vertAlign w:val="superscript"/>
        </w:rPr>
        <w:t>22</w:t>
      </w:r>
      <w:r w:rsidR="00903F7A">
        <w:rPr>
          <w:i/>
          <w:vertAlign w:val="superscript"/>
        </w:rPr>
        <w:fldChar w:fldCharType="end"/>
      </w:r>
    </w:p>
    <w:p w:rsidR="0098281B" w:rsidRPr="00467029" w:rsidRDefault="0098281B" w:rsidP="00467029">
      <w:pPr>
        <w:rPr>
          <w:i/>
        </w:rPr>
      </w:pPr>
      <w:r w:rsidRPr="00467029">
        <w:rPr>
          <w:i/>
        </w:rPr>
        <w:t>Over the last 2 decades the pathogenesis of JIA has been the subject of intense research. F</w:t>
      </w:r>
      <w:r w:rsidR="00453997" w:rsidRPr="00467029">
        <w:rPr>
          <w:i/>
        </w:rPr>
        <w:t>or most subtypes, the cytokine tumour necrosis factor alpha (TNF</w:t>
      </w:r>
      <w:r w:rsidR="00E2422D" w:rsidRPr="00467029">
        <w:rPr>
          <w:i/>
        </w:rPr>
        <w:t>α</w:t>
      </w:r>
      <w:r w:rsidRPr="00467029">
        <w:rPr>
          <w:i/>
        </w:rPr>
        <w:t>) has been found to play a key role in promoting inflammation and its blockade with specific anti-TNF therapy effective in reducing arthritis ac</w:t>
      </w:r>
      <w:r w:rsidR="00F17D80" w:rsidRPr="00467029">
        <w:rPr>
          <w:i/>
        </w:rPr>
        <w:t>tivity</w:t>
      </w:r>
      <w:r w:rsidR="00453997" w:rsidRPr="00467029">
        <w:rPr>
          <w:i/>
        </w:rPr>
        <w:t>.</w:t>
      </w:r>
      <w:r w:rsidR="00F17D80" w:rsidRPr="00467029">
        <w:rPr>
          <w:rStyle w:val="FootnoteReference"/>
          <w:i/>
        </w:rPr>
        <w:footnoteReference w:id="31"/>
      </w:r>
      <w:r w:rsidR="00F17D80" w:rsidRPr="00165081">
        <w:rPr>
          <w:i/>
          <w:vertAlign w:val="superscript"/>
        </w:rPr>
        <w:t>,</w:t>
      </w:r>
      <w:r w:rsidR="00F17D80" w:rsidRPr="00467029">
        <w:rPr>
          <w:rStyle w:val="FootnoteReference"/>
          <w:i/>
        </w:rPr>
        <w:footnoteReference w:id="32"/>
      </w:r>
      <w:r w:rsidR="00F17D80" w:rsidRPr="00165081">
        <w:rPr>
          <w:i/>
          <w:vertAlign w:val="superscript"/>
        </w:rPr>
        <w:t>,</w:t>
      </w:r>
      <w:r w:rsidR="00F17D80" w:rsidRPr="00467029">
        <w:rPr>
          <w:rStyle w:val="FootnoteReference"/>
          <w:i/>
        </w:rPr>
        <w:footnoteReference w:id="33"/>
      </w:r>
      <w:r w:rsidR="00453997" w:rsidRPr="00467029">
        <w:rPr>
          <w:i/>
        </w:rPr>
        <w:t xml:space="preserve"> The effect of TNF</w:t>
      </w:r>
      <w:r w:rsidR="00E2422D" w:rsidRPr="00467029">
        <w:rPr>
          <w:i/>
        </w:rPr>
        <w:t>α</w:t>
      </w:r>
      <w:r w:rsidRPr="00467029">
        <w:rPr>
          <w:i/>
        </w:rPr>
        <w:t xml:space="preserve"> blockade on the systemic manifestations of </w:t>
      </w:r>
      <w:proofErr w:type="spellStart"/>
      <w:r w:rsidRPr="00467029">
        <w:rPr>
          <w:i/>
        </w:rPr>
        <w:t>sJIA</w:t>
      </w:r>
      <w:proofErr w:type="spellEnd"/>
      <w:r w:rsidRPr="00467029">
        <w:rPr>
          <w:i/>
        </w:rPr>
        <w:t xml:space="preserve">, typically the most disabling aspect of the disease, has never been assessed as </w:t>
      </w:r>
      <w:proofErr w:type="spellStart"/>
      <w:r w:rsidRPr="00467029">
        <w:rPr>
          <w:i/>
        </w:rPr>
        <w:t>sJIA</w:t>
      </w:r>
      <w:proofErr w:type="spellEnd"/>
      <w:r w:rsidRPr="00467029">
        <w:rPr>
          <w:i/>
        </w:rPr>
        <w:t xml:space="preserve"> patients with active systemic symptoms were excluded from the pivotal trials of TNF agents in JIA. Instead it is increasingly recogn</w:t>
      </w:r>
      <w:r w:rsidR="00B4566A">
        <w:rPr>
          <w:i/>
        </w:rPr>
        <w:t>is</w:t>
      </w:r>
      <w:r w:rsidRPr="00467029">
        <w:rPr>
          <w:i/>
        </w:rPr>
        <w:t>ed that the cytokines IL-1 and IL-6 play a central role in prom</w:t>
      </w:r>
      <w:r w:rsidR="00453997" w:rsidRPr="00467029">
        <w:rPr>
          <w:i/>
        </w:rPr>
        <w:t>oting systemic inflammation in S</w:t>
      </w:r>
      <w:r w:rsidR="00F17D80" w:rsidRPr="00467029">
        <w:rPr>
          <w:i/>
        </w:rPr>
        <w:t>JIA</w:t>
      </w:r>
      <w:r w:rsidRPr="00467029">
        <w:rPr>
          <w:i/>
        </w:rPr>
        <w:t>.</w:t>
      </w:r>
      <w:r w:rsidR="00F17D80" w:rsidRPr="00467029">
        <w:rPr>
          <w:rStyle w:val="FootnoteReference"/>
          <w:i/>
        </w:rPr>
        <w:footnoteReference w:id="34"/>
      </w:r>
      <w:r w:rsidR="00F17D80" w:rsidRPr="00165081">
        <w:rPr>
          <w:i/>
          <w:vertAlign w:val="superscript"/>
        </w:rPr>
        <w:t>,</w:t>
      </w:r>
      <w:r w:rsidR="00A41910" w:rsidRPr="00A41910">
        <w:rPr>
          <w:i/>
          <w:vertAlign w:val="superscript"/>
        </w:rPr>
        <w:t xml:space="preserve"> </w:t>
      </w:r>
      <w:r w:rsidR="00840FD9">
        <w:fldChar w:fldCharType="begin"/>
      </w:r>
      <w:r w:rsidR="00840FD9">
        <w:instrText xml:space="preserve"> NOTEREF _Ref430789530 \h  \* MERGEFORMAT </w:instrText>
      </w:r>
      <w:r w:rsidR="00840FD9">
        <w:fldChar w:fldCharType="separate"/>
      </w:r>
      <w:r w:rsidR="00A41910" w:rsidRPr="00A41910">
        <w:rPr>
          <w:i/>
          <w:vertAlign w:val="superscript"/>
        </w:rPr>
        <w:t>24</w:t>
      </w:r>
      <w:r w:rsidR="00840FD9">
        <w:fldChar w:fldCharType="end"/>
      </w:r>
      <w:r w:rsidRPr="00467029">
        <w:rPr>
          <w:i/>
        </w:rPr>
        <w:t xml:space="preserve"> Trials examining the response of </w:t>
      </w:r>
      <w:proofErr w:type="spellStart"/>
      <w:r w:rsidRPr="00467029">
        <w:rPr>
          <w:i/>
        </w:rPr>
        <w:t>sJIA</w:t>
      </w:r>
      <w:proofErr w:type="spellEnd"/>
      <w:r w:rsidRPr="00467029">
        <w:rPr>
          <w:i/>
        </w:rPr>
        <w:t xml:space="preserve"> patients to blockade of these cytokines have shown that they are safe and produce clinically relevant improvements in both the arthritis and systemic features, with an associated reduction and even elimination of the need for concurrent steroid therapy</w:t>
      </w:r>
      <w:r w:rsidR="00F17D80" w:rsidRPr="00467029">
        <w:rPr>
          <w:i/>
        </w:rPr>
        <w:t>.</w:t>
      </w:r>
      <w:r w:rsidR="00840FD9">
        <w:fldChar w:fldCharType="begin"/>
      </w:r>
      <w:r w:rsidR="00840FD9">
        <w:instrText xml:space="preserve"> NOTEREF _Ref429577869 \h  \* MERGEFORMAT </w:instrText>
      </w:r>
      <w:r w:rsidR="00840FD9">
        <w:fldChar w:fldCharType="separate"/>
      </w:r>
      <w:r w:rsidR="00A41910" w:rsidRPr="00A41910">
        <w:rPr>
          <w:i/>
          <w:vertAlign w:val="superscript"/>
        </w:rPr>
        <w:t>22</w:t>
      </w:r>
      <w:r w:rsidR="00840FD9">
        <w:fldChar w:fldCharType="end"/>
      </w:r>
      <w:r w:rsidR="00A41910">
        <w:rPr>
          <w:i/>
          <w:vertAlign w:val="superscript"/>
        </w:rPr>
        <w:t xml:space="preserve">, </w:t>
      </w:r>
      <w:r w:rsidR="00903F7A">
        <w:rPr>
          <w:i/>
          <w:vertAlign w:val="superscript"/>
        </w:rPr>
        <w:fldChar w:fldCharType="begin"/>
      </w:r>
      <w:r w:rsidR="00A41910">
        <w:rPr>
          <w:i/>
          <w:vertAlign w:val="superscript"/>
        </w:rPr>
        <w:instrText xml:space="preserve"> NOTEREF _Ref430789530 \h </w:instrText>
      </w:r>
      <w:r w:rsidR="00903F7A">
        <w:rPr>
          <w:i/>
          <w:vertAlign w:val="superscript"/>
        </w:rPr>
      </w:r>
      <w:r w:rsidR="00903F7A">
        <w:rPr>
          <w:i/>
          <w:vertAlign w:val="superscript"/>
        </w:rPr>
        <w:fldChar w:fldCharType="separate"/>
      </w:r>
      <w:r w:rsidR="00A41910">
        <w:rPr>
          <w:i/>
          <w:vertAlign w:val="superscript"/>
        </w:rPr>
        <w:t>24</w:t>
      </w:r>
      <w:r w:rsidR="00903F7A">
        <w:rPr>
          <w:i/>
          <w:vertAlign w:val="superscript"/>
        </w:rPr>
        <w:fldChar w:fldCharType="end"/>
      </w:r>
      <w:r w:rsidR="00A41910">
        <w:rPr>
          <w:i/>
          <w:vertAlign w:val="superscript"/>
        </w:rPr>
        <w:t xml:space="preserve">, </w:t>
      </w:r>
      <w:r w:rsidR="00903F7A">
        <w:rPr>
          <w:i/>
          <w:vertAlign w:val="superscript"/>
        </w:rPr>
        <w:fldChar w:fldCharType="begin"/>
      </w:r>
      <w:r w:rsidR="00A41910">
        <w:rPr>
          <w:i/>
          <w:vertAlign w:val="superscript"/>
        </w:rPr>
        <w:instrText xml:space="preserve"> NOTEREF _Ref430789696 \h </w:instrText>
      </w:r>
      <w:r w:rsidR="00903F7A">
        <w:rPr>
          <w:i/>
          <w:vertAlign w:val="superscript"/>
        </w:rPr>
      </w:r>
      <w:r w:rsidR="00903F7A">
        <w:rPr>
          <w:i/>
          <w:vertAlign w:val="superscript"/>
        </w:rPr>
        <w:fldChar w:fldCharType="separate"/>
      </w:r>
      <w:r w:rsidR="00A41910">
        <w:rPr>
          <w:i/>
          <w:vertAlign w:val="superscript"/>
        </w:rPr>
        <w:t>19</w:t>
      </w:r>
      <w:r w:rsidR="00903F7A">
        <w:rPr>
          <w:i/>
          <w:vertAlign w:val="superscript"/>
        </w:rPr>
        <w:fldChar w:fldCharType="end"/>
      </w:r>
      <w:r w:rsidR="00A41910">
        <w:rPr>
          <w:i/>
          <w:vertAlign w:val="superscript"/>
        </w:rPr>
        <w:t>,</w:t>
      </w:r>
      <w:r w:rsidR="00A41910" w:rsidRPr="00467029">
        <w:rPr>
          <w:i/>
          <w:vertAlign w:val="superscript"/>
        </w:rPr>
        <w:t xml:space="preserve"> </w:t>
      </w:r>
      <w:r w:rsidR="00F17D80" w:rsidRPr="00467029">
        <w:rPr>
          <w:i/>
          <w:vertAlign w:val="superscript"/>
        </w:rPr>
        <w:t>,</w:t>
      </w:r>
      <w:r w:rsidR="00F17D80" w:rsidRPr="00467029">
        <w:rPr>
          <w:rStyle w:val="FootnoteReference"/>
          <w:i/>
        </w:rPr>
        <w:footnoteReference w:id="35"/>
      </w:r>
      <w:r w:rsidR="00F17D80" w:rsidRPr="00467029">
        <w:rPr>
          <w:i/>
          <w:vertAlign w:val="superscript"/>
        </w:rPr>
        <w:t>,</w:t>
      </w:r>
      <w:r w:rsidR="00903F7A">
        <w:rPr>
          <w:i/>
          <w:vertAlign w:val="superscript"/>
        </w:rPr>
        <w:fldChar w:fldCharType="begin"/>
      </w:r>
      <w:r w:rsidR="00A41910">
        <w:rPr>
          <w:i/>
          <w:vertAlign w:val="superscript"/>
        </w:rPr>
        <w:instrText xml:space="preserve"> NOTEREF _Ref430789854 \h </w:instrText>
      </w:r>
      <w:r w:rsidR="00903F7A">
        <w:rPr>
          <w:i/>
          <w:vertAlign w:val="superscript"/>
        </w:rPr>
      </w:r>
      <w:r w:rsidR="00903F7A">
        <w:rPr>
          <w:i/>
          <w:vertAlign w:val="superscript"/>
        </w:rPr>
        <w:fldChar w:fldCharType="separate"/>
      </w:r>
      <w:r w:rsidR="00A41910">
        <w:rPr>
          <w:i/>
          <w:vertAlign w:val="superscript"/>
        </w:rPr>
        <w:t>27</w:t>
      </w:r>
      <w:r w:rsidR="00903F7A">
        <w:rPr>
          <w:i/>
          <w:vertAlign w:val="superscript"/>
        </w:rPr>
        <w:fldChar w:fldCharType="end"/>
      </w:r>
      <w:r w:rsidR="00165081">
        <w:rPr>
          <w:i/>
          <w:vertAlign w:val="superscript"/>
        </w:rPr>
        <w:t>,</w:t>
      </w:r>
      <w:r w:rsidR="00F17D80" w:rsidRPr="00467029">
        <w:rPr>
          <w:i/>
          <w:vertAlign w:val="superscript"/>
        </w:rPr>
        <w:t xml:space="preserve"> </w:t>
      </w:r>
      <w:r w:rsidR="00840FD9">
        <w:fldChar w:fldCharType="begin"/>
      </w:r>
      <w:r w:rsidR="00840FD9">
        <w:instrText xml:space="preserve"> NOTEREF _Ref430789889 \h  \* MERGEFORMAT </w:instrText>
      </w:r>
      <w:r w:rsidR="00840FD9">
        <w:fldChar w:fldCharType="separate"/>
      </w:r>
      <w:r w:rsidR="00F17D80" w:rsidRPr="00467029">
        <w:t>2</w:t>
      </w:r>
      <w:r w:rsidR="00840FD9">
        <w:fldChar w:fldCharType="end"/>
      </w:r>
      <w:r w:rsidRPr="00467029">
        <w:rPr>
          <w:i/>
        </w:rPr>
        <w:t xml:space="preserve"> In the case of </w:t>
      </w:r>
      <w:proofErr w:type="spellStart"/>
      <w:r w:rsidRPr="00467029">
        <w:rPr>
          <w:i/>
        </w:rPr>
        <w:t>anakinra</w:t>
      </w:r>
      <w:proofErr w:type="spellEnd"/>
      <w:r w:rsidRPr="00467029">
        <w:rPr>
          <w:i/>
        </w:rPr>
        <w:t xml:space="preserve"> (which blocks IL-1), these reports combined with t</w:t>
      </w:r>
      <w:r w:rsidR="00453997" w:rsidRPr="00467029">
        <w:rPr>
          <w:i/>
        </w:rPr>
        <w:t xml:space="preserve">he experience gained in the off </w:t>
      </w:r>
      <w:r w:rsidRPr="00467029">
        <w:rPr>
          <w:i/>
        </w:rPr>
        <w:t>label use of</w:t>
      </w:r>
      <w:r w:rsidR="00453997" w:rsidRPr="00467029">
        <w:rPr>
          <w:i/>
        </w:rPr>
        <w:t xml:space="preserve"> the drug in the management of S</w:t>
      </w:r>
      <w:r w:rsidRPr="00467029">
        <w:rPr>
          <w:i/>
        </w:rPr>
        <w:t xml:space="preserve">JIA in paediatric rheumatology centres around the world, including Australia, have </w:t>
      </w:r>
      <w:r w:rsidR="00E2422D" w:rsidRPr="00467029">
        <w:rPr>
          <w:i/>
        </w:rPr>
        <w:t>led</w:t>
      </w:r>
      <w:r w:rsidRPr="00467029">
        <w:rPr>
          <w:i/>
        </w:rPr>
        <w:t xml:space="preserve"> to its inclusion in both the American College of Rheumatology recomme</w:t>
      </w:r>
      <w:r w:rsidR="00453997" w:rsidRPr="00467029">
        <w:rPr>
          <w:i/>
        </w:rPr>
        <w:t>ndations for the management of S</w:t>
      </w:r>
      <w:r w:rsidRPr="00467029">
        <w:rPr>
          <w:i/>
        </w:rPr>
        <w:t>JIA and in the Consensus</w:t>
      </w:r>
      <w:r w:rsidR="00453997" w:rsidRPr="00467029">
        <w:rPr>
          <w:i/>
        </w:rPr>
        <w:t xml:space="preserve"> Treatment Plans for new-onset S</w:t>
      </w:r>
      <w:r w:rsidRPr="00467029">
        <w:rPr>
          <w:i/>
        </w:rPr>
        <w:t>JIA published by the North American Children's Arthritis and Rheumat</w:t>
      </w:r>
      <w:r w:rsidR="00A41910">
        <w:rPr>
          <w:i/>
        </w:rPr>
        <w:t>ology Research Alliance</w:t>
      </w:r>
      <w:r w:rsidRPr="00467029">
        <w:rPr>
          <w:i/>
        </w:rPr>
        <w:t>.</w:t>
      </w:r>
      <w:r w:rsidR="001D744A" w:rsidRPr="00467029">
        <w:rPr>
          <w:rStyle w:val="FootnoteReference"/>
          <w:i/>
        </w:rPr>
        <w:footnoteReference w:id="36"/>
      </w:r>
      <w:r w:rsidR="001D744A" w:rsidRPr="00467029">
        <w:rPr>
          <w:i/>
          <w:vertAlign w:val="superscript"/>
        </w:rPr>
        <w:t>,</w:t>
      </w:r>
      <w:r w:rsidR="001D744A" w:rsidRPr="00467029">
        <w:rPr>
          <w:rStyle w:val="FootnoteReference"/>
          <w:i/>
        </w:rPr>
        <w:footnoteReference w:id="37"/>
      </w:r>
      <w:r w:rsidRPr="00467029">
        <w:rPr>
          <w:i/>
        </w:rPr>
        <w:t xml:space="preserve"> It is of note that in the latter, 92.6% (n=133) of North American paediatric rheumatologists who responded to a survey regarding willingness to follow the suggested treatment plans indicated they would use that </w:t>
      </w:r>
      <w:r w:rsidRPr="00467029">
        <w:rPr>
          <w:i/>
        </w:rPr>
        <w:lastRenderedPageBreak/>
        <w:t xml:space="preserve">suggested for </w:t>
      </w:r>
      <w:proofErr w:type="spellStart"/>
      <w:r w:rsidRPr="00467029">
        <w:rPr>
          <w:i/>
        </w:rPr>
        <w:t>anakinra</w:t>
      </w:r>
      <w:proofErr w:type="spellEnd"/>
      <w:r w:rsidRPr="00467029">
        <w:rPr>
          <w:i/>
        </w:rPr>
        <w:t>, establishing it as current standard of care for children</w:t>
      </w:r>
      <w:r w:rsidR="00453997" w:rsidRPr="00467029">
        <w:rPr>
          <w:i/>
        </w:rPr>
        <w:t xml:space="preserve"> for a subset of children with S</w:t>
      </w:r>
      <w:r w:rsidRPr="00467029">
        <w:rPr>
          <w:i/>
        </w:rPr>
        <w:t>JIA (15).</w:t>
      </w:r>
    </w:p>
    <w:p w:rsidR="00C44878" w:rsidRPr="00467029" w:rsidRDefault="0098281B" w:rsidP="00467029">
      <w:pPr>
        <w:rPr>
          <w:i/>
        </w:rPr>
      </w:pPr>
      <w:r w:rsidRPr="00467029">
        <w:rPr>
          <w:i/>
        </w:rPr>
        <w:t>In Australia the only disease modifying d</w:t>
      </w:r>
      <w:r w:rsidR="00453997" w:rsidRPr="00467029">
        <w:rPr>
          <w:i/>
        </w:rPr>
        <w:t>rug with specific efficacy for S</w:t>
      </w:r>
      <w:r w:rsidRPr="00467029">
        <w:rPr>
          <w:i/>
        </w:rPr>
        <w:t>JIA currently available on the PBS is the anti-IL-6 age</w:t>
      </w:r>
      <w:r w:rsidR="00453997" w:rsidRPr="00467029">
        <w:rPr>
          <w:i/>
        </w:rPr>
        <w:t xml:space="preserve">nt, </w:t>
      </w:r>
      <w:proofErr w:type="spellStart"/>
      <w:r w:rsidR="00453997" w:rsidRPr="00467029">
        <w:rPr>
          <w:i/>
        </w:rPr>
        <w:t>tocilizumab</w:t>
      </w:r>
      <w:proofErr w:type="spellEnd"/>
      <w:r w:rsidR="00453997" w:rsidRPr="00467029">
        <w:rPr>
          <w:i/>
        </w:rPr>
        <w:t>. Children with S</w:t>
      </w:r>
      <w:r w:rsidRPr="00467029">
        <w:rPr>
          <w:i/>
        </w:rPr>
        <w:t xml:space="preserve">JIA may qualify for use of this agent if they have active arthritis poorly responsive to methotrexate or corticosteroid dependent systemic symptoms. The administration of </w:t>
      </w:r>
      <w:proofErr w:type="spellStart"/>
      <w:r w:rsidRPr="00467029">
        <w:rPr>
          <w:i/>
        </w:rPr>
        <w:t>tocilizumab</w:t>
      </w:r>
      <w:proofErr w:type="spellEnd"/>
      <w:r w:rsidRPr="00467029">
        <w:rPr>
          <w:i/>
        </w:rPr>
        <w:t xml:space="preserve"> requires the insertion of an intravenous cannula and a day-stay hospital admission for infusion of the drug every two weeks. This imposes a significant burden on the child and his/her parents which may preclude its use in certain situations, for example where </w:t>
      </w:r>
      <w:proofErr w:type="gramStart"/>
      <w:r w:rsidRPr="00467029">
        <w:rPr>
          <w:i/>
        </w:rPr>
        <w:t>families</w:t>
      </w:r>
      <w:proofErr w:type="gramEnd"/>
      <w:r w:rsidRPr="00467029">
        <w:rPr>
          <w:i/>
        </w:rPr>
        <w:t xml:space="preserve"> live significant distances from the treatment centre. Even for patients where distance considerations are not an issue, parents must accompany their child during their hospital stay, which requires they take 25 days of leave per year of therapy. For some families this is not easily achievable. In these circumstances the availability of an effective alternate agent which can be administered at home, such as </w:t>
      </w:r>
      <w:proofErr w:type="spellStart"/>
      <w:r w:rsidRPr="00467029">
        <w:rPr>
          <w:i/>
        </w:rPr>
        <w:t>anakinra</w:t>
      </w:r>
      <w:proofErr w:type="spellEnd"/>
      <w:r w:rsidRPr="00467029">
        <w:rPr>
          <w:i/>
        </w:rPr>
        <w:t>, can sig</w:t>
      </w:r>
      <w:r w:rsidR="00453997" w:rsidRPr="00467029">
        <w:rPr>
          <w:i/>
        </w:rPr>
        <w:t xml:space="preserve">nificantly reduce the treatment </w:t>
      </w:r>
      <w:r w:rsidRPr="00467029">
        <w:rPr>
          <w:i/>
        </w:rPr>
        <w:t xml:space="preserve">related burden of disease on affected families. Conversely, the availability of </w:t>
      </w:r>
      <w:proofErr w:type="spellStart"/>
      <w:r w:rsidRPr="00467029">
        <w:rPr>
          <w:i/>
        </w:rPr>
        <w:t>tocilizumab</w:t>
      </w:r>
      <w:proofErr w:type="spellEnd"/>
      <w:r w:rsidRPr="00467029">
        <w:rPr>
          <w:i/>
        </w:rPr>
        <w:t xml:space="preserve"> means that only a subset of chil</w:t>
      </w:r>
      <w:r w:rsidR="00453997" w:rsidRPr="00467029">
        <w:rPr>
          <w:i/>
        </w:rPr>
        <w:t xml:space="preserve">dren with severe SJIA who require </w:t>
      </w:r>
      <w:r w:rsidRPr="00467029">
        <w:rPr>
          <w:i/>
        </w:rPr>
        <w:t xml:space="preserve">DMARD therapy will need </w:t>
      </w:r>
      <w:proofErr w:type="spellStart"/>
      <w:r w:rsidR="00453997" w:rsidRPr="00467029">
        <w:rPr>
          <w:i/>
        </w:rPr>
        <w:t>anakinra</w:t>
      </w:r>
      <w:proofErr w:type="spellEnd"/>
      <w:r w:rsidR="00453997" w:rsidRPr="00467029">
        <w:rPr>
          <w:i/>
        </w:rPr>
        <w:t xml:space="preserve">, possibly fewer than 6 to 12 per year Australia </w:t>
      </w:r>
      <w:r w:rsidRPr="00467029">
        <w:rPr>
          <w:i/>
        </w:rPr>
        <w:t xml:space="preserve">wide. It is for this small subset, however, that the availability of </w:t>
      </w:r>
      <w:proofErr w:type="spellStart"/>
      <w:r w:rsidRPr="00467029">
        <w:rPr>
          <w:i/>
        </w:rPr>
        <w:t>anakinra</w:t>
      </w:r>
      <w:proofErr w:type="spellEnd"/>
      <w:r w:rsidRPr="00467029">
        <w:rPr>
          <w:i/>
        </w:rPr>
        <w:t xml:space="preserve"> will be the difference between effective therapy with few side effects</w:t>
      </w:r>
      <w:r w:rsidR="00467029">
        <w:rPr>
          <w:i/>
        </w:rPr>
        <w:t xml:space="preserve"> and the use of heavily </w:t>
      </w:r>
      <w:r w:rsidRPr="00467029">
        <w:rPr>
          <w:i/>
        </w:rPr>
        <w:t>corticosteroid</w:t>
      </w:r>
      <w:r w:rsidR="00E2422D" w:rsidRPr="00467029">
        <w:rPr>
          <w:i/>
        </w:rPr>
        <w:t xml:space="preserve"> </w:t>
      </w:r>
      <w:r w:rsidR="00467029">
        <w:rPr>
          <w:i/>
        </w:rPr>
        <w:t xml:space="preserve">dependent and side </w:t>
      </w:r>
      <w:r w:rsidRPr="00467029">
        <w:rPr>
          <w:i/>
        </w:rPr>
        <w:t>effect prone treatment approaches that were common in the management of this condition 10 years ago.</w:t>
      </w:r>
      <w:r w:rsidR="00467029">
        <w:rPr>
          <w:i/>
        </w:rPr>
        <w:t>’</w:t>
      </w:r>
    </w:p>
    <w:p w:rsidR="00C44878" w:rsidRPr="00DC3BD0" w:rsidRDefault="00DC3BD0" w:rsidP="00DC3BD0">
      <w:pPr>
        <w:pStyle w:val="Numberbullet0"/>
        <w:rPr>
          <w:i/>
        </w:rPr>
      </w:pPr>
      <w:r w:rsidRPr="00DC3BD0">
        <w:rPr>
          <w:i/>
        </w:rPr>
        <w:t>T</w:t>
      </w:r>
      <w:r w:rsidR="00C44878" w:rsidRPr="00DC3BD0">
        <w:rPr>
          <w:i/>
        </w:rPr>
        <w:t xml:space="preserve">he sponsor is requested to comment whether every day administration regime of </w:t>
      </w:r>
      <w:proofErr w:type="spellStart"/>
      <w:r w:rsidR="00C44878" w:rsidRPr="00DC3BD0">
        <w:rPr>
          <w:i/>
        </w:rPr>
        <w:t>anakinra</w:t>
      </w:r>
      <w:proofErr w:type="spellEnd"/>
      <w:r w:rsidR="00C44878" w:rsidRPr="00DC3BD0">
        <w:rPr>
          <w:i/>
        </w:rPr>
        <w:t xml:space="preserve"> has been re-examined since its first worldwide approval, in particular whether sponsor is in possession of any data indicating that a less frequent administration may or may not be effective, given its biological effect.</w:t>
      </w:r>
    </w:p>
    <w:p w:rsidR="00C44878" w:rsidRDefault="00721983" w:rsidP="00DC3BD0">
      <w:pPr>
        <w:pStyle w:val="Heading6"/>
      </w:pPr>
      <w:r w:rsidRPr="00721983">
        <w:t>Sponsor’s response</w:t>
      </w:r>
      <w:r w:rsidR="00DC3BD0">
        <w:t>:</w:t>
      </w:r>
    </w:p>
    <w:p w:rsidR="00C44878" w:rsidRPr="00C44878" w:rsidRDefault="00C44878" w:rsidP="00C44878">
      <w:proofErr w:type="spellStart"/>
      <w:r w:rsidRPr="00C44878">
        <w:t>Menarini</w:t>
      </w:r>
      <w:proofErr w:type="spellEnd"/>
      <w:r w:rsidRPr="00C44878">
        <w:t xml:space="preserve"> is not aware of any studies usin</w:t>
      </w:r>
      <w:r>
        <w:t xml:space="preserve">g regimens other than every day </w:t>
      </w:r>
      <w:r w:rsidRPr="00C44878">
        <w:t xml:space="preserve">administration. Based on the short terminal half-life of </w:t>
      </w:r>
      <w:proofErr w:type="spellStart"/>
      <w:r w:rsidRPr="00C44878">
        <w:t>anakin</w:t>
      </w:r>
      <w:r>
        <w:t>ra</w:t>
      </w:r>
      <w:proofErr w:type="spellEnd"/>
      <w:r>
        <w:t xml:space="preserve"> (4 to 6 hours) less frequent </w:t>
      </w:r>
      <w:r w:rsidRPr="00C44878">
        <w:t>administration may not be effe</w:t>
      </w:r>
      <w:r w:rsidR="00DC3BD0">
        <w:t>ctive in clinical practice. Sub</w:t>
      </w:r>
      <w:r w:rsidR="006D3E76">
        <w:t>-</w:t>
      </w:r>
      <w:r w:rsidRPr="00C44878">
        <w:t>cutaneous administration o</w:t>
      </w:r>
      <w:r>
        <w:t xml:space="preserve">n </w:t>
      </w:r>
      <w:r w:rsidRPr="00C44878">
        <w:t xml:space="preserve">a daily basis with </w:t>
      </w:r>
      <w:proofErr w:type="spellStart"/>
      <w:r w:rsidRPr="00C44878">
        <w:t>anakinra</w:t>
      </w:r>
      <w:proofErr w:type="spellEnd"/>
      <w:r w:rsidRPr="00C44878">
        <w:t>, as indicated in the attach</w:t>
      </w:r>
      <w:r>
        <w:t xml:space="preserve">ed letter </w:t>
      </w:r>
      <w:r w:rsidR="00DC3BD0">
        <w:t>(above)</w:t>
      </w:r>
      <w:r>
        <w:t xml:space="preserve">, does </w:t>
      </w:r>
      <w:r w:rsidRPr="00C44878">
        <w:t xml:space="preserve">represent a significant improvement over the current </w:t>
      </w:r>
      <w:r>
        <w:t xml:space="preserve">biological therapy available to </w:t>
      </w:r>
      <w:r w:rsidRPr="00C44878">
        <w:t>patients v</w:t>
      </w:r>
      <w:r w:rsidR="006753C4">
        <w:t xml:space="preserve">ia the PBS (fortnightly hospital </w:t>
      </w:r>
      <w:r w:rsidRPr="00C44878">
        <w:t xml:space="preserve">based infusions of </w:t>
      </w:r>
      <w:proofErr w:type="spellStart"/>
      <w:r w:rsidRPr="00C44878">
        <w:t>tocilizumab</w:t>
      </w:r>
      <w:proofErr w:type="spellEnd"/>
      <w:r w:rsidRPr="00C44878">
        <w:t>).</w:t>
      </w:r>
    </w:p>
    <w:p w:rsidR="00C44878" w:rsidRPr="006753C4" w:rsidRDefault="00C44878" w:rsidP="006753C4">
      <w:pPr>
        <w:pStyle w:val="Numberbullet0"/>
        <w:rPr>
          <w:i/>
        </w:rPr>
      </w:pPr>
      <w:r w:rsidRPr="006753C4">
        <w:rPr>
          <w:i/>
        </w:rPr>
        <w:t>SJIA is most often diagnosed at or after 2 years of age. This was reflected in the pivotal trial where the age of pa</w:t>
      </w:r>
      <w:r w:rsidR="00C00A64">
        <w:rPr>
          <w:i/>
        </w:rPr>
        <w:t xml:space="preserve">rticipating patients was 2 to </w:t>
      </w:r>
      <w:r w:rsidRPr="006753C4">
        <w:rPr>
          <w:i/>
        </w:rPr>
        <w:t>16 years. This age limitation is also reflected in the p</w:t>
      </w:r>
      <w:r w:rsidR="00C00A64">
        <w:rPr>
          <w:i/>
        </w:rPr>
        <w:t>reviously approved agents for SJ</w:t>
      </w:r>
      <w:r w:rsidRPr="006753C4">
        <w:rPr>
          <w:i/>
        </w:rPr>
        <w:t>IA in Australia. Hence a restriction to age 2 years and above is considered appropriate.</w:t>
      </w:r>
    </w:p>
    <w:p w:rsidR="006753C4" w:rsidRDefault="00721983" w:rsidP="006753C4">
      <w:pPr>
        <w:pStyle w:val="Heading6"/>
      </w:pPr>
      <w:r w:rsidRPr="00721983">
        <w:t>Sponsor’s response</w:t>
      </w:r>
      <w:r w:rsidR="006753C4">
        <w:t>:</w:t>
      </w:r>
    </w:p>
    <w:p w:rsidR="00C44878" w:rsidRPr="00C44878" w:rsidRDefault="00C44878" w:rsidP="00C44878">
      <w:proofErr w:type="spellStart"/>
      <w:r w:rsidRPr="00C44878">
        <w:t>Menarini</w:t>
      </w:r>
      <w:proofErr w:type="spellEnd"/>
      <w:r w:rsidRPr="00C44878">
        <w:t xml:space="preserve"> agrees that SJIA is most often diagn</w:t>
      </w:r>
      <w:r>
        <w:t xml:space="preserve">osed at or after 2 years of age </w:t>
      </w:r>
      <w:r w:rsidRPr="00C44878">
        <w:t>and that the patients random</w:t>
      </w:r>
      <w:r w:rsidR="00B4566A">
        <w:t>is</w:t>
      </w:r>
      <w:r w:rsidR="006753C4">
        <w:t xml:space="preserve">ed in the pivotal trial were 2 to </w:t>
      </w:r>
      <w:r w:rsidRPr="00C44878">
        <w:t>1</w:t>
      </w:r>
      <w:r>
        <w:t xml:space="preserve">6 years of age. On </w:t>
      </w:r>
      <w:r w:rsidR="006753C4">
        <w:t>these bases</w:t>
      </w:r>
      <w:r>
        <w:t xml:space="preserve">, </w:t>
      </w:r>
      <w:proofErr w:type="spellStart"/>
      <w:r w:rsidRPr="00C44878">
        <w:t>Menarini</w:t>
      </w:r>
      <w:proofErr w:type="spellEnd"/>
      <w:r w:rsidRPr="00C44878">
        <w:t xml:space="preserve"> agrees with the restriction to age 2 yea</w:t>
      </w:r>
      <w:r>
        <w:t>rs and above recommended by the D</w:t>
      </w:r>
      <w:r w:rsidRPr="00C44878">
        <w:t>elegate.</w:t>
      </w:r>
    </w:p>
    <w:p w:rsidR="00C44878" w:rsidRPr="006753C4" w:rsidRDefault="00C44878" w:rsidP="006753C4">
      <w:pPr>
        <w:pStyle w:val="Numberbullet0"/>
        <w:rPr>
          <w:i/>
        </w:rPr>
      </w:pPr>
      <w:r w:rsidRPr="006753C4">
        <w:rPr>
          <w:i/>
        </w:rPr>
        <w:t xml:space="preserve">The data were inadequate for evaluation of combination therapy with DMARDs including methotrexate. However, qualification of use as second line therapy (inadequate response to DMARDs) may be appropriate. Similarly, withdrawal or </w:t>
      </w:r>
      <w:r w:rsidR="006753C4" w:rsidRPr="006753C4">
        <w:rPr>
          <w:i/>
        </w:rPr>
        <w:t>interruption</w:t>
      </w:r>
      <w:r w:rsidRPr="006753C4">
        <w:rPr>
          <w:i/>
        </w:rPr>
        <w:t xml:space="preserve"> of treatment was not studied but recommendations on theoretical grounds may be justified.</w:t>
      </w:r>
    </w:p>
    <w:p w:rsidR="006753C4" w:rsidRDefault="00721983" w:rsidP="006753C4">
      <w:pPr>
        <w:pStyle w:val="Heading6"/>
      </w:pPr>
      <w:r w:rsidRPr="00721983">
        <w:t>Sponsor’s response</w:t>
      </w:r>
      <w:r w:rsidR="006753C4">
        <w:t>:</w:t>
      </w:r>
    </w:p>
    <w:p w:rsidR="00C44878" w:rsidRDefault="00C44878" w:rsidP="00C44878">
      <w:r w:rsidRPr="00C44878">
        <w:t xml:space="preserve">In the pivotal study (Quartier et </w:t>
      </w:r>
      <w:r w:rsidR="001974C5">
        <w:t>al</w:t>
      </w:r>
      <w:r w:rsidRPr="00C44878">
        <w:t>) the</w:t>
      </w:r>
      <w:r>
        <w:t xml:space="preserve"> patients had been treated with </w:t>
      </w:r>
      <w:r w:rsidRPr="00C44878">
        <w:t xml:space="preserve">DMARDs prior to study initiation. However, in the recent study by </w:t>
      </w:r>
      <w:proofErr w:type="spellStart"/>
      <w:r w:rsidRPr="00C44878">
        <w:t>Vastert</w:t>
      </w:r>
      <w:proofErr w:type="spellEnd"/>
      <w:r w:rsidRPr="00C44878">
        <w:t xml:space="preserve"> et al</w:t>
      </w:r>
      <w:r w:rsidR="00840FD9" w:rsidRPr="00EA1957">
        <w:rPr>
          <w:vertAlign w:val="superscript"/>
        </w:rPr>
        <w:fldChar w:fldCharType="begin"/>
      </w:r>
      <w:r w:rsidR="00840FD9" w:rsidRPr="00EA1957">
        <w:rPr>
          <w:vertAlign w:val="superscript"/>
        </w:rPr>
        <w:instrText xml:space="preserve"> NOTEREF _Ref429563282 \h  \* MERGEFORMAT </w:instrText>
      </w:r>
      <w:r w:rsidR="00840FD9" w:rsidRPr="00EA1957">
        <w:rPr>
          <w:vertAlign w:val="superscript"/>
        </w:rPr>
      </w:r>
      <w:r w:rsidR="00840FD9" w:rsidRPr="00EA1957">
        <w:rPr>
          <w:vertAlign w:val="superscript"/>
        </w:rPr>
        <w:fldChar w:fldCharType="separate"/>
      </w:r>
      <w:r w:rsidR="00467029" w:rsidRPr="00EA1957">
        <w:rPr>
          <w:vertAlign w:val="superscript"/>
        </w:rPr>
        <w:t>9</w:t>
      </w:r>
      <w:r w:rsidR="00840FD9" w:rsidRPr="00EA1957">
        <w:rPr>
          <w:vertAlign w:val="superscript"/>
        </w:rPr>
        <w:fldChar w:fldCharType="end"/>
      </w:r>
      <w:r w:rsidRPr="00C44878">
        <w:t xml:space="preserve"> </w:t>
      </w:r>
      <w:proofErr w:type="spellStart"/>
      <w:r>
        <w:t>anakinra</w:t>
      </w:r>
      <w:proofErr w:type="spellEnd"/>
      <w:r>
        <w:t xml:space="preserve"> </w:t>
      </w:r>
      <w:r w:rsidRPr="00C44878">
        <w:t>treatment was initiated after failure to respond to indomet</w:t>
      </w:r>
      <w:r w:rsidR="00DD32B3">
        <w:t>hacin (non-steroidal anti-</w:t>
      </w:r>
      <w:r w:rsidR="00DD32B3" w:rsidRPr="00DD32B3">
        <w:t xml:space="preserve">inflammatory drug </w:t>
      </w:r>
      <w:r w:rsidR="00DD32B3">
        <w:t>(</w:t>
      </w:r>
      <w:r>
        <w:t>NSAID</w:t>
      </w:r>
      <w:r w:rsidR="00DD32B3">
        <w:t>)</w:t>
      </w:r>
      <w:r>
        <w:t xml:space="preserve">) but before the </w:t>
      </w:r>
      <w:r w:rsidRPr="00C44878">
        <w:t>use of other DMARDs, systemic corticosteroids, or oth</w:t>
      </w:r>
      <w:r>
        <w:t xml:space="preserve">er biologic agents. The authors </w:t>
      </w:r>
      <w:r w:rsidRPr="00C44878">
        <w:t xml:space="preserve">conclude that the strategy of using </w:t>
      </w:r>
      <w:proofErr w:type="spellStart"/>
      <w:r w:rsidRPr="00C44878">
        <w:t>anak</w:t>
      </w:r>
      <w:r w:rsidR="00467029">
        <w:t>inra</w:t>
      </w:r>
      <w:proofErr w:type="spellEnd"/>
      <w:r w:rsidR="00467029">
        <w:t xml:space="preserve"> as a first </w:t>
      </w:r>
      <w:r w:rsidRPr="00C44878">
        <w:t>li</w:t>
      </w:r>
      <w:r>
        <w:t xml:space="preserve">ne therapy in </w:t>
      </w:r>
      <w:r>
        <w:lastRenderedPageBreak/>
        <w:t xml:space="preserve">SJIA patients and </w:t>
      </w:r>
      <w:r w:rsidRPr="00C44878">
        <w:t>adding additional treatment only when full remission is no</w:t>
      </w:r>
      <w:r>
        <w:t xml:space="preserve">t achieved results in very high </w:t>
      </w:r>
      <w:r w:rsidRPr="00C44878">
        <w:t xml:space="preserve">and sustained rates of adapted </w:t>
      </w:r>
      <w:proofErr w:type="spellStart"/>
      <w:r w:rsidR="00467029" w:rsidRPr="00467029">
        <w:t>ACRpaed</w:t>
      </w:r>
      <w:proofErr w:type="spellEnd"/>
      <w:r w:rsidRPr="00C44878">
        <w:t xml:space="preserve"> 90 responses or inactive disease. Based on th</w:t>
      </w:r>
      <w:r>
        <w:t xml:space="preserve">ese </w:t>
      </w:r>
      <w:r w:rsidRPr="00C44878">
        <w:t xml:space="preserve">data, </w:t>
      </w:r>
      <w:proofErr w:type="spellStart"/>
      <w:r w:rsidRPr="00C44878">
        <w:t>Menarini</w:t>
      </w:r>
      <w:proofErr w:type="spellEnd"/>
      <w:r w:rsidRPr="00C44878">
        <w:t xml:space="preserve"> consider</w:t>
      </w:r>
      <w:r w:rsidR="002204FD">
        <w:t xml:space="preserve"> the use of </w:t>
      </w:r>
      <w:proofErr w:type="spellStart"/>
      <w:r w:rsidR="002204FD">
        <w:t>anakinra</w:t>
      </w:r>
      <w:proofErr w:type="spellEnd"/>
      <w:r w:rsidR="002204FD">
        <w:t xml:space="preserve"> as a first </w:t>
      </w:r>
      <w:r w:rsidRPr="00C44878">
        <w:t>l</w:t>
      </w:r>
      <w:r>
        <w:t xml:space="preserve">ine treatment option clinically </w:t>
      </w:r>
      <w:r w:rsidRPr="00C44878">
        <w:t xml:space="preserve">appropriate, consistent with </w:t>
      </w:r>
      <w:proofErr w:type="spellStart"/>
      <w:r w:rsidRPr="00C44878">
        <w:t>Actemra</w:t>
      </w:r>
      <w:proofErr w:type="spellEnd"/>
      <w:r w:rsidRPr="00C44878">
        <w:t xml:space="preserve"> and </w:t>
      </w:r>
      <w:proofErr w:type="spellStart"/>
      <w:r w:rsidRPr="00C44878">
        <w:t>Ilaris</w:t>
      </w:r>
      <w:proofErr w:type="spellEnd"/>
      <w:r w:rsidRPr="00C44878">
        <w:t>.</w:t>
      </w:r>
    </w:p>
    <w:p w:rsidR="00C44878" w:rsidRPr="00C44878" w:rsidRDefault="00C44878" w:rsidP="00C44878">
      <w:r w:rsidRPr="00C44878">
        <w:t xml:space="preserve">Furthermore, in the study by </w:t>
      </w:r>
      <w:proofErr w:type="spellStart"/>
      <w:r w:rsidRPr="00C44878">
        <w:t>Vastert</w:t>
      </w:r>
      <w:proofErr w:type="spellEnd"/>
      <w:r w:rsidRPr="00C44878">
        <w:t xml:space="preserve"> et al the </w:t>
      </w:r>
      <w:proofErr w:type="spellStart"/>
      <w:r w:rsidRPr="00C44878">
        <w:t>anakinra</w:t>
      </w:r>
      <w:proofErr w:type="spellEnd"/>
      <w:r w:rsidRPr="00C44878">
        <w:t xml:space="preserve"> treatment could be stopped within</w:t>
      </w:r>
      <w:r>
        <w:t xml:space="preserve"> </w:t>
      </w:r>
      <w:r w:rsidRPr="00C44878">
        <w:t>1 year in the majority of responding patients, with r</w:t>
      </w:r>
      <w:r>
        <w:t xml:space="preserve">emission being preserved during </w:t>
      </w:r>
      <w:r w:rsidR="002204FD">
        <w:t xml:space="preserve">follow </w:t>
      </w:r>
      <w:r w:rsidRPr="00C44878">
        <w:t xml:space="preserve">up. This protocol included a stop strategy, in which </w:t>
      </w:r>
      <w:proofErr w:type="spellStart"/>
      <w:r w:rsidRPr="00C44878">
        <w:t>an</w:t>
      </w:r>
      <w:r>
        <w:t>akinra</w:t>
      </w:r>
      <w:proofErr w:type="spellEnd"/>
      <w:r>
        <w:t xml:space="preserve"> (when given as first</w:t>
      </w:r>
      <w:r w:rsidR="002204FD">
        <w:t xml:space="preserve"> </w:t>
      </w:r>
      <w:r>
        <w:t xml:space="preserve">line </w:t>
      </w:r>
      <w:r w:rsidRPr="00C44878">
        <w:t>treatment) was tapered at a time point of 3 months in</w:t>
      </w:r>
      <w:r>
        <w:t xml:space="preserve"> patients achieving at least an </w:t>
      </w:r>
      <w:r w:rsidRPr="00C44878">
        <w:t xml:space="preserve">adapted </w:t>
      </w:r>
      <w:proofErr w:type="spellStart"/>
      <w:r w:rsidR="00467029" w:rsidRPr="00467029">
        <w:t>ACRpaed</w:t>
      </w:r>
      <w:proofErr w:type="spellEnd"/>
      <w:r w:rsidR="00467029" w:rsidRPr="00467029">
        <w:t xml:space="preserve"> </w:t>
      </w:r>
      <w:r w:rsidRPr="00C44878">
        <w:t>90 response. In this case, the treatm</w:t>
      </w:r>
      <w:r>
        <w:t xml:space="preserve">ent was tapered for 4 weeks and </w:t>
      </w:r>
      <w:r w:rsidRPr="00C44878">
        <w:t>stopped thereafter.</w:t>
      </w:r>
    </w:p>
    <w:p w:rsidR="00C44878" w:rsidRPr="002204FD" w:rsidRDefault="00C44878" w:rsidP="002204FD">
      <w:pPr>
        <w:pStyle w:val="Numberbullet0"/>
        <w:rPr>
          <w:i/>
        </w:rPr>
      </w:pPr>
      <w:r w:rsidRPr="002204FD">
        <w:rPr>
          <w:i/>
        </w:rPr>
        <w:t>The dose regimen used in the pivotal study (2</w:t>
      </w:r>
      <w:r w:rsidR="00C00A64">
        <w:rPr>
          <w:i/>
        </w:rPr>
        <w:t xml:space="preserve"> </w:t>
      </w:r>
      <w:r w:rsidRPr="002204FD">
        <w:rPr>
          <w:i/>
        </w:rPr>
        <w:t>mg/kg/day SC to a maximum of 100</w:t>
      </w:r>
      <w:r w:rsidR="00C00A64">
        <w:rPr>
          <w:i/>
        </w:rPr>
        <w:t> </w:t>
      </w:r>
      <w:r w:rsidRPr="002204FD">
        <w:rPr>
          <w:i/>
        </w:rPr>
        <w:t>mg/day) was not based on prior dose finding. The proposed maximum dose (</w:t>
      </w:r>
      <w:r w:rsidR="001974C5">
        <w:rPr>
          <w:i/>
        </w:rPr>
        <w:t>4 mg</w:t>
      </w:r>
      <w:r w:rsidRPr="002204FD">
        <w:rPr>
          <w:i/>
        </w:rPr>
        <w:t>/kg/day) was also not used in this study.</w:t>
      </w:r>
    </w:p>
    <w:p w:rsidR="00C44878" w:rsidRPr="002204FD" w:rsidRDefault="00C44878" w:rsidP="002204FD">
      <w:pPr>
        <w:ind w:left="425"/>
        <w:rPr>
          <w:i/>
        </w:rPr>
      </w:pPr>
      <w:r w:rsidRPr="002204FD">
        <w:rPr>
          <w:i/>
        </w:rPr>
        <w:t>The PK/PD model (</w:t>
      </w:r>
      <w:proofErr w:type="spellStart"/>
      <w:r w:rsidRPr="002204FD">
        <w:rPr>
          <w:i/>
        </w:rPr>
        <w:t>Urien</w:t>
      </w:r>
      <w:proofErr w:type="spellEnd"/>
      <w:r w:rsidRPr="002204FD">
        <w:rPr>
          <w:i/>
        </w:rPr>
        <w:t xml:space="preserve"> et al) supports </w:t>
      </w:r>
      <w:proofErr w:type="spellStart"/>
      <w:r w:rsidRPr="002204FD">
        <w:rPr>
          <w:i/>
        </w:rPr>
        <w:t>anakinra</w:t>
      </w:r>
      <w:proofErr w:type="spellEnd"/>
      <w:r w:rsidRPr="002204FD">
        <w:rPr>
          <w:i/>
        </w:rPr>
        <w:t xml:space="preserve"> 3</w:t>
      </w:r>
      <w:r w:rsidR="00C00A64">
        <w:rPr>
          <w:i/>
        </w:rPr>
        <w:t xml:space="preserve"> </w:t>
      </w:r>
      <w:r w:rsidRPr="002204FD">
        <w:rPr>
          <w:i/>
        </w:rPr>
        <w:t>mg/kg/day for body weight &lt;</w:t>
      </w:r>
      <w:r w:rsidR="00C00A64">
        <w:rPr>
          <w:i/>
        </w:rPr>
        <w:t xml:space="preserve"> </w:t>
      </w:r>
      <w:r w:rsidRPr="002204FD">
        <w:rPr>
          <w:i/>
        </w:rPr>
        <w:t>10</w:t>
      </w:r>
      <w:r w:rsidR="00C00A64">
        <w:rPr>
          <w:i/>
        </w:rPr>
        <w:t xml:space="preserve"> </w:t>
      </w:r>
      <w:r w:rsidRPr="002204FD">
        <w:rPr>
          <w:i/>
        </w:rPr>
        <w:t>kg, 2</w:t>
      </w:r>
      <w:r w:rsidR="00C00A64">
        <w:rPr>
          <w:i/>
        </w:rPr>
        <w:t xml:space="preserve"> mg/kg/day for body weight 10 to </w:t>
      </w:r>
      <w:r w:rsidRPr="002204FD">
        <w:rPr>
          <w:i/>
        </w:rPr>
        <w:t>50</w:t>
      </w:r>
      <w:r w:rsidR="00C00A64">
        <w:rPr>
          <w:i/>
        </w:rPr>
        <w:t xml:space="preserve"> </w:t>
      </w:r>
      <w:r w:rsidRPr="002204FD">
        <w:rPr>
          <w:i/>
        </w:rPr>
        <w:t>kg and 1</w:t>
      </w:r>
      <w:r w:rsidR="00C00A64">
        <w:rPr>
          <w:i/>
        </w:rPr>
        <w:t xml:space="preserve"> </w:t>
      </w:r>
      <w:r w:rsidRPr="002204FD">
        <w:rPr>
          <w:i/>
        </w:rPr>
        <w:t>mg/kg up to a maximum of 100</w:t>
      </w:r>
      <w:r w:rsidR="00C00A64">
        <w:rPr>
          <w:i/>
        </w:rPr>
        <w:t xml:space="preserve"> </w:t>
      </w:r>
      <w:r w:rsidRPr="002204FD">
        <w:rPr>
          <w:i/>
        </w:rPr>
        <w:t>mg/day for body weight &gt;</w:t>
      </w:r>
      <w:r w:rsidR="00C00A64">
        <w:rPr>
          <w:i/>
        </w:rPr>
        <w:t xml:space="preserve"> </w:t>
      </w:r>
      <w:r w:rsidR="005354B4">
        <w:rPr>
          <w:i/>
        </w:rPr>
        <w:t>50 kg</w:t>
      </w:r>
      <w:r w:rsidRPr="002204FD">
        <w:rPr>
          <w:i/>
        </w:rPr>
        <w:t>. The use of CRP (target plasma level ≤</w:t>
      </w:r>
      <w:r w:rsidR="00C00A64">
        <w:rPr>
          <w:i/>
        </w:rPr>
        <w:t xml:space="preserve"> </w:t>
      </w:r>
      <w:r w:rsidRPr="002204FD">
        <w:rPr>
          <w:i/>
        </w:rPr>
        <w:t>10</w:t>
      </w:r>
      <w:r w:rsidR="00C00A64">
        <w:rPr>
          <w:i/>
        </w:rPr>
        <w:t xml:space="preserve"> </w:t>
      </w:r>
      <w:r w:rsidRPr="002204FD">
        <w:rPr>
          <w:i/>
        </w:rPr>
        <w:t xml:space="preserve">mg/L) as biological marker for correlation with mean plasma </w:t>
      </w:r>
      <w:proofErr w:type="spellStart"/>
      <w:r w:rsidRPr="002204FD">
        <w:rPr>
          <w:i/>
        </w:rPr>
        <w:t>anakinra</w:t>
      </w:r>
      <w:proofErr w:type="spellEnd"/>
      <w:r w:rsidRPr="002204FD">
        <w:rPr>
          <w:i/>
        </w:rPr>
        <w:t xml:space="preserve"> level is considered appropriate for SJIA.</w:t>
      </w:r>
    </w:p>
    <w:p w:rsidR="00C44878" w:rsidRPr="002204FD" w:rsidRDefault="00C44878" w:rsidP="002204FD">
      <w:pPr>
        <w:ind w:left="425"/>
        <w:rPr>
          <w:i/>
        </w:rPr>
      </w:pPr>
      <w:r w:rsidRPr="002204FD">
        <w:rPr>
          <w:i/>
        </w:rPr>
        <w:t>However, as recommended above if the indication is restricted to SJIA patients aged 2 years and above, the &lt;</w:t>
      </w:r>
      <w:r w:rsidR="00C00A64">
        <w:rPr>
          <w:i/>
        </w:rPr>
        <w:t xml:space="preserve"> </w:t>
      </w:r>
      <w:r w:rsidR="005354B4">
        <w:rPr>
          <w:i/>
        </w:rPr>
        <w:t>10 kg</w:t>
      </w:r>
      <w:r w:rsidRPr="002204FD">
        <w:rPr>
          <w:i/>
        </w:rPr>
        <w:t xml:space="preserve"> body weight category may not be relevant. Hence, the prop</w:t>
      </w:r>
      <w:r w:rsidR="00C00A64">
        <w:rPr>
          <w:i/>
        </w:rPr>
        <w:t>osed dose ('</w:t>
      </w:r>
      <w:r w:rsidR="002429B6">
        <w:rPr>
          <w:i/>
        </w:rPr>
        <w:t>2 mg</w:t>
      </w:r>
      <w:r w:rsidR="00C00A64">
        <w:rPr>
          <w:i/>
        </w:rPr>
        <w:t xml:space="preserve">/kg/day up to l00 </w:t>
      </w:r>
      <w:r w:rsidRPr="002204FD">
        <w:rPr>
          <w:i/>
        </w:rPr>
        <w:t xml:space="preserve">mg/day by SC injection') is considered consistent with the model both as starting and </w:t>
      </w:r>
      <w:r w:rsidR="00C00A64" w:rsidRPr="002204FD">
        <w:rPr>
          <w:i/>
        </w:rPr>
        <w:t>maintenance</w:t>
      </w:r>
      <w:r w:rsidRPr="002204FD">
        <w:rPr>
          <w:i/>
        </w:rPr>
        <w:t xml:space="preserve"> dose.</w:t>
      </w:r>
    </w:p>
    <w:p w:rsidR="006753C4" w:rsidRPr="002204FD" w:rsidRDefault="00721983" w:rsidP="002204FD">
      <w:pPr>
        <w:rPr>
          <w:bCs/>
          <w:i/>
        </w:rPr>
      </w:pPr>
      <w:r w:rsidRPr="00721983">
        <w:rPr>
          <w:bCs/>
          <w:i/>
        </w:rPr>
        <w:t>Sponsor’s response</w:t>
      </w:r>
      <w:r w:rsidR="006753C4" w:rsidRPr="002204FD">
        <w:rPr>
          <w:bCs/>
          <w:i/>
        </w:rPr>
        <w:t>:</w:t>
      </w:r>
    </w:p>
    <w:p w:rsidR="00C44878" w:rsidRPr="00C44878" w:rsidRDefault="00262EB0" w:rsidP="00C44878">
      <w:r>
        <w:t xml:space="preserve">The sponsor </w:t>
      </w:r>
      <w:r w:rsidR="00C44878" w:rsidRPr="00C44878">
        <w:t xml:space="preserve">agrees that the proposed dose </w:t>
      </w:r>
      <w:proofErr w:type="gramStart"/>
      <w:r w:rsidR="00C44878" w:rsidRPr="00C44878">
        <w:t>'</w:t>
      </w:r>
      <w:r w:rsidR="002429B6">
        <w:t>2 mg</w:t>
      </w:r>
      <w:r w:rsidR="00C44878">
        <w:t xml:space="preserve">/kg/day up to 100 mg/day by SC </w:t>
      </w:r>
      <w:r w:rsidR="00C44878" w:rsidRPr="00C44878">
        <w:t>injection'</w:t>
      </w:r>
      <w:proofErr w:type="gramEnd"/>
      <w:r w:rsidR="00C44878" w:rsidRPr="00C44878">
        <w:t xml:space="preserve"> is consistent with the PK/PD model both as starting and maintenance dose.</w:t>
      </w:r>
    </w:p>
    <w:p w:rsidR="00C44878" w:rsidRPr="00262EB0" w:rsidRDefault="00C44878" w:rsidP="002204FD">
      <w:pPr>
        <w:pStyle w:val="Numberbullet0"/>
        <w:rPr>
          <w:i/>
        </w:rPr>
      </w:pPr>
      <w:r w:rsidRPr="00262EB0">
        <w:rPr>
          <w:i/>
        </w:rPr>
        <w:t xml:space="preserve">The higher doses, </w:t>
      </w:r>
      <w:r w:rsidR="001974C5" w:rsidRPr="00262EB0">
        <w:rPr>
          <w:i/>
        </w:rPr>
        <w:t>4 mg</w:t>
      </w:r>
      <w:r w:rsidRPr="00262EB0">
        <w:rPr>
          <w:i/>
        </w:rPr>
        <w:t>/kg proposed by sponsor and up to 10mg/kg proposed by the clinical evaluator, are not supported in SJIA. The reasons are (1) these doses were not used in the pivotal study which contributed all SJIA patients to the PK/PD model, (2) higher doses in the model were contributed by patients with other auto</w:t>
      </w:r>
      <w:r w:rsidR="00C00A64" w:rsidRPr="00262EB0">
        <w:rPr>
          <w:i/>
        </w:rPr>
        <w:t xml:space="preserve"> </w:t>
      </w:r>
      <w:r w:rsidRPr="00262EB0">
        <w:rPr>
          <w:i/>
        </w:rPr>
        <w:t>inflammatory syndromes (Note higher approved dose in CAPS), (3) the model predictions (mean doses) do not support these higher doses, and (4) in some patients these will lead to absolute drug amount higher than the adult approved dose (</w:t>
      </w:r>
      <w:r w:rsidR="001974C5" w:rsidRPr="00262EB0">
        <w:rPr>
          <w:i/>
        </w:rPr>
        <w:t>100 mg</w:t>
      </w:r>
      <w:r w:rsidRPr="00262EB0">
        <w:rPr>
          <w:i/>
        </w:rPr>
        <w:t>/kg/day) in RA. It is argued that failure of response at the predicted mean dose levels should be considered non-response and grounds for discontinuation of treatment.</w:t>
      </w:r>
    </w:p>
    <w:p w:rsidR="002204FD" w:rsidRDefault="00721983" w:rsidP="002204FD">
      <w:pPr>
        <w:pStyle w:val="Heading6"/>
      </w:pPr>
      <w:r w:rsidRPr="00721983">
        <w:t>Sponsor’s response</w:t>
      </w:r>
      <w:r w:rsidR="002204FD">
        <w:t>:</w:t>
      </w:r>
    </w:p>
    <w:p w:rsidR="00C44878" w:rsidRPr="00C44878" w:rsidRDefault="00C44878" w:rsidP="00C44878">
      <w:proofErr w:type="spellStart"/>
      <w:r w:rsidRPr="00C44878">
        <w:t>Menarini</w:t>
      </w:r>
      <w:proofErr w:type="spellEnd"/>
      <w:r w:rsidRPr="00C44878">
        <w:t xml:space="preserve"> agrees that the proposed dose </w:t>
      </w:r>
      <w:proofErr w:type="gramStart"/>
      <w:r w:rsidRPr="00C44878">
        <w:t>'</w:t>
      </w:r>
      <w:r w:rsidR="002429B6">
        <w:t>2 mg</w:t>
      </w:r>
      <w:r>
        <w:t xml:space="preserve">/kg/day up to 100 mg/day by SC </w:t>
      </w:r>
      <w:r w:rsidRPr="00C44878">
        <w:t>injection'</w:t>
      </w:r>
      <w:proofErr w:type="gramEnd"/>
      <w:r w:rsidRPr="00C44878">
        <w:t xml:space="preserve"> is consistent with the PK/PD model and with the pivotal study.</w:t>
      </w:r>
    </w:p>
    <w:p w:rsidR="00C44878" w:rsidRPr="002204FD" w:rsidRDefault="00C44878" w:rsidP="002204FD">
      <w:pPr>
        <w:pStyle w:val="Numberbullet0"/>
        <w:rPr>
          <w:i/>
        </w:rPr>
      </w:pPr>
      <w:r w:rsidRPr="002204FD">
        <w:rPr>
          <w:i/>
        </w:rPr>
        <w:t>Pending advice from the ACPM, the following indication is supported:</w:t>
      </w:r>
    </w:p>
    <w:p w:rsidR="002204FD" w:rsidRPr="002204FD" w:rsidRDefault="00EA1957" w:rsidP="002204FD">
      <w:pPr>
        <w:ind w:left="425"/>
        <w:rPr>
          <w:i/>
        </w:rPr>
      </w:pPr>
      <w:r>
        <w:t>’</w:t>
      </w:r>
      <w:r w:rsidR="00C44878" w:rsidRPr="002204FD">
        <w:rPr>
          <w:i/>
        </w:rPr>
        <w:t>For the treatment of active Systemic Juvenile Idiopathi</w:t>
      </w:r>
      <w:r w:rsidR="002204FD" w:rsidRPr="002204FD">
        <w:rPr>
          <w:i/>
        </w:rPr>
        <w:t xml:space="preserve">c Arthritis in patients 2 years </w:t>
      </w:r>
      <w:r w:rsidR="00C44878" w:rsidRPr="002204FD">
        <w:rPr>
          <w:i/>
        </w:rPr>
        <w:t>and above who have failed to respond adeq</w:t>
      </w:r>
      <w:r w:rsidR="002204FD" w:rsidRPr="002204FD">
        <w:rPr>
          <w:i/>
        </w:rPr>
        <w:t xml:space="preserve">uately to </w:t>
      </w:r>
      <w:proofErr w:type="spellStart"/>
      <w:r w:rsidR="002204FD" w:rsidRPr="002204FD">
        <w:rPr>
          <w:i/>
        </w:rPr>
        <w:t>non</w:t>
      </w:r>
      <w:r w:rsidR="00C00A64">
        <w:rPr>
          <w:i/>
        </w:rPr>
        <w:t xml:space="preserve"> </w:t>
      </w:r>
      <w:r w:rsidR="002204FD" w:rsidRPr="002204FD">
        <w:rPr>
          <w:i/>
        </w:rPr>
        <w:t>biological</w:t>
      </w:r>
      <w:proofErr w:type="spellEnd"/>
      <w:r w:rsidR="002204FD" w:rsidRPr="002204FD">
        <w:rPr>
          <w:i/>
        </w:rPr>
        <w:t xml:space="preserve"> DMARDs.</w:t>
      </w:r>
    </w:p>
    <w:p w:rsidR="00C44878" w:rsidRPr="002204FD" w:rsidRDefault="00C44878" w:rsidP="002204FD">
      <w:pPr>
        <w:ind w:left="425"/>
        <w:rPr>
          <w:i/>
        </w:rPr>
      </w:pPr>
      <w:r w:rsidRPr="002204FD">
        <w:rPr>
          <w:i/>
        </w:rPr>
        <w:t xml:space="preserve">The recommended dose in SJIA is </w:t>
      </w:r>
      <w:r w:rsidR="002429B6">
        <w:rPr>
          <w:i/>
        </w:rPr>
        <w:t>2 mg</w:t>
      </w:r>
      <w:r w:rsidRPr="002204FD">
        <w:rPr>
          <w:i/>
        </w:rPr>
        <w:t xml:space="preserve">/kg/day up </w:t>
      </w:r>
      <w:r w:rsidR="002204FD" w:rsidRPr="002204FD">
        <w:rPr>
          <w:i/>
        </w:rPr>
        <w:t xml:space="preserve">to a maximum of </w:t>
      </w:r>
      <w:r w:rsidR="001974C5">
        <w:rPr>
          <w:i/>
        </w:rPr>
        <w:t>100 mg</w:t>
      </w:r>
      <w:r w:rsidR="002204FD" w:rsidRPr="002204FD">
        <w:rPr>
          <w:i/>
        </w:rPr>
        <w:t>/day by SC </w:t>
      </w:r>
      <w:r w:rsidRPr="002204FD">
        <w:rPr>
          <w:i/>
        </w:rPr>
        <w:t>injection.</w:t>
      </w:r>
    </w:p>
    <w:p w:rsidR="00C44878" w:rsidRPr="002204FD" w:rsidRDefault="00C44878" w:rsidP="002204FD">
      <w:pPr>
        <w:ind w:left="425"/>
        <w:rPr>
          <w:i/>
        </w:rPr>
      </w:pPr>
      <w:r w:rsidRPr="002204FD">
        <w:rPr>
          <w:i/>
        </w:rPr>
        <w:t>Treatment should be undertaken by physicians experi</w:t>
      </w:r>
      <w:r w:rsidR="002204FD" w:rsidRPr="002204FD">
        <w:rPr>
          <w:i/>
        </w:rPr>
        <w:t xml:space="preserve">enced in the treatment of SJIA. </w:t>
      </w:r>
      <w:r w:rsidRPr="002204FD">
        <w:rPr>
          <w:i/>
        </w:rPr>
        <w:t>Decisions should be guided by clinical outcomes inc</w:t>
      </w:r>
      <w:r w:rsidR="002204FD" w:rsidRPr="002204FD">
        <w:rPr>
          <w:i/>
        </w:rPr>
        <w:t xml:space="preserve">luding laboratory measures. The </w:t>
      </w:r>
      <w:r w:rsidRPr="002204FD">
        <w:rPr>
          <w:i/>
        </w:rPr>
        <w:t>treating physician should consider whether patien</w:t>
      </w:r>
      <w:r w:rsidR="002204FD" w:rsidRPr="002204FD">
        <w:rPr>
          <w:i/>
        </w:rPr>
        <w:t xml:space="preserve">ts without clinical improvement </w:t>
      </w:r>
      <w:r w:rsidRPr="002204FD">
        <w:rPr>
          <w:i/>
        </w:rPr>
        <w:t xml:space="preserve">should continue treatment with </w:t>
      </w:r>
      <w:proofErr w:type="spellStart"/>
      <w:r w:rsidRPr="002204FD">
        <w:rPr>
          <w:i/>
        </w:rPr>
        <w:t>anakinra</w:t>
      </w:r>
      <w:proofErr w:type="spellEnd"/>
      <w:r w:rsidR="00EA1957" w:rsidRPr="002204FD">
        <w:rPr>
          <w:i/>
        </w:rPr>
        <w:t>.</w:t>
      </w:r>
      <w:r w:rsidR="00EA1957">
        <w:rPr>
          <w:i/>
        </w:rPr>
        <w:t>’</w:t>
      </w:r>
    </w:p>
    <w:p w:rsidR="006753C4" w:rsidRPr="002204FD" w:rsidRDefault="00721983" w:rsidP="00715E90">
      <w:pPr>
        <w:pStyle w:val="Heading6"/>
      </w:pPr>
      <w:r w:rsidRPr="00721983">
        <w:lastRenderedPageBreak/>
        <w:t>Sponsor’s response</w:t>
      </w:r>
      <w:r w:rsidR="006753C4" w:rsidRPr="002204FD">
        <w:t>:</w:t>
      </w:r>
    </w:p>
    <w:p w:rsidR="00465989" w:rsidRDefault="00C44878" w:rsidP="00C44878">
      <w:r w:rsidRPr="00C44878">
        <w:t xml:space="preserve">As mentioned above, </w:t>
      </w:r>
      <w:proofErr w:type="spellStart"/>
      <w:r w:rsidRPr="00C44878">
        <w:t>Menarin</w:t>
      </w:r>
      <w:r w:rsidR="002204FD">
        <w:t>i</w:t>
      </w:r>
      <w:proofErr w:type="spellEnd"/>
      <w:r w:rsidR="002204FD">
        <w:t xml:space="preserve"> consider that the data </w:t>
      </w:r>
      <w:r w:rsidRPr="00C44878">
        <w:t>support</w:t>
      </w:r>
      <w:r w:rsidR="00165081">
        <w:t xml:space="preserve"> the use of </w:t>
      </w:r>
      <w:proofErr w:type="spellStart"/>
      <w:r w:rsidR="00165081">
        <w:t>anakinra</w:t>
      </w:r>
      <w:proofErr w:type="spellEnd"/>
      <w:r w:rsidR="00165081">
        <w:t xml:space="preserve"> as a first </w:t>
      </w:r>
      <w:r w:rsidRPr="00C44878">
        <w:t>line treatment option. T</w:t>
      </w:r>
      <w:r w:rsidR="002204FD">
        <w:t xml:space="preserve">he size of treatment difference </w:t>
      </w:r>
      <w:r w:rsidRPr="00C44878">
        <w:t>in the primary endpoint (</w:t>
      </w:r>
      <w:proofErr w:type="spellStart"/>
      <w:r w:rsidR="00467029" w:rsidRPr="00467029">
        <w:t>ACRpaed</w:t>
      </w:r>
      <w:proofErr w:type="spellEnd"/>
      <w:r w:rsidR="00467029">
        <w:t> </w:t>
      </w:r>
      <w:r w:rsidRPr="00C44878">
        <w:t>30 response) in the pivotal study (Quartier et al) was</w:t>
      </w:r>
      <w:r w:rsidR="002204FD">
        <w:t xml:space="preserve"> </w:t>
      </w:r>
      <w:r w:rsidRPr="00C44878">
        <w:t>comparable to the treatment differences seen in the m</w:t>
      </w:r>
      <w:r w:rsidR="00465989">
        <w:t xml:space="preserve">ajor studies of other products </w:t>
      </w:r>
      <w:r w:rsidRPr="00C44878">
        <w:t>(</w:t>
      </w:r>
      <w:proofErr w:type="spellStart"/>
      <w:r w:rsidRPr="00C44878">
        <w:t>Actemra</w:t>
      </w:r>
      <w:proofErr w:type="spellEnd"/>
      <w:r w:rsidRPr="00C44878">
        <w:t xml:space="preserve"> and </w:t>
      </w:r>
      <w:proofErr w:type="spellStart"/>
      <w:r w:rsidRPr="00C44878">
        <w:t>Ilaris</w:t>
      </w:r>
      <w:proofErr w:type="spellEnd"/>
      <w:r w:rsidRPr="00C44878">
        <w:t xml:space="preserve">). Furthermore, in a newly </w:t>
      </w:r>
      <w:r w:rsidR="00C00A64" w:rsidRPr="00C44878">
        <w:t>publish</w:t>
      </w:r>
      <w:r w:rsidR="00C00A64">
        <w:t>ed</w:t>
      </w:r>
      <w:r w:rsidR="00465989">
        <w:t xml:space="preserve"> study by </w:t>
      </w:r>
      <w:proofErr w:type="spellStart"/>
      <w:r w:rsidR="00465989">
        <w:t>Vastert</w:t>
      </w:r>
      <w:proofErr w:type="spellEnd"/>
      <w:r w:rsidR="00465989">
        <w:t xml:space="preserve"> et al</w:t>
      </w:r>
      <w:r w:rsidR="00EA1957">
        <w:t>.</w:t>
      </w:r>
      <w:r w:rsidR="00465989">
        <w:t xml:space="preserve"> </w:t>
      </w:r>
      <w:r w:rsidR="00EA1957">
        <w:t>(</w:t>
      </w:r>
      <w:r w:rsidR="00465989">
        <w:t>2014</w:t>
      </w:r>
      <w:r w:rsidR="00EA1957">
        <w:t>)</w:t>
      </w:r>
      <w:r w:rsidR="00465989">
        <w:t xml:space="preserve"> </w:t>
      </w:r>
      <w:proofErr w:type="spellStart"/>
      <w:r w:rsidRPr="00C44878">
        <w:t>anakinra</w:t>
      </w:r>
      <w:proofErr w:type="spellEnd"/>
      <w:r w:rsidRPr="00C44878">
        <w:t xml:space="preserve"> was used as first-line therapy</w:t>
      </w:r>
      <w:r w:rsidR="00FE6136">
        <w:t xml:space="preserve"> in patients with new </w:t>
      </w:r>
      <w:r w:rsidR="00465989">
        <w:t xml:space="preserve">onset SJIA. Patients fulfilled </w:t>
      </w:r>
      <w:r w:rsidRPr="00C44878">
        <w:t>the International League of Associations for Rheumatolog</w:t>
      </w:r>
      <w:r w:rsidR="00465989">
        <w:t xml:space="preserve">y criteria for SJIA. </w:t>
      </w:r>
      <w:proofErr w:type="spellStart"/>
      <w:r w:rsidR="00465989">
        <w:t>Anakinra</w:t>
      </w:r>
      <w:proofErr w:type="spellEnd"/>
      <w:r w:rsidR="00465989">
        <w:t xml:space="preserve"> 2 </w:t>
      </w:r>
      <w:r w:rsidRPr="00C44878">
        <w:t>mg/kg/day was used as a starting dose in all 20 included</w:t>
      </w:r>
      <w:r w:rsidR="00465989">
        <w:t xml:space="preserve"> patients. The 2 mg/kg/day dose </w:t>
      </w:r>
      <w:r w:rsidRPr="00C44878">
        <w:t>was maintained in 18 of the patients and increase</w:t>
      </w:r>
      <w:r w:rsidR="00465989">
        <w:t>d to 4 mg/kg/day in 2 patients.</w:t>
      </w:r>
    </w:p>
    <w:p w:rsidR="00C44878" w:rsidRPr="00C44878" w:rsidRDefault="00C44878" w:rsidP="00C44878">
      <w:r w:rsidRPr="00C44878">
        <w:t xml:space="preserve">Treatment was stopped if patients met at least </w:t>
      </w:r>
      <w:r w:rsidR="00465989">
        <w:t xml:space="preserve">the adapted </w:t>
      </w:r>
      <w:proofErr w:type="spellStart"/>
      <w:r w:rsidR="00165081" w:rsidRPr="00165081">
        <w:t>ACRPaed</w:t>
      </w:r>
      <w:proofErr w:type="spellEnd"/>
      <w:r w:rsidR="00165081" w:rsidRPr="00165081">
        <w:t xml:space="preserve"> </w:t>
      </w:r>
      <w:r w:rsidR="00165081">
        <w:t xml:space="preserve">90 </w:t>
      </w:r>
      <w:r w:rsidRPr="00C44878">
        <w:t>c</w:t>
      </w:r>
      <w:r w:rsidR="00165081">
        <w:t>riteria for improvement in JIA</w:t>
      </w:r>
      <w:r w:rsidR="00465989">
        <w:t xml:space="preserve"> </w:t>
      </w:r>
      <w:r w:rsidRPr="00C44878">
        <w:t xml:space="preserve">after 3 months treatment. The authors concluded than an </w:t>
      </w:r>
      <w:r w:rsidR="00465989">
        <w:t xml:space="preserve">excellent response was observed </w:t>
      </w:r>
      <w:r w:rsidRPr="00C44878">
        <w:t>in nearly all patients within 3 months, and that more th</w:t>
      </w:r>
      <w:r w:rsidR="00465989">
        <w:t xml:space="preserve">an 80% of the patients achieved </w:t>
      </w:r>
      <w:r w:rsidRPr="00C44878">
        <w:t>persistent disease remission, either on or off medicatio</w:t>
      </w:r>
      <w:r w:rsidR="00262EB0">
        <w:t xml:space="preserve">n, during a mean follow </w:t>
      </w:r>
      <w:r w:rsidR="00465989">
        <w:t xml:space="preserve">up of 2 </w:t>
      </w:r>
      <w:r w:rsidRPr="00C44878">
        <w:t>years and 8 months. Hence, it would seem reasonable to</w:t>
      </w:r>
      <w:r w:rsidR="00465989">
        <w:t xml:space="preserve"> approve the same indication as </w:t>
      </w:r>
      <w:proofErr w:type="spellStart"/>
      <w:r w:rsidR="00465989">
        <w:t>Ilaris</w:t>
      </w:r>
      <w:proofErr w:type="spellEnd"/>
      <w:r w:rsidRPr="00C44878">
        <w:t xml:space="preserve">, </w:t>
      </w:r>
      <w:r w:rsidR="00325F8B">
        <w:t>that is</w:t>
      </w:r>
      <w:r w:rsidR="00465989">
        <w:t>,</w:t>
      </w:r>
      <w:r w:rsidRPr="00C44878">
        <w:t xml:space="preserve"> for the treatment of active systemic juvenile idi</w:t>
      </w:r>
      <w:r w:rsidR="00465989">
        <w:t xml:space="preserve">opathic arthritis in patients 2 </w:t>
      </w:r>
      <w:r w:rsidRPr="00C44878">
        <w:t>years and above.</w:t>
      </w:r>
    </w:p>
    <w:p w:rsidR="00C44878" w:rsidRDefault="00262EB0" w:rsidP="00C44878">
      <w:r>
        <w:t>The sponsor</w:t>
      </w:r>
      <w:r w:rsidR="00C44878" w:rsidRPr="00C44878">
        <w:t xml:space="preserve"> supports t</w:t>
      </w:r>
      <w:r w:rsidR="00FE6136">
        <w:t>he Delegate’s recommended dose.</w:t>
      </w:r>
    </w:p>
    <w:p w:rsidR="00715E90" w:rsidRPr="00715E90" w:rsidRDefault="00F83A00" w:rsidP="00715E90">
      <w:pPr>
        <w:pStyle w:val="Heading5"/>
        <w:rPr>
          <w:rFonts w:eastAsiaTheme="minorHAnsi"/>
        </w:rPr>
      </w:pPr>
      <w:r>
        <w:rPr>
          <w:rFonts w:eastAsiaTheme="minorHAnsi"/>
        </w:rPr>
        <w:t>Additional issue</w:t>
      </w:r>
      <w:r w:rsidR="00165081">
        <w:rPr>
          <w:rFonts w:eastAsiaTheme="minorHAnsi"/>
        </w:rPr>
        <w:t xml:space="preserve"> to address</w:t>
      </w:r>
    </w:p>
    <w:p w:rsidR="00715E90" w:rsidRPr="00715E90" w:rsidRDefault="00715E90" w:rsidP="00715E90">
      <w:r>
        <w:t xml:space="preserve">Clinical Efficacy; </w:t>
      </w:r>
      <w:r w:rsidRPr="00715E90">
        <w:t xml:space="preserve">Quartier et </w:t>
      </w:r>
      <w:r w:rsidR="001974C5">
        <w:t>al</w:t>
      </w:r>
      <w:proofErr w:type="gramStart"/>
      <w:r w:rsidR="00EA1957">
        <w:t>.(</w:t>
      </w:r>
      <w:proofErr w:type="gramEnd"/>
      <w:r w:rsidR="00EA1957">
        <w:t>2011)</w:t>
      </w:r>
      <w:r w:rsidR="00FE6136">
        <w:t xml:space="preserve"> o</w:t>
      </w:r>
      <w:r w:rsidR="00262EB0">
        <w:t xml:space="preserve">pen label results (Month 2 to </w:t>
      </w:r>
      <w:r w:rsidRPr="00715E90">
        <w:t>12)</w:t>
      </w:r>
      <w:r>
        <w:t>.</w:t>
      </w:r>
    </w:p>
    <w:p w:rsidR="00715E90" w:rsidRPr="00715E90" w:rsidRDefault="00715E90" w:rsidP="00715E90">
      <w:pPr>
        <w:rPr>
          <w:i/>
        </w:rPr>
      </w:pPr>
      <w:r>
        <w:rPr>
          <w:i/>
        </w:rPr>
        <w:t>‘</w:t>
      </w:r>
      <w:r w:rsidR="00165081" w:rsidRPr="00165081">
        <w:rPr>
          <w:i/>
        </w:rPr>
        <w:t>How the patient counts at the various time points (Months 1, 2, 6 12) were derived was not clear. The sponsor is requested to clarify this. Please also comment whether ‘disease flare’ was examined in this study and include summary of results.</w:t>
      </w:r>
      <w:r>
        <w:rPr>
          <w:i/>
        </w:rPr>
        <w:t>’</w:t>
      </w:r>
    </w:p>
    <w:p w:rsidR="006753C4" w:rsidRPr="00715E90" w:rsidRDefault="00721983" w:rsidP="00715E90">
      <w:pPr>
        <w:pStyle w:val="Heading6"/>
      </w:pPr>
      <w:r w:rsidRPr="00721983">
        <w:t>Sponsor’s response</w:t>
      </w:r>
      <w:r w:rsidR="006753C4" w:rsidRPr="00715E90">
        <w:t>:</w:t>
      </w:r>
    </w:p>
    <w:p w:rsidR="00715E90" w:rsidRDefault="00CF5CE3" w:rsidP="00715E90">
      <w:r>
        <w:t>The patient</w:t>
      </w:r>
      <w:r w:rsidR="00715E90" w:rsidRPr="00715E90">
        <w:t xml:space="preserve"> </w:t>
      </w:r>
      <w:r>
        <w:t>counts</w:t>
      </w:r>
      <w:r w:rsidR="00F83A00">
        <w:t xml:space="preserve"> at the various time points (M</w:t>
      </w:r>
      <w:r w:rsidR="00715E90" w:rsidRPr="00715E90">
        <w:t>onths 1,</w:t>
      </w:r>
      <w:r w:rsidR="00F83A00">
        <w:t xml:space="preserve"> </w:t>
      </w:r>
      <w:r w:rsidR="00715E90" w:rsidRPr="00715E90">
        <w:t>2,</w:t>
      </w:r>
      <w:r w:rsidR="00F83A00">
        <w:t xml:space="preserve"> </w:t>
      </w:r>
      <w:r w:rsidR="00715E90" w:rsidRPr="00715E90">
        <w:t>6,</w:t>
      </w:r>
      <w:r w:rsidR="00F83A00">
        <w:t xml:space="preserve"> </w:t>
      </w:r>
      <w:r w:rsidR="00715E90" w:rsidRPr="00715E90">
        <w:t>12) are summar</w:t>
      </w:r>
      <w:r w:rsidR="00B4566A">
        <w:t>is</w:t>
      </w:r>
      <w:r w:rsidR="00715E90" w:rsidRPr="00715E90">
        <w:t xml:space="preserve">ed in </w:t>
      </w:r>
      <w:r w:rsidR="00F83A00">
        <w:t>T</w:t>
      </w:r>
      <w:r w:rsidR="00715E90" w:rsidRPr="00715E90">
        <w:t xml:space="preserve">able </w:t>
      </w:r>
      <w:r w:rsidR="00F83A00">
        <w:t>5</w:t>
      </w:r>
      <w:r w:rsidR="00715E90">
        <w:t xml:space="preserve"> </w:t>
      </w:r>
      <w:r w:rsidR="00715E90" w:rsidRPr="00715E90">
        <w:t>below.</w:t>
      </w:r>
    </w:p>
    <w:p w:rsidR="00715E90" w:rsidRDefault="00F83A00" w:rsidP="003016B1">
      <w:pPr>
        <w:pStyle w:val="TableTitle"/>
      </w:pPr>
      <w:proofErr w:type="gramStart"/>
      <w:r>
        <w:t>Table 5</w:t>
      </w:r>
      <w:r w:rsidR="00715E90">
        <w:t>.</w:t>
      </w:r>
      <w:proofErr w:type="gramEnd"/>
      <w:r w:rsidR="00715E90">
        <w:t xml:space="preserve"> </w:t>
      </w:r>
      <w:proofErr w:type="gramStart"/>
      <w:r w:rsidR="00715E90">
        <w:t>Quartier et al patients accounting month 1 to 12</w:t>
      </w:r>
      <w:r>
        <w:t>.</w:t>
      </w:r>
      <w:proofErr w:type="gramEnd"/>
    </w:p>
    <w:p w:rsidR="00715E90" w:rsidRDefault="00715E90" w:rsidP="003016B1">
      <w:r>
        <w:rPr>
          <w:noProof/>
          <w:lang w:eastAsia="en-AU"/>
        </w:rPr>
        <w:drawing>
          <wp:inline distT="0" distB="0" distL="0" distR="0" wp14:anchorId="45E78B0D" wp14:editId="5ECE3CE0">
            <wp:extent cx="4971841" cy="1185062"/>
            <wp:effectExtent l="0" t="0" r="0" b="0"/>
            <wp:docPr id="12" name="Picture 12" descr="Quartier et al patients accounting month 1 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4973152" cy="1185374"/>
                    </a:xfrm>
                    <a:prstGeom prst="rect">
                      <a:avLst/>
                    </a:prstGeom>
                  </pic:spPr>
                </pic:pic>
              </a:graphicData>
            </a:graphic>
          </wp:inline>
        </w:drawing>
      </w:r>
    </w:p>
    <w:p w:rsidR="00715E90" w:rsidRDefault="00715E90" w:rsidP="00715E90">
      <w:r w:rsidRPr="00715E90">
        <w:t>A severe disease flare was considered as a fai</w:t>
      </w:r>
      <w:r w:rsidR="00FE6136">
        <w:t>lure and in the case of a flare</w:t>
      </w:r>
      <w:r w:rsidRPr="00715E90">
        <w:t xml:space="preserve"> the patients were</w:t>
      </w:r>
      <w:r>
        <w:t xml:space="preserve"> </w:t>
      </w:r>
      <w:r w:rsidRPr="00715E90">
        <w:t>allowed to be withdrawn from the study and to receive the bes</w:t>
      </w:r>
      <w:r>
        <w:t xml:space="preserve">t available treatment according </w:t>
      </w:r>
      <w:r w:rsidRPr="00715E90">
        <w:t>to the investigator’s judgment. A severe flare was defined as at l</w:t>
      </w:r>
      <w:r>
        <w:t>east one of the following:</w:t>
      </w:r>
    </w:p>
    <w:p w:rsidR="00715E90" w:rsidRDefault="00715E90" w:rsidP="00715E90">
      <w:pPr>
        <w:pStyle w:val="ListBullet"/>
      </w:pPr>
      <w:r w:rsidRPr="00715E90">
        <w:t>Symptomatic pericarditis or other symptomatic visceral involvement</w:t>
      </w:r>
    </w:p>
    <w:p w:rsidR="00715E90" w:rsidRPr="00715E90" w:rsidRDefault="00F83A00" w:rsidP="00715E90">
      <w:pPr>
        <w:pStyle w:val="ListBullet"/>
      </w:pPr>
      <w:r>
        <w:t xml:space="preserve">At least 3 days of disease </w:t>
      </w:r>
      <w:r w:rsidR="00715E90" w:rsidRPr="00715E90">
        <w:t>related fever equal or su</w:t>
      </w:r>
      <w:r>
        <w:t>perior to 39°C in the preceding 7 </w:t>
      </w:r>
      <w:r w:rsidR="00715E90" w:rsidRPr="00715E90">
        <w:t>days</w:t>
      </w:r>
    </w:p>
    <w:p w:rsidR="00715E90" w:rsidRPr="00715E90" w:rsidRDefault="00715E90" w:rsidP="00F83A00">
      <w:pPr>
        <w:pStyle w:val="ListBullet"/>
      </w:pPr>
      <w:r w:rsidRPr="00715E90">
        <w:t>A 30% worsening of at l</w:t>
      </w:r>
      <w:r w:rsidR="00F83A00">
        <w:t xml:space="preserve">east 3 items of </w:t>
      </w:r>
      <w:proofErr w:type="spellStart"/>
      <w:r w:rsidR="00F83A00">
        <w:t>Giannini’s</w:t>
      </w:r>
      <w:proofErr w:type="spellEnd"/>
      <w:r w:rsidR="00F83A00">
        <w:t xml:space="preserve"> core </w:t>
      </w:r>
      <w:r w:rsidRPr="00715E90">
        <w:t>set with n</w:t>
      </w:r>
      <w:r w:rsidR="00F83A00">
        <w:t xml:space="preserve">o more than one item </w:t>
      </w:r>
      <w:r w:rsidRPr="00715E90">
        <w:t>improved by 30% or more.</w:t>
      </w:r>
    </w:p>
    <w:p w:rsidR="00715E90" w:rsidRPr="00715E90" w:rsidRDefault="00715E90" w:rsidP="00715E90">
      <w:r w:rsidRPr="00715E90">
        <w:t>Severe flares leading to treatment discontinuation were seen in 2</w:t>
      </w:r>
      <w:r w:rsidR="00CF5CE3">
        <w:t xml:space="preserve"> patients</w:t>
      </w:r>
      <w:r w:rsidR="00F83A00">
        <w:t xml:space="preserve"> after 2 and 3 months </w:t>
      </w:r>
      <w:r w:rsidRPr="00715E90">
        <w:t>of treatment, respectively.</w:t>
      </w:r>
    </w:p>
    <w:p w:rsidR="008E7846" w:rsidRDefault="008E7846" w:rsidP="008E7846">
      <w:pPr>
        <w:pStyle w:val="Heading4"/>
      </w:pPr>
      <w:r>
        <w:lastRenderedPageBreak/>
        <w:t xml:space="preserve">Advisory Committee </w:t>
      </w:r>
      <w:r w:rsidR="003016B1">
        <w:t>c</w:t>
      </w:r>
      <w:r>
        <w:t>onsiderations</w:t>
      </w:r>
    </w:p>
    <w:p w:rsidR="008E7846" w:rsidRDefault="00D23139" w:rsidP="008E7846">
      <w:pPr>
        <w:rPr>
          <w:bCs/>
        </w:rPr>
      </w:pPr>
      <w:r w:rsidRPr="00D23139">
        <w:rPr>
          <w:bCs/>
        </w:rPr>
        <w:t>The Advisory Committee on Prescription Medicines (ACPM), having considered the evaluations and the Delegate’s overview, as well as the sponsor’s response to these documents, advised the following:</w:t>
      </w:r>
    </w:p>
    <w:p w:rsidR="00C81028" w:rsidRPr="00C81028" w:rsidRDefault="00C81028" w:rsidP="00C81028">
      <w:r w:rsidRPr="00C81028">
        <w:t>The ACPM, taking into account the submitted evidence of efficacy, safet</w:t>
      </w:r>
      <w:r>
        <w:t>y and quality, agreed with the D</w:t>
      </w:r>
      <w:r w:rsidRPr="00C81028">
        <w:t xml:space="preserve">elegate and considered </w:t>
      </w:r>
      <w:proofErr w:type="spellStart"/>
      <w:r w:rsidRPr="00C81028">
        <w:t>Kineret</w:t>
      </w:r>
      <w:proofErr w:type="spellEnd"/>
      <w:r w:rsidRPr="00C81028">
        <w:t xml:space="preserve"> solution for injection pre</w:t>
      </w:r>
      <w:r w:rsidR="00EA1957">
        <w:t>-</w:t>
      </w:r>
      <w:r w:rsidRPr="00C81028">
        <w:t xml:space="preserve">filled syringe containing 100 mg/0.67 mL of </w:t>
      </w:r>
      <w:proofErr w:type="spellStart"/>
      <w:r w:rsidRPr="00C81028">
        <w:t>anakinra</w:t>
      </w:r>
      <w:proofErr w:type="spellEnd"/>
      <w:r w:rsidRPr="00C81028">
        <w:t xml:space="preserve"> to have an overall positive benefit–risk pr</w:t>
      </w:r>
      <w:r>
        <w:t>ofile for the D</w:t>
      </w:r>
      <w:r w:rsidR="00F26E20">
        <w:t>elegate’s amended indication;</w:t>
      </w:r>
    </w:p>
    <w:p w:rsidR="00C81028" w:rsidRPr="00C81028" w:rsidRDefault="00C81028" w:rsidP="00C81028">
      <w:pPr>
        <w:ind w:left="720"/>
        <w:rPr>
          <w:i/>
        </w:rPr>
      </w:pPr>
      <w:r w:rsidRPr="00C81028">
        <w:rPr>
          <w:i/>
        </w:rPr>
        <w:t>For the treatment of active Systemic Juvenile Idiopathic Arthritis (SJIA) in patients 2 years and above who have failed to respond adequately to non-biological DMARDs.</w:t>
      </w:r>
    </w:p>
    <w:p w:rsidR="00C81028" w:rsidRPr="00C81028" w:rsidRDefault="00C81028" w:rsidP="00C81028">
      <w:r w:rsidRPr="00C81028">
        <w:t>The recommended dose in SJIA is 2 mg/kg/day up to a maximum of 100 mg/day by SC injection.</w:t>
      </w:r>
    </w:p>
    <w:p w:rsidR="00C81028" w:rsidRPr="00C81028" w:rsidRDefault="00C81028" w:rsidP="00C81028">
      <w:r w:rsidRPr="00C81028">
        <w:t xml:space="preserve">Treatment should be undertaken by physicians experienced in the treatment of SJIA. Decisions should be guided by clinical outcomes including laboratory measures. The treating physician should consider whether patients without clinical improvement should continue treatment with </w:t>
      </w:r>
      <w:proofErr w:type="spellStart"/>
      <w:r w:rsidRPr="00C81028">
        <w:t>anakinra</w:t>
      </w:r>
      <w:proofErr w:type="spellEnd"/>
      <w:r w:rsidRPr="00C81028">
        <w:t>.</w:t>
      </w:r>
    </w:p>
    <w:p w:rsidR="00C81028" w:rsidRPr="00C81028" w:rsidRDefault="00C81028" w:rsidP="00C81028">
      <w:r w:rsidRPr="00C81028">
        <w:t>In maki</w:t>
      </w:r>
      <w:r w:rsidR="000B419B">
        <w:t>ng this recommendation the ACPM;</w:t>
      </w:r>
    </w:p>
    <w:p w:rsidR="00C81028" w:rsidRPr="00C81028" w:rsidRDefault="00C81028" w:rsidP="00C81028">
      <w:pPr>
        <w:pStyle w:val="ListBullet"/>
      </w:pPr>
      <w:r w:rsidRPr="00C81028">
        <w:t>Noted this application was prompted by the Department of Health’s Paediatric Medicines Advisory Group (PMAG)</w:t>
      </w:r>
    </w:p>
    <w:p w:rsidR="00C81028" w:rsidRPr="00C81028" w:rsidRDefault="00C81028" w:rsidP="00C81028">
      <w:pPr>
        <w:pStyle w:val="ListBullet"/>
      </w:pPr>
      <w:r w:rsidRPr="00C81028">
        <w:t>Noted the limited dataset available including cited references that were frequently abstracts and/or diffic</w:t>
      </w:r>
      <w:r w:rsidR="000F28E6">
        <w:t>ult to access</w:t>
      </w:r>
    </w:p>
    <w:p w:rsidR="00C81028" w:rsidRPr="00C81028" w:rsidRDefault="00C81028" w:rsidP="00C81028">
      <w:pPr>
        <w:pStyle w:val="ListBullet"/>
      </w:pPr>
      <w:r w:rsidRPr="00C81028">
        <w:t>No meaningful data on dose escalation or on combination therapy</w:t>
      </w:r>
    </w:p>
    <w:p w:rsidR="00C81028" w:rsidRPr="00C81028" w:rsidRDefault="00C81028" w:rsidP="00C81028">
      <w:pPr>
        <w:pStyle w:val="ListBullet"/>
      </w:pPr>
      <w:r w:rsidRPr="00C81028">
        <w:t>Noted that for the pivotal trial (Quartier, 2011), patients at entry had mean disease duration which exceeded 3 years; that is, this was</w:t>
      </w:r>
      <w:r w:rsidR="000F28E6">
        <w:t xml:space="preserve"> clearly not first line therapy</w:t>
      </w:r>
    </w:p>
    <w:p w:rsidR="00C81028" w:rsidRPr="00C81028" w:rsidRDefault="00C81028" w:rsidP="00C81028">
      <w:pPr>
        <w:pStyle w:val="ListBullet"/>
      </w:pPr>
      <w:r w:rsidRPr="00C81028">
        <w:t>Noted the PK study submitted was not adequate and pr</w:t>
      </w:r>
      <w:r w:rsidR="000F28E6">
        <w:t>ovided no dose finding results</w:t>
      </w:r>
    </w:p>
    <w:p w:rsidR="00C81028" w:rsidRPr="00C81028" w:rsidRDefault="00C81028" w:rsidP="00C81028">
      <w:pPr>
        <w:pStyle w:val="ListBullet"/>
      </w:pPr>
      <w:r w:rsidRPr="00C81028">
        <w:t xml:space="preserve">Noted that the PK/PD data suggest that body surface area dosing might be more appropriate than dosing </w:t>
      </w:r>
      <w:r w:rsidR="000F28E6">
        <w:t>according to body weight strata</w:t>
      </w:r>
    </w:p>
    <w:p w:rsidR="00C81028" w:rsidRPr="00C81028" w:rsidRDefault="00C81028" w:rsidP="00C81028">
      <w:pPr>
        <w:pStyle w:val="ListBullet"/>
      </w:pPr>
      <w:r>
        <w:t>Noted the s</w:t>
      </w:r>
      <w:r w:rsidRPr="00C81028">
        <w:t>ponsor has only limited data</w:t>
      </w:r>
      <w:r w:rsidR="005D252D">
        <w:t xml:space="preserve"> on off label </w:t>
      </w:r>
      <w:proofErr w:type="spellStart"/>
      <w:r w:rsidR="005D252D">
        <w:t>anakinra</w:t>
      </w:r>
      <w:proofErr w:type="spellEnd"/>
      <w:r w:rsidR="005D252D">
        <w:t xml:space="preserve"> use for S</w:t>
      </w:r>
      <w:r w:rsidRPr="00C81028">
        <w:t>JIA in Australia</w:t>
      </w:r>
      <w:r>
        <w:t>.</w:t>
      </w:r>
    </w:p>
    <w:p w:rsidR="00C81028" w:rsidRPr="00C81028" w:rsidRDefault="00C81028" w:rsidP="00C81028">
      <w:pPr>
        <w:pStyle w:val="Heading5"/>
      </w:pPr>
      <w:r w:rsidRPr="00C81028">
        <w:t>Proposed conditions of registration</w:t>
      </w:r>
    </w:p>
    <w:p w:rsidR="00C81028" w:rsidRPr="00C81028" w:rsidRDefault="00C81028" w:rsidP="00C81028">
      <w:r w:rsidRPr="00C81028">
        <w:t>The ACPM agre</w:t>
      </w:r>
      <w:r w:rsidR="00CF5CE3">
        <w:t>ed with the D</w:t>
      </w:r>
      <w:r w:rsidRPr="00C81028">
        <w:t>elegate on the propo</w:t>
      </w:r>
      <w:r w:rsidR="00FE6136">
        <w:t>sed conditions of registration.</w:t>
      </w:r>
    </w:p>
    <w:p w:rsidR="00C81028" w:rsidRPr="00C81028" w:rsidRDefault="00C81028" w:rsidP="00C81028">
      <w:pPr>
        <w:pStyle w:val="Heading5"/>
      </w:pPr>
      <w:r w:rsidRPr="00C81028">
        <w:t>Proposed Product Information (PI)/Consumer Medicine Information (CMI) amendments</w:t>
      </w:r>
    </w:p>
    <w:p w:rsidR="00C81028" w:rsidRPr="00C81028" w:rsidRDefault="00CF5CE3" w:rsidP="00C81028">
      <w:r>
        <w:t>The ACPM agreed with the D</w:t>
      </w:r>
      <w:r w:rsidR="00C81028" w:rsidRPr="00C81028">
        <w:t>elegate to the proposed amendments to the Product Information (PI) and Consumer Medicine Information (CMI) and specifically advised on the inclusion of the f</w:t>
      </w:r>
      <w:r w:rsidR="00C81028">
        <w:t>ollowing:</w:t>
      </w:r>
    </w:p>
    <w:p w:rsidR="00C81028" w:rsidRPr="00C81028" w:rsidRDefault="00C81028" w:rsidP="00C81028">
      <w:pPr>
        <w:pStyle w:val="ListBullet"/>
      </w:pPr>
      <w:r w:rsidRPr="00C81028">
        <w:t>The Immunogenicity section should be rewritten as its meaning and import</w:t>
      </w:r>
      <w:r w:rsidR="00CF5CE3">
        <w:t>ance</w:t>
      </w:r>
      <w:r w:rsidRPr="00C81028">
        <w:t xml:space="preserve"> is</w:t>
      </w:r>
      <w:r w:rsidR="000F28E6">
        <w:t xml:space="preserve"> not clear</w:t>
      </w:r>
    </w:p>
    <w:p w:rsidR="00C81028" w:rsidRPr="00C81028" w:rsidRDefault="00C81028" w:rsidP="00C81028">
      <w:pPr>
        <w:pStyle w:val="ListBullet"/>
      </w:pPr>
      <w:r w:rsidRPr="00C81028">
        <w:t>Material relating to results of the piv</w:t>
      </w:r>
      <w:r>
        <w:t xml:space="preserve">otal study should be presented </w:t>
      </w:r>
      <w:r w:rsidRPr="00C81028">
        <w:t xml:space="preserve">with the addition of a table and include timing of </w:t>
      </w:r>
      <w:r w:rsidR="000F28E6">
        <w:t>response and treatment failures</w:t>
      </w:r>
    </w:p>
    <w:p w:rsidR="00C81028" w:rsidRPr="00C81028" w:rsidRDefault="00CF5CE3" w:rsidP="00C81028">
      <w:pPr>
        <w:pStyle w:val="ListBullet"/>
      </w:pPr>
      <w:r>
        <w:t>When describing ‘</w:t>
      </w:r>
      <w:r w:rsidR="00C81028" w:rsidRPr="00C81028">
        <w:t>Ad</w:t>
      </w:r>
      <w:r>
        <w:t>ditional published data in SJIA’</w:t>
      </w:r>
      <w:r w:rsidR="00C81028" w:rsidRPr="00C81028">
        <w:t xml:space="preserve"> t</w:t>
      </w:r>
      <w:r w:rsidR="000F28E6">
        <w:t>he sources should be identified</w:t>
      </w:r>
    </w:p>
    <w:p w:rsidR="00C81028" w:rsidRPr="00C81028" w:rsidRDefault="00C81028" w:rsidP="00C81028">
      <w:pPr>
        <w:pStyle w:val="ListBullet"/>
      </w:pPr>
      <w:r w:rsidRPr="00C81028">
        <w:t>The diagram in the CMI of the syringe could be clearer.</w:t>
      </w:r>
    </w:p>
    <w:p w:rsidR="00C81028" w:rsidRPr="00C81028" w:rsidRDefault="00C81028" w:rsidP="00C81028">
      <w:pPr>
        <w:pStyle w:val="Heading5"/>
        <w:rPr>
          <w:highlight w:val="yellow"/>
        </w:rPr>
      </w:pPr>
      <w:r w:rsidRPr="00C81028">
        <w:lastRenderedPageBreak/>
        <w:t xml:space="preserve">Specific </w:t>
      </w:r>
      <w:r w:rsidR="003016B1">
        <w:t>a</w:t>
      </w:r>
      <w:r w:rsidRPr="00C81028">
        <w:t>dvice</w:t>
      </w:r>
    </w:p>
    <w:p w:rsidR="00C81028" w:rsidRPr="00C81028" w:rsidRDefault="00C81028" w:rsidP="00C81028">
      <w:r w:rsidRPr="00C81028">
        <w:t>The ACPM advised th</w:t>
      </w:r>
      <w:r>
        <w:t>e following in response to the D</w:t>
      </w:r>
      <w:r w:rsidRPr="00C81028">
        <w:t>elegate’s specific questions on this submission:</w:t>
      </w:r>
    </w:p>
    <w:p w:rsidR="00C81028" w:rsidRPr="00C81028" w:rsidRDefault="00C81028" w:rsidP="001D744A">
      <w:pPr>
        <w:pStyle w:val="Numberbullet0"/>
        <w:numPr>
          <w:ilvl w:val="0"/>
          <w:numId w:val="9"/>
        </w:numPr>
        <w:rPr>
          <w:i/>
        </w:rPr>
      </w:pPr>
      <w:r w:rsidRPr="00C81028">
        <w:rPr>
          <w:i/>
        </w:rPr>
        <w:t xml:space="preserve">Does the Committee consider the supporting dataset sufficient for approval of </w:t>
      </w:r>
      <w:proofErr w:type="spellStart"/>
      <w:r w:rsidRPr="00C81028">
        <w:rPr>
          <w:i/>
        </w:rPr>
        <w:t>anakinra</w:t>
      </w:r>
      <w:proofErr w:type="spellEnd"/>
      <w:r w:rsidRPr="00C81028">
        <w:rPr>
          <w:i/>
        </w:rPr>
        <w:t xml:space="preserve"> in SJIA patients aged 2 years and above?</w:t>
      </w:r>
    </w:p>
    <w:p w:rsidR="00C81028" w:rsidRPr="00C81028" w:rsidRDefault="00C81028" w:rsidP="00C81028">
      <w:r w:rsidRPr="00C81028">
        <w:t>The data are limited but adequate for prescription by experienced clinicians.</w:t>
      </w:r>
    </w:p>
    <w:p w:rsidR="00C81028" w:rsidRPr="00C81028" w:rsidRDefault="00C81028" w:rsidP="00C81028">
      <w:pPr>
        <w:pStyle w:val="Numberbullet0"/>
        <w:rPr>
          <w:i/>
        </w:rPr>
      </w:pPr>
      <w:r w:rsidRPr="00C81028">
        <w:rPr>
          <w:i/>
        </w:rPr>
        <w:t xml:space="preserve">Would a </w:t>
      </w:r>
      <w:r w:rsidR="00CF5CE3">
        <w:rPr>
          <w:i/>
        </w:rPr>
        <w:t>second</w:t>
      </w:r>
      <w:r w:rsidRPr="00C81028">
        <w:rPr>
          <w:i/>
        </w:rPr>
        <w:t xml:space="preserve"> line indication (failed response to non-biological agents) and broad recommendation (without specifying concomitant use with methotrexate) clinically appropriate?</w:t>
      </w:r>
    </w:p>
    <w:p w:rsidR="00C81028" w:rsidRPr="00C81028" w:rsidRDefault="00C81028" w:rsidP="00C81028">
      <w:r w:rsidRPr="00C81028">
        <w:t xml:space="preserve">The ACPM advised that a </w:t>
      </w:r>
      <w:r w:rsidR="00CF5CE3">
        <w:t>second</w:t>
      </w:r>
      <w:r w:rsidRPr="00C81028">
        <w:t xml:space="preserve"> line indication was suitable, given the evidence provided by t</w:t>
      </w:r>
      <w:r>
        <w:t>he pivotal study in particular.</w:t>
      </w:r>
    </w:p>
    <w:p w:rsidR="00C81028" w:rsidRPr="00C81028" w:rsidRDefault="00CF5CE3" w:rsidP="00C81028">
      <w:pPr>
        <w:pStyle w:val="Numberbullet0"/>
        <w:rPr>
          <w:i/>
        </w:rPr>
      </w:pPr>
      <w:r>
        <w:rPr>
          <w:i/>
        </w:rPr>
        <w:t>Is the D</w:t>
      </w:r>
      <w:r w:rsidR="00C81028" w:rsidRPr="00C81028">
        <w:rPr>
          <w:i/>
        </w:rPr>
        <w:t>elegate’s recommended restricted dosing</w:t>
      </w:r>
      <w:r w:rsidR="00C81028">
        <w:rPr>
          <w:i/>
        </w:rPr>
        <w:t xml:space="preserve"> regimen (2 mg/kg/day up to 100 </w:t>
      </w:r>
      <w:r w:rsidR="00C81028" w:rsidRPr="00C81028">
        <w:rPr>
          <w:i/>
        </w:rPr>
        <w:t>mg/day SC) consistent with the data and the PK/PD model?</w:t>
      </w:r>
    </w:p>
    <w:p w:rsidR="00C81028" w:rsidRPr="00C81028" w:rsidRDefault="00C81028" w:rsidP="00C81028">
      <w:r w:rsidRPr="00C81028">
        <w:t>The ACPM was of the view that the proposed dosing was supported by the trial evidence, but that individualised treatment to target would be the norm. Information regarding benefit of dose escalation is sparse though CAPS experience suggests it would be safe. The ACPM noted that the PK/PD data presented was very limited.</w:t>
      </w:r>
    </w:p>
    <w:p w:rsidR="00C81028" w:rsidRPr="00C81028" w:rsidRDefault="00CF5CE3" w:rsidP="00C81028">
      <w:pPr>
        <w:pStyle w:val="Numberbullet0"/>
        <w:rPr>
          <w:i/>
        </w:rPr>
      </w:pPr>
      <w:r>
        <w:rPr>
          <w:i/>
        </w:rPr>
        <w:t>Does the c</w:t>
      </w:r>
      <w:r w:rsidR="00C81028" w:rsidRPr="00C81028">
        <w:rPr>
          <w:i/>
        </w:rPr>
        <w:t xml:space="preserve">ommittee have further specific recommendations in regard to treatment withdrawal in case of non-response (such as after 4 weeks of treatment) and cessation of treatment in case of responders (such as at 3 months)? Would </w:t>
      </w:r>
      <w:proofErr w:type="gramStart"/>
      <w:r w:rsidR="00C81028" w:rsidRPr="00C81028">
        <w:rPr>
          <w:i/>
        </w:rPr>
        <w:t>tapering</w:t>
      </w:r>
      <w:proofErr w:type="gramEnd"/>
      <w:r w:rsidR="00C81028" w:rsidRPr="00C81028">
        <w:rPr>
          <w:i/>
        </w:rPr>
        <w:t xml:space="preserve"> (such as once every other day dosing for one month) be appropriate prior to ceasing?</w:t>
      </w:r>
    </w:p>
    <w:p w:rsidR="00C81028" w:rsidRPr="00C81028" w:rsidRDefault="00C81028" w:rsidP="00C81028">
      <w:r w:rsidRPr="00C81028">
        <w:t xml:space="preserve">The informative cessation data are limited to the </w:t>
      </w:r>
      <w:proofErr w:type="spellStart"/>
      <w:r w:rsidRPr="00C81028">
        <w:t>Vastert</w:t>
      </w:r>
      <w:proofErr w:type="spellEnd"/>
      <w:r w:rsidRPr="00C81028">
        <w:t xml:space="preserve"> open label study which tapered over one month after 3 months of effective therapy and the Quartier study suggests responses may take longer than 1 month to be obtained.</w:t>
      </w:r>
    </w:p>
    <w:p w:rsidR="00C81028" w:rsidRPr="00A322B3" w:rsidRDefault="00C81028" w:rsidP="008E7846">
      <w:r w:rsidRPr="00C81028">
        <w:t>The ACPM advised that implementation by the sponsor of the recommendations outlined above to the satisfaction of the TGA, in addition to the evidence of efficacy and safety provided would support the safe and effective use of these products.</w:t>
      </w:r>
    </w:p>
    <w:p w:rsidR="008E7846" w:rsidRPr="002E238E" w:rsidRDefault="008E7846" w:rsidP="008E7846">
      <w:pPr>
        <w:pStyle w:val="Heading3"/>
      </w:pPr>
      <w:bookmarkStart w:id="165" w:name="_Toc247691532"/>
      <w:bookmarkStart w:id="166" w:name="_Toc314842516"/>
      <w:bookmarkStart w:id="167" w:name="_Toc436300056"/>
      <w:bookmarkEnd w:id="95"/>
      <w:bookmarkEnd w:id="163"/>
      <w:bookmarkEnd w:id="164"/>
      <w:r>
        <w:t>Outcome</w:t>
      </w:r>
      <w:bookmarkEnd w:id="165"/>
      <w:bookmarkEnd w:id="166"/>
      <w:bookmarkEnd w:id="167"/>
    </w:p>
    <w:p w:rsidR="00D23139" w:rsidRPr="00D23139" w:rsidRDefault="00D23139" w:rsidP="00D23139">
      <w:bookmarkStart w:id="168" w:name="_Toc247691533"/>
      <w:bookmarkStart w:id="169" w:name="_Toc314842517"/>
      <w:r w:rsidRPr="00D23139">
        <w:t xml:space="preserve">Based on a review of quality, safety and efficacy, TGA approved the registration of </w:t>
      </w:r>
      <w:proofErr w:type="spellStart"/>
      <w:r w:rsidR="001D702D">
        <w:t>Kineret</w:t>
      </w:r>
      <w:proofErr w:type="spellEnd"/>
      <w:r w:rsidRPr="00D23139">
        <w:t xml:space="preserve"> </w:t>
      </w:r>
      <w:proofErr w:type="spellStart"/>
      <w:r w:rsidR="004C391A">
        <w:t>anankinra</w:t>
      </w:r>
      <w:proofErr w:type="spellEnd"/>
      <w:r w:rsidR="004C391A">
        <w:t xml:space="preserve"> (</w:t>
      </w:r>
      <w:proofErr w:type="spellStart"/>
      <w:proofErr w:type="gramStart"/>
      <w:r w:rsidR="004C391A">
        <w:t>rbe</w:t>
      </w:r>
      <w:proofErr w:type="spellEnd"/>
      <w:proofErr w:type="gramEnd"/>
      <w:r w:rsidR="004C391A">
        <w:t>) 100 mg/0.67 mL solution for injection prefilled syringe</w:t>
      </w:r>
      <w:r w:rsidR="000B419B">
        <w:t>, indicated</w:t>
      </w:r>
      <w:r w:rsidRPr="00D23139">
        <w:t>:</w:t>
      </w:r>
    </w:p>
    <w:p w:rsidR="00D23139" w:rsidRPr="00D23139" w:rsidRDefault="001D702D" w:rsidP="004C391A">
      <w:pPr>
        <w:ind w:left="720"/>
      </w:pPr>
      <w:r w:rsidRPr="001D702D">
        <w:rPr>
          <w:i/>
        </w:rPr>
        <w:t>For the treatment of active Systemic Juvenile Idiopathic</w:t>
      </w:r>
      <w:r w:rsidR="000B419B">
        <w:rPr>
          <w:i/>
        </w:rPr>
        <w:t xml:space="preserve"> Arthritis (SJIA) in patients 2 </w:t>
      </w:r>
      <w:r w:rsidRPr="001D702D">
        <w:rPr>
          <w:i/>
        </w:rPr>
        <w:t>years and above who have failed to respond adequately to non-biological DMARDs.</w:t>
      </w:r>
    </w:p>
    <w:p w:rsidR="00D23139" w:rsidRPr="00D23139" w:rsidRDefault="00D23139" w:rsidP="00D23139">
      <w:pPr>
        <w:pStyle w:val="Heading4"/>
      </w:pPr>
      <w:r w:rsidRPr="00D23139">
        <w:t>Specific conditions of registration applying to these goods</w:t>
      </w:r>
    </w:p>
    <w:p w:rsidR="00D23139" w:rsidRPr="00D23139" w:rsidRDefault="00F26E20" w:rsidP="00D23139">
      <w:r>
        <w:t xml:space="preserve">The </w:t>
      </w:r>
      <w:proofErr w:type="spellStart"/>
      <w:r>
        <w:t>anakinra</w:t>
      </w:r>
      <w:proofErr w:type="spellEnd"/>
      <w:r>
        <w:t xml:space="preserve"> EU-Risk Management Plan (EU-RMP), version 3.2, dated 13 September 2013 with Australian Specific Annex (version 3.2 dated September 2014), included with the submission PM-2013-04579-1-3, and any subsequent revisions, as agreed with the TGA will be implemented in Australia.</w:t>
      </w:r>
    </w:p>
    <w:p w:rsidR="008E7846" w:rsidRDefault="00A80B5B" w:rsidP="00D23139">
      <w:pPr>
        <w:pStyle w:val="Heading2"/>
      </w:pPr>
      <w:bookmarkStart w:id="170" w:name="_Toc436300057"/>
      <w:proofErr w:type="gramStart"/>
      <w:r>
        <w:t>Attachment 1.</w:t>
      </w:r>
      <w:proofErr w:type="gramEnd"/>
      <w:r>
        <w:t xml:space="preserve"> </w:t>
      </w:r>
      <w:r w:rsidR="008E7846">
        <w:t xml:space="preserve">Product </w:t>
      </w:r>
      <w:r w:rsidR="00AA0ED0">
        <w:t>I</w:t>
      </w:r>
      <w:r w:rsidR="008E7846">
        <w:t>nformation</w:t>
      </w:r>
      <w:bookmarkEnd w:id="168"/>
      <w:bookmarkEnd w:id="169"/>
      <w:bookmarkEnd w:id="170"/>
    </w:p>
    <w:p w:rsidR="00C80137" w:rsidRDefault="002B3624" w:rsidP="00C80137">
      <w:pPr>
        <w:rPr>
          <w:color w:val="000000"/>
          <w:lang w:eastAsia="en-AU"/>
        </w:rPr>
      </w:pPr>
      <w:r w:rsidRPr="002B3624">
        <w:t>The Produc</w:t>
      </w:r>
      <w:r w:rsidR="001D702D">
        <w:t xml:space="preserve">t Information approved for </w:t>
      </w:r>
      <w:proofErr w:type="spellStart"/>
      <w:r w:rsidR="001D702D">
        <w:t>Kineret</w:t>
      </w:r>
      <w:proofErr w:type="spellEnd"/>
      <w:r w:rsidR="001D702D">
        <w:t xml:space="preserve"> </w:t>
      </w:r>
      <w:r w:rsidRPr="002B3624">
        <w:t xml:space="preserve">at the time this </w:t>
      </w:r>
      <w:proofErr w:type="spellStart"/>
      <w:r w:rsidRPr="002B3624">
        <w:t>AusPAR</w:t>
      </w:r>
      <w:proofErr w:type="spellEnd"/>
      <w:r w:rsidRPr="002B3624">
        <w:t xml:space="preserve"> was published is at Attachment 1. For the most recent Product Information please refer to the TGA website at &lt;</w:t>
      </w:r>
      <w:hyperlink r:id="rId26" w:history="1">
        <w:r w:rsidR="00383221">
          <w:rPr>
            <w:rStyle w:val="Hyperlink"/>
          </w:rPr>
          <w:t>https://www.tga.gov.au/product-information-pi</w:t>
        </w:r>
      </w:hyperlink>
      <w:r w:rsidR="001D702D">
        <w:t>&gt;.</w:t>
      </w:r>
    </w:p>
    <w:p w:rsidR="00C80137" w:rsidRDefault="00C80137" w:rsidP="00C80137">
      <w:pPr>
        <w:pStyle w:val="Heading2"/>
        <w:rPr>
          <w:lang w:eastAsia="en-AU"/>
        </w:rPr>
      </w:pPr>
      <w:bookmarkStart w:id="171" w:name="_Toc436300058"/>
      <w:proofErr w:type="gramStart"/>
      <w:r>
        <w:rPr>
          <w:lang w:eastAsia="en-AU"/>
        </w:rPr>
        <w:lastRenderedPageBreak/>
        <w:t>Attachment 2.</w:t>
      </w:r>
      <w:proofErr w:type="gramEnd"/>
      <w:r w:rsidR="00A80B5B">
        <w:rPr>
          <w:lang w:eastAsia="en-AU"/>
        </w:rPr>
        <w:t xml:space="preserve"> </w:t>
      </w:r>
      <w:r>
        <w:rPr>
          <w:lang w:eastAsia="en-AU"/>
        </w:rPr>
        <w:t>Extract from the Clinical Evaluation Report</w:t>
      </w:r>
      <w:bookmarkEnd w:id="171"/>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27"/>
          <w:headerReference w:type="default" r:id="rId28"/>
          <w:headerReference w:type="first" r:id="rId29"/>
          <w:footerReference w:type="first" r:id="rId30"/>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31" w:history="1">
              <w:r w:rsidRPr="004C239D">
                <w:rPr>
                  <w:rStyle w:val="Hyperlink"/>
                </w:rPr>
                <w:t>info@tga.gov.au</w:t>
              </w:r>
            </w:hyperlink>
            <w:r w:rsidRPr="00487162">
              <w:t xml:space="preserve">  Phone: 1800 020 653  Fax: 02 6232 8605</w:t>
            </w:r>
          </w:p>
          <w:p w:rsidR="001C32CD" w:rsidRPr="004C239D" w:rsidRDefault="000D6F2E" w:rsidP="00A05FA4">
            <w:pPr>
              <w:pStyle w:val="Address"/>
              <w:spacing w:line="260" w:lineRule="atLeast"/>
              <w:rPr>
                <w:b/>
                <w:color w:val="0000FF"/>
                <w:u w:val="single"/>
              </w:rPr>
            </w:pPr>
            <w:hyperlink r:id="rId32" w:history="1">
              <w:r w:rsidR="004F47D6">
                <w:rPr>
                  <w:rStyle w:val="Hyperlink"/>
                  <w:b/>
                </w:rPr>
                <w:t>https://www.tga.gov.au</w:t>
              </w:r>
            </w:hyperlink>
          </w:p>
        </w:tc>
      </w:tr>
    </w:tbl>
    <w:p w:rsidR="00774E1D" w:rsidRPr="008A5E0B" w:rsidRDefault="00774E1D" w:rsidP="004C239D"/>
    <w:sectPr w:rsidR="00774E1D" w:rsidRPr="008A5E0B" w:rsidSect="001C32CD">
      <w:headerReference w:type="even" r:id="rId33"/>
      <w:headerReference w:type="default" r:id="rId34"/>
      <w:footerReference w:type="default" r:id="rId35"/>
      <w:headerReference w:type="first" r:id="rId36"/>
      <w:footerReference w:type="first" r:id="rId37"/>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F9E56" w15:done="0"/>
  <w15:commentEx w15:paraId="3151B0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2E" w:rsidRDefault="000D6F2E" w:rsidP="00C40A36">
      <w:pPr>
        <w:spacing w:after="0"/>
      </w:pPr>
      <w:r>
        <w:separator/>
      </w:r>
    </w:p>
  </w:endnote>
  <w:endnote w:type="continuationSeparator" w:id="0">
    <w:p w:rsidR="000D6F2E" w:rsidRDefault="000D6F2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655"/>
      <w:gridCol w:w="1206"/>
    </w:tblGrid>
    <w:tr w:rsidR="000D6F2E" w:rsidRPr="00487162" w:rsidTr="000D6F2E">
      <w:trPr>
        <w:trHeight w:val="269"/>
      </w:trPr>
      <w:tc>
        <w:tcPr>
          <w:tcW w:w="7655" w:type="dxa"/>
          <w:tcMar>
            <w:top w:w="142" w:type="dxa"/>
            <w:bottom w:w="0" w:type="dxa"/>
          </w:tcMar>
        </w:tcPr>
        <w:p w:rsidR="000D6F2E" w:rsidRPr="00487162" w:rsidRDefault="000D6F2E" w:rsidP="000F3D5E">
          <w:pPr>
            <w:pStyle w:val="Footer"/>
          </w:pPr>
          <w:proofErr w:type="spellStart"/>
          <w:r w:rsidRPr="00487162">
            <w:t>AusPAR</w:t>
          </w:r>
          <w:proofErr w:type="spellEnd"/>
          <w:r w:rsidRPr="00487162">
            <w:t xml:space="preserve"> </w:t>
          </w:r>
          <w:proofErr w:type="spellStart"/>
          <w:r>
            <w:t>Kineret</w:t>
          </w:r>
          <w:proofErr w:type="spellEnd"/>
          <w:r>
            <w:t xml:space="preserve"> </w:t>
          </w:r>
          <w:proofErr w:type="spellStart"/>
          <w:r>
            <w:t>anakinra</w:t>
          </w:r>
          <w:proofErr w:type="spellEnd"/>
          <w:r w:rsidRPr="00487162">
            <w:t xml:space="preserve"> </w:t>
          </w:r>
          <w:r>
            <w:t xml:space="preserve">A </w:t>
          </w:r>
          <w:proofErr w:type="spellStart"/>
          <w:r>
            <w:t>Menarini</w:t>
          </w:r>
          <w:proofErr w:type="spellEnd"/>
          <w:r>
            <w:t xml:space="preserve"> Australia Pty Ltd</w:t>
          </w:r>
          <w:r w:rsidRPr="00487162">
            <w:t xml:space="preserve"> PM</w:t>
          </w:r>
          <w:r>
            <w:t xml:space="preserve">-2013-04579-1-3 </w:t>
          </w:r>
          <w:r>
            <w:br/>
            <w:t>30 October 2015</w:t>
          </w:r>
        </w:p>
      </w:tc>
      <w:tc>
        <w:tcPr>
          <w:tcW w:w="1206" w:type="dxa"/>
          <w:tcMar>
            <w:top w:w="142" w:type="dxa"/>
            <w:bottom w:w="0" w:type="dxa"/>
          </w:tcMar>
        </w:tcPr>
        <w:p w:rsidR="000D6F2E" w:rsidRPr="00487162" w:rsidRDefault="000D6F2E" w:rsidP="00DB750B">
          <w:pPr>
            <w:pStyle w:val="Footer"/>
            <w:jc w:val="right"/>
          </w:pPr>
          <w:r w:rsidRPr="00487162">
            <w:t xml:space="preserve">Page </w:t>
          </w:r>
          <w:r>
            <w:fldChar w:fldCharType="begin"/>
          </w:r>
          <w:r>
            <w:instrText xml:space="preserve"> PAGE  \* Arabic </w:instrText>
          </w:r>
          <w:r>
            <w:fldChar w:fldCharType="separate"/>
          </w:r>
          <w:r w:rsidR="003016B1">
            <w:rPr>
              <w:noProof/>
            </w:rPr>
            <w:t>3</w:t>
          </w:r>
          <w:r>
            <w:rPr>
              <w:noProof/>
            </w:rPr>
            <w:fldChar w:fldCharType="end"/>
          </w:r>
          <w:r w:rsidRPr="00487162">
            <w:t xml:space="preserve"> of </w:t>
          </w:r>
          <w:r>
            <w:fldChar w:fldCharType="begin"/>
          </w:r>
          <w:r>
            <w:instrText xml:space="preserve"> NUMPAGES  \* Arabic </w:instrText>
          </w:r>
          <w:r>
            <w:fldChar w:fldCharType="separate"/>
          </w:r>
          <w:r w:rsidR="003016B1">
            <w:rPr>
              <w:noProof/>
            </w:rPr>
            <w:t>42</w:t>
          </w:r>
          <w:r>
            <w:rPr>
              <w:noProof/>
            </w:rPr>
            <w:fldChar w:fldCharType="end"/>
          </w:r>
        </w:p>
      </w:tc>
    </w:tr>
  </w:tbl>
  <w:p w:rsidR="000D6F2E" w:rsidRDefault="000D6F2E"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0D6F2E" w:rsidRPr="00487162" w:rsidTr="00E45619">
      <w:trPr>
        <w:trHeight w:val="269"/>
      </w:trPr>
      <w:tc>
        <w:tcPr>
          <w:tcW w:w="4519" w:type="dxa"/>
          <w:tcBorders>
            <w:top w:val="single" w:sz="4" w:space="0" w:color="auto"/>
          </w:tcBorders>
          <w:tcMar>
            <w:top w:w="142" w:type="dxa"/>
            <w:bottom w:w="0" w:type="dxa"/>
          </w:tcMar>
        </w:tcPr>
        <w:p w:rsidR="000D6F2E" w:rsidRPr="00487162" w:rsidRDefault="000D6F2E" w:rsidP="00FE1DEE">
          <w:pPr>
            <w:pStyle w:val="Footer"/>
          </w:pPr>
          <w:r w:rsidRPr="00487162">
            <w:t>Document title, Part #, Section # - Section title</w:t>
          </w:r>
        </w:p>
        <w:p w:rsidR="000D6F2E" w:rsidRPr="00487162" w:rsidRDefault="000D6F2E" w:rsidP="00FE1DEE">
          <w:pPr>
            <w:pStyle w:val="Footer"/>
          </w:pPr>
          <w:r w:rsidRPr="00487162">
            <w:t>V1.0 October 2010</w:t>
          </w:r>
        </w:p>
      </w:tc>
      <w:tc>
        <w:tcPr>
          <w:tcW w:w="4342" w:type="dxa"/>
          <w:tcBorders>
            <w:top w:val="single" w:sz="4" w:space="0" w:color="auto"/>
          </w:tcBorders>
          <w:tcMar>
            <w:top w:w="142" w:type="dxa"/>
            <w:bottom w:w="0" w:type="dxa"/>
          </w:tcMar>
        </w:tcPr>
        <w:p w:rsidR="000D6F2E" w:rsidRPr="00487162" w:rsidRDefault="000D6F2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3</w:t>
          </w:r>
          <w:r>
            <w:rPr>
              <w:noProof/>
            </w:rPr>
            <w:fldChar w:fldCharType="end"/>
          </w:r>
        </w:p>
      </w:tc>
    </w:tr>
  </w:tbl>
  <w:p w:rsidR="000D6F2E" w:rsidRDefault="000D6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Pr="001C32CD" w:rsidRDefault="000D6F2E"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0D6F2E" w:rsidTr="0010601F">
      <w:trPr>
        <w:trHeight w:val="108"/>
      </w:trPr>
      <w:tc>
        <w:tcPr>
          <w:tcW w:w="8875" w:type="dxa"/>
          <w:gridSpan w:val="2"/>
          <w:tcBorders>
            <w:bottom w:val="single" w:sz="4" w:space="0" w:color="auto"/>
          </w:tcBorders>
          <w:tcMar>
            <w:right w:w="284" w:type="dxa"/>
          </w:tcMar>
        </w:tcPr>
        <w:p w:rsidR="000D6F2E" w:rsidRDefault="000D6F2E" w:rsidP="006E08B3">
          <w:pPr>
            <w:pStyle w:val="Heading3"/>
          </w:pPr>
          <w:r>
            <w:t>Copyright</w:t>
          </w:r>
        </w:p>
        <w:p w:rsidR="000D6F2E" w:rsidRDefault="000D6F2E" w:rsidP="006E08B3">
          <w:r>
            <w:rPr>
              <w:rFonts w:cs="Arial"/>
            </w:rPr>
            <w:t>©</w:t>
          </w:r>
          <w:r>
            <w:t xml:space="preserve"> Commonwealth of Australia [add year]</w:t>
          </w:r>
        </w:p>
        <w:p w:rsidR="000D6F2E" w:rsidRDefault="000D6F2E" w:rsidP="006E08B3"/>
        <w:p w:rsidR="000D6F2E" w:rsidRDefault="000D6F2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0D6F2E" w:rsidRDefault="000D6F2E" w:rsidP="006E08B3"/>
        <w:p w:rsidR="000D6F2E" w:rsidRDefault="000D6F2E" w:rsidP="006E08B3">
          <w:pPr>
            <w:pStyle w:val="Heading3"/>
          </w:pPr>
          <w:r>
            <w:t>Confidentiality</w:t>
          </w:r>
        </w:p>
        <w:p w:rsidR="000D6F2E" w:rsidRDefault="000D6F2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0D6F2E" w:rsidRDefault="000D6F2E" w:rsidP="006E08B3"/>
        <w:p w:rsidR="000D6F2E" w:rsidRDefault="000D6F2E" w:rsidP="006E08B3">
          <w:r>
            <w:t>For submission made by individuals, all personal details, other than your name, will be removed from your submission before it is published on the TGA’s Internet site.</w:t>
          </w:r>
        </w:p>
        <w:p w:rsidR="000D6F2E" w:rsidRDefault="000D6F2E" w:rsidP="006E08B3"/>
        <w:p w:rsidR="000D6F2E" w:rsidRDefault="000D6F2E"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D6F2E" w:rsidTr="0010601F">
      <w:trPr>
        <w:trHeight w:val="417"/>
      </w:trPr>
      <w:tc>
        <w:tcPr>
          <w:tcW w:w="4519" w:type="dxa"/>
          <w:tcBorders>
            <w:top w:val="single" w:sz="4" w:space="0" w:color="auto"/>
          </w:tcBorders>
          <w:tcMar>
            <w:top w:w="142" w:type="dxa"/>
            <w:bottom w:w="0" w:type="dxa"/>
          </w:tcMar>
        </w:tcPr>
        <w:p w:rsidR="000D6F2E" w:rsidRDefault="000D6F2E" w:rsidP="006E08B3">
          <w:r>
            <w:t>Document title, Part #, Section # - Section title</w:t>
          </w:r>
        </w:p>
        <w:p w:rsidR="000D6F2E" w:rsidRDefault="000D6F2E" w:rsidP="006E08B3">
          <w:r>
            <w:t>V1.0 October 2010</w:t>
          </w:r>
        </w:p>
      </w:tc>
      <w:tc>
        <w:tcPr>
          <w:tcW w:w="4356" w:type="dxa"/>
          <w:tcBorders>
            <w:top w:val="single" w:sz="4" w:space="0" w:color="auto"/>
          </w:tcBorders>
          <w:tcMar>
            <w:top w:w="142" w:type="dxa"/>
            <w:bottom w:w="0" w:type="dxa"/>
          </w:tcMar>
        </w:tcPr>
        <w:p w:rsidR="000D6F2E" w:rsidRDefault="000D6F2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3</w:t>
          </w:r>
          <w:r>
            <w:rPr>
              <w:noProof/>
            </w:rPr>
            <w:fldChar w:fldCharType="end"/>
          </w:r>
          <w:r>
            <w:t xml:space="preserve">  </w:t>
          </w:r>
        </w:p>
      </w:tc>
    </w:tr>
  </w:tbl>
  <w:p w:rsidR="000D6F2E" w:rsidRDefault="000D6F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2E" w:rsidRDefault="000D6F2E" w:rsidP="00C40A36">
      <w:pPr>
        <w:spacing w:after="0"/>
      </w:pPr>
      <w:r>
        <w:separator/>
      </w:r>
    </w:p>
  </w:footnote>
  <w:footnote w:type="continuationSeparator" w:id="0">
    <w:p w:rsidR="000D6F2E" w:rsidRDefault="000D6F2E" w:rsidP="00C40A36">
      <w:pPr>
        <w:spacing w:after="0"/>
      </w:pPr>
      <w:r>
        <w:continuationSeparator/>
      </w:r>
    </w:p>
  </w:footnote>
  <w:footnote w:id="1">
    <w:p w:rsidR="000D6F2E" w:rsidRDefault="000D6F2E" w:rsidP="008831B9">
      <w:pPr>
        <w:pStyle w:val="FootnoteText"/>
      </w:pPr>
      <w:r>
        <w:rPr>
          <w:rStyle w:val="FootnoteReference"/>
        </w:rPr>
        <w:footnoteRef/>
      </w:r>
      <w:r>
        <w:t xml:space="preserve"> </w:t>
      </w:r>
      <w:proofErr w:type="spellStart"/>
      <w:proofErr w:type="gramStart"/>
      <w:r>
        <w:t>Prakken</w:t>
      </w:r>
      <w:proofErr w:type="spellEnd"/>
      <w:r>
        <w:t xml:space="preserve"> B</w:t>
      </w:r>
      <w:r w:rsidRPr="001609DB">
        <w:t xml:space="preserve"> </w:t>
      </w:r>
      <w:r>
        <w:t>et al.</w:t>
      </w:r>
      <w:r w:rsidRPr="001609DB">
        <w:t xml:space="preserve"> Juvenile Idiopathic </w:t>
      </w:r>
      <w:r>
        <w:t>Arthritis</w:t>
      </w:r>
      <w:r w:rsidRPr="001609DB">
        <w:rPr>
          <w:i/>
        </w:rPr>
        <w:t>.</w:t>
      </w:r>
      <w:proofErr w:type="gramEnd"/>
      <w:r w:rsidRPr="001609DB">
        <w:rPr>
          <w:i/>
        </w:rPr>
        <w:t xml:space="preserve"> Lancet</w:t>
      </w:r>
      <w:r w:rsidRPr="001609DB">
        <w:t xml:space="preserve"> 2011; 377: 2138-</w:t>
      </w:r>
      <w:r>
        <w:t>21</w:t>
      </w:r>
      <w:r w:rsidRPr="001609DB">
        <w:t>49</w:t>
      </w:r>
      <w:r>
        <w:t>.</w:t>
      </w:r>
    </w:p>
  </w:footnote>
  <w:footnote w:id="2">
    <w:p w:rsidR="000D6F2E" w:rsidRDefault="000D6F2E" w:rsidP="008831B9">
      <w:pPr>
        <w:pStyle w:val="FootnoteText"/>
      </w:pPr>
      <w:r>
        <w:rPr>
          <w:rStyle w:val="FootnoteReference"/>
        </w:rPr>
        <w:footnoteRef/>
      </w:r>
      <w:r>
        <w:t xml:space="preserve"> </w:t>
      </w:r>
      <w:proofErr w:type="gramStart"/>
      <w:r>
        <w:t>Quartier P et al.</w:t>
      </w:r>
      <w:proofErr w:type="gramEnd"/>
      <w:r>
        <w:t xml:space="preserve"> A multicentre randomised, double blind, placebo controlled, </w:t>
      </w:r>
      <w:proofErr w:type="gramStart"/>
      <w:r>
        <w:t>trial</w:t>
      </w:r>
      <w:proofErr w:type="gramEnd"/>
      <w:r>
        <w:t xml:space="preserve"> with the interleukin-1 receptor antagonist </w:t>
      </w:r>
      <w:proofErr w:type="spellStart"/>
      <w:r>
        <w:t>anakinra</w:t>
      </w:r>
      <w:proofErr w:type="spellEnd"/>
      <w:r>
        <w:t xml:space="preserve"> in patients with systemic-onset juvenile idiopathic arthritis (ANAJIS trial). </w:t>
      </w:r>
      <w:r w:rsidRPr="00AB7C48">
        <w:rPr>
          <w:i/>
        </w:rPr>
        <w:t xml:space="preserve">Ann Rheum Dis </w:t>
      </w:r>
      <w:r>
        <w:t>2011; 70: 747-754.</w:t>
      </w:r>
    </w:p>
  </w:footnote>
  <w:footnote w:id="3">
    <w:p w:rsidR="000D6F2E" w:rsidRDefault="000D6F2E" w:rsidP="008831B9">
      <w:pPr>
        <w:pStyle w:val="FootnoteText"/>
      </w:pPr>
      <w:r>
        <w:rPr>
          <w:rStyle w:val="FootnoteReference"/>
        </w:rPr>
        <w:footnoteRef/>
      </w:r>
      <w:r>
        <w:t xml:space="preserve"> </w:t>
      </w:r>
      <w:proofErr w:type="spellStart"/>
      <w:r>
        <w:t>Ilowite</w:t>
      </w:r>
      <w:proofErr w:type="spellEnd"/>
      <w:r>
        <w:t xml:space="preserve"> N, et al </w:t>
      </w:r>
      <w:proofErr w:type="spellStart"/>
      <w:r>
        <w:t>Anakinra</w:t>
      </w:r>
      <w:proofErr w:type="spellEnd"/>
      <w:r>
        <w:t xml:space="preserve"> in the treatment of </w:t>
      </w:r>
      <w:proofErr w:type="spellStart"/>
      <w:r>
        <w:t>polyarticular</w:t>
      </w:r>
      <w:proofErr w:type="spellEnd"/>
      <w:r>
        <w:t xml:space="preserve">-course juvenile rheumatoid arthritis: safety and primary efficacy results of a randomised multicentre study. </w:t>
      </w:r>
      <w:proofErr w:type="spellStart"/>
      <w:r w:rsidRPr="00AB7C48">
        <w:rPr>
          <w:i/>
        </w:rPr>
        <w:t>Clin</w:t>
      </w:r>
      <w:proofErr w:type="spellEnd"/>
      <w:r w:rsidRPr="00AB7C48">
        <w:rPr>
          <w:i/>
        </w:rPr>
        <w:t xml:space="preserve"> </w:t>
      </w:r>
      <w:proofErr w:type="spellStart"/>
      <w:r w:rsidRPr="00AB7C48">
        <w:rPr>
          <w:i/>
        </w:rPr>
        <w:t>Rheumatol</w:t>
      </w:r>
      <w:proofErr w:type="spellEnd"/>
      <w:r w:rsidRPr="00AB7C48">
        <w:rPr>
          <w:i/>
        </w:rPr>
        <w:t xml:space="preserve"> </w:t>
      </w:r>
      <w:r>
        <w:t>2009; 28: 129-137.</w:t>
      </w:r>
    </w:p>
  </w:footnote>
  <w:footnote w:id="4">
    <w:p w:rsidR="000D6F2E" w:rsidRPr="00A36AA9" w:rsidRDefault="000D6F2E" w:rsidP="00A36AA9">
      <w:pPr>
        <w:pStyle w:val="FootnoteText"/>
        <w:rPr>
          <w:rStyle w:val="FootnoteReference"/>
          <w:vertAlign w:val="baseline"/>
        </w:rPr>
      </w:pPr>
      <w:r w:rsidRPr="00A36AA9">
        <w:rPr>
          <w:vertAlign w:val="superscript"/>
        </w:rPr>
        <w:footnoteRef/>
      </w:r>
      <w:r w:rsidRPr="002B55F6">
        <w:t xml:space="preserve"> </w:t>
      </w:r>
      <w:r w:rsidRPr="00A36AA9">
        <w:rPr>
          <w:rStyle w:val="FootnoteReference"/>
          <w:vertAlign w:val="baseline"/>
        </w:rPr>
        <w:t>The American College of Rheumatology (ACR) Paediatric 30 criteria are a set of criteria that are used as a primary outcome measure for trials It is defined as a minimum of 30% improvement in at least 3 of the core set criteria and no more than one component worsening by &gt;30%. The ACR Paediatric 20, 50, 70 and 90 are also defined as 20%, 50%, 70%, and 90% improvement respectively in a minimum of three core set criteria with worsening of one variable by no more than 30%.</w:t>
      </w:r>
      <w:r w:rsidR="008831B9">
        <w:t xml:space="preserve"> </w:t>
      </w:r>
      <w:r>
        <w:rPr>
          <w:rStyle w:val="FootnoteReference"/>
          <w:vertAlign w:val="baseline"/>
        </w:rPr>
        <w:t>The core set criteria are;</w:t>
      </w:r>
    </w:p>
    <w:p w:rsidR="000D6F2E" w:rsidRPr="00A36AA9" w:rsidRDefault="000D6F2E" w:rsidP="00A36AA9">
      <w:pPr>
        <w:pStyle w:val="FootnoteText"/>
        <w:rPr>
          <w:rStyle w:val="FootnoteReference"/>
          <w:vertAlign w:val="baseline"/>
        </w:rPr>
      </w:pPr>
      <w:r w:rsidRPr="00A36AA9">
        <w:rPr>
          <w:rStyle w:val="FootnoteReference"/>
          <w:vertAlign w:val="baseline"/>
        </w:rPr>
        <w:t>Physician global assessment of disease activity</w:t>
      </w:r>
    </w:p>
    <w:p w:rsidR="000D6F2E" w:rsidRPr="00A36AA9" w:rsidRDefault="000D6F2E" w:rsidP="00A36AA9">
      <w:pPr>
        <w:pStyle w:val="FootnoteText"/>
        <w:rPr>
          <w:rStyle w:val="FootnoteReference"/>
          <w:vertAlign w:val="baseline"/>
        </w:rPr>
      </w:pPr>
      <w:r w:rsidRPr="00A36AA9">
        <w:rPr>
          <w:rStyle w:val="FootnoteReference"/>
          <w:vertAlign w:val="baseline"/>
        </w:rPr>
        <w:t>Parent/patient assessment of overall well-being</w:t>
      </w:r>
    </w:p>
    <w:p w:rsidR="000D6F2E" w:rsidRPr="00A36AA9" w:rsidRDefault="000D6F2E" w:rsidP="00A36AA9">
      <w:pPr>
        <w:pStyle w:val="FootnoteText"/>
        <w:rPr>
          <w:rStyle w:val="FootnoteReference"/>
          <w:vertAlign w:val="baseline"/>
        </w:rPr>
      </w:pPr>
      <w:r w:rsidRPr="00A36AA9">
        <w:rPr>
          <w:rStyle w:val="FootnoteReference"/>
          <w:vertAlign w:val="baseline"/>
        </w:rPr>
        <w:t>Functional ability.</w:t>
      </w:r>
    </w:p>
    <w:p w:rsidR="000D6F2E" w:rsidRPr="00A36AA9" w:rsidRDefault="000D6F2E" w:rsidP="00A36AA9">
      <w:pPr>
        <w:pStyle w:val="FootnoteText"/>
        <w:rPr>
          <w:rStyle w:val="FootnoteReference"/>
          <w:vertAlign w:val="baseline"/>
        </w:rPr>
      </w:pPr>
      <w:r w:rsidRPr="00A36AA9">
        <w:rPr>
          <w:rStyle w:val="FootnoteReference"/>
          <w:vertAlign w:val="baseline"/>
        </w:rPr>
        <w:t>Number of joints with active arthritis.</w:t>
      </w:r>
    </w:p>
    <w:p w:rsidR="000D6F2E" w:rsidRPr="00A36AA9" w:rsidRDefault="000D6F2E" w:rsidP="00A36AA9">
      <w:pPr>
        <w:pStyle w:val="FootnoteText"/>
        <w:rPr>
          <w:rStyle w:val="FootnoteReference"/>
          <w:vertAlign w:val="baseline"/>
        </w:rPr>
      </w:pPr>
      <w:r w:rsidRPr="00A36AA9">
        <w:rPr>
          <w:rStyle w:val="FootnoteReference"/>
          <w:vertAlign w:val="baseline"/>
        </w:rPr>
        <w:t>Number of joints with limited range of motion, and</w:t>
      </w:r>
    </w:p>
    <w:p w:rsidR="000D6F2E" w:rsidRPr="00A36AA9" w:rsidRDefault="000D6F2E" w:rsidP="00A36AA9">
      <w:pPr>
        <w:pStyle w:val="FootnoteText"/>
        <w:rPr>
          <w:rStyle w:val="FootnoteReference"/>
          <w:vertAlign w:val="baseline"/>
        </w:rPr>
      </w:pPr>
      <w:r w:rsidRPr="00A36AA9">
        <w:rPr>
          <w:rStyle w:val="FootnoteReference"/>
          <w:vertAlign w:val="baseline"/>
        </w:rPr>
        <w:t>Erythrocyte sedimentation rate.</w:t>
      </w:r>
    </w:p>
  </w:footnote>
  <w:footnote w:id="5">
    <w:p w:rsidR="000D6F2E" w:rsidRDefault="000D6F2E">
      <w:pPr>
        <w:pStyle w:val="FootnoteText"/>
      </w:pPr>
      <w:r>
        <w:rPr>
          <w:rStyle w:val="FootnoteReference"/>
        </w:rPr>
        <w:footnoteRef/>
      </w:r>
      <w:r>
        <w:t xml:space="preserve"> </w:t>
      </w:r>
      <w:r w:rsidRPr="001974C5">
        <w:t>CHMP Guideline</w:t>
      </w:r>
      <w:r>
        <w:t xml:space="preserve"> o</w:t>
      </w:r>
      <w:r w:rsidRPr="001974C5">
        <w:t>n Cli</w:t>
      </w:r>
      <w:r>
        <w:t>nical Investigation o</w:t>
      </w:r>
      <w:r w:rsidRPr="001974C5">
        <w:t>f Medicinal Produ</w:t>
      </w:r>
      <w:r>
        <w:t>cts f</w:t>
      </w:r>
      <w:r w:rsidRPr="001974C5">
        <w:t xml:space="preserve">or </w:t>
      </w:r>
      <w:proofErr w:type="gramStart"/>
      <w:r w:rsidRPr="001974C5">
        <w:t>The</w:t>
      </w:r>
      <w:proofErr w:type="gramEnd"/>
      <w:r w:rsidRPr="001974C5">
        <w:t xml:space="preserve"> Treatment Of Juvenile Idiopathic Arthritis.</w:t>
      </w:r>
      <w:r>
        <w:t xml:space="preserve"> </w:t>
      </w:r>
      <w:proofErr w:type="gramStart"/>
      <w:r>
        <w:t>(CPMP/EWP/422/04).</w:t>
      </w:r>
      <w:proofErr w:type="gramEnd"/>
    </w:p>
  </w:footnote>
  <w:footnote w:id="6">
    <w:p w:rsidR="000D6F2E" w:rsidRDefault="000D6F2E">
      <w:pPr>
        <w:pStyle w:val="FootnoteText"/>
      </w:pPr>
      <w:r>
        <w:rPr>
          <w:rStyle w:val="FootnoteReference"/>
        </w:rPr>
        <w:footnoteRef/>
      </w:r>
      <w:r>
        <w:t xml:space="preserve"> </w:t>
      </w:r>
      <w:r w:rsidRPr="00AB675F">
        <w:t>CHMP Guideline</w:t>
      </w:r>
      <w:r w:rsidRPr="00AB675F">
        <w:rPr>
          <w:sz w:val="22"/>
          <w:szCs w:val="22"/>
        </w:rPr>
        <w:t xml:space="preserve"> </w:t>
      </w:r>
      <w:proofErr w:type="gramStart"/>
      <w:r w:rsidRPr="00AB675F">
        <w:t>On</w:t>
      </w:r>
      <w:proofErr w:type="gramEnd"/>
      <w:r w:rsidRPr="00AB675F">
        <w:t xml:space="preserve"> Clinical Investigation Of Medicinal Products For The Treatment Of Juvenile Idiopathic Arthritis</w:t>
      </w:r>
      <w:r>
        <w:t xml:space="preserve"> (CPMP/EWP/422/04).</w:t>
      </w:r>
    </w:p>
  </w:footnote>
  <w:footnote w:id="7">
    <w:p w:rsidR="000D6F2E" w:rsidRPr="000C6913" w:rsidRDefault="000D6F2E" w:rsidP="000C6913">
      <w:pPr>
        <w:pStyle w:val="Tabletext"/>
        <w:spacing w:before="0" w:after="0" w:line="240" w:lineRule="auto"/>
        <w:rPr>
          <w:sz w:val="18"/>
          <w:szCs w:val="18"/>
        </w:rPr>
      </w:pPr>
      <w:r>
        <w:rPr>
          <w:rStyle w:val="FootnoteReference"/>
        </w:rPr>
        <w:footnoteRef/>
      </w:r>
      <w:r w:rsidRPr="000C6913">
        <w:rPr>
          <w:sz w:val="18"/>
          <w:szCs w:val="18"/>
        </w:rPr>
        <w:t>Singh N et al. The effect of intravenous interleukin-1 receptor antagonist on inflammatory mediators in cerebrospinal fluid after subarachnoid haemorrhage: a phase II randomised controlled t</w:t>
      </w:r>
      <w:r>
        <w:rPr>
          <w:sz w:val="18"/>
          <w:szCs w:val="18"/>
        </w:rPr>
        <w:t xml:space="preserve">rial. </w:t>
      </w:r>
      <w:r w:rsidRPr="000C6913">
        <w:rPr>
          <w:i/>
          <w:sz w:val="18"/>
          <w:szCs w:val="18"/>
        </w:rPr>
        <w:t xml:space="preserve">J </w:t>
      </w:r>
      <w:proofErr w:type="spellStart"/>
      <w:r w:rsidRPr="000C6913">
        <w:rPr>
          <w:i/>
          <w:sz w:val="18"/>
          <w:szCs w:val="18"/>
        </w:rPr>
        <w:t>Neuroinflammation</w:t>
      </w:r>
      <w:proofErr w:type="spellEnd"/>
      <w:r>
        <w:rPr>
          <w:sz w:val="18"/>
          <w:szCs w:val="18"/>
        </w:rPr>
        <w:t xml:space="preserve"> 2014</w:t>
      </w:r>
      <w:proofErr w:type="gramStart"/>
      <w:r>
        <w:rPr>
          <w:sz w:val="18"/>
          <w:szCs w:val="18"/>
        </w:rPr>
        <w:t>;11</w:t>
      </w:r>
      <w:proofErr w:type="gramEnd"/>
      <w:r>
        <w:rPr>
          <w:sz w:val="18"/>
          <w:szCs w:val="18"/>
        </w:rPr>
        <w:t xml:space="preserve"> (</w:t>
      </w:r>
      <w:proofErr w:type="spellStart"/>
      <w:r>
        <w:rPr>
          <w:sz w:val="18"/>
          <w:szCs w:val="18"/>
        </w:rPr>
        <w:t>doi</w:t>
      </w:r>
      <w:proofErr w:type="spellEnd"/>
      <w:r>
        <w:rPr>
          <w:sz w:val="18"/>
          <w:szCs w:val="18"/>
        </w:rPr>
        <w:t>: 10.1186/1742-2094-11-1).</w:t>
      </w:r>
    </w:p>
  </w:footnote>
  <w:footnote w:id="8">
    <w:p w:rsidR="000D6F2E" w:rsidRDefault="000D6F2E">
      <w:pPr>
        <w:pStyle w:val="FootnoteText"/>
      </w:pPr>
      <w:r>
        <w:rPr>
          <w:rStyle w:val="FootnoteReference"/>
        </w:rPr>
        <w:footnoteRef/>
      </w:r>
      <w:r>
        <w:t xml:space="preserve"> </w:t>
      </w:r>
      <w:proofErr w:type="spellStart"/>
      <w:proofErr w:type="gramStart"/>
      <w:r w:rsidRPr="0072537D">
        <w:t>Urien</w:t>
      </w:r>
      <w:proofErr w:type="spellEnd"/>
      <w:r w:rsidRPr="0072537D">
        <w:t xml:space="preserve"> S et </w:t>
      </w:r>
      <w:r>
        <w:t>al.</w:t>
      </w:r>
      <w:r w:rsidRPr="0072537D">
        <w:t xml:space="preserve"> </w:t>
      </w:r>
      <w:proofErr w:type="spellStart"/>
      <w:r w:rsidRPr="0072537D">
        <w:t>Anakinra</w:t>
      </w:r>
      <w:proofErr w:type="spellEnd"/>
      <w:r w:rsidRPr="0072537D">
        <w:t xml:space="preserve"> pharmacokinetics in children and adolescents with systemic-onset juvenile idiopathic arthritis and </w:t>
      </w:r>
      <w:proofErr w:type="spellStart"/>
      <w:r w:rsidRPr="0072537D">
        <w:t>autoinflammatory</w:t>
      </w:r>
      <w:proofErr w:type="spellEnd"/>
      <w:r w:rsidRPr="0072537D">
        <w:t xml:space="preserve"> syndromes.</w:t>
      </w:r>
      <w:proofErr w:type="gramEnd"/>
      <w:r w:rsidRPr="0072537D">
        <w:t xml:space="preserve"> </w:t>
      </w:r>
      <w:proofErr w:type="gramStart"/>
      <w:r w:rsidRPr="0072537D">
        <w:rPr>
          <w:i/>
        </w:rPr>
        <w:t>BMC Pharmacology and Toxicology</w:t>
      </w:r>
      <w:r w:rsidRPr="0072537D">
        <w:t xml:space="preserve"> 2013, 14:40</w:t>
      </w:r>
      <w:r>
        <w:t>.</w:t>
      </w:r>
      <w:proofErr w:type="gramEnd"/>
    </w:p>
  </w:footnote>
  <w:footnote w:id="9">
    <w:p w:rsidR="000D6F2E" w:rsidRDefault="000D6F2E">
      <w:pPr>
        <w:pStyle w:val="FootnoteText"/>
      </w:pPr>
      <w:r>
        <w:rPr>
          <w:rStyle w:val="FootnoteReference"/>
        </w:rPr>
        <w:footnoteRef/>
      </w:r>
      <w:r>
        <w:t xml:space="preserve"> </w:t>
      </w:r>
      <w:proofErr w:type="spellStart"/>
      <w:r w:rsidRPr="0072537D">
        <w:t>Vastert</w:t>
      </w:r>
      <w:proofErr w:type="spellEnd"/>
      <w:r w:rsidRPr="0072537D">
        <w:t xml:space="preserve"> S et al. Effecti</w:t>
      </w:r>
      <w:r>
        <w:t>veness of First-Line Treatment w</w:t>
      </w:r>
      <w:r w:rsidRPr="0072537D">
        <w:t>ith Recombinant Interleukin-1 Receptor Antago</w:t>
      </w:r>
      <w:r>
        <w:t>nist in Steroid-Naive Patients w</w:t>
      </w:r>
      <w:r w:rsidRPr="0072537D">
        <w:t xml:space="preserve">ith New-Onset Systemic Juvenile Idiopathic Arthritis Results of a Prospective Cohort Study. </w:t>
      </w:r>
      <w:proofErr w:type="gramStart"/>
      <w:r w:rsidRPr="00F8349D">
        <w:rPr>
          <w:i/>
        </w:rPr>
        <w:t>Arthritis &amp; rheumatology</w:t>
      </w:r>
      <w:r>
        <w:t xml:space="preserve"> 2014;</w:t>
      </w:r>
      <w:r w:rsidRPr="0072537D">
        <w:t xml:space="preserve"> </w:t>
      </w:r>
      <w:r w:rsidRPr="00F8349D">
        <w:t>66</w:t>
      </w:r>
      <w:r>
        <w:t xml:space="preserve">: </w:t>
      </w:r>
      <w:r w:rsidRPr="0072537D">
        <w:t>1034–1043</w:t>
      </w:r>
      <w:r>
        <w:t>.</w:t>
      </w:r>
      <w:proofErr w:type="gramEnd"/>
    </w:p>
  </w:footnote>
  <w:footnote w:id="10">
    <w:p w:rsidR="000D6F2E" w:rsidRDefault="000D6F2E">
      <w:pPr>
        <w:pStyle w:val="FootnoteText"/>
      </w:pPr>
      <w:r>
        <w:rPr>
          <w:rStyle w:val="FootnoteReference"/>
        </w:rPr>
        <w:footnoteRef/>
      </w:r>
      <w:r>
        <w:t xml:space="preserve"> </w:t>
      </w:r>
      <w:proofErr w:type="spellStart"/>
      <w:r>
        <w:t>Sobi</w:t>
      </w:r>
      <w:proofErr w:type="spellEnd"/>
      <w:r>
        <w:t xml:space="preserve"> is an international specialty healthcare company dedicated to rare diseases.</w:t>
      </w:r>
    </w:p>
  </w:footnote>
  <w:footnote w:id="11">
    <w:p w:rsidR="000D6F2E" w:rsidRDefault="000D6F2E" w:rsidP="00EB6345">
      <w:pPr>
        <w:pStyle w:val="FootnoteText"/>
      </w:pPr>
      <w:r>
        <w:rPr>
          <w:rStyle w:val="FootnoteReference"/>
        </w:rPr>
        <w:footnoteRef/>
      </w:r>
      <w:r>
        <w:t xml:space="preserve"> </w:t>
      </w:r>
      <w:proofErr w:type="gramStart"/>
      <w:r>
        <w:t xml:space="preserve">Canna S et al </w:t>
      </w:r>
      <w:r w:rsidRPr="00EB6345">
        <w:t>Acute hepatitis in three p</w:t>
      </w:r>
      <w:r>
        <w:t xml:space="preserve">atients with systemic juvenile </w:t>
      </w:r>
      <w:r w:rsidRPr="00EB6345">
        <w:t>idiopathic arthritis taking interleukin-1 receptor antagonist.</w:t>
      </w:r>
      <w:proofErr w:type="gramEnd"/>
      <w:r w:rsidRPr="00EB6345">
        <w:t xml:space="preserve"> </w:t>
      </w:r>
      <w:proofErr w:type="spellStart"/>
      <w:r w:rsidRPr="00EB6345">
        <w:rPr>
          <w:i/>
        </w:rPr>
        <w:t>Pediatr</w:t>
      </w:r>
      <w:proofErr w:type="spellEnd"/>
      <w:r w:rsidRPr="00EB6345">
        <w:rPr>
          <w:i/>
        </w:rPr>
        <w:t xml:space="preserve"> </w:t>
      </w:r>
      <w:proofErr w:type="spellStart"/>
      <w:r w:rsidRPr="00EB6345">
        <w:rPr>
          <w:i/>
        </w:rPr>
        <w:t>Rheumatol</w:t>
      </w:r>
      <w:proofErr w:type="spellEnd"/>
      <w:r w:rsidRPr="00EB6345">
        <w:t xml:space="preserve">. </w:t>
      </w:r>
      <w:proofErr w:type="gramStart"/>
      <w:r>
        <w:t xml:space="preserve">2009; </w:t>
      </w:r>
      <w:r w:rsidRPr="00EB6345">
        <w:t>7:</w:t>
      </w:r>
      <w:r>
        <w:t xml:space="preserve"> </w:t>
      </w:r>
      <w:r w:rsidRPr="00EB6345">
        <w:t>21</w:t>
      </w:r>
      <w:r>
        <w:t>.</w:t>
      </w:r>
      <w:proofErr w:type="gramEnd"/>
    </w:p>
  </w:footnote>
  <w:footnote w:id="12">
    <w:p w:rsidR="000D6F2E" w:rsidRDefault="000D6F2E" w:rsidP="00EB6345">
      <w:pPr>
        <w:pStyle w:val="FootnoteText"/>
      </w:pPr>
      <w:r>
        <w:rPr>
          <w:rStyle w:val="FootnoteReference"/>
        </w:rPr>
        <w:footnoteRef/>
      </w:r>
      <w:r>
        <w:t xml:space="preserve"> </w:t>
      </w:r>
      <w:proofErr w:type="gramStart"/>
      <w:r w:rsidRPr="00EB6345">
        <w:t>de</w:t>
      </w:r>
      <w:proofErr w:type="gramEnd"/>
      <w:r w:rsidRPr="00EB6345">
        <w:t xml:space="preserve"> </w:t>
      </w:r>
      <w:proofErr w:type="spellStart"/>
      <w:r w:rsidRPr="00EB6345">
        <w:t>Jager</w:t>
      </w:r>
      <w:proofErr w:type="spellEnd"/>
      <w:r w:rsidRPr="00EB6345">
        <w:t>, W</w:t>
      </w:r>
      <w:r>
        <w:t xml:space="preserve"> et al </w:t>
      </w:r>
      <w:r w:rsidRPr="00EB6345">
        <w:t>Early treatment of</w:t>
      </w:r>
      <w:r>
        <w:t xml:space="preserve"> newly diagnosed systemic onset </w:t>
      </w:r>
      <w:r w:rsidRPr="00EB6345">
        <w:t xml:space="preserve">juvenile idiopathic arthritis patients with </w:t>
      </w:r>
      <w:proofErr w:type="spellStart"/>
      <w:r w:rsidRPr="00EB6345">
        <w:t>anakinra</w:t>
      </w:r>
      <w:proofErr w:type="spellEnd"/>
      <w:r w:rsidRPr="00EB6345">
        <w:t xml:space="preserve"> restores the IL-18 response of NK cells. </w:t>
      </w:r>
      <w:r>
        <w:t xml:space="preserve">2009; </w:t>
      </w:r>
      <w:r w:rsidRPr="00EA1957">
        <w:rPr>
          <w:i/>
        </w:rPr>
        <w:t>10</w:t>
      </w:r>
      <w:r w:rsidRPr="00EA1957">
        <w:rPr>
          <w:i/>
          <w:vertAlign w:val="superscript"/>
        </w:rPr>
        <w:t>th</w:t>
      </w:r>
      <w:r w:rsidRPr="00EA1957">
        <w:rPr>
          <w:i/>
        </w:rPr>
        <w:t xml:space="preserve"> Annual Congress of the European League </w:t>
      </w:r>
      <w:proofErr w:type="gramStart"/>
      <w:r w:rsidRPr="00EA1957">
        <w:rPr>
          <w:i/>
        </w:rPr>
        <w:t>Against</w:t>
      </w:r>
      <w:proofErr w:type="gramEnd"/>
      <w:r w:rsidRPr="00EA1957">
        <w:rPr>
          <w:i/>
        </w:rPr>
        <w:t xml:space="preserve"> Rheumatism</w:t>
      </w:r>
      <w:r>
        <w:t xml:space="preserve">. </w:t>
      </w:r>
      <w:proofErr w:type="gramStart"/>
      <w:r w:rsidRPr="00EB6345">
        <w:t>Copenhagen OP-0208.</w:t>
      </w:r>
      <w:proofErr w:type="gramEnd"/>
    </w:p>
  </w:footnote>
  <w:footnote w:id="13">
    <w:p w:rsidR="000D6F2E" w:rsidRDefault="000D6F2E" w:rsidP="00EB6345">
      <w:pPr>
        <w:pStyle w:val="FootnoteText"/>
      </w:pPr>
      <w:r>
        <w:rPr>
          <w:rStyle w:val="FootnoteReference"/>
        </w:rPr>
        <w:footnoteRef/>
      </w:r>
      <w:r>
        <w:t xml:space="preserve"> </w:t>
      </w:r>
      <w:proofErr w:type="gramStart"/>
      <w:r>
        <w:t>de</w:t>
      </w:r>
      <w:proofErr w:type="gramEnd"/>
      <w:r>
        <w:t xml:space="preserve"> </w:t>
      </w:r>
      <w:proofErr w:type="spellStart"/>
      <w:r>
        <w:t>Jager</w:t>
      </w:r>
      <w:proofErr w:type="spellEnd"/>
      <w:r>
        <w:t>, W et al</w:t>
      </w:r>
      <w:r w:rsidRPr="00EB6345">
        <w:t xml:space="preserve"> </w:t>
      </w:r>
      <w:proofErr w:type="spellStart"/>
      <w:r w:rsidRPr="00EB6345">
        <w:t>Anakinra</w:t>
      </w:r>
      <w:proofErr w:type="spellEnd"/>
      <w:r w:rsidRPr="00EB6345">
        <w:t xml:space="preserve"> treatment prior</w:t>
      </w:r>
      <w:r>
        <w:t xml:space="preserve"> to steroids in newly diagnosed </w:t>
      </w:r>
      <w:r w:rsidRPr="00EB6345">
        <w:t xml:space="preserve">systemic onset JIA: Changing the biology? </w:t>
      </w:r>
      <w:r w:rsidRPr="00EB6345">
        <w:rPr>
          <w:i/>
        </w:rPr>
        <w:t>Ann Rheum Dis</w:t>
      </w:r>
      <w:r>
        <w:t xml:space="preserve"> 2010; 69</w:t>
      </w:r>
      <w:r w:rsidRPr="00EB6345">
        <w:t>: 624.</w:t>
      </w:r>
    </w:p>
  </w:footnote>
  <w:footnote w:id="14">
    <w:p w:rsidR="000D6F2E" w:rsidRDefault="000D6F2E" w:rsidP="002C15ED">
      <w:pPr>
        <w:pStyle w:val="FootnoteText"/>
      </w:pPr>
      <w:r>
        <w:rPr>
          <w:rStyle w:val="FootnoteReference"/>
        </w:rPr>
        <w:footnoteRef/>
      </w:r>
      <w:r w:rsidRPr="00F07797">
        <w:rPr>
          <w:lang w:val="sv-SE"/>
        </w:rPr>
        <w:t xml:space="preserve"> </w:t>
      </w:r>
      <w:r w:rsidRPr="00F07797">
        <w:rPr>
          <w:lang w:val="sv-SE"/>
        </w:rPr>
        <w:t xml:space="preserve">de Jager, W et al. </w:t>
      </w:r>
      <w:proofErr w:type="spellStart"/>
      <w:r w:rsidRPr="002C15ED">
        <w:t>Anakinra</w:t>
      </w:r>
      <w:proofErr w:type="spellEnd"/>
      <w:r w:rsidRPr="002C15ED">
        <w:t xml:space="preserve"> restores the </w:t>
      </w:r>
      <w:r>
        <w:t xml:space="preserve">defective IL-18 NK cell axis in </w:t>
      </w:r>
      <w:r w:rsidRPr="002C15ED">
        <w:t xml:space="preserve">steroid naïve systemic onset JIA patients. </w:t>
      </w:r>
      <w:proofErr w:type="spellStart"/>
      <w:r w:rsidRPr="002C15ED">
        <w:rPr>
          <w:i/>
        </w:rPr>
        <w:t>Pediatr</w:t>
      </w:r>
      <w:proofErr w:type="spellEnd"/>
      <w:r w:rsidRPr="002C15ED">
        <w:rPr>
          <w:i/>
        </w:rPr>
        <w:t xml:space="preserve"> </w:t>
      </w:r>
      <w:proofErr w:type="spellStart"/>
      <w:r w:rsidRPr="002C15ED">
        <w:rPr>
          <w:i/>
        </w:rPr>
        <w:t>Rheumatol</w:t>
      </w:r>
      <w:proofErr w:type="spellEnd"/>
      <w:r w:rsidRPr="002C15ED">
        <w:t xml:space="preserve"> </w:t>
      </w:r>
      <w:r>
        <w:t>2011; 9</w:t>
      </w:r>
      <w:r w:rsidRPr="002C15ED">
        <w:t>: O33.</w:t>
      </w:r>
    </w:p>
  </w:footnote>
  <w:footnote w:id="15">
    <w:p w:rsidR="000D6F2E" w:rsidRDefault="000D6F2E" w:rsidP="002C15ED">
      <w:pPr>
        <w:pStyle w:val="FootnoteText"/>
      </w:pPr>
      <w:r>
        <w:rPr>
          <w:rStyle w:val="FootnoteReference"/>
        </w:rPr>
        <w:footnoteRef/>
      </w:r>
      <w:r>
        <w:t xml:space="preserve"> </w:t>
      </w:r>
      <w:proofErr w:type="spellStart"/>
      <w:r w:rsidRPr="002C15ED">
        <w:t>Gattorn</w:t>
      </w:r>
      <w:r>
        <w:t>o</w:t>
      </w:r>
      <w:proofErr w:type="spellEnd"/>
      <w:r>
        <w:t>, M. et al</w:t>
      </w:r>
      <w:r w:rsidRPr="002C15ED">
        <w:t xml:space="preserve"> The pattern of response to </w:t>
      </w:r>
      <w:r>
        <w:t xml:space="preserve">anti-interleukin-1 treatment </w:t>
      </w:r>
      <w:r w:rsidRPr="002C15ED">
        <w:t xml:space="preserve">distinguishes two subsets of patients with systemic-onset juvenile </w:t>
      </w:r>
      <w:r>
        <w:t xml:space="preserve">idiopathic arthritis. </w:t>
      </w:r>
      <w:r w:rsidRPr="00206124">
        <w:rPr>
          <w:i/>
        </w:rPr>
        <w:t>Arthritis Rheum</w:t>
      </w:r>
      <w:r w:rsidRPr="002C15ED">
        <w:t xml:space="preserve"> </w:t>
      </w:r>
      <w:r>
        <w:t>2008; 58</w:t>
      </w:r>
      <w:r w:rsidRPr="002C15ED">
        <w:t>: 1505-</w:t>
      </w:r>
      <w:r>
        <w:t>10</w:t>
      </w:r>
      <w:r w:rsidRPr="002C15ED">
        <w:t>15.</w:t>
      </w:r>
    </w:p>
  </w:footnote>
  <w:footnote w:id="16">
    <w:p w:rsidR="000D6F2E" w:rsidRDefault="000D6F2E" w:rsidP="002C15ED">
      <w:pPr>
        <w:pStyle w:val="FootnoteText"/>
      </w:pPr>
      <w:r>
        <w:rPr>
          <w:rStyle w:val="FootnoteReference"/>
        </w:rPr>
        <w:footnoteRef/>
      </w:r>
      <w:r>
        <w:t xml:space="preserve"> </w:t>
      </w:r>
      <w:proofErr w:type="spellStart"/>
      <w:r w:rsidRPr="002C15ED">
        <w:t>Hedrich</w:t>
      </w:r>
      <w:proofErr w:type="spellEnd"/>
      <w:r w:rsidRPr="002C15ED">
        <w:t>, C. M</w:t>
      </w:r>
      <w:r>
        <w:t xml:space="preserve"> et al </w:t>
      </w:r>
      <w:proofErr w:type="spellStart"/>
      <w:r w:rsidRPr="002C15ED">
        <w:t>Anakinra</w:t>
      </w:r>
      <w:proofErr w:type="spellEnd"/>
      <w:r w:rsidRPr="002C15ED">
        <w:t>: A safe and ef</w:t>
      </w:r>
      <w:r>
        <w:t xml:space="preserve">fective first-line treatment in </w:t>
      </w:r>
      <w:r w:rsidRPr="002C15ED">
        <w:t>systemic onset juvenile idiopathic arthritis (</w:t>
      </w:r>
      <w:proofErr w:type="spellStart"/>
      <w:r w:rsidRPr="002C15ED">
        <w:t>SoJIA</w:t>
      </w:r>
      <w:proofErr w:type="spellEnd"/>
      <w:r w:rsidRPr="002C15ED">
        <w:t xml:space="preserve">). </w:t>
      </w:r>
      <w:proofErr w:type="spellStart"/>
      <w:r w:rsidRPr="002C15ED">
        <w:rPr>
          <w:i/>
        </w:rPr>
        <w:t>Rheumatol</w:t>
      </w:r>
      <w:proofErr w:type="spellEnd"/>
      <w:r w:rsidRPr="002C15ED">
        <w:rPr>
          <w:i/>
        </w:rPr>
        <w:t xml:space="preserve"> </w:t>
      </w:r>
      <w:proofErr w:type="spellStart"/>
      <w:r w:rsidRPr="002C15ED">
        <w:rPr>
          <w:i/>
        </w:rPr>
        <w:t>Int</w:t>
      </w:r>
      <w:proofErr w:type="spellEnd"/>
      <w:r w:rsidRPr="002C15ED">
        <w:rPr>
          <w:i/>
        </w:rPr>
        <w:t>: 2</w:t>
      </w:r>
      <w:r>
        <w:t xml:space="preserve">011; </w:t>
      </w:r>
      <w:r w:rsidRPr="002C15ED">
        <w:t>32:3525–3530.</w:t>
      </w:r>
    </w:p>
  </w:footnote>
  <w:footnote w:id="17">
    <w:p w:rsidR="000D6F2E" w:rsidRDefault="000D6F2E" w:rsidP="00B7684C">
      <w:pPr>
        <w:pStyle w:val="FootnoteText"/>
      </w:pPr>
      <w:r>
        <w:rPr>
          <w:rStyle w:val="FootnoteReference"/>
        </w:rPr>
        <w:footnoteRef/>
      </w:r>
      <w:r>
        <w:t xml:space="preserve"> </w:t>
      </w:r>
      <w:proofErr w:type="spellStart"/>
      <w:proofErr w:type="gramStart"/>
      <w:r>
        <w:t>Henrickson</w:t>
      </w:r>
      <w:proofErr w:type="spellEnd"/>
      <w:r>
        <w:t xml:space="preserve"> M. </w:t>
      </w:r>
      <w:r w:rsidRPr="00B7684C">
        <w:t xml:space="preserve">Efficacy of </w:t>
      </w:r>
      <w:proofErr w:type="spellStart"/>
      <w:r w:rsidRPr="00B7684C">
        <w:t>anakinra</w:t>
      </w:r>
      <w:proofErr w:type="spellEnd"/>
      <w:r w:rsidRPr="00B7684C">
        <w:t xml:space="preserve"> in refractory </w:t>
      </w:r>
      <w:r>
        <w:t>systemic arthritis.</w:t>
      </w:r>
      <w:proofErr w:type="gramEnd"/>
      <w:r>
        <w:t xml:space="preserve"> </w:t>
      </w:r>
      <w:r w:rsidRPr="00B7684C">
        <w:rPr>
          <w:i/>
        </w:rPr>
        <w:t>Arthritis &amp; Rheumatism</w:t>
      </w:r>
      <w:r>
        <w:t xml:space="preserve"> 2004; 50</w:t>
      </w:r>
      <w:r w:rsidRPr="00B7684C">
        <w:t>: S438</w:t>
      </w:r>
    </w:p>
  </w:footnote>
  <w:footnote w:id="18">
    <w:p w:rsidR="000D6F2E" w:rsidRDefault="000D6F2E" w:rsidP="008B2AAC">
      <w:pPr>
        <w:pStyle w:val="FootnoteText"/>
      </w:pPr>
      <w:r>
        <w:rPr>
          <w:rStyle w:val="FootnoteReference"/>
        </w:rPr>
        <w:footnoteRef/>
      </w:r>
      <w:r>
        <w:t xml:space="preserve"> </w:t>
      </w:r>
      <w:proofErr w:type="spellStart"/>
      <w:proofErr w:type="gramStart"/>
      <w:r w:rsidRPr="008B2AAC">
        <w:t>Irigoyen</w:t>
      </w:r>
      <w:proofErr w:type="spellEnd"/>
      <w:r w:rsidRPr="008B2AAC">
        <w:t>, P. Treatment of systemic onse</w:t>
      </w:r>
      <w:r>
        <w:t xml:space="preserve">t juvenile idiopathic arthritis </w:t>
      </w:r>
      <w:r w:rsidRPr="008B2AAC">
        <w:t xml:space="preserve">with </w:t>
      </w:r>
      <w:proofErr w:type="spellStart"/>
      <w:r w:rsidRPr="008B2AAC">
        <w:t>anakinra</w:t>
      </w:r>
      <w:proofErr w:type="spellEnd"/>
      <w:r w:rsidRPr="008B2AAC">
        <w:t xml:space="preserve"> - Case series.</w:t>
      </w:r>
      <w:proofErr w:type="gramEnd"/>
      <w:r w:rsidRPr="008B2AAC">
        <w:t xml:space="preserve"> </w:t>
      </w:r>
      <w:proofErr w:type="spellStart"/>
      <w:proofErr w:type="gramStart"/>
      <w:r w:rsidRPr="008B2AAC">
        <w:rPr>
          <w:i/>
        </w:rPr>
        <w:t>Pediatr</w:t>
      </w:r>
      <w:proofErr w:type="spellEnd"/>
      <w:r w:rsidRPr="008B2AAC">
        <w:rPr>
          <w:i/>
        </w:rPr>
        <w:t xml:space="preserve"> </w:t>
      </w:r>
      <w:proofErr w:type="spellStart"/>
      <w:r w:rsidRPr="008B2AAC">
        <w:rPr>
          <w:i/>
        </w:rPr>
        <w:t>Rheumatol</w:t>
      </w:r>
      <w:proofErr w:type="spellEnd"/>
      <w:r w:rsidRPr="008B2AAC">
        <w:t xml:space="preserve"> </w:t>
      </w:r>
      <w:r>
        <w:t xml:space="preserve">2006 </w:t>
      </w:r>
      <w:r w:rsidRPr="008B2AAC">
        <w:t>Online J.</w:t>
      </w:r>
      <w:proofErr w:type="gramEnd"/>
    </w:p>
  </w:footnote>
  <w:footnote w:id="19">
    <w:p w:rsidR="000D6F2E" w:rsidRDefault="000D6F2E" w:rsidP="008B2AAC">
      <w:pPr>
        <w:pStyle w:val="FootnoteText"/>
      </w:pPr>
      <w:r>
        <w:rPr>
          <w:rStyle w:val="FootnoteReference"/>
        </w:rPr>
        <w:footnoteRef/>
      </w:r>
      <w:r>
        <w:t xml:space="preserve"> </w:t>
      </w:r>
      <w:proofErr w:type="spellStart"/>
      <w:r>
        <w:t>Lequerré</w:t>
      </w:r>
      <w:proofErr w:type="spellEnd"/>
      <w:r>
        <w:t>, T, et al</w:t>
      </w:r>
      <w:r w:rsidRPr="008B2AAC">
        <w:t xml:space="preserve"> Interleukin-1 receptor ant</w:t>
      </w:r>
      <w:r>
        <w:t>agonist (</w:t>
      </w:r>
      <w:proofErr w:type="spellStart"/>
      <w:r>
        <w:t>anakinra</w:t>
      </w:r>
      <w:proofErr w:type="spellEnd"/>
      <w:r>
        <w:t xml:space="preserve">) treatment in </w:t>
      </w:r>
      <w:r w:rsidRPr="008B2AAC">
        <w:t>patients with systemic-onset juvenile idiopathic arthritis or adult o</w:t>
      </w:r>
      <w:r>
        <w:t xml:space="preserve">nset Still disease: preliminary </w:t>
      </w:r>
      <w:r w:rsidRPr="008B2AAC">
        <w:t>experience in France</w:t>
      </w:r>
      <w:r w:rsidRPr="008B2AAC">
        <w:rPr>
          <w:i/>
        </w:rPr>
        <w:t>. Ann Rheum Dis</w:t>
      </w:r>
      <w:r w:rsidRPr="008B2AAC">
        <w:t xml:space="preserve"> </w:t>
      </w:r>
      <w:r>
        <w:t>2008; 67</w:t>
      </w:r>
      <w:r w:rsidRPr="008B2AAC">
        <w:t>: 302-</w:t>
      </w:r>
      <w:r>
        <w:t>30</w:t>
      </w:r>
      <w:r w:rsidRPr="008B2AAC">
        <w:t>8</w:t>
      </w:r>
      <w:r>
        <w:t>.</w:t>
      </w:r>
    </w:p>
  </w:footnote>
  <w:footnote w:id="20">
    <w:p w:rsidR="000D6F2E" w:rsidRDefault="000D6F2E" w:rsidP="008B2AAC">
      <w:pPr>
        <w:pStyle w:val="FootnoteText"/>
      </w:pPr>
      <w:r>
        <w:rPr>
          <w:rStyle w:val="FootnoteReference"/>
        </w:rPr>
        <w:footnoteRef/>
      </w:r>
      <w:r>
        <w:t xml:space="preserve"> Livermore, P. and P. Woo.</w:t>
      </w:r>
      <w:r w:rsidRPr="008B2AAC">
        <w:t xml:space="preserve"> </w:t>
      </w:r>
      <w:proofErr w:type="gramStart"/>
      <w:r w:rsidRPr="008B2AAC">
        <w:t>Experience of one UK site pre</w:t>
      </w:r>
      <w:r>
        <w:t xml:space="preserve">senting a closer examination of </w:t>
      </w:r>
      <w:r w:rsidRPr="008B2AAC">
        <w:t xml:space="preserve">safety and efficacy of </w:t>
      </w:r>
      <w:proofErr w:type="spellStart"/>
      <w:r w:rsidRPr="008B2AAC">
        <w:t>Anakinra</w:t>
      </w:r>
      <w:proofErr w:type="spellEnd"/>
      <w:r w:rsidRPr="008B2AAC">
        <w:t xml:space="preserve"> (</w:t>
      </w:r>
      <w:proofErr w:type="spellStart"/>
      <w:r w:rsidRPr="008B2AAC">
        <w:t>Kineret</w:t>
      </w:r>
      <w:proofErr w:type="spellEnd"/>
      <w:r w:rsidRPr="008B2AAC">
        <w:t>) in systemic juvenil</w:t>
      </w:r>
      <w:r>
        <w:t>e idiopathic arthritis.</w:t>
      </w:r>
      <w:proofErr w:type="gramEnd"/>
      <w:r>
        <w:t xml:space="preserve"> </w:t>
      </w:r>
      <w:proofErr w:type="spellStart"/>
      <w:proofErr w:type="gramStart"/>
      <w:r w:rsidRPr="008B2AAC">
        <w:rPr>
          <w:i/>
        </w:rPr>
        <w:t>Pediatr</w:t>
      </w:r>
      <w:proofErr w:type="spellEnd"/>
      <w:r w:rsidRPr="008B2AAC">
        <w:rPr>
          <w:i/>
        </w:rPr>
        <w:t xml:space="preserve"> </w:t>
      </w:r>
      <w:proofErr w:type="spellStart"/>
      <w:r w:rsidRPr="008B2AAC">
        <w:rPr>
          <w:i/>
        </w:rPr>
        <w:t>Rheumatol</w:t>
      </w:r>
      <w:proofErr w:type="spellEnd"/>
      <w:r>
        <w:t xml:space="preserve"> 2008;</w:t>
      </w:r>
      <w:r w:rsidRPr="008B2AAC">
        <w:t xml:space="preserve"> 6</w:t>
      </w:r>
      <w:r>
        <w:t xml:space="preserve">: </w:t>
      </w:r>
      <w:r w:rsidRPr="008B2AAC">
        <w:t>32</w:t>
      </w:r>
      <w:r>
        <w:t>.</w:t>
      </w:r>
      <w:proofErr w:type="gramEnd"/>
    </w:p>
  </w:footnote>
  <w:footnote w:id="21">
    <w:p w:rsidR="000D6F2E" w:rsidRDefault="000D6F2E" w:rsidP="008B2AAC">
      <w:pPr>
        <w:pStyle w:val="FootnoteText"/>
      </w:pPr>
      <w:r>
        <w:rPr>
          <w:rStyle w:val="FootnoteReference"/>
        </w:rPr>
        <w:footnoteRef/>
      </w:r>
      <w:r>
        <w:t xml:space="preserve"> </w:t>
      </w:r>
      <w:proofErr w:type="spellStart"/>
      <w:r w:rsidRPr="008B2AAC">
        <w:t>Lurati</w:t>
      </w:r>
      <w:proofErr w:type="spellEnd"/>
      <w:r w:rsidRPr="008B2AAC">
        <w:t>, A</w:t>
      </w:r>
      <w:r>
        <w:t xml:space="preserve"> et al</w:t>
      </w:r>
      <w:r w:rsidRPr="008B2AAC">
        <w:t xml:space="preserve"> Macrophage activation</w:t>
      </w:r>
      <w:r>
        <w:t xml:space="preserve"> syndrome (MAS) during anti-IL1 </w:t>
      </w:r>
      <w:r w:rsidRPr="008B2AAC">
        <w:t>receptor therapy (</w:t>
      </w:r>
      <w:proofErr w:type="spellStart"/>
      <w:r w:rsidRPr="008B2AAC">
        <w:t>anakinra</w:t>
      </w:r>
      <w:proofErr w:type="spellEnd"/>
      <w:r w:rsidRPr="008B2AAC">
        <w:t>) in a patient affected by systemic onse</w:t>
      </w:r>
      <w:r>
        <w:t xml:space="preserve">t idiopathic juvenile arthritis </w:t>
      </w:r>
      <w:r w:rsidRPr="008B2AAC">
        <w:t>(</w:t>
      </w:r>
      <w:proofErr w:type="spellStart"/>
      <w:r w:rsidRPr="008B2AAC">
        <w:t>soJIA</w:t>
      </w:r>
      <w:proofErr w:type="spellEnd"/>
      <w:r w:rsidRPr="008B2AAC">
        <w:t>): A report and review of the literature</w:t>
      </w:r>
      <w:r w:rsidRPr="008B2AAC">
        <w:rPr>
          <w:i/>
        </w:rPr>
        <w:t xml:space="preserve">. </w:t>
      </w:r>
      <w:proofErr w:type="spellStart"/>
      <w:r w:rsidRPr="008B2AAC">
        <w:rPr>
          <w:i/>
        </w:rPr>
        <w:t>Pediatric</w:t>
      </w:r>
      <w:proofErr w:type="spellEnd"/>
      <w:r w:rsidRPr="008B2AAC">
        <w:rPr>
          <w:i/>
        </w:rPr>
        <w:t xml:space="preserve"> Rheumatology Online Journal</w:t>
      </w:r>
      <w:r>
        <w:t xml:space="preserve"> 2005, 3</w:t>
      </w:r>
      <w:r w:rsidRPr="008B2AAC">
        <w:t>:79-85.</w:t>
      </w:r>
    </w:p>
  </w:footnote>
  <w:footnote w:id="22">
    <w:p w:rsidR="000D6F2E" w:rsidRDefault="000D6F2E" w:rsidP="008B2AAC">
      <w:pPr>
        <w:pStyle w:val="FootnoteText"/>
      </w:pPr>
      <w:r>
        <w:rPr>
          <w:rStyle w:val="FootnoteReference"/>
        </w:rPr>
        <w:footnoteRef/>
      </w:r>
      <w:r>
        <w:t xml:space="preserve"> </w:t>
      </w:r>
      <w:proofErr w:type="spellStart"/>
      <w:r w:rsidRPr="008B2AAC">
        <w:t>Nigrovic</w:t>
      </w:r>
      <w:proofErr w:type="spellEnd"/>
      <w:r w:rsidRPr="008B2AAC">
        <w:t xml:space="preserve">, </w:t>
      </w:r>
      <w:r>
        <w:t>P. A. et al</w:t>
      </w:r>
      <w:r w:rsidRPr="008B2AAC">
        <w:t xml:space="preserve"> </w:t>
      </w:r>
      <w:proofErr w:type="spellStart"/>
      <w:r w:rsidRPr="008B2AAC">
        <w:t>Anakinra</w:t>
      </w:r>
      <w:proofErr w:type="spellEnd"/>
      <w:r w:rsidRPr="008B2AAC">
        <w:t xml:space="preserve"> as first-li</w:t>
      </w:r>
      <w:r>
        <w:t xml:space="preserve">ne disease-modifying therapy in </w:t>
      </w:r>
      <w:r w:rsidRPr="008B2AAC">
        <w:t>systemic juvenile idiopathic arthritis: report of forty-six</w:t>
      </w:r>
      <w:r>
        <w:t xml:space="preserve"> patients from an international </w:t>
      </w:r>
      <w:r w:rsidRPr="008B2AAC">
        <w:t xml:space="preserve">multicentre series. </w:t>
      </w:r>
      <w:r w:rsidRPr="008B2AAC">
        <w:rPr>
          <w:i/>
        </w:rPr>
        <w:t>Arthritis Rheum</w:t>
      </w:r>
      <w:r>
        <w:t xml:space="preserve"> 2011; 63</w:t>
      </w:r>
      <w:r w:rsidRPr="008B2AAC">
        <w:t>: 545-</w:t>
      </w:r>
      <w:r>
        <w:t>5</w:t>
      </w:r>
      <w:r w:rsidRPr="008B2AAC">
        <w:t>55</w:t>
      </w:r>
      <w:r>
        <w:t>.</w:t>
      </w:r>
    </w:p>
  </w:footnote>
  <w:footnote w:id="23">
    <w:p w:rsidR="000D6F2E" w:rsidRDefault="000D6F2E" w:rsidP="008B2AAC">
      <w:pPr>
        <w:pStyle w:val="FootnoteText"/>
      </w:pPr>
      <w:r>
        <w:rPr>
          <w:rStyle w:val="FootnoteReference"/>
        </w:rPr>
        <w:footnoteRef/>
      </w:r>
      <w:r>
        <w:t xml:space="preserve"> </w:t>
      </w:r>
      <w:proofErr w:type="spellStart"/>
      <w:proofErr w:type="gramStart"/>
      <w:r>
        <w:t>Ohlsson</w:t>
      </w:r>
      <w:proofErr w:type="spellEnd"/>
      <w:r>
        <w:t>, V. et al</w:t>
      </w:r>
      <w:r w:rsidRPr="008B2AAC">
        <w:t xml:space="preserve"> </w:t>
      </w:r>
      <w:proofErr w:type="spellStart"/>
      <w:r w:rsidRPr="008B2AAC">
        <w:t>Anakinra</w:t>
      </w:r>
      <w:proofErr w:type="spellEnd"/>
      <w:r w:rsidRPr="008B2AAC">
        <w:t xml:space="preserve"> treatment for sys</w:t>
      </w:r>
      <w:r>
        <w:t xml:space="preserve">temic onset juvenile idiopathic </w:t>
      </w:r>
      <w:r w:rsidRPr="008B2AAC">
        <w:t>arthritis (SOJIA).</w:t>
      </w:r>
      <w:proofErr w:type="gramEnd"/>
      <w:r w:rsidRPr="008B2AAC">
        <w:t xml:space="preserve"> </w:t>
      </w:r>
      <w:proofErr w:type="gramStart"/>
      <w:r w:rsidRPr="008B2AAC">
        <w:rPr>
          <w:i/>
        </w:rPr>
        <w:t xml:space="preserve">Rheumatology </w:t>
      </w:r>
      <w:r w:rsidRPr="008B2AAC">
        <w:t>(Oxford)</w:t>
      </w:r>
      <w:r>
        <w:t xml:space="preserve"> 2008; 47:</w:t>
      </w:r>
      <w:r w:rsidRPr="008B2AAC">
        <w:t xml:space="preserve"> 555-</w:t>
      </w:r>
      <w:r>
        <w:t>55</w:t>
      </w:r>
      <w:r w:rsidRPr="008B2AAC">
        <w:t>6.</w:t>
      </w:r>
      <w:proofErr w:type="gramEnd"/>
    </w:p>
  </w:footnote>
  <w:footnote w:id="24">
    <w:p w:rsidR="000D6F2E" w:rsidRDefault="000D6F2E" w:rsidP="005E365E">
      <w:pPr>
        <w:pStyle w:val="FootnoteText"/>
      </w:pPr>
      <w:r>
        <w:rPr>
          <w:rStyle w:val="FootnoteReference"/>
        </w:rPr>
        <w:footnoteRef/>
      </w:r>
      <w:r>
        <w:t xml:space="preserve"> </w:t>
      </w:r>
      <w:proofErr w:type="spellStart"/>
      <w:r>
        <w:t>Pascual</w:t>
      </w:r>
      <w:proofErr w:type="spellEnd"/>
      <w:r>
        <w:t>, V. et al</w:t>
      </w:r>
      <w:r w:rsidRPr="005E365E">
        <w:t xml:space="preserve"> Role of interleukin-</w:t>
      </w:r>
      <w:r>
        <w:t xml:space="preserve">1 (IL-1) in the pathogenesis of </w:t>
      </w:r>
      <w:r w:rsidRPr="005E365E">
        <w:t>systemic onset juvenile idiopathic arthritis and clinical respo</w:t>
      </w:r>
      <w:r>
        <w:t xml:space="preserve">nse to IL-1 blockade. </w:t>
      </w:r>
      <w:r w:rsidRPr="005E365E">
        <w:rPr>
          <w:i/>
        </w:rPr>
        <w:t xml:space="preserve">J </w:t>
      </w:r>
      <w:proofErr w:type="spellStart"/>
      <w:r w:rsidRPr="005E365E">
        <w:rPr>
          <w:i/>
        </w:rPr>
        <w:t>Exp</w:t>
      </w:r>
      <w:proofErr w:type="spellEnd"/>
      <w:r w:rsidRPr="005E365E">
        <w:rPr>
          <w:i/>
        </w:rPr>
        <w:t xml:space="preserve"> Med</w:t>
      </w:r>
      <w:r>
        <w:t xml:space="preserve"> 2005; 201</w:t>
      </w:r>
      <w:r w:rsidRPr="005E365E">
        <w:t>: 1479-</w:t>
      </w:r>
      <w:r>
        <w:t>14</w:t>
      </w:r>
      <w:r w:rsidRPr="005E365E">
        <w:t>86.</w:t>
      </w:r>
    </w:p>
  </w:footnote>
  <w:footnote w:id="25">
    <w:p w:rsidR="000D6F2E" w:rsidRDefault="000D6F2E" w:rsidP="005E365E">
      <w:pPr>
        <w:pStyle w:val="FootnoteText"/>
      </w:pPr>
      <w:r>
        <w:rPr>
          <w:rStyle w:val="FootnoteReference"/>
        </w:rPr>
        <w:footnoteRef/>
      </w:r>
      <w:r>
        <w:t xml:space="preserve"> </w:t>
      </w:r>
      <w:proofErr w:type="spellStart"/>
      <w:proofErr w:type="gramStart"/>
      <w:r>
        <w:t>Pontikaki</w:t>
      </w:r>
      <w:proofErr w:type="spellEnd"/>
      <w:r>
        <w:t>, I.</w:t>
      </w:r>
      <w:r w:rsidRPr="005E365E">
        <w:t xml:space="preserve">et </w:t>
      </w:r>
      <w:r>
        <w:t>al</w:t>
      </w:r>
      <w:r w:rsidRPr="005E365E">
        <w:t xml:space="preserve"> (2008).</w:t>
      </w:r>
      <w:proofErr w:type="gramEnd"/>
      <w:r w:rsidRPr="005E365E">
        <w:t xml:space="preserve"> </w:t>
      </w:r>
      <w:proofErr w:type="spellStart"/>
      <w:proofErr w:type="gramStart"/>
      <w:r w:rsidRPr="005E365E">
        <w:t>Anakinra</w:t>
      </w:r>
      <w:proofErr w:type="spellEnd"/>
      <w:r w:rsidRPr="005E365E">
        <w:t xml:space="preserve"> in systemic juveni</w:t>
      </w:r>
      <w:r>
        <w:t>le idiopathic arthritis (</w:t>
      </w:r>
      <w:proofErr w:type="spellStart"/>
      <w:r>
        <w:t>soJIA</w:t>
      </w:r>
      <w:proofErr w:type="spellEnd"/>
      <w:r>
        <w:t xml:space="preserve">) </w:t>
      </w:r>
      <w:r w:rsidRPr="005E365E">
        <w:t xml:space="preserve">non responsive to </w:t>
      </w:r>
      <w:proofErr w:type="spellStart"/>
      <w:r w:rsidRPr="005E365E">
        <w:t>antiTNF</w:t>
      </w:r>
      <w:proofErr w:type="spellEnd"/>
      <w:r w:rsidRPr="005E365E">
        <w:t>.</w:t>
      </w:r>
      <w:proofErr w:type="gramEnd"/>
      <w:r w:rsidRPr="005E365E">
        <w:t xml:space="preserve"> </w:t>
      </w:r>
      <w:proofErr w:type="spellStart"/>
      <w:proofErr w:type="gramStart"/>
      <w:r w:rsidRPr="005E365E">
        <w:rPr>
          <w:i/>
        </w:rPr>
        <w:t>Pediatr</w:t>
      </w:r>
      <w:proofErr w:type="spellEnd"/>
      <w:r w:rsidRPr="005E365E">
        <w:rPr>
          <w:i/>
        </w:rPr>
        <w:t xml:space="preserve"> </w:t>
      </w:r>
      <w:proofErr w:type="spellStart"/>
      <w:r w:rsidRPr="005E365E">
        <w:rPr>
          <w:i/>
        </w:rPr>
        <w:t>Rheumatol</w:t>
      </w:r>
      <w:proofErr w:type="spellEnd"/>
      <w:r>
        <w:t xml:space="preserve"> 2008;</w:t>
      </w:r>
      <w:r w:rsidRPr="005E365E">
        <w:t xml:space="preserve"> </w:t>
      </w:r>
      <w:r>
        <w:t>6:</w:t>
      </w:r>
      <w:r w:rsidRPr="005E365E">
        <w:t>30.</w:t>
      </w:r>
      <w:proofErr w:type="gramEnd"/>
    </w:p>
  </w:footnote>
  <w:footnote w:id="26">
    <w:p w:rsidR="000D6F2E" w:rsidRDefault="000D6F2E" w:rsidP="005E365E">
      <w:pPr>
        <w:pStyle w:val="FootnoteText"/>
      </w:pPr>
      <w:r>
        <w:rPr>
          <w:rStyle w:val="FootnoteReference"/>
        </w:rPr>
        <w:footnoteRef/>
      </w:r>
      <w:r>
        <w:t xml:space="preserve"> </w:t>
      </w:r>
      <w:proofErr w:type="spellStart"/>
      <w:r>
        <w:t>Verbsky</w:t>
      </w:r>
      <w:proofErr w:type="spellEnd"/>
      <w:r>
        <w:t xml:space="preserve"> JW, White AJ</w:t>
      </w:r>
      <w:r w:rsidRPr="005E365E">
        <w:t xml:space="preserve">. </w:t>
      </w:r>
      <w:proofErr w:type="gramStart"/>
      <w:r w:rsidRPr="005E365E">
        <w:t>Effective use of the rec</w:t>
      </w:r>
      <w:r>
        <w:t xml:space="preserve">ombinant interleukin 1 receptor </w:t>
      </w:r>
      <w:r w:rsidRPr="005E365E">
        <w:t xml:space="preserve">antagonist </w:t>
      </w:r>
      <w:proofErr w:type="spellStart"/>
      <w:r w:rsidRPr="005E365E">
        <w:t>anakinra</w:t>
      </w:r>
      <w:proofErr w:type="spellEnd"/>
      <w:r w:rsidRPr="005E365E">
        <w:t xml:space="preserve"> in therapy resistant systemic onset juvenile rheumatoid arthritis.</w:t>
      </w:r>
      <w:proofErr w:type="gramEnd"/>
      <w:r w:rsidRPr="005E365E">
        <w:t xml:space="preserve"> </w:t>
      </w:r>
      <w:proofErr w:type="gramStart"/>
      <w:r w:rsidRPr="005E365E">
        <w:rPr>
          <w:i/>
        </w:rPr>
        <w:t xml:space="preserve">J </w:t>
      </w:r>
      <w:proofErr w:type="spellStart"/>
      <w:r w:rsidRPr="005E365E">
        <w:rPr>
          <w:i/>
        </w:rPr>
        <w:t>Rheumatol</w:t>
      </w:r>
      <w:proofErr w:type="spellEnd"/>
      <w:r w:rsidRPr="005E365E">
        <w:t>.</w:t>
      </w:r>
      <w:proofErr w:type="gramEnd"/>
      <w:r>
        <w:t xml:space="preserve"> </w:t>
      </w:r>
      <w:proofErr w:type="gramStart"/>
      <w:r>
        <w:t>2004; 31</w:t>
      </w:r>
      <w:r w:rsidRPr="005E365E">
        <w:t>:2071-</w:t>
      </w:r>
      <w:r>
        <w:t>207</w:t>
      </w:r>
      <w:r w:rsidRPr="005E365E">
        <w:t>5.</w:t>
      </w:r>
      <w:proofErr w:type="gramEnd"/>
    </w:p>
  </w:footnote>
  <w:footnote w:id="27">
    <w:p w:rsidR="000D6F2E" w:rsidRDefault="000D6F2E" w:rsidP="005E365E">
      <w:pPr>
        <w:pStyle w:val="FootnoteText"/>
      </w:pPr>
      <w:r>
        <w:rPr>
          <w:rStyle w:val="FootnoteReference"/>
        </w:rPr>
        <w:footnoteRef/>
      </w:r>
      <w:r>
        <w:t xml:space="preserve"> </w:t>
      </w:r>
      <w:proofErr w:type="spellStart"/>
      <w:r>
        <w:t>Zeft</w:t>
      </w:r>
      <w:proofErr w:type="spellEnd"/>
      <w:r>
        <w:t>, A. et al</w:t>
      </w:r>
      <w:r w:rsidRPr="005E365E">
        <w:t xml:space="preserve"> </w:t>
      </w:r>
      <w:proofErr w:type="spellStart"/>
      <w:r w:rsidRPr="005E365E">
        <w:t>Anakinra</w:t>
      </w:r>
      <w:proofErr w:type="spellEnd"/>
      <w:r w:rsidRPr="005E365E">
        <w:t xml:space="preserve"> for systemic juvenil</w:t>
      </w:r>
      <w:r>
        <w:t xml:space="preserve">e arthritis: the Rocky Mountain </w:t>
      </w:r>
      <w:r w:rsidRPr="005E365E">
        <w:t>experience</w:t>
      </w:r>
      <w:r w:rsidRPr="005E365E">
        <w:rPr>
          <w:i/>
        </w:rPr>
        <w:t xml:space="preserve">. J </w:t>
      </w:r>
      <w:proofErr w:type="spellStart"/>
      <w:r w:rsidRPr="005E365E">
        <w:rPr>
          <w:i/>
        </w:rPr>
        <w:t>Clin</w:t>
      </w:r>
      <w:proofErr w:type="spellEnd"/>
      <w:r w:rsidRPr="005E365E">
        <w:rPr>
          <w:i/>
        </w:rPr>
        <w:t xml:space="preserve"> </w:t>
      </w:r>
      <w:proofErr w:type="spellStart"/>
      <w:r w:rsidRPr="005E365E">
        <w:rPr>
          <w:i/>
        </w:rPr>
        <w:t>Rheumatol</w:t>
      </w:r>
      <w:proofErr w:type="spellEnd"/>
      <w:r w:rsidRPr="005E365E">
        <w:t xml:space="preserve"> </w:t>
      </w:r>
      <w:r>
        <w:t>2009; 15</w:t>
      </w:r>
      <w:r w:rsidRPr="005E365E">
        <w:t>: 161-</w:t>
      </w:r>
      <w:r>
        <w:t>16</w:t>
      </w:r>
      <w:r w:rsidRPr="005E365E">
        <w:t>4.</w:t>
      </w:r>
    </w:p>
  </w:footnote>
  <w:footnote w:id="28">
    <w:p w:rsidR="000D6F2E" w:rsidRDefault="000D6F2E" w:rsidP="003016B1">
      <w:pPr>
        <w:pStyle w:val="FootnoteText"/>
      </w:pPr>
      <w:r>
        <w:rPr>
          <w:rStyle w:val="FootnoteReference"/>
        </w:rPr>
        <w:footnoteRef/>
      </w:r>
      <w:r>
        <w:t xml:space="preserve"> </w:t>
      </w:r>
      <w:proofErr w:type="gramStart"/>
      <w:r>
        <w:t>Juvenile Arthritis in Australia.</w:t>
      </w:r>
      <w:proofErr w:type="gramEnd"/>
      <w:r>
        <w:t xml:space="preserve"> Canberra: Australian Institute of Health and Welfare 2008.</w:t>
      </w:r>
    </w:p>
  </w:footnote>
  <w:footnote w:id="29">
    <w:p w:rsidR="000D6F2E" w:rsidRDefault="000D6F2E" w:rsidP="003016B1">
      <w:pPr>
        <w:pStyle w:val="FootnoteText"/>
      </w:pPr>
      <w:r>
        <w:rPr>
          <w:rStyle w:val="FootnoteReference"/>
        </w:rPr>
        <w:footnoteRef/>
      </w:r>
      <w:r>
        <w:t xml:space="preserve"> Singh-Grewal D et al. Predictors of disease course </w:t>
      </w:r>
      <w:r w:rsidRPr="00F17D80">
        <w:t>and remission in systemic juvenile idiopathic arthritis: sig</w:t>
      </w:r>
      <w:r>
        <w:t xml:space="preserve">nificance of early clinical and </w:t>
      </w:r>
      <w:r w:rsidRPr="00F17D80">
        <w:t xml:space="preserve">laboratory features. </w:t>
      </w:r>
      <w:proofErr w:type="gramStart"/>
      <w:r w:rsidRPr="00F17D80">
        <w:rPr>
          <w:i/>
        </w:rPr>
        <w:t>Arthritis Rheum</w:t>
      </w:r>
      <w:r w:rsidRPr="00F17D80">
        <w:t>.</w:t>
      </w:r>
      <w:proofErr w:type="gramEnd"/>
      <w:r w:rsidRPr="00F17D80">
        <w:t xml:space="preserve"> 2006</w:t>
      </w:r>
      <w:proofErr w:type="gramStart"/>
      <w:r>
        <w:t>;54</w:t>
      </w:r>
      <w:proofErr w:type="gramEnd"/>
      <w:r w:rsidRPr="00F17D80">
        <w:t>: 1595-</w:t>
      </w:r>
      <w:r>
        <w:t>1</w:t>
      </w:r>
      <w:r w:rsidRPr="00F17D80">
        <w:t>601</w:t>
      </w:r>
      <w:r>
        <w:t>.</w:t>
      </w:r>
    </w:p>
  </w:footnote>
  <w:footnote w:id="30">
    <w:p w:rsidR="000D6F2E" w:rsidRDefault="000D6F2E" w:rsidP="00F17D80">
      <w:pPr>
        <w:pStyle w:val="FootnoteText"/>
      </w:pPr>
      <w:r>
        <w:rPr>
          <w:rStyle w:val="FootnoteReference"/>
        </w:rPr>
        <w:footnoteRef/>
      </w:r>
      <w:r>
        <w:t xml:space="preserve"> </w:t>
      </w:r>
      <w:proofErr w:type="spellStart"/>
      <w:r w:rsidRPr="00F17D80">
        <w:t>Packham</w:t>
      </w:r>
      <w:proofErr w:type="spellEnd"/>
      <w:r w:rsidRPr="00F17D80">
        <w:t xml:space="preserve"> JC, Hall MA. Long-term follow-up of 246 adults with </w:t>
      </w:r>
      <w:r>
        <w:t xml:space="preserve">juvenile idiopathic </w:t>
      </w:r>
      <w:r w:rsidRPr="00F17D80">
        <w:t xml:space="preserve">arthritis: functional outcome. </w:t>
      </w:r>
      <w:proofErr w:type="gramStart"/>
      <w:r w:rsidRPr="00F17D80">
        <w:rPr>
          <w:i/>
        </w:rPr>
        <w:t>Rheumatology</w:t>
      </w:r>
      <w:r w:rsidRPr="00F17D80">
        <w:t xml:space="preserve"> (Oxford).</w:t>
      </w:r>
      <w:proofErr w:type="gramEnd"/>
      <w:r w:rsidRPr="00F17D80">
        <w:t xml:space="preserve"> 2002</w:t>
      </w:r>
      <w:proofErr w:type="gramStart"/>
      <w:r>
        <w:t>;41</w:t>
      </w:r>
      <w:r w:rsidRPr="00F17D80">
        <w:t>:1428</w:t>
      </w:r>
      <w:proofErr w:type="gramEnd"/>
      <w:r w:rsidRPr="00F17D80">
        <w:t>-</w:t>
      </w:r>
      <w:r>
        <w:t>14</w:t>
      </w:r>
      <w:r w:rsidRPr="00F17D80">
        <w:t>35</w:t>
      </w:r>
      <w:r>
        <w:t>.</w:t>
      </w:r>
    </w:p>
  </w:footnote>
  <w:footnote w:id="31">
    <w:p w:rsidR="000D6F2E" w:rsidRDefault="000D6F2E" w:rsidP="00F17D80">
      <w:pPr>
        <w:pStyle w:val="FootnoteText"/>
      </w:pPr>
      <w:r>
        <w:rPr>
          <w:rStyle w:val="FootnoteReference"/>
        </w:rPr>
        <w:footnoteRef/>
      </w:r>
      <w:r>
        <w:t xml:space="preserve"> </w:t>
      </w:r>
      <w:r w:rsidRPr="00F17D80">
        <w:t>Lovell DJ</w:t>
      </w:r>
      <w:r>
        <w:t xml:space="preserve">, et al. </w:t>
      </w:r>
      <w:proofErr w:type="spellStart"/>
      <w:r w:rsidRPr="00F17D80">
        <w:t>Etanercept</w:t>
      </w:r>
      <w:proofErr w:type="spellEnd"/>
      <w:r w:rsidRPr="00F17D80">
        <w:t xml:space="preserve"> in children with </w:t>
      </w:r>
      <w:proofErr w:type="spellStart"/>
      <w:r w:rsidRPr="00F17D80">
        <w:t>polyarticular</w:t>
      </w:r>
      <w:proofErr w:type="spellEnd"/>
      <w:r w:rsidRPr="00F17D80">
        <w:t xml:space="preserve"> juvenile rheumatoid ar</w:t>
      </w:r>
      <w:r>
        <w:t xml:space="preserve">thritis. </w:t>
      </w:r>
      <w:proofErr w:type="spellStart"/>
      <w:proofErr w:type="gramStart"/>
      <w:r>
        <w:t>Pediatric</w:t>
      </w:r>
      <w:proofErr w:type="spellEnd"/>
      <w:r>
        <w:t xml:space="preserve"> Rheumatology </w:t>
      </w:r>
      <w:r w:rsidRPr="00F17D80">
        <w:t>Collaborative Study Group</w:t>
      </w:r>
      <w:r w:rsidRPr="00F17D80">
        <w:rPr>
          <w:i/>
        </w:rPr>
        <w:t>.</w:t>
      </w:r>
      <w:proofErr w:type="gramEnd"/>
      <w:r w:rsidRPr="00F17D80">
        <w:rPr>
          <w:i/>
        </w:rPr>
        <w:t xml:space="preserve"> N </w:t>
      </w:r>
      <w:proofErr w:type="spellStart"/>
      <w:r w:rsidRPr="00F17D80">
        <w:rPr>
          <w:i/>
        </w:rPr>
        <w:t>Engl</w:t>
      </w:r>
      <w:proofErr w:type="spellEnd"/>
      <w:r w:rsidRPr="00F17D80">
        <w:rPr>
          <w:i/>
        </w:rPr>
        <w:t xml:space="preserve"> J Med</w:t>
      </w:r>
      <w:r w:rsidRPr="00F17D80">
        <w:t>. 2000</w:t>
      </w:r>
      <w:proofErr w:type="gramStart"/>
      <w:r w:rsidRPr="00F17D80">
        <w:t>;342</w:t>
      </w:r>
      <w:proofErr w:type="gramEnd"/>
      <w:r>
        <w:t xml:space="preserve">: </w:t>
      </w:r>
      <w:r w:rsidRPr="00F17D80">
        <w:t>763-</w:t>
      </w:r>
      <w:r>
        <w:t>76</w:t>
      </w:r>
      <w:r w:rsidRPr="00F17D80">
        <w:t>9.</w:t>
      </w:r>
    </w:p>
  </w:footnote>
  <w:footnote w:id="32">
    <w:p w:rsidR="000D6F2E" w:rsidRDefault="000D6F2E" w:rsidP="00F17D80">
      <w:pPr>
        <w:pStyle w:val="FootnoteText"/>
      </w:pPr>
      <w:r>
        <w:rPr>
          <w:rStyle w:val="FootnoteReference"/>
        </w:rPr>
        <w:footnoteRef/>
      </w:r>
      <w:r>
        <w:t xml:space="preserve"> </w:t>
      </w:r>
      <w:proofErr w:type="gramStart"/>
      <w:r w:rsidRPr="00F17D80">
        <w:t>Lovell DJ</w:t>
      </w:r>
      <w:r>
        <w:t xml:space="preserve"> et al. Long-term safety </w:t>
      </w:r>
      <w:r w:rsidRPr="00F17D80">
        <w:t xml:space="preserve">and efficacy of </w:t>
      </w:r>
      <w:proofErr w:type="spellStart"/>
      <w:r w:rsidRPr="00F17D80">
        <w:t>etanercept</w:t>
      </w:r>
      <w:proofErr w:type="spellEnd"/>
      <w:r w:rsidRPr="00F17D80">
        <w:t xml:space="preserve"> in children with </w:t>
      </w:r>
      <w:proofErr w:type="spellStart"/>
      <w:r w:rsidRPr="00F17D80">
        <w:t>polyarticular</w:t>
      </w:r>
      <w:proofErr w:type="spellEnd"/>
      <w:r w:rsidRPr="00F17D80">
        <w:t>-course</w:t>
      </w:r>
      <w:r>
        <w:t xml:space="preserve"> juvenile rheumatoid arthritis.</w:t>
      </w:r>
      <w:proofErr w:type="gramEnd"/>
      <w:r>
        <w:t xml:space="preserve"> </w:t>
      </w:r>
      <w:proofErr w:type="gramStart"/>
      <w:r w:rsidRPr="00F17D80">
        <w:rPr>
          <w:i/>
        </w:rPr>
        <w:t>Arthritis Rheum</w:t>
      </w:r>
      <w:r w:rsidRPr="00F17D80">
        <w:t>.</w:t>
      </w:r>
      <w:proofErr w:type="gramEnd"/>
      <w:r w:rsidRPr="00F17D80">
        <w:t xml:space="preserve"> 2006</w:t>
      </w:r>
      <w:proofErr w:type="gramStart"/>
      <w:r>
        <w:t>;54</w:t>
      </w:r>
      <w:r w:rsidRPr="00F17D80">
        <w:t>:1987</w:t>
      </w:r>
      <w:proofErr w:type="gramEnd"/>
      <w:r w:rsidRPr="00F17D80">
        <w:t>-</w:t>
      </w:r>
      <w:r>
        <w:t>19</w:t>
      </w:r>
      <w:r w:rsidRPr="00F17D80">
        <w:t>94.</w:t>
      </w:r>
    </w:p>
  </w:footnote>
  <w:footnote w:id="33">
    <w:p w:rsidR="000D6F2E" w:rsidRDefault="000D6F2E" w:rsidP="00F17D80">
      <w:pPr>
        <w:pStyle w:val="FootnoteText"/>
      </w:pPr>
      <w:r>
        <w:rPr>
          <w:rStyle w:val="FootnoteReference"/>
        </w:rPr>
        <w:footnoteRef/>
      </w:r>
      <w:r>
        <w:t xml:space="preserve"> </w:t>
      </w:r>
      <w:r w:rsidRPr="00F17D80">
        <w:t xml:space="preserve">Lovell DJ, et al. </w:t>
      </w:r>
      <w:proofErr w:type="spellStart"/>
      <w:r w:rsidRPr="00F17D80">
        <w:t>Ada</w:t>
      </w:r>
      <w:r>
        <w:t>limumab</w:t>
      </w:r>
      <w:proofErr w:type="spellEnd"/>
      <w:r>
        <w:t xml:space="preserve"> </w:t>
      </w:r>
      <w:r w:rsidRPr="00F17D80">
        <w:t>with or without methotrexate in juvenile rheumatoid ar</w:t>
      </w:r>
      <w:r>
        <w:t xml:space="preserve">thritis. </w:t>
      </w:r>
      <w:proofErr w:type="gramStart"/>
      <w:r w:rsidRPr="00F17D80">
        <w:rPr>
          <w:i/>
        </w:rPr>
        <w:t xml:space="preserve">N </w:t>
      </w:r>
      <w:proofErr w:type="spellStart"/>
      <w:r w:rsidRPr="00F17D80">
        <w:rPr>
          <w:i/>
        </w:rPr>
        <w:t>Engl</w:t>
      </w:r>
      <w:proofErr w:type="spellEnd"/>
      <w:r w:rsidRPr="00F17D80">
        <w:rPr>
          <w:i/>
        </w:rPr>
        <w:t xml:space="preserve"> J Med</w:t>
      </w:r>
      <w:r>
        <w:t>. 2008; 359</w:t>
      </w:r>
      <w:r w:rsidRPr="00F17D80">
        <w:t>:</w:t>
      </w:r>
      <w:r>
        <w:t xml:space="preserve"> </w:t>
      </w:r>
      <w:r w:rsidRPr="00F17D80">
        <w:t>810-</w:t>
      </w:r>
      <w:r>
        <w:t>8</w:t>
      </w:r>
      <w:r w:rsidRPr="00F17D80">
        <w:t>20.</w:t>
      </w:r>
      <w:proofErr w:type="gramEnd"/>
    </w:p>
  </w:footnote>
  <w:footnote w:id="34">
    <w:p w:rsidR="000D6F2E" w:rsidRDefault="000D6F2E" w:rsidP="00F17D80">
      <w:pPr>
        <w:pStyle w:val="FootnoteText"/>
      </w:pPr>
      <w:r>
        <w:rPr>
          <w:rStyle w:val="FootnoteReference"/>
        </w:rPr>
        <w:footnoteRef/>
      </w:r>
      <w:r>
        <w:t xml:space="preserve"> </w:t>
      </w:r>
      <w:proofErr w:type="gramStart"/>
      <w:r w:rsidRPr="00F17D80">
        <w:t>de</w:t>
      </w:r>
      <w:proofErr w:type="gramEnd"/>
      <w:r w:rsidRPr="00F17D80">
        <w:t xml:space="preserve"> Benedetti F</w:t>
      </w:r>
      <w:r>
        <w:t xml:space="preserve"> et al. Correlation of </w:t>
      </w:r>
      <w:r w:rsidRPr="00F17D80">
        <w:t>serum interleukin-6 levels with joint involvement and thrombocytosis in systemic</w:t>
      </w:r>
      <w:r>
        <w:t xml:space="preserve"> juvenile </w:t>
      </w:r>
      <w:r w:rsidRPr="00F17D80">
        <w:t xml:space="preserve">rheumatoid arthritis. </w:t>
      </w:r>
      <w:proofErr w:type="gramStart"/>
      <w:r w:rsidRPr="00F17D80">
        <w:rPr>
          <w:i/>
        </w:rPr>
        <w:t>Arthritis Rheum.</w:t>
      </w:r>
      <w:proofErr w:type="gramEnd"/>
      <w:r>
        <w:t xml:space="preserve"> </w:t>
      </w:r>
      <w:proofErr w:type="gramStart"/>
      <w:r>
        <w:t>1991</w:t>
      </w:r>
      <w:r w:rsidRPr="00F17D80">
        <w:t>;</w:t>
      </w:r>
      <w:r>
        <w:t xml:space="preserve"> 34</w:t>
      </w:r>
      <w:r w:rsidRPr="00F17D80">
        <w:t>:</w:t>
      </w:r>
      <w:r>
        <w:t xml:space="preserve"> </w:t>
      </w:r>
      <w:r w:rsidRPr="00F17D80">
        <w:t>1158-</w:t>
      </w:r>
      <w:r>
        <w:t>11</w:t>
      </w:r>
      <w:r w:rsidRPr="00F17D80">
        <w:t>63</w:t>
      </w:r>
      <w:r>
        <w:t>.</w:t>
      </w:r>
      <w:proofErr w:type="gramEnd"/>
    </w:p>
  </w:footnote>
  <w:footnote w:id="35">
    <w:p w:rsidR="000D6F2E" w:rsidRDefault="000D6F2E" w:rsidP="00F17D80">
      <w:pPr>
        <w:pStyle w:val="FootnoteText"/>
      </w:pPr>
      <w:r>
        <w:rPr>
          <w:rStyle w:val="FootnoteReference"/>
        </w:rPr>
        <w:footnoteRef/>
      </w:r>
      <w:r>
        <w:t xml:space="preserve"> </w:t>
      </w:r>
      <w:r w:rsidRPr="00F17D80">
        <w:t>Yokota S</w:t>
      </w:r>
      <w:r>
        <w:t xml:space="preserve"> et al. Efficacy and </w:t>
      </w:r>
      <w:r w:rsidRPr="00F17D80">
        <w:t xml:space="preserve">safety of </w:t>
      </w:r>
      <w:proofErr w:type="spellStart"/>
      <w:r w:rsidRPr="00F17D80">
        <w:t>tocilizumab</w:t>
      </w:r>
      <w:proofErr w:type="spellEnd"/>
      <w:r w:rsidRPr="00F17D80">
        <w:t xml:space="preserve"> in patients with systemic-onset juvenile i</w:t>
      </w:r>
      <w:r>
        <w:t xml:space="preserve">diopathic arthritis: a </w:t>
      </w:r>
      <w:r w:rsidRPr="00F17D80">
        <w:t>randomised, double-blind, placebo-controlled, withdrawal ph</w:t>
      </w:r>
      <w:r>
        <w:t xml:space="preserve">ase Ill trial. </w:t>
      </w:r>
      <w:proofErr w:type="gramStart"/>
      <w:r w:rsidRPr="00F17D80">
        <w:rPr>
          <w:i/>
        </w:rPr>
        <w:t>Lancet</w:t>
      </w:r>
      <w:r>
        <w:t>.</w:t>
      </w:r>
      <w:proofErr w:type="gramEnd"/>
      <w:r>
        <w:t xml:space="preserve"> </w:t>
      </w:r>
      <w:proofErr w:type="gramStart"/>
      <w:r>
        <w:t>2008</w:t>
      </w:r>
      <w:r w:rsidRPr="00F17D80">
        <w:t>;</w:t>
      </w:r>
      <w:r>
        <w:t xml:space="preserve"> 371</w:t>
      </w:r>
      <w:r w:rsidRPr="00F17D80">
        <w:t>:998-1006.</w:t>
      </w:r>
      <w:proofErr w:type="gramEnd"/>
    </w:p>
  </w:footnote>
  <w:footnote w:id="36">
    <w:p w:rsidR="000D6F2E" w:rsidRPr="001D744A" w:rsidRDefault="000D6F2E" w:rsidP="001D744A">
      <w:pPr>
        <w:pStyle w:val="FootnoteText"/>
      </w:pPr>
      <w:r>
        <w:rPr>
          <w:rStyle w:val="FootnoteReference"/>
        </w:rPr>
        <w:footnoteRef/>
      </w:r>
      <w:r>
        <w:t xml:space="preserve"> </w:t>
      </w:r>
      <w:proofErr w:type="spellStart"/>
      <w:r w:rsidRPr="001D744A">
        <w:t>Beukelman</w:t>
      </w:r>
      <w:proofErr w:type="spellEnd"/>
      <w:r w:rsidRPr="001D744A">
        <w:t xml:space="preserve"> </w:t>
      </w:r>
      <w:r>
        <w:t xml:space="preserve">et al. </w:t>
      </w:r>
      <w:r w:rsidRPr="001D744A">
        <w:t>2011 American College of Rheumatology recommendations for the treatment of juvenile</w:t>
      </w:r>
    </w:p>
    <w:p w:rsidR="000D6F2E" w:rsidRDefault="000D6F2E" w:rsidP="001D744A">
      <w:pPr>
        <w:pStyle w:val="FootnoteText"/>
      </w:pPr>
      <w:proofErr w:type="gramStart"/>
      <w:r w:rsidRPr="001D744A">
        <w:t>idiopathic</w:t>
      </w:r>
      <w:proofErr w:type="gramEnd"/>
      <w:r w:rsidRPr="001D744A">
        <w:t xml:space="preserve"> arthritis: initiation and safety monitoring of therapeutic agents for</w:t>
      </w:r>
      <w:r>
        <w:t xml:space="preserve"> the treatment of </w:t>
      </w:r>
      <w:r w:rsidRPr="001D744A">
        <w:t xml:space="preserve">arthritis and systemic features. </w:t>
      </w:r>
      <w:proofErr w:type="gramStart"/>
      <w:r w:rsidRPr="001D744A">
        <w:rPr>
          <w:i/>
        </w:rPr>
        <w:t>Arthritis Care Res</w:t>
      </w:r>
      <w:r>
        <w:t xml:space="preserve"> (Hoboken).</w:t>
      </w:r>
      <w:proofErr w:type="gramEnd"/>
      <w:r>
        <w:t xml:space="preserve"> </w:t>
      </w:r>
      <w:proofErr w:type="gramStart"/>
      <w:r>
        <w:t>2011</w:t>
      </w:r>
      <w:r w:rsidRPr="001D744A">
        <w:t>;</w:t>
      </w:r>
      <w:r>
        <w:t xml:space="preserve"> 63</w:t>
      </w:r>
      <w:r w:rsidRPr="001D744A">
        <w:t>:</w:t>
      </w:r>
      <w:r>
        <w:t xml:space="preserve"> </w:t>
      </w:r>
      <w:r w:rsidRPr="001D744A">
        <w:t>465-</w:t>
      </w:r>
      <w:r>
        <w:t>4</w:t>
      </w:r>
      <w:r w:rsidRPr="001D744A">
        <w:t>82.</w:t>
      </w:r>
      <w:proofErr w:type="gramEnd"/>
    </w:p>
  </w:footnote>
  <w:footnote w:id="37">
    <w:p w:rsidR="000D6F2E" w:rsidRDefault="000D6F2E" w:rsidP="001D744A">
      <w:pPr>
        <w:pStyle w:val="FootnoteText"/>
      </w:pPr>
      <w:r>
        <w:rPr>
          <w:rStyle w:val="FootnoteReference"/>
        </w:rPr>
        <w:footnoteRef/>
      </w:r>
      <w:r>
        <w:t xml:space="preserve"> </w:t>
      </w:r>
      <w:r w:rsidRPr="001D744A">
        <w:t>Dewitt EM</w:t>
      </w:r>
      <w:r>
        <w:t xml:space="preserve"> et al. </w:t>
      </w:r>
      <w:r w:rsidRPr="001D744A">
        <w:t>Consensus treatment plans for new-onset systemic juvenile idiop</w:t>
      </w:r>
      <w:r>
        <w:t xml:space="preserve">athic arthritis. </w:t>
      </w:r>
      <w:proofErr w:type="gramStart"/>
      <w:r w:rsidRPr="001D744A">
        <w:rPr>
          <w:i/>
        </w:rPr>
        <w:t>Arthritis Care Res</w:t>
      </w:r>
      <w:r>
        <w:t xml:space="preserve"> (Hoboken).</w:t>
      </w:r>
      <w:proofErr w:type="gramEnd"/>
      <w:r>
        <w:t xml:space="preserve"> 2012</w:t>
      </w:r>
      <w:r w:rsidRPr="001D744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pPr>
      <w:rPr>
        <w:noProof/>
        <w:lang w:eastAsia="en-AU"/>
      </w:rPr>
    </w:pPr>
    <w:r w:rsidRPr="00347824">
      <w:rPr>
        <w:noProof/>
        <w:lang w:eastAsia="en-AU"/>
      </w:rPr>
      <w:drawing>
        <wp:anchor distT="0" distB="0" distL="114300" distR="114300" simplePos="0" relativeHeight="251659264" behindDoc="1" locked="0" layoutInCell="1" allowOverlap="1" wp14:anchorId="04015528" wp14:editId="422C86A5">
          <wp:simplePos x="0" y="0"/>
          <wp:positionH relativeFrom="column">
            <wp:posOffset>-1088086</wp:posOffset>
          </wp:positionH>
          <wp:positionV relativeFrom="paragraph">
            <wp:posOffset>-623653</wp:posOffset>
          </wp:positionV>
          <wp:extent cx="7569641" cy="10750164"/>
          <wp:effectExtent l="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54047"/>
                  </a:xfrm>
                  <a:prstGeom prst="rect">
                    <a:avLst/>
                  </a:prstGeom>
                </pic:spPr>
              </pic:pic>
            </a:graphicData>
          </a:graphic>
          <wp14:sizeRelV relativeFrom="margin">
            <wp14:pctHeight>0</wp14:pctHeight>
          </wp14:sizeRelV>
        </wp:anchor>
      </w:drawing>
    </w:r>
    <w:r w:rsidR="006C195A">
      <w:rPr>
        <w:noProof/>
        <w:lang w:eastAsia="en-AU"/>
      </w:rPr>
      <w:t xml:space="preserve"> </w:t>
    </w:r>
  </w:p>
  <w:p w:rsidR="000D6F2E" w:rsidRDefault="000D6F2E" w:rsidP="00593AD1">
    <w:pPr>
      <w:pStyle w:val="HeaderNoLine"/>
    </w:pPr>
    <w:r>
      <w:rPr>
        <w:noProof/>
        <w:lang w:eastAsia="en-AU"/>
      </w:rPr>
      <w:drawing>
        <wp:inline distT="0" distB="0" distL="0" distR="0" wp14:anchorId="165BF930" wp14:editId="61735172">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2E" w:rsidRDefault="000D6F2E" w:rsidP="006E08B3">
    <w:r>
      <w:t>Therapeutic Goods Administration</w:t>
    </w:r>
  </w:p>
  <w:p w:rsidR="000D6F2E" w:rsidRDefault="000D6F2E"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275D6597"/>
    <w:multiLevelType w:val="hybridMultilevel"/>
    <w:tmpl w:val="A3F6842A"/>
    <w:lvl w:ilvl="0" w:tplc="88DA9EEE">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Olsson">
    <w15:presenceInfo w15:providerId="AD" w15:userId="S-1-5-21-1123561945-1659004503-725345543-20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8D059A"/>
    <w:rsid w:val="00002031"/>
    <w:rsid w:val="00004734"/>
    <w:rsid w:val="00006B22"/>
    <w:rsid w:val="0001276A"/>
    <w:rsid w:val="000246AE"/>
    <w:rsid w:val="00025C67"/>
    <w:rsid w:val="00044772"/>
    <w:rsid w:val="0004524D"/>
    <w:rsid w:val="000541DB"/>
    <w:rsid w:val="00054BCA"/>
    <w:rsid w:val="0005559E"/>
    <w:rsid w:val="000604D6"/>
    <w:rsid w:val="0007191A"/>
    <w:rsid w:val="000734D8"/>
    <w:rsid w:val="00077775"/>
    <w:rsid w:val="00090471"/>
    <w:rsid w:val="00096AA7"/>
    <w:rsid w:val="000A3AED"/>
    <w:rsid w:val="000B3532"/>
    <w:rsid w:val="000B3A75"/>
    <w:rsid w:val="000B419B"/>
    <w:rsid w:val="000C00C2"/>
    <w:rsid w:val="000C690F"/>
    <w:rsid w:val="000C6913"/>
    <w:rsid w:val="000D1295"/>
    <w:rsid w:val="000D3836"/>
    <w:rsid w:val="000D391B"/>
    <w:rsid w:val="000D3D6D"/>
    <w:rsid w:val="000D4FC7"/>
    <w:rsid w:val="000D6F2E"/>
    <w:rsid w:val="000D705E"/>
    <w:rsid w:val="000E2CDF"/>
    <w:rsid w:val="000E6196"/>
    <w:rsid w:val="000F28E6"/>
    <w:rsid w:val="000F3D5E"/>
    <w:rsid w:val="000F4869"/>
    <w:rsid w:val="000F5B42"/>
    <w:rsid w:val="000F6E6F"/>
    <w:rsid w:val="0010601F"/>
    <w:rsid w:val="0010788A"/>
    <w:rsid w:val="00107A31"/>
    <w:rsid w:val="00110EA5"/>
    <w:rsid w:val="00112F56"/>
    <w:rsid w:val="00125318"/>
    <w:rsid w:val="001257BF"/>
    <w:rsid w:val="001305A2"/>
    <w:rsid w:val="00133238"/>
    <w:rsid w:val="00133DF2"/>
    <w:rsid w:val="001377E5"/>
    <w:rsid w:val="0014197B"/>
    <w:rsid w:val="00142C11"/>
    <w:rsid w:val="001447CD"/>
    <w:rsid w:val="001516B1"/>
    <w:rsid w:val="00154EBB"/>
    <w:rsid w:val="0015527C"/>
    <w:rsid w:val="00156316"/>
    <w:rsid w:val="001609DB"/>
    <w:rsid w:val="00162D14"/>
    <w:rsid w:val="00165081"/>
    <w:rsid w:val="00165389"/>
    <w:rsid w:val="0017693F"/>
    <w:rsid w:val="0018110E"/>
    <w:rsid w:val="00181684"/>
    <w:rsid w:val="001843C6"/>
    <w:rsid w:val="001850E0"/>
    <w:rsid w:val="001974C5"/>
    <w:rsid w:val="001A1A6C"/>
    <w:rsid w:val="001A2158"/>
    <w:rsid w:val="001A525F"/>
    <w:rsid w:val="001B09F9"/>
    <w:rsid w:val="001B2AF4"/>
    <w:rsid w:val="001B5C90"/>
    <w:rsid w:val="001B6448"/>
    <w:rsid w:val="001C32CD"/>
    <w:rsid w:val="001C708A"/>
    <w:rsid w:val="001D2984"/>
    <w:rsid w:val="001D702D"/>
    <w:rsid w:val="001D744A"/>
    <w:rsid w:val="001E07CF"/>
    <w:rsid w:val="001E59F1"/>
    <w:rsid w:val="001F49EB"/>
    <w:rsid w:val="001F6CBA"/>
    <w:rsid w:val="00201D4E"/>
    <w:rsid w:val="00206124"/>
    <w:rsid w:val="002076C9"/>
    <w:rsid w:val="002204FD"/>
    <w:rsid w:val="00220B8A"/>
    <w:rsid w:val="002257F3"/>
    <w:rsid w:val="00233456"/>
    <w:rsid w:val="002339A5"/>
    <w:rsid w:val="002429B6"/>
    <w:rsid w:val="00257848"/>
    <w:rsid w:val="00262EB0"/>
    <w:rsid w:val="0027084A"/>
    <w:rsid w:val="002773F6"/>
    <w:rsid w:val="00286434"/>
    <w:rsid w:val="00286C59"/>
    <w:rsid w:val="00287B83"/>
    <w:rsid w:val="00291957"/>
    <w:rsid w:val="002942D1"/>
    <w:rsid w:val="0029501A"/>
    <w:rsid w:val="002A3721"/>
    <w:rsid w:val="002B1638"/>
    <w:rsid w:val="002B3624"/>
    <w:rsid w:val="002B55F6"/>
    <w:rsid w:val="002C15ED"/>
    <w:rsid w:val="002C162A"/>
    <w:rsid w:val="002C2E2E"/>
    <w:rsid w:val="002E40B3"/>
    <w:rsid w:val="002E4C9A"/>
    <w:rsid w:val="002F11F8"/>
    <w:rsid w:val="002F3F56"/>
    <w:rsid w:val="002F44B5"/>
    <w:rsid w:val="003016B1"/>
    <w:rsid w:val="00304F66"/>
    <w:rsid w:val="00311AC0"/>
    <w:rsid w:val="00313EDF"/>
    <w:rsid w:val="003226D6"/>
    <w:rsid w:val="0032583B"/>
    <w:rsid w:val="00325F8B"/>
    <w:rsid w:val="00327883"/>
    <w:rsid w:val="00335504"/>
    <w:rsid w:val="00344161"/>
    <w:rsid w:val="00347824"/>
    <w:rsid w:val="00350567"/>
    <w:rsid w:val="003521E8"/>
    <w:rsid w:val="003522D3"/>
    <w:rsid w:val="0036148D"/>
    <w:rsid w:val="003728F3"/>
    <w:rsid w:val="0037496E"/>
    <w:rsid w:val="00383221"/>
    <w:rsid w:val="00385F9E"/>
    <w:rsid w:val="00386150"/>
    <w:rsid w:val="003874CE"/>
    <w:rsid w:val="00390900"/>
    <w:rsid w:val="003A6DF9"/>
    <w:rsid w:val="003A7F6C"/>
    <w:rsid w:val="003B27C4"/>
    <w:rsid w:val="003B4D60"/>
    <w:rsid w:val="003B7E39"/>
    <w:rsid w:val="003C3AE9"/>
    <w:rsid w:val="003C58DC"/>
    <w:rsid w:val="003D0DD4"/>
    <w:rsid w:val="003D1E62"/>
    <w:rsid w:val="003E0B99"/>
    <w:rsid w:val="003E2486"/>
    <w:rsid w:val="003E3208"/>
    <w:rsid w:val="003F0B04"/>
    <w:rsid w:val="003F6F98"/>
    <w:rsid w:val="003F7537"/>
    <w:rsid w:val="0040134E"/>
    <w:rsid w:val="00414434"/>
    <w:rsid w:val="0041585A"/>
    <w:rsid w:val="004334C7"/>
    <w:rsid w:val="00440A2D"/>
    <w:rsid w:val="00453997"/>
    <w:rsid w:val="004564A7"/>
    <w:rsid w:val="004617BF"/>
    <w:rsid w:val="00461D73"/>
    <w:rsid w:val="00463658"/>
    <w:rsid w:val="004637A0"/>
    <w:rsid w:val="004652DB"/>
    <w:rsid w:val="00465989"/>
    <w:rsid w:val="00467029"/>
    <w:rsid w:val="004722CC"/>
    <w:rsid w:val="004936E4"/>
    <w:rsid w:val="00494E60"/>
    <w:rsid w:val="00497487"/>
    <w:rsid w:val="004A7390"/>
    <w:rsid w:val="004B7B76"/>
    <w:rsid w:val="004C239D"/>
    <w:rsid w:val="004C2DCA"/>
    <w:rsid w:val="004C391A"/>
    <w:rsid w:val="004C61D2"/>
    <w:rsid w:val="004E24D7"/>
    <w:rsid w:val="004F0C4A"/>
    <w:rsid w:val="004F0F38"/>
    <w:rsid w:val="004F47D6"/>
    <w:rsid w:val="00501921"/>
    <w:rsid w:val="005154D7"/>
    <w:rsid w:val="00530354"/>
    <w:rsid w:val="00533DF9"/>
    <w:rsid w:val="005354B4"/>
    <w:rsid w:val="005355E7"/>
    <w:rsid w:val="0053625B"/>
    <w:rsid w:val="005434C6"/>
    <w:rsid w:val="00543B39"/>
    <w:rsid w:val="005445A8"/>
    <w:rsid w:val="00546154"/>
    <w:rsid w:val="00550096"/>
    <w:rsid w:val="00555280"/>
    <w:rsid w:val="00557FF9"/>
    <w:rsid w:val="005635DD"/>
    <w:rsid w:val="005711D5"/>
    <w:rsid w:val="00576378"/>
    <w:rsid w:val="00577130"/>
    <w:rsid w:val="00577945"/>
    <w:rsid w:val="00577E38"/>
    <w:rsid w:val="00585322"/>
    <w:rsid w:val="005857C6"/>
    <w:rsid w:val="005875F2"/>
    <w:rsid w:val="00592F6E"/>
    <w:rsid w:val="00593AD1"/>
    <w:rsid w:val="005A19A5"/>
    <w:rsid w:val="005A68B6"/>
    <w:rsid w:val="005C5570"/>
    <w:rsid w:val="005C79A4"/>
    <w:rsid w:val="005D252D"/>
    <w:rsid w:val="005D5442"/>
    <w:rsid w:val="005E365E"/>
    <w:rsid w:val="00603F32"/>
    <w:rsid w:val="00605AD4"/>
    <w:rsid w:val="00625A6E"/>
    <w:rsid w:val="00632398"/>
    <w:rsid w:val="00640FC3"/>
    <w:rsid w:val="00642020"/>
    <w:rsid w:val="00652B03"/>
    <w:rsid w:val="0065337B"/>
    <w:rsid w:val="0065419D"/>
    <w:rsid w:val="006604D8"/>
    <w:rsid w:val="006617D2"/>
    <w:rsid w:val="00664A5B"/>
    <w:rsid w:val="0066735C"/>
    <w:rsid w:val="006753C4"/>
    <w:rsid w:val="006763D2"/>
    <w:rsid w:val="00680C08"/>
    <w:rsid w:val="006931B1"/>
    <w:rsid w:val="006A15C0"/>
    <w:rsid w:val="006C195A"/>
    <w:rsid w:val="006C3E2A"/>
    <w:rsid w:val="006C642F"/>
    <w:rsid w:val="006D03E5"/>
    <w:rsid w:val="006D3E76"/>
    <w:rsid w:val="006D42C7"/>
    <w:rsid w:val="006D5D3E"/>
    <w:rsid w:val="006E08B3"/>
    <w:rsid w:val="006E250C"/>
    <w:rsid w:val="006F17AC"/>
    <w:rsid w:val="006F25B8"/>
    <w:rsid w:val="006F572E"/>
    <w:rsid w:val="007046D6"/>
    <w:rsid w:val="0070510F"/>
    <w:rsid w:val="00705DB0"/>
    <w:rsid w:val="00715E90"/>
    <w:rsid w:val="00721983"/>
    <w:rsid w:val="00722B57"/>
    <w:rsid w:val="0072537D"/>
    <w:rsid w:val="00730928"/>
    <w:rsid w:val="00730F8A"/>
    <w:rsid w:val="00735A8C"/>
    <w:rsid w:val="0074253D"/>
    <w:rsid w:val="007437BE"/>
    <w:rsid w:val="0074429B"/>
    <w:rsid w:val="007615BC"/>
    <w:rsid w:val="00762F05"/>
    <w:rsid w:val="007652FF"/>
    <w:rsid w:val="00770EF1"/>
    <w:rsid w:val="00773EF7"/>
    <w:rsid w:val="00774E1D"/>
    <w:rsid w:val="007765D8"/>
    <w:rsid w:val="0077675A"/>
    <w:rsid w:val="00780355"/>
    <w:rsid w:val="007819FD"/>
    <w:rsid w:val="00785721"/>
    <w:rsid w:val="00793A59"/>
    <w:rsid w:val="007A47AB"/>
    <w:rsid w:val="007B6132"/>
    <w:rsid w:val="007B6E9F"/>
    <w:rsid w:val="007C1216"/>
    <w:rsid w:val="007C1AF7"/>
    <w:rsid w:val="007F2643"/>
    <w:rsid w:val="007F6868"/>
    <w:rsid w:val="007F7894"/>
    <w:rsid w:val="007F7ED3"/>
    <w:rsid w:val="008001E4"/>
    <w:rsid w:val="00805D27"/>
    <w:rsid w:val="00813CF5"/>
    <w:rsid w:val="00821776"/>
    <w:rsid w:val="008321F5"/>
    <w:rsid w:val="00832369"/>
    <w:rsid w:val="00834660"/>
    <w:rsid w:val="00836BC2"/>
    <w:rsid w:val="00840FD9"/>
    <w:rsid w:val="0085156D"/>
    <w:rsid w:val="0085641B"/>
    <w:rsid w:val="00857136"/>
    <w:rsid w:val="00881D5A"/>
    <w:rsid w:val="00882310"/>
    <w:rsid w:val="008831B9"/>
    <w:rsid w:val="00885B11"/>
    <w:rsid w:val="00886D15"/>
    <w:rsid w:val="00887DD8"/>
    <w:rsid w:val="00891BA9"/>
    <w:rsid w:val="00896018"/>
    <w:rsid w:val="008960DD"/>
    <w:rsid w:val="0089635C"/>
    <w:rsid w:val="00897786"/>
    <w:rsid w:val="008A0677"/>
    <w:rsid w:val="008A2B9D"/>
    <w:rsid w:val="008A3D9F"/>
    <w:rsid w:val="008A5E0B"/>
    <w:rsid w:val="008A618C"/>
    <w:rsid w:val="008A6D59"/>
    <w:rsid w:val="008B2AAC"/>
    <w:rsid w:val="008B473E"/>
    <w:rsid w:val="008B4B03"/>
    <w:rsid w:val="008B596F"/>
    <w:rsid w:val="008C159F"/>
    <w:rsid w:val="008C1623"/>
    <w:rsid w:val="008C1850"/>
    <w:rsid w:val="008C51A9"/>
    <w:rsid w:val="008C6F8C"/>
    <w:rsid w:val="008D059A"/>
    <w:rsid w:val="008E20EA"/>
    <w:rsid w:val="008E7846"/>
    <w:rsid w:val="008F02E5"/>
    <w:rsid w:val="008F1CCC"/>
    <w:rsid w:val="008F2967"/>
    <w:rsid w:val="008F6943"/>
    <w:rsid w:val="00902A21"/>
    <w:rsid w:val="00903F7A"/>
    <w:rsid w:val="00904439"/>
    <w:rsid w:val="00913F95"/>
    <w:rsid w:val="00920330"/>
    <w:rsid w:val="009219D7"/>
    <w:rsid w:val="00922D53"/>
    <w:rsid w:val="00923B70"/>
    <w:rsid w:val="00924482"/>
    <w:rsid w:val="00930237"/>
    <w:rsid w:val="00940A89"/>
    <w:rsid w:val="009435DF"/>
    <w:rsid w:val="00946EA5"/>
    <w:rsid w:val="00963C08"/>
    <w:rsid w:val="0097225A"/>
    <w:rsid w:val="0098281B"/>
    <w:rsid w:val="0098585A"/>
    <w:rsid w:val="009A4CED"/>
    <w:rsid w:val="009A690D"/>
    <w:rsid w:val="009B146B"/>
    <w:rsid w:val="009B1D12"/>
    <w:rsid w:val="009B3838"/>
    <w:rsid w:val="009B416B"/>
    <w:rsid w:val="009C283F"/>
    <w:rsid w:val="009C4BD5"/>
    <w:rsid w:val="009D7B77"/>
    <w:rsid w:val="009E0BB0"/>
    <w:rsid w:val="009E3FBB"/>
    <w:rsid w:val="009E4A4D"/>
    <w:rsid w:val="009F1696"/>
    <w:rsid w:val="00A04F85"/>
    <w:rsid w:val="00A05FA4"/>
    <w:rsid w:val="00A070B2"/>
    <w:rsid w:val="00A102E4"/>
    <w:rsid w:val="00A12C42"/>
    <w:rsid w:val="00A14DF7"/>
    <w:rsid w:val="00A22315"/>
    <w:rsid w:val="00A3246D"/>
    <w:rsid w:val="00A36AA9"/>
    <w:rsid w:val="00A36FA7"/>
    <w:rsid w:val="00A41910"/>
    <w:rsid w:val="00A44DDB"/>
    <w:rsid w:val="00A475B7"/>
    <w:rsid w:val="00A47AF7"/>
    <w:rsid w:val="00A47C3E"/>
    <w:rsid w:val="00A50226"/>
    <w:rsid w:val="00A54C1D"/>
    <w:rsid w:val="00A60BAD"/>
    <w:rsid w:val="00A80B5B"/>
    <w:rsid w:val="00A8164B"/>
    <w:rsid w:val="00A84E36"/>
    <w:rsid w:val="00A964D1"/>
    <w:rsid w:val="00A97936"/>
    <w:rsid w:val="00AA0ED0"/>
    <w:rsid w:val="00AB675F"/>
    <w:rsid w:val="00AB7C48"/>
    <w:rsid w:val="00AC1A58"/>
    <w:rsid w:val="00AC2B40"/>
    <w:rsid w:val="00AC2BB2"/>
    <w:rsid w:val="00AC2C3C"/>
    <w:rsid w:val="00AC512D"/>
    <w:rsid w:val="00AD0083"/>
    <w:rsid w:val="00AD3935"/>
    <w:rsid w:val="00AE65EB"/>
    <w:rsid w:val="00AE67A7"/>
    <w:rsid w:val="00AF1D94"/>
    <w:rsid w:val="00AF359A"/>
    <w:rsid w:val="00AF60C5"/>
    <w:rsid w:val="00B009C6"/>
    <w:rsid w:val="00B01548"/>
    <w:rsid w:val="00B060F5"/>
    <w:rsid w:val="00B13EBD"/>
    <w:rsid w:val="00B161F7"/>
    <w:rsid w:val="00B21D29"/>
    <w:rsid w:val="00B25034"/>
    <w:rsid w:val="00B33588"/>
    <w:rsid w:val="00B33863"/>
    <w:rsid w:val="00B37D17"/>
    <w:rsid w:val="00B4175E"/>
    <w:rsid w:val="00B452CE"/>
    <w:rsid w:val="00B4566A"/>
    <w:rsid w:val="00B54C25"/>
    <w:rsid w:val="00B7684C"/>
    <w:rsid w:val="00B76B91"/>
    <w:rsid w:val="00B77EB1"/>
    <w:rsid w:val="00B811C6"/>
    <w:rsid w:val="00B855B0"/>
    <w:rsid w:val="00B92E08"/>
    <w:rsid w:val="00BC622A"/>
    <w:rsid w:val="00BE0A78"/>
    <w:rsid w:val="00BE79F0"/>
    <w:rsid w:val="00BF046D"/>
    <w:rsid w:val="00BF1190"/>
    <w:rsid w:val="00BF5D04"/>
    <w:rsid w:val="00C00A64"/>
    <w:rsid w:val="00C00D6D"/>
    <w:rsid w:val="00C03B7C"/>
    <w:rsid w:val="00C1164D"/>
    <w:rsid w:val="00C16861"/>
    <w:rsid w:val="00C346AB"/>
    <w:rsid w:val="00C358C8"/>
    <w:rsid w:val="00C404A6"/>
    <w:rsid w:val="00C40A36"/>
    <w:rsid w:val="00C44419"/>
    <w:rsid w:val="00C44878"/>
    <w:rsid w:val="00C45E7B"/>
    <w:rsid w:val="00C471B1"/>
    <w:rsid w:val="00C52202"/>
    <w:rsid w:val="00C610FA"/>
    <w:rsid w:val="00C6316B"/>
    <w:rsid w:val="00C63375"/>
    <w:rsid w:val="00C634A9"/>
    <w:rsid w:val="00C64586"/>
    <w:rsid w:val="00C70D53"/>
    <w:rsid w:val="00C73D0B"/>
    <w:rsid w:val="00C772FF"/>
    <w:rsid w:val="00C80137"/>
    <w:rsid w:val="00C801AF"/>
    <w:rsid w:val="00C80256"/>
    <w:rsid w:val="00C81028"/>
    <w:rsid w:val="00C81868"/>
    <w:rsid w:val="00C9747E"/>
    <w:rsid w:val="00CB429F"/>
    <w:rsid w:val="00CB6BC0"/>
    <w:rsid w:val="00CC1B7C"/>
    <w:rsid w:val="00CC727F"/>
    <w:rsid w:val="00CF15C3"/>
    <w:rsid w:val="00CF2B6F"/>
    <w:rsid w:val="00CF2F3E"/>
    <w:rsid w:val="00CF58B6"/>
    <w:rsid w:val="00CF5CE3"/>
    <w:rsid w:val="00D0062D"/>
    <w:rsid w:val="00D017ED"/>
    <w:rsid w:val="00D040D3"/>
    <w:rsid w:val="00D04C65"/>
    <w:rsid w:val="00D17CE7"/>
    <w:rsid w:val="00D201D2"/>
    <w:rsid w:val="00D224FE"/>
    <w:rsid w:val="00D23139"/>
    <w:rsid w:val="00D2695E"/>
    <w:rsid w:val="00D425BB"/>
    <w:rsid w:val="00D520E3"/>
    <w:rsid w:val="00D6493E"/>
    <w:rsid w:val="00D7195D"/>
    <w:rsid w:val="00D72FCC"/>
    <w:rsid w:val="00D7301E"/>
    <w:rsid w:val="00D83AE1"/>
    <w:rsid w:val="00D855D4"/>
    <w:rsid w:val="00D93466"/>
    <w:rsid w:val="00DA1124"/>
    <w:rsid w:val="00DB6124"/>
    <w:rsid w:val="00DB65A9"/>
    <w:rsid w:val="00DB750B"/>
    <w:rsid w:val="00DB75B7"/>
    <w:rsid w:val="00DC3BD0"/>
    <w:rsid w:val="00DC5BDB"/>
    <w:rsid w:val="00DC6E02"/>
    <w:rsid w:val="00DC7605"/>
    <w:rsid w:val="00DD32B3"/>
    <w:rsid w:val="00DE02AE"/>
    <w:rsid w:val="00DF1D7F"/>
    <w:rsid w:val="00DF393C"/>
    <w:rsid w:val="00DF4BE4"/>
    <w:rsid w:val="00DF6E0B"/>
    <w:rsid w:val="00E02770"/>
    <w:rsid w:val="00E02FB4"/>
    <w:rsid w:val="00E054D7"/>
    <w:rsid w:val="00E13FC7"/>
    <w:rsid w:val="00E20571"/>
    <w:rsid w:val="00E235F7"/>
    <w:rsid w:val="00E23659"/>
    <w:rsid w:val="00E239D4"/>
    <w:rsid w:val="00E2422D"/>
    <w:rsid w:val="00E26130"/>
    <w:rsid w:val="00E345FF"/>
    <w:rsid w:val="00E40B22"/>
    <w:rsid w:val="00E44ED1"/>
    <w:rsid w:val="00E45619"/>
    <w:rsid w:val="00E4588F"/>
    <w:rsid w:val="00E46DA3"/>
    <w:rsid w:val="00E51BB1"/>
    <w:rsid w:val="00E607A2"/>
    <w:rsid w:val="00E624A5"/>
    <w:rsid w:val="00E64BA4"/>
    <w:rsid w:val="00E72ACA"/>
    <w:rsid w:val="00E7344E"/>
    <w:rsid w:val="00E82467"/>
    <w:rsid w:val="00EA1957"/>
    <w:rsid w:val="00EA2073"/>
    <w:rsid w:val="00EB0798"/>
    <w:rsid w:val="00EB40AD"/>
    <w:rsid w:val="00EB586E"/>
    <w:rsid w:val="00EB5FC8"/>
    <w:rsid w:val="00EB6345"/>
    <w:rsid w:val="00EC7A85"/>
    <w:rsid w:val="00ED3CAD"/>
    <w:rsid w:val="00ED5A41"/>
    <w:rsid w:val="00EE1DE8"/>
    <w:rsid w:val="00EE58A6"/>
    <w:rsid w:val="00F033EC"/>
    <w:rsid w:val="00F04F68"/>
    <w:rsid w:val="00F07797"/>
    <w:rsid w:val="00F12670"/>
    <w:rsid w:val="00F14B27"/>
    <w:rsid w:val="00F17D80"/>
    <w:rsid w:val="00F26E20"/>
    <w:rsid w:val="00F3148D"/>
    <w:rsid w:val="00F325C5"/>
    <w:rsid w:val="00F32FE0"/>
    <w:rsid w:val="00F35298"/>
    <w:rsid w:val="00F41C7E"/>
    <w:rsid w:val="00F47333"/>
    <w:rsid w:val="00F47E37"/>
    <w:rsid w:val="00F53C07"/>
    <w:rsid w:val="00F54B65"/>
    <w:rsid w:val="00F56F98"/>
    <w:rsid w:val="00F640B6"/>
    <w:rsid w:val="00F80E40"/>
    <w:rsid w:val="00F82C19"/>
    <w:rsid w:val="00F8349D"/>
    <w:rsid w:val="00F83A00"/>
    <w:rsid w:val="00F848D9"/>
    <w:rsid w:val="00F97AD3"/>
    <w:rsid w:val="00FA4A0C"/>
    <w:rsid w:val="00FA5B82"/>
    <w:rsid w:val="00FA639E"/>
    <w:rsid w:val="00FB1C42"/>
    <w:rsid w:val="00FC024B"/>
    <w:rsid w:val="00FC0516"/>
    <w:rsid w:val="00FC25E4"/>
    <w:rsid w:val="00FC4EF7"/>
    <w:rsid w:val="00FD0824"/>
    <w:rsid w:val="00FD119B"/>
    <w:rsid w:val="00FD1EDC"/>
    <w:rsid w:val="00FE1DEE"/>
    <w:rsid w:val="00FE3581"/>
    <w:rsid w:val="00FE6136"/>
    <w:rsid w:val="00FF2126"/>
    <w:rsid w:val="00FF5227"/>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8831B9"/>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qFormat/>
    <w:rsid w:val="00AD008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D520E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20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8831B9"/>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8F02E5"/>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paragraph" w:customStyle="1" w:styleId="Default">
    <w:name w:val="Default"/>
    <w:rsid w:val="009B3838"/>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ullet2">
    <w:name w:val="Bullet 2"/>
    <w:basedOn w:val="Normal"/>
    <w:rsid w:val="000D3836"/>
    <w:pPr>
      <w:numPr>
        <w:numId w:val="5"/>
      </w:numPr>
      <w:spacing w:after="0" w:line="240" w:lineRule="auto"/>
    </w:pPr>
    <w:rPr>
      <w:rFonts w:eastAsia="Times New Roman"/>
      <w:kern w:val="24"/>
      <w:szCs w:val="24"/>
      <w:lang w:eastAsia="en-AU"/>
    </w:rPr>
  </w:style>
  <w:style w:type="character" w:customStyle="1" w:styleId="Heading8Char">
    <w:name w:val="Heading 8 Char"/>
    <w:basedOn w:val="DefaultParagraphFont"/>
    <w:link w:val="Heading8"/>
    <w:uiPriority w:val="9"/>
    <w:semiHidden/>
    <w:rsid w:val="00D520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20E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C7605"/>
    <w:pPr>
      <w:adjustRightInd w:val="0"/>
      <w:snapToGrid w:val="0"/>
      <w:spacing w:before="180" w:after="180"/>
      <w:ind w:left="720"/>
      <w:contextualSpacing/>
    </w:pPr>
    <w:rPr>
      <w:rFonts w:ascii="Arial" w:hAnsi="Arial" w:cs="Arial"/>
    </w:rPr>
  </w:style>
  <w:style w:type="character" w:customStyle="1" w:styleId="st1">
    <w:name w:val="st1"/>
    <w:basedOn w:val="DefaultParagraphFont"/>
    <w:rsid w:val="00C63375"/>
  </w:style>
  <w:style w:type="table" w:customStyle="1" w:styleId="TableTGAblue1">
    <w:name w:val="Table TGA blue1"/>
    <w:basedOn w:val="TableNormal"/>
    <w:uiPriority w:val="99"/>
    <w:qFormat/>
    <w:rsid w:val="00C63375"/>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styleId="CommentReference">
    <w:name w:val="annotation reference"/>
    <w:basedOn w:val="DefaultParagraphFont"/>
    <w:uiPriority w:val="99"/>
    <w:semiHidden/>
    <w:unhideWhenUsed/>
    <w:rsid w:val="00054BCA"/>
    <w:rPr>
      <w:sz w:val="16"/>
      <w:szCs w:val="16"/>
    </w:rPr>
  </w:style>
  <w:style w:type="paragraph" w:styleId="CommentText">
    <w:name w:val="annotation text"/>
    <w:basedOn w:val="Normal"/>
    <w:link w:val="CommentTextChar"/>
    <w:uiPriority w:val="99"/>
    <w:semiHidden/>
    <w:unhideWhenUsed/>
    <w:rsid w:val="00054BCA"/>
    <w:pPr>
      <w:spacing w:line="240" w:lineRule="auto"/>
    </w:pPr>
    <w:rPr>
      <w:sz w:val="20"/>
      <w:szCs w:val="20"/>
    </w:rPr>
  </w:style>
  <w:style w:type="character" w:customStyle="1" w:styleId="CommentTextChar">
    <w:name w:val="Comment Text Char"/>
    <w:basedOn w:val="DefaultParagraphFont"/>
    <w:link w:val="CommentText"/>
    <w:uiPriority w:val="99"/>
    <w:semiHidden/>
    <w:rsid w:val="00054BC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54BCA"/>
    <w:rPr>
      <w:b/>
      <w:bCs/>
    </w:rPr>
  </w:style>
  <w:style w:type="character" w:customStyle="1" w:styleId="CommentSubjectChar">
    <w:name w:val="Comment Subject Char"/>
    <w:basedOn w:val="CommentTextChar"/>
    <w:link w:val="CommentSubject"/>
    <w:uiPriority w:val="99"/>
    <w:semiHidden/>
    <w:rsid w:val="00054BCA"/>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umberBullet"/>
    <w:pPr>
      <w:numPr>
        <w:numId w:val="2"/>
      </w:numPr>
    </w:pPr>
  </w:style>
  <w:style w:type="numbering" w:customStyle="1" w:styleId="Heading2Char">
    <w:name w:val="List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7490">
      <w:bodyDiv w:val="1"/>
      <w:marLeft w:val="0"/>
      <w:marRight w:val="0"/>
      <w:marTop w:val="0"/>
      <w:marBottom w:val="0"/>
      <w:divBdr>
        <w:top w:val="none" w:sz="0" w:space="0" w:color="auto"/>
        <w:left w:val="none" w:sz="0" w:space="0" w:color="auto"/>
        <w:bottom w:val="none" w:sz="0" w:space="0" w:color="auto"/>
        <w:right w:val="none" w:sz="0" w:space="0" w:color="auto"/>
      </w:divBdr>
    </w:div>
    <w:div w:id="489370969">
      <w:bodyDiv w:val="1"/>
      <w:marLeft w:val="0"/>
      <w:marRight w:val="0"/>
      <w:marTop w:val="0"/>
      <w:marBottom w:val="0"/>
      <w:divBdr>
        <w:top w:val="none" w:sz="0" w:space="0" w:color="auto"/>
        <w:left w:val="none" w:sz="0" w:space="0" w:color="auto"/>
        <w:bottom w:val="none" w:sz="0" w:space="0" w:color="auto"/>
        <w:right w:val="none" w:sz="0" w:space="0" w:color="auto"/>
      </w:divBdr>
    </w:div>
    <w:div w:id="1492523613">
      <w:bodyDiv w:val="1"/>
      <w:marLeft w:val="0"/>
      <w:marRight w:val="0"/>
      <w:marTop w:val="0"/>
      <w:marBottom w:val="0"/>
      <w:divBdr>
        <w:top w:val="none" w:sz="0" w:space="0" w:color="auto"/>
        <w:left w:val="none" w:sz="0" w:space="0" w:color="auto"/>
        <w:bottom w:val="none" w:sz="0" w:space="0" w:color="auto"/>
        <w:right w:val="none" w:sz="0" w:space="0" w:color="auto"/>
      </w:divBdr>
    </w:div>
    <w:div w:id="20708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tga.gov.au" TargetMode="External"/><Relationship Id="rId18" Type="http://schemas.openxmlformats.org/officeDocument/2006/relationships/hyperlink" Target="https://www.tga.gov.au/product-information-pi" TargetMode="External"/><Relationship Id="rId26" Type="http://schemas.openxmlformats.org/officeDocument/2006/relationships/hyperlink" Target="https://www.tga.gov.au/product-information-p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7.xml"/><Relationship Id="rId42"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eader" Target="header5.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hyperlink" Target="https://www.tga.gov.au" TargetMode="Externa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mailto:info@tga.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ga.copyright@tga.gov.au" TargetMode="External"/><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424\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7D4518C59ADB4A945C85C0952F9297" ma:contentTypeVersion="3" ma:contentTypeDescription="Create a new document." ma:contentTypeScope="" ma:versionID="e9f96c473a7af18b301f4f5d7eebc5ce">
  <xsd:schema xmlns:xsd="http://www.w3.org/2001/XMLSchema" xmlns:xs="http://www.w3.org/2001/XMLSchema" xmlns:p="http://schemas.microsoft.com/office/2006/metadata/properties" xmlns:ns2="d6406edc-f211-42cb-b74a-7b3b578c08ed" targetNamespace="http://schemas.microsoft.com/office/2006/metadata/properties" ma:root="true" ma:fieldsID="c2b07d1c9613b3407c343dac62d17484" ns2:_="">
    <xsd:import namespace="d6406edc-f211-42cb-b74a-7b3b578c0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6edc-f211-42cb-b74a-7b3b578c0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6406edc-f211-42cb-b74a-7b3b578c08ed">QTTJXN2RV44A-1100-6442</_dlc_DocId>
    <_dlc_DocIdUrl xmlns="d6406edc-f211-42cb-b74a-7b3b578c08ed">
      <Url>http://teams.sobi.com/KineretPediatricIndication/_layouts/DocIdRedir.aspx?ID=QTTJXN2RV44A-1100-6442</Url>
      <Description>QTTJXN2RV44A-1100-6442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9931-9E90-4413-9C7F-4F6B2C88FAF2}">
  <ds:schemaRefs>
    <ds:schemaRef ds:uri="http://schemas.microsoft.com/sharepoint/v3/contenttype/forms"/>
  </ds:schemaRefs>
</ds:datastoreItem>
</file>

<file path=customXml/itemProps2.xml><?xml version="1.0" encoding="utf-8"?>
<ds:datastoreItem xmlns:ds="http://schemas.openxmlformats.org/officeDocument/2006/customXml" ds:itemID="{AC78A6CB-29D6-455A-AFF9-739545CA379E}">
  <ds:schemaRefs>
    <ds:schemaRef ds:uri="http://schemas.microsoft.com/sharepoint/events"/>
  </ds:schemaRefs>
</ds:datastoreItem>
</file>

<file path=customXml/itemProps3.xml><?xml version="1.0" encoding="utf-8"?>
<ds:datastoreItem xmlns:ds="http://schemas.openxmlformats.org/officeDocument/2006/customXml" ds:itemID="{ADCF8A38-6B21-41D0-ACD9-EF525FE4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06edc-f211-42cb-b74a-7b3b578c0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C83FF-411D-4941-81F1-EBBDF05EB80F}">
  <ds:schemaRefs>
    <ds:schemaRef ds:uri="http://schemas.microsoft.com/office/2006/metadata/properties"/>
    <ds:schemaRef ds:uri="http://schemas.microsoft.com/office/2006/documentManagement/types"/>
    <ds:schemaRef ds:uri="http://purl.org/dc/dcmitype/"/>
    <ds:schemaRef ds:uri="d6406edc-f211-42cb-b74a-7b3b578c08ed"/>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70398E1E-3EBD-4048-B34D-BC9AE54E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145</TotalTime>
  <Pages>42</Pages>
  <Words>13742</Words>
  <Characters>78335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Australian Public Assessment Report for Anakinra</vt:lpstr>
    </vt:vector>
  </TitlesOfParts>
  <Company/>
  <LinksUpToDate>false</LinksUpToDate>
  <CharactersWithSpaces>91894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Anakinra</dc:title>
  <dc:subject/>
  <dc:creator>Therapeutic Goods Administration</dc:creator>
  <cp:keywords>AusPARs</cp:keywords>
  <cp:lastModifiedBy>Lack, Janet</cp:lastModifiedBy>
  <cp:revision>5</cp:revision>
  <cp:lastPrinted>2010-12-20T22:59:00Z</cp:lastPrinted>
  <dcterms:created xsi:type="dcterms:W3CDTF">2015-10-29T22:37:00Z</dcterms:created>
  <dcterms:modified xsi:type="dcterms:W3CDTF">2015-11-26T00:19:00Z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1af9fefc-c4b1-409f-b52f-c687a86b0e76</vt:lpwstr>
  </property>
  <property fmtid="{D5CDD505-2E9C-101B-9397-08002B2CF9AE}" pid="3" name="ContentTypeId">
    <vt:lpwstr>0x010100117D4518C59ADB4A945C85C0952F9297</vt:lpwstr>
  </property>
</Properties>
</file>